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100" w:rsidRPr="009B49BB" w:rsidRDefault="00516010" w:rsidP="00C61A80">
      <w:pPr>
        <w:spacing w:after="120" w:line="360" w:lineRule="auto"/>
        <w:ind w:right="-199"/>
        <w:jc w:val="right"/>
        <w:rPr>
          <w:rFonts w:ascii="Calibri" w:hAnsi="Calibri" w:cs="Calibri"/>
          <w:b/>
          <w:i/>
          <w:sz w:val="24"/>
          <w:szCs w:val="24"/>
        </w:rPr>
      </w:pPr>
      <w:r>
        <w:rPr>
          <w:rFonts w:ascii="Calibri" w:hAnsi="Calibri" w:cs="Calibri"/>
          <w:b/>
          <w:i/>
          <w:sz w:val="24"/>
          <w:szCs w:val="24"/>
        </w:rPr>
        <w:t xml:space="preserve">30 </w:t>
      </w:r>
      <w:r w:rsidR="006E04D8" w:rsidRPr="009B49BB">
        <w:rPr>
          <w:rFonts w:ascii="Calibri" w:hAnsi="Calibri" w:cs="Calibri"/>
          <w:b/>
          <w:i/>
          <w:sz w:val="24"/>
          <w:szCs w:val="24"/>
        </w:rPr>
        <w:t>Σεπτεμβρίου</w:t>
      </w:r>
      <w:r w:rsidR="00097062" w:rsidRPr="009B49BB">
        <w:rPr>
          <w:rFonts w:ascii="Calibri" w:hAnsi="Calibri" w:cs="Calibri"/>
          <w:b/>
          <w:i/>
          <w:sz w:val="24"/>
          <w:szCs w:val="24"/>
        </w:rPr>
        <w:t xml:space="preserve"> </w:t>
      </w:r>
      <w:r w:rsidR="009C0ABC" w:rsidRPr="009B49BB">
        <w:rPr>
          <w:rFonts w:ascii="Calibri" w:hAnsi="Calibri" w:cs="Calibri"/>
          <w:b/>
          <w:i/>
          <w:sz w:val="24"/>
          <w:szCs w:val="24"/>
        </w:rPr>
        <w:t>202</w:t>
      </w:r>
      <w:r w:rsidR="00EB67CF" w:rsidRPr="009B49BB">
        <w:rPr>
          <w:rFonts w:ascii="Calibri" w:hAnsi="Calibri" w:cs="Calibri"/>
          <w:b/>
          <w:i/>
          <w:sz w:val="24"/>
          <w:szCs w:val="24"/>
        </w:rPr>
        <w:t>6</w:t>
      </w:r>
    </w:p>
    <w:p w:rsidR="00596F08" w:rsidRDefault="00596F08" w:rsidP="00596F08">
      <w:pPr>
        <w:jc w:val="center"/>
        <w:rPr>
          <w:b/>
          <w:bCs/>
          <w:sz w:val="24"/>
          <w:szCs w:val="24"/>
        </w:rPr>
      </w:pPr>
      <w:bookmarkStart w:id="0" w:name="_Hlk240381658"/>
    </w:p>
    <w:p w:rsidR="00596F08" w:rsidRPr="007B64CB" w:rsidRDefault="00596F08" w:rsidP="007B64CB">
      <w:pPr>
        <w:jc w:val="center"/>
        <w:rPr>
          <w:rFonts w:ascii="Calibri" w:hAnsi="Calibri" w:cs="Calibri"/>
          <w:b/>
          <w:bCs/>
          <w:sz w:val="24"/>
          <w:szCs w:val="24"/>
        </w:rPr>
      </w:pPr>
    </w:p>
    <w:p w:rsidR="007B64CB" w:rsidRPr="007B64CB" w:rsidRDefault="007B64CB" w:rsidP="007B64CB">
      <w:pPr>
        <w:jc w:val="center"/>
        <w:rPr>
          <w:rFonts w:ascii="Calibri" w:hAnsi="Calibri" w:cs="Calibri"/>
          <w:b/>
          <w:bCs/>
          <w:sz w:val="24"/>
          <w:szCs w:val="24"/>
        </w:rPr>
      </w:pPr>
      <w:r w:rsidRPr="007B64CB">
        <w:rPr>
          <w:rFonts w:ascii="Calibri" w:hAnsi="Calibri" w:cs="Calibri"/>
          <w:b/>
          <w:bCs/>
          <w:sz w:val="24"/>
          <w:szCs w:val="24"/>
        </w:rPr>
        <w:t>Αύξηση της επιδότησης του πετρελαίου κίνησης σε 15 λεπτά</w:t>
      </w:r>
    </w:p>
    <w:p w:rsidR="007B64CB" w:rsidRPr="007B64CB" w:rsidRDefault="007B64CB" w:rsidP="007B64CB">
      <w:pPr>
        <w:rPr>
          <w:rFonts w:ascii="Calibri" w:hAnsi="Calibri" w:cs="Calibri"/>
          <w:b/>
          <w:bCs/>
          <w:sz w:val="24"/>
          <w:szCs w:val="24"/>
        </w:rPr>
      </w:pPr>
    </w:p>
    <w:p w:rsidR="007B64CB" w:rsidRDefault="007B64CB" w:rsidP="007B64CB">
      <w:pPr>
        <w:jc w:val="both"/>
        <w:rPr>
          <w:rFonts w:ascii="Calibri" w:hAnsi="Calibri" w:cs="Calibri"/>
          <w:sz w:val="24"/>
          <w:szCs w:val="24"/>
        </w:rPr>
      </w:pP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 xml:space="preserve">Λαμβάνοντας υπόψη τη συνεχιζόμενη και εντεινόμενη πίεση στις τιμές των καυσίμων και ιδιαίτερα του πετρελαίου κίνησης που επηρεάζει την εφοδιαστική αλυσίδα, αυξάνεται η επιδότηση στο δίκτυο για το πετρέλαιο κίνησης σε </w:t>
      </w:r>
      <w:r w:rsidRPr="007B64CB">
        <w:rPr>
          <w:rFonts w:ascii="Calibri" w:hAnsi="Calibri" w:cs="Calibri"/>
          <w:b/>
          <w:bCs/>
          <w:sz w:val="24"/>
          <w:szCs w:val="24"/>
        </w:rPr>
        <w:t>15 λεπτά (12 λεπτά πλέον ΦΠΑ), από 10 λεπτά (8 λεπτά πλέον ΦΠΑ) προηγουμένως</w:t>
      </w:r>
      <w:r w:rsidRPr="007B64CB">
        <w:rPr>
          <w:rFonts w:ascii="Calibri" w:hAnsi="Calibri" w:cs="Calibri"/>
          <w:sz w:val="24"/>
          <w:szCs w:val="24"/>
        </w:rPr>
        <w:t xml:space="preserve">, για την περίοδο από 1 έως 15 Οκτωβρίου 2026. Το δημοσιονομικό κόστος για την επιδότηση του πετρελαίου κίνησης το επόμενο δεκαπενθήμερο εκτιμάται σε 20 εκατ. ευρώ. </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 xml:space="preserve">Σημειώνεται ότι η ανωτέρω επιδότηση στο δίκτυο συμπληρώνεται και από την έκπτωση που προσφέρουν τα διυλιστήρια </w:t>
      </w:r>
      <w:r w:rsidRPr="007B64CB">
        <w:rPr>
          <w:rFonts w:ascii="Calibri" w:hAnsi="Calibri" w:cs="Calibri"/>
          <w:b/>
          <w:bCs/>
          <w:sz w:val="24"/>
          <w:szCs w:val="24"/>
        </w:rPr>
        <w:t>τόσο στην αμόλυβδη ύψους 10 λεπτών (8 λεπτά πλέον ΦΠΑ), όσο και στο πετρέλαιο κίνησης 5 λεπτών (4 λεπτά πλέον ΦΠΑ).</w:t>
      </w:r>
      <w:r w:rsidRPr="007B64CB">
        <w:rPr>
          <w:rFonts w:ascii="Calibri" w:hAnsi="Calibri" w:cs="Calibri"/>
          <w:sz w:val="24"/>
          <w:szCs w:val="24"/>
        </w:rPr>
        <w:t xml:space="preserve"> Συνεπώς η συνολική ελάφρυνση των καταναλωτών και επιχειρήσεων για το πετρέλαιο κίνησης αναμένεται να ανέλθει </w:t>
      </w:r>
      <w:r w:rsidRPr="007B64CB">
        <w:rPr>
          <w:rFonts w:ascii="Calibri" w:hAnsi="Calibri" w:cs="Calibri"/>
          <w:b/>
          <w:bCs/>
          <w:sz w:val="24"/>
          <w:szCs w:val="24"/>
        </w:rPr>
        <w:t>σε 20 λεπτά</w:t>
      </w:r>
      <w:r w:rsidRPr="007B64CB">
        <w:rPr>
          <w:rFonts w:ascii="Calibri" w:hAnsi="Calibri" w:cs="Calibri"/>
          <w:sz w:val="24"/>
          <w:szCs w:val="24"/>
        </w:rPr>
        <w:t>.</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Λόγω της ιδιαίτερα υψηλής μεταβλητότητας των διεθνών τιμών, σε συνδυασμό με την έναρξη διάθεσης του πετρελαίου θέρμανσης στις 15 Οκτωβρίου, αποφασίστηκε η ανακοίνωση του ύψους της επιδότησης για το επόμενο δεκαπενθήμερο, ενώ έως τις 14 Οκτωβρίου θα ακολουθήσουν νέες ανακοινώσεις τόσο για τα καύσιμα κίνησης, όσο και για το πετρέλαιο θέρμανσης.</w:t>
      </w:r>
    </w:p>
    <w:p w:rsidR="007B64CB" w:rsidRPr="007B64CB" w:rsidRDefault="007B64CB" w:rsidP="007B64CB">
      <w:pPr>
        <w:jc w:val="both"/>
        <w:rPr>
          <w:rFonts w:ascii="Calibri" w:hAnsi="Calibri" w:cs="Calibri"/>
          <w:sz w:val="24"/>
          <w:szCs w:val="24"/>
        </w:rPr>
      </w:pPr>
    </w:p>
    <w:p w:rsidR="007B64CB" w:rsidRPr="007B64CB" w:rsidRDefault="007B64CB" w:rsidP="007B64CB">
      <w:pPr>
        <w:jc w:val="center"/>
        <w:rPr>
          <w:rFonts w:ascii="Calibri" w:hAnsi="Calibri" w:cs="Calibri"/>
          <w:b/>
          <w:bCs/>
          <w:sz w:val="24"/>
          <w:szCs w:val="24"/>
        </w:rPr>
      </w:pPr>
      <w:r w:rsidRPr="007B64CB">
        <w:rPr>
          <w:rFonts w:ascii="Calibri" w:hAnsi="Calibri" w:cs="Calibri"/>
          <w:b/>
          <w:bCs/>
          <w:sz w:val="24"/>
          <w:szCs w:val="24"/>
        </w:rPr>
        <w:t>Ρύθμιση 120 δόσεων για σωρευμένα χρέη</w:t>
      </w:r>
    </w:p>
    <w:p w:rsidR="007B64CB" w:rsidRPr="007B64CB" w:rsidRDefault="007B64CB" w:rsidP="007B64CB">
      <w:pPr>
        <w:rPr>
          <w:rFonts w:ascii="Calibri" w:hAnsi="Calibri" w:cs="Calibri"/>
          <w:b/>
          <w:bCs/>
          <w:sz w:val="24"/>
          <w:szCs w:val="24"/>
        </w:rPr>
      </w:pPr>
    </w:p>
    <w:p w:rsidR="007B64CB" w:rsidRDefault="007B64CB" w:rsidP="007B64CB">
      <w:pPr>
        <w:jc w:val="both"/>
        <w:rPr>
          <w:rFonts w:ascii="Calibri" w:hAnsi="Calibri" w:cs="Calibri"/>
          <w:sz w:val="24"/>
          <w:szCs w:val="24"/>
        </w:rPr>
      </w:pP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 xml:space="preserve">Τις τελευταίες εβδομάδες, η ενεργειακή κρίση επιβάρυνε σημαντικά </w:t>
      </w:r>
      <w:r w:rsidRPr="007B64CB">
        <w:rPr>
          <w:rFonts w:ascii="Calibri" w:hAnsi="Calibri" w:cs="Calibri"/>
          <w:b/>
          <w:bCs/>
          <w:sz w:val="24"/>
          <w:szCs w:val="24"/>
        </w:rPr>
        <w:t>τον οικογενειακό προϋπολογισμό και τη λειτουργία των επιχειρήσεων</w:t>
      </w:r>
      <w:r w:rsidRPr="007B64CB">
        <w:rPr>
          <w:rFonts w:ascii="Calibri" w:hAnsi="Calibri" w:cs="Calibri"/>
          <w:sz w:val="24"/>
          <w:szCs w:val="24"/>
        </w:rPr>
        <w:t>, περιορίζοντας τη δυνατότητα εξυπηρέτησης οφειλών που έχουν συσσωρευτεί τα προηγούμενα χρόνια.</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 xml:space="preserve">Για τον λόγο αυτό, </w:t>
      </w:r>
      <w:r w:rsidRPr="007B64CB">
        <w:rPr>
          <w:rFonts w:ascii="Calibri" w:hAnsi="Calibri" w:cs="Calibri"/>
          <w:b/>
          <w:bCs/>
          <w:sz w:val="24"/>
          <w:szCs w:val="24"/>
        </w:rPr>
        <w:t>διευρύνουμε το πλαίσιο των 72 δόσεων σε 120 δόσεις για παλαιές οφειλές</w:t>
      </w:r>
      <w:r w:rsidRPr="007B64CB">
        <w:rPr>
          <w:rFonts w:ascii="Calibri" w:hAnsi="Calibri" w:cs="Calibri"/>
          <w:sz w:val="24"/>
          <w:szCs w:val="24"/>
        </w:rPr>
        <w:t>, δίνοντας μεγαλύτερη ανάσα σε νοικοκυριά και επιχειρήσεις και διευκολύνοντας την επιστροφή τους στη συνέπεια.</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lastRenderedPageBreak/>
        <w:t>Ειδικότερα:</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(α) Ο μέγιστος αριθμός δόσεων αυξάνεται σε 120 δόσεις (έναντι 72 προηγουμένως) με ελάχιστο ποσό καταβολής τα 30 ευρώ.</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(β) Μπορούν να συμπεριληφθούν οφειλές που έχουν καταστεί ληξιπρόθεσμες έως και την 31/12/2024 (έναντι έως 31/12/2023 προηγουμένως) και δεν τελούν σε καθεστώς ρύθμισης στις 30/09/2026 (έναντι έως 20/04/2026 προηγουμένως).</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(γ) Η αίτηση ένταξης στη ρύθμιση μπορεί να υποβληθεί έως 30/06/2027 (έναντι έως 31/12/2026 προηγουμένως).</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(δ) Πολίτες που έχουν υπαχθεί στην ρύθμιση των 72 δόσεων, μπορούν να υπαχθούν με αίτησή τους στη ρύθμιση των 120 δόσεων.</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 xml:space="preserve">Η ρύθμιση αφορά τόσο τα χρέη προς τη φορολογική αρχή, όσο και προς τα ασφαλιστικά ταμεία. </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Σημειώνεται ότι τρέχουσες οφειλές (μετά τις 1/1/2025), δηλαδή κάτω των 2 ετών, ρυθμίζονται με τη πάγια ρύθμιση των 24 δόσεων. Το επιτόκιο της ρύθμισης των 120 δόσεων είναι το ίδιο με αυτό της πάγιας ρύθμισης των 24 δόσεων (5,84%), λαμβάνοντας υπόψη την ίση μεταχείριση μεταξύ των πολιτών που έχουν ρυθμίσει τα χρέη τους με την πάγια ρύθμιση και όσων εντάσσονται στις 120 δόσεις. Σημειώνεται ότι το επιτόκιο της πάγιας ρύθμισης έχει παραμείνει παγωμένο με διαδοχικές νομοθετικές ρυθμίσεις, έτσι ώστε να μην επαυξηθεί από τις αυξήσεις των επιτοκίων της Ευρωπαϊκής Κεντρικής Τράπεζας.</w:t>
      </w:r>
    </w:p>
    <w:p w:rsidR="007B64CB" w:rsidRPr="007B64CB" w:rsidRDefault="007B64CB" w:rsidP="007B64CB">
      <w:pPr>
        <w:jc w:val="both"/>
        <w:rPr>
          <w:rFonts w:ascii="Calibri" w:hAnsi="Calibri" w:cs="Calibri"/>
          <w:sz w:val="24"/>
          <w:szCs w:val="24"/>
        </w:rPr>
      </w:pPr>
      <w:r w:rsidRPr="007B64CB">
        <w:rPr>
          <w:rFonts w:ascii="Calibri" w:hAnsi="Calibri" w:cs="Calibri"/>
          <w:sz w:val="24"/>
          <w:szCs w:val="24"/>
        </w:rPr>
        <w:t>Επιπλέον σημειώνεται ότι μέσω του εξωδικαστικού δίνεται η δυνατότητα ρύθμισης έως και 240 δόσεις, τόσο των χρεών προς τη φορολογική αρχή, τα ασφαλιστικά ταμεία αλλά και προς τις τράπεζες και servicers, ανάλογα με τις οικονομικές δυνατότητες κάθε οφειλέτη. Πρόσφατα ο εξωδικαστικός διευρύνθηκε τόσο ως προς το όριο υπαγωγής (5.000 ευρώ οφειλές έναντι 10.000 προηγουμένως), όσο και ως προς τη δυνατότητα επιλογής διάσωσης της πρώτης κατοικίας έναντι λοιπής περιουσίας, με αντίστοιχη μείωση των δόσεων καταβολής. Η νέα δυνατότητα τέθηκε σε ισχύ από 21 Σεπτεμβρίου 2026.</w:t>
      </w:r>
    </w:p>
    <w:p w:rsidR="007B64CB" w:rsidRPr="007B64CB" w:rsidRDefault="007B64CB" w:rsidP="007B64CB">
      <w:pPr>
        <w:jc w:val="both"/>
        <w:rPr>
          <w:rFonts w:ascii="Calibri" w:hAnsi="Calibri" w:cs="Calibri"/>
          <w:sz w:val="24"/>
          <w:szCs w:val="24"/>
        </w:rPr>
      </w:pPr>
    </w:p>
    <w:p w:rsidR="007B64CB" w:rsidRPr="007B64CB" w:rsidRDefault="007B64CB" w:rsidP="007B64CB">
      <w:pPr>
        <w:rPr>
          <w:rFonts w:ascii="Calibri" w:eastAsiaTheme="majorEastAsia" w:hAnsi="Calibri" w:cs="Calibri"/>
          <w:b/>
          <w:sz w:val="24"/>
          <w:szCs w:val="24"/>
        </w:rPr>
      </w:pPr>
      <w:r w:rsidRPr="007B64CB">
        <w:rPr>
          <w:rFonts w:ascii="Calibri" w:hAnsi="Calibri" w:cs="Calibri"/>
          <w:b/>
          <w:sz w:val="24"/>
          <w:szCs w:val="24"/>
        </w:rPr>
        <w:t xml:space="preserve"> </w:t>
      </w:r>
      <w:r w:rsidRPr="007B64CB">
        <w:rPr>
          <w:rFonts w:ascii="Calibri" w:eastAsiaTheme="majorEastAsia" w:hAnsi="Calibri" w:cs="Calibri"/>
          <w:b/>
          <w:sz w:val="24"/>
          <w:szCs w:val="24"/>
        </w:rPr>
        <w:t>Παράρτημα: Μέτρα για την αντιμετώπιση της Ενεργειακής Κρίσης έως σήμερα</w:t>
      </w:r>
    </w:p>
    <w:p w:rsidR="007B64CB" w:rsidRPr="007B64CB" w:rsidRDefault="007B64CB" w:rsidP="007B64CB">
      <w:pPr>
        <w:rPr>
          <w:rFonts w:ascii="Calibri" w:eastAsiaTheme="majorEastAsia" w:hAnsi="Calibri" w:cs="Calibri"/>
          <w:sz w:val="24"/>
          <w:szCs w:val="24"/>
        </w:rPr>
      </w:pPr>
    </w:p>
    <w:p w:rsidR="007B64CB" w:rsidRPr="007B64CB" w:rsidRDefault="007B64CB" w:rsidP="007B64CB">
      <w:pPr>
        <w:pStyle w:val="a5"/>
        <w:numPr>
          <w:ilvl w:val="0"/>
          <w:numId w:val="20"/>
        </w:numPr>
        <w:spacing w:after="160" w:line="278" w:lineRule="auto"/>
        <w:contextualSpacing/>
        <w:jc w:val="left"/>
        <w:rPr>
          <w:rFonts w:ascii="Calibri" w:hAnsi="Calibri" w:cs="Calibri"/>
          <w:sz w:val="24"/>
          <w:szCs w:val="24"/>
        </w:rPr>
      </w:pPr>
      <w:r w:rsidRPr="007B64CB">
        <w:rPr>
          <w:rFonts w:ascii="Calibri" w:hAnsi="Calibri" w:cs="Calibri"/>
          <w:sz w:val="24"/>
          <w:szCs w:val="24"/>
        </w:rPr>
        <w:t>Έκτακτη ενίσχυση ύψους 150 ευρώ ανά παιδί τον Ιούνιο του 2026 που καταλαμβάνει το 80% των οικογενειών με παιδιά (1 εκατ. νοικοκυριά), με κόστος 232 εκατ. ευρώ.</w:t>
      </w:r>
    </w:p>
    <w:p w:rsidR="007B64CB" w:rsidRPr="007B64CB" w:rsidRDefault="007B64CB" w:rsidP="007B64CB">
      <w:pPr>
        <w:pStyle w:val="a5"/>
        <w:numPr>
          <w:ilvl w:val="0"/>
          <w:numId w:val="20"/>
        </w:numPr>
        <w:spacing w:after="160" w:line="278" w:lineRule="auto"/>
        <w:contextualSpacing/>
        <w:rPr>
          <w:rFonts w:ascii="Calibri" w:hAnsi="Calibri" w:cs="Calibri"/>
          <w:sz w:val="24"/>
          <w:szCs w:val="24"/>
        </w:rPr>
      </w:pPr>
      <w:r w:rsidRPr="007B64CB">
        <w:rPr>
          <w:rFonts w:ascii="Calibri" w:hAnsi="Calibri" w:cs="Calibri"/>
          <w:sz w:val="24"/>
          <w:szCs w:val="24"/>
        </w:rPr>
        <w:t xml:space="preserve">Επιδότηση του πετρελαίου κίνησης στο δίκτυο με 20 λεπτά (συμπεριλαμβανομένου ΦΠΑ) για τον Απρίλιο και Μάϊο, 15 λεπτά για τον Ιούνιο, 10 λεπτά για τον Αύγουστο και Σεπτέμβριο και 15 λεπτά για το πρώτο δεκαπενθήμερο Οκτωβρίου, με εκτιμώμενο δημοσιονομικό κόστος 216 εκατ. ευρώ. </w:t>
      </w:r>
    </w:p>
    <w:p w:rsidR="007B64CB" w:rsidRPr="007B64CB" w:rsidRDefault="007B64CB" w:rsidP="007B64CB">
      <w:pPr>
        <w:pStyle w:val="a5"/>
        <w:numPr>
          <w:ilvl w:val="0"/>
          <w:numId w:val="20"/>
        </w:numPr>
        <w:spacing w:after="160" w:line="278" w:lineRule="auto"/>
        <w:contextualSpacing/>
        <w:rPr>
          <w:rFonts w:ascii="Calibri" w:hAnsi="Calibri" w:cs="Calibri"/>
          <w:sz w:val="24"/>
          <w:szCs w:val="24"/>
        </w:rPr>
      </w:pPr>
      <w:r w:rsidRPr="007B64CB">
        <w:rPr>
          <w:rFonts w:ascii="Calibri" w:hAnsi="Calibri" w:cs="Calibri"/>
          <w:sz w:val="24"/>
          <w:szCs w:val="24"/>
        </w:rPr>
        <w:lastRenderedPageBreak/>
        <w:t>Κάρτα καυσίμων (</w:t>
      </w:r>
      <w:proofErr w:type="spellStart"/>
      <w:r w:rsidRPr="007B64CB">
        <w:rPr>
          <w:rFonts w:ascii="Calibri" w:hAnsi="Calibri" w:cs="Calibri"/>
          <w:sz w:val="24"/>
          <w:szCs w:val="24"/>
        </w:rPr>
        <w:t>fuel</w:t>
      </w:r>
      <w:proofErr w:type="spellEnd"/>
      <w:r w:rsidRPr="007B64CB">
        <w:rPr>
          <w:rFonts w:ascii="Calibri" w:hAnsi="Calibri" w:cs="Calibri"/>
          <w:sz w:val="24"/>
          <w:szCs w:val="24"/>
        </w:rPr>
        <w:t xml:space="preserve"> </w:t>
      </w:r>
      <w:proofErr w:type="spellStart"/>
      <w:r w:rsidRPr="007B64CB">
        <w:rPr>
          <w:rFonts w:ascii="Calibri" w:hAnsi="Calibri" w:cs="Calibri"/>
          <w:sz w:val="24"/>
          <w:szCs w:val="24"/>
        </w:rPr>
        <w:t>pass</w:t>
      </w:r>
      <w:proofErr w:type="spellEnd"/>
      <w:r w:rsidRPr="007B64CB">
        <w:rPr>
          <w:rFonts w:ascii="Calibri" w:hAnsi="Calibri" w:cs="Calibri"/>
          <w:sz w:val="24"/>
          <w:szCs w:val="24"/>
        </w:rPr>
        <w:t>) για την περίοδο Απριλίου-Μαΐου 2026 ύψους 60 ευρώ στις νησιωτικές περιοχές και 50 στην υπόλοιπη Ελλάδα με κόστος 113 εκατ. ευρώ.</w:t>
      </w:r>
    </w:p>
    <w:p w:rsidR="007B64CB" w:rsidRPr="007B64CB" w:rsidRDefault="007B64CB" w:rsidP="007B64CB">
      <w:pPr>
        <w:pStyle w:val="a5"/>
        <w:numPr>
          <w:ilvl w:val="0"/>
          <w:numId w:val="20"/>
        </w:numPr>
        <w:spacing w:after="160" w:line="278" w:lineRule="auto"/>
        <w:contextualSpacing/>
        <w:rPr>
          <w:rFonts w:ascii="Calibri" w:hAnsi="Calibri" w:cs="Calibri"/>
          <w:sz w:val="24"/>
          <w:szCs w:val="24"/>
        </w:rPr>
      </w:pPr>
      <w:r w:rsidRPr="007B64CB">
        <w:rPr>
          <w:rFonts w:ascii="Calibri" w:hAnsi="Calibri" w:cs="Calibri"/>
          <w:sz w:val="24"/>
          <w:szCs w:val="24"/>
        </w:rPr>
        <w:t>Επιδότηση λιπασμάτων στο ύψος 15% των τιμολογίων για τους κατά κύριο επάγγελμα αγρότες για την περίοδο 15 Μαρτίου-31 Αυγούστου 2026, με κόστος 48 εκατ. ευρώ.</w:t>
      </w:r>
    </w:p>
    <w:p w:rsidR="007B64CB" w:rsidRPr="007B64CB" w:rsidRDefault="007B64CB" w:rsidP="007B64CB">
      <w:pPr>
        <w:pStyle w:val="a5"/>
        <w:numPr>
          <w:ilvl w:val="0"/>
          <w:numId w:val="20"/>
        </w:numPr>
        <w:spacing w:after="160" w:line="278" w:lineRule="auto"/>
        <w:contextualSpacing/>
        <w:rPr>
          <w:rFonts w:ascii="Calibri" w:hAnsi="Calibri" w:cs="Calibri"/>
          <w:sz w:val="24"/>
          <w:szCs w:val="24"/>
        </w:rPr>
      </w:pPr>
      <w:r w:rsidRPr="007B64CB">
        <w:rPr>
          <w:rFonts w:ascii="Calibri" w:hAnsi="Calibri" w:cs="Calibri"/>
          <w:sz w:val="24"/>
          <w:szCs w:val="24"/>
        </w:rPr>
        <w:t>Αποζημίωση ακτοπλοϊκών για υποχρεωτικές χρεώσεις εισιτηρίων με ετήσιο κόστος 60 εκατ. ευρώ.</w:t>
      </w:r>
    </w:p>
    <w:p w:rsidR="007B64CB" w:rsidRPr="007B64CB" w:rsidRDefault="007B64CB" w:rsidP="007B64CB">
      <w:pPr>
        <w:pStyle w:val="a5"/>
        <w:numPr>
          <w:ilvl w:val="0"/>
          <w:numId w:val="20"/>
        </w:numPr>
        <w:spacing w:after="160" w:line="278" w:lineRule="auto"/>
        <w:contextualSpacing/>
        <w:rPr>
          <w:rFonts w:ascii="Calibri" w:hAnsi="Calibri" w:cs="Calibri"/>
          <w:sz w:val="24"/>
          <w:szCs w:val="24"/>
        </w:rPr>
      </w:pPr>
      <w:r w:rsidRPr="007B64CB">
        <w:rPr>
          <w:rFonts w:ascii="Calibri" w:hAnsi="Calibri" w:cs="Calibri"/>
          <w:sz w:val="24"/>
          <w:szCs w:val="24"/>
        </w:rPr>
        <w:t>Αύξηση των ορίων εισοδήματος για επιστροφή ενοικίου (από τα 20.000 στα 25.000 ευρώ και από τα 28.000 στα 35.000 συν 5.000 ευρώ το κάθε παιδί και για μονογονεϊκές 39.000 συν 5.000 ευρώ για κάθε παιδί μετά το πρώτο), καταλαμβάνει το 85% των ενοικιαστών (περίπου 70.000 ενοικιαστές επιπλέον, συνολικά 1 εκατ. ενοικιαστές), με ετήσιο κόστος 25 εκατ. ευρώ.</w:t>
      </w:r>
    </w:p>
    <w:p w:rsidR="007B64CB" w:rsidRPr="007B64CB" w:rsidRDefault="007B64CB" w:rsidP="007B64CB">
      <w:pPr>
        <w:pStyle w:val="a5"/>
        <w:numPr>
          <w:ilvl w:val="0"/>
          <w:numId w:val="20"/>
        </w:numPr>
        <w:spacing w:after="160" w:line="278" w:lineRule="auto"/>
        <w:contextualSpacing/>
        <w:rPr>
          <w:rFonts w:ascii="Calibri" w:hAnsi="Calibri" w:cs="Calibri"/>
          <w:sz w:val="24"/>
          <w:szCs w:val="24"/>
        </w:rPr>
      </w:pPr>
      <w:r w:rsidRPr="007B64CB">
        <w:rPr>
          <w:rFonts w:ascii="Calibri" w:hAnsi="Calibri" w:cs="Calibri"/>
          <w:sz w:val="24"/>
          <w:szCs w:val="24"/>
        </w:rPr>
        <w:t>Το Απρίλιο ανακοινώθηκε διεύρυνση των εισοδηματικών ορίων των συνταξιούχων που λαμβάνουν τα 250 ευρώ (ώστε να καταλαμβάνει το 85% των συνταξιούχων). Επίσης ανακοινώθηκε η αύξηση της επιδότησης στα 300 ευρώ, με επιπλέον ετήσιο κόστος 215 εκατ. ευρώ. Με την διεύρυνση στο σύνολο των συνταξιούχων άνω των 65 ετών (2,2 εκατ. δικαιούχοι συνολικά) και την αύξηση σε 400 ευρώ που ανακοινώθηκε στη ΔΕΘ, το επιπλέον κόστος σε σχέση με το 2025 ανέρχεται σε 516 εκατ. ευρώ.</w:t>
      </w:r>
    </w:p>
    <w:p w:rsidR="007B64CB" w:rsidRDefault="007B64CB" w:rsidP="007B64CB">
      <w:pPr>
        <w:jc w:val="both"/>
        <w:rPr>
          <w:rFonts w:ascii="Calibri" w:hAnsi="Calibri" w:cs="Calibri"/>
          <w:b/>
          <w:sz w:val="24"/>
          <w:szCs w:val="24"/>
        </w:rPr>
      </w:pPr>
    </w:p>
    <w:p w:rsidR="007B64CB" w:rsidRPr="007B64CB" w:rsidRDefault="007B64CB" w:rsidP="007B64CB">
      <w:pPr>
        <w:jc w:val="both"/>
        <w:rPr>
          <w:rFonts w:ascii="Calibri" w:hAnsi="Calibri" w:cs="Calibri"/>
          <w:b/>
          <w:sz w:val="24"/>
          <w:szCs w:val="24"/>
        </w:rPr>
      </w:pPr>
      <w:bookmarkStart w:id="1" w:name="_GoBack"/>
      <w:bookmarkEnd w:id="1"/>
      <w:r w:rsidRPr="007B64CB">
        <w:rPr>
          <w:rFonts w:ascii="Calibri" w:hAnsi="Calibri" w:cs="Calibri"/>
          <w:b/>
          <w:sz w:val="24"/>
          <w:szCs w:val="24"/>
        </w:rPr>
        <w:t xml:space="preserve">Συνολικό κόστος: 1,21 δισ. ευρώ εκ των οποίων 669 εκατ. έκτακτα μέτρα αντιμετώπισης του ενεργειακού κόστους και 541 εκατ. η μόνιμη αύξηση της ενίσχυσης συνταξιούχων και της διεύρυνσης της επιστροφής ενοικίου. </w:t>
      </w:r>
    </w:p>
    <w:p w:rsidR="00596F08" w:rsidRPr="005C1210" w:rsidRDefault="00596F08" w:rsidP="00596F08"/>
    <w:p w:rsidR="009B49BB" w:rsidRPr="009B49BB" w:rsidRDefault="009B49BB" w:rsidP="002142AD">
      <w:pPr>
        <w:pStyle w:val="x1yc453h"/>
        <w:shd w:val="clear" w:color="auto" w:fill="FFFFFF"/>
        <w:spacing w:line="360" w:lineRule="auto"/>
        <w:jc w:val="both"/>
        <w:rPr>
          <w:rStyle w:val="a9"/>
          <w:rFonts w:ascii="Calibri" w:hAnsi="Calibri" w:cs="Calibri"/>
        </w:rPr>
      </w:pPr>
    </w:p>
    <w:bookmarkEnd w:id="0"/>
    <w:p w:rsidR="003221D0" w:rsidRPr="00596F08" w:rsidRDefault="003221D0" w:rsidP="008334B3">
      <w:pPr>
        <w:spacing w:line="360" w:lineRule="auto"/>
        <w:ind w:left="-142" w:right="-199"/>
        <w:jc w:val="right"/>
        <w:rPr>
          <w:rFonts w:ascii="Calibri" w:hAnsi="Calibri" w:cs="Calibri"/>
          <w:b/>
          <w:color w:val="000000" w:themeColor="text1"/>
          <w:sz w:val="24"/>
          <w:szCs w:val="24"/>
        </w:rPr>
      </w:pPr>
    </w:p>
    <w:p w:rsidR="00F42FC8" w:rsidRPr="008334B3" w:rsidRDefault="003A721E" w:rsidP="009B49BB">
      <w:pPr>
        <w:spacing w:line="360" w:lineRule="auto"/>
        <w:ind w:right="-199"/>
        <w:jc w:val="right"/>
        <w:rPr>
          <w:rFonts w:ascii="Calibri" w:hAnsi="Calibri" w:cs="Calibri"/>
          <w:b/>
          <w:color w:val="000000" w:themeColor="text1"/>
          <w:sz w:val="24"/>
          <w:szCs w:val="24"/>
        </w:rPr>
      </w:pPr>
      <w:r w:rsidRPr="008334B3">
        <w:rPr>
          <w:rFonts w:ascii="Calibri" w:hAnsi="Calibri" w:cs="Calibri"/>
          <w:b/>
          <w:color w:val="000000" w:themeColor="text1"/>
          <w:sz w:val="24"/>
          <w:szCs w:val="24"/>
        </w:rPr>
        <w:t>ΑΠΟ ΤΟ ΓΡΑΦΕΙΟ ΤΥΠΟΥ</w:t>
      </w:r>
    </w:p>
    <w:sectPr w:rsidR="00F42FC8" w:rsidRPr="008334B3" w:rsidSect="006E5857">
      <w:headerReference w:type="default" r:id="rId8"/>
      <w:headerReference w:type="first" r:id="rId9"/>
      <w:pgSz w:w="11906" w:h="16838" w:code="9"/>
      <w:pgMar w:top="1440" w:right="1800" w:bottom="1135" w:left="1800"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FB2" w:rsidRDefault="00E16FB2" w:rsidP="00903640">
      <w:pPr>
        <w:spacing w:after="0" w:line="240" w:lineRule="auto"/>
      </w:pPr>
      <w:r>
        <w:separator/>
      </w:r>
    </w:p>
  </w:endnote>
  <w:endnote w:type="continuationSeparator" w:id="0">
    <w:p w:rsidR="00E16FB2" w:rsidRDefault="00E16FB2" w:rsidP="00903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FB2" w:rsidRDefault="00E16FB2" w:rsidP="00903640">
      <w:pPr>
        <w:spacing w:after="0" w:line="240" w:lineRule="auto"/>
      </w:pPr>
      <w:r>
        <w:separator/>
      </w:r>
    </w:p>
  </w:footnote>
  <w:footnote w:type="continuationSeparator" w:id="0">
    <w:p w:rsidR="00E16FB2" w:rsidRDefault="00E16FB2" w:rsidP="00903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07F" w:rsidRDefault="0040507F" w:rsidP="00BC34EF">
    <w:pPr>
      <w:pStyle w:val="a3"/>
      <w:tabs>
        <w:tab w:val="clear" w:pos="8306"/>
      </w:tabs>
      <w:ind w:left="-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07F" w:rsidRDefault="0040507F" w:rsidP="009821BA">
    <w:pPr>
      <w:pStyle w:val="a3"/>
      <w:tabs>
        <w:tab w:val="clear" w:pos="4153"/>
        <w:tab w:val="clear" w:pos="8306"/>
        <w:tab w:val="left" w:pos="2694"/>
        <w:tab w:val="left" w:pos="4395"/>
        <w:tab w:val="center" w:pos="5245"/>
        <w:tab w:val="left" w:pos="5812"/>
        <w:tab w:val="left" w:pos="7088"/>
        <w:tab w:val="left" w:pos="7797"/>
      </w:tabs>
      <w:ind w:left="-567" w:right="-1656" w:firstLine="283"/>
    </w:pPr>
    <w:r>
      <w:rPr>
        <w:noProof/>
        <w:lang w:eastAsia="el-GR"/>
      </w:rPr>
      <w:drawing>
        <wp:anchor distT="0" distB="0" distL="114300" distR="114300" simplePos="0" relativeHeight="251658240" behindDoc="1" locked="0" layoutInCell="1" allowOverlap="1">
          <wp:simplePos x="0" y="0"/>
          <wp:positionH relativeFrom="column">
            <wp:posOffset>-1076182</wp:posOffset>
          </wp:positionH>
          <wp:positionV relativeFrom="paragraph">
            <wp:posOffset>0</wp:posOffset>
          </wp:positionV>
          <wp:extent cx="7467600" cy="1047750"/>
          <wp:effectExtent l="0" t="0" r="0" b="6350"/>
          <wp:wrapTight wrapText="bothSides">
            <wp:wrapPolygon edited="0">
              <wp:start x="0" y="0"/>
              <wp:lineTo x="0" y="21469"/>
              <wp:lineTo x="21563" y="21469"/>
              <wp:lineTo x="21563" y="0"/>
              <wp:lineTo x="0" y="0"/>
            </wp:wrapPolygon>
          </wp:wrapTight>
          <wp:docPr id="2" name="Εικόνα 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86345" name="Εικόνα 1" descr="Εικόνα που περιέχει κείμενο, γραμματοσειρά, λογότυπο, στιγμιότυπο οθόνης&#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b="19117"/>
                  <a:stretch/>
                </pic:blipFill>
                <pic:spPr bwMode="auto">
                  <a:xfrm>
                    <a:off x="0" y="0"/>
                    <a:ext cx="7467600" cy="1047750"/>
                  </a:xfrm>
                  <a:prstGeom prst="rect">
                    <a:avLst/>
                  </a:prstGeom>
                  <a:ln>
                    <a:noFill/>
                  </a:ln>
                  <a:extLst>
                    <a:ext uri="{53640926-AAD7-44D8-BBD7-CCE9431645EC}">
                      <a14:shadowObscured xmlns:a14="http://schemas.microsoft.com/office/drawing/2010/main"/>
                    </a:ext>
                  </a:extLst>
                </pic:spPr>
              </pic:pic>
            </a:graphicData>
          </a:graphic>
        </wp:anchor>
      </w:drawing>
    </w:r>
  </w:p>
  <w:p w:rsidR="0040507F" w:rsidRDefault="0040507F" w:rsidP="009821BA">
    <w:pPr>
      <w:pStyle w:val="a3"/>
      <w:tabs>
        <w:tab w:val="clear" w:pos="8306"/>
      </w:tabs>
      <w:ind w:left="-426" w:right="-1700" w:firstLine="1"/>
    </w:pPr>
  </w:p>
  <w:p w:rsidR="0040507F" w:rsidRDefault="0040507F" w:rsidP="00002D79">
    <w:pPr>
      <w:pStyle w:val="a3"/>
      <w:tabs>
        <w:tab w:val="clear" w:pos="8306"/>
      </w:tabs>
      <w:ind w:left="-426" w:right="-1759" w:firstLine="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0727"/>
    <w:multiLevelType w:val="multilevel"/>
    <w:tmpl w:val="4CBC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579D0"/>
    <w:multiLevelType w:val="multilevel"/>
    <w:tmpl w:val="069C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5A55A0"/>
    <w:multiLevelType w:val="hybridMultilevel"/>
    <w:tmpl w:val="62166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BB138A"/>
    <w:multiLevelType w:val="multilevel"/>
    <w:tmpl w:val="ADEE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82D0D"/>
    <w:multiLevelType w:val="hybridMultilevel"/>
    <w:tmpl w:val="E88E45E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5" w15:restartNumberingAfterBreak="0">
    <w:nsid w:val="17CE0193"/>
    <w:multiLevelType w:val="multilevel"/>
    <w:tmpl w:val="05BE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552FAE"/>
    <w:multiLevelType w:val="hybridMultilevel"/>
    <w:tmpl w:val="2BA4C1A2"/>
    <w:lvl w:ilvl="0" w:tplc="B75A7670">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330297A"/>
    <w:multiLevelType w:val="multilevel"/>
    <w:tmpl w:val="EE060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9C7C63"/>
    <w:multiLevelType w:val="hybridMultilevel"/>
    <w:tmpl w:val="8C620154"/>
    <w:styleLink w:val="ImportedStyle2"/>
    <w:lvl w:ilvl="0" w:tplc="4EEC24BC">
      <w:start w:val="1"/>
      <w:numFmt w:val="upp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rPr>
    </w:lvl>
    <w:lvl w:ilvl="1" w:tplc="B2A288B0">
      <w:start w:val="1"/>
      <w:numFmt w:val="upp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8669904">
      <w:start w:val="1"/>
      <w:numFmt w:val="decimal"/>
      <w:lvlText w:val="%3."/>
      <w:lvlJc w:val="left"/>
      <w:pPr>
        <w:ind w:left="2160" w:hanging="360"/>
      </w:pPr>
      <w:rPr>
        <w:rFonts w:hAnsi="Arial Unicode MS"/>
        <w:b/>
        <w:bCs/>
        <w:caps w:val="0"/>
        <w:smallCaps w:val="0"/>
        <w:strike w:val="0"/>
        <w:dstrike w:val="0"/>
        <w:color w:val="000000"/>
        <w:spacing w:val="0"/>
        <w:w w:val="100"/>
        <w:kern w:val="0"/>
        <w:position w:val="0"/>
        <w:highlight w:val="none"/>
        <w:vertAlign w:val="baseline"/>
      </w:rPr>
    </w:lvl>
    <w:lvl w:ilvl="3" w:tplc="A6DCAE76">
      <w:start w:val="1"/>
      <w:numFmt w:val="lowerLetter"/>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440C00C">
      <w:start w:val="1"/>
      <w:numFmt w:val="decimal"/>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3C226EF8">
      <w:start w:val="1"/>
      <w:numFmt w:val="lowerLetter"/>
      <w:lvlText w:val="(%6)"/>
      <w:lvlJc w:val="left"/>
      <w:pPr>
        <w:ind w:left="4320" w:hanging="360"/>
      </w:pPr>
      <w:rPr>
        <w:rFonts w:hAnsi="Arial Unicode MS"/>
        <w:b/>
        <w:bCs/>
        <w:caps w:val="0"/>
        <w:smallCaps w:val="0"/>
        <w:strike w:val="0"/>
        <w:dstrike w:val="0"/>
        <w:color w:val="000000"/>
        <w:spacing w:val="0"/>
        <w:w w:val="100"/>
        <w:kern w:val="0"/>
        <w:position w:val="0"/>
        <w:highlight w:val="none"/>
        <w:vertAlign w:val="baseline"/>
      </w:rPr>
    </w:lvl>
    <w:lvl w:ilvl="6" w:tplc="B12434DE">
      <w:start w:val="1"/>
      <w:numFmt w:val="lowerRoman"/>
      <w:lvlText w:val="(%7)"/>
      <w:lvlJc w:val="left"/>
      <w:pPr>
        <w:ind w:left="5040" w:hanging="482"/>
      </w:pPr>
      <w:rPr>
        <w:rFonts w:hAnsi="Arial Unicode MS"/>
        <w:b/>
        <w:bCs/>
        <w:caps w:val="0"/>
        <w:smallCaps w:val="0"/>
        <w:strike w:val="0"/>
        <w:dstrike w:val="0"/>
        <w:color w:val="000000"/>
        <w:spacing w:val="0"/>
        <w:w w:val="100"/>
        <w:kern w:val="0"/>
        <w:position w:val="0"/>
        <w:highlight w:val="none"/>
        <w:vertAlign w:val="baseline"/>
      </w:rPr>
    </w:lvl>
    <w:lvl w:ilvl="7" w:tplc="815C4CDA">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A79EDF0E">
      <w:start w:val="1"/>
      <w:numFmt w:val="lowerRoman"/>
      <w:lvlText w:val="(%9)"/>
      <w:lvlJc w:val="left"/>
      <w:pPr>
        <w:ind w:left="6480" w:hanging="482"/>
      </w:pPr>
      <w:rPr>
        <w:rFonts w:hAnsi="Arial Unicode MS"/>
        <w:b/>
        <w:bCs/>
        <w:caps w:val="0"/>
        <w:smallCaps w:val="0"/>
        <w:strike w:val="0"/>
        <w:dstrike w:val="0"/>
        <w:color w:val="000000"/>
        <w:spacing w:val="0"/>
        <w:w w:val="100"/>
        <w:kern w:val="0"/>
        <w:position w:val="0"/>
        <w:highlight w:val="none"/>
        <w:vertAlign w:val="baseline"/>
      </w:rPr>
    </w:lvl>
  </w:abstractNum>
  <w:abstractNum w:abstractNumId="9" w15:restartNumberingAfterBreak="0">
    <w:nsid w:val="26333284"/>
    <w:multiLevelType w:val="hybridMultilevel"/>
    <w:tmpl w:val="4D4A7B7E"/>
    <w:styleLink w:val="ImportedStyle1"/>
    <w:lvl w:ilvl="0" w:tplc="08260D7A">
      <w:start w:val="1"/>
      <w:numFmt w:val="bullet"/>
      <w:lvlText w:val="-"/>
      <w:lvlJc w:val="left"/>
      <w:pPr>
        <w:ind w:left="714" w:hanging="357"/>
      </w:pPr>
      <w:rPr>
        <w:rFonts w:hAnsi="Arial Unicode MS"/>
        <w:caps w:val="0"/>
        <w:smallCaps w:val="0"/>
        <w:strike w:val="0"/>
        <w:dstrike w:val="0"/>
        <w:color w:val="000000"/>
        <w:spacing w:val="0"/>
        <w:w w:val="100"/>
        <w:kern w:val="0"/>
        <w:position w:val="0"/>
        <w:highlight w:val="none"/>
        <w:vertAlign w:val="baseline"/>
      </w:rPr>
    </w:lvl>
    <w:lvl w:ilvl="1" w:tplc="43D81306">
      <w:start w:val="1"/>
      <w:numFmt w:val="bullet"/>
      <w:lvlText w:val="-"/>
      <w:lvlJc w:val="left"/>
      <w:pPr>
        <w:ind w:left="1434" w:hanging="357"/>
      </w:pPr>
      <w:rPr>
        <w:rFonts w:hAnsi="Arial Unicode MS"/>
        <w:caps w:val="0"/>
        <w:smallCaps w:val="0"/>
        <w:strike w:val="0"/>
        <w:dstrike w:val="0"/>
        <w:color w:val="000000"/>
        <w:spacing w:val="0"/>
        <w:w w:val="100"/>
        <w:kern w:val="0"/>
        <w:position w:val="0"/>
        <w:highlight w:val="none"/>
        <w:vertAlign w:val="baseline"/>
      </w:rPr>
    </w:lvl>
    <w:lvl w:ilvl="2" w:tplc="3E2EC80C">
      <w:start w:val="1"/>
      <w:numFmt w:val="bullet"/>
      <w:lvlText w:val="-"/>
      <w:lvlJc w:val="left"/>
      <w:pPr>
        <w:ind w:left="2154" w:hanging="357"/>
      </w:pPr>
      <w:rPr>
        <w:rFonts w:hAnsi="Arial Unicode MS"/>
        <w:caps w:val="0"/>
        <w:smallCaps w:val="0"/>
        <w:strike w:val="0"/>
        <w:dstrike w:val="0"/>
        <w:color w:val="000000"/>
        <w:spacing w:val="0"/>
        <w:w w:val="100"/>
        <w:kern w:val="0"/>
        <w:position w:val="0"/>
        <w:highlight w:val="none"/>
        <w:vertAlign w:val="baseline"/>
      </w:rPr>
    </w:lvl>
    <w:lvl w:ilvl="3" w:tplc="236891BC">
      <w:start w:val="1"/>
      <w:numFmt w:val="bullet"/>
      <w:lvlText w:val="-"/>
      <w:lvlJc w:val="left"/>
      <w:pPr>
        <w:ind w:left="2874" w:hanging="357"/>
      </w:pPr>
      <w:rPr>
        <w:rFonts w:hAnsi="Arial Unicode MS"/>
        <w:caps w:val="0"/>
        <w:smallCaps w:val="0"/>
        <w:strike w:val="0"/>
        <w:dstrike w:val="0"/>
        <w:color w:val="000000"/>
        <w:spacing w:val="0"/>
        <w:w w:val="100"/>
        <w:kern w:val="0"/>
        <w:position w:val="0"/>
        <w:highlight w:val="none"/>
        <w:vertAlign w:val="baseline"/>
      </w:rPr>
    </w:lvl>
    <w:lvl w:ilvl="4" w:tplc="5DAAB140">
      <w:start w:val="1"/>
      <w:numFmt w:val="bullet"/>
      <w:lvlText w:val="-"/>
      <w:lvlJc w:val="left"/>
      <w:pPr>
        <w:ind w:left="3594" w:hanging="357"/>
      </w:pPr>
      <w:rPr>
        <w:rFonts w:hAnsi="Arial Unicode MS"/>
        <w:caps w:val="0"/>
        <w:smallCaps w:val="0"/>
        <w:strike w:val="0"/>
        <w:dstrike w:val="0"/>
        <w:color w:val="000000"/>
        <w:spacing w:val="0"/>
        <w:w w:val="100"/>
        <w:kern w:val="0"/>
        <w:position w:val="0"/>
        <w:highlight w:val="none"/>
        <w:vertAlign w:val="baseline"/>
      </w:rPr>
    </w:lvl>
    <w:lvl w:ilvl="5" w:tplc="6318EB94">
      <w:start w:val="1"/>
      <w:numFmt w:val="bullet"/>
      <w:lvlText w:val="-"/>
      <w:lvlJc w:val="left"/>
      <w:pPr>
        <w:ind w:left="4314" w:hanging="357"/>
      </w:pPr>
      <w:rPr>
        <w:rFonts w:hAnsi="Arial Unicode MS"/>
        <w:caps w:val="0"/>
        <w:smallCaps w:val="0"/>
        <w:strike w:val="0"/>
        <w:dstrike w:val="0"/>
        <w:color w:val="000000"/>
        <w:spacing w:val="0"/>
        <w:w w:val="100"/>
        <w:kern w:val="0"/>
        <w:position w:val="0"/>
        <w:highlight w:val="none"/>
        <w:vertAlign w:val="baseline"/>
      </w:rPr>
    </w:lvl>
    <w:lvl w:ilvl="6" w:tplc="2DF6B6C0">
      <w:start w:val="1"/>
      <w:numFmt w:val="bullet"/>
      <w:lvlText w:val="-"/>
      <w:lvlJc w:val="left"/>
      <w:pPr>
        <w:ind w:left="5034" w:hanging="357"/>
      </w:pPr>
      <w:rPr>
        <w:rFonts w:hAnsi="Arial Unicode MS"/>
        <w:caps w:val="0"/>
        <w:smallCaps w:val="0"/>
        <w:strike w:val="0"/>
        <w:dstrike w:val="0"/>
        <w:color w:val="000000"/>
        <w:spacing w:val="0"/>
        <w:w w:val="100"/>
        <w:kern w:val="0"/>
        <w:position w:val="0"/>
        <w:highlight w:val="none"/>
        <w:vertAlign w:val="baseline"/>
      </w:rPr>
    </w:lvl>
    <w:lvl w:ilvl="7" w:tplc="70003F32">
      <w:start w:val="1"/>
      <w:numFmt w:val="bullet"/>
      <w:lvlText w:val="-"/>
      <w:lvlJc w:val="left"/>
      <w:pPr>
        <w:ind w:left="5754" w:hanging="357"/>
      </w:pPr>
      <w:rPr>
        <w:rFonts w:hAnsi="Arial Unicode MS"/>
        <w:caps w:val="0"/>
        <w:smallCaps w:val="0"/>
        <w:strike w:val="0"/>
        <w:dstrike w:val="0"/>
        <w:color w:val="000000"/>
        <w:spacing w:val="0"/>
        <w:w w:val="100"/>
        <w:kern w:val="0"/>
        <w:position w:val="0"/>
        <w:highlight w:val="none"/>
        <w:vertAlign w:val="baseline"/>
      </w:rPr>
    </w:lvl>
    <w:lvl w:ilvl="8" w:tplc="DEDA0DB0">
      <w:start w:val="1"/>
      <w:numFmt w:val="bullet"/>
      <w:lvlText w:val="-"/>
      <w:lvlJc w:val="left"/>
      <w:pPr>
        <w:ind w:left="6474" w:hanging="357"/>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3E1A25B8"/>
    <w:multiLevelType w:val="multilevel"/>
    <w:tmpl w:val="A104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D411F1"/>
    <w:multiLevelType w:val="hybridMultilevel"/>
    <w:tmpl w:val="1D965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0B5DC8"/>
    <w:multiLevelType w:val="hybridMultilevel"/>
    <w:tmpl w:val="4EEC0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1A327AA"/>
    <w:multiLevelType w:val="hybridMultilevel"/>
    <w:tmpl w:val="D53CFFEE"/>
    <w:styleLink w:val="ImportedStyle5"/>
    <w:lvl w:ilvl="0" w:tplc="DB9478E2">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85CDA88">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7CA7D1C">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02D608A6">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7A6CC98">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2DE723E">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31C6C43A">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466A2C0">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E564890">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9513CFA"/>
    <w:multiLevelType w:val="hybridMultilevel"/>
    <w:tmpl w:val="A82874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D7B77A5"/>
    <w:multiLevelType w:val="hybridMultilevel"/>
    <w:tmpl w:val="A822A2CE"/>
    <w:styleLink w:val="ImportedStyle4"/>
    <w:lvl w:ilvl="0" w:tplc="601A41BC">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2EB67B9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2F7873D6">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79C8613E">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1D8AFDE">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F9A9530">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D78E0F52">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4580896">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BA90DACC">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6A71478C"/>
    <w:multiLevelType w:val="multilevel"/>
    <w:tmpl w:val="326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E4390F"/>
    <w:multiLevelType w:val="hybridMultilevel"/>
    <w:tmpl w:val="B906BA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06770B7"/>
    <w:multiLevelType w:val="multilevel"/>
    <w:tmpl w:val="CA9A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793F43"/>
    <w:multiLevelType w:val="hybridMultilevel"/>
    <w:tmpl w:val="4D703C7E"/>
    <w:styleLink w:val="ImportedStyle3"/>
    <w:lvl w:ilvl="0" w:tplc="18C82B6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B14C44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620E50A8">
      <w:start w:val="1"/>
      <w:numFmt w:val="lowerRoman"/>
      <w:lvlText w:val="%3."/>
      <w:lvlJc w:val="left"/>
      <w:pPr>
        <w:ind w:left="2160" w:hanging="482"/>
      </w:pPr>
      <w:rPr>
        <w:rFonts w:hAnsi="Arial Unicode MS"/>
        <w:caps w:val="0"/>
        <w:smallCaps w:val="0"/>
        <w:strike w:val="0"/>
        <w:dstrike w:val="0"/>
        <w:color w:val="000000"/>
        <w:spacing w:val="0"/>
        <w:w w:val="100"/>
        <w:kern w:val="0"/>
        <w:position w:val="0"/>
        <w:highlight w:val="none"/>
        <w:vertAlign w:val="baseline"/>
      </w:rPr>
    </w:lvl>
    <w:lvl w:ilvl="3" w:tplc="92FC4BB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6BECFE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FD368968">
      <w:start w:val="1"/>
      <w:numFmt w:val="lowerRoman"/>
      <w:lvlText w:val="%6."/>
      <w:lvlJc w:val="left"/>
      <w:pPr>
        <w:ind w:left="4320" w:hanging="482"/>
      </w:pPr>
      <w:rPr>
        <w:rFonts w:hAnsi="Arial Unicode MS"/>
        <w:caps w:val="0"/>
        <w:smallCaps w:val="0"/>
        <w:strike w:val="0"/>
        <w:dstrike w:val="0"/>
        <w:color w:val="000000"/>
        <w:spacing w:val="0"/>
        <w:w w:val="100"/>
        <w:kern w:val="0"/>
        <w:position w:val="0"/>
        <w:highlight w:val="none"/>
        <w:vertAlign w:val="baseline"/>
      </w:rPr>
    </w:lvl>
    <w:lvl w:ilvl="6" w:tplc="BD04C9E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32EB2C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F9C9212">
      <w:start w:val="1"/>
      <w:numFmt w:val="lowerRoman"/>
      <w:lvlText w:val="%9."/>
      <w:lvlJc w:val="left"/>
      <w:pPr>
        <w:ind w:left="6480" w:hanging="482"/>
      </w:pPr>
      <w:rPr>
        <w:rFonts w:hAnsi="Arial Unicode MS"/>
        <w:caps w:val="0"/>
        <w:smallCaps w:val="0"/>
        <w:strike w:val="0"/>
        <w:dstrike w:val="0"/>
        <w:color w:val="000000"/>
        <w:spacing w:val="0"/>
        <w:w w:val="100"/>
        <w:kern w:val="0"/>
        <w:position w:val="0"/>
        <w:highlight w:val="none"/>
        <w:vertAlign w:val="baseline"/>
      </w:rPr>
    </w:lvl>
  </w:abstractNum>
  <w:num w:numId="1">
    <w:abstractNumId w:val="9"/>
  </w:num>
  <w:num w:numId="2">
    <w:abstractNumId w:val="8"/>
  </w:num>
  <w:num w:numId="3">
    <w:abstractNumId w:val="19"/>
  </w:num>
  <w:num w:numId="4">
    <w:abstractNumId w:val="15"/>
  </w:num>
  <w:num w:numId="5">
    <w:abstractNumId w:val="13"/>
  </w:num>
  <w:num w:numId="6">
    <w:abstractNumId w:val="16"/>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4"/>
  </w:num>
  <w:num w:numId="11">
    <w:abstractNumId w:val="1"/>
  </w:num>
  <w:num w:numId="12">
    <w:abstractNumId w:val="18"/>
  </w:num>
  <w:num w:numId="13">
    <w:abstractNumId w:val="12"/>
  </w:num>
  <w:num w:numId="14">
    <w:abstractNumId w:val="10"/>
  </w:num>
  <w:num w:numId="15">
    <w:abstractNumId w:val="2"/>
  </w:num>
  <w:num w:numId="16">
    <w:abstractNumId w:val="6"/>
  </w:num>
  <w:num w:numId="17">
    <w:abstractNumId w:val="0"/>
  </w:num>
  <w:num w:numId="18">
    <w:abstractNumId w:val="17"/>
  </w:num>
  <w:num w:numId="19">
    <w:abstractNumId w:val="14"/>
  </w:num>
  <w:num w:numId="2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F5"/>
    <w:rsid w:val="000009C2"/>
    <w:rsid w:val="00002D79"/>
    <w:rsid w:val="00002F5F"/>
    <w:rsid w:val="00004CD8"/>
    <w:rsid w:val="00006641"/>
    <w:rsid w:val="00007731"/>
    <w:rsid w:val="000077AA"/>
    <w:rsid w:val="000101FF"/>
    <w:rsid w:val="000113C7"/>
    <w:rsid w:val="00015162"/>
    <w:rsid w:val="000163E3"/>
    <w:rsid w:val="000171E5"/>
    <w:rsid w:val="00021C53"/>
    <w:rsid w:val="00024FE7"/>
    <w:rsid w:val="000252E3"/>
    <w:rsid w:val="0002677B"/>
    <w:rsid w:val="000277D9"/>
    <w:rsid w:val="00031145"/>
    <w:rsid w:val="00031C70"/>
    <w:rsid w:val="00031C94"/>
    <w:rsid w:val="000357B9"/>
    <w:rsid w:val="000451F5"/>
    <w:rsid w:val="00045394"/>
    <w:rsid w:val="00050FE3"/>
    <w:rsid w:val="00052BB2"/>
    <w:rsid w:val="000533C9"/>
    <w:rsid w:val="00055DA0"/>
    <w:rsid w:val="00061719"/>
    <w:rsid w:val="0006291F"/>
    <w:rsid w:val="00065D43"/>
    <w:rsid w:val="00071E27"/>
    <w:rsid w:val="000763C0"/>
    <w:rsid w:val="00076DE4"/>
    <w:rsid w:val="0007735C"/>
    <w:rsid w:val="0007749E"/>
    <w:rsid w:val="0008047D"/>
    <w:rsid w:val="000805FC"/>
    <w:rsid w:val="00080E3B"/>
    <w:rsid w:val="000839B1"/>
    <w:rsid w:val="000850E3"/>
    <w:rsid w:val="00086EA7"/>
    <w:rsid w:val="000875B2"/>
    <w:rsid w:val="00087645"/>
    <w:rsid w:val="000909AF"/>
    <w:rsid w:val="000909FC"/>
    <w:rsid w:val="00091E70"/>
    <w:rsid w:val="0009268B"/>
    <w:rsid w:val="00093AF8"/>
    <w:rsid w:val="00094390"/>
    <w:rsid w:val="00094AF5"/>
    <w:rsid w:val="00097062"/>
    <w:rsid w:val="000A0352"/>
    <w:rsid w:val="000A039C"/>
    <w:rsid w:val="000A0B60"/>
    <w:rsid w:val="000A485B"/>
    <w:rsid w:val="000B0961"/>
    <w:rsid w:val="000B21ED"/>
    <w:rsid w:val="000B2594"/>
    <w:rsid w:val="000B2A4D"/>
    <w:rsid w:val="000B3203"/>
    <w:rsid w:val="000B45CE"/>
    <w:rsid w:val="000B4F7D"/>
    <w:rsid w:val="000C1986"/>
    <w:rsid w:val="000C25EA"/>
    <w:rsid w:val="000C2F6B"/>
    <w:rsid w:val="000C3FBE"/>
    <w:rsid w:val="000D3859"/>
    <w:rsid w:val="000D41B8"/>
    <w:rsid w:val="000E1E8C"/>
    <w:rsid w:val="000E2108"/>
    <w:rsid w:val="000E4FEC"/>
    <w:rsid w:val="000E5C1F"/>
    <w:rsid w:val="000E6ED3"/>
    <w:rsid w:val="000E708B"/>
    <w:rsid w:val="000E7BBE"/>
    <w:rsid w:val="000E7C75"/>
    <w:rsid w:val="000E7F0B"/>
    <w:rsid w:val="000F1B25"/>
    <w:rsid w:val="000F35C8"/>
    <w:rsid w:val="000F39A5"/>
    <w:rsid w:val="000F45EC"/>
    <w:rsid w:val="000F4B4B"/>
    <w:rsid w:val="000F5F84"/>
    <w:rsid w:val="000F6B50"/>
    <w:rsid w:val="001040B1"/>
    <w:rsid w:val="00104719"/>
    <w:rsid w:val="0010559B"/>
    <w:rsid w:val="001065A0"/>
    <w:rsid w:val="0011444E"/>
    <w:rsid w:val="00115500"/>
    <w:rsid w:val="0011558F"/>
    <w:rsid w:val="00122151"/>
    <w:rsid w:val="00122BBF"/>
    <w:rsid w:val="0012335C"/>
    <w:rsid w:val="00123E63"/>
    <w:rsid w:val="00124EFC"/>
    <w:rsid w:val="00125921"/>
    <w:rsid w:val="00127C68"/>
    <w:rsid w:val="0013071D"/>
    <w:rsid w:val="00130785"/>
    <w:rsid w:val="00130E64"/>
    <w:rsid w:val="001311A1"/>
    <w:rsid w:val="00131B03"/>
    <w:rsid w:val="00133CD0"/>
    <w:rsid w:val="001350C9"/>
    <w:rsid w:val="001416A0"/>
    <w:rsid w:val="001439A2"/>
    <w:rsid w:val="00143DF8"/>
    <w:rsid w:val="00144000"/>
    <w:rsid w:val="001440E1"/>
    <w:rsid w:val="00146D35"/>
    <w:rsid w:val="00151906"/>
    <w:rsid w:val="0015333C"/>
    <w:rsid w:val="00154080"/>
    <w:rsid w:val="00154711"/>
    <w:rsid w:val="00157FD9"/>
    <w:rsid w:val="00160C71"/>
    <w:rsid w:val="00163109"/>
    <w:rsid w:val="0016353D"/>
    <w:rsid w:val="00165AEC"/>
    <w:rsid w:val="00166D97"/>
    <w:rsid w:val="00167CAA"/>
    <w:rsid w:val="00171904"/>
    <w:rsid w:val="00171B5B"/>
    <w:rsid w:val="001726CD"/>
    <w:rsid w:val="00173D5F"/>
    <w:rsid w:val="0017447C"/>
    <w:rsid w:val="00175960"/>
    <w:rsid w:val="00175D0D"/>
    <w:rsid w:val="00177BD9"/>
    <w:rsid w:val="0018031E"/>
    <w:rsid w:val="001817D4"/>
    <w:rsid w:val="001830E8"/>
    <w:rsid w:val="001841CE"/>
    <w:rsid w:val="00185C5B"/>
    <w:rsid w:val="00186768"/>
    <w:rsid w:val="0018720C"/>
    <w:rsid w:val="0019691D"/>
    <w:rsid w:val="00197A20"/>
    <w:rsid w:val="001A0FB7"/>
    <w:rsid w:val="001A3539"/>
    <w:rsid w:val="001A389C"/>
    <w:rsid w:val="001A4252"/>
    <w:rsid w:val="001A536F"/>
    <w:rsid w:val="001A5622"/>
    <w:rsid w:val="001A58FA"/>
    <w:rsid w:val="001A756B"/>
    <w:rsid w:val="001B10B1"/>
    <w:rsid w:val="001B228A"/>
    <w:rsid w:val="001B2D03"/>
    <w:rsid w:val="001B55E6"/>
    <w:rsid w:val="001B67B9"/>
    <w:rsid w:val="001B6A1B"/>
    <w:rsid w:val="001B6FE7"/>
    <w:rsid w:val="001B729F"/>
    <w:rsid w:val="001C0047"/>
    <w:rsid w:val="001C0C83"/>
    <w:rsid w:val="001C36FC"/>
    <w:rsid w:val="001C373D"/>
    <w:rsid w:val="001C3DA3"/>
    <w:rsid w:val="001C6016"/>
    <w:rsid w:val="001C68C2"/>
    <w:rsid w:val="001C7F06"/>
    <w:rsid w:val="001D1CF9"/>
    <w:rsid w:val="001D2175"/>
    <w:rsid w:val="001D224B"/>
    <w:rsid w:val="001D4A57"/>
    <w:rsid w:val="001D4AEA"/>
    <w:rsid w:val="001E21DC"/>
    <w:rsid w:val="001E46B5"/>
    <w:rsid w:val="001E545F"/>
    <w:rsid w:val="001E75BD"/>
    <w:rsid w:val="001E7A4B"/>
    <w:rsid w:val="001F1042"/>
    <w:rsid w:val="001F269B"/>
    <w:rsid w:val="001F433B"/>
    <w:rsid w:val="001F4C65"/>
    <w:rsid w:val="001F4F4A"/>
    <w:rsid w:val="001F60E1"/>
    <w:rsid w:val="001F73B8"/>
    <w:rsid w:val="001F7D90"/>
    <w:rsid w:val="001F7F6A"/>
    <w:rsid w:val="00200666"/>
    <w:rsid w:val="00201A9B"/>
    <w:rsid w:val="00203219"/>
    <w:rsid w:val="00203682"/>
    <w:rsid w:val="00204E24"/>
    <w:rsid w:val="0020542B"/>
    <w:rsid w:val="0021241B"/>
    <w:rsid w:val="00212628"/>
    <w:rsid w:val="002142AD"/>
    <w:rsid w:val="00214789"/>
    <w:rsid w:val="002149A6"/>
    <w:rsid w:val="0021509F"/>
    <w:rsid w:val="002151BC"/>
    <w:rsid w:val="0021609D"/>
    <w:rsid w:val="00217D4C"/>
    <w:rsid w:val="00217F5F"/>
    <w:rsid w:val="00220B0A"/>
    <w:rsid w:val="00221DFB"/>
    <w:rsid w:val="0022452A"/>
    <w:rsid w:val="002245F3"/>
    <w:rsid w:val="00225D9B"/>
    <w:rsid w:val="00227E2B"/>
    <w:rsid w:val="0023041C"/>
    <w:rsid w:val="00231ACD"/>
    <w:rsid w:val="00232FD4"/>
    <w:rsid w:val="00237176"/>
    <w:rsid w:val="00241FFD"/>
    <w:rsid w:val="0024212C"/>
    <w:rsid w:val="002432A7"/>
    <w:rsid w:val="00243C6C"/>
    <w:rsid w:val="00250472"/>
    <w:rsid w:val="00250CB8"/>
    <w:rsid w:val="002519E2"/>
    <w:rsid w:val="00252C5C"/>
    <w:rsid w:val="00255A09"/>
    <w:rsid w:val="00255BED"/>
    <w:rsid w:val="00256845"/>
    <w:rsid w:val="0025768A"/>
    <w:rsid w:val="002619C4"/>
    <w:rsid w:val="0026307E"/>
    <w:rsid w:val="002642A0"/>
    <w:rsid w:val="0026513E"/>
    <w:rsid w:val="0026550D"/>
    <w:rsid w:val="00265F29"/>
    <w:rsid w:val="00266A9D"/>
    <w:rsid w:val="00266F29"/>
    <w:rsid w:val="0027115B"/>
    <w:rsid w:val="00273F18"/>
    <w:rsid w:val="00276158"/>
    <w:rsid w:val="00277C60"/>
    <w:rsid w:val="00277D76"/>
    <w:rsid w:val="002819B6"/>
    <w:rsid w:val="00283222"/>
    <w:rsid w:val="00283505"/>
    <w:rsid w:val="002858AE"/>
    <w:rsid w:val="002868EB"/>
    <w:rsid w:val="00292441"/>
    <w:rsid w:val="00292C58"/>
    <w:rsid w:val="0029327A"/>
    <w:rsid w:val="00293612"/>
    <w:rsid w:val="002944AF"/>
    <w:rsid w:val="00294694"/>
    <w:rsid w:val="0029544D"/>
    <w:rsid w:val="002954E3"/>
    <w:rsid w:val="002957CC"/>
    <w:rsid w:val="00295866"/>
    <w:rsid w:val="00296258"/>
    <w:rsid w:val="002A012A"/>
    <w:rsid w:val="002A01A6"/>
    <w:rsid w:val="002A081C"/>
    <w:rsid w:val="002A1546"/>
    <w:rsid w:val="002A1873"/>
    <w:rsid w:val="002A1B5B"/>
    <w:rsid w:val="002A4CBF"/>
    <w:rsid w:val="002A530E"/>
    <w:rsid w:val="002A564F"/>
    <w:rsid w:val="002B08B0"/>
    <w:rsid w:val="002B0EDF"/>
    <w:rsid w:val="002B1C99"/>
    <w:rsid w:val="002B4382"/>
    <w:rsid w:val="002B6742"/>
    <w:rsid w:val="002B7F6E"/>
    <w:rsid w:val="002C17A3"/>
    <w:rsid w:val="002C1AC1"/>
    <w:rsid w:val="002C1EAD"/>
    <w:rsid w:val="002C1EE4"/>
    <w:rsid w:val="002C1FD7"/>
    <w:rsid w:val="002C2706"/>
    <w:rsid w:val="002C66B8"/>
    <w:rsid w:val="002C6B42"/>
    <w:rsid w:val="002D0B37"/>
    <w:rsid w:val="002D4607"/>
    <w:rsid w:val="002D5EDF"/>
    <w:rsid w:val="002D6719"/>
    <w:rsid w:val="002E15E3"/>
    <w:rsid w:val="002E184A"/>
    <w:rsid w:val="002E2D9A"/>
    <w:rsid w:val="002E3881"/>
    <w:rsid w:val="002E3D02"/>
    <w:rsid w:val="002E6E16"/>
    <w:rsid w:val="002F1367"/>
    <w:rsid w:val="002F1397"/>
    <w:rsid w:val="002F1485"/>
    <w:rsid w:val="002F1D63"/>
    <w:rsid w:val="002F1DB9"/>
    <w:rsid w:val="002F64F5"/>
    <w:rsid w:val="002F6575"/>
    <w:rsid w:val="002F7042"/>
    <w:rsid w:val="00300D28"/>
    <w:rsid w:val="003018F2"/>
    <w:rsid w:val="00301CAF"/>
    <w:rsid w:val="00302463"/>
    <w:rsid w:val="00303F5F"/>
    <w:rsid w:val="00304953"/>
    <w:rsid w:val="003054B7"/>
    <w:rsid w:val="0030570D"/>
    <w:rsid w:val="00306A53"/>
    <w:rsid w:val="0030796E"/>
    <w:rsid w:val="0031059F"/>
    <w:rsid w:val="003106D8"/>
    <w:rsid w:val="003120F9"/>
    <w:rsid w:val="003124A9"/>
    <w:rsid w:val="00313A16"/>
    <w:rsid w:val="00314F65"/>
    <w:rsid w:val="00315FFF"/>
    <w:rsid w:val="0031648F"/>
    <w:rsid w:val="00316DA0"/>
    <w:rsid w:val="00320E8A"/>
    <w:rsid w:val="00320F52"/>
    <w:rsid w:val="00321DC6"/>
    <w:rsid w:val="003221D0"/>
    <w:rsid w:val="00322249"/>
    <w:rsid w:val="00325E16"/>
    <w:rsid w:val="003261AC"/>
    <w:rsid w:val="0032653D"/>
    <w:rsid w:val="00326BAF"/>
    <w:rsid w:val="00327093"/>
    <w:rsid w:val="003277C6"/>
    <w:rsid w:val="00332ED9"/>
    <w:rsid w:val="00336D64"/>
    <w:rsid w:val="00345E87"/>
    <w:rsid w:val="00346346"/>
    <w:rsid w:val="00352E42"/>
    <w:rsid w:val="00352F42"/>
    <w:rsid w:val="00355182"/>
    <w:rsid w:val="00355203"/>
    <w:rsid w:val="00355419"/>
    <w:rsid w:val="003571C7"/>
    <w:rsid w:val="00357260"/>
    <w:rsid w:val="00361FB6"/>
    <w:rsid w:val="00362843"/>
    <w:rsid w:val="0036367F"/>
    <w:rsid w:val="003658C1"/>
    <w:rsid w:val="00367235"/>
    <w:rsid w:val="0037311F"/>
    <w:rsid w:val="00373BCB"/>
    <w:rsid w:val="00373FB0"/>
    <w:rsid w:val="003742A7"/>
    <w:rsid w:val="00377453"/>
    <w:rsid w:val="0038120A"/>
    <w:rsid w:val="003814D6"/>
    <w:rsid w:val="003823B3"/>
    <w:rsid w:val="003831B0"/>
    <w:rsid w:val="003841DC"/>
    <w:rsid w:val="00385BF0"/>
    <w:rsid w:val="0038689C"/>
    <w:rsid w:val="003903B1"/>
    <w:rsid w:val="00390524"/>
    <w:rsid w:val="00390CBF"/>
    <w:rsid w:val="00390FA0"/>
    <w:rsid w:val="003911E3"/>
    <w:rsid w:val="003A11B2"/>
    <w:rsid w:val="003A32B0"/>
    <w:rsid w:val="003A33C6"/>
    <w:rsid w:val="003A421A"/>
    <w:rsid w:val="003A4D5E"/>
    <w:rsid w:val="003A61AD"/>
    <w:rsid w:val="003A721E"/>
    <w:rsid w:val="003B1104"/>
    <w:rsid w:val="003B12EA"/>
    <w:rsid w:val="003B1A50"/>
    <w:rsid w:val="003B2729"/>
    <w:rsid w:val="003B6024"/>
    <w:rsid w:val="003B78B7"/>
    <w:rsid w:val="003B7D89"/>
    <w:rsid w:val="003C1FB4"/>
    <w:rsid w:val="003C2A0A"/>
    <w:rsid w:val="003C32D1"/>
    <w:rsid w:val="003C53E2"/>
    <w:rsid w:val="003D3509"/>
    <w:rsid w:val="003D4E11"/>
    <w:rsid w:val="003D6EC6"/>
    <w:rsid w:val="003D74BC"/>
    <w:rsid w:val="003E086E"/>
    <w:rsid w:val="003E1794"/>
    <w:rsid w:val="003E43E4"/>
    <w:rsid w:val="003E66EA"/>
    <w:rsid w:val="003F0E62"/>
    <w:rsid w:val="003F17D0"/>
    <w:rsid w:val="003F1A7B"/>
    <w:rsid w:val="003F20A8"/>
    <w:rsid w:val="003F3231"/>
    <w:rsid w:val="00400627"/>
    <w:rsid w:val="004018EB"/>
    <w:rsid w:val="0040507F"/>
    <w:rsid w:val="0040559F"/>
    <w:rsid w:val="00406143"/>
    <w:rsid w:val="00406D83"/>
    <w:rsid w:val="004074B6"/>
    <w:rsid w:val="0041033A"/>
    <w:rsid w:val="00410E74"/>
    <w:rsid w:val="00411D98"/>
    <w:rsid w:val="00416A51"/>
    <w:rsid w:val="00421E1D"/>
    <w:rsid w:val="0042302E"/>
    <w:rsid w:val="004231D6"/>
    <w:rsid w:val="004232AC"/>
    <w:rsid w:val="00425268"/>
    <w:rsid w:val="00427FC4"/>
    <w:rsid w:val="004300CC"/>
    <w:rsid w:val="004303F3"/>
    <w:rsid w:val="00431A45"/>
    <w:rsid w:val="00432574"/>
    <w:rsid w:val="00432C62"/>
    <w:rsid w:val="004331D8"/>
    <w:rsid w:val="00433762"/>
    <w:rsid w:val="00434A5B"/>
    <w:rsid w:val="00434C41"/>
    <w:rsid w:val="00437383"/>
    <w:rsid w:val="00440F4D"/>
    <w:rsid w:val="004463DB"/>
    <w:rsid w:val="00446BA9"/>
    <w:rsid w:val="00447605"/>
    <w:rsid w:val="0045141E"/>
    <w:rsid w:val="004523C4"/>
    <w:rsid w:val="00452632"/>
    <w:rsid w:val="00452D4A"/>
    <w:rsid w:val="00456344"/>
    <w:rsid w:val="0046137F"/>
    <w:rsid w:val="00461D6F"/>
    <w:rsid w:val="00462242"/>
    <w:rsid w:val="00462C31"/>
    <w:rsid w:val="004650A5"/>
    <w:rsid w:val="00465446"/>
    <w:rsid w:val="0046565E"/>
    <w:rsid w:val="00465C2F"/>
    <w:rsid w:val="00466102"/>
    <w:rsid w:val="0046764E"/>
    <w:rsid w:val="004716A0"/>
    <w:rsid w:val="004726DC"/>
    <w:rsid w:val="00472AF6"/>
    <w:rsid w:val="00472C60"/>
    <w:rsid w:val="00474B39"/>
    <w:rsid w:val="00474D7F"/>
    <w:rsid w:val="00477BB8"/>
    <w:rsid w:val="004838A5"/>
    <w:rsid w:val="00492738"/>
    <w:rsid w:val="00496846"/>
    <w:rsid w:val="00497680"/>
    <w:rsid w:val="00497DFA"/>
    <w:rsid w:val="004A0588"/>
    <w:rsid w:val="004A0ACF"/>
    <w:rsid w:val="004A0DCD"/>
    <w:rsid w:val="004A16A3"/>
    <w:rsid w:val="004A461D"/>
    <w:rsid w:val="004A7C9B"/>
    <w:rsid w:val="004B2BB3"/>
    <w:rsid w:val="004B48FC"/>
    <w:rsid w:val="004B72DB"/>
    <w:rsid w:val="004B7E45"/>
    <w:rsid w:val="004C208D"/>
    <w:rsid w:val="004C2272"/>
    <w:rsid w:val="004C3D44"/>
    <w:rsid w:val="004C4C28"/>
    <w:rsid w:val="004C4CBD"/>
    <w:rsid w:val="004C5D4C"/>
    <w:rsid w:val="004C6DC5"/>
    <w:rsid w:val="004C6FBB"/>
    <w:rsid w:val="004D17E0"/>
    <w:rsid w:val="004D2D1C"/>
    <w:rsid w:val="004D2D80"/>
    <w:rsid w:val="004D670E"/>
    <w:rsid w:val="004E04C1"/>
    <w:rsid w:val="004E2705"/>
    <w:rsid w:val="004E3000"/>
    <w:rsid w:val="004E3423"/>
    <w:rsid w:val="004E3E15"/>
    <w:rsid w:val="004E41F9"/>
    <w:rsid w:val="004E52F6"/>
    <w:rsid w:val="004E641C"/>
    <w:rsid w:val="004E6A90"/>
    <w:rsid w:val="004E7DDB"/>
    <w:rsid w:val="004F1CEF"/>
    <w:rsid w:val="004F1D54"/>
    <w:rsid w:val="004F2F29"/>
    <w:rsid w:val="004F3256"/>
    <w:rsid w:val="004F33BA"/>
    <w:rsid w:val="004F426E"/>
    <w:rsid w:val="004F46DE"/>
    <w:rsid w:val="004F5FDC"/>
    <w:rsid w:val="004F6776"/>
    <w:rsid w:val="004F778A"/>
    <w:rsid w:val="004F77AD"/>
    <w:rsid w:val="004F7F5C"/>
    <w:rsid w:val="00501CE5"/>
    <w:rsid w:val="005026AB"/>
    <w:rsid w:val="00504DE6"/>
    <w:rsid w:val="00506167"/>
    <w:rsid w:val="005107A6"/>
    <w:rsid w:val="00510E43"/>
    <w:rsid w:val="00510FFE"/>
    <w:rsid w:val="00512946"/>
    <w:rsid w:val="005145C1"/>
    <w:rsid w:val="00516010"/>
    <w:rsid w:val="005177A9"/>
    <w:rsid w:val="0052148A"/>
    <w:rsid w:val="00521BF4"/>
    <w:rsid w:val="00522C6D"/>
    <w:rsid w:val="00524158"/>
    <w:rsid w:val="005248C4"/>
    <w:rsid w:val="00524F85"/>
    <w:rsid w:val="0052594B"/>
    <w:rsid w:val="0053146C"/>
    <w:rsid w:val="005337AD"/>
    <w:rsid w:val="0053499D"/>
    <w:rsid w:val="005407E8"/>
    <w:rsid w:val="00540B20"/>
    <w:rsid w:val="00542BE5"/>
    <w:rsid w:val="00543818"/>
    <w:rsid w:val="00543886"/>
    <w:rsid w:val="00543B50"/>
    <w:rsid w:val="00545212"/>
    <w:rsid w:val="00545FE9"/>
    <w:rsid w:val="00551255"/>
    <w:rsid w:val="00552BAF"/>
    <w:rsid w:val="00553731"/>
    <w:rsid w:val="005549A5"/>
    <w:rsid w:val="00555F42"/>
    <w:rsid w:val="00556CA8"/>
    <w:rsid w:val="00556CBB"/>
    <w:rsid w:val="00556E71"/>
    <w:rsid w:val="00557C81"/>
    <w:rsid w:val="00557E91"/>
    <w:rsid w:val="00557EAB"/>
    <w:rsid w:val="0056192F"/>
    <w:rsid w:val="00562489"/>
    <w:rsid w:val="00562F97"/>
    <w:rsid w:val="00563C17"/>
    <w:rsid w:val="00564750"/>
    <w:rsid w:val="0057028E"/>
    <w:rsid w:val="00571CA0"/>
    <w:rsid w:val="00572009"/>
    <w:rsid w:val="005721BE"/>
    <w:rsid w:val="00572E46"/>
    <w:rsid w:val="00573C19"/>
    <w:rsid w:val="00574E93"/>
    <w:rsid w:val="00576100"/>
    <w:rsid w:val="005775DC"/>
    <w:rsid w:val="005779C6"/>
    <w:rsid w:val="0058135A"/>
    <w:rsid w:val="005818C9"/>
    <w:rsid w:val="00582003"/>
    <w:rsid w:val="00584139"/>
    <w:rsid w:val="00584A33"/>
    <w:rsid w:val="00585A17"/>
    <w:rsid w:val="0058779C"/>
    <w:rsid w:val="0059157B"/>
    <w:rsid w:val="00593219"/>
    <w:rsid w:val="00596F08"/>
    <w:rsid w:val="005974EE"/>
    <w:rsid w:val="005A4DD9"/>
    <w:rsid w:val="005A5EBD"/>
    <w:rsid w:val="005A7C2D"/>
    <w:rsid w:val="005B00D5"/>
    <w:rsid w:val="005B0D27"/>
    <w:rsid w:val="005B3971"/>
    <w:rsid w:val="005B3CA3"/>
    <w:rsid w:val="005B47D7"/>
    <w:rsid w:val="005B4D63"/>
    <w:rsid w:val="005B5093"/>
    <w:rsid w:val="005B5BEB"/>
    <w:rsid w:val="005B6209"/>
    <w:rsid w:val="005C0717"/>
    <w:rsid w:val="005C1708"/>
    <w:rsid w:val="005C53FB"/>
    <w:rsid w:val="005C7B56"/>
    <w:rsid w:val="005C7B9E"/>
    <w:rsid w:val="005D0D0A"/>
    <w:rsid w:val="005D13D2"/>
    <w:rsid w:val="005D1541"/>
    <w:rsid w:val="005D2BE3"/>
    <w:rsid w:val="005D3003"/>
    <w:rsid w:val="005D3462"/>
    <w:rsid w:val="005D39DE"/>
    <w:rsid w:val="005D4A76"/>
    <w:rsid w:val="005D5D64"/>
    <w:rsid w:val="005D68A3"/>
    <w:rsid w:val="005D6DB3"/>
    <w:rsid w:val="005E0403"/>
    <w:rsid w:val="005E374B"/>
    <w:rsid w:val="005E4214"/>
    <w:rsid w:val="005E6156"/>
    <w:rsid w:val="005E6F12"/>
    <w:rsid w:val="005E78F5"/>
    <w:rsid w:val="005E7CFD"/>
    <w:rsid w:val="005F0879"/>
    <w:rsid w:val="005F1663"/>
    <w:rsid w:val="005F36EF"/>
    <w:rsid w:val="005F5587"/>
    <w:rsid w:val="005F5BE7"/>
    <w:rsid w:val="005F5CD8"/>
    <w:rsid w:val="00600B9B"/>
    <w:rsid w:val="00600BF2"/>
    <w:rsid w:val="00601381"/>
    <w:rsid w:val="00602D64"/>
    <w:rsid w:val="006049CA"/>
    <w:rsid w:val="00605CBE"/>
    <w:rsid w:val="006102B3"/>
    <w:rsid w:val="00611BC5"/>
    <w:rsid w:val="006149BB"/>
    <w:rsid w:val="00614A21"/>
    <w:rsid w:val="00617C51"/>
    <w:rsid w:val="00620C24"/>
    <w:rsid w:val="006238C4"/>
    <w:rsid w:val="00624DD9"/>
    <w:rsid w:val="0062572A"/>
    <w:rsid w:val="00625BCF"/>
    <w:rsid w:val="00630021"/>
    <w:rsid w:val="00631E64"/>
    <w:rsid w:val="006359E3"/>
    <w:rsid w:val="00640F3F"/>
    <w:rsid w:val="006459CD"/>
    <w:rsid w:val="0064658A"/>
    <w:rsid w:val="00646CE2"/>
    <w:rsid w:val="00650EE7"/>
    <w:rsid w:val="00651D1B"/>
    <w:rsid w:val="0065528A"/>
    <w:rsid w:val="00656B71"/>
    <w:rsid w:val="00657B08"/>
    <w:rsid w:val="00661BA6"/>
    <w:rsid w:val="00662761"/>
    <w:rsid w:val="00662AA4"/>
    <w:rsid w:val="0066356E"/>
    <w:rsid w:val="00664C8F"/>
    <w:rsid w:val="006655D2"/>
    <w:rsid w:val="00665B64"/>
    <w:rsid w:val="00666212"/>
    <w:rsid w:val="0066756C"/>
    <w:rsid w:val="006710DC"/>
    <w:rsid w:val="00671120"/>
    <w:rsid w:val="006714BD"/>
    <w:rsid w:val="006716CB"/>
    <w:rsid w:val="00671E9E"/>
    <w:rsid w:val="006725B5"/>
    <w:rsid w:val="00674197"/>
    <w:rsid w:val="00674585"/>
    <w:rsid w:val="00675465"/>
    <w:rsid w:val="00675939"/>
    <w:rsid w:val="00676628"/>
    <w:rsid w:val="00676843"/>
    <w:rsid w:val="00684626"/>
    <w:rsid w:val="006863AB"/>
    <w:rsid w:val="0069250B"/>
    <w:rsid w:val="00693BC5"/>
    <w:rsid w:val="00696B09"/>
    <w:rsid w:val="00697089"/>
    <w:rsid w:val="006972EE"/>
    <w:rsid w:val="00697DA2"/>
    <w:rsid w:val="006A04BF"/>
    <w:rsid w:val="006A0D28"/>
    <w:rsid w:val="006A2DCD"/>
    <w:rsid w:val="006A303D"/>
    <w:rsid w:val="006A409D"/>
    <w:rsid w:val="006A54C7"/>
    <w:rsid w:val="006A5FD3"/>
    <w:rsid w:val="006A651C"/>
    <w:rsid w:val="006A6BE4"/>
    <w:rsid w:val="006A6DAE"/>
    <w:rsid w:val="006A77EB"/>
    <w:rsid w:val="006B0C42"/>
    <w:rsid w:val="006B2108"/>
    <w:rsid w:val="006B311C"/>
    <w:rsid w:val="006B66D8"/>
    <w:rsid w:val="006C0762"/>
    <w:rsid w:val="006C0B3C"/>
    <w:rsid w:val="006C1EAD"/>
    <w:rsid w:val="006C2E23"/>
    <w:rsid w:val="006C3111"/>
    <w:rsid w:val="006C39A7"/>
    <w:rsid w:val="006C4DAE"/>
    <w:rsid w:val="006C55D6"/>
    <w:rsid w:val="006C6393"/>
    <w:rsid w:val="006C6801"/>
    <w:rsid w:val="006C73F3"/>
    <w:rsid w:val="006D1B43"/>
    <w:rsid w:val="006E04D8"/>
    <w:rsid w:val="006E0ADB"/>
    <w:rsid w:val="006E1CEA"/>
    <w:rsid w:val="006E216C"/>
    <w:rsid w:val="006E5857"/>
    <w:rsid w:val="006F09FD"/>
    <w:rsid w:val="006F0F89"/>
    <w:rsid w:val="006F1238"/>
    <w:rsid w:val="006F1E69"/>
    <w:rsid w:val="006F3E7E"/>
    <w:rsid w:val="006F6E0E"/>
    <w:rsid w:val="0070003F"/>
    <w:rsid w:val="007019F0"/>
    <w:rsid w:val="00702143"/>
    <w:rsid w:val="007026BF"/>
    <w:rsid w:val="00702726"/>
    <w:rsid w:val="007055D4"/>
    <w:rsid w:val="00705786"/>
    <w:rsid w:val="00705D9F"/>
    <w:rsid w:val="00705DD0"/>
    <w:rsid w:val="00707925"/>
    <w:rsid w:val="00710070"/>
    <w:rsid w:val="0071043F"/>
    <w:rsid w:val="00710EDC"/>
    <w:rsid w:val="007126F0"/>
    <w:rsid w:val="00713580"/>
    <w:rsid w:val="007137EB"/>
    <w:rsid w:val="00714239"/>
    <w:rsid w:val="007166D9"/>
    <w:rsid w:val="00717FCF"/>
    <w:rsid w:val="007202DA"/>
    <w:rsid w:val="00720E70"/>
    <w:rsid w:val="0072395F"/>
    <w:rsid w:val="00725D1D"/>
    <w:rsid w:val="00726959"/>
    <w:rsid w:val="00726B1B"/>
    <w:rsid w:val="0072778A"/>
    <w:rsid w:val="007310F2"/>
    <w:rsid w:val="007311F5"/>
    <w:rsid w:val="007321B1"/>
    <w:rsid w:val="00734929"/>
    <w:rsid w:val="007356A5"/>
    <w:rsid w:val="007365D5"/>
    <w:rsid w:val="007369EE"/>
    <w:rsid w:val="00741980"/>
    <w:rsid w:val="007422CF"/>
    <w:rsid w:val="00744CF6"/>
    <w:rsid w:val="00746A78"/>
    <w:rsid w:val="007476A2"/>
    <w:rsid w:val="00747E04"/>
    <w:rsid w:val="00751289"/>
    <w:rsid w:val="00753A19"/>
    <w:rsid w:val="00755607"/>
    <w:rsid w:val="00755666"/>
    <w:rsid w:val="007557B4"/>
    <w:rsid w:val="00755F63"/>
    <w:rsid w:val="00756B44"/>
    <w:rsid w:val="00760596"/>
    <w:rsid w:val="00764CDD"/>
    <w:rsid w:val="00765447"/>
    <w:rsid w:val="00765643"/>
    <w:rsid w:val="00770974"/>
    <w:rsid w:val="00770F3D"/>
    <w:rsid w:val="00774114"/>
    <w:rsid w:val="00775BB8"/>
    <w:rsid w:val="00775BFA"/>
    <w:rsid w:val="007764D4"/>
    <w:rsid w:val="00776A5F"/>
    <w:rsid w:val="007775F3"/>
    <w:rsid w:val="00777FBE"/>
    <w:rsid w:val="007809DE"/>
    <w:rsid w:val="00782625"/>
    <w:rsid w:val="007827C9"/>
    <w:rsid w:val="00782DF0"/>
    <w:rsid w:val="00784257"/>
    <w:rsid w:val="00784309"/>
    <w:rsid w:val="007868C8"/>
    <w:rsid w:val="007874FC"/>
    <w:rsid w:val="007909E6"/>
    <w:rsid w:val="00790FD7"/>
    <w:rsid w:val="00791323"/>
    <w:rsid w:val="00791BAA"/>
    <w:rsid w:val="00793620"/>
    <w:rsid w:val="007940A4"/>
    <w:rsid w:val="00794FE0"/>
    <w:rsid w:val="0079649D"/>
    <w:rsid w:val="007A041F"/>
    <w:rsid w:val="007A08E3"/>
    <w:rsid w:val="007A153C"/>
    <w:rsid w:val="007A1F5F"/>
    <w:rsid w:val="007A3068"/>
    <w:rsid w:val="007A4720"/>
    <w:rsid w:val="007A4829"/>
    <w:rsid w:val="007A660C"/>
    <w:rsid w:val="007A6873"/>
    <w:rsid w:val="007A715E"/>
    <w:rsid w:val="007A7CA1"/>
    <w:rsid w:val="007B18EF"/>
    <w:rsid w:val="007B238D"/>
    <w:rsid w:val="007B3F0F"/>
    <w:rsid w:val="007B4171"/>
    <w:rsid w:val="007B46A4"/>
    <w:rsid w:val="007B4714"/>
    <w:rsid w:val="007B48B5"/>
    <w:rsid w:val="007B590A"/>
    <w:rsid w:val="007B64CB"/>
    <w:rsid w:val="007C0128"/>
    <w:rsid w:val="007C249F"/>
    <w:rsid w:val="007C2DCD"/>
    <w:rsid w:val="007C585D"/>
    <w:rsid w:val="007C6040"/>
    <w:rsid w:val="007C61B9"/>
    <w:rsid w:val="007C61C8"/>
    <w:rsid w:val="007C6719"/>
    <w:rsid w:val="007D052D"/>
    <w:rsid w:val="007D1C7F"/>
    <w:rsid w:val="007E0306"/>
    <w:rsid w:val="007E0A61"/>
    <w:rsid w:val="007E2845"/>
    <w:rsid w:val="007E58C5"/>
    <w:rsid w:val="007E6074"/>
    <w:rsid w:val="007E6437"/>
    <w:rsid w:val="007E6CFE"/>
    <w:rsid w:val="007E77F0"/>
    <w:rsid w:val="007F0B7E"/>
    <w:rsid w:val="007F176B"/>
    <w:rsid w:val="007F1E38"/>
    <w:rsid w:val="007F2EF4"/>
    <w:rsid w:val="007F3677"/>
    <w:rsid w:val="007F57FA"/>
    <w:rsid w:val="008010C5"/>
    <w:rsid w:val="0080120A"/>
    <w:rsid w:val="00801513"/>
    <w:rsid w:val="008016CA"/>
    <w:rsid w:val="008018AC"/>
    <w:rsid w:val="00801EBC"/>
    <w:rsid w:val="008025A3"/>
    <w:rsid w:val="008031B9"/>
    <w:rsid w:val="00803F94"/>
    <w:rsid w:val="00804D90"/>
    <w:rsid w:val="008066A6"/>
    <w:rsid w:val="00810E49"/>
    <w:rsid w:val="00810E50"/>
    <w:rsid w:val="00811773"/>
    <w:rsid w:val="008117E8"/>
    <w:rsid w:val="00822DA1"/>
    <w:rsid w:val="008278DB"/>
    <w:rsid w:val="0083092D"/>
    <w:rsid w:val="00830E6D"/>
    <w:rsid w:val="0083276F"/>
    <w:rsid w:val="008334B3"/>
    <w:rsid w:val="00835EF2"/>
    <w:rsid w:val="00836F6C"/>
    <w:rsid w:val="00837003"/>
    <w:rsid w:val="008376B3"/>
    <w:rsid w:val="00842409"/>
    <w:rsid w:val="00844BA4"/>
    <w:rsid w:val="00847DA6"/>
    <w:rsid w:val="008511BE"/>
    <w:rsid w:val="00852901"/>
    <w:rsid w:val="00854785"/>
    <w:rsid w:val="008561B4"/>
    <w:rsid w:val="00856A55"/>
    <w:rsid w:val="008607D2"/>
    <w:rsid w:val="00862AE9"/>
    <w:rsid w:val="008642E7"/>
    <w:rsid w:val="00866A93"/>
    <w:rsid w:val="008718B8"/>
    <w:rsid w:val="00871CA7"/>
    <w:rsid w:val="00872889"/>
    <w:rsid w:val="008732AF"/>
    <w:rsid w:val="00874B25"/>
    <w:rsid w:val="00876475"/>
    <w:rsid w:val="00881858"/>
    <w:rsid w:val="008820ED"/>
    <w:rsid w:val="00882D49"/>
    <w:rsid w:val="008830CE"/>
    <w:rsid w:val="00883A05"/>
    <w:rsid w:val="008851B8"/>
    <w:rsid w:val="00886575"/>
    <w:rsid w:val="00890231"/>
    <w:rsid w:val="00890669"/>
    <w:rsid w:val="008908CC"/>
    <w:rsid w:val="00894AF8"/>
    <w:rsid w:val="008A238E"/>
    <w:rsid w:val="008A2626"/>
    <w:rsid w:val="008A2702"/>
    <w:rsid w:val="008A34FC"/>
    <w:rsid w:val="008A36AD"/>
    <w:rsid w:val="008A4597"/>
    <w:rsid w:val="008A508E"/>
    <w:rsid w:val="008A5D86"/>
    <w:rsid w:val="008B2A36"/>
    <w:rsid w:val="008B3D36"/>
    <w:rsid w:val="008B4774"/>
    <w:rsid w:val="008B4B02"/>
    <w:rsid w:val="008B790E"/>
    <w:rsid w:val="008C0952"/>
    <w:rsid w:val="008C1BB2"/>
    <w:rsid w:val="008C3062"/>
    <w:rsid w:val="008C337C"/>
    <w:rsid w:val="008C4E16"/>
    <w:rsid w:val="008C6BDE"/>
    <w:rsid w:val="008C6BFE"/>
    <w:rsid w:val="008D1407"/>
    <w:rsid w:val="008D18CE"/>
    <w:rsid w:val="008D26F2"/>
    <w:rsid w:val="008D281F"/>
    <w:rsid w:val="008D2F51"/>
    <w:rsid w:val="008D30CA"/>
    <w:rsid w:val="008D3160"/>
    <w:rsid w:val="008D389E"/>
    <w:rsid w:val="008D3CA9"/>
    <w:rsid w:val="008D5814"/>
    <w:rsid w:val="008D63EA"/>
    <w:rsid w:val="008D7BAA"/>
    <w:rsid w:val="008E4CB8"/>
    <w:rsid w:val="008F158E"/>
    <w:rsid w:val="008F3613"/>
    <w:rsid w:val="008F4325"/>
    <w:rsid w:val="008F4F8F"/>
    <w:rsid w:val="008F5C91"/>
    <w:rsid w:val="009028DA"/>
    <w:rsid w:val="00903640"/>
    <w:rsid w:val="00906BCA"/>
    <w:rsid w:val="0090729E"/>
    <w:rsid w:val="00907DA9"/>
    <w:rsid w:val="0091134B"/>
    <w:rsid w:val="00911862"/>
    <w:rsid w:val="00913B2E"/>
    <w:rsid w:val="009141C3"/>
    <w:rsid w:val="009145DB"/>
    <w:rsid w:val="0092074A"/>
    <w:rsid w:val="00921A2F"/>
    <w:rsid w:val="00921DB3"/>
    <w:rsid w:val="00922374"/>
    <w:rsid w:val="009243A5"/>
    <w:rsid w:val="009264A7"/>
    <w:rsid w:val="0092667F"/>
    <w:rsid w:val="00927918"/>
    <w:rsid w:val="00930C9B"/>
    <w:rsid w:val="009311FA"/>
    <w:rsid w:val="00931C63"/>
    <w:rsid w:val="00933BB1"/>
    <w:rsid w:val="00933D6D"/>
    <w:rsid w:val="009343FA"/>
    <w:rsid w:val="009373B1"/>
    <w:rsid w:val="00942089"/>
    <w:rsid w:val="00944C80"/>
    <w:rsid w:val="00952D9D"/>
    <w:rsid w:val="00953776"/>
    <w:rsid w:val="00955191"/>
    <w:rsid w:val="00955DC5"/>
    <w:rsid w:val="00955F29"/>
    <w:rsid w:val="00957F16"/>
    <w:rsid w:val="0096313D"/>
    <w:rsid w:val="009632B1"/>
    <w:rsid w:val="00963636"/>
    <w:rsid w:val="00970601"/>
    <w:rsid w:val="00970D40"/>
    <w:rsid w:val="0097120B"/>
    <w:rsid w:val="00971941"/>
    <w:rsid w:val="00974756"/>
    <w:rsid w:val="0097649C"/>
    <w:rsid w:val="00976A84"/>
    <w:rsid w:val="00980E95"/>
    <w:rsid w:val="00981130"/>
    <w:rsid w:val="009821BA"/>
    <w:rsid w:val="00982BBA"/>
    <w:rsid w:val="009832DA"/>
    <w:rsid w:val="00985CD6"/>
    <w:rsid w:val="00986800"/>
    <w:rsid w:val="0098684E"/>
    <w:rsid w:val="00991FAD"/>
    <w:rsid w:val="00992FBB"/>
    <w:rsid w:val="00994B17"/>
    <w:rsid w:val="00995D04"/>
    <w:rsid w:val="009A27A4"/>
    <w:rsid w:val="009A2DAF"/>
    <w:rsid w:val="009B2EC3"/>
    <w:rsid w:val="009B49BB"/>
    <w:rsid w:val="009B4B70"/>
    <w:rsid w:val="009B7030"/>
    <w:rsid w:val="009C0ABC"/>
    <w:rsid w:val="009C2EE0"/>
    <w:rsid w:val="009C37CE"/>
    <w:rsid w:val="009C3C18"/>
    <w:rsid w:val="009C3E36"/>
    <w:rsid w:val="009D4495"/>
    <w:rsid w:val="009D57C9"/>
    <w:rsid w:val="009D722A"/>
    <w:rsid w:val="009E2081"/>
    <w:rsid w:val="009E2639"/>
    <w:rsid w:val="009E7466"/>
    <w:rsid w:val="009F1A15"/>
    <w:rsid w:val="009F494A"/>
    <w:rsid w:val="009F51ED"/>
    <w:rsid w:val="009F58FE"/>
    <w:rsid w:val="009F6228"/>
    <w:rsid w:val="009F7F01"/>
    <w:rsid w:val="00A001CA"/>
    <w:rsid w:val="00A00496"/>
    <w:rsid w:val="00A009A4"/>
    <w:rsid w:val="00A01081"/>
    <w:rsid w:val="00A0193A"/>
    <w:rsid w:val="00A01D48"/>
    <w:rsid w:val="00A0364D"/>
    <w:rsid w:val="00A065D3"/>
    <w:rsid w:val="00A07016"/>
    <w:rsid w:val="00A07C54"/>
    <w:rsid w:val="00A113DA"/>
    <w:rsid w:val="00A116DA"/>
    <w:rsid w:val="00A12687"/>
    <w:rsid w:val="00A13738"/>
    <w:rsid w:val="00A139E6"/>
    <w:rsid w:val="00A1538C"/>
    <w:rsid w:val="00A154D3"/>
    <w:rsid w:val="00A15A32"/>
    <w:rsid w:val="00A16B82"/>
    <w:rsid w:val="00A17CD0"/>
    <w:rsid w:val="00A209B2"/>
    <w:rsid w:val="00A2147B"/>
    <w:rsid w:val="00A22881"/>
    <w:rsid w:val="00A22942"/>
    <w:rsid w:val="00A235DE"/>
    <w:rsid w:val="00A26184"/>
    <w:rsid w:val="00A27FDA"/>
    <w:rsid w:val="00A344A0"/>
    <w:rsid w:val="00A34787"/>
    <w:rsid w:val="00A40319"/>
    <w:rsid w:val="00A42895"/>
    <w:rsid w:val="00A42F91"/>
    <w:rsid w:val="00A43777"/>
    <w:rsid w:val="00A50150"/>
    <w:rsid w:val="00A55C0F"/>
    <w:rsid w:val="00A561D1"/>
    <w:rsid w:val="00A577BF"/>
    <w:rsid w:val="00A62ABA"/>
    <w:rsid w:val="00A66191"/>
    <w:rsid w:val="00A66FAF"/>
    <w:rsid w:val="00A67049"/>
    <w:rsid w:val="00A74D74"/>
    <w:rsid w:val="00A75553"/>
    <w:rsid w:val="00A777CA"/>
    <w:rsid w:val="00A77982"/>
    <w:rsid w:val="00A804B7"/>
    <w:rsid w:val="00A817F8"/>
    <w:rsid w:val="00A82A2F"/>
    <w:rsid w:val="00A83E1E"/>
    <w:rsid w:val="00A851C4"/>
    <w:rsid w:val="00A85402"/>
    <w:rsid w:val="00A86EE9"/>
    <w:rsid w:val="00A90948"/>
    <w:rsid w:val="00A90B91"/>
    <w:rsid w:val="00A92921"/>
    <w:rsid w:val="00A92E19"/>
    <w:rsid w:val="00A93D46"/>
    <w:rsid w:val="00A94798"/>
    <w:rsid w:val="00A95F73"/>
    <w:rsid w:val="00A963FA"/>
    <w:rsid w:val="00AA024E"/>
    <w:rsid w:val="00AA0AAF"/>
    <w:rsid w:val="00AA0FBC"/>
    <w:rsid w:val="00AA11DC"/>
    <w:rsid w:val="00AA3762"/>
    <w:rsid w:val="00AA5082"/>
    <w:rsid w:val="00AA5A39"/>
    <w:rsid w:val="00AA7B68"/>
    <w:rsid w:val="00AB1F78"/>
    <w:rsid w:val="00AB26FE"/>
    <w:rsid w:val="00AB314A"/>
    <w:rsid w:val="00AB45BF"/>
    <w:rsid w:val="00AB5E50"/>
    <w:rsid w:val="00AB7AEC"/>
    <w:rsid w:val="00AB7EAB"/>
    <w:rsid w:val="00AC1008"/>
    <w:rsid w:val="00AC1930"/>
    <w:rsid w:val="00AC1A08"/>
    <w:rsid w:val="00AC4748"/>
    <w:rsid w:val="00AC4FEC"/>
    <w:rsid w:val="00AD0C46"/>
    <w:rsid w:val="00AD1F1E"/>
    <w:rsid w:val="00AD24AC"/>
    <w:rsid w:val="00AD5B0E"/>
    <w:rsid w:val="00AD69D9"/>
    <w:rsid w:val="00AE00F5"/>
    <w:rsid w:val="00AE0EC8"/>
    <w:rsid w:val="00AE1B8A"/>
    <w:rsid w:val="00AE393F"/>
    <w:rsid w:val="00AE488F"/>
    <w:rsid w:val="00AE55D4"/>
    <w:rsid w:val="00AE5931"/>
    <w:rsid w:val="00AF02D3"/>
    <w:rsid w:val="00AF063B"/>
    <w:rsid w:val="00AF0DE0"/>
    <w:rsid w:val="00AF1357"/>
    <w:rsid w:val="00AF38E4"/>
    <w:rsid w:val="00AF3A95"/>
    <w:rsid w:val="00AF41C6"/>
    <w:rsid w:val="00AF6C27"/>
    <w:rsid w:val="00B02329"/>
    <w:rsid w:val="00B03BD0"/>
    <w:rsid w:val="00B04054"/>
    <w:rsid w:val="00B04380"/>
    <w:rsid w:val="00B051F7"/>
    <w:rsid w:val="00B0654E"/>
    <w:rsid w:val="00B10BC1"/>
    <w:rsid w:val="00B13036"/>
    <w:rsid w:val="00B13165"/>
    <w:rsid w:val="00B1580B"/>
    <w:rsid w:val="00B15D35"/>
    <w:rsid w:val="00B20152"/>
    <w:rsid w:val="00B2246B"/>
    <w:rsid w:val="00B261CE"/>
    <w:rsid w:val="00B26A32"/>
    <w:rsid w:val="00B272E9"/>
    <w:rsid w:val="00B3016A"/>
    <w:rsid w:val="00B30EB8"/>
    <w:rsid w:val="00B3141E"/>
    <w:rsid w:val="00B31AAE"/>
    <w:rsid w:val="00B32306"/>
    <w:rsid w:val="00B33704"/>
    <w:rsid w:val="00B34C82"/>
    <w:rsid w:val="00B35276"/>
    <w:rsid w:val="00B36872"/>
    <w:rsid w:val="00B368F5"/>
    <w:rsid w:val="00B36C8C"/>
    <w:rsid w:val="00B46B57"/>
    <w:rsid w:val="00B470A4"/>
    <w:rsid w:val="00B47650"/>
    <w:rsid w:val="00B479C2"/>
    <w:rsid w:val="00B500E6"/>
    <w:rsid w:val="00B51240"/>
    <w:rsid w:val="00B51F96"/>
    <w:rsid w:val="00B53527"/>
    <w:rsid w:val="00B54C1F"/>
    <w:rsid w:val="00B612B3"/>
    <w:rsid w:val="00B63EFA"/>
    <w:rsid w:val="00B64AE2"/>
    <w:rsid w:val="00B64DE7"/>
    <w:rsid w:val="00B67DCA"/>
    <w:rsid w:val="00B706A2"/>
    <w:rsid w:val="00B70AA4"/>
    <w:rsid w:val="00B73612"/>
    <w:rsid w:val="00B74380"/>
    <w:rsid w:val="00B757B4"/>
    <w:rsid w:val="00B76DE3"/>
    <w:rsid w:val="00B76E5B"/>
    <w:rsid w:val="00B84B98"/>
    <w:rsid w:val="00B84C9E"/>
    <w:rsid w:val="00B855A1"/>
    <w:rsid w:val="00B9021A"/>
    <w:rsid w:val="00B9052D"/>
    <w:rsid w:val="00B906CB"/>
    <w:rsid w:val="00B90CA9"/>
    <w:rsid w:val="00B91BB1"/>
    <w:rsid w:val="00B92FCD"/>
    <w:rsid w:val="00BA2451"/>
    <w:rsid w:val="00BA27FF"/>
    <w:rsid w:val="00BA3365"/>
    <w:rsid w:val="00BA363F"/>
    <w:rsid w:val="00BA5283"/>
    <w:rsid w:val="00BA5368"/>
    <w:rsid w:val="00BA537B"/>
    <w:rsid w:val="00BA6BDC"/>
    <w:rsid w:val="00BA6BE7"/>
    <w:rsid w:val="00BA6D2E"/>
    <w:rsid w:val="00BA768B"/>
    <w:rsid w:val="00BA780E"/>
    <w:rsid w:val="00BB0848"/>
    <w:rsid w:val="00BB1074"/>
    <w:rsid w:val="00BB19E0"/>
    <w:rsid w:val="00BB2E7C"/>
    <w:rsid w:val="00BB584C"/>
    <w:rsid w:val="00BB5DA1"/>
    <w:rsid w:val="00BB61D9"/>
    <w:rsid w:val="00BB6C1C"/>
    <w:rsid w:val="00BC1C59"/>
    <w:rsid w:val="00BC1D3E"/>
    <w:rsid w:val="00BC34EF"/>
    <w:rsid w:val="00BC6E54"/>
    <w:rsid w:val="00BC7BC7"/>
    <w:rsid w:val="00BC7DED"/>
    <w:rsid w:val="00BD2290"/>
    <w:rsid w:val="00BD243C"/>
    <w:rsid w:val="00BD2B92"/>
    <w:rsid w:val="00BD2CD0"/>
    <w:rsid w:val="00BD36DC"/>
    <w:rsid w:val="00BD5614"/>
    <w:rsid w:val="00BD60DC"/>
    <w:rsid w:val="00BD7848"/>
    <w:rsid w:val="00BE18E8"/>
    <w:rsid w:val="00BE2F07"/>
    <w:rsid w:val="00BE3C6C"/>
    <w:rsid w:val="00BE45B7"/>
    <w:rsid w:val="00BE4680"/>
    <w:rsid w:val="00BE4966"/>
    <w:rsid w:val="00BE5EAC"/>
    <w:rsid w:val="00BE64D0"/>
    <w:rsid w:val="00BE6E66"/>
    <w:rsid w:val="00BE726E"/>
    <w:rsid w:val="00BE7C2D"/>
    <w:rsid w:val="00BF074C"/>
    <w:rsid w:val="00BF08FB"/>
    <w:rsid w:val="00BF105E"/>
    <w:rsid w:val="00BF1AFB"/>
    <w:rsid w:val="00BF2002"/>
    <w:rsid w:val="00BF6826"/>
    <w:rsid w:val="00BF7EDB"/>
    <w:rsid w:val="00C0402F"/>
    <w:rsid w:val="00C046C4"/>
    <w:rsid w:val="00C047DB"/>
    <w:rsid w:val="00C05BE7"/>
    <w:rsid w:val="00C154AE"/>
    <w:rsid w:val="00C22358"/>
    <w:rsid w:val="00C2326D"/>
    <w:rsid w:val="00C26A44"/>
    <w:rsid w:val="00C277A5"/>
    <w:rsid w:val="00C30647"/>
    <w:rsid w:val="00C30998"/>
    <w:rsid w:val="00C30B93"/>
    <w:rsid w:val="00C3193F"/>
    <w:rsid w:val="00C339C2"/>
    <w:rsid w:val="00C351E3"/>
    <w:rsid w:val="00C355E7"/>
    <w:rsid w:val="00C4455D"/>
    <w:rsid w:val="00C471D7"/>
    <w:rsid w:val="00C47392"/>
    <w:rsid w:val="00C51093"/>
    <w:rsid w:val="00C53AC3"/>
    <w:rsid w:val="00C54D4F"/>
    <w:rsid w:val="00C55FC9"/>
    <w:rsid w:val="00C61A80"/>
    <w:rsid w:val="00C61CC6"/>
    <w:rsid w:val="00C63AB9"/>
    <w:rsid w:val="00C66549"/>
    <w:rsid w:val="00C6737C"/>
    <w:rsid w:val="00C67807"/>
    <w:rsid w:val="00C72968"/>
    <w:rsid w:val="00C72E12"/>
    <w:rsid w:val="00C74766"/>
    <w:rsid w:val="00C75FE0"/>
    <w:rsid w:val="00C8123C"/>
    <w:rsid w:val="00C81924"/>
    <w:rsid w:val="00C834DE"/>
    <w:rsid w:val="00C8590A"/>
    <w:rsid w:val="00C868F6"/>
    <w:rsid w:val="00C8785A"/>
    <w:rsid w:val="00C878BE"/>
    <w:rsid w:val="00C878EA"/>
    <w:rsid w:val="00C9011B"/>
    <w:rsid w:val="00C911C1"/>
    <w:rsid w:val="00C91808"/>
    <w:rsid w:val="00C94948"/>
    <w:rsid w:val="00C9654F"/>
    <w:rsid w:val="00C966C9"/>
    <w:rsid w:val="00C96B1F"/>
    <w:rsid w:val="00C976FF"/>
    <w:rsid w:val="00C977C0"/>
    <w:rsid w:val="00CA1377"/>
    <w:rsid w:val="00CA2529"/>
    <w:rsid w:val="00CA455C"/>
    <w:rsid w:val="00CA5B86"/>
    <w:rsid w:val="00CA5E14"/>
    <w:rsid w:val="00CA689B"/>
    <w:rsid w:val="00CA6AB1"/>
    <w:rsid w:val="00CA72B7"/>
    <w:rsid w:val="00CA7996"/>
    <w:rsid w:val="00CA7F12"/>
    <w:rsid w:val="00CB359A"/>
    <w:rsid w:val="00CB453C"/>
    <w:rsid w:val="00CB5303"/>
    <w:rsid w:val="00CB6D29"/>
    <w:rsid w:val="00CC3CF1"/>
    <w:rsid w:val="00CC3E74"/>
    <w:rsid w:val="00CC4F25"/>
    <w:rsid w:val="00CD03AA"/>
    <w:rsid w:val="00CD162B"/>
    <w:rsid w:val="00CD1A7F"/>
    <w:rsid w:val="00CD220C"/>
    <w:rsid w:val="00CD32D9"/>
    <w:rsid w:val="00CD3338"/>
    <w:rsid w:val="00CD3E18"/>
    <w:rsid w:val="00CD47A4"/>
    <w:rsid w:val="00CD47C7"/>
    <w:rsid w:val="00CE0293"/>
    <w:rsid w:val="00CE0AD1"/>
    <w:rsid w:val="00CE4684"/>
    <w:rsid w:val="00CE5513"/>
    <w:rsid w:val="00CE60B2"/>
    <w:rsid w:val="00CF002E"/>
    <w:rsid w:val="00CF0306"/>
    <w:rsid w:val="00CF0811"/>
    <w:rsid w:val="00CF0F9E"/>
    <w:rsid w:val="00CF3877"/>
    <w:rsid w:val="00CF687E"/>
    <w:rsid w:val="00CF7618"/>
    <w:rsid w:val="00CF7D39"/>
    <w:rsid w:val="00CF7DD4"/>
    <w:rsid w:val="00D02558"/>
    <w:rsid w:val="00D02CD8"/>
    <w:rsid w:val="00D033AC"/>
    <w:rsid w:val="00D0506B"/>
    <w:rsid w:val="00D06C96"/>
    <w:rsid w:val="00D06E78"/>
    <w:rsid w:val="00D10262"/>
    <w:rsid w:val="00D1405D"/>
    <w:rsid w:val="00D151CA"/>
    <w:rsid w:val="00D16639"/>
    <w:rsid w:val="00D211C0"/>
    <w:rsid w:val="00D2168F"/>
    <w:rsid w:val="00D21CF5"/>
    <w:rsid w:val="00D221E0"/>
    <w:rsid w:val="00D242B6"/>
    <w:rsid w:val="00D2494B"/>
    <w:rsid w:val="00D24C91"/>
    <w:rsid w:val="00D24F25"/>
    <w:rsid w:val="00D274E1"/>
    <w:rsid w:val="00D3041D"/>
    <w:rsid w:val="00D33DEF"/>
    <w:rsid w:val="00D361D1"/>
    <w:rsid w:val="00D3779E"/>
    <w:rsid w:val="00D40880"/>
    <w:rsid w:val="00D41C6A"/>
    <w:rsid w:val="00D450F5"/>
    <w:rsid w:val="00D466F9"/>
    <w:rsid w:val="00D46D4C"/>
    <w:rsid w:val="00D52204"/>
    <w:rsid w:val="00D52AFF"/>
    <w:rsid w:val="00D53F56"/>
    <w:rsid w:val="00D54852"/>
    <w:rsid w:val="00D549F5"/>
    <w:rsid w:val="00D54A31"/>
    <w:rsid w:val="00D54A48"/>
    <w:rsid w:val="00D54E1E"/>
    <w:rsid w:val="00D5506B"/>
    <w:rsid w:val="00D55D09"/>
    <w:rsid w:val="00D562CF"/>
    <w:rsid w:val="00D5768C"/>
    <w:rsid w:val="00D60471"/>
    <w:rsid w:val="00D60B75"/>
    <w:rsid w:val="00D60DED"/>
    <w:rsid w:val="00D62615"/>
    <w:rsid w:val="00D65439"/>
    <w:rsid w:val="00D65DA1"/>
    <w:rsid w:val="00D65ECE"/>
    <w:rsid w:val="00D664CC"/>
    <w:rsid w:val="00D66BE3"/>
    <w:rsid w:val="00D66BEB"/>
    <w:rsid w:val="00D67315"/>
    <w:rsid w:val="00D67719"/>
    <w:rsid w:val="00D67F90"/>
    <w:rsid w:val="00D7187B"/>
    <w:rsid w:val="00D720D5"/>
    <w:rsid w:val="00D72296"/>
    <w:rsid w:val="00D75484"/>
    <w:rsid w:val="00D75D1A"/>
    <w:rsid w:val="00D77374"/>
    <w:rsid w:val="00D82E04"/>
    <w:rsid w:val="00D855A1"/>
    <w:rsid w:val="00D85764"/>
    <w:rsid w:val="00D8604E"/>
    <w:rsid w:val="00D86FB0"/>
    <w:rsid w:val="00D87BF6"/>
    <w:rsid w:val="00D915B7"/>
    <w:rsid w:val="00D940E1"/>
    <w:rsid w:val="00DA0254"/>
    <w:rsid w:val="00DA1470"/>
    <w:rsid w:val="00DA1812"/>
    <w:rsid w:val="00DA400F"/>
    <w:rsid w:val="00DA4103"/>
    <w:rsid w:val="00DA47C6"/>
    <w:rsid w:val="00DA5CBB"/>
    <w:rsid w:val="00DA6B74"/>
    <w:rsid w:val="00DA75F6"/>
    <w:rsid w:val="00DB03E7"/>
    <w:rsid w:val="00DB0CB8"/>
    <w:rsid w:val="00DB333E"/>
    <w:rsid w:val="00DB4A4E"/>
    <w:rsid w:val="00DC265F"/>
    <w:rsid w:val="00DC3734"/>
    <w:rsid w:val="00DC4188"/>
    <w:rsid w:val="00DC61A6"/>
    <w:rsid w:val="00DC7D54"/>
    <w:rsid w:val="00DD06D3"/>
    <w:rsid w:val="00DD06E9"/>
    <w:rsid w:val="00DD0897"/>
    <w:rsid w:val="00DD2321"/>
    <w:rsid w:val="00DD3512"/>
    <w:rsid w:val="00DD64AA"/>
    <w:rsid w:val="00DD64F9"/>
    <w:rsid w:val="00DD78E8"/>
    <w:rsid w:val="00DE087D"/>
    <w:rsid w:val="00DE174E"/>
    <w:rsid w:val="00DE407C"/>
    <w:rsid w:val="00DE4F60"/>
    <w:rsid w:val="00DE5159"/>
    <w:rsid w:val="00DE67CE"/>
    <w:rsid w:val="00DF1853"/>
    <w:rsid w:val="00DF1F58"/>
    <w:rsid w:val="00DF58E0"/>
    <w:rsid w:val="00DF6D3F"/>
    <w:rsid w:val="00E007BA"/>
    <w:rsid w:val="00E014A9"/>
    <w:rsid w:val="00E027DC"/>
    <w:rsid w:val="00E02AEE"/>
    <w:rsid w:val="00E03500"/>
    <w:rsid w:val="00E0359A"/>
    <w:rsid w:val="00E03E78"/>
    <w:rsid w:val="00E040C3"/>
    <w:rsid w:val="00E06B12"/>
    <w:rsid w:val="00E06E24"/>
    <w:rsid w:val="00E10580"/>
    <w:rsid w:val="00E11389"/>
    <w:rsid w:val="00E12A22"/>
    <w:rsid w:val="00E149F2"/>
    <w:rsid w:val="00E15468"/>
    <w:rsid w:val="00E15A9E"/>
    <w:rsid w:val="00E16CEA"/>
    <w:rsid w:val="00E16FB2"/>
    <w:rsid w:val="00E17560"/>
    <w:rsid w:val="00E2111C"/>
    <w:rsid w:val="00E24360"/>
    <w:rsid w:val="00E2533C"/>
    <w:rsid w:val="00E2781C"/>
    <w:rsid w:val="00E30BAF"/>
    <w:rsid w:val="00E31184"/>
    <w:rsid w:val="00E33C92"/>
    <w:rsid w:val="00E378F9"/>
    <w:rsid w:val="00E41794"/>
    <w:rsid w:val="00E42DF9"/>
    <w:rsid w:val="00E44EB6"/>
    <w:rsid w:val="00E45653"/>
    <w:rsid w:val="00E45E26"/>
    <w:rsid w:val="00E476AC"/>
    <w:rsid w:val="00E50849"/>
    <w:rsid w:val="00E52CDC"/>
    <w:rsid w:val="00E5558F"/>
    <w:rsid w:val="00E55C62"/>
    <w:rsid w:val="00E55E00"/>
    <w:rsid w:val="00E572F4"/>
    <w:rsid w:val="00E6138F"/>
    <w:rsid w:val="00E6198D"/>
    <w:rsid w:val="00E63820"/>
    <w:rsid w:val="00E64954"/>
    <w:rsid w:val="00E665F2"/>
    <w:rsid w:val="00E67329"/>
    <w:rsid w:val="00E673AF"/>
    <w:rsid w:val="00E71CDD"/>
    <w:rsid w:val="00E72367"/>
    <w:rsid w:val="00E72A8B"/>
    <w:rsid w:val="00E72D3E"/>
    <w:rsid w:val="00E73700"/>
    <w:rsid w:val="00E737F1"/>
    <w:rsid w:val="00E76EC0"/>
    <w:rsid w:val="00E80DAC"/>
    <w:rsid w:val="00E80EC0"/>
    <w:rsid w:val="00E81AEF"/>
    <w:rsid w:val="00E82525"/>
    <w:rsid w:val="00E82778"/>
    <w:rsid w:val="00E86563"/>
    <w:rsid w:val="00E9185C"/>
    <w:rsid w:val="00E928E0"/>
    <w:rsid w:val="00E92FB9"/>
    <w:rsid w:val="00E93453"/>
    <w:rsid w:val="00E9397A"/>
    <w:rsid w:val="00E9553E"/>
    <w:rsid w:val="00E95970"/>
    <w:rsid w:val="00E968D8"/>
    <w:rsid w:val="00EA05D6"/>
    <w:rsid w:val="00EA1C4F"/>
    <w:rsid w:val="00EA20C3"/>
    <w:rsid w:val="00EA4A15"/>
    <w:rsid w:val="00EA4F3E"/>
    <w:rsid w:val="00EA4FCB"/>
    <w:rsid w:val="00EA75B5"/>
    <w:rsid w:val="00EB0FC8"/>
    <w:rsid w:val="00EB2644"/>
    <w:rsid w:val="00EB3583"/>
    <w:rsid w:val="00EB419C"/>
    <w:rsid w:val="00EB49D9"/>
    <w:rsid w:val="00EB67CF"/>
    <w:rsid w:val="00EC1528"/>
    <w:rsid w:val="00EC271F"/>
    <w:rsid w:val="00EC4C0E"/>
    <w:rsid w:val="00EC6ADA"/>
    <w:rsid w:val="00ED0E5B"/>
    <w:rsid w:val="00ED18E0"/>
    <w:rsid w:val="00ED271E"/>
    <w:rsid w:val="00ED33FB"/>
    <w:rsid w:val="00ED3FC9"/>
    <w:rsid w:val="00ED422C"/>
    <w:rsid w:val="00ED4780"/>
    <w:rsid w:val="00ED5049"/>
    <w:rsid w:val="00EE1947"/>
    <w:rsid w:val="00EE3BE2"/>
    <w:rsid w:val="00EE5FC5"/>
    <w:rsid w:val="00EF2636"/>
    <w:rsid w:val="00EF3240"/>
    <w:rsid w:val="00EF6757"/>
    <w:rsid w:val="00F01218"/>
    <w:rsid w:val="00F0179C"/>
    <w:rsid w:val="00F017AB"/>
    <w:rsid w:val="00F02031"/>
    <w:rsid w:val="00F02442"/>
    <w:rsid w:val="00F0367E"/>
    <w:rsid w:val="00F04920"/>
    <w:rsid w:val="00F04ACA"/>
    <w:rsid w:val="00F055E0"/>
    <w:rsid w:val="00F05B33"/>
    <w:rsid w:val="00F05D9C"/>
    <w:rsid w:val="00F0786D"/>
    <w:rsid w:val="00F1760F"/>
    <w:rsid w:val="00F17A6D"/>
    <w:rsid w:val="00F206A8"/>
    <w:rsid w:val="00F206CF"/>
    <w:rsid w:val="00F21767"/>
    <w:rsid w:val="00F25032"/>
    <w:rsid w:val="00F2742F"/>
    <w:rsid w:val="00F31041"/>
    <w:rsid w:val="00F31638"/>
    <w:rsid w:val="00F32BA0"/>
    <w:rsid w:val="00F3483D"/>
    <w:rsid w:val="00F35ED4"/>
    <w:rsid w:val="00F37A27"/>
    <w:rsid w:val="00F401B5"/>
    <w:rsid w:val="00F40813"/>
    <w:rsid w:val="00F40A8D"/>
    <w:rsid w:val="00F42FC8"/>
    <w:rsid w:val="00F43D57"/>
    <w:rsid w:val="00F44F78"/>
    <w:rsid w:val="00F4629E"/>
    <w:rsid w:val="00F46C3D"/>
    <w:rsid w:val="00F51823"/>
    <w:rsid w:val="00F52603"/>
    <w:rsid w:val="00F5361D"/>
    <w:rsid w:val="00F601AB"/>
    <w:rsid w:val="00F602CA"/>
    <w:rsid w:val="00F618FA"/>
    <w:rsid w:val="00F619FC"/>
    <w:rsid w:val="00F61E53"/>
    <w:rsid w:val="00F6638C"/>
    <w:rsid w:val="00F704CB"/>
    <w:rsid w:val="00F70C04"/>
    <w:rsid w:val="00F7289A"/>
    <w:rsid w:val="00F7302F"/>
    <w:rsid w:val="00F7598F"/>
    <w:rsid w:val="00F75AFE"/>
    <w:rsid w:val="00F77A4D"/>
    <w:rsid w:val="00F8055C"/>
    <w:rsid w:val="00F80720"/>
    <w:rsid w:val="00F80932"/>
    <w:rsid w:val="00F80E25"/>
    <w:rsid w:val="00F824CF"/>
    <w:rsid w:val="00F83161"/>
    <w:rsid w:val="00F84634"/>
    <w:rsid w:val="00F854DE"/>
    <w:rsid w:val="00F86794"/>
    <w:rsid w:val="00F872B2"/>
    <w:rsid w:val="00F92C28"/>
    <w:rsid w:val="00F941F7"/>
    <w:rsid w:val="00F967B7"/>
    <w:rsid w:val="00FA02A8"/>
    <w:rsid w:val="00FA10D7"/>
    <w:rsid w:val="00FA211F"/>
    <w:rsid w:val="00FA244B"/>
    <w:rsid w:val="00FA2F0D"/>
    <w:rsid w:val="00FA4F01"/>
    <w:rsid w:val="00FA6003"/>
    <w:rsid w:val="00FA6352"/>
    <w:rsid w:val="00FA73D7"/>
    <w:rsid w:val="00FB1E05"/>
    <w:rsid w:val="00FB2977"/>
    <w:rsid w:val="00FB3ACC"/>
    <w:rsid w:val="00FB7FCE"/>
    <w:rsid w:val="00FC06EF"/>
    <w:rsid w:val="00FC231E"/>
    <w:rsid w:val="00FC36B3"/>
    <w:rsid w:val="00FC5043"/>
    <w:rsid w:val="00FC5CF5"/>
    <w:rsid w:val="00FD1B66"/>
    <w:rsid w:val="00FD3DC3"/>
    <w:rsid w:val="00FD46EF"/>
    <w:rsid w:val="00FD4DE3"/>
    <w:rsid w:val="00FD6B95"/>
    <w:rsid w:val="00FE0100"/>
    <w:rsid w:val="00FE0AC0"/>
    <w:rsid w:val="00FE2320"/>
    <w:rsid w:val="00FE23C7"/>
    <w:rsid w:val="00FE38D2"/>
    <w:rsid w:val="00FE3BBF"/>
    <w:rsid w:val="00FE52D8"/>
    <w:rsid w:val="00FF0421"/>
    <w:rsid w:val="00FF226E"/>
    <w:rsid w:val="00FF2A02"/>
    <w:rsid w:val="00FF741D"/>
    <w:rsid w:val="00FF7E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A512C2"/>
  <w15:docId w15:val="{07BE5FE3-AC98-47CB-B0EB-A739F0F8C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2204"/>
  </w:style>
  <w:style w:type="paragraph" w:styleId="1">
    <w:name w:val="heading 1"/>
    <w:basedOn w:val="a"/>
    <w:next w:val="a"/>
    <w:link w:val="1Char"/>
    <w:uiPriority w:val="9"/>
    <w:qFormat/>
    <w:rsid w:val="00822DA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link w:val="3Char"/>
    <w:uiPriority w:val="9"/>
    <w:qFormat/>
    <w:rsid w:val="004A16A3"/>
    <w:pPr>
      <w:spacing w:before="100" w:beforeAutospacing="1" w:after="100" w:afterAutospacing="1" w:line="240" w:lineRule="auto"/>
      <w:outlineLvl w:val="2"/>
    </w:pPr>
    <w:rPr>
      <w:rFonts w:ascii="Times New Roman" w:eastAsia="Times New Roman" w:hAnsi="Times New Roman" w:cs="Times New Roman"/>
      <w:b/>
      <w:bCs/>
      <w:sz w:val="27"/>
      <w:szCs w:val="27"/>
      <w:lang w:val="pl-PL"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3640"/>
    <w:pPr>
      <w:tabs>
        <w:tab w:val="center" w:pos="4153"/>
        <w:tab w:val="right" w:pos="8306"/>
      </w:tabs>
      <w:spacing w:after="0" w:line="240" w:lineRule="auto"/>
    </w:pPr>
  </w:style>
  <w:style w:type="character" w:customStyle="1" w:styleId="Char">
    <w:name w:val="Κεφαλίδα Char"/>
    <w:basedOn w:val="a0"/>
    <w:link w:val="a3"/>
    <w:uiPriority w:val="99"/>
    <w:rsid w:val="00903640"/>
  </w:style>
  <w:style w:type="paragraph" w:styleId="a4">
    <w:name w:val="footer"/>
    <w:basedOn w:val="a"/>
    <w:link w:val="Char0"/>
    <w:uiPriority w:val="99"/>
    <w:unhideWhenUsed/>
    <w:rsid w:val="00903640"/>
    <w:pPr>
      <w:tabs>
        <w:tab w:val="center" w:pos="4153"/>
        <w:tab w:val="right" w:pos="8306"/>
      </w:tabs>
      <w:spacing w:after="0" w:line="240" w:lineRule="auto"/>
    </w:pPr>
  </w:style>
  <w:style w:type="character" w:customStyle="1" w:styleId="Char0">
    <w:name w:val="Υποσέλιδο Char"/>
    <w:basedOn w:val="a0"/>
    <w:link w:val="a4"/>
    <w:uiPriority w:val="99"/>
    <w:rsid w:val="00903640"/>
  </w:style>
  <w:style w:type="character" w:customStyle="1" w:styleId="10">
    <w:name w:val="Προεπιλεγμένη γραμματοσειρά1"/>
    <w:qFormat/>
    <w:rsid w:val="005F5BE7"/>
  </w:style>
  <w:style w:type="paragraph" w:styleId="a5">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1"/>
    <w:uiPriority w:val="34"/>
    <w:qFormat/>
    <w:rsid w:val="005F5BE7"/>
    <w:pPr>
      <w:spacing w:after="0" w:line="300" w:lineRule="auto"/>
      <w:ind w:left="720"/>
      <w:jc w:val="both"/>
    </w:pPr>
    <w:rPr>
      <w:rFonts w:ascii="Arial" w:eastAsia="Times New Roman" w:hAnsi="Arial" w:cs="Times New Roman"/>
      <w:szCs w:val="20"/>
    </w:rPr>
  </w:style>
  <w:style w:type="character" w:styleId="-">
    <w:name w:val="Hyperlink"/>
    <w:basedOn w:val="a0"/>
    <w:uiPriority w:val="99"/>
    <w:rsid w:val="005F5BE7"/>
    <w:rPr>
      <w:color w:val="0563C1" w:themeColor="hyperlink"/>
      <w:u w:val="single"/>
    </w:rPr>
  </w:style>
  <w:style w:type="character" w:styleId="-0">
    <w:name w:val="FollowedHyperlink"/>
    <w:basedOn w:val="a0"/>
    <w:uiPriority w:val="99"/>
    <w:semiHidden/>
    <w:unhideWhenUsed/>
    <w:rsid w:val="000C3FBE"/>
    <w:rPr>
      <w:color w:val="954F72" w:themeColor="followedHyperlink"/>
      <w:u w:val="single"/>
    </w:rPr>
  </w:style>
  <w:style w:type="character" w:customStyle="1" w:styleId="11">
    <w:name w:val="Ανεπίλυτη αναφορά1"/>
    <w:basedOn w:val="a0"/>
    <w:uiPriority w:val="99"/>
    <w:semiHidden/>
    <w:unhideWhenUsed/>
    <w:rsid w:val="002A081C"/>
    <w:rPr>
      <w:color w:val="605E5C"/>
      <w:shd w:val="clear" w:color="auto" w:fill="E1DFDD"/>
    </w:rPr>
  </w:style>
  <w:style w:type="character" w:customStyle="1" w:styleId="Char1">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5"/>
    <w:uiPriority w:val="34"/>
    <w:qFormat/>
    <w:rsid w:val="007E0306"/>
    <w:rPr>
      <w:rFonts w:ascii="Arial" w:eastAsia="Times New Roman" w:hAnsi="Arial" w:cs="Times New Roman"/>
      <w:szCs w:val="20"/>
    </w:rPr>
  </w:style>
  <w:style w:type="numbering" w:customStyle="1" w:styleId="ImportedStyle1">
    <w:name w:val="Imported Style 1"/>
    <w:rsid w:val="00427FC4"/>
    <w:pPr>
      <w:numPr>
        <w:numId w:val="1"/>
      </w:numPr>
    </w:pPr>
  </w:style>
  <w:style w:type="numbering" w:customStyle="1" w:styleId="ImportedStyle2">
    <w:name w:val="Imported Style 2"/>
    <w:rsid w:val="00427FC4"/>
    <w:pPr>
      <w:numPr>
        <w:numId w:val="2"/>
      </w:numPr>
    </w:pPr>
  </w:style>
  <w:style w:type="numbering" w:customStyle="1" w:styleId="ImportedStyle3">
    <w:name w:val="Imported Style 3"/>
    <w:rsid w:val="00427FC4"/>
    <w:pPr>
      <w:numPr>
        <w:numId w:val="3"/>
      </w:numPr>
    </w:pPr>
  </w:style>
  <w:style w:type="numbering" w:customStyle="1" w:styleId="ImportedStyle4">
    <w:name w:val="Imported Style 4"/>
    <w:rsid w:val="00427FC4"/>
    <w:pPr>
      <w:numPr>
        <w:numId w:val="4"/>
      </w:numPr>
    </w:pPr>
  </w:style>
  <w:style w:type="numbering" w:customStyle="1" w:styleId="ImportedStyle5">
    <w:name w:val="Imported Style 5"/>
    <w:rsid w:val="00427FC4"/>
    <w:pPr>
      <w:numPr>
        <w:numId w:val="5"/>
      </w:numPr>
    </w:pPr>
  </w:style>
  <w:style w:type="table" w:styleId="a6">
    <w:name w:val="Table Grid"/>
    <w:basedOn w:val="a1"/>
    <w:uiPriority w:val="39"/>
    <w:rsid w:val="00A01D48"/>
    <w:pPr>
      <w:spacing w:after="0" w:line="240" w:lineRule="auto"/>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2"/>
    <w:uiPriority w:val="99"/>
    <w:semiHidden/>
    <w:unhideWhenUsed/>
    <w:rsid w:val="005145C1"/>
    <w:pPr>
      <w:spacing w:after="0" w:line="240" w:lineRule="auto"/>
    </w:pPr>
    <w:rPr>
      <w:rFonts w:ascii="Times New Roman" w:hAnsi="Times New Roman" w:cs="Times New Roman"/>
      <w:sz w:val="18"/>
      <w:szCs w:val="18"/>
    </w:rPr>
  </w:style>
  <w:style w:type="character" w:customStyle="1" w:styleId="Char2">
    <w:name w:val="Κείμενο πλαισίου Char"/>
    <w:basedOn w:val="a0"/>
    <w:link w:val="a7"/>
    <w:uiPriority w:val="99"/>
    <w:semiHidden/>
    <w:rsid w:val="005145C1"/>
    <w:rPr>
      <w:rFonts w:ascii="Times New Roman" w:hAnsi="Times New Roman" w:cs="Times New Roman"/>
      <w:sz w:val="18"/>
      <w:szCs w:val="18"/>
    </w:rPr>
  </w:style>
  <w:style w:type="character" w:customStyle="1" w:styleId="3Char">
    <w:name w:val="Επικεφαλίδα 3 Char"/>
    <w:basedOn w:val="a0"/>
    <w:link w:val="3"/>
    <w:uiPriority w:val="9"/>
    <w:rsid w:val="004A16A3"/>
    <w:rPr>
      <w:rFonts w:ascii="Times New Roman" w:eastAsia="Times New Roman" w:hAnsi="Times New Roman" w:cs="Times New Roman"/>
      <w:b/>
      <w:bCs/>
      <w:sz w:val="27"/>
      <w:szCs w:val="27"/>
      <w:lang w:val="pl-PL" w:eastAsia="pl-PL"/>
    </w:rPr>
  </w:style>
  <w:style w:type="paragraph" w:styleId="Web">
    <w:name w:val="Normal (Web)"/>
    <w:basedOn w:val="a"/>
    <w:uiPriority w:val="99"/>
    <w:unhideWhenUsed/>
    <w:rsid w:val="004A16A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a8">
    <w:name w:val="Emphasis"/>
    <w:basedOn w:val="a0"/>
    <w:uiPriority w:val="20"/>
    <w:qFormat/>
    <w:rsid w:val="004A16A3"/>
    <w:rPr>
      <w:i/>
      <w:iCs/>
    </w:rPr>
  </w:style>
  <w:style w:type="character" w:styleId="a9">
    <w:name w:val="Strong"/>
    <w:basedOn w:val="a0"/>
    <w:uiPriority w:val="22"/>
    <w:qFormat/>
    <w:rsid w:val="004A16A3"/>
    <w:rPr>
      <w:b/>
      <w:bCs/>
    </w:rPr>
  </w:style>
  <w:style w:type="character" w:styleId="aa">
    <w:name w:val="annotation reference"/>
    <w:basedOn w:val="a0"/>
    <w:uiPriority w:val="99"/>
    <w:semiHidden/>
    <w:unhideWhenUsed/>
    <w:rsid w:val="005F0879"/>
    <w:rPr>
      <w:sz w:val="16"/>
      <w:szCs w:val="16"/>
    </w:rPr>
  </w:style>
  <w:style w:type="paragraph" w:styleId="ab">
    <w:name w:val="annotation text"/>
    <w:basedOn w:val="a"/>
    <w:link w:val="Char3"/>
    <w:uiPriority w:val="99"/>
    <w:semiHidden/>
    <w:unhideWhenUsed/>
    <w:rsid w:val="005F0879"/>
    <w:pPr>
      <w:spacing w:line="240" w:lineRule="auto"/>
    </w:pPr>
    <w:rPr>
      <w:sz w:val="20"/>
      <w:szCs w:val="20"/>
    </w:rPr>
  </w:style>
  <w:style w:type="character" w:customStyle="1" w:styleId="Char3">
    <w:name w:val="Κείμενο σχολίου Char"/>
    <w:basedOn w:val="a0"/>
    <w:link w:val="ab"/>
    <w:uiPriority w:val="99"/>
    <w:semiHidden/>
    <w:rsid w:val="005F0879"/>
    <w:rPr>
      <w:sz w:val="20"/>
      <w:szCs w:val="20"/>
    </w:rPr>
  </w:style>
  <w:style w:type="paragraph" w:styleId="ac">
    <w:name w:val="annotation subject"/>
    <w:basedOn w:val="ab"/>
    <w:next w:val="ab"/>
    <w:link w:val="Char4"/>
    <w:uiPriority w:val="99"/>
    <w:semiHidden/>
    <w:unhideWhenUsed/>
    <w:rsid w:val="005F0879"/>
    <w:rPr>
      <w:b/>
      <w:bCs/>
    </w:rPr>
  </w:style>
  <w:style w:type="character" w:customStyle="1" w:styleId="Char4">
    <w:name w:val="Θέμα σχολίου Char"/>
    <w:basedOn w:val="Char3"/>
    <w:link w:val="ac"/>
    <w:uiPriority w:val="99"/>
    <w:semiHidden/>
    <w:rsid w:val="005F0879"/>
    <w:rPr>
      <w:b/>
      <w:bCs/>
      <w:sz w:val="20"/>
      <w:szCs w:val="20"/>
    </w:rPr>
  </w:style>
  <w:style w:type="character" w:customStyle="1" w:styleId="2">
    <w:name w:val="Ανεπίλυτη αναφορά2"/>
    <w:basedOn w:val="a0"/>
    <w:uiPriority w:val="99"/>
    <w:semiHidden/>
    <w:unhideWhenUsed/>
    <w:rsid w:val="00562F97"/>
    <w:rPr>
      <w:color w:val="605E5C"/>
      <w:shd w:val="clear" w:color="auto" w:fill="E1DFDD"/>
    </w:rPr>
  </w:style>
  <w:style w:type="character" w:customStyle="1" w:styleId="30">
    <w:name w:val="Ανεπίλυτη αναφορά3"/>
    <w:basedOn w:val="a0"/>
    <w:uiPriority w:val="99"/>
    <w:semiHidden/>
    <w:unhideWhenUsed/>
    <w:rsid w:val="00B76DE3"/>
    <w:rPr>
      <w:color w:val="605E5C"/>
      <w:shd w:val="clear" w:color="auto" w:fill="E1DFDD"/>
    </w:rPr>
  </w:style>
  <w:style w:type="paragraph" w:styleId="ad">
    <w:name w:val="Revision"/>
    <w:hidden/>
    <w:uiPriority w:val="99"/>
    <w:semiHidden/>
    <w:rsid w:val="001040B1"/>
    <w:pPr>
      <w:spacing w:after="0" w:line="240" w:lineRule="auto"/>
    </w:pPr>
  </w:style>
  <w:style w:type="paragraph" w:customStyle="1" w:styleId="font-claude-response-body">
    <w:name w:val="font-claude-response-body"/>
    <w:basedOn w:val="a"/>
    <w:rsid w:val="00717FC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822DA1"/>
    <w:rPr>
      <w:rFonts w:asciiTheme="majorHAnsi" w:eastAsiaTheme="majorEastAsia" w:hAnsiTheme="majorHAnsi" w:cstheme="majorBidi"/>
      <w:b/>
      <w:bCs/>
      <w:color w:val="2F5496" w:themeColor="accent1" w:themeShade="BF"/>
      <w:sz w:val="28"/>
      <w:szCs w:val="28"/>
    </w:rPr>
  </w:style>
  <w:style w:type="character" w:customStyle="1" w:styleId="4">
    <w:name w:val="Ανεπίλυτη αναφορά4"/>
    <w:basedOn w:val="a0"/>
    <w:uiPriority w:val="99"/>
    <w:semiHidden/>
    <w:unhideWhenUsed/>
    <w:rsid w:val="00BD5614"/>
    <w:rPr>
      <w:color w:val="605E5C"/>
      <w:shd w:val="clear" w:color="auto" w:fill="E1DFDD"/>
    </w:rPr>
  </w:style>
  <w:style w:type="character" w:styleId="ae">
    <w:name w:val="Unresolved Mention"/>
    <w:basedOn w:val="a0"/>
    <w:uiPriority w:val="99"/>
    <w:semiHidden/>
    <w:unhideWhenUsed/>
    <w:rsid w:val="002B7F6E"/>
    <w:rPr>
      <w:color w:val="605E5C"/>
      <w:shd w:val="clear" w:color="auto" w:fill="E1DFDD"/>
    </w:rPr>
  </w:style>
  <w:style w:type="paragraph" w:customStyle="1" w:styleId="x1yc453h">
    <w:name w:val="x1yc453h"/>
    <w:basedOn w:val="a"/>
    <w:rsid w:val="002142AD"/>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31465">
      <w:bodyDiv w:val="1"/>
      <w:marLeft w:val="0"/>
      <w:marRight w:val="0"/>
      <w:marTop w:val="0"/>
      <w:marBottom w:val="0"/>
      <w:divBdr>
        <w:top w:val="none" w:sz="0" w:space="0" w:color="auto"/>
        <w:left w:val="none" w:sz="0" w:space="0" w:color="auto"/>
        <w:bottom w:val="none" w:sz="0" w:space="0" w:color="auto"/>
        <w:right w:val="none" w:sz="0" w:space="0" w:color="auto"/>
      </w:divBdr>
    </w:div>
    <w:div w:id="181360185">
      <w:bodyDiv w:val="1"/>
      <w:marLeft w:val="0"/>
      <w:marRight w:val="0"/>
      <w:marTop w:val="0"/>
      <w:marBottom w:val="0"/>
      <w:divBdr>
        <w:top w:val="none" w:sz="0" w:space="0" w:color="auto"/>
        <w:left w:val="none" w:sz="0" w:space="0" w:color="auto"/>
        <w:bottom w:val="none" w:sz="0" w:space="0" w:color="auto"/>
        <w:right w:val="none" w:sz="0" w:space="0" w:color="auto"/>
      </w:divBdr>
    </w:div>
    <w:div w:id="240716775">
      <w:bodyDiv w:val="1"/>
      <w:marLeft w:val="0"/>
      <w:marRight w:val="0"/>
      <w:marTop w:val="0"/>
      <w:marBottom w:val="0"/>
      <w:divBdr>
        <w:top w:val="none" w:sz="0" w:space="0" w:color="auto"/>
        <w:left w:val="none" w:sz="0" w:space="0" w:color="auto"/>
        <w:bottom w:val="none" w:sz="0" w:space="0" w:color="auto"/>
        <w:right w:val="none" w:sz="0" w:space="0" w:color="auto"/>
      </w:divBdr>
    </w:div>
    <w:div w:id="247227055">
      <w:bodyDiv w:val="1"/>
      <w:marLeft w:val="0"/>
      <w:marRight w:val="0"/>
      <w:marTop w:val="0"/>
      <w:marBottom w:val="0"/>
      <w:divBdr>
        <w:top w:val="none" w:sz="0" w:space="0" w:color="auto"/>
        <w:left w:val="none" w:sz="0" w:space="0" w:color="auto"/>
        <w:bottom w:val="none" w:sz="0" w:space="0" w:color="auto"/>
        <w:right w:val="none" w:sz="0" w:space="0" w:color="auto"/>
      </w:divBdr>
    </w:div>
    <w:div w:id="297297983">
      <w:bodyDiv w:val="1"/>
      <w:marLeft w:val="0"/>
      <w:marRight w:val="0"/>
      <w:marTop w:val="0"/>
      <w:marBottom w:val="0"/>
      <w:divBdr>
        <w:top w:val="none" w:sz="0" w:space="0" w:color="auto"/>
        <w:left w:val="none" w:sz="0" w:space="0" w:color="auto"/>
        <w:bottom w:val="none" w:sz="0" w:space="0" w:color="auto"/>
        <w:right w:val="none" w:sz="0" w:space="0" w:color="auto"/>
      </w:divBdr>
    </w:div>
    <w:div w:id="387265533">
      <w:bodyDiv w:val="1"/>
      <w:marLeft w:val="0"/>
      <w:marRight w:val="0"/>
      <w:marTop w:val="0"/>
      <w:marBottom w:val="0"/>
      <w:divBdr>
        <w:top w:val="none" w:sz="0" w:space="0" w:color="auto"/>
        <w:left w:val="none" w:sz="0" w:space="0" w:color="auto"/>
        <w:bottom w:val="none" w:sz="0" w:space="0" w:color="auto"/>
        <w:right w:val="none" w:sz="0" w:space="0" w:color="auto"/>
      </w:divBdr>
    </w:div>
    <w:div w:id="392705727">
      <w:bodyDiv w:val="1"/>
      <w:marLeft w:val="0"/>
      <w:marRight w:val="0"/>
      <w:marTop w:val="0"/>
      <w:marBottom w:val="0"/>
      <w:divBdr>
        <w:top w:val="none" w:sz="0" w:space="0" w:color="auto"/>
        <w:left w:val="none" w:sz="0" w:space="0" w:color="auto"/>
        <w:bottom w:val="none" w:sz="0" w:space="0" w:color="auto"/>
        <w:right w:val="none" w:sz="0" w:space="0" w:color="auto"/>
      </w:divBdr>
    </w:div>
    <w:div w:id="424423990">
      <w:bodyDiv w:val="1"/>
      <w:marLeft w:val="0"/>
      <w:marRight w:val="0"/>
      <w:marTop w:val="0"/>
      <w:marBottom w:val="0"/>
      <w:divBdr>
        <w:top w:val="none" w:sz="0" w:space="0" w:color="auto"/>
        <w:left w:val="none" w:sz="0" w:space="0" w:color="auto"/>
        <w:bottom w:val="none" w:sz="0" w:space="0" w:color="auto"/>
        <w:right w:val="none" w:sz="0" w:space="0" w:color="auto"/>
      </w:divBdr>
    </w:div>
    <w:div w:id="480119945">
      <w:bodyDiv w:val="1"/>
      <w:marLeft w:val="0"/>
      <w:marRight w:val="0"/>
      <w:marTop w:val="0"/>
      <w:marBottom w:val="0"/>
      <w:divBdr>
        <w:top w:val="none" w:sz="0" w:space="0" w:color="auto"/>
        <w:left w:val="none" w:sz="0" w:space="0" w:color="auto"/>
        <w:bottom w:val="none" w:sz="0" w:space="0" w:color="auto"/>
        <w:right w:val="none" w:sz="0" w:space="0" w:color="auto"/>
      </w:divBdr>
    </w:div>
    <w:div w:id="502209683">
      <w:bodyDiv w:val="1"/>
      <w:marLeft w:val="0"/>
      <w:marRight w:val="0"/>
      <w:marTop w:val="0"/>
      <w:marBottom w:val="0"/>
      <w:divBdr>
        <w:top w:val="none" w:sz="0" w:space="0" w:color="auto"/>
        <w:left w:val="none" w:sz="0" w:space="0" w:color="auto"/>
        <w:bottom w:val="none" w:sz="0" w:space="0" w:color="auto"/>
        <w:right w:val="none" w:sz="0" w:space="0" w:color="auto"/>
      </w:divBdr>
    </w:div>
    <w:div w:id="613633238">
      <w:bodyDiv w:val="1"/>
      <w:marLeft w:val="0"/>
      <w:marRight w:val="0"/>
      <w:marTop w:val="0"/>
      <w:marBottom w:val="0"/>
      <w:divBdr>
        <w:top w:val="none" w:sz="0" w:space="0" w:color="auto"/>
        <w:left w:val="none" w:sz="0" w:space="0" w:color="auto"/>
        <w:bottom w:val="none" w:sz="0" w:space="0" w:color="auto"/>
        <w:right w:val="none" w:sz="0" w:space="0" w:color="auto"/>
      </w:divBdr>
    </w:div>
    <w:div w:id="656883831">
      <w:bodyDiv w:val="1"/>
      <w:marLeft w:val="0"/>
      <w:marRight w:val="0"/>
      <w:marTop w:val="0"/>
      <w:marBottom w:val="0"/>
      <w:divBdr>
        <w:top w:val="none" w:sz="0" w:space="0" w:color="auto"/>
        <w:left w:val="none" w:sz="0" w:space="0" w:color="auto"/>
        <w:bottom w:val="none" w:sz="0" w:space="0" w:color="auto"/>
        <w:right w:val="none" w:sz="0" w:space="0" w:color="auto"/>
      </w:divBdr>
    </w:div>
    <w:div w:id="671683027">
      <w:bodyDiv w:val="1"/>
      <w:marLeft w:val="0"/>
      <w:marRight w:val="0"/>
      <w:marTop w:val="0"/>
      <w:marBottom w:val="0"/>
      <w:divBdr>
        <w:top w:val="none" w:sz="0" w:space="0" w:color="auto"/>
        <w:left w:val="none" w:sz="0" w:space="0" w:color="auto"/>
        <w:bottom w:val="none" w:sz="0" w:space="0" w:color="auto"/>
        <w:right w:val="none" w:sz="0" w:space="0" w:color="auto"/>
      </w:divBdr>
    </w:div>
    <w:div w:id="758330240">
      <w:bodyDiv w:val="1"/>
      <w:marLeft w:val="0"/>
      <w:marRight w:val="0"/>
      <w:marTop w:val="0"/>
      <w:marBottom w:val="0"/>
      <w:divBdr>
        <w:top w:val="none" w:sz="0" w:space="0" w:color="auto"/>
        <w:left w:val="none" w:sz="0" w:space="0" w:color="auto"/>
        <w:bottom w:val="none" w:sz="0" w:space="0" w:color="auto"/>
        <w:right w:val="none" w:sz="0" w:space="0" w:color="auto"/>
      </w:divBdr>
      <w:divsChild>
        <w:div w:id="1770001657">
          <w:blockQuote w:val="1"/>
          <w:marLeft w:val="480"/>
          <w:marRight w:val="480"/>
          <w:marTop w:val="48"/>
          <w:marBottom w:val="0"/>
          <w:divBdr>
            <w:top w:val="none" w:sz="0" w:space="0" w:color="auto"/>
            <w:left w:val="none" w:sz="0" w:space="0" w:color="auto"/>
            <w:bottom w:val="none" w:sz="0" w:space="0" w:color="auto"/>
            <w:right w:val="none" w:sz="0" w:space="0" w:color="auto"/>
          </w:divBdr>
          <w:divsChild>
            <w:div w:id="663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71566">
      <w:bodyDiv w:val="1"/>
      <w:marLeft w:val="0"/>
      <w:marRight w:val="0"/>
      <w:marTop w:val="0"/>
      <w:marBottom w:val="0"/>
      <w:divBdr>
        <w:top w:val="none" w:sz="0" w:space="0" w:color="auto"/>
        <w:left w:val="none" w:sz="0" w:space="0" w:color="auto"/>
        <w:bottom w:val="none" w:sz="0" w:space="0" w:color="auto"/>
        <w:right w:val="none" w:sz="0" w:space="0" w:color="auto"/>
      </w:divBdr>
    </w:div>
    <w:div w:id="978653212">
      <w:bodyDiv w:val="1"/>
      <w:marLeft w:val="0"/>
      <w:marRight w:val="0"/>
      <w:marTop w:val="0"/>
      <w:marBottom w:val="0"/>
      <w:divBdr>
        <w:top w:val="none" w:sz="0" w:space="0" w:color="auto"/>
        <w:left w:val="none" w:sz="0" w:space="0" w:color="auto"/>
        <w:bottom w:val="none" w:sz="0" w:space="0" w:color="auto"/>
        <w:right w:val="none" w:sz="0" w:space="0" w:color="auto"/>
      </w:divBdr>
    </w:div>
    <w:div w:id="1008410709">
      <w:bodyDiv w:val="1"/>
      <w:marLeft w:val="0"/>
      <w:marRight w:val="0"/>
      <w:marTop w:val="0"/>
      <w:marBottom w:val="0"/>
      <w:divBdr>
        <w:top w:val="none" w:sz="0" w:space="0" w:color="auto"/>
        <w:left w:val="none" w:sz="0" w:space="0" w:color="auto"/>
        <w:bottom w:val="none" w:sz="0" w:space="0" w:color="auto"/>
        <w:right w:val="none" w:sz="0" w:space="0" w:color="auto"/>
      </w:divBdr>
    </w:div>
    <w:div w:id="1156531437">
      <w:bodyDiv w:val="1"/>
      <w:marLeft w:val="0"/>
      <w:marRight w:val="0"/>
      <w:marTop w:val="0"/>
      <w:marBottom w:val="0"/>
      <w:divBdr>
        <w:top w:val="none" w:sz="0" w:space="0" w:color="auto"/>
        <w:left w:val="none" w:sz="0" w:space="0" w:color="auto"/>
        <w:bottom w:val="none" w:sz="0" w:space="0" w:color="auto"/>
        <w:right w:val="none" w:sz="0" w:space="0" w:color="auto"/>
      </w:divBdr>
    </w:div>
    <w:div w:id="1298536573">
      <w:bodyDiv w:val="1"/>
      <w:marLeft w:val="0"/>
      <w:marRight w:val="0"/>
      <w:marTop w:val="0"/>
      <w:marBottom w:val="0"/>
      <w:divBdr>
        <w:top w:val="none" w:sz="0" w:space="0" w:color="auto"/>
        <w:left w:val="none" w:sz="0" w:space="0" w:color="auto"/>
        <w:bottom w:val="none" w:sz="0" w:space="0" w:color="auto"/>
        <w:right w:val="none" w:sz="0" w:space="0" w:color="auto"/>
      </w:divBdr>
      <w:divsChild>
        <w:div w:id="1585257582">
          <w:marLeft w:val="0"/>
          <w:marRight w:val="0"/>
          <w:marTop w:val="0"/>
          <w:marBottom w:val="240"/>
          <w:divBdr>
            <w:top w:val="none" w:sz="0" w:space="0" w:color="auto"/>
            <w:left w:val="none" w:sz="0" w:space="0" w:color="auto"/>
            <w:bottom w:val="single" w:sz="6" w:space="0" w:color="C8C9CA"/>
            <w:right w:val="none" w:sz="0" w:space="0" w:color="auto"/>
          </w:divBdr>
        </w:div>
        <w:div w:id="1394432225">
          <w:marLeft w:val="0"/>
          <w:marRight w:val="0"/>
          <w:marTop w:val="0"/>
          <w:marBottom w:val="0"/>
          <w:divBdr>
            <w:top w:val="none" w:sz="0" w:space="0" w:color="auto"/>
            <w:left w:val="none" w:sz="0" w:space="0" w:color="auto"/>
            <w:bottom w:val="none" w:sz="0" w:space="0" w:color="auto"/>
            <w:right w:val="none" w:sz="0" w:space="0" w:color="auto"/>
          </w:divBdr>
          <w:divsChild>
            <w:div w:id="1854373489">
              <w:marLeft w:val="0"/>
              <w:marRight w:val="150"/>
              <w:marTop w:val="0"/>
              <w:marBottom w:val="0"/>
              <w:divBdr>
                <w:top w:val="none" w:sz="0" w:space="0" w:color="auto"/>
                <w:left w:val="none" w:sz="0" w:space="0" w:color="auto"/>
                <w:bottom w:val="none" w:sz="0" w:space="0" w:color="auto"/>
                <w:right w:val="none" w:sz="0" w:space="0" w:color="auto"/>
              </w:divBdr>
              <w:divsChild>
                <w:div w:id="6256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95707">
      <w:bodyDiv w:val="1"/>
      <w:marLeft w:val="0"/>
      <w:marRight w:val="0"/>
      <w:marTop w:val="0"/>
      <w:marBottom w:val="0"/>
      <w:divBdr>
        <w:top w:val="none" w:sz="0" w:space="0" w:color="auto"/>
        <w:left w:val="none" w:sz="0" w:space="0" w:color="auto"/>
        <w:bottom w:val="none" w:sz="0" w:space="0" w:color="auto"/>
        <w:right w:val="none" w:sz="0" w:space="0" w:color="auto"/>
      </w:divBdr>
    </w:div>
    <w:div w:id="1367289004">
      <w:bodyDiv w:val="1"/>
      <w:marLeft w:val="0"/>
      <w:marRight w:val="0"/>
      <w:marTop w:val="0"/>
      <w:marBottom w:val="0"/>
      <w:divBdr>
        <w:top w:val="none" w:sz="0" w:space="0" w:color="auto"/>
        <w:left w:val="none" w:sz="0" w:space="0" w:color="auto"/>
        <w:bottom w:val="none" w:sz="0" w:space="0" w:color="auto"/>
        <w:right w:val="none" w:sz="0" w:space="0" w:color="auto"/>
      </w:divBdr>
      <w:divsChild>
        <w:div w:id="1198616290">
          <w:marLeft w:val="0"/>
          <w:marRight w:val="0"/>
          <w:marTop w:val="180"/>
          <w:marBottom w:val="240"/>
          <w:divBdr>
            <w:top w:val="none" w:sz="0" w:space="0" w:color="auto"/>
            <w:left w:val="none" w:sz="0" w:space="0" w:color="auto"/>
            <w:bottom w:val="none" w:sz="0" w:space="0" w:color="auto"/>
            <w:right w:val="none" w:sz="0" w:space="0" w:color="auto"/>
          </w:divBdr>
        </w:div>
        <w:div w:id="112091262">
          <w:marLeft w:val="0"/>
          <w:marRight w:val="0"/>
          <w:marTop w:val="180"/>
          <w:marBottom w:val="240"/>
          <w:divBdr>
            <w:top w:val="none" w:sz="0" w:space="0" w:color="auto"/>
            <w:left w:val="none" w:sz="0" w:space="0" w:color="auto"/>
            <w:bottom w:val="none" w:sz="0" w:space="0" w:color="auto"/>
            <w:right w:val="none" w:sz="0" w:space="0" w:color="auto"/>
          </w:divBdr>
        </w:div>
        <w:div w:id="1559242910">
          <w:marLeft w:val="0"/>
          <w:marRight w:val="0"/>
          <w:marTop w:val="180"/>
          <w:marBottom w:val="240"/>
          <w:divBdr>
            <w:top w:val="none" w:sz="0" w:space="0" w:color="auto"/>
            <w:left w:val="none" w:sz="0" w:space="0" w:color="auto"/>
            <w:bottom w:val="none" w:sz="0" w:space="0" w:color="auto"/>
            <w:right w:val="none" w:sz="0" w:space="0" w:color="auto"/>
          </w:divBdr>
        </w:div>
      </w:divsChild>
    </w:div>
    <w:div w:id="1382710320">
      <w:bodyDiv w:val="1"/>
      <w:marLeft w:val="0"/>
      <w:marRight w:val="0"/>
      <w:marTop w:val="0"/>
      <w:marBottom w:val="0"/>
      <w:divBdr>
        <w:top w:val="none" w:sz="0" w:space="0" w:color="auto"/>
        <w:left w:val="none" w:sz="0" w:space="0" w:color="auto"/>
        <w:bottom w:val="none" w:sz="0" w:space="0" w:color="auto"/>
        <w:right w:val="none" w:sz="0" w:space="0" w:color="auto"/>
      </w:divBdr>
    </w:div>
    <w:div w:id="1424179884">
      <w:bodyDiv w:val="1"/>
      <w:marLeft w:val="0"/>
      <w:marRight w:val="0"/>
      <w:marTop w:val="0"/>
      <w:marBottom w:val="0"/>
      <w:divBdr>
        <w:top w:val="none" w:sz="0" w:space="0" w:color="auto"/>
        <w:left w:val="none" w:sz="0" w:space="0" w:color="auto"/>
        <w:bottom w:val="none" w:sz="0" w:space="0" w:color="auto"/>
        <w:right w:val="none" w:sz="0" w:space="0" w:color="auto"/>
      </w:divBdr>
    </w:div>
    <w:div w:id="1473208845">
      <w:bodyDiv w:val="1"/>
      <w:marLeft w:val="0"/>
      <w:marRight w:val="0"/>
      <w:marTop w:val="0"/>
      <w:marBottom w:val="0"/>
      <w:divBdr>
        <w:top w:val="none" w:sz="0" w:space="0" w:color="auto"/>
        <w:left w:val="none" w:sz="0" w:space="0" w:color="auto"/>
        <w:bottom w:val="none" w:sz="0" w:space="0" w:color="auto"/>
        <w:right w:val="none" w:sz="0" w:space="0" w:color="auto"/>
      </w:divBdr>
    </w:div>
    <w:div w:id="1531991656">
      <w:bodyDiv w:val="1"/>
      <w:marLeft w:val="0"/>
      <w:marRight w:val="0"/>
      <w:marTop w:val="0"/>
      <w:marBottom w:val="0"/>
      <w:divBdr>
        <w:top w:val="none" w:sz="0" w:space="0" w:color="auto"/>
        <w:left w:val="none" w:sz="0" w:space="0" w:color="auto"/>
        <w:bottom w:val="none" w:sz="0" w:space="0" w:color="auto"/>
        <w:right w:val="none" w:sz="0" w:space="0" w:color="auto"/>
      </w:divBdr>
    </w:div>
    <w:div w:id="1648558457">
      <w:bodyDiv w:val="1"/>
      <w:marLeft w:val="0"/>
      <w:marRight w:val="0"/>
      <w:marTop w:val="0"/>
      <w:marBottom w:val="0"/>
      <w:divBdr>
        <w:top w:val="none" w:sz="0" w:space="0" w:color="auto"/>
        <w:left w:val="none" w:sz="0" w:space="0" w:color="auto"/>
        <w:bottom w:val="none" w:sz="0" w:space="0" w:color="auto"/>
        <w:right w:val="none" w:sz="0" w:space="0" w:color="auto"/>
      </w:divBdr>
    </w:div>
    <w:div w:id="1659840416">
      <w:bodyDiv w:val="1"/>
      <w:marLeft w:val="0"/>
      <w:marRight w:val="0"/>
      <w:marTop w:val="0"/>
      <w:marBottom w:val="0"/>
      <w:divBdr>
        <w:top w:val="none" w:sz="0" w:space="0" w:color="auto"/>
        <w:left w:val="none" w:sz="0" w:space="0" w:color="auto"/>
        <w:bottom w:val="none" w:sz="0" w:space="0" w:color="auto"/>
        <w:right w:val="none" w:sz="0" w:space="0" w:color="auto"/>
      </w:divBdr>
    </w:div>
    <w:div w:id="1693144094">
      <w:bodyDiv w:val="1"/>
      <w:marLeft w:val="0"/>
      <w:marRight w:val="0"/>
      <w:marTop w:val="0"/>
      <w:marBottom w:val="0"/>
      <w:divBdr>
        <w:top w:val="none" w:sz="0" w:space="0" w:color="auto"/>
        <w:left w:val="none" w:sz="0" w:space="0" w:color="auto"/>
        <w:bottom w:val="none" w:sz="0" w:space="0" w:color="auto"/>
        <w:right w:val="none" w:sz="0" w:space="0" w:color="auto"/>
      </w:divBdr>
    </w:div>
    <w:div w:id="1756702778">
      <w:bodyDiv w:val="1"/>
      <w:marLeft w:val="0"/>
      <w:marRight w:val="0"/>
      <w:marTop w:val="0"/>
      <w:marBottom w:val="0"/>
      <w:divBdr>
        <w:top w:val="none" w:sz="0" w:space="0" w:color="auto"/>
        <w:left w:val="none" w:sz="0" w:space="0" w:color="auto"/>
        <w:bottom w:val="none" w:sz="0" w:space="0" w:color="auto"/>
        <w:right w:val="none" w:sz="0" w:space="0" w:color="auto"/>
      </w:divBdr>
    </w:div>
    <w:div w:id="1830439667">
      <w:bodyDiv w:val="1"/>
      <w:marLeft w:val="0"/>
      <w:marRight w:val="0"/>
      <w:marTop w:val="0"/>
      <w:marBottom w:val="0"/>
      <w:divBdr>
        <w:top w:val="none" w:sz="0" w:space="0" w:color="auto"/>
        <w:left w:val="none" w:sz="0" w:space="0" w:color="auto"/>
        <w:bottom w:val="none" w:sz="0" w:space="0" w:color="auto"/>
        <w:right w:val="none" w:sz="0" w:space="0" w:color="auto"/>
      </w:divBdr>
    </w:div>
    <w:div w:id="1874462006">
      <w:bodyDiv w:val="1"/>
      <w:marLeft w:val="0"/>
      <w:marRight w:val="0"/>
      <w:marTop w:val="0"/>
      <w:marBottom w:val="0"/>
      <w:divBdr>
        <w:top w:val="none" w:sz="0" w:space="0" w:color="auto"/>
        <w:left w:val="none" w:sz="0" w:space="0" w:color="auto"/>
        <w:bottom w:val="none" w:sz="0" w:space="0" w:color="auto"/>
        <w:right w:val="none" w:sz="0" w:space="0" w:color="auto"/>
      </w:divBdr>
    </w:div>
    <w:div w:id="1957445487">
      <w:bodyDiv w:val="1"/>
      <w:marLeft w:val="0"/>
      <w:marRight w:val="0"/>
      <w:marTop w:val="0"/>
      <w:marBottom w:val="0"/>
      <w:divBdr>
        <w:top w:val="none" w:sz="0" w:space="0" w:color="auto"/>
        <w:left w:val="none" w:sz="0" w:space="0" w:color="auto"/>
        <w:bottom w:val="none" w:sz="0" w:space="0" w:color="auto"/>
        <w:right w:val="none" w:sz="0" w:space="0" w:color="auto"/>
      </w:divBdr>
    </w:div>
    <w:div w:id="2038004138">
      <w:bodyDiv w:val="1"/>
      <w:marLeft w:val="0"/>
      <w:marRight w:val="0"/>
      <w:marTop w:val="0"/>
      <w:marBottom w:val="0"/>
      <w:divBdr>
        <w:top w:val="none" w:sz="0" w:space="0" w:color="auto"/>
        <w:left w:val="none" w:sz="0" w:space="0" w:color="auto"/>
        <w:bottom w:val="none" w:sz="0" w:space="0" w:color="auto"/>
        <w:right w:val="none" w:sz="0" w:space="0" w:color="auto"/>
      </w:divBdr>
    </w:div>
    <w:div w:id="210449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8238E-5463-4AC2-8CD5-00889B4A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857</Words>
  <Characters>4630</Characters>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2026-02-10T07:09:00Z</cp:lastPrinted>
  <dcterms:created xsi:type="dcterms:W3CDTF">2026-09-15T13:35:00Z</dcterms:created>
  <dcterms:modified xsi:type="dcterms:W3CDTF">2026-09-30T10:39:00Z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088bf20dba60ffb72a4aae0a010f50703b7c7a79c2751ed0c788f5a5782b8552</vt:lpwstr>
  </property>
</Properties>
</file>