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C7961" w14:textId="77777777" w:rsidR="003B594D" w:rsidRPr="003652CF" w:rsidRDefault="008F7B94" w:rsidP="007C66E7">
      <w:pPr>
        <w:tabs>
          <w:tab w:val="left" w:pos="0"/>
        </w:tabs>
        <w:spacing w:after="0"/>
        <w:jc w:val="center"/>
        <w:rPr>
          <w:noProof/>
          <w:highlight w:val="yellow"/>
        </w:rPr>
      </w:pPr>
      <w:r w:rsidRPr="00A017F7">
        <w:rPr>
          <w:noProof/>
        </w:rPr>
        <w:drawing>
          <wp:inline distT="0" distB="0" distL="0" distR="0" wp14:anchorId="3E42F3A2" wp14:editId="29895077">
            <wp:extent cx="723900" cy="676275"/>
            <wp:effectExtent l="0" t="0" r="0" b="0"/>
            <wp:docPr id="1" name="Εικόνα 2"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hire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inline>
        </w:drawing>
      </w:r>
    </w:p>
    <w:p w14:paraId="67694FFC" w14:textId="77777777" w:rsidR="007A2BF5" w:rsidRPr="00FB2C0D" w:rsidRDefault="007A2BF5" w:rsidP="00CB5550">
      <w:pPr>
        <w:spacing w:after="60" w:line="240" w:lineRule="exact"/>
        <w:jc w:val="center"/>
        <w:rPr>
          <w:rFonts w:cs="Arial"/>
          <w:b/>
          <w:color w:val="2F5496"/>
          <w:sz w:val="22"/>
          <w:szCs w:val="22"/>
        </w:rPr>
      </w:pPr>
      <w:r w:rsidRPr="00FB2C0D">
        <w:rPr>
          <w:rFonts w:cs="Arial"/>
          <w:b/>
          <w:color w:val="2F5496"/>
          <w:sz w:val="22"/>
          <w:szCs w:val="22"/>
        </w:rPr>
        <w:t>ΕΛΛΗΝΙΚΗ ΔΗΜΟΚΡΑΤΙΑ</w:t>
      </w:r>
    </w:p>
    <w:p w14:paraId="4E2E56E7" w14:textId="77777777" w:rsidR="0047015E" w:rsidRPr="00FB2C0D" w:rsidRDefault="007A2BF5" w:rsidP="007C66E7">
      <w:pPr>
        <w:tabs>
          <w:tab w:val="left" w:pos="0"/>
        </w:tabs>
        <w:spacing w:after="0" w:line="240" w:lineRule="exact"/>
        <w:ind w:right="57"/>
        <w:jc w:val="center"/>
        <w:rPr>
          <w:rFonts w:cs="Arial"/>
          <w:color w:val="2F5496"/>
          <w:highlight w:val="yellow"/>
        </w:rPr>
      </w:pPr>
      <w:r w:rsidRPr="00FB2C0D">
        <w:rPr>
          <w:rFonts w:cs="Arial"/>
          <w:b/>
          <w:color w:val="2F5496"/>
          <w:sz w:val="22"/>
          <w:szCs w:val="22"/>
        </w:rPr>
        <w:t>ΥΠΟΥΡΓΕΙΟ ΕΘΝΙΚΗΣ ΟΙΚΟΝΟΜΙΑΣ ΚΑΙ ΟΙΚΟΝΟΜΙΚΩΝ</w:t>
      </w:r>
    </w:p>
    <w:p w14:paraId="62C8CC62" w14:textId="77777777" w:rsidR="0026075E" w:rsidRDefault="0026075E" w:rsidP="004213BC">
      <w:pPr>
        <w:rPr>
          <w:highlight w:val="yellow"/>
        </w:rPr>
      </w:pPr>
    </w:p>
    <w:p w14:paraId="4C55BE17" w14:textId="77777777" w:rsidR="00506B54" w:rsidRPr="00CF5081" w:rsidRDefault="00506B54" w:rsidP="004213BC">
      <w:pPr>
        <w:rPr>
          <w:color w:val="1F3864"/>
          <w:highlight w:val="yellow"/>
        </w:rPr>
      </w:pPr>
    </w:p>
    <w:p w14:paraId="106A672D" w14:textId="77777777" w:rsidR="004C3865" w:rsidRPr="002C4F17" w:rsidRDefault="004C3865" w:rsidP="004213BC">
      <w:pPr>
        <w:rPr>
          <w:highlight w:val="yellow"/>
        </w:rPr>
      </w:pPr>
    </w:p>
    <w:p w14:paraId="5D04F5A0" w14:textId="77777777" w:rsidR="001C2C9E" w:rsidRDefault="001C2C9E" w:rsidP="004213BC">
      <w:pPr>
        <w:rPr>
          <w:highlight w:val="yellow"/>
        </w:rPr>
      </w:pPr>
    </w:p>
    <w:p w14:paraId="224FD185" w14:textId="77777777" w:rsidR="004C3865" w:rsidRPr="003443BA" w:rsidRDefault="005E6F76" w:rsidP="004C3865">
      <w:pPr>
        <w:pStyle w:val="af2"/>
        <w:spacing w:before="120" w:after="120"/>
        <w:jc w:val="center"/>
        <w:rPr>
          <w:rFonts w:ascii="Arial" w:hAnsi="Arial" w:cs="Arial"/>
          <w:b/>
          <w:bCs/>
          <w:color w:val="1F3864"/>
          <w:sz w:val="56"/>
          <w:szCs w:val="56"/>
        </w:rPr>
      </w:pPr>
      <w:r w:rsidRPr="003443BA">
        <w:rPr>
          <w:rFonts w:ascii="Arial" w:hAnsi="Arial" w:cs="Arial"/>
          <w:b/>
          <w:bCs/>
          <w:color w:val="1F3864"/>
          <w:sz w:val="56"/>
          <w:szCs w:val="56"/>
        </w:rPr>
        <w:t>Π</w:t>
      </w:r>
      <w:r w:rsidR="00C45E19">
        <w:rPr>
          <w:rFonts w:ascii="Arial" w:hAnsi="Arial" w:cs="Arial"/>
          <w:b/>
          <w:bCs/>
          <w:color w:val="1F3864"/>
          <w:sz w:val="56"/>
          <w:szCs w:val="56"/>
        </w:rPr>
        <w:t>ΡΟΣΧΕΔΙΟ</w:t>
      </w:r>
    </w:p>
    <w:p w14:paraId="6B259F59" w14:textId="77777777" w:rsidR="004C3865" w:rsidRPr="003443BA" w:rsidRDefault="008F7B94" w:rsidP="004C3865">
      <w:pPr>
        <w:pStyle w:val="af2"/>
        <w:spacing w:before="120" w:after="120"/>
        <w:jc w:val="center"/>
        <w:rPr>
          <w:rFonts w:ascii="Arial" w:hAnsi="Arial" w:cs="Arial"/>
          <w:b/>
          <w:bCs/>
          <w:color w:val="1F3864"/>
          <w:sz w:val="56"/>
          <w:szCs w:val="56"/>
        </w:rPr>
      </w:pPr>
      <w:r w:rsidRPr="003443BA">
        <w:rPr>
          <w:rFonts w:ascii="Arial" w:hAnsi="Arial" w:cs="Arial"/>
          <w:b/>
          <w:bCs/>
          <w:noProof/>
          <w:color w:val="1F3864"/>
          <w:sz w:val="56"/>
          <w:szCs w:val="56"/>
        </w:rPr>
        <mc:AlternateContent>
          <mc:Choice Requires="wps">
            <w:drawing>
              <wp:anchor distT="0" distB="0" distL="114300" distR="114300" simplePos="0" relativeHeight="251658240" behindDoc="0" locked="0" layoutInCell="1" allowOverlap="1" wp14:anchorId="13E0AB11" wp14:editId="2D0F69BE">
                <wp:simplePos x="0" y="0"/>
                <wp:positionH relativeFrom="column">
                  <wp:posOffset>-900430</wp:posOffset>
                </wp:positionH>
                <wp:positionV relativeFrom="paragraph">
                  <wp:posOffset>593090</wp:posOffset>
                </wp:positionV>
                <wp:extent cx="7557135" cy="833120"/>
                <wp:effectExtent l="0" t="1905" r="0" b="317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833120"/>
                        </a:xfrm>
                        <a:prstGeom prst="rect">
                          <a:avLst/>
                        </a:prstGeom>
                        <a:solidFill>
                          <a:srgbClr val="D5D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88739" w14:textId="77777777" w:rsidR="00DB7252" w:rsidRPr="001D4942" w:rsidRDefault="00DB7252" w:rsidP="001D4942">
                            <w:pPr>
                              <w:pStyle w:val="af2"/>
                              <w:jc w:val="center"/>
                              <w:rPr>
                                <w:rFonts w:ascii="Arial" w:hAnsi="Arial" w:cs="Arial"/>
                                <w:b/>
                                <w:bCs/>
                                <w:color w:val="4D4D4D"/>
                                <w:sz w:val="92"/>
                                <w:szCs w:val="9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0AB11" id="Rectangle 6" o:spid="_x0000_s1026" style="position:absolute;left:0;text-align:left;margin-left:-70.9pt;margin-top:46.7pt;width:595.05pt;height: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dyhgIAAAcFAAAOAAAAZHJzL2Uyb0RvYy54bWysVNFu2yAUfZ+0f0C8p7ZTO4mtOlWbNNOk&#10;bqvW7QMI4BgNAwMSp5v277vgJE23PUzT8kDAXA7n3HsuV9f7TqIdt05oVePsIsWIK6qZUJsaf/60&#10;Gs0wcp4oRqRWvMZP3OHr+etXV72p+Fi3WjJuEYAoV/Wmxq33pkoSR1veEXehDVew2WjbEQ9Lu0mY&#10;JT2gdzIZp+kk6bVlxmrKnYOvy2ETzyN+03DqPzSN4x7JGgM3H0cbx3UYk/kVqTaWmFbQAw3yDyw6&#10;IhRceoJaEk/Q1orfoDpBrXa68RdUd4luGkF51ABqsvQXNY8tMTxqgeQ4c0qT+3+w9P3uwSLBoHYF&#10;Rop0UKOPkDWiNpKjSchPb1wFYY/mwQaFztxr+sUhpRctRPEba3XfcsKAVRbikxcHwsLBUbTu32kG&#10;6GTrdUzVvrFdAIQkoH2syNOpInzvEYWP06KYZpfAjMLe7PIyG8eSJaQ6njbW+TdcdyhMamyBe0Qn&#10;u3vnAxtSHUMiey0FWwkp48Ju1gtp0Y6AO5bFcnGXRwEg8jxMqhCsdDg2IA5fgCTcEfYC3Vjt72U2&#10;ztPbcTlaTWbTUb7Ki1E5TWejNCtvy0mal/ly9SMQzPKqFYxxdS8UPzovy/+usoceGDwTvYf6GpfF&#10;uIjaX7B35yLT+PuTyE54aEQpOsjzKYhUobB3ioFsUnki5DBPXtKPWYYcHP9jVqINQuUHB/n9eg8o&#10;wQ5rzZ7AEFZDvaAn4fWASavtN4x66MQau69bYjlG8q0CU5VZnofWjYu8mIIFkD3fWZ/vEEUBqsYe&#10;o2G68EO7b40VmxZuymKOlL4BIzYieuSZ1cG+0G1RzOFlCO18vo5Rz+/X/CcAAAD//wMAUEsDBBQA&#10;BgAIAAAAIQAiqx5L4AAAAAwBAAAPAAAAZHJzL2Rvd25yZXYueG1sTI/NasMwEITvhb6D2EIvJZH/&#10;CI7jdSiF3kohTg89KtbGdmqtjKUkzttXObXHYYaZb8rtbAZxocn1lhHiZQSCuLG65xbha/++yEE4&#10;r1irwTIh3MjBtnp8KFWh7ZV3dKl9K0IJu0IhdN6PhZSu6cgot7QjcfCOdjLKBzm1Uk/qGsrNIJMo&#10;Wkmjeg4LnRrpraPmpz4bhFTXUr3UH83p+1Pvjus4uVFuEJ+f5tcNCE+z/wvDHT+gQxWYDvbM2okB&#10;YRFncWD3COs0A3FPRFmegjggJEm2AlmV8v+J6hcAAP//AwBQSwECLQAUAAYACAAAACEAtoM4kv4A&#10;AADhAQAAEwAAAAAAAAAAAAAAAAAAAAAAW0NvbnRlbnRfVHlwZXNdLnhtbFBLAQItABQABgAIAAAA&#10;IQA4/SH/1gAAAJQBAAALAAAAAAAAAAAAAAAAAC8BAABfcmVscy8ucmVsc1BLAQItABQABgAIAAAA&#10;IQCEHmdyhgIAAAcFAAAOAAAAAAAAAAAAAAAAAC4CAABkcnMvZTJvRG9jLnhtbFBLAQItABQABgAI&#10;AAAAIQAiqx5L4AAAAAwBAAAPAAAAAAAAAAAAAAAAAOAEAABkcnMvZG93bnJldi54bWxQSwUGAAAA&#10;AAQABADzAAAA7QUAAAAA&#10;" fillcolor="#d5dce4" stroked="f">
                <v:textbox>
                  <w:txbxContent>
                    <w:p w14:paraId="73588739" w14:textId="77777777" w:rsidR="00DB7252" w:rsidRPr="001D4942" w:rsidRDefault="00DB7252" w:rsidP="001D4942">
                      <w:pPr>
                        <w:pStyle w:val="af2"/>
                        <w:jc w:val="center"/>
                        <w:rPr>
                          <w:rFonts w:ascii="Arial" w:hAnsi="Arial" w:cs="Arial"/>
                          <w:b/>
                          <w:bCs/>
                          <w:color w:val="4D4D4D"/>
                          <w:sz w:val="92"/>
                          <w:szCs w:val="92"/>
                        </w:rPr>
                      </w:pPr>
                    </w:p>
                  </w:txbxContent>
                </v:textbox>
              </v:rect>
            </w:pict>
          </mc:Fallback>
        </mc:AlternateContent>
      </w:r>
      <w:r w:rsidR="00CF1B9D" w:rsidRPr="003443BA">
        <w:rPr>
          <w:rFonts w:ascii="Arial" w:hAnsi="Arial" w:cs="Arial"/>
          <w:b/>
          <w:bCs/>
          <w:color w:val="1F3864"/>
          <w:sz w:val="56"/>
          <w:szCs w:val="56"/>
        </w:rPr>
        <w:t>Κ</w:t>
      </w:r>
      <w:r w:rsidR="00C45E19">
        <w:rPr>
          <w:rFonts w:ascii="Arial" w:hAnsi="Arial" w:cs="Arial"/>
          <w:b/>
          <w:bCs/>
          <w:color w:val="1F3864"/>
          <w:sz w:val="56"/>
          <w:szCs w:val="56"/>
        </w:rPr>
        <w:t>ΡΑΤΙΚΟΥ</w:t>
      </w:r>
      <w:r w:rsidR="00CF1B9D" w:rsidRPr="003443BA">
        <w:rPr>
          <w:rFonts w:ascii="Arial" w:hAnsi="Arial" w:cs="Arial"/>
          <w:b/>
          <w:bCs/>
          <w:color w:val="1F3864"/>
          <w:sz w:val="56"/>
          <w:szCs w:val="56"/>
        </w:rPr>
        <w:t xml:space="preserve"> Π</w:t>
      </w:r>
      <w:r w:rsidR="00C45E19">
        <w:rPr>
          <w:rFonts w:ascii="Arial" w:hAnsi="Arial" w:cs="Arial"/>
          <w:b/>
          <w:bCs/>
          <w:color w:val="1F3864"/>
          <w:sz w:val="56"/>
          <w:szCs w:val="56"/>
        </w:rPr>
        <w:t>ΡΟΫΠΟΛΟΓΙΣΜΟΥ</w:t>
      </w:r>
    </w:p>
    <w:p w14:paraId="1D5F16D7" w14:textId="77777777" w:rsidR="004C3865" w:rsidRDefault="008F7B94" w:rsidP="004C3865">
      <w:pPr>
        <w:pStyle w:val="af2"/>
        <w:jc w:val="center"/>
        <w:rPr>
          <w:rFonts w:ascii="Arial" w:hAnsi="Arial" w:cs="Arial"/>
          <w:b/>
          <w:bCs/>
          <w:caps/>
          <w:color w:val="4D4D4D"/>
          <w:sz w:val="30"/>
          <w:szCs w:val="30"/>
        </w:rPr>
      </w:pPr>
      <w:r>
        <w:rPr>
          <w:rFonts w:ascii="Arial" w:hAnsi="Arial" w:cs="Arial"/>
          <w:b/>
          <w:bCs/>
          <w:caps/>
          <w:noProof/>
          <w:color w:val="4D4D4D"/>
          <w:sz w:val="30"/>
          <w:szCs w:val="30"/>
        </w:rPr>
        <mc:AlternateContent>
          <mc:Choice Requires="wps">
            <w:drawing>
              <wp:anchor distT="0" distB="0" distL="114300" distR="114300" simplePos="0" relativeHeight="251659264" behindDoc="0" locked="0" layoutInCell="1" allowOverlap="1" wp14:anchorId="43586B33" wp14:editId="321560D0">
                <wp:simplePos x="0" y="0"/>
                <wp:positionH relativeFrom="column">
                  <wp:posOffset>1560830</wp:posOffset>
                </wp:positionH>
                <wp:positionV relativeFrom="paragraph">
                  <wp:posOffset>132715</wp:posOffset>
                </wp:positionV>
                <wp:extent cx="2635250" cy="685800"/>
                <wp:effectExtent l="3810" t="0" r="0" b="190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685800"/>
                        </a:xfrm>
                        <a:prstGeom prst="rect">
                          <a:avLst/>
                        </a:prstGeom>
                        <a:solidFill>
                          <a:srgbClr val="D5D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6FB87" w14:textId="77777777" w:rsidR="00DB7252" w:rsidRPr="00684DB4" w:rsidRDefault="00DB7252" w:rsidP="001D4942">
                            <w:pPr>
                              <w:spacing w:after="0"/>
                              <w:jc w:val="center"/>
                              <w:rPr>
                                <w:b/>
                                <w:color w:val="1F3864"/>
                                <w:spacing w:val="40"/>
                                <w:sz w:val="92"/>
                                <w:szCs w:val="92"/>
                                <w:lang w:val="en-US"/>
                              </w:rPr>
                            </w:pPr>
                            <w:r w:rsidRPr="003443BA">
                              <w:rPr>
                                <w:b/>
                                <w:color w:val="1F3864"/>
                                <w:spacing w:val="40"/>
                                <w:sz w:val="92"/>
                                <w:szCs w:val="92"/>
                              </w:rPr>
                              <w:t>202</w:t>
                            </w:r>
                            <w:r>
                              <w:rPr>
                                <w:b/>
                                <w:color w:val="1F3864"/>
                                <w:spacing w:val="40"/>
                                <w:sz w:val="92"/>
                                <w:szCs w:val="92"/>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86B33" id="_x0000_t202" coordsize="21600,21600" o:spt="202" path="m,l,21600r21600,l21600,xe">
                <v:stroke joinstyle="miter"/>
                <v:path gradientshapeok="t" o:connecttype="rect"/>
              </v:shapetype>
              <v:shape id="Text Box 7" o:spid="_x0000_s1027" type="#_x0000_t202" style="position:absolute;left:0;text-align:left;margin-left:122.9pt;margin-top:10.45pt;width:20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TNiAIAABcFAAAOAAAAZHJzL2Uyb0RvYy54bWysVNuO2yAQfa/Uf0C8Z32pc7G1zmo3aapK&#10;24u02w8ggGNUDBRI7G3Vf++Ak91020pVVT9gYIbDzJwzXF4NnUQHbp3QqsbZRYoRV1QzoXY1/nS/&#10;mSwwcp4oRqRWvMYP3OGr5csXl72peK5bLRm3CECUq3pT49Z7UyWJoy3viLvQhiswNtp2xMPS7hJm&#10;SQ/onUzyNJ0lvbbMWE25c7C7Ho14GfGbhlP/oWkc90jWGGLzcbRx3IYxWV6SameJaQU9hkH+IYqO&#10;CAWXPkKtiSdob8UvUJ2gVjvd+Auqu0Q3jaA85gDZZOmzbO5aYnjMBYrjzGOZ3P+Dpe8PHy0SDLgr&#10;MFKkA47u+eDRjR7QPJSnN64CrzsDfn6AbXCNqTpzq+lnh5RetUTt+LW1um85YRBeFk4mZ0dHHBdA&#10;tv07zeAasvc6Ag2N7ULtoBoI0IGmh0dqQigUNvPZq2k+BRMF22wxXaSRu4RUp9PGOv+G6w6FSY0t&#10;UB/RyeHW+RANqU4u4TKnpWAbIWVc2N12JS06EJDJerpevS5iAs/cpArOSodjI+K4A0HCHcEWwo20&#10;fyuzvEhv8nKymS3mk2JTTCflPF1M0qy8KWdpURbrzfcQYFZUrWCMq1uh+EmCWfF3FB+bYRRPFCHq&#10;a1xCqUaK/phkGr/fJdkJDx0pRVdjKDJ8wYlUgdjXisW5J0KO8+Tn8GOVoQanf6xKlEFgftSAH7bD&#10;KLgAHCSy1ewBdGE10AYMw2sCk1bbrxj10Jk1dl/2xHKM5FsF2iqzogitHBfFdJ7Dwp5btucWoihA&#10;1dhjNE5Xfmz/vbFi18JNo5qVvgY9NiJK5Smqo4qh+2JOx5citPf5Ono9vWfLHwAAAP//AwBQSwME&#10;FAAGAAgAAAAhABkTnPPeAAAACgEAAA8AAABkcnMvZG93bnJldi54bWxMj01PwzAMhu9I/IfISNxY&#10;QgXVVppOE4KxK9vQdkwbr61onKrJuvLvMadx88ej14/z5eQ6MeIQWk8aHmcKBFLlbUu1hv3u/WEO&#10;IkRD1nSeUMMPBlgWtze5yay/0CeO21gLDqGQGQ1NjH0mZagadCbMfI/Eu5MfnIncDrW0g7lwuOtk&#10;olQqnWmJLzSmx9cGq+/t2Wlo+/Ft47/ieoOH3eFjtT6Wp/1R6/u7afUCIuIUrzD86bM6FOxU+jPZ&#10;IDoNydMzq0cu1AIEA2mqeFAymcwXIItc/n+h+AUAAP//AwBQSwECLQAUAAYACAAAACEAtoM4kv4A&#10;AADhAQAAEwAAAAAAAAAAAAAAAAAAAAAAW0NvbnRlbnRfVHlwZXNdLnhtbFBLAQItABQABgAIAAAA&#10;IQA4/SH/1gAAAJQBAAALAAAAAAAAAAAAAAAAAC8BAABfcmVscy8ucmVsc1BLAQItABQABgAIAAAA&#10;IQCHkiTNiAIAABcFAAAOAAAAAAAAAAAAAAAAAC4CAABkcnMvZTJvRG9jLnhtbFBLAQItABQABgAI&#10;AAAAIQAZE5zz3gAAAAoBAAAPAAAAAAAAAAAAAAAAAOIEAABkcnMvZG93bnJldi54bWxQSwUGAAAA&#10;AAQABADzAAAA7QUAAAAA&#10;" fillcolor="#d5dce4" stroked="f">
                <v:textbox>
                  <w:txbxContent>
                    <w:p w14:paraId="49D6FB87" w14:textId="77777777" w:rsidR="00DB7252" w:rsidRPr="00684DB4" w:rsidRDefault="00DB7252" w:rsidP="001D4942">
                      <w:pPr>
                        <w:spacing w:after="0"/>
                        <w:jc w:val="center"/>
                        <w:rPr>
                          <w:b/>
                          <w:color w:val="1F3864"/>
                          <w:spacing w:val="40"/>
                          <w:sz w:val="92"/>
                          <w:szCs w:val="92"/>
                          <w:lang w:val="en-US"/>
                        </w:rPr>
                      </w:pPr>
                      <w:r w:rsidRPr="003443BA">
                        <w:rPr>
                          <w:b/>
                          <w:color w:val="1F3864"/>
                          <w:spacing w:val="40"/>
                          <w:sz w:val="92"/>
                          <w:szCs w:val="92"/>
                        </w:rPr>
                        <w:t>202</w:t>
                      </w:r>
                      <w:r>
                        <w:rPr>
                          <w:b/>
                          <w:color w:val="1F3864"/>
                          <w:spacing w:val="40"/>
                          <w:sz w:val="92"/>
                          <w:szCs w:val="92"/>
                          <w:lang w:val="en-US"/>
                        </w:rPr>
                        <w:t>6</w:t>
                      </w:r>
                    </w:p>
                  </w:txbxContent>
                </v:textbox>
              </v:shape>
            </w:pict>
          </mc:Fallback>
        </mc:AlternateContent>
      </w:r>
    </w:p>
    <w:p w14:paraId="63FBF32C" w14:textId="77777777" w:rsidR="004C3865" w:rsidRDefault="004C3865" w:rsidP="004C3865">
      <w:pPr>
        <w:pStyle w:val="af2"/>
        <w:jc w:val="center"/>
        <w:rPr>
          <w:rFonts w:ascii="Arial" w:hAnsi="Arial" w:cs="Arial"/>
          <w:b/>
          <w:bCs/>
          <w:caps/>
          <w:color w:val="4D4D4D"/>
          <w:sz w:val="30"/>
          <w:szCs w:val="30"/>
        </w:rPr>
      </w:pPr>
    </w:p>
    <w:p w14:paraId="53ACBA3F" w14:textId="77777777" w:rsidR="00506B54" w:rsidRDefault="00506B54" w:rsidP="004C3865">
      <w:pPr>
        <w:pStyle w:val="af2"/>
        <w:jc w:val="center"/>
        <w:rPr>
          <w:rFonts w:ascii="Arial" w:hAnsi="Arial" w:cs="Arial"/>
          <w:b/>
          <w:bCs/>
          <w:color w:val="4D4D4D"/>
          <w:sz w:val="30"/>
          <w:szCs w:val="30"/>
        </w:rPr>
      </w:pPr>
    </w:p>
    <w:p w14:paraId="2471E5DE" w14:textId="77777777" w:rsidR="001D4942" w:rsidRDefault="001D4942" w:rsidP="004C3865">
      <w:pPr>
        <w:pStyle w:val="af2"/>
        <w:jc w:val="center"/>
        <w:rPr>
          <w:rFonts w:ascii="Arial" w:hAnsi="Arial" w:cs="Arial"/>
          <w:b/>
          <w:bCs/>
          <w:color w:val="4D4D4D"/>
          <w:sz w:val="30"/>
          <w:szCs w:val="30"/>
        </w:rPr>
      </w:pPr>
    </w:p>
    <w:p w14:paraId="408C4D77" w14:textId="77777777" w:rsidR="001D4942" w:rsidRDefault="001D4942" w:rsidP="004C3865">
      <w:pPr>
        <w:pStyle w:val="af2"/>
        <w:jc w:val="center"/>
        <w:rPr>
          <w:rFonts w:ascii="Arial" w:hAnsi="Arial" w:cs="Arial"/>
          <w:b/>
          <w:bCs/>
          <w:color w:val="4D4D4D"/>
          <w:sz w:val="30"/>
          <w:szCs w:val="30"/>
        </w:rPr>
      </w:pPr>
    </w:p>
    <w:p w14:paraId="6184A392" w14:textId="77777777" w:rsidR="00FB2C0D" w:rsidRDefault="00FB2C0D" w:rsidP="004C3865">
      <w:pPr>
        <w:pStyle w:val="af2"/>
        <w:jc w:val="center"/>
        <w:rPr>
          <w:rFonts w:ascii="Arial" w:hAnsi="Arial" w:cs="Arial"/>
          <w:b/>
          <w:bCs/>
          <w:color w:val="4D4D4D"/>
          <w:sz w:val="30"/>
          <w:szCs w:val="30"/>
        </w:rPr>
      </w:pPr>
    </w:p>
    <w:p w14:paraId="388413F9" w14:textId="77777777" w:rsidR="004C3865" w:rsidRPr="00F16D66" w:rsidRDefault="00676A81" w:rsidP="004C3865">
      <w:pPr>
        <w:pStyle w:val="af2"/>
        <w:jc w:val="center"/>
        <w:rPr>
          <w:rFonts w:ascii="Arial" w:hAnsi="Arial" w:cs="Arial"/>
          <w:b/>
          <w:bCs/>
          <w:caps/>
          <w:color w:val="4D4D4D"/>
          <w:sz w:val="30"/>
          <w:szCs w:val="30"/>
        </w:rPr>
      </w:pPr>
      <w:r w:rsidRPr="00F16D66">
        <w:rPr>
          <w:rFonts w:ascii="Arial" w:hAnsi="Arial" w:cs="Arial"/>
          <w:b/>
          <w:bCs/>
          <w:color w:val="4D4D4D"/>
          <w:sz w:val="30"/>
          <w:szCs w:val="30"/>
        </w:rPr>
        <w:t>Κατατ</w:t>
      </w:r>
      <w:r>
        <w:rPr>
          <w:rFonts w:ascii="Arial" w:hAnsi="Arial" w:cs="Arial"/>
          <w:b/>
          <w:bCs/>
          <w:color w:val="4D4D4D"/>
          <w:sz w:val="30"/>
          <w:szCs w:val="30"/>
        </w:rPr>
        <w:t>έ</w:t>
      </w:r>
      <w:r w:rsidRPr="00F16D66">
        <w:rPr>
          <w:rFonts w:ascii="Arial" w:hAnsi="Arial" w:cs="Arial"/>
          <w:b/>
          <w:bCs/>
          <w:color w:val="4D4D4D"/>
          <w:sz w:val="30"/>
          <w:szCs w:val="30"/>
        </w:rPr>
        <w:t xml:space="preserve">θηκε </w:t>
      </w:r>
      <w:r>
        <w:rPr>
          <w:rFonts w:ascii="Arial" w:hAnsi="Arial" w:cs="Arial"/>
          <w:b/>
          <w:bCs/>
          <w:color w:val="4D4D4D"/>
          <w:sz w:val="30"/>
          <w:szCs w:val="30"/>
        </w:rPr>
        <w:t>σ</w:t>
      </w:r>
      <w:r w:rsidRPr="00F16D66">
        <w:rPr>
          <w:rFonts w:ascii="Arial" w:hAnsi="Arial" w:cs="Arial"/>
          <w:b/>
          <w:bCs/>
          <w:color w:val="4D4D4D"/>
          <w:sz w:val="30"/>
          <w:szCs w:val="30"/>
        </w:rPr>
        <w:t>τη</w:t>
      </w:r>
    </w:p>
    <w:p w14:paraId="3DFEFB91" w14:textId="77777777" w:rsidR="004C3865" w:rsidRPr="00F16D66" w:rsidRDefault="00676A81" w:rsidP="004C3865">
      <w:pPr>
        <w:pStyle w:val="af2"/>
        <w:jc w:val="center"/>
        <w:rPr>
          <w:rFonts w:ascii="Arial" w:hAnsi="Arial" w:cs="Arial"/>
          <w:b/>
          <w:bCs/>
          <w:caps/>
          <w:color w:val="4D4D4D"/>
          <w:sz w:val="30"/>
          <w:szCs w:val="30"/>
        </w:rPr>
      </w:pPr>
      <w:r w:rsidRPr="00F16D66">
        <w:rPr>
          <w:rFonts w:ascii="Arial" w:hAnsi="Arial" w:cs="Arial"/>
          <w:b/>
          <w:bCs/>
          <w:color w:val="4D4D4D"/>
          <w:sz w:val="30"/>
          <w:szCs w:val="30"/>
        </w:rPr>
        <w:t>Διαρκ</w:t>
      </w:r>
      <w:r>
        <w:rPr>
          <w:rFonts w:ascii="Arial" w:hAnsi="Arial" w:cs="Arial"/>
          <w:b/>
          <w:bCs/>
          <w:color w:val="4D4D4D"/>
          <w:sz w:val="30"/>
          <w:szCs w:val="30"/>
        </w:rPr>
        <w:t>ή</w:t>
      </w:r>
      <w:r w:rsidRPr="00F16D66">
        <w:rPr>
          <w:rFonts w:ascii="Arial" w:hAnsi="Arial" w:cs="Arial"/>
          <w:b/>
          <w:bCs/>
          <w:color w:val="4D4D4D"/>
          <w:sz w:val="30"/>
          <w:szCs w:val="30"/>
        </w:rPr>
        <w:t xml:space="preserve"> Επιτροπ</w:t>
      </w:r>
      <w:r>
        <w:rPr>
          <w:rFonts w:ascii="Arial" w:hAnsi="Arial" w:cs="Arial"/>
          <w:b/>
          <w:bCs/>
          <w:color w:val="4D4D4D"/>
          <w:sz w:val="30"/>
          <w:szCs w:val="30"/>
        </w:rPr>
        <w:t>ή</w:t>
      </w:r>
      <w:r w:rsidRPr="00F16D66">
        <w:rPr>
          <w:rFonts w:ascii="Arial" w:hAnsi="Arial" w:cs="Arial"/>
          <w:b/>
          <w:bCs/>
          <w:color w:val="4D4D4D"/>
          <w:sz w:val="30"/>
          <w:szCs w:val="30"/>
        </w:rPr>
        <w:t xml:space="preserve"> Οικονομικ</w:t>
      </w:r>
      <w:r>
        <w:rPr>
          <w:rFonts w:ascii="Arial" w:hAnsi="Arial" w:cs="Arial"/>
          <w:b/>
          <w:bCs/>
          <w:color w:val="4D4D4D"/>
          <w:sz w:val="30"/>
          <w:szCs w:val="30"/>
        </w:rPr>
        <w:t>ώ</w:t>
      </w:r>
      <w:r w:rsidRPr="00F16D66">
        <w:rPr>
          <w:rFonts w:ascii="Arial" w:hAnsi="Arial" w:cs="Arial"/>
          <w:b/>
          <w:bCs/>
          <w:color w:val="4D4D4D"/>
          <w:sz w:val="30"/>
          <w:szCs w:val="30"/>
        </w:rPr>
        <w:t>ν Υποθ</w:t>
      </w:r>
      <w:r>
        <w:rPr>
          <w:rFonts w:ascii="Arial" w:hAnsi="Arial" w:cs="Arial"/>
          <w:b/>
          <w:bCs/>
          <w:color w:val="4D4D4D"/>
          <w:sz w:val="30"/>
          <w:szCs w:val="30"/>
        </w:rPr>
        <w:t>έ</w:t>
      </w:r>
      <w:r w:rsidRPr="00F16D66">
        <w:rPr>
          <w:rFonts w:ascii="Arial" w:hAnsi="Arial" w:cs="Arial"/>
          <w:b/>
          <w:bCs/>
          <w:color w:val="4D4D4D"/>
          <w:sz w:val="30"/>
          <w:szCs w:val="30"/>
        </w:rPr>
        <w:t>σεων</w:t>
      </w:r>
    </w:p>
    <w:p w14:paraId="7A05C7C8" w14:textId="77777777" w:rsidR="004C3865" w:rsidRDefault="00676A81" w:rsidP="004C3865">
      <w:pPr>
        <w:pStyle w:val="af2"/>
        <w:jc w:val="center"/>
        <w:rPr>
          <w:rFonts w:ascii="Arial" w:hAnsi="Arial" w:cs="Arial"/>
          <w:b/>
          <w:bCs/>
          <w:caps/>
          <w:color w:val="4D4D4D"/>
          <w:sz w:val="30"/>
          <w:szCs w:val="30"/>
        </w:rPr>
      </w:pPr>
      <w:r>
        <w:rPr>
          <w:rFonts w:ascii="Arial" w:hAnsi="Arial" w:cs="Arial"/>
          <w:b/>
          <w:bCs/>
          <w:color w:val="4D4D4D"/>
          <w:sz w:val="30"/>
          <w:szCs w:val="30"/>
        </w:rPr>
        <w:t>τ</w:t>
      </w:r>
      <w:r w:rsidRPr="00F16D66">
        <w:rPr>
          <w:rFonts w:ascii="Arial" w:hAnsi="Arial" w:cs="Arial"/>
          <w:b/>
          <w:bCs/>
          <w:color w:val="4D4D4D"/>
          <w:sz w:val="30"/>
          <w:szCs w:val="30"/>
        </w:rPr>
        <w:t>ης Βουλ</w:t>
      </w:r>
      <w:r>
        <w:rPr>
          <w:rFonts w:ascii="Arial" w:hAnsi="Arial" w:cs="Arial"/>
          <w:b/>
          <w:bCs/>
          <w:color w:val="4D4D4D"/>
          <w:sz w:val="30"/>
          <w:szCs w:val="30"/>
        </w:rPr>
        <w:t>ή</w:t>
      </w:r>
      <w:r w:rsidRPr="00F16D66">
        <w:rPr>
          <w:rFonts w:ascii="Arial" w:hAnsi="Arial" w:cs="Arial"/>
          <w:b/>
          <w:bCs/>
          <w:color w:val="4D4D4D"/>
          <w:sz w:val="30"/>
          <w:szCs w:val="30"/>
        </w:rPr>
        <w:t xml:space="preserve">ς </w:t>
      </w:r>
      <w:r w:rsidR="00CC7A3E">
        <w:rPr>
          <w:rFonts w:ascii="Arial" w:hAnsi="Arial" w:cs="Arial"/>
          <w:b/>
          <w:bCs/>
          <w:color w:val="4D4D4D"/>
          <w:sz w:val="30"/>
          <w:szCs w:val="30"/>
        </w:rPr>
        <w:t>τ</w:t>
      </w:r>
      <w:r w:rsidRPr="00F16D66">
        <w:rPr>
          <w:rFonts w:ascii="Arial" w:hAnsi="Arial" w:cs="Arial"/>
          <w:b/>
          <w:bCs/>
          <w:color w:val="4D4D4D"/>
          <w:sz w:val="30"/>
          <w:szCs w:val="30"/>
        </w:rPr>
        <w:t>ων Ελλ</w:t>
      </w:r>
      <w:r>
        <w:rPr>
          <w:rFonts w:ascii="Arial" w:hAnsi="Arial" w:cs="Arial"/>
          <w:b/>
          <w:bCs/>
          <w:color w:val="4D4D4D"/>
          <w:sz w:val="30"/>
          <w:szCs w:val="30"/>
        </w:rPr>
        <w:t>ή</w:t>
      </w:r>
      <w:r w:rsidRPr="00F16D66">
        <w:rPr>
          <w:rFonts w:ascii="Arial" w:hAnsi="Arial" w:cs="Arial"/>
          <w:b/>
          <w:bCs/>
          <w:color w:val="4D4D4D"/>
          <w:sz w:val="30"/>
          <w:szCs w:val="30"/>
        </w:rPr>
        <w:t>νων</w:t>
      </w:r>
    </w:p>
    <w:p w14:paraId="4ACE4941" w14:textId="77777777" w:rsidR="00FE1093" w:rsidRDefault="00FE1093" w:rsidP="004C3865">
      <w:pPr>
        <w:pStyle w:val="af2"/>
        <w:jc w:val="center"/>
        <w:rPr>
          <w:rFonts w:ascii="Arial" w:hAnsi="Arial" w:cs="Arial"/>
          <w:b/>
          <w:bCs/>
          <w:color w:val="4D4D4D"/>
          <w:sz w:val="30"/>
          <w:szCs w:val="30"/>
        </w:rPr>
      </w:pPr>
    </w:p>
    <w:p w14:paraId="66DD175B" w14:textId="77777777" w:rsidR="004C3865" w:rsidRPr="00671205" w:rsidRDefault="00B76B14" w:rsidP="004C3865">
      <w:pPr>
        <w:pStyle w:val="af2"/>
        <w:jc w:val="center"/>
        <w:rPr>
          <w:rFonts w:ascii="Arial" w:hAnsi="Arial" w:cs="Arial"/>
          <w:b/>
          <w:bCs/>
          <w:caps/>
          <w:color w:val="4D4D4D"/>
          <w:sz w:val="30"/>
          <w:szCs w:val="30"/>
        </w:rPr>
      </w:pPr>
      <w:r w:rsidRPr="00671205">
        <w:rPr>
          <w:rFonts w:ascii="Arial" w:hAnsi="Arial" w:cs="Arial"/>
          <w:b/>
          <w:bCs/>
          <w:color w:val="4D4D4D"/>
          <w:sz w:val="30"/>
          <w:szCs w:val="30"/>
        </w:rPr>
        <w:t>απ</w:t>
      </w:r>
      <w:r>
        <w:rPr>
          <w:rFonts w:ascii="Arial" w:hAnsi="Arial" w:cs="Arial"/>
          <w:b/>
          <w:bCs/>
          <w:color w:val="4D4D4D"/>
          <w:sz w:val="30"/>
          <w:szCs w:val="30"/>
        </w:rPr>
        <w:t>ό</w:t>
      </w:r>
      <w:r w:rsidRPr="00671205">
        <w:rPr>
          <w:rFonts w:ascii="Arial" w:hAnsi="Arial" w:cs="Arial"/>
          <w:b/>
          <w:bCs/>
          <w:color w:val="4D4D4D"/>
          <w:sz w:val="30"/>
          <w:szCs w:val="30"/>
        </w:rPr>
        <w:t xml:space="preserve"> τον</w:t>
      </w:r>
    </w:p>
    <w:p w14:paraId="4AD5E89B" w14:textId="77777777" w:rsidR="00684DB4" w:rsidRDefault="00CC7A3E" w:rsidP="004C3865">
      <w:pPr>
        <w:pStyle w:val="af2"/>
        <w:jc w:val="center"/>
        <w:rPr>
          <w:rFonts w:ascii="Arial" w:hAnsi="Arial" w:cs="Arial"/>
          <w:b/>
          <w:bCs/>
          <w:color w:val="4D4D4D"/>
          <w:sz w:val="30"/>
          <w:szCs w:val="30"/>
        </w:rPr>
      </w:pPr>
      <w:r w:rsidRPr="00671205">
        <w:rPr>
          <w:rFonts w:ascii="Arial" w:hAnsi="Arial" w:cs="Arial"/>
          <w:b/>
          <w:bCs/>
          <w:color w:val="4D4D4D"/>
          <w:sz w:val="30"/>
          <w:szCs w:val="30"/>
        </w:rPr>
        <w:t>Κ</w:t>
      </w:r>
      <w:r w:rsidR="00684DB4">
        <w:rPr>
          <w:rFonts w:ascii="Arial" w:hAnsi="Arial" w:cs="Arial"/>
          <w:b/>
          <w:bCs/>
          <w:color w:val="4D4D4D"/>
          <w:sz w:val="30"/>
          <w:szCs w:val="30"/>
        </w:rPr>
        <w:t>υριάκο Πιερρακάκη</w:t>
      </w:r>
    </w:p>
    <w:p w14:paraId="0B496764" w14:textId="77777777" w:rsidR="004C3865" w:rsidRDefault="00CC7A3E" w:rsidP="004C3865">
      <w:pPr>
        <w:pStyle w:val="af2"/>
        <w:jc w:val="center"/>
        <w:rPr>
          <w:rFonts w:ascii="Arial" w:hAnsi="Arial" w:cs="Arial"/>
          <w:b/>
          <w:bCs/>
          <w:caps/>
          <w:color w:val="4D4D4D"/>
          <w:sz w:val="30"/>
          <w:szCs w:val="30"/>
        </w:rPr>
      </w:pPr>
      <w:r w:rsidRPr="00671205">
        <w:rPr>
          <w:rFonts w:ascii="Arial" w:hAnsi="Arial" w:cs="Arial"/>
          <w:b/>
          <w:bCs/>
          <w:color w:val="4D4D4D"/>
          <w:sz w:val="30"/>
          <w:szCs w:val="30"/>
        </w:rPr>
        <w:t>Υπουργ</w:t>
      </w:r>
      <w:r>
        <w:rPr>
          <w:rFonts w:ascii="Arial" w:hAnsi="Arial" w:cs="Arial"/>
          <w:b/>
          <w:bCs/>
          <w:color w:val="4D4D4D"/>
          <w:sz w:val="30"/>
          <w:szCs w:val="30"/>
        </w:rPr>
        <w:t>ό</w:t>
      </w:r>
      <w:r w:rsidRPr="00671205">
        <w:rPr>
          <w:rFonts w:ascii="Arial" w:hAnsi="Arial" w:cs="Arial"/>
          <w:b/>
          <w:bCs/>
          <w:color w:val="4D4D4D"/>
          <w:sz w:val="30"/>
          <w:szCs w:val="30"/>
        </w:rPr>
        <w:t xml:space="preserve"> Εθνικ</w:t>
      </w:r>
      <w:r>
        <w:rPr>
          <w:rFonts w:ascii="Arial" w:hAnsi="Arial" w:cs="Arial"/>
          <w:b/>
          <w:bCs/>
          <w:color w:val="4D4D4D"/>
          <w:sz w:val="30"/>
          <w:szCs w:val="30"/>
        </w:rPr>
        <w:t>ή</w:t>
      </w:r>
      <w:r w:rsidRPr="00671205">
        <w:rPr>
          <w:rFonts w:ascii="Arial" w:hAnsi="Arial" w:cs="Arial"/>
          <w:b/>
          <w:bCs/>
          <w:color w:val="4D4D4D"/>
          <w:sz w:val="30"/>
          <w:szCs w:val="30"/>
        </w:rPr>
        <w:t>ς Οικονομ</w:t>
      </w:r>
      <w:r>
        <w:rPr>
          <w:rFonts w:ascii="Arial" w:hAnsi="Arial" w:cs="Arial"/>
          <w:b/>
          <w:bCs/>
          <w:color w:val="4D4D4D"/>
          <w:sz w:val="30"/>
          <w:szCs w:val="30"/>
        </w:rPr>
        <w:t>ί</w:t>
      </w:r>
      <w:r w:rsidRPr="00671205">
        <w:rPr>
          <w:rFonts w:ascii="Arial" w:hAnsi="Arial" w:cs="Arial"/>
          <w:b/>
          <w:bCs/>
          <w:color w:val="4D4D4D"/>
          <w:sz w:val="30"/>
          <w:szCs w:val="30"/>
        </w:rPr>
        <w:t xml:space="preserve">ας </w:t>
      </w:r>
      <w:r>
        <w:rPr>
          <w:rFonts w:ascii="Arial" w:hAnsi="Arial" w:cs="Arial"/>
          <w:b/>
          <w:bCs/>
          <w:color w:val="4D4D4D"/>
          <w:sz w:val="30"/>
          <w:szCs w:val="30"/>
        </w:rPr>
        <w:t>κ</w:t>
      </w:r>
      <w:r w:rsidRPr="00671205">
        <w:rPr>
          <w:rFonts w:ascii="Arial" w:hAnsi="Arial" w:cs="Arial"/>
          <w:b/>
          <w:bCs/>
          <w:color w:val="4D4D4D"/>
          <w:sz w:val="30"/>
          <w:szCs w:val="30"/>
        </w:rPr>
        <w:t>αι Οικονομικ</w:t>
      </w:r>
      <w:r>
        <w:rPr>
          <w:rFonts w:ascii="Arial" w:hAnsi="Arial" w:cs="Arial"/>
          <w:b/>
          <w:bCs/>
          <w:color w:val="4D4D4D"/>
          <w:sz w:val="30"/>
          <w:szCs w:val="30"/>
        </w:rPr>
        <w:t>ώ</w:t>
      </w:r>
      <w:r w:rsidRPr="00671205">
        <w:rPr>
          <w:rFonts w:ascii="Arial" w:hAnsi="Arial" w:cs="Arial"/>
          <w:b/>
          <w:bCs/>
          <w:color w:val="4D4D4D"/>
          <w:sz w:val="30"/>
          <w:szCs w:val="30"/>
        </w:rPr>
        <w:t>ν</w:t>
      </w:r>
    </w:p>
    <w:p w14:paraId="1A101C15" w14:textId="77777777" w:rsidR="004C3865" w:rsidRDefault="004C3865" w:rsidP="004C3865">
      <w:pPr>
        <w:pStyle w:val="af2"/>
        <w:jc w:val="center"/>
        <w:rPr>
          <w:rFonts w:ascii="Arial" w:hAnsi="Arial" w:cs="Arial"/>
          <w:b/>
          <w:bCs/>
          <w:caps/>
          <w:color w:val="4D4D4D"/>
          <w:sz w:val="30"/>
          <w:szCs w:val="30"/>
        </w:rPr>
      </w:pPr>
    </w:p>
    <w:p w14:paraId="7712004E" w14:textId="77777777" w:rsidR="004C3865" w:rsidRDefault="004C3865" w:rsidP="004C3865">
      <w:pPr>
        <w:pStyle w:val="af2"/>
        <w:jc w:val="center"/>
        <w:rPr>
          <w:rFonts w:ascii="Arial" w:hAnsi="Arial" w:cs="Arial"/>
          <w:b/>
          <w:bCs/>
          <w:caps/>
          <w:color w:val="4D4D4D"/>
          <w:sz w:val="30"/>
          <w:szCs w:val="30"/>
        </w:rPr>
      </w:pPr>
    </w:p>
    <w:p w14:paraId="08A2B6C3" w14:textId="77777777" w:rsidR="004C3865" w:rsidRDefault="004C3865" w:rsidP="004C3865">
      <w:pPr>
        <w:pStyle w:val="af2"/>
        <w:jc w:val="center"/>
        <w:rPr>
          <w:rFonts w:ascii="Arial" w:hAnsi="Arial" w:cs="Arial"/>
          <w:b/>
          <w:bCs/>
          <w:caps/>
          <w:color w:val="4D4D4D"/>
          <w:sz w:val="30"/>
          <w:szCs w:val="30"/>
        </w:rPr>
      </w:pPr>
    </w:p>
    <w:p w14:paraId="654A0538" w14:textId="77777777" w:rsidR="00FE1093" w:rsidRDefault="00FE1093" w:rsidP="004C3865">
      <w:pPr>
        <w:pStyle w:val="af2"/>
        <w:jc w:val="center"/>
        <w:rPr>
          <w:rFonts w:ascii="Arial" w:hAnsi="Arial" w:cs="Arial"/>
          <w:b/>
          <w:bCs/>
          <w:caps/>
          <w:color w:val="4D4D4D"/>
          <w:sz w:val="30"/>
          <w:szCs w:val="30"/>
        </w:rPr>
      </w:pPr>
    </w:p>
    <w:p w14:paraId="63B71FE4" w14:textId="77777777" w:rsidR="00FE1093" w:rsidRDefault="00FE1093" w:rsidP="004C3865">
      <w:pPr>
        <w:pStyle w:val="af2"/>
        <w:jc w:val="center"/>
        <w:rPr>
          <w:rFonts w:ascii="Arial" w:hAnsi="Arial" w:cs="Arial"/>
          <w:b/>
          <w:bCs/>
          <w:caps/>
          <w:color w:val="4D4D4D"/>
          <w:sz w:val="30"/>
          <w:szCs w:val="30"/>
        </w:rPr>
      </w:pPr>
    </w:p>
    <w:p w14:paraId="034F52E9" w14:textId="77777777" w:rsidR="0028299C" w:rsidRDefault="0028299C" w:rsidP="004C3865">
      <w:pPr>
        <w:pStyle w:val="af2"/>
        <w:jc w:val="center"/>
        <w:rPr>
          <w:rFonts w:ascii="Arial" w:hAnsi="Arial" w:cs="Arial"/>
          <w:b/>
          <w:bCs/>
          <w:caps/>
          <w:color w:val="4D4D4D"/>
          <w:sz w:val="30"/>
          <w:szCs w:val="30"/>
        </w:rPr>
      </w:pPr>
    </w:p>
    <w:p w14:paraId="152C6966" w14:textId="77777777" w:rsidR="004C3865" w:rsidRDefault="004C3865" w:rsidP="004C3865">
      <w:pPr>
        <w:pStyle w:val="af2"/>
        <w:jc w:val="center"/>
        <w:rPr>
          <w:rFonts w:ascii="Arial" w:hAnsi="Arial" w:cs="Arial"/>
          <w:b/>
          <w:bCs/>
          <w:caps/>
          <w:color w:val="4D4D4D"/>
          <w:sz w:val="30"/>
          <w:szCs w:val="30"/>
        </w:rPr>
      </w:pPr>
    </w:p>
    <w:p w14:paraId="63D41CBC" w14:textId="77777777" w:rsidR="004C3865" w:rsidRDefault="004C3865" w:rsidP="004C3865">
      <w:pPr>
        <w:pStyle w:val="af2"/>
        <w:jc w:val="center"/>
        <w:rPr>
          <w:rFonts w:ascii="Arial" w:hAnsi="Arial" w:cs="Arial"/>
          <w:b/>
          <w:bCs/>
          <w:caps/>
          <w:color w:val="4D4D4D"/>
          <w:sz w:val="30"/>
          <w:szCs w:val="30"/>
        </w:rPr>
      </w:pPr>
    </w:p>
    <w:p w14:paraId="5B5F4F5B" w14:textId="77777777" w:rsidR="004C3865" w:rsidRDefault="004C3865" w:rsidP="004C3865">
      <w:pPr>
        <w:pStyle w:val="af2"/>
        <w:jc w:val="center"/>
        <w:rPr>
          <w:rFonts w:ascii="Arial" w:hAnsi="Arial" w:cs="Arial"/>
          <w:b/>
          <w:bCs/>
          <w:caps/>
          <w:color w:val="4D4D4D"/>
          <w:sz w:val="30"/>
          <w:szCs w:val="30"/>
        </w:rPr>
      </w:pPr>
    </w:p>
    <w:p w14:paraId="727447F2" w14:textId="77777777" w:rsidR="004C3865" w:rsidRDefault="004C3865" w:rsidP="004C3865">
      <w:pPr>
        <w:pStyle w:val="af2"/>
        <w:jc w:val="center"/>
        <w:rPr>
          <w:rFonts w:ascii="Arial" w:hAnsi="Arial" w:cs="Arial"/>
          <w:b/>
          <w:bCs/>
          <w:caps/>
          <w:color w:val="4D4D4D"/>
          <w:sz w:val="30"/>
          <w:szCs w:val="30"/>
        </w:rPr>
      </w:pPr>
    </w:p>
    <w:p w14:paraId="71F912B6" w14:textId="77777777" w:rsidR="004C3865" w:rsidRPr="003652CF" w:rsidRDefault="004C3865" w:rsidP="004213BC">
      <w:pPr>
        <w:rPr>
          <w:highlight w:val="yellow"/>
        </w:rPr>
      </w:pPr>
    </w:p>
    <w:p w14:paraId="7B4FBD6F" w14:textId="77777777" w:rsidR="003B594D" w:rsidRPr="003652CF" w:rsidRDefault="003B594D" w:rsidP="003B594D">
      <w:pPr>
        <w:rPr>
          <w:highlight w:val="yellow"/>
        </w:rPr>
      </w:pPr>
    </w:p>
    <w:p w14:paraId="3D234C20" w14:textId="77777777" w:rsidR="00684DB4" w:rsidRPr="00684DB4" w:rsidRDefault="00684DB4" w:rsidP="00684DB4">
      <w:pPr>
        <w:pStyle w:val="af2"/>
        <w:jc w:val="center"/>
        <w:rPr>
          <w:rFonts w:ascii="Arial" w:hAnsi="Arial" w:cs="Arial"/>
          <w:b/>
          <w:bCs/>
          <w:color w:val="4D4D4D"/>
        </w:rPr>
      </w:pPr>
      <w:r w:rsidRPr="00684DB4">
        <w:rPr>
          <w:rFonts w:ascii="Arial" w:hAnsi="Arial" w:cs="Arial"/>
          <w:b/>
          <w:bCs/>
          <w:color w:val="4D4D4D"/>
        </w:rPr>
        <w:t>ΑΘΗΝΑ, ΟΚΤΩΒΡΙΟΣ 2025</w:t>
      </w:r>
    </w:p>
    <w:p w14:paraId="0E2C4AC2" w14:textId="77777777" w:rsidR="00003291" w:rsidRDefault="00003291" w:rsidP="00003291">
      <w:pPr>
        <w:rPr>
          <w:rFonts w:eastAsia="Calibri"/>
        </w:rPr>
      </w:pPr>
    </w:p>
    <w:p w14:paraId="543CB3DD" w14:textId="77777777" w:rsidR="00003291" w:rsidRDefault="00003291" w:rsidP="00003291">
      <w:pPr>
        <w:rPr>
          <w:rFonts w:eastAsia="Calibri"/>
        </w:rPr>
      </w:pPr>
    </w:p>
    <w:p w14:paraId="37CD18C0" w14:textId="77777777" w:rsidR="00003291" w:rsidRDefault="00003291" w:rsidP="00003291">
      <w:pPr>
        <w:rPr>
          <w:rFonts w:eastAsia="Calibri"/>
        </w:rPr>
        <w:sectPr w:rsidR="00003291" w:rsidSect="00B87393">
          <w:headerReference w:type="even" r:id="rId10"/>
          <w:pgSz w:w="11906" w:h="16838" w:code="9"/>
          <w:pgMar w:top="1310" w:right="1418" w:bottom="1310" w:left="1418" w:header="652" w:footer="652" w:gutter="0"/>
          <w:pgNumType w:start="7"/>
          <w:cols w:space="708"/>
          <w:docGrid w:linePitch="360"/>
        </w:sectPr>
      </w:pPr>
    </w:p>
    <w:p w14:paraId="523B5411" w14:textId="6E8CB22F" w:rsidR="00B4667F" w:rsidRPr="005A6781" w:rsidRDefault="00B4667F" w:rsidP="00003291">
      <w:pPr>
        <w:rPr>
          <w:rFonts w:eastAsia="Calibri"/>
        </w:rPr>
      </w:pPr>
      <w:r w:rsidRPr="005A6781">
        <w:rPr>
          <w:rFonts w:eastAsia="Calibri"/>
        </w:rPr>
        <w:lastRenderedPageBreak/>
        <w:t>Προς τα μέλη της Διαρκούς Επιτροπής Οικονομικών Υποθέσεων της Βουλής</w:t>
      </w:r>
    </w:p>
    <w:p w14:paraId="4914F39B" w14:textId="77777777" w:rsidR="00B4667F" w:rsidRPr="005A6781" w:rsidRDefault="00B4667F" w:rsidP="00B4667F">
      <w:pPr>
        <w:rPr>
          <w:rFonts w:eastAsia="Calibri"/>
        </w:rPr>
      </w:pPr>
      <w:r w:rsidRPr="005A6781">
        <w:rPr>
          <w:rFonts w:eastAsia="Calibri"/>
        </w:rPr>
        <w:t>Κυρίες και Κύριοι Βουλευτές,</w:t>
      </w:r>
    </w:p>
    <w:p w14:paraId="2AF51802" w14:textId="77777777" w:rsidR="00431C88" w:rsidRDefault="00431C88" w:rsidP="00431C88">
      <w:pPr>
        <w:rPr>
          <w:rFonts w:eastAsia="Calibri"/>
        </w:rPr>
      </w:pPr>
      <w:r>
        <w:rPr>
          <w:rFonts w:eastAsia="Calibri"/>
        </w:rPr>
        <w:t>καταθέτουμε προς συζήτηση στη Διαρκή Επιτροπή Οικονομικών Υποθέσεων της Βουλής το προσχέδιο του κρατικού προϋπολογισμού του έτους 2026.</w:t>
      </w:r>
    </w:p>
    <w:p w14:paraId="17A6CB89" w14:textId="554AFF6C" w:rsidR="00431C88" w:rsidRDefault="00431C88" w:rsidP="00431C88">
      <w:pPr>
        <w:rPr>
          <w:rFonts w:eastAsia="Calibri"/>
        </w:rPr>
      </w:pPr>
      <w:r>
        <w:rPr>
          <w:rFonts w:eastAsia="Calibri"/>
        </w:rPr>
        <w:t xml:space="preserve">Το προσχέδιο κατατίθεται εν μέσω σημαντικής διεθνούς αβεβαιότητας, τόσο σε γεωπολιτικό όσο και </w:t>
      </w:r>
      <w:r w:rsidR="00316139">
        <w:rPr>
          <w:rFonts w:eastAsia="Calibri"/>
        </w:rPr>
        <w:t xml:space="preserve">σε </w:t>
      </w:r>
      <w:r>
        <w:rPr>
          <w:rFonts w:eastAsia="Calibri"/>
        </w:rPr>
        <w:t>δημοσιοοικονομικό επίπεδο. Οι</w:t>
      </w:r>
      <w:r w:rsidRPr="00643D89">
        <w:rPr>
          <w:rFonts w:eastAsia="Calibri"/>
        </w:rPr>
        <w:t xml:space="preserve"> γεωπολιτικ</w:t>
      </w:r>
      <w:r>
        <w:rPr>
          <w:rFonts w:eastAsia="Calibri"/>
        </w:rPr>
        <w:t>ές</w:t>
      </w:r>
      <w:r w:rsidRPr="00643D89">
        <w:rPr>
          <w:rFonts w:eastAsia="Calibri"/>
        </w:rPr>
        <w:t xml:space="preserve"> εντάσε</w:t>
      </w:r>
      <w:r>
        <w:rPr>
          <w:rFonts w:eastAsia="Calibri"/>
        </w:rPr>
        <w:t>ις</w:t>
      </w:r>
      <w:r w:rsidRPr="00643D89">
        <w:rPr>
          <w:rFonts w:eastAsia="Calibri"/>
        </w:rPr>
        <w:t xml:space="preserve"> στην Ουκρανία και τη Μέση Ανατολή</w:t>
      </w:r>
      <w:r>
        <w:rPr>
          <w:rFonts w:eastAsia="Calibri"/>
        </w:rPr>
        <w:t xml:space="preserve"> σε συνδυασμό με την ενίσχυση του προστατευτισμού και της επιβολής δασμών αλλά και των δημοσιονομικών προκλήσεων που αντιμετωπίζουν μεγάλες οικονομίες της Ευρώπης, </w:t>
      </w:r>
      <w:r w:rsidRPr="00643D89">
        <w:rPr>
          <w:rFonts w:eastAsia="Calibri"/>
        </w:rPr>
        <w:t>εντείνουν την αβεβαιότητα ως προς τις προοπτικές της παγκόσμιας ανάπτυξης.</w:t>
      </w:r>
    </w:p>
    <w:p w14:paraId="74DB1332" w14:textId="04E8517A" w:rsidR="00431C88" w:rsidRPr="001E505F" w:rsidRDefault="00431C88" w:rsidP="00431C88">
      <w:pPr>
        <w:rPr>
          <w:rFonts w:eastAsia="Calibri"/>
        </w:rPr>
      </w:pPr>
      <w:r w:rsidRPr="00B40A05">
        <w:rPr>
          <w:rFonts w:eastAsia="Calibri"/>
        </w:rPr>
        <w:t>Παρά την ανωτέρω αυξημένη αβεβαιότητα στο παγκόσμιο οικονομικό περιβάλλον,</w:t>
      </w:r>
      <w:r>
        <w:t xml:space="preserve"> </w:t>
      </w:r>
      <w:r w:rsidRPr="0025392F">
        <w:t xml:space="preserve">η ελληνική οικονομία προβλέπεται να συνεχίσει για έκτο συναπτό έτος να καταγράφει </w:t>
      </w:r>
      <w:r>
        <w:t xml:space="preserve">σημαντικά </w:t>
      </w:r>
      <w:r w:rsidRPr="0025392F">
        <w:t>υψηλότερο ρυθμό πραγματικής ανάπτυξης σε σχέση με τον μέσο όρο της Ευρωζώνης</w:t>
      </w:r>
      <w:r>
        <w:t>.</w:t>
      </w:r>
      <w:r w:rsidRPr="00922747">
        <w:rPr>
          <w:rFonts w:eastAsia="Calibri"/>
        </w:rPr>
        <w:t xml:space="preserve"> </w:t>
      </w:r>
      <w:r>
        <w:rPr>
          <w:rFonts w:eastAsia="Calibri"/>
        </w:rPr>
        <w:t>Ο ρυθμός ανάπτυξης αναμένεται να ανέλθει σε 2,2% το 20</w:t>
      </w:r>
      <w:r w:rsidRPr="00922747">
        <w:rPr>
          <w:rFonts w:eastAsia="Calibri"/>
        </w:rPr>
        <w:t>25</w:t>
      </w:r>
      <w:r>
        <w:rPr>
          <w:rFonts w:eastAsia="Calibri"/>
        </w:rPr>
        <w:t xml:space="preserve"> και 2,</w:t>
      </w:r>
      <w:r w:rsidRPr="00922747">
        <w:rPr>
          <w:rFonts w:eastAsia="Calibri"/>
        </w:rPr>
        <w:t>4</w:t>
      </w:r>
      <w:r>
        <w:rPr>
          <w:rFonts w:eastAsia="Calibri"/>
        </w:rPr>
        <w:t>% το 202</w:t>
      </w:r>
      <w:r w:rsidRPr="00922747">
        <w:rPr>
          <w:rFonts w:eastAsia="Calibri"/>
        </w:rPr>
        <w:t xml:space="preserve">6. </w:t>
      </w:r>
      <w:r>
        <w:rPr>
          <w:rFonts w:eastAsia="Calibri"/>
        </w:rPr>
        <w:t>Σημειώνεται ότι σύμφωνα με τις εαρινές προβλέψεις της Ευρωπαϊκής Επιτροπής</w:t>
      </w:r>
      <w:r w:rsidR="00316139">
        <w:rPr>
          <w:rFonts w:eastAsia="Calibri"/>
        </w:rPr>
        <w:t>,</w:t>
      </w:r>
      <w:r>
        <w:rPr>
          <w:rFonts w:eastAsia="Calibri"/>
        </w:rPr>
        <w:t xml:space="preserve"> ο ρυθμός ανάπτυξης για την Ευρωζώνη εκτιμάται σε 0,9% για το 2025 και 1,4% για το 2025, ενώ σύμφωνα με τις πρόσφατες προβλέψεις της Ευρωπαϊκής Κεντρικής Τράπεζας</w:t>
      </w:r>
      <w:r w:rsidR="00316139">
        <w:rPr>
          <w:rFonts w:eastAsia="Calibri"/>
        </w:rPr>
        <w:t>,</w:t>
      </w:r>
      <w:r>
        <w:rPr>
          <w:rFonts w:eastAsia="Calibri"/>
        </w:rPr>
        <w:t xml:space="preserve"> </w:t>
      </w:r>
      <w:r w:rsidRPr="00922747">
        <w:rPr>
          <w:rFonts w:eastAsia="Calibri"/>
        </w:rPr>
        <w:t>τον Σεπτέμβριο του 2025 ο ρυθμός ανάπτυξης της Ευρωζώνης προβλέπεται σε 1,2% το 2025 και σε 1,0% το 2026</w:t>
      </w:r>
      <w:r>
        <w:rPr>
          <w:rFonts w:eastAsia="Calibri"/>
        </w:rPr>
        <w:t>.</w:t>
      </w:r>
      <w:r w:rsidRPr="00CE540D">
        <w:t xml:space="preserve"> </w:t>
      </w:r>
      <w:r>
        <w:t>Το ονομαστικό ΑΕΠ αναμένεται να αυξηθεί από τα 249,6 δισ. ευρώ το 2025 σε 260,9 δισ. ευρώ το 2026. Παράλληλα, ο</w:t>
      </w:r>
      <w:r w:rsidRPr="00CE540D">
        <w:rPr>
          <w:rFonts w:eastAsia="Calibri"/>
        </w:rPr>
        <w:t xml:space="preserve"> </w:t>
      </w:r>
      <w:r>
        <w:rPr>
          <w:rFonts w:eastAsia="Calibri"/>
        </w:rPr>
        <w:t xml:space="preserve">εγχώριος </w:t>
      </w:r>
      <w:r w:rsidRPr="00CE540D">
        <w:rPr>
          <w:rFonts w:eastAsia="Calibri"/>
        </w:rPr>
        <w:t>πληθωρισμός αναμένεται να αποκλιμακωθεί από 2,6%</w:t>
      </w:r>
      <w:r>
        <w:rPr>
          <w:rFonts w:eastAsia="Calibri"/>
        </w:rPr>
        <w:t xml:space="preserve"> </w:t>
      </w:r>
      <w:r w:rsidRPr="00CE540D">
        <w:rPr>
          <w:rFonts w:eastAsia="Calibri"/>
        </w:rPr>
        <w:t>το 2025 σε 2,2% το 2026</w:t>
      </w:r>
      <w:r>
        <w:rPr>
          <w:rFonts w:eastAsia="Calibri"/>
        </w:rPr>
        <w:t>.</w:t>
      </w:r>
    </w:p>
    <w:p w14:paraId="137C497F" w14:textId="2DDF9444" w:rsidR="00431C88" w:rsidRDefault="00431C88" w:rsidP="00431C88">
      <w:pPr>
        <w:rPr>
          <w:rFonts w:eastAsia="Calibri"/>
        </w:rPr>
      </w:pPr>
      <w:r>
        <w:rPr>
          <w:rFonts w:eastAsia="Calibri"/>
        </w:rPr>
        <w:t xml:space="preserve">Σημαντικό ρόλο στην επιτάχυνση του ρυθμού ανάπτυξης </w:t>
      </w:r>
      <w:r w:rsidR="00D67314">
        <w:rPr>
          <w:rFonts w:eastAsia="Calibri"/>
        </w:rPr>
        <w:t>διαδραματίζουν</w:t>
      </w:r>
      <w:r>
        <w:rPr>
          <w:rFonts w:eastAsia="Calibri"/>
        </w:rPr>
        <w:t xml:space="preserve"> </w:t>
      </w:r>
      <w:r w:rsidR="00D67314">
        <w:rPr>
          <w:rFonts w:eastAsia="Calibri"/>
        </w:rPr>
        <w:t xml:space="preserve">τόσο </w:t>
      </w:r>
      <w:r>
        <w:rPr>
          <w:rFonts w:eastAsia="Calibri"/>
        </w:rPr>
        <w:t>η φορολογική μεταρρύθμιση</w:t>
      </w:r>
      <w:r w:rsidR="00D67314">
        <w:rPr>
          <w:rFonts w:eastAsia="Calibri"/>
        </w:rPr>
        <w:t xml:space="preserve"> όσο </w:t>
      </w:r>
      <w:r>
        <w:rPr>
          <w:rFonts w:eastAsia="Calibri"/>
        </w:rPr>
        <w:t>και οι λοιπές παρεμβάσεις που ανακοινώθηκαν στη Διεθνή Έκθεση της Θεσσαλονίκης.</w:t>
      </w:r>
      <w:r w:rsidRPr="00CF610E">
        <w:t xml:space="preserve"> </w:t>
      </w:r>
      <w:r>
        <w:t xml:space="preserve">Μέσω της διαρθρωτικής αναμόρφωσης της φορολογίας εισοδήματος με έμφαση στους νέους, </w:t>
      </w:r>
      <w:r w:rsidR="003B7BB2">
        <w:t>σ</w:t>
      </w:r>
      <w:r>
        <w:t xml:space="preserve">τις οικογένειες με παιδιά και </w:t>
      </w:r>
      <w:r w:rsidR="003B7BB2">
        <w:t>σ</w:t>
      </w:r>
      <w:r>
        <w:t xml:space="preserve">τη μεσαία τάξη, ενισχύεται άμεσα το εισόδημα των πολιτών. </w:t>
      </w:r>
      <w:r w:rsidR="007C7D02">
        <w:t>Παράλληλα,</w:t>
      </w:r>
      <w:r w:rsidR="004E1FF0">
        <w:t xml:space="preserve"> η </w:t>
      </w:r>
      <w:r>
        <w:t xml:space="preserve">μείωση των συντελεστών </w:t>
      </w:r>
      <w:r w:rsidR="004E1FF0">
        <w:t>συν</w:t>
      </w:r>
      <w:r w:rsidR="008D32DE">
        <w:t>επάγεται μεγαλύτερη ωφέλεια για τους εργαζόμενους, τους συνταξιούχους, τους αγρότες και τους ελεύθερους επαγγελματίες</w:t>
      </w:r>
      <w:r w:rsidR="00695C68">
        <w:t xml:space="preserve"> μ</w:t>
      </w:r>
      <w:r w:rsidR="004C4338">
        <w:t>ε κάθε μελλοντική αύξηση των αποδοχών τους</w:t>
      </w:r>
      <w:r w:rsidR="00695C68">
        <w:t>.</w:t>
      </w:r>
      <w:r>
        <w:t xml:space="preserve"> Στ</w:t>
      </w:r>
      <w:r w:rsidR="00B96A06">
        <w:t xml:space="preserve">ο πλαίσιο </w:t>
      </w:r>
      <w:r>
        <w:t xml:space="preserve">της δημογραφικής φορολογικής μεταρρύθμισης </w:t>
      </w:r>
      <w:r w:rsidRPr="007940CB">
        <w:t xml:space="preserve">εισάγονται επιπλέον μέτρα </w:t>
      </w:r>
      <w:r>
        <w:t xml:space="preserve">με τοπικά χαρακτηριστικά και παρεμβάσεις που σχετίζονται με το στεγαστικό πρόβλημα, όπως η σταδιακή κατάργηση του ΕΝΦΙΑ για οικισμούς </w:t>
      </w:r>
      <w:r w:rsidRPr="007940CB">
        <w:t>με πληθυσμό έως 1.500 κατοίκους</w:t>
      </w:r>
      <w:r>
        <w:t xml:space="preserve">, η μείωση του ΦΠΑ στα ακριτικά νησιά με </w:t>
      </w:r>
      <w:r w:rsidR="00B96A06">
        <w:t xml:space="preserve">πληθυσμό </w:t>
      </w:r>
      <w:r>
        <w:t xml:space="preserve">έως 20.000 κατοίκους, η μείωση της φορολογίας ενοικίων σε συνδυασμό με την επιστροφή ενός ενοικίου ετησίως καθώς και η μείωση των τεκμηρίων διαβίωσης για τις κατοικίες και άλλα περιουσιακά στοιχεία με απαλλαγή των εξαρτώμενων τέκνων από την </w:t>
      </w:r>
      <w:r w:rsidRPr="00EE1BF3">
        <w:t>ελάχιστη δαπάνη διαβίωσης.</w:t>
      </w:r>
      <w:r>
        <w:t xml:space="preserve"> Επιπροσθέτως, ενισχύεται το εισόδημα των συνταξιούχων μέσω της σταδιακής κατάργησης του συμψηφισμού των αυξήσεων των συντάξεων με την προσωπική διαφορά,</w:t>
      </w:r>
      <w:r w:rsidR="00743959">
        <w:t xml:space="preserve"> με</w:t>
      </w:r>
      <w:r>
        <w:t xml:space="preserve"> την περ</w:t>
      </w:r>
      <w:r w:rsidR="00743959">
        <w:t>αι</w:t>
      </w:r>
      <w:r>
        <w:t>τ</w:t>
      </w:r>
      <w:r w:rsidR="00743959">
        <w:t>έ</w:t>
      </w:r>
      <w:r>
        <w:t>ρω αύξηση των συντάξεων βάσ</w:t>
      </w:r>
      <w:r w:rsidR="00743959">
        <w:t>ει</w:t>
      </w:r>
      <w:r>
        <w:t xml:space="preserve"> ΑΕΠ και πληθωρισμού </w:t>
      </w:r>
      <w:r w:rsidR="00743959">
        <w:t xml:space="preserve">καθώς </w:t>
      </w:r>
      <w:r>
        <w:t xml:space="preserve">και </w:t>
      </w:r>
      <w:r w:rsidR="00743959">
        <w:t xml:space="preserve">με </w:t>
      </w:r>
      <w:r>
        <w:t>την ενίσχυση των χαμηλοσυνταξιούχων</w:t>
      </w:r>
      <w:r w:rsidR="003B7BB2">
        <w:t>, των ανασφάλιστων υπερηλ</w:t>
      </w:r>
      <w:r w:rsidR="009132A7">
        <w:t xml:space="preserve">ίκων </w:t>
      </w:r>
      <w:r>
        <w:t>και των ατόμων με αναπηρία με</w:t>
      </w:r>
      <w:r w:rsidR="00743959">
        <w:t xml:space="preserve"> το ποσό των</w:t>
      </w:r>
      <w:r>
        <w:t xml:space="preserve"> 250 ευρώ κάθε Νοέμβριο.</w:t>
      </w:r>
    </w:p>
    <w:p w14:paraId="221C4902" w14:textId="1CF6E786" w:rsidR="00431C88" w:rsidRDefault="00431C88" w:rsidP="00431C88">
      <w:pPr>
        <w:rPr>
          <w:rFonts w:eastAsia="Calibri"/>
        </w:rPr>
      </w:pPr>
      <w:r>
        <w:rPr>
          <w:rFonts w:eastAsia="Calibri"/>
        </w:rPr>
        <w:t xml:space="preserve">Ο ρυθμός μεταβολής των επενδύσεων αναμένεται να αυξηθεί από 4,5% το 2024 σε 5,7% το 2025 και </w:t>
      </w:r>
      <w:r w:rsidR="0026601F">
        <w:rPr>
          <w:rFonts w:eastAsia="Calibri"/>
        </w:rPr>
        <w:t xml:space="preserve">σε </w:t>
      </w:r>
      <w:r>
        <w:rPr>
          <w:rFonts w:eastAsia="Calibri"/>
        </w:rPr>
        <w:t xml:space="preserve">10,2% το 2026, </w:t>
      </w:r>
      <w:r w:rsidR="008F1F17">
        <w:rPr>
          <w:rFonts w:eastAsia="Calibri"/>
        </w:rPr>
        <w:t xml:space="preserve">καθ’ όσον σε </w:t>
      </w:r>
      <w:r w:rsidR="0026601F" w:rsidRPr="00807C63">
        <w:rPr>
          <w:rFonts w:eastAsia="Calibri"/>
        </w:rPr>
        <w:t xml:space="preserve">συνδυασμό με τη δυναμική που επιδεικνύουν οι ιδιωτικές επενδύσεις, </w:t>
      </w:r>
      <w:r w:rsidR="008F1F17" w:rsidRPr="00807C63">
        <w:rPr>
          <w:rFonts w:eastAsia="Calibri"/>
        </w:rPr>
        <w:t>αναμένεται να υλοποιηθεί</w:t>
      </w:r>
      <w:r w:rsidR="008F1F17" w:rsidRPr="008F1F17">
        <w:rPr>
          <w:rFonts w:eastAsia="Calibri"/>
        </w:rPr>
        <w:t xml:space="preserve"> </w:t>
      </w:r>
      <w:r w:rsidR="0026601F" w:rsidRPr="00807C63">
        <w:rPr>
          <w:rFonts w:eastAsia="Calibri"/>
        </w:rPr>
        <w:t>ένα σημαντικά διευρυμένο πρόγραμμα δημοσίων επενδύσεων</w:t>
      </w:r>
      <w:r w:rsidR="008F1F17" w:rsidRPr="008F1F17">
        <w:rPr>
          <w:rFonts w:eastAsia="Calibri"/>
        </w:rPr>
        <w:t xml:space="preserve"> </w:t>
      </w:r>
      <w:r w:rsidR="008F1F17" w:rsidRPr="00807C63">
        <w:rPr>
          <w:rFonts w:eastAsia="Calibri"/>
        </w:rPr>
        <w:t>το 2026</w:t>
      </w:r>
      <w:r w:rsidRPr="005C0182">
        <w:rPr>
          <w:rFonts w:eastAsia="Calibri"/>
        </w:rPr>
        <w:t>, με πόρους ύψους 16,7 δισ</w:t>
      </w:r>
      <w:r>
        <w:rPr>
          <w:rFonts w:eastAsia="Calibri"/>
        </w:rPr>
        <w:t>. ευρώ έναντι 14,6 δι</w:t>
      </w:r>
      <w:r w:rsidR="00F73372">
        <w:rPr>
          <w:rFonts w:eastAsia="Calibri"/>
        </w:rPr>
        <w:t>σ.</w:t>
      </w:r>
      <w:r>
        <w:rPr>
          <w:rFonts w:eastAsia="Calibri"/>
        </w:rPr>
        <w:t xml:space="preserve"> ευρώ το 2025. Η ανωτέρω αύξηση των επενδύσεων αποτελεί τη δεύτερη μεγαλύτερη αύξηση στην Ευρωζώνη για το 2025 και τη μεγαλύτερη αύξηση τόσο στην Ευρωζώνη όσο και στην Ευρωπαϊκή Ένωση των 27</w:t>
      </w:r>
      <w:r w:rsidRPr="004D5181">
        <w:rPr>
          <w:rFonts w:eastAsia="Calibri"/>
        </w:rPr>
        <w:t xml:space="preserve"> για το 2026</w:t>
      </w:r>
      <w:r>
        <w:rPr>
          <w:rFonts w:eastAsia="Calibri"/>
        </w:rPr>
        <w:t>, μειώνοντας περ</w:t>
      </w:r>
      <w:r w:rsidR="00743959">
        <w:rPr>
          <w:rFonts w:eastAsia="Calibri"/>
        </w:rPr>
        <w:t>αιτέ</w:t>
      </w:r>
      <w:r>
        <w:rPr>
          <w:rFonts w:eastAsia="Calibri"/>
        </w:rPr>
        <w:t>ρω το παραγωγικό κενό. Σημειώνεται ότι ο μέσος όρος αύξησης των επενδύσεων στην Ευρωζώνη εκτιμάται σε 1,3% για το 2025 και 2,2% για το 2026, σύμφωνα με τις εαρινές προβλέψεις της Ευρωπαϊκής Επιτροπής.</w:t>
      </w:r>
    </w:p>
    <w:p w14:paraId="32298A39" w14:textId="5849D4B6" w:rsidR="00431C88" w:rsidRDefault="00431C88" w:rsidP="00431C88">
      <w:r w:rsidRPr="0025392F">
        <w:lastRenderedPageBreak/>
        <w:t>Το ποσοστό ανεργίας</w:t>
      </w:r>
      <w:r w:rsidR="008528F0">
        <w:t>,</w:t>
      </w:r>
      <w:r w:rsidRPr="0025392F">
        <w:t xml:space="preserve"> έχοντας υποχωρήσει σε μονοψήφιο αριθμό ήδη από το 2025, προβλέπεται να βελτιωθεί περαιτέρω το 2026 κατά μισή ποσοστιαία μονάδα του εργατικού δυναμικού, διαμορφούμενο σε 8,6% βάσει της Έρευνας Εργατικού Δυναμικού, </w:t>
      </w:r>
      <w:r w:rsidR="008528F0">
        <w:t xml:space="preserve">το οποίο </w:t>
      </w:r>
      <w:r w:rsidRPr="0025392F">
        <w:t xml:space="preserve">αντιστοιχεί στο χαμηλότερο ποσοστό ανεργίας στην Ελλάδα </w:t>
      </w:r>
      <w:r w:rsidR="008F1F17">
        <w:t>μετά</w:t>
      </w:r>
      <w:r w:rsidRPr="0025392F">
        <w:t xml:space="preserve"> το 2008. </w:t>
      </w:r>
    </w:p>
    <w:p w14:paraId="7EA884E5" w14:textId="423BC9F2" w:rsidR="00431C88" w:rsidRDefault="00431C88" w:rsidP="00431C88">
      <w:pPr>
        <w:rPr>
          <w:rFonts w:eastAsia="Calibri"/>
        </w:rPr>
      </w:pPr>
      <w:r>
        <w:t xml:space="preserve">Το πρωτογενές αποτέλεσμα του </w:t>
      </w:r>
      <w:r w:rsidR="008528F0">
        <w:t>κ</w:t>
      </w:r>
      <w:r>
        <w:t xml:space="preserve">ρατικού </w:t>
      </w:r>
      <w:r w:rsidR="008528F0">
        <w:t>π</w:t>
      </w:r>
      <w:r>
        <w:t xml:space="preserve">ροϋπολογισμού αναμένεται να διαμορφωθεί σε 3,6% του ΑΕΠ για το 2025 και </w:t>
      </w:r>
      <w:r w:rsidR="00447601">
        <w:t xml:space="preserve">σε </w:t>
      </w:r>
      <w:r>
        <w:t>2,8% το 2026</w:t>
      </w:r>
      <w:r w:rsidR="00447601">
        <w:t xml:space="preserve">, </w:t>
      </w:r>
      <w:r w:rsidR="004F7AD5">
        <w:t xml:space="preserve">ενώ </w:t>
      </w:r>
      <w:r>
        <w:rPr>
          <w:rFonts w:eastAsia="Calibri"/>
        </w:rPr>
        <w:t>το συνολικό</w:t>
      </w:r>
      <w:r w:rsidR="004F7AD5">
        <w:rPr>
          <w:rFonts w:eastAsia="Calibri"/>
        </w:rPr>
        <w:t xml:space="preserve"> </w:t>
      </w:r>
      <w:r>
        <w:rPr>
          <w:rFonts w:eastAsia="Calibri"/>
        </w:rPr>
        <w:t xml:space="preserve">αποτέλεσμα </w:t>
      </w:r>
      <w:r w:rsidR="00447601">
        <w:rPr>
          <w:rFonts w:eastAsia="Calibri"/>
        </w:rPr>
        <w:t xml:space="preserve">της </w:t>
      </w:r>
      <w:r>
        <w:rPr>
          <w:rFonts w:eastAsia="Calibri"/>
        </w:rPr>
        <w:t xml:space="preserve">Γενικής Κυβέρνησης </w:t>
      </w:r>
      <w:r w:rsidRPr="004E76D4">
        <w:rPr>
          <w:rFonts w:eastAsia="Calibri"/>
        </w:rPr>
        <w:t xml:space="preserve">σε 0,6% το 2025 και </w:t>
      </w:r>
      <w:r w:rsidR="00447601">
        <w:rPr>
          <w:rFonts w:eastAsia="Calibri"/>
        </w:rPr>
        <w:t xml:space="preserve">σε </w:t>
      </w:r>
      <w:r w:rsidRPr="004E76D4">
        <w:rPr>
          <w:rFonts w:eastAsia="Calibri"/>
        </w:rPr>
        <w:t>-0,1% το 2026. Σε αυτ</w:t>
      </w:r>
      <w:r w:rsidR="004F7AD5">
        <w:rPr>
          <w:rFonts w:eastAsia="Calibri"/>
        </w:rPr>
        <w:t>ό</w:t>
      </w:r>
      <w:r w:rsidRPr="004E76D4">
        <w:rPr>
          <w:rFonts w:eastAsia="Calibri"/>
        </w:rPr>
        <w:t xml:space="preserve"> τ</w:t>
      </w:r>
      <w:r w:rsidR="004F7AD5">
        <w:rPr>
          <w:rFonts w:eastAsia="Calibri"/>
        </w:rPr>
        <w:t>ο</w:t>
      </w:r>
      <w:r w:rsidRPr="004E76D4">
        <w:rPr>
          <w:rFonts w:eastAsia="Calibri"/>
        </w:rPr>
        <w:t xml:space="preserve"> πλαίσι</w:t>
      </w:r>
      <w:r w:rsidR="004F7AD5">
        <w:rPr>
          <w:rFonts w:eastAsia="Calibri"/>
        </w:rPr>
        <w:t>ο</w:t>
      </w:r>
      <w:r w:rsidRPr="004E76D4">
        <w:rPr>
          <w:rFonts w:eastAsia="Calibri"/>
        </w:rPr>
        <w:t xml:space="preserve">, το </w:t>
      </w:r>
      <w:r w:rsidR="004F7AD5">
        <w:rPr>
          <w:rFonts w:eastAsia="Calibri"/>
        </w:rPr>
        <w:t>χ</w:t>
      </w:r>
      <w:r w:rsidRPr="004E76D4">
        <w:rPr>
          <w:rFonts w:eastAsia="Calibri"/>
        </w:rPr>
        <w:t>ρέος</w:t>
      </w:r>
      <w:r w:rsidR="004F7AD5">
        <w:rPr>
          <w:rFonts w:eastAsia="Calibri"/>
        </w:rPr>
        <w:t xml:space="preserve"> της </w:t>
      </w:r>
      <w:r w:rsidRPr="004E76D4">
        <w:rPr>
          <w:rFonts w:eastAsia="Calibri"/>
        </w:rPr>
        <w:t xml:space="preserve">Γενικής Κυβέρνησης ως ποσοστό του ΑΕΠ αναμένεται να παρουσιάσει για έκτο συνεχόμενο έτος τη μεγαλύτερη αποκλιμάκωση στην Ευρωπαϊκή Ένωση και </w:t>
      </w:r>
      <w:r>
        <w:rPr>
          <w:rFonts w:eastAsia="Calibri"/>
        </w:rPr>
        <w:t xml:space="preserve">να </w:t>
      </w:r>
      <w:r w:rsidRPr="004E76D4">
        <w:rPr>
          <w:rFonts w:eastAsia="Calibri"/>
        </w:rPr>
        <w:t xml:space="preserve">διαμορφωθεί σε επίπεδα κάτω του 140%, με την πρόβλεψη να διαμορφώνεται σε </w:t>
      </w:r>
      <w:r>
        <w:rPr>
          <w:rFonts w:eastAsia="Calibri"/>
        </w:rPr>
        <w:t>137,6</w:t>
      </w:r>
      <w:r w:rsidRPr="004E76D4">
        <w:rPr>
          <w:rFonts w:eastAsia="Calibri"/>
        </w:rPr>
        <w:t>%, που είναι το χαμηλότερο επίπεδο από το 2010.</w:t>
      </w:r>
    </w:p>
    <w:p w14:paraId="5843E041" w14:textId="2A7F9787" w:rsidR="007A481C" w:rsidRDefault="00431C88" w:rsidP="007A481C">
      <w:pPr>
        <w:spacing w:before="120"/>
      </w:pPr>
      <w:r w:rsidRPr="003F1518">
        <w:t xml:space="preserve">Παρά </w:t>
      </w:r>
      <w:r>
        <w:t>το ασταθές παγκόσμιο περιβάλλον</w:t>
      </w:r>
      <w:r w:rsidRPr="003F1518">
        <w:t xml:space="preserve">, </w:t>
      </w:r>
      <w:r w:rsidR="007A481C">
        <w:t>η Ελλάδα αποτελεί πλέον σημείο αναφοράς για τη σταθερότητα και τη συνέπεια της οικονομικής της πολιτικής. Η αναγνώριση αυτή από τους ευρωπαϊκούς και διεθνείς θεσμούς δεν είναι αυτονόητη</w:t>
      </w:r>
      <w:r w:rsidR="005B79BD">
        <w:t>, αλλά συνιστά</w:t>
      </w:r>
      <w:r w:rsidR="007A481C">
        <w:t xml:space="preserve"> αποτέλεσμα συλλογικής προσπάθειας, υπευθυνότητας και σταθερού μεταρρυθμιστικού προσανατολισμού. Η διατήρηση της δημοσιονομικής ισορροπίας, σε συνδυασμό με τη συνέχιση των επενδύσεων και των διαρθρωτικών αλλαγών, αποτελεί τη </w:t>
      </w:r>
      <w:r w:rsidR="00226CE5">
        <w:t>έναυσμα</w:t>
      </w:r>
      <w:r w:rsidR="007A481C">
        <w:t xml:space="preserve"> για βιώσιμη ανάπτυξη και ουσιαστική βελτίωση του βιοτικού επιπέδου όλων των πολιτών.</w:t>
      </w:r>
    </w:p>
    <w:p w14:paraId="18687323" w14:textId="77777777" w:rsidR="00B4667F" w:rsidRPr="00CC7A3E" w:rsidRDefault="00B4667F" w:rsidP="00B93C46">
      <w:pPr>
        <w:spacing w:before="360"/>
        <w:rPr>
          <w:rFonts w:eastAsia="Calibri"/>
        </w:rPr>
      </w:pPr>
      <w:r w:rsidRPr="001F6B03">
        <w:rPr>
          <w:rFonts w:eastAsia="Calibri"/>
        </w:rPr>
        <w:t>Οκτώβριος 202</w:t>
      </w:r>
      <w:r w:rsidR="00426F7C">
        <w:rPr>
          <w:rFonts w:eastAsia="Calibri"/>
        </w:rPr>
        <w:t>5</w:t>
      </w:r>
    </w:p>
    <w:p w14:paraId="7A15C46D" w14:textId="77777777" w:rsidR="00883A15" w:rsidRDefault="00883A15" w:rsidP="00B4667F">
      <w:pPr>
        <w:rPr>
          <w:rFonts w:eastAsia="Calibri"/>
        </w:rPr>
      </w:pPr>
    </w:p>
    <w:p w14:paraId="301D8B13" w14:textId="77777777" w:rsidR="00883A15" w:rsidRPr="001F6B03" w:rsidRDefault="00883A15" w:rsidP="00B4667F">
      <w:pPr>
        <w:rPr>
          <w:rFonts w:eastAsia="Calibri"/>
        </w:rPr>
      </w:pPr>
    </w:p>
    <w:tbl>
      <w:tblPr>
        <w:tblW w:w="0" w:type="auto"/>
        <w:jc w:val="center"/>
        <w:tblLook w:val="04A0" w:firstRow="1" w:lastRow="0" w:firstColumn="1" w:lastColumn="0" w:noHBand="0" w:noVBand="1"/>
      </w:tblPr>
      <w:tblGrid>
        <w:gridCol w:w="4265"/>
        <w:gridCol w:w="4257"/>
      </w:tblGrid>
      <w:tr w:rsidR="00B4667F" w:rsidRPr="001F6B03" w14:paraId="42716833" w14:textId="77777777" w:rsidTr="006926B7">
        <w:trPr>
          <w:jc w:val="center"/>
        </w:trPr>
        <w:tc>
          <w:tcPr>
            <w:tcW w:w="4265" w:type="dxa"/>
          </w:tcPr>
          <w:p w14:paraId="786D2CF1" w14:textId="77777777" w:rsidR="00B4667F" w:rsidRPr="001F6B03" w:rsidRDefault="00426F7C" w:rsidP="002C4F17">
            <w:pPr>
              <w:spacing w:after="0"/>
              <w:jc w:val="center"/>
              <w:rPr>
                <w:rFonts w:eastAsia="Calibri" w:cs="Arial"/>
              </w:rPr>
            </w:pPr>
            <w:r>
              <w:rPr>
                <w:rFonts w:eastAsia="Calibri" w:cs="Arial"/>
              </w:rPr>
              <w:t>Κυριάκος Πιερρακάκης</w:t>
            </w:r>
          </w:p>
        </w:tc>
        <w:tc>
          <w:tcPr>
            <w:tcW w:w="4257" w:type="dxa"/>
          </w:tcPr>
          <w:p w14:paraId="0F621FFA" w14:textId="77777777" w:rsidR="00B4667F" w:rsidRPr="001F6B03" w:rsidRDefault="00B4667F" w:rsidP="002C4F17">
            <w:pPr>
              <w:spacing w:after="0"/>
              <w:jc w:val="center"/>
              <w:rPr>
                <w:rFonts w:eastAsia="Calibri" w:cs="Arial"/>
              </w:rPr>
            </w:pPr>
            <w:r w:rsidRPr="001F6B03">
              <w:rPr>
                <w:rFonts w:eastAsia="Calibri" w:cs="Arial"/>
              </w:rPr>
              <w:t>Αθανάσιος Πετραλιάς</w:t>
            </w:r>
          </w:p>
        </w:tc>
      </w:tr>
      <w:tr w:rsidR="00B4667F" w:rsidRPr="001F6B03" w14:paraId="0526704D" w14:textId="77777777" w:rsidTr="006926B7">
        <w:trPr>
          <w:jc w:val="center"/>
        </w:trPr>
        <w:tc>
          <w:tcPr>
            <w:tcW w:w="4265" w:type="dxa"/>
          </w:tcPr>
          <w:p w14:paraId="13B75714" w14:textId="77777777" w:rsidR="00B4667F" w:rsidRPr="001F6B03" w:rsidRDefault="00B4667F" w:rsidP="00DF5A59">
            <w:pPr>
              <w:rPr>
                <w:rFonts w:eastAsia="Calibri" w:cs="Arial"/>
              </w:rPr>
            </w:pPr>
          </w:p>
        </w:tc>
        <w:tc>
          <w:tcPr>
            <w:tcW w:w="4257" w:type="dxa"/>
          </w:tcPr>
          <w:p w14:paraId="7B9458FA" w14:textId="77777777" w:rsidR="00B4667F" w:rsidRPr="001F6B03" w:rsidRDefault="00B4667F" w:rsidP="00DF5A59">
            <w:pPr>
              <w:rPr>
                <w:rFonts w:eastAsia="Calibri" w:cs="Arial"/>
              </w:rPr>
            </w:pPr>
          </w:p>
        </w:tc>
      </w:tr>
      <w:tr w:rsidR="00B4667F" w:rsidRPr="001F6B03" w14:paraId="265796F9" w14:textId="77777777" w:rsidTr="006926B7">
        <w:trPr>
          <w:jc w:val="center"/>
        </w:trPr>
        <w:tc>
          <w:tcPr>
            <w:tcW w:w="4265" w:type="dxa"/>
          </w:tcPr>
          <w:p w14:paraId="2EAEE8A8" w14:textId="77777777" w:rsidR="00B4667F" w:rsidRPr="001F6B03" w:rsidRDefault="00B4667F" w:rsidP="00602720">
            <w:pPr>
              <w:spacing w:after="0"/>
              <w:jc w:val="center"/>
              <w:rPr>
                <w:rFonts w:eastAsia="Calibri" w:cs="Arial"/>
              </w:rPr>
            </w:pPr>
            <w:r w:rsidRPr="001F6B03">
              <w:rPr>
                <w:rFonts w:eastAsia="Calibri" w:cs="Arial"/>
              </w:rPr>
              <w:t>Υπουργός</w:t>
            </w:r>
          </w:p>
          <w:p w14:paraId="07202EBB" w14:textId="77777777" w:rsidR="00B4667F" w:rsidRPr="001F6B03" w:rsidRDefault="00B4667F" w:rsidP="00602720">
            <w:pPr>
              <w:spacing w:after="0"/>
              <w:jc w:val="center"/>
              <w:rPr>
                <w:rFonts w:eastAsia="Calibri" w:cs="Arial"/>
              </w:rPr>
            </w:pPr>
            <w:r w:rsidRPr="001F6B03">
              <w:rPr>
                <w:rFonts w:eastAsia="Calibri" w:cs="Arial"/>
              </w:rPr>
              <w:t>Εθνικής Οικονομίας και Οικονομικών</w:t>
            </w:r>
          </w:p>
        </w:tc>
        <w:tc>
          <w:tcPr>
            <w:tcW w:w="4257" w:type="dxa"/>
          </w:tcPr>
          <w:p w14:paraId="78AD6A29" w14:textId="77777777" w:rsidR="00B4667F" w:rsidRPr="001F6B03" w:rsidRDefault="00B4667F" w:rsidP="00602720">
            <w:pPr>
              <w:spacing w:after="0"/>
              <w:jc w:val="center"/>
              <w:rPr>
                <w:rFonts w:eastAsia="Calibri" w:cs="Arial"/>
              </w:rPr>
            </w:pPr>
            <w:r w:rsidRPr="001F6B03">
              <w:rPr>
                <w:rFonts w:eastAsia="Calibri" w:cs="Arial"/>
              </w:rPr>
              <w:t>Υφυπουργός</w:t>
            </w:r>
          </w:p>
          <w:p w14:paraId="2FCEA9DF" w14:textId="77777777" w:rsidR="00B4667F" w:rsidRPr="001F6B03" w:rsidRDefault="00B4667F" w:rsidP="00602720">
            <w:pPr>
              <w:spacing w:after="0"/>
              <w:jc w:val="center"/>
              <w:rPr>
                <w:rFonts w:eastAsia="Calibri" w:cs="Arial"/>
              </w:rPr>
            </w:pPr>
            <w:r w:rsidRPr="001F6B03">
              <w:rPr>
                <w:rFonts w:eastAsia="Calibri" w:cs="Arial"/>
              </w:rPr>
              <w:t>Εθνικής Οικονομίας και Οικονομικών</w:t>
            </w:r>
          </w:p>
        </w:tc>
      </w:tr>
    </w:tbl>
    <w:p w14:paraId="09478276" w14:textId="77777777" w:rsidR="00B4667F" w:rsidRDefault="00B4667F" w:rsidP="00B4667F"/>
    <w:p w14:paraId="17649E98" w14:textId="77777777" w:rsidR="00003291" w:rsidRDefault="00003291" w:rsidP="00B4667F"/>
    <w:p w14:paraId="44C26F67" w14:textId="77777777" w:rsidR="00003291" w:rsidRDefault="00003291" w:rsidP="00B4667F"/>
    <w:p w14:paraId="7238979C" w14:textId="77777777" w:rsidR="00003291" w:rsidRDefault="00003291" w:rsidP="00B4667F"/>
    <w:p w14:paraId="001D29AC" w14:textId="77777777" w:rsidR="00003291" w:rsidRDefault="00003291" w:rsidP="00B4667F"/>
    <w:p w14:paraId="79D45178" w14:textId="77777777" w:rsidR="00003291" w:rsidRDefault="00003291" w:rsidP="00B4667F"/>
    <w:p w14:paraId="61466C51" w14:textId="77777777" w:rsidR="00003291" w:rsidRDefault="00003291" w:rsidP="00B4667F"/>
    <w:p w14:paraId="65B65416" w14:textId="77777777" w:rsidR="00003291" w:rsidRDefault="00003291" w:rsidP="00B4667F"/>
    <w:p w14:paraId="1EC4C914" w14:textId="77777777" w:rsidR="00003291" w:rsidRDefault="00003291" w:rsidP="00B4667F"/>
    <w:p w14:paraId="7E62CC1E" w14:textId="77777777" w:rsidR="00003291" w:rsidRDefault="00003291" w:rsidP="00B4667F"/>
    <w:p w14:paraId="2F3DA285" w14:textId="77777777" w:rsidR="00003291" w:rsidRDefault="00003291" w:rsidP="00B4667F"/>
    <w:p w14:paraId="6A909976" w14:textId="77777777" w:rsidR="00003291" w:rsidRDefault="00003291" w:rsidP="00B4667F"/>
    <w:p w14:paraId="485C3934" w14:textId="77777777" w:rsidR="00003291" w:rsidRDefault="00003291" w:rsidP="00B4667F"/>
    <w:p w14:paraId="71172C1A" w14:textId="77777777" w:rsidR="00003291" w:rsidRDefault="00003291" w:rsidP="00B4667F"/>
    <w:p w14:paraId="2103E180" w14:textId="77777777" w:rsidR="006844B1" w:rsidRDefault="006844B1">
      <w:pPr>
        <w:spacing w:after="0" w:line="240" w:lineRule="auto"/>
        <w:jc w:val="left"/>
      </w:pPr>
      <w:r>
        <w:br w:type="page"/>
      </w:r>
    </w:p>
    <w:p w14:paraId="2CEEAF50" w14:textId="77777777" w:rsidR="007B4361" w:rsidRPr="003B78A1" w:rsidRDefault="007B4361" w:rsidP="003F05C7">
      <w:pPr>
        <w:pStyle w:val="aff"/>
      </w:pPr>
      <w:r w:rsidRPr="003B78A1">
        <w:lastRenderedPageBreak/>
        <w:t>ΠΕΡΙΕΧΟΜΕΝΑ</w:t>
      </w:r>
    </w:p>
    <w:p w14:paraId="2D06AB3C" w14:textId="0578C685" w:rsidR="00386068" w:rsidRDefault="001F379D">
      <w:pPr>
        <w:pStyle w:val="13"/>
        <w:rPr>
          <w:rFonts w:asciiTheme="minorHAnsi" w:eastAsiaTheme="minorEastAsia" w:hAnsiTheme="minorHAnsi" w:cstheme="minorBidi"/>
          <w:b w:val="0"/>
          <w:color w:val="auto"/>
          <w:sz w:val="22"/>
          <w:szCs w:val="22"/>
        </w:rPr>
      </w:pPr>
      <w:r w:rsidRPr="000B2B1F">
        <w:rPr>
          <w:bCs/>
          <w:caps/>
        </w:rPr>
        <w:fldChar w:fldCharType="begin"/>
      </w:r>
      <w:r w:rsidRPr="000B2B1F">
        <w:rPr>
          <w:bCs/>
          <w:caps/>
        </w:rPr>
        <w:instrText xml:space="preserve"> TOC \o "1-5" \h \z \u </w:instrText>
      </w:r>
      <w:r w:rsidRPr="000B2B1F">
        <w:rPr>
          <w:bCs/>
          <w:caps/>
        </w:rPr>
        <w:fldChar w:fldCharType="separate"/>
      </w:r>
      <w:hyperlink w:anchor="_Toc210570657" w:history="1">
        <w:r w:rsidR="00386068" w:rsidRPr="00E87C45">
          <w:rPr>
            <w:rStyle w:val="-"/>
            <w14:scene3d>
              <w14:camera w14:prst="orthographicFront"/>
              <w14:lightRig w14:rig="threePt" w14:dir="t">
                <w14:rot w14:lat="0" w14:lon="0" w14:rev="0"/>
              </w14:lightRig>
            </w14:scene3d>
          </w:rPr>
          <w:t>ΚΕΦΑΛΑΙΟ 1</w:t>
        </w:r>
        <w:r w:rsidR="00386068">
          <w:rPr>
            <w:webHidden/>
          </w:rPr>
          <w:tab/>
        </w:r>
        <w:r w:rsidR="00386068">
          <w:rPr>
            <w:webHidden/>
          </w:rPr>
          <w:fldChar w:fldCharType="begin"/>
        </w:r>
        <w:r w:rsidR="00386068">
          <w:rPr>
            <w:webHidden/>
          </w:rPr>
          <w:instrText xml:space="preserve"> PAGEREF _Toc210570657 \h </w:instrText>
        </w:r>
        <w:r w:rsidR="00386068">
          <w:rPr>
            <w:webHidden/>
          </w:rPr>
        </w:r>
        <w:r w:rsidR="00386068">
          <w:rPr>
            <w:webHidden/>
          </w:rPr>
          <w:fldChar w:fldCharType="separate"/>
        </w:r>
        <w:r w:rsidR="00C42930">
          <w:rPr>
            <w:webHidden/>
          </w:rPr>
          <w:t>13</w:t>
        </w:r>
        <w:r w:rsidR="00386068">
          <w:rPr>
            <w:webHidden/>
          </w:rPr>
          <w:fldChar w:fldCharType="end"/>
        </w:r>
      </w:hyperlink>
    </w:p>
    <w:p w14:paraId="73E3F9A1" w14:textId="706FCDED" w:rsidR="00386068" w:rsidRDefault="00386068">
      <w:pPr>
        <w:pStyle w:val="22"/>
        <w:rPr>
          <w:rFonts w:asciiTheme="minorHAnsi" w:eastAsiaTheme="minorEastAsia" w:hAnsiTheme="minorHAnsi" w:cstheme="minorBidi"/>
          <w:b w:val="0"/>
          <w:bCs w:val="0"/>
          <w:noProof/>
          <w:sz w:val="22"/>
          <w:szCs w:val="22"/>
        </w:rPr>
      </w:pPr>
      <w:hyperlink w:anchor="_Toc210570658" w:history="1">
        <w:r w:rsidRPr="00E87C45">
          <w:rPr>
            <w:rStyle w:val="-"/>
            <w:noProof/>
          </w:rPr>
          <w:t>ΟΙΚΟΝΟΜΙΚΕΣ ΕΞΕΛΙΞΕΙΣ ΚΑΙ ΠΡΟΟΠΤΙΚΕΣ</w:t>
        </w:r>
        <w:r>
          <w:rPr>
            <w:noProof/>
            <w:webHidden/>
          </w:rPr>
          <w:tab/>
        </w:r>
        <w:r>
          <w:rPr>
            <w:noProof/>
            <w:webHidden/>
          </w:rPr>
          <w:fldChar w:fldCharType="begin"/>
        </w:r>
        <w:r>
          <w:rPr>
            <w:noProof/>
            <w:webHidden/>
          </w:rPr>
          <w:instrText xml:space="preserve"> PAGEREF _Toc210570658 \h </w:instrText>
        </w:r>
        <w:r>
          <w:rPr>
            <w:noProof/>
            <w:webHidden/>
          </w:rPr>
        </w:r>
        <w:r>
          <w:rPr>
            <w:noProof/>
            <w:webHidden/>
          </w:rPr>
          <w:fldChar w:fldCharType="separate"/>
        </w:r>
        <w:r w:rsidR="00C42930">
          <w:rPr>
            <w:noProof/>
            <w:webHidden/>
          </w:rPr>
          <w:t>13</w:t>
        </w:r>
        <w:r>
          <w:rPr>
            <w:noProof/>
            <w:webHidden/>
          </w:rPr>
          <w:fldChar w:fldCharType="end"/>
        </w:r>
      </w:hyperlink>
    </w:p>
    <w:p w14:paraId="0BEC97B8" w14:textId="750F5DAE" w:rsidR="00386068" w:rsidRDefault="00386068">
      <w:pPr>
        <w:pStyle w:val="32"/>
        <w:rPr>
          <w:rFonts w:asciiTheme="minorHAnsi" w:eastAsiaTheme="minorEastAsia" w:hAnsiTheme="minorHAnsi" w:cstheme="minorBidi"/>
          <w:noProof/>
          <w:sz w:val="22"/>
          <w:szCs w:val="22"/>
        </w:rPr>
      </w:pPr>
      <w:hyperlink w:anchor="_Toc210570659" w:history="1">
        <w:r w:rsidRPr="00E87C45">
          <w:rPr>
            <w:rStyle w:val="-"/>
            <w:noProof/>
          </w:rPr>
          <w:t>1.1.</w:t>
        </w:r>
        <w:r>
          <w:rPr>
            <w:rFonts w:asciiTheme="minorHAnsi" w:eastAsiaTheme="minorEastAsia" w:hAnsiTheme="minorHAnsi" w:cstheme="minorBidi"/>
            <w:noProof/>
            <w:sz w:val="22"/>
            <w:szCs w:val="22"/>
          </w:rPr>
          <w:tab/>
        </w:r>
        <w:r w:rsidRPr="00E87C45">
          <w:rPr>
            <w:rStyle w:val="-"/>
            <w:noProof/>
          </w:rPr>
          <w:t>Μακροοικονομικές εξελίξεις το 2025</w:t>
        </w:r>
        <w:r>
          <w:rPr>
            <w:noProof/>
            <w:webHidden/>
          </w:rPr>
          <w:tab/>
        </w:r>
        <w:r>
          <w:rPr>
            <w:noProof/>
            <w:webHidden/>
          </w:rPr>
          <w:fldChar w:fldCharType="begin"/>
        </w:r>
        <w:r>
          <w:rPr>
            <w:noProof/>
            <w:webHidden/>
          </w:rPr>
          <w:instrText xml:space="preserve"> PAGEREF _Toc210570659 \h </w:instrText>
        </w:r>
        <w:r>
          <w:rPr>
            <w:noProof/>
            <w:webHidden/>
          </w:rPr>
        </w:r>
        <w:r>
          <w:rPr>
            <w:noProof/>
            <w:webHidden/>
          </w:rPr>
          <w:fldChar w:fldCharType="separate"/>
        </w:r>
        <w:r w:rsidR="00C42930">
          <w:rPr>
            <w:noProof/>
            <w:webHidden/>
          </w:rPr>
          <w:t>13</w:t>
        </w:r>
        <w:r>
          <w:rPr>
            <w:noProof/>
            <w:webHidden/>
          </w:rPr>
          <w:fldChar w:fldCharType="end"/>
        </w:r>
      </w:hyperlink>
    </w:p>
    <w:p w14:paraId="0E8515A2" w14:textId="65A6652F" w:rsidR="00386068" w:rsidRDefault="00386068">
      <w:pPr>
        <w:pStyle w:val="32"/>
        <w:rPr>
          <w:rFonts w:asciiTheme="minorHAnsi" w:eastAsiaTheme="minorEastAsia" w:hAnsiTheme="minorHAnsi" w:cstheme="minorBidi"/>
          <w:noProof/>
          <w:sz w:val="22"/>
          <w:szCs w:val="22"/>
        </w:rPr>
      </w:pPr>
      <w:hyperlink w:anchor="_Toc210570660" w:history="1">
        <w:r w:rsidRPr="00E87C45">
          <w:rPr>
            <w:rStyle w:val="-"/>
            <w:noProof/>
          </w:rPr>
          <w:t>1.2.</w:t>
        </w:r>
        <w:r>
          <w:rPr>
            <w:rFonts w:asciiTheme="minorHAnsi" w:eastAsiaTheme="minorEastAsia" w:hAnsiTheme="minorHAnsi" w:cstheme="minorBidi"/>
            <w:noProof/>
            <w:sz w:val="22"/>
            <w:szCs w:val="22"/>
          </w:rPr>
          <w:tab/>
        </w:r>
        <w:r w:rsidRPr="00E87C45">
          <w:rPr>
            <w:rStyle w:val="-"/>
            <w:noProof/>
          </w:rPr>
          <w:t>Νομισματικές και πιστωτικές εξελίξεις στην Ελλάδα το 2025</w:t>
        </w:r>
        <w:r>
          <w:rPr>
            <w:noProof/>
            <w:webHidden/>
          </w:rPr>
          <w:tab/>
        </w:r>
        <w:r>
          <w:rPr>
            <w:noProof/>
            <w:webHidden/>
          </w:rPr>
          <w:fldChar w:fldCharType="begin"/>
        </w:r>
        <w:r>
          <w:rPr>
            <w:noProof/>
            <w:webHidden/>
          </w:rPr>
          <w:instrText xml:space="preserve"> PAGEREF _Toc210570660 \h </w:instrText>
        </w:r>
        <w:r>
          <w:rPr>
            <w:noProof/>
            <w:webHidden/>
          </w:rPr>
        </w:r>
        <w:r>
          <w:rPr>
            <w:noProof/>
            <w:webHidden/>
          </w:rPr>
          <w:fldChar w:fldCharType="separate"/>
        </w:r>
        <w:r w:rsidR="00C42930">
          <w:rPr>
            <w:noProof/>
            <w:webHidden/>
          </w:rPr>
          <w:t>21</w:t>
        </w:r>
        <w:r>
          <w:rPr>
            <w:noProof/>
            <w:webHidden/>
          </w:rPr>
          <w:fldChar w:fldCharType="end"/>
        </w:r>
      </w:hyperlink>
    </w:p>
    <w:p w14:paraId="229BACA3" w14:textId="6E06E3A9" w:rsidR="00386068" w:rsidRDefault="00386068">
      <w:pPr>
        <w:pStyle w:val="32"/>
        <w:rPr>
          <w:rFonts w:asciiTheme="minorHAnsi" w:eastAsiaTheme="minorEastAsia" w:hAnsiTheme="minorHAnsi" w:cstheme="minorBidi"/>
          <w:noProof/>
          <w:sz w:val="22"/>
          <w:szCs w:val="22"/>
        </w:rPr>
      </w:pPr>
      <w:hyperlink w:anchor="_Toc210570661" w:history="1">
        <w:r w:rsidRPr="00E87C45">
          <w:rPr>
            <w:rStyle w:val="-"/>
            <w:noProof/>
          </w:rPr>
          <w:t>1.3.</w:t>
        </w:r>
        <w:r>
          <w:rPr>
            <w:rFonts w:asciiTheme="minorHAnsi" w:eastAsiaTheme="minorEastAsia" w:hAnsiTheme="minorHAnsi" w:cstheme="minorBidi"/>
            <w:noProof/>
            <w:sz w:val="22"/>
            <w:szCs w:val="22"/>
          </w:rPr>
          <w:tab/>
        </w:r>
        <w:r w:rsidRPr="00E87C45">
          <w:rPr>
            <w:rStyle w:val="-"/>
            <w:noProof/>
          </w:rPr>
          <w:t>Μακροοικονομικές προβλέψεις το 2026</w:t>
        </w:r>
        <w:r>
          <w:rPr>
            <w:noProof/>
            <w:webHidden/>
          </w:rPr>
          <w:tab/>
        </w:r>
        <w:r>
          <w:rPr>
            <w:noProof/>
            <w:webHidden/>
          </w:rPr>
          <w:fldChar w:fldCharType="begin"/>
        </w:r>
        <w:r>
          <w:rPr>
            <w:noProof/>
            <w:webHidden/>
          </w:rPr>
          <w:instrText xml:space="preserve"> PAGEREF _Toc210570661 \h </w:instrText>
        </w:r>
        <w:r>
          <w:rPr>
            <w:noProof/>
            <w:webHidden/>
          </w:rPr>
        </w:r>
        <w:r>
          <w:rPr>
            <w:noProof/>
            <w:webHidden/>
          </w:rPr>
          <w:fldChar w:fldCharType="separate"/>
        </w:r>
        <w:r w:rsidR="00C42930">
          <w:rPr>
            <w:noProof/>
            <w:webHidden/>
          </w:rPr>
          <w:t>23</w:t>
        </w:r>
        <w:r>
          <w:rPr>
            <w:noProof/>
            <w:webHidden/>
          </w:rPr>
          <w:fldChar w:fldCharType="end"/>
        </w:r>
      </w:hyperlink>
    </w:p>
    <w:p w14:paraId="493AB950" w14:textId="7D500D89" w:rsidR="00386068" w:rsidRDefault="00386068">
      <w:pPr>
        <w:pStyle w:val="13"/>
        <w:rPr>
          <w:rFonts w:asciiTheme="minorHAnsi" w:eastAsiaTheme="minorEastAsia" w:hAnsiTheme="minorHAnsi" w:cstheme="minorBidi"/>
          <w:b w:val="0"/>
          <w:color w:val="auto"/>
          <w:sz w:val="22"/>
          <w:szCs w:val="22"/>
        </w:rPr>
      </w:pPr>
      <w:hyperlink w:anchor="_Toc210570662" w:history="1">
        <w:r w:rsidRPr="00E87C45">
          <w:rPr>
            <w:rStyle w:val="-"/>
            <w14:scene3d>
              <w14:camera w14:prst="orthographicFront"/>
              <w14:lightRig w14:rig="threePt" w14:dir="t">
                <w14:rot w14:lat="0" w14:lon="0" w14:rev="0"/>
              </w14:lightRig>
            </w14:scene3d>
          </w:rPr>
          <w:t>ΚΕΦΑΛΑΙΟ 2</w:t>
        </w:r>
        <w:r>
          <w:rPr>
            <w:webHidden/>
          </w:rPr>
          <w:tab/>
        </w:r>
        <w:r>
          <w:rPr>
            <w:webHidden/>
          </w:rPr>
          <w:fldChar w:fldCharType="begin"/>
        </w:r>
        <w:r>
          <w:rPr>
            <w:webHidden/>
          </w:rPr>
          <w:instrText xml:space="preserve"> PAGEREF _Toc210570662 \h </w:instrText>
        </w:r>
        <w:r>
          <w:rPr>
            <w:webHidden/>
          </w:rPr>
        </w:r>
        <w:r>
          <w:rPr>
            <w:webHidden/>
          </w:rPr>
          <w:fldChar w:fldCharType="separate"/>
        </w:r>
        <w:r w:rsidR="00C42930">
          <w:rPr>
            <w:webHidden/>
          </w:rPr>
          <w:t>31</w:t>
        </w:r>
        <w:r>
          <w:rPr>
            <w:webHidden/>
          </w:rPr>
          <w:fldChar w:fldCharType="end"/>
        </w:r>
      </w:hyperlink>
    </w:p>
    <w:p w14:paraId="6CE41291" w14:textId="21F9F57A" w:rsidR="00386068" w:rsidRDefault="00386068">
      <w:pPr>
        <w:pStyle w:val="22"/>
        <w:rPr>
          <w:rFonts w:asciiTheme="minorHAnsi" w:eastAsiaTheme="minorEastAsia" w:hAnsiTheme="minorHAnsi" w:cstheme="minorBidi"/>
          <w:b w:val="0"/>
          <w:bCs w:val="0"/>
          <w:noProof/>
          <w:sz w:val="22"/>
          <w:szCs w:val="22"/>
        </w:rPr>
      </w:pPr>
      <w:hyperlink w:anchor="_Toc210570663" w:history="1">
        <w:r w:rsidRPr="00E87C45">
          <w:rPr>
            <w:rStyle w:val="-"/>
            <w:noProof/>
          </w:rPr>
          <w:t>ΠΡΟΫΠΟΛΟΓΙΣΜΟΣ ΓΕΝΙΚΗΣ ΚΥΒΕΡΝΗΣΗΣ</w:t>
        </w:r>
        <w:r>
          <w:rPr>
            <w:noProof/>
            <w:webHidden/>
          </w:rPr>
          <w:tab/>
        </w:r>
        <w:r>
          <w:rPr>
            <w:noProof/>
            <w:webHidden/>
          </w:rPr>
          <w:fldChar w:fldCharType="begin"/>
        </w:r>
        <w:r>
          <w:rPr>
            <w:noProof/>
            <w:webHidden/>
          </w:rPr>
          <w:instrText xml:space="preserve"> PAGEREF _Toc210570663 \h </w:instrText>
        </w:r>
        <w:r>
          <w:rPr>
            <w:noProof/>
            <w:webHidden/>
          </w:rPr>
        </w:r>
        <w:r>
          <w:rPr>
            <w:noProof/>
            <w:webHidden/>
          </w:rPr>
          <w:fldChar w:fldCharType="separate"/>
        </w:r>
        <w:r w:rsidR="00C42930">
          <w:rPr>
            <w:noProof/>
            <w:webHidden/>
          </w:rPr>
          <w:t>31</w:t>
        </w:r>
        <w:r>
          <w:rPr>
            <w:noProof/>
            <w:webHidden/>
          </w:rPr>
          <w:fldChar w:fldCharType="end"/>
        </w:r>
      </w:hyperlink>
    </w:p>
    <w:p w14:paraId="04A94315" w14:textId="14EFF753" w:rsidR="00386068" w:rsidRDefault="00386068">
      <w:pPr>
        <w:pStyle w:val="32"/>
        <w:rPr>
          <w:rFonts w:asciiTheme="minorHAnsi" w:eastAsiaTheme="minorEastAsia" w:hAnsiTheme="minorHAnsi" w:cstheme="minorBidi"/>
          <w:noProof/>
          <w:sz w:val="22"/>
          <w:szCs w:val="22"/>
        </w:rPr>
      </w:pPr>
      <w:hyperlink w:anchor="_Toc210570664" w:history="1">
        <w:r w:rsidRPr="00E87C45">
          <w:rPr>
            <w:rStyle w:val="-"/>
            <w:noProof/>
          </w:rPr>
          <w:t>2.1.</w:t>
        </w:r>
        <w:r>
          <w:rPr>
            <w:rFonts w:asciiTheme="minorHAnsi" w:eastAsiaTheme="minorEastAsia" w:hAnsiTheme="minorHAnsi" w:cstheme="minorBidi"/>
            <w:noProof/>
            <w:sz w:val="22"/>
            <w:szCs w:val="22"/>
          </w:rPr>
          <w:tab/>
        </w:r>
        <w:r w:rsidRPr="00E87C45">
          <w:rPr>
            <w:rStyle w:val="-"/>
            <w:noProof/>
          </w:rPr>
          <w:t>Εκτιμήσεις 2025</w:t>
        </w:r>
        <w:r>
          <w:rPr>
            <w:noProof/>
            <w:webHidden/>
          </w:rPr>
          <w:tab/>
        </w:r>
        <w:r>
          <w:rPr>
            <w:noProof/>
            <w:webHidden/>
          </w:rPr>
          <w:fldChar w:fldCharType="begin"/>
        </w:r>
        <w:r>
          <w:rPr>
            <w:noProof/>
            <w:webHidden/>
          </w:rPr>
          <w:instrText xml:space="preserve"> PAGEREF _Toc210570664 \h </w:instrText>
        </w:r>
        <w:r>
          <w:rPr>
            <w:noProof/>
            <w:webHidden/>
          </w:rPr>
        </w:r>
        <w:r>
          <w:rPr>
            <w:noProof/>
            <w:webHidden/>
          </w:rPr>
          <w:fldChar w:fldCharType="separate"/>
        </w:r>
        <w:r w:rsidR="00C42930">
          <w:rPr>
            <w:noProof/>
            <w:webHidden/>
          </w:rPr>
          <w:t>31</w:t>
        </w:r>
        <w:r>
          <w:rPr>
            <w:noProof/>
            <w:webHidden/>
          </w:rPr>
          <w:fldChar w:fldCharType="end"/>
        </w:r>
      </w:hyperlink>
    </w:p>
    <w:p w14:paraId="6C7F4096" w14:textId="131F8270" w:rsidR="00386068" w:rsidRDefault="00386068">
      <w:pPr>
        <w:pStyle w:val="40"/>
        <w:rPr>
          <w:rFonts w:asciiTheme="minorHAnsi" w:eastAsiaTheme="minorEastAsia" w:hAnsiTheme="minorHAnsi" w:cstheme="minorBidi"/>
          <w:noProof/>
          <w:sz w:val="22"/>
          <w:szCs w:val="22"/>
        </w:rPr>
      </w:pPr>
      <w:hyperlink w:anchor="_Toc210570665" w:history="1">
        <w:r w:rsidRPr="00E87C45">
          <w:rPr>
            <w:rStyle w:val="-"/>
            <w:noProof/>
            <w14:scene3d>
              <w14:camera w14:prst="orthographicFront"/>
              <w14:lightRig w14:rig="threePt" w14:dir="t">
                <w14:rot w14:lat="0" w14:lon="0" w14:rev="0"/>
              </w14:lightRig>
            </w14:scene3d>
          </w:rPr>
          <w:t>2.1.1.</w:t>
        </w:r>
        <w:r>
          <w:rPr>
            <w:rFonts w:asciiTheme="minorHAnsi" w:eastAsiaTheme="minorEastAsia" w:hAnsiTheme="minorHAnsi" w:cstheme="minorBidi"/>
            <w:noProof/>
            <w:sz w:val="22"/>
            <w:szCs w:val="22"/>
          </w:rPr>
          <w:tab/>
        </w:r>
        <w:r w:rsidRPr="00E87C45">
          <w:rPr>
            <w:rStyle w:val="-"/>
            <w:noProof/>
          </w:rPr>
          <w:t>Κρατικός Προϋπολογισμός</w:t>
        </w:r>
        <w:r>
          <w:rPr>
            <w:noProof/>
            <w:webHidden/>
          </w:rPr>
          <w:tab/>
        </w:r>
        <w:r>
          <w:rPr>
            <w:noProof/>
            <w:webHidden/>
          </w:rPr>
          <w:fldChar w:fldCharType="begin"/>
        </w:r>
        <w:r>
          <w:rPr>
            <w:noProof/>
            <w:webHidden/>
          </w:rPr>
          <w:instrText xml:space="preserve"> PAGEREF _Toc210570665 \h </w:instrText>
        </w:r>
        <w:r>
          <w:rPr>
            <w:noProof/>
            <w:webHidden/>
          </w:rPr>
        </w:r>
        <w:r>
          <w:rPr>
            <w:noProof/>
            <w:webHidden/>
          </w:rPr>
          <w:fldChar w:fldCharType="separate"/>
        </w:r>
        <w:r w:rsidR="00C42930">
          <w:rPr>
            <w:noProof/>
            <w:webHidden/>
          </w:rPr>
          <w:t>33</w:t>
        </w:r>
        <w:r>
          <w:rPr>
            <w:noProof/>
            <w:webHidden/>
          </w:rPr>
          <w:fldChar w:fldCharType="end"/>
        </w:r>
      </w:hyperlink>
    </w:p>
    <w:p w14:paraId="68DDB107" w14:textId="1991FED0" w:rsidR="00386068" w:rsidRDefault="00386068">
      <w:pPr>
        <w:pStyle w:val="50"/>
        <w:rPr>
          <w:rFonts w:asciiTheme="minorHAnsi" w:eastAsiaTheme="minorEastAsia" w:hAnsiTheme="minorHAnsi" w:cstheme="minorBidi"/>
          <w:noProof/>
          <w:sz w:val="22"/>
          <w:szCs w:val="22"/>
        </w:rPr>
      </w:pPr>
      <w:hyperlink w:anchor="_Toc210570666" w:history="1">
        <w:r w:rsidRPr="00E87C45">
          <w:rPr>
            <w:rStyle w:val="-"/>
            <w:bCs/>
            <w:noProof/>
          </w:rPr>
          <w:t xml:space="preserve">Έσοδα - </w:t>
        </w:r>
        <w:r w:rsidRPr="00E87C45">
          <w:rPr>
            <w:rStyle w:val="-"/>
            <w:noProof/>
          </w:rPr>
          <w:t>Ανάλυση σε δημοσιονομική βάση</w:t>
        </w:r>
        <w:r>
          <w:rPr>
            <w:noProof/>
            <w:webHidden/>
          </w:rPr>
          <w:tab/>
        </w:r>
        <w:r>
          <w:rPr>
            <w:noProof/>
            <w:webHidden/>
          </w:rPr>
          <w:fldChar w:fldCharType="begin"/>
        </w:r>
        <w:r>
          <w:rPr>
            <w:noProof/>
            <w:webHidden/>
          </w:rPr>
          <w:instrText xml:space="preserve"> PAGEREF _Toc210570666 \h </w:instrText>
        </w:r>
        <w:r>
          <w:rPr>
            <w:noProof/>
            <w:webHidden/>
          </w:rPr>
        </w:r>
        <w:r>
          <w:rPr>
            <w:noProof/>
            <w:webHidden/>
          </w:rPr>
          <w:fldChar w:fldCharType="separate"/>
        </w:r>
        <w:r w:rsidR="00C42930">
          <w:rPr>
            <w:noProof/>
            <w:webHidden/>
          </w:rPr>
          <w:t>33</w:t>
        </w:r>
        <w:r>
          <w:rPr>
            <w:noProof/>
            <w:webHidden/>
          </w:rPr>
          <w:fldChar w:fldCharType="end"/>
        </w:r>
      </w:hyperlink>
    </w:p>
    <w:p w14:paraId="1BDD412C" w14:textId="5C753456" w:rsidR="00386068" w:rsidRDefault="00386068">
      <w:pPr>
        <w:pStyle w:val="50"/>
        <w:rPr>
          <w:rFonts w:asciiTheme="minorHAnsi" w:eastAsiaTheme="minorEastAsia" w:hAnsiTheme="minorHAnsi" w:cstheme="minorBidi"/>
          <w:noProof/>
          <w:sz w:val="22"/>
          <w:szCs w:val="22"/>
        </w:rPr>
      </w:pPr>
      <w:hyperlink w:anchor="_Toc210570667" w:history="1">
        <w:r w:rsidRPr="00E87C45">
          <w:rPr>
            <w:rStyle w:val="-"/>
            <w:bCs/>
            <w:noProof/>
          </w:rPr>
          <w:t>Δαπάνες - Ανάλυση σε δημοσιονομική βάση</w:t>
        </w:r>
        <w:r>
          <w:rPr>
            <w:noProof/>
            <w:webHidden/>
          </w:rPr>
          <w:tab/>
        </w:r>
        <w:r>
          <w:rPr>
            <w:noProof/>
            <w:webHidden/>
          </w:rPr>
          <w:fldChar w:fldCharType="begin"/>
        </w:r>
        <w:r>
          <w:rPr>
            <w:noProof/>
            <w:webHidden/>
          </w:rPr>
          <w:instrText xml:space="preserve"> PAGEREF _Toc210570667 \h </w:instrText>
        </w:r>
        <w:r>
          <w:rPr>
            <w:noProof/>
            <w:webHidden/>
          </w:rPr>
        </w:r>
        <w:r>
          <w:rPr>
            <w:noProof/>
            <w:webHidden/>
          </w:rPr>
          <w:fldChar w:fldCharType="separate"/>
        </w:r>
        <w:r w:rsidR="00C42930">
          <w:rPr>
            <w:noProof/>
            <w:webHidden/>
          </w:rPr>
          <w:t>36</w:t>
        </w:r>
        <w:r>
          <w:rPr>
            <w:noProof/>
            <w:webHidden/>
          </w:rPr>
          <w:fldChar w:fldCharType="end"/>
        </w:r>
      </w:hyperlink>
    </w:p>
    <w:p w14:paraId="1219F07B" w14:textId="331A9AB2" w:rsidR="00386068" w:rsidRDefault="00386068">
      <w:pPr>
        <w:pStyle w:val="40"/>
        <w:rPr>
          <w:rFonts w:asciiTheme="minorHAnsi" w:eastAsiaTheme="minorEastAsia" w:hAnsiTheme="minorHAnsi" w:cstheme="minorBidi"/>
          <w:noProof/>
          <w:sz w:val="22"/>
          <w:szCs w:val="22"/>
        </w:rPr>
      </w:pPr>
      <w:hyperlink w:anchor="_Toc210570668" w:history="1">
        <w:r w:rsidRPr="00E87C45">
          <w:rPr>
            <w:rStyle w:val="-"/>
            <w:noProof/>
            <w14:scene3d>
              <w14:camera w14:prst="orthographicFront"/>
              <w14:lightRig w14:rig="threePt" w14:dir="t">
                <w14:rot w14:lat="0" w14:lon="0" w14:rev="0"/>
              </w14:lightRig>
            </w14:scene3d>
          </w:rPr>
          <w:t>2.1.2.</w:t>
        </w:r>
        <w:r>
          <w:rPr>
            <w:rFonts w:asciiTheme="minorHAnsi" w:eastAsiaTheme="minorEastAsia" w:hAnsiTheme="minorHAnsi" w:cstheme="minorBidi"/>
            <w:noProof/>
            <w:sz w:val="22"/>
            <w:szCs w:val="22"/>
          </w:rPr>
          <w:tab/>
        </w:r>
        <w:r w:rsidRPr="00E87C45">
          <w:rPr>
            <w:rStyle w:val="-"/>
            <w:noProof/>
          </w:rPr>
          <w:t>Λοιποί υποτομείς της Γενικής Κυβέρνησης</w:t>
        </w:r>
        <w:r>
          <w:rPr>
            <w:noProof/>
            <w:webHidden/>
          </w:rPr>
          <w:tab/>
        </w:r>
        <w:r>
          <w:rPr>
            <w:noProof/>
            <w:webHidden/>
          </w:rPr>
          <w:fldChar w:fldCharType="begin"/>
        </w:r>
        <w:r>
          <w:rPr>
            <w:noProof/>
            <w:webHidden/>
          </w:rPr>
          <w:instrText xml:space="preserve"> PAGEREF _Toc210570668 \h </w:instrText>
        </w:r>
        <w:r>
          <w:rPr>
            <w:noProof/>
            <w:webHidden/>
          </w:rPr>
        </w:r>
        <w:r>
          <w:rPr>
            <w:noProof/>
            <w:webHidden/>
          </w:rPr>
          <w:fldChar w:fldCharType="separate"/>
        </w:r>
        <w:r w:rsidR="00C42930">
          <w:rPr>
            <w:noProof/>
            <w:webHidden/>
          </w:rPr>
          <w:t>39</w:t>
        </w:r>
        <w:r>
          <w:rPr>
            <w:noProof/>
            <w:webHidden/>
          </w:rPr>
          <w:fldChar w:fldCharType="end"/>
        </w:r>
      </w:hyperlink>
    </w:p>
    <w:p w14:paraId="082B5AB4" w14:textId="7E56D128" w:rsidR="00386068" w:rsidRDefault="00386068">
      <w:pPr>
        <w:pStyle w:val="40"/>
        <w:rPr>
          <w:rFonts w:asciiTheme="minorHAnsi" w:eastAsiaTheme="minorEastAsia" w:hAnsiTheme="minorHAnsi" w:cstheme="minorBidi"/>
          <w:noProof/>
          <w:sz w:val="22"/>
          <w:szCs w:val="22"/>
        </w:rPr>
      </w:pPr>
      <w:hyperlink w:anchor="_Toc210570669" w:history="1">
        <w:r w:rsidRPr="00E87C45">
          <w:rPr>
            <w:rStyle w:val="-"/>
            <w:noProof/>
            <w14:scene3d>
              <w14:camera w14:prst="orthographicFront"/>
              <w14:lightRig w14:rig="threePt" w14:dir="t">
                <w14:rot w14:lat="0" w14:lon="0" w14:rev="0"/>
              </w14:lightRig>
            </w14:scene3d>
          </w:rPr>
          <w:t>2.1.3.</w:t>
        </w:r>
        <w:r>
          <w:rPr>
            <w:rFonts w:asciiTheme="minorHAnsi" w:eastAsiaTheme="minorEastAsia" w:hAnsiTheme="minorHAnsi" w:cstheme="minorBidi"/>
            <w:noProof/>
            <w:sz w:val="22"/>
            <w:szCs w:val="22"/>
          </w:rPr>
          <w:tab/>
        </w:r>
        <w:r w:rsidRPr="00E87C45">
          <w:rPr>
            <w:rStyle w:val="-"/>
            <w:noProof/>
          </w:rPr>
          <w:t>Ληξιπρόθεσμες υποχρεώσεις της Γενικής Κυβέρνησης προς τρίτους</w:t>
        </w:r>
        <w:r>
          <w:rPr>
            <w:noProof/>
            <w:webHidden/>
          </w:rPr>
          <w:tab/>
        </w:r>
        <w:r>
          <w:rPr>
            <w:noProof/>
            <w:webHidden/>
          </w:rPr>
          <w:fldChar w:fldCharType="begin"/>
        </w:r>
        <w:r>
          <w:rPr>
            <w:noProof/>
            <w:webHidden/>
          </w:rPr>
          <w:instrText xml:space="preserve"> PAGEREF _Toc210570669 \h </w:instrText>
        </w:r>
        <w:r>
          <w:rPr>
            <w:noProof/>
            <w:webHidden/>
          </w:rPr>
        </w:r>
        <w:r>
          <w:rPr>
            <w:noProof/>
            <w:webHidden/>
          </w:rPr>
          <w:fldChar w:fldCharType="separate"/>
        </w:r>
        <w:r w:rsidR="00C42930">
          <w:rPr>
            <w:noProof/>
            <w:webHidden/>
          </w:rPr>
          <w:t>41</w:t>
        </w:r>
        <w:r>
          <w:rPr>
            <w:noProof/>
            <w:webHidden/>
          </w:rPr>
          <w:fldChar w:fldCharType="end"/>
        </w:r>
      </w:hyperlink>
    </w:p>
    <w:p w14:paraId="024371D4" w14:textId="791B40FE" w:rsidR="00386068" w:rsidRDefault="00386068">
      <w:pPr>
        <w:pStyle w:val="32"/>
        <w:rPr>
          <w:rFonts w:asciiTheme="minorHAnsi" w:eastAsiaTheme="minorEastAsia" w:hAnsiTheme="minorHAnsi" w:cstheme="minorBidi"/>
          <w:noProof/>
          <w:sz w:val="22"/>
          <w:szCs w:val="22"/>
        </w:rPr>
      </w:pPr>
      <w:hyperlink w:anchor="_Toc210570670" w:history="1">
        <w:r w:rsidRPr="00E87C45">
          <w:rPr>
            <w:rStyle w:val="-"/>
            <w:noProof/>
          </w:rPr>
          <w:t>2.2.</w:t>
        </w:r>
        <w:r>
          <w:rPr>
            <w:rFonts w:asciiTheme="minorHAnsi" w:eastAsiaTheme="minorEastAsia" w:hAnsiTheme="minorHAnsi" w:cstheme="minorBidi"/>
            <w:noProof/>
            <w:sz w:val="22"/>
            <w:szCs w:val="22"/>
          </w:rPr>
          <w:tab/>
        </w:r>
        <w:r w:rsidRPr="00E87C45">
          <w:rPr>
            <w:rStyle w:val="-"/>
            <w:noProof/>
          </w:rPr>
          <w:t>Προβλέψεις 2026</w:t>
        </w:r>
        <w:r>
          <w:rPr>
            <w:noProof/>
            <w:webHidden/>
          </w:rPr>
          <w:tab/>
        </w:r>
        <w:r>
          <w:rPr>
            <w:noProof/>
            <w:webHidden/>
          </w:rPr>
          <w:fldChar w:fldCharType="begin"/>
        </w:r>
        <w:r>
          <w:rPr>
            <w:noProof/>
            <w:webHidden/>
          </w:rPr>
          <w:instrText xml:space="preserve"> PAGEREF _Toc210570670 \h </w:instrText>
        </w:r>
        <w:r>
          <w:rPr>
            <w:noProof/>
            <w:webHidden/>
          </w:rPr>
        </w:r>
        <w:r>
          <w:rPr>
            <w:noProof/>
            <w:webHidden/>
          </w:rPr>
          <w:fldChar w:fldCharType="separate"/>
        </w:r>
        <w:r w:rsidR="00C42930">
          <w:rPr>
            <w:noProof/>
            <w:webHidden/>
          </w:rPr>
          <w:t>43</w:t>
        </w:r>
        <w:r>
          <w:rPr>
            <w:noProof/>
            <w:webHidden/>
          </w:rPr>
          <w:fldChar w:fldCharType="end"/>
        </w:r>
      </w:hyperlink>
    </w:p>
    <w:p w14:paraId="70727B99" w14:textId="05E207CC" w:rsidR="00386068" w:rsidRDefault="00386068">
      <w:pPr>
        <w:pStyle w:val="40"/>
        <w:rPr>
          <w:rFonts w:asciiTheme="minorHAnsi" w:eastAsiaTheme="minorEastAsia" w:hAnsiTheme="minorHAnsi" w:cstheme="minorBidi"/>
          <w:noProof/>
          <w:sz w:val="22"/>
          <w:szCs w:val="22"/>
        </w:rPr>
      </w:pPr>
      <w:hyperlink w:anchor="_Toc210570671" w:history="1">
        <w:r w:rsidRPr="00E87C45">
          <w:rPr>
            <w:rStyle w:val="-"/>
            <w:noProof/>
            <w14:scene3d>
              <w14:camera w14:prst="orthographicFront"/>
              <w14:lightRig w14:rig="threePt" w14:dir="t">
                <w14:rot w14:lat="0" w14:lon="0" w14:rev="0"/>
              </w14:lightRig>
            </w14:scene3d>
          </w:rPr>
          <w:t>2.2.1.</w:t>
        </w:r>
        <w:r>
          <w:rPr>
            <w:rFonts w:asciiTheme="minorHAnsi" w:eastAsiaTheme="minorEastAsia" w:hAnsiTheme="minorHAnsi" w:cstheme="minorBidi"/>
            <w:noProof/>
            <w:sz w:val="22"/>
            <w:szCs w:val="22"/>
          </w:rPr>
          <w:tab/>
        </w:r>
        <w:r w:rsidRPr="00E87C45">
          <w:rPr>
            <w:rStyle w:val="-"/>
            <w:noProof/>
          </w:rPr>
          <w:t>Κρατικός Προϋπολογισμός</w:t>
        </w:r>
        <w:r>
          <w:rPr>
            <w:noProof/>
            <w:webHidden/>
          </w:rPr>
          <w:tab/>
        </w:r>
        <w:r>
          <w:rPr>
            <w:noProof/>
            <w:webHidden/>
          </w:rPr>
          <w:fldChar w:fldCharType="begin"/>
        </w:r>
        <w:r>
          <w:rPr>
            <w:noProof/>
            <w:webHidden/>
          </w:rPr>
          <w:instrText xml:space="preserve"> PAGEREF _Toc210570671 \h </w:instrText>
        </w:r>
        <w:r>
          <w:rPr>
            <w:noProof/>
            <w:webHidden/>
          </w:rPr>
        </w:r>
        <w:r>
          <w:rPr>
            <w:noProof/>
            <w:webHidden/>
          </w:rPr>
          <w:fldChar w:fldCharType="separate"/>
        </w:r>
        <w:r w:rsidR="00C42930">
          <w:rPr>
            <w:noProof/>
            <w:webHidden/>
          </w:rPr>
          <w:t>44</w:t>
        </w:r>
        <w:r>
          <w:rPr>
            <w:noProof/>
            <w:webHidden/>
          </w:rPr>
          <w:fldChar w:fldCharType="end"/>
        </w:r>
      </w:hyperlink>
    </w:p>
    <w:p w14:paraId="72FC9584" w14:textId="1DAA716F" w:rsidR="00386068" w:rsidRDefault="00386068">
      <w:pPr>
        <w:pStyle w:val="50"/>
        <w:rPr>
          <w:rFonts w:asciiTheme="minorHAnsi" w:eastAsiaTheme="minorEastAsia" w:hAnsiTheme="minorHAnsi" w:cstheme="minorBidi"/>
          <w:noProof/>
          <w:sz w:val="22"/>
          <w:szCs w:val="22"/>
        </w:rPr>
      </w:pPr>
      <w:hyperlink w:anchor="_Toc210570672" w:history="1">
        <w:r w:rsidRPr="00E87C45">
          <w:rPr>
            <w:rStyle w:val="-"/>
            <w:bCs/>
            <w:noProof/>
          </w:rPr>
          <w:t>Έσοδα - Ανάλυση σε δημοσιονομική βάση</w:t>
        </w:r>
        <w:r>
          <w:rPr>
            <w:noProof/>
            <w:webHidden/>
          </w:rPr>
          <w:tab/>
        </w:r>
        <w:r>
          <w:rPr>
            <w:noProof/>
            <w:webHidden/>
          </w:rPr>
          <w:fldChar w:fldCharType="begin"/>
        </w:r>
        <w:r>
          <w:rPr>
            <w:noProof/>
            <w:webHidden/>
          </w:rPr>
          <w:instrText xml:space="preserve"> PAGEREF _Toc210570672 \h </w:instrText>
        </w:r>
        <w:r>
          <w:rPr>
            <w:noProof/>
            <w:webHidden/>
          </w:rPr>
        </w:r>
        <w:r>
          <w:rPr>
            <w:noProof/>
            <w:webHidden/>
          </w:rPr>
          <w:fldChar w:fldCharType="separate"/>
        </w:r>
        <w:r w:rsidR="00C42930">
          <w:rPr>
            <w:noProof/>
            <w:webHidden/>
          </w:rPr>
          <w:t>44</w:t>
        </w:r>
        <w:r>
          <w:rPr>
            <w:noProof/>
            <w:webHidden/>
          </w:rPr>
          <w:fldChar w:fldCharType="end"/>
        </w:r>
      </w:hyperlink>
    </w:p>
    <w:p w14:paraId="5F00E050" w14:textId="3F1B7F5C" w:rsidR="00386068" w:rsidRDefault="00386068">
      <w:pPr>
        <w:pStyle w:val="50"/>
        <w:rPr>
          <w:rFonts w:asciiTheme="minorHAnsi" w:eastAsiaTheme="minorEastAsia" w:hAnsiTheme="minorHAnsi" w:cstheme="minorBidi"/>
          <w:noProof/>
          <w:sz w:val="22"/>
          <w:szCs w:val="22"/>
        </w:rPr>
      </w:pPr>
      <w:hyperlink w:anchor="_Toc210570673" w:history="1">
        <w:r w:rsidRPr="00E87C45">
          <w:rPr>
            <w:rStyle w:val="-"/>
            <w:bCs/>
            <w:noProof/>
          </w:rPr>
          <w:t>Δαπάνες - Ανάλυση σε δημοσιονομική βάση</w:t>
        </w:r>
        <w:r>
          <w:rPr>
            <w:noProof/>
            <w:webHidden/>
          </w:rPr>
          <w:tab/>
        </w:r>
        <w:r>
          <w:rPr>
            <w:noProof/>
            <w:webHidden/>
          </w:rPr>
          <w:fldChar w:fldCharType="begin"/>
        </w:r>
        <w:r>
          <w:rPr>
            <w:noProof/>
            <w:webHidden/>
          </w:rPr>
          <w:instrText xml:space="preserve"> PAGEREF _Toc210570673 \h </w:instrText>
        </w:r>
        <w:r>
          <w:rPr>
            <w:noProof/>
            <w:webHidden/>
          </w:rPr>
        </w:r>
        <w:r>
          <w:rPr>
            <w:noProof/>
            <w:webHidden/>
          </w:rPr>
          <w:fldChar w:fldCharType="separate"/>
        </w:r>
        <w:r w:rsidR="00C42930">
          <w:rPr>
            <w:noProof/>
            <w:webHidden/>
          </w:rPr>
          <w:t>46</w:t>
        </w:r>
        <w:r>
          <w:rPr>
            <w:noProof/>
            <w:webHidden/>
          </w:rPr>
          <w:fldChar w:fldCharType="end"/>
        </w:r>
      </w:hyperlink>
    </w:p>
    <w:p w14:paraId="3FAA448A" w14:textId="0263E91C" w:rsidR="00386068" w:rsidRDefault="00386068">
      <w:pPr>
        <w:pStyle w:val="40"/>
        <w:rPr>
          <w:rFonts w:asciiTheme="minorHAnsi" w:eastAsiaTheme="minorEastAsia" w:hAnsiTheme="minorHAnsi" w:cstheme="minorBidi"/>
          <w:noProof/>
          <w:sz w:val="22"/>
          <w:szCs w:val="22"/>
        </w:rPr>
      </w:pPr>
      <w:hyperlink w:anchor="_Toc210570674" w:history="1">
        <w:r w:rsidRPr="00E87C45">
          <w:rPr>
            <w:rStyle w:val="-"/>
            <w:noProof/>
            <w14:scene3d>
              <w14:camera w14:prst="orthographicFront"/>
              <w14:lightRig w14:rig="threePt" w14:dir="t">
                <w14:rot w14:lat="0" w14:lon="0" w14:rev="0"/>
              </w14:lightRig>
            </w14:scene3d>
          </w:rPr>
          <w:t>2.2.2.</w:t>
        </w:r>
        <w:r>
          <w:rPr>
            <w:rFonts w:asciiTheme="minorHAnsi" w:eastAsiaTheme="minorEastAsia" w:hAnsiTheme="minorHAnsi" w:cstheme="minorBidi"/>
            <w:noProof/>
            <w:sz w:val="22"/>
            <w:szCs w:val="22"/>
          </w:rPr>
          <w:tab/>
        </w:r>
        <w:r w:rsidRPr="00E87C45">
          <w:rPr>
            <w:rStyle w:val="-"/>
            <w:noProof/>
          </w:rPr>
          <w:t>Λοιποί υποτομείς της Γενικής Κυβέρνησης</w:t>
        </w:r>
        <w:r>
          <w:rPr>
            <w:noProof/>
            <w:webHidden/>
          </w:rPr>
          <w:tab/>
        </w:r>
        <w:r>
          <w:rPr>
            <w:noProof/>
            <w:webHidden/>
          </w:rPr>
          <w:fldChar w:fldCharType="begin"/>
        </w:r>
        <w:r>
          <w:rPr>
            <w:noProof/>
            <w:webHidden/>
          </w:rPr>
          <w:instrText xml:space="preserve"> PAGEREF _Toc210570674 \h </w:instrText>
        </w:r>
        <w:r>
          <w:rPr>
            <w:noProof/>
            <w:webHidden/>
          </w:rPr>
        </w:r>
        <w:r>
          <w:rPr>
            <w:noProof/>
            <w:webHidden/>
          </w:rPr>
          <w:fldChar w:fldCharType="separate"/>
        </w:r>
        <w:r w:rsidR="00C42930">
          <w:rPr>
            <w:noProof/>
            <w:webHidden/>
          </w:rPr>
          <w:t>48</w:t>
        </w:r>
        <w:r>
          <w:rPr>
            <w:noProof/>
            <w:webHidden/>
          </w:rPr>
          <w:fldChar w:fldCharType="end"/>
        </w:r>
      </w:hyperlink>
    </w:p>
    <w:p w14:paraId="0214360E" w14:textId="6E19A454" w:rsidR="00386068" w:rsidRDefault="00386068">
      <w:pPr>
        <w:pStyle w:val="40"/>
        <w:rPr>
          <w:rFonts w:asciiTheme="minorHAnsi" w:eastAsiaTheme="minorEastAsia" w:hAnsiTheme="minorHAnsi" w:cstheme="minorBidi"/>
          <w:noProof/>
          <w:sz w:val="22"/>
          <w:szCs w:val="22"/>
        </w:rPr>
      </w:pPr>
      <w:hyperlink w:anchor="_Toc210570675" w:history="1">
        <w:r w:rsidRPr="00E87C45">
          <w:rPr>
            <w:rStyle w:val="-"/>
            <w:noProof/>
            <w14:scene3d>
              <w14:camera w14:prst="orthographicFront"/>
              <w14:lightRig w14:rig="threePt" w14:dir="t">
                <w14:rot w14:lat="0" w14:lon="0" w14:rev="0"/>
              </w14:lightRig>
            </w14:scene3d>
          </w:rPr>
          <w:t>2.2.3.</w:t>
        </w:r>
        <w:r>
          <w:rPr>
            <w:rFonts w:asciiTheme="minorHAnsi" w:eastAsiaTheme="minorEastAsia" w:hAnsiTheme="minorHAnsi" w:cstheme="minorBidi"/>
            <w:noProof/>
            <w:sz w:val="22"/>
            <w:szCs w:val="22"/>
          </w:rPr>
          <w:tab/>
        </w:r>
        <w:r w:rsidRPr="00E87C45">
          <w:rPr>
            <w:rStyle w:val="-"/>
            <w:noProof/>
          </w:rPr>
          <w:t>Επισκόπηση δαπανών και εσόδων</w:t>
        </w:r>
        <w:r>
          <w:rPr>
            <w:noProof/>
            <w:webHidden/>
          </w:rPr>
          <w:tab/>
        </w:r>
        <w:r>
          <w:rPr>
            <w:noProof/>
            <w:webHidden/>
          </w:rPr>
          <w:fldChar w:fldCharType="begin"/>
        </w:r>
        <w:r>
          <w:rPr>
            <w:noProof/>
            <w:webHidden/>
          </w:rPr>
          <w:instrText xml:space="preserve"> PAGEREF _Toc210570675 \h </w:instrText>
        </w:r>
        <w:r>
          <w:rPr>
            <w:noProof/>
            <w:webHidden/>
          </w:rPr>
        </w:r>
        <w:r>
          <w:rPr>
            <w:noProof/>
            <w:webHidden/>
          </w:rPr>
          <w:fldChar w:fldCharType="separate"/>
        </w:r>
        <w:r w:rsidR="00C42930">
          <w:rPr>
            <w:noProof/>
            <w:webHidden/>
          </w:rPr>
          <w:t>50</w:t>
        </w:r>
        <w:r>
          <w:rPr>
            <w:noProof/>
            <w:webHidden/>
          </w:rPr>
          <w:fldChar w:fldCharType="end"/>
        </w:r>
      </w:hyperlink>
    </w:p>
    <w:p w14:paraId="5C6A7B58" w14:textId="799201BF" w:rsidR="00386068" w:rsidRDefault="00386068">
      <w:pPr>
        <w:pStyle w:val="40"/>
        <w:rPr>
          <w:rFonts w:asciiTheme="minorHAnsi" w:eastAsiaTheme="minorEastAsia" w:hAnsiTheme="minorHAnsi" w:cstheme="minorBidi"/>
          <w:noProof/>
          <w:sz w:val="22"/>
          <w:szCs w:val="22"/>
        </w:rPr>
      </w:pPr>
      <w:hyperlink w:anchor="_Toc210570676" w:history="1">
        <w:r w:rsidRPr="00E87C45">
          <w:rPr>
            <w:rStyle w:val="-"/>
            <w:noProof/>
            <w14:scene3d>
              <w14:camera w14:prst="orthographicFront"/>
              <w14:lightRig w14:rig="threePt" w14:dir="t">
                <w14:rot w14:lat="0" w14:lon="0" w14:rev="0"/>
              </w14:lightRig>
            </w14:scene3d>
          </w:rPr>
          <w:t>2.2.4.</w:t>
        </w:r>
        <w:r>
          <w:rPr>
            <w:rFonts w:asciiTheme="minorHAnsi" w:eastAsiaTheme="minorEastAsia" w:hAnsiTheme="minorHAnsi" w:cstheme="minorBidi"/>
            <w:noProof/>
            <w:sz w:val="22"/>
            <w:szCs w:val="22"/>
          </w:rPr>
          <w:tab/>
        </w:r>
        <w:r w:rsidRPr="00E87C45">
          <w:rPr>
            <w:rStyle w:val="-"/>
            <w:noProof/>
          </w:rPr>
          <w:t>Προϋπολογισμός επιδόσεων</w:t>
        </w:r>
        <w:r>
          <w:rPr>
            <w:noProof/>
            <w:webHidden/>
          </w:rPr>
          <w:tab/>
        </w:r>
        <w:r>
          <w:rPr>
            <w:noProof/>
            <w:webHidden/>
          </w:rPr>
          <w:fldChar w:fldCharType="begin"/>
        </w:r>
        <w:r>
          <w:rPr>
            <w:noProof/>
            <w:webHidden/>
          </w:rPr>
          <w:instrText xml:space="preserve"> PAGEREF _Toc210570676 \h </w:instrText>
        </w:r>
        <w:r>
          <w:rPr>
            <w:noProof/>
            <w:webHidden/>
          </w:rPr>
        </w:r>
        <w:r>
          <w:rPr>
            <w:noProof/>
            <w:webHidden/>
          </w:rPr>
          <w:fldChar w:fldCharType="separate"/>
        </w:r>
        <w:r w:rsidR="00C42930">
          <w:rPr>
            <w:noProof/>
            <w:webHidden/>
          </w:rPr>
          <w:t>50</w:t>
        </w:r>
        <w:r>
          <w:rPr>
            <w:noProof/>
            <w:webHidden/>
          </w:rPr>
          <w:fldChar w:fldCharType="end"/>
        </w:r>
      </w:hyperlink>
    </w:p>
    <w:p w14:paraId="7C0ACB04" w14:textId="22AC7081" w:rsidR="00386068" w:rsidRDefault="00386068">
      <w:pPr>
        <w:pStyle w:val="40"/>
        <w:rPr>
          <w:rFonts w:asciiTheme="minorHAnsi" w:eastAsiaTheme="minorEastAsia" w:hAnsiTheme="minorHAnsi" w:cstheme="minorBidi"/>
          <w:noProof/>
          <w:sz w:val="22"/>
          <w:szCs w:val="22"/>
        </w:rPr>
      </w:pPr>
      <w:hyperlink w:anchor="_Toc210570677" w:history="1">
        <w:r w:rsidRPr="00E87C45">
          <w:rPr>
            <w:rStyle w:val="-"/>
            <w:noProof/>
            <w14:scene3d>
              <w14:camera w14:prst="orthographicFront"/>
              <w14:lightRig w14:rig="threePt" w14:dir="t">
                <w14:rot w14:lat="0" w14:lon="0" w14:rev="0"/>
              </w14:lightRig>
            </w14:scene3d>
          </w:rPr>
          <w:t>2.2.5.</w:t>
        </w:r>
        <w:r>
          <w:rPr>
            <w:rFonts w:asciiTheme="minorHAnsi" w:eastAsiaTheme="minorEastAsia" w:hAnsiTheme="minorHAnsi" w:cstheme="minorBidi"/>
            <w:noProof/>
            <w:sz w:val="22"/>
            <w:szCs w:val="22"/>
          </w:rPr>
          <w:tab/>
        </w:r>
        <w:r w:rsidRPr="00E87C45">
          <w:rPr>
            <w:rStyle w:val="-"/>
            <w:noProof/>
          </w:rPr>
          <w:t>Λειτουργική ταξινόμηση του προϋπολογισμού</w:t>
        </w:r>
        <w:r>
          <w:rPr>
            <w:noProof/>
            <w:webHidden/>
          </w:rPr>
          <w:tab/>
        </w:r>
        <w:r>
          <w:rPr>
            <w:noProof/>
            <w:webHidden/>
          </w:rPr>
          <w:fldChar w:fldCharType="begin"/>
        </w:r>
        <w:r>
          <w:rPr>
            <w:noProof/>
            <w:webHidden/>
          </w:rPr>
          <w:instrText xml:space="preserve"> PAGEREF _Toc210570677 \h </w:instrText>
        </w:r>
        <w:r>
          <w:rPr>
            <w:noProof/>
            <w:webHidden/>
          </w:rPr>
        </w:r>
        <w:r>
          <w:rPr>
            <w:noProof/>
            <w:webHidden/>
          </w:rPr>
          <w:fldChar w:fldCharType="separate"/>
        </w:r>
        <w:r w:rsidR="00C42930">
          <w:rPr>
            <w:noProof/>
            <w:webHidden/>
          </w:rPr>
          <w:t>51</w:t>
        </w:r>
        <w:r>
          <w:rPr>
            <w:noProof/>
            <w:webHidden/>
          </w:rPr>
          <w:fldChar w:fldCharType="end"/>
        </w:r>
      </w:hyperlink>
    </w:p>
    <w:p w14:paraId="451B4673" w14:textId="544D763C" w:rsidR="00386068" w:rsidRDefault="00386068">
      <w:pPr>
        <w:pStyle w:val="40"/>
        <w:rPr>
          <w:rFonts w:asciiTheme="minorHAnsi" w:eastAsiaTheme="minorEastAsia" w:hAnsiTheme="minorHAnsi" w:cstheme="minorBidi"/>
          <w:noProof/>
          <w:sz w:val="22"/>
          <w:szCs w:val="22"/>
        </w:rPr>
      </w:pPr>
      <w:hyperlink w:anchor="_Toc210570678" w:history="1">
        <w:r w:rsidRPr="00E87C45">
          <w:rPr>
            <w:rStyle w:val="-"/>
            <w:noProof/>
            <w14:scene3d>
              <w14:camera w14:prst="orthographicFront"/>
              <w14:lightRig w14:rig="threePt" w14:dir="t">
                <w14:rot w14:lat="0" w14:lon="0" w14:rev="0"/>
              </w14:lightRig>
            </w14:scene3d>
          </w:rPr>
          <w:t>2.2.6.</w:t>
        </w:r>
        <w:r>
          <w:rPr>
            <w:rFonts w:asciiTheme="minorHAnsi" w:eastAsiaTheme="minorEastAsia" w:hAnsiTheme="minorHAnsi" w:cstheme="minorBidi"/>
            <w:noProof/>
            <w:sz w:val="22"/>
            <w:szCs w:val="22"/>
          </w:rPr>
          <w:tab/>
        </w:r>
        <w:r w:rsidRPr="00E87C45">
          <w:rPr>
            <w:rStyle w:val="-"/>
            <w:noProof/>
          </w:rPr>
          <w:t>Ενσωμάτωση της περιβαλλοντικής διάστασης στον προϋπολογισμό - Green Budgeting</w:t>
        </w:r>
        <w:r>
          <w:rPr>
            <w:noProof/>
            <w:webHidden/>
          </w:rPr>
          <w:tab/>
        </w:r>
        <w:r>
          <w:rPr>
            <w:noProof/>
            <w:webHidden/>
          </w:rPr>
          <w:fldChar w:fldCharType="begin"/>
        </w:r>
        <w:r>
          <w:rPr>
            <w:noProof/>
            <w:webHidden/>
          </w:rPr>
          <w:instrText xml:space="preserve"> PAGEREF _Toc210570678 \h </w:instrText>
        </w:r>
        <w:r>
          <w:rPr>
            <w:noProof/>
            <w:webHidden/>
          </w:rPr>
        </w:r>
        <w:r>
          <w:rPr>
            <w:noProof/>
            <w:webHidden/>
          </w:rPr>
          <w:fldChar w:fldCharType="separate"/>
        </w:r>
        <w:r w:rsidR="00C42930">
          <w:rPr>
            <w:noProof/>
            <w:webHidden/>
          </w:rPr>
          <w:t>51</w:t>
        </w:r>
        <w:r>
          <w:rPr>
            <w:noProof/>
            <w:webHidden/>
          </w:rPr>
          <w:fldChar w:fldCharType="end"/>
        </w:r>
      </w:hyperlink>
    </w:p>
    <w:p w14:paraId="426A7621" w14:textId="1C91AD02" w:rsidR="00386068" w:rsidRDefault="00386068">
      <w:pPr>
        <w:pStyle w:val="32"/>
        <w:rPr>
          <w:rFonts w:asciiTheme="minorHAnsi" w:eastAsiaTheme="minorEastAsia" w:hAnsiTheme="minorHAnsi" w:cstheme="minorBidi"/>
          <w:noProof/>
          <w:sz w:val="22"/>
          <w:szCs w:val="22"/>
        </w:rPr>
      </w:pPr>
      <w:hyperlink w:anchor="_Toc210570679" w:history="1">
        <w:r w:rsidRPr="00E87C45">
          <w:rPr>
            <w:rStyle w:val="-"/>
            <w:noProof/>
          </w:rPr>
          <w:t>2.3.</w:t>
        </w:r>
        <w:r>
          <w:rPr>
            <w:rFonts w:asciiTheme="minorHAnsi" w:eastAsiaTheme="minorEastAsia" w:hAnsiTheme="minorHAnsi" w:cstheme="minorBidi"/>
            <w:noProof/>
            <w:sz w:val="22"/>
            <w:szCs w:val="22"/>
          </w:rPr>
          <w:tab/>
        </w:r>
        <w:r w:rsidRPr="00E87C45">
          <w:rPr>
            <w:rStyle w:val="-"/>
            <w:noProof/>
          </w:rPr>
          <w:t>Δημοσιονομικές παρεμβάσεις</w:t>
        </w:r>
        <w:r>
          <w:rPr>
            <w:noProof/>
            <w:webHidden/>
          </w:rPr>
          <w:tab/>
        </w:r>
        <w:r>
          <w:rPr>
            <w:noProof/>
            <w:webHidden/>
          </w:rPr>
          <w:fldChar w:fldCharType="begin"/>
        </w:r>
        <w:r>
          <w:rPr>
            <w:noProof/>
            <w:webHidden/>
          </w:rPr>
          <w:instrText xml:space="preserve"> PAGEREF _Toc210570679 \h </w:instrText>
        </w:r>
        <w:r>
          <w:rPr>
            <w:noProof/>
            <w:webHidden/>
          </w:rPr>
        </w:r>
        <w:r>
          <w:rPr>
            <w:noProof/>
            <w:webHidden/>
          </w:rPr>
          <w:fldChar w:fldCharType="separate"/>
        </w:r>
        <w:r w:rsidR="00C42930">
          <w:rPr>
            <w:noProof/>
            <w:webHidden/>
          </w:rPr>
          <w:t>51</w:t>
        </w:r>
        <w:r>
          <w:rPr>
            <w:noProof/>
            <w:webHidden/>
          </w:rPr>
          <w:fldChar w:fldCharType="end"/>
        </w:r>
      </w:hyperlink>
    </w:p>
    <w:p w14:paraId="3CF7B700" w14:textId="6CA7DD63" w:rsidR="00386068" w:rsidRDefault="00386068">
      <w:pPr>
        <w:pStyle w:val="13"/>
        <w:rPr>
          <w:rFonts w:asciiTheme="minorHAnsi" w:eastAsiaTheme="minorEastAsia" w:hAnsiTheme="minorHAnsi" w:cstheme="minorBidi"/>
          <w:b w:val="0"/>
          <w:color w:val="auto"/>
          <w:sz w:val="22"/>
          <w:szCs w:val="22"/>
        </w:rPr>
      </w:pPr>
      <w:hyperlink w:anchor="_Toc210570689" w:history="1">
        <w:r w:rsidRPr="00E87C45">
          <w:rPr>
            <w:rStyle w:val="-"/>
            <w14:scene3d>
              <w14:camera w14:prst="orthographicFront"/>
              <w14:lightRig w14:rig="threePt" w14:dir="t">
                <w14:rot w14:lat="0" w14:lon="0" w14:rev="0"/>
              </w14:lightRig>
            </w14:scene3d>
          </w:rPr>
          <w:t>ΚΕΦΑΛΑΙΟ 3</w:t>
        </w:r>
        <w:r>
          <w:rPr>
            <w:webHidden/>
          </w:rPr>
          <w:tab/>
        </w:r>
        <w:r>
          <w:rPr>
            <w:webHidden/>
          </w:rPr>
          <w:fldChar w:fldCharType="begin"/>
        </w:r>
        <w:r>
          <w:rPr>
            <w:webHidden/>
          </w:rPr>
          <w:instrText xml:space="preserve"> PAGEREF _Toc210570689 \h </w:instrText>
        </w:r>
        <w:r>
          <w:rPr>
            <w:webHidden/>
          </w:rPr>
        </w:r>
        <w:r>
          <w:rPr>
            <w:webHidden/>
          </w:rPr>
          <w:fldChar w:fldCharType="separate"/>
        </w:r>
        <w:r w:rsidR="00C42930">
          <w:rPr>
            <w:webHidden/>
          </w:rPr>
          <w:t>61</w:t>
        </w:r>
        <w:r>
          <w:rPr>
            <w:webHidden/>
          </w:rPr>
          <w:fldChar w:fldCharType="end"/>
        </w:r>
      </w:hyperlink>
    </w:p>
    <w:p w14:paraId="0634524C" w14:textId="327CF953" w:rsidR="00386068" w:rsidRDefault="00386068">
      <w:pPr>
        <w:pStyle w:val="22"/>
        <w:rPr>
          <w:rFonts w:asciiTheme="minorHAnsi" w:eastAsiaTheme="minorEastAsia" w:hAnsiTheme="minorHAnsi" w:cstheme="minorBidi"/>
          <w:b w:val="0"/>
          <w:bCs w:val="0"/>
          <w:noProof/>
          <w:sz w:val="22"/>
          <w:szCs w:val="22"/>
        </w:rPr>
      </w:pPr>
      <w:hyperlink w:anchor="_Toc210570690" w:history="1">
        <w:r w:rsidRPr="00E87C45">
          <w:rPr>
            <w:rStyle w:val="-"/>
            <w:noProof/>
          </w:rPr>
          <w:t>ΔΗΜΟΣΙΟ ΧΡΕΟΣ</w:t>
        </w:r>
        <w:r>
          <w:rPr>
            <w:noProof/>
            <w:webHidden/>
          </w:rPr>
          <w:tab/>
        </w:r>
        <w:r>
          <w:rPr>
            <w:noProof/>
            <w:webHidden/>
          </w:rPr>
          <w:fldChar w:fldCharType="begin"/>
        </w:r>
        <w:r>
          <w:rPr>
            <w:noProof/>
            <w:webHidden/>
          </w:rPr>
          <w:instrText xml:space="preserve"> PAGEREF _Toc210570690 \h </w:instrText>
        </w:r>
        <w:r>
          <w:rPr>
            <w:noProof/>
            <w:webHidden/>
          </w:rPr>
        </w:r>
        <w:r>
          <w:rPr>
            <w:noProof/>
            <w:webHidden/>
          </w:rPr>
          <w:fldChar w:fldCharType="separate"/>
        </w:r>
        <w:r w:rsidR="00C42930">
          <w:rPr>
            <w:noProof/>
            <w:webHidden/>
          </w:rPr>
          <w:t>61</w:t>
        </w:r>
        <w:r>
          <w:rPr>
            <w:noProof/>
            <w:webHidden/>
          </w:rPr>
          <w:fldChar w:fldCharType="end"/>
        </w:r>
      </w:hyperlink>
    </w:p>
    <w:p w14:paraId="2045D22D" w14:textId="6047494F" w:rsidR="00386068" w:rsidRDefault="00386068">
      <w:pPr>
        <w:pStyle w:val="32"/>
        <w:rPr>
          <w:rFonts w:asciiTheme="minorHAnsi" w:eastAsiaTheme="minorEastAsia" w:hAnsiTheme="minorHAnsi" w:cstheme="minorBidi"/>
          <w:noProof/>
          <w:sz w:val="22"/>
          <w:szCs w:val="22"/>
        </w:rPr>
      </w:pPr>
      <w:hyperlink w:anchor="_Toc210570691" w:history="1">
        <w:r w:rsidRPr="00E87C45">
          <w:rPr>
            <w:rStyle w:val="-"/>
            <w:noProof/>
          </w:rPr>
          <w:t>3.1.</w:t>
        </w:r>
        <w:r>
          <w:rPr>
            <w:rFonts w:asciiTheme="minorHAnsi" w:eastAsiaTheme="minorEastAsia" w:hAnsiTheme="minorHAnsi" w:cstheme="minorBidi"/>
            <w:noProof/>
            <w:sz w:val="22"/>
            <w:szCs w:val="22"/>
          </w:rPr>
          <w:tab/>
        </w:r>
        <w:r w:rsidRPr="00E87C45">
          <w:rPr>
            <w:rStyle w:val="-"/>
            <w:noProof/>
          </w:rPr>
          <w:t>Σύνθεση δημόσιου χρέους</w:t>
        </w:r>
        <w:r>
          <w:rPr>
            <w:noProof/>
            <w:webHidden/>
          </w:rPr>
          <w:tab/>
        </w:r>
        <w:r>
          <w:rPr>
            <w:noProof/>
            <w:webHidden/>
          </w:rPr>
          <w:fldChar w:fldCharType="begin"/>
        </w:r>
        <w:r>
          <w:rPr>
            <w:noProof/>
            <w:webHidden/>
          </w:rPr>
          <w:instrText xml:space="preserve"> PAGEREF _Toc210570691 \h </w:instrText>
        </w:r>
        <w:r>
          <w:rPr>
            <w:noProof/>
            <w:webHidden/>
          </w:rPr>
        </w:r>
        <w:r>
          <w:rPr>
            <w:noProof/>
            <w:webHidden/>
          </w:rPr>
          <w:fldChar w:fldCharType="separate"/>
        </w:r>
        <w:r w:rsidR="00C42930">
          <w:rPr>
            <w:noProof/>
            <w:webHidden/>
          </w:rPr>
          <w:t>62</w:t>
        </w:r>
        <w:r>
          <w:rPr>
            <w:noProof/>
            <w:webHidden/>
          </w:rPr>
          <w:fldChar w:fldCharType="end"/>
        </w:r>
      </w:hyperlink>
    </w:p>
    <w:p w14:paraId="319CD467" w14:textId="5121923F" w:rsidR="00386068" w:rsidRDefault="00386068">
      <w:pPr>
        <w:pStyle w:val="40"/>
        <w:rPr>
          <w:rFonts w:asciiTheme="minorHAnsi" w:eastAsiaTheme="minorEastAsia" w:hAnsiTheme="minorHAnsi" w:cstheme="minorBidi"/>
          <w:noProof/>
          <w:sz w:val="22"/>
          <w:szCs w:val="22"/>
        </w:rPr>
      </w:pPr>
      <w:hyperlink w:anchor="_Toc210570692" w:history="1">
        <w:r w:rsidRPr="00E87C45">
          <w:rPr>
            <w:rStyle w:val="-"/>
            <w:noProof/>
            <w14:scene3d>
              <w14:camera w14:prst="orthographicFront"/>
              <w14:lightRig w14:rig="threePt" w14:dir="t">
                <w14:rot w14:lat="0" w14:lon="0" w14:rev="0"/>
              </w14:lightRig>
            </w14:scene3d>
          </w:rPr>
          <w:t>3.1.1.</w:t>
        </w:r>
        <w:r>
          <w:rPr>
            <w:rFonts w:asciiTheme="minorHAnsi" w:eastAsiaTheme="minorEastAsia" w:hAnsiTheme="minorHAnsi" w:cstheme="minorBidi"/>
            <w:noProof/>
            <w:sz w:val="22"/>
            <w:szCs w:val="22"/>
          </w:rPr>
          <w:tab/>
        </w:r>
        <w:r w:rsidRPr="00E87C45">
          <w:rPr>
            <w:rStyle w:val="-"/>
            <w:noProof/>
          </w:rPr>
          <w:t>Το χρέος της Κεντρικής Διοίκησης και της Γενικής Κυβέρνησης</w:t>
        </w:r>
        <w:r>
          <w:rPr>
            <w:noProof/>
            <w:webHidden/>
          </w:rPr>
          <w:tab/>
        </w:r>
        <w:r>
          <w:rPr>
            <w:noProof/>
            <w:webHidden/>
          </w:rPr>
          <w:fldChar w:fldCharType="begin"/>
        </w:r>
        <w:r>
          <w:rPr>
            <w:noProof/>
            <w:webHidden/>
          </w:rPr>
          <w:instrText xml:space="preserve"> PAGEREF _Toc210570692 \h </w:instrText>
        </w:r>
        <w:r>
          <w:rPr>
            <w:noProof/>
            <w:webHidden/>
          </w:rPr>
        </w:r>
        <w:r>
          <w:rPr>
            <w:noProof/>
            <w:webHidden/>
          </w:rPr>
          <w:fldChar w:fldCharType="separate"/>
        </w:r>
        <w:r w:rsidR="00C42930">
          <w:rPr>
            <w:noProof/>
            <w:webHidden/>
          </w:rPr>
          <w:t>62</w:t>
        </w:r>
        <w:r>
          <w:rPr>
            <w:noProof/>
            <w:webHidden/>
          </w:rPr>
          <w:fldChar w:fldCharType="end"/>
        </w:r>
      </w:hyperlink>
    </w:p>
    <w:p w14:paraId="688D34E7" w14:textId="2D34E04B" w:rsidR="00386068" w:rsidRDefault="00386068">
      <w:pPr>
        <w:pStyle w:val="40"/>
        <w:rPr>
          <w:rFonts w:asciiTheme="minorHAnsi" w:eastAsiaTheme="minorEastAsia" w:hAnsiTheme="minorHAnsi" w:cstheme="minorBidi"/>
          <w:noProof/>
          <w:sz w:val="22"/>
          <w:szCs w:val="22"/>
        </w:rPr>
      </w:pPr>
      <w:hyperlink w:anchor="_Toc210570693" w:history="1">
        <w:r w:rsidRPr="00E87C45">
          <w:rPr>
            <w:rStyle w:val="-"/>
            <w:noProof/>
            <w14:scene3d>
              <w14:camera w14:prst="orthographicFront"/>
              <w14:lightRig w14:rig="threePt" w14:dir="t">
                <w14:rot w14:lat="0" w14:lon="0" w14:rev="0"/>
              </w14:lightRig>
            </w14:scene3d>
          </w:rPr>
          <w:t>3.1.2.</w:t>
        </w:r>
        <w:r>
          <w:rPr>
            <w:rFonts w:asciiTheme="minorHAnsi" w:eastAsiaTheme="minorEastAsia" w:hAnsiTheme="minorHAnsi" w:cstheme="minorBidi"/>
            <w:noProof/>
            <w:sz w:val="22"/>
            <w:szCs w:val="22"/>
          </w:rPr>
          <w:tab/>
        </w:r>
        <w:r w:rsidRPr="00E87C45">
          <w:rPr>
            <w:rStyle w:val="-"/>
            <w:noProof/>
          </w:rPr>
          <w:t>Δομή και χαρακτηριστικά του χρέους της Κεντρικής Διοίκησης</w:t>
        </w:r>
        <w:r>
          <w:rPr>
            <w:noProof/>
            <w:webHidden/>
          </w:rPr>
          <w:tab/>
        </w:r>
        <w:r>
          <w:rPr>
            <w:noProof/>
            <w:webHidden/>
          </w:rPr>
          <w:fldChar w:fldCharType="begin"/>
        </w:r>
        <w:r>
          <w:rPr>
            <w:noProof/>
            <w:webHidden/>
          </w:rPr>
          <w:instrText xml:space="preserve"> PAGEREF _Toc210570693 \h </w:instrText>
        </w:r>
        <w:r>
          <w:rPr>
            <w:noProof/>
            <w:webHidden/>
          </w:rPr>
        </w:r>
        <w:r>
          <w:rPr>
            <w:noProof/>
            <w:webHidden/>
          </w:rPr>
          <w:fldChar w:fldCharType="separate"/>
        </w:r>
        <w:r w:rsidR="00C42930">
          <w:rPr>
            <w:noProof/>
            <w:webHidden/>
          </w:rPr>
          <w:t>62</w:t>
        </w:r>
        <w:r>
          <w:rPr>
            <w:noProof/>
            <w:webHidden/>
          </w:rPr>
          <w:fldChar w:fldCharType="end"/>
        </w:r>
      </w:hyperlink>
    </w:p>
    <w:p w14:paraId="0C3378AF" w14:textId="2BBCF415" w:rsidR="00386068" w:rsidRDefault="00386068">
      <w:pPr>
        <w:pStyle w:val="32"/>
        <w:rPr>
          <w:rFonts w:asciiTheme="minorHAnsi" w:eastAsiaTheme="minorEastAsia" w:hAnsiTheme="minorHAnsi" w:cstheme="minorBidi"/>
          <w:noProof/>
          <w:sz w:val="22"/>
          <w:szCs w:val="22"/>
        </w:rPr>
      </w:pPr>
      <w:hyperlink w:anchor="_Toc210570694" w:history="1">
        <w:r w:rsidRPr="00E87C45">
          <w:rPr>
            <w:rStyle w:val="-"/>
            <w:noProof/>
          </w:rPr>
          <w:t>3.2.</w:t>
        </w:r>
        <w:r>
          <w:rPr>
            <w:rFonts w:asciiTheme="minorHAnsi" w:eastAsiaTheme="minorEastAsia" w:hAnsiTheme="minorHAnsi" w:cstheme="minorBidi"/>
            <w:noProof/>
            <w:sz w:val="22"/>
            <w:szCs w:val="22"/>
          </w:rPr>
          <w:tab/>
        </w:r>
        <w:r w:rsidRPr="00E87C45">
          <w:rPr>
            <w:rStyle w:val="-"/>
            <w:noProof/>
          </w:rPr>
          <w:t>Δαπάνες εξυπηρέτησης χρέους</w:t>
        </w:r>
        <w:r>
          <w:rPr>
            <w:noProof/>
            <w:webHidden/>
          </w:rPr>
          <w:tab/>
        </w:r>
        <w:r>
          <w:rPr>
            <w:noProof/>
            <w:webHidden/>
          </w:rPr>
          <w:fldChar w:fldCharType="begin"/>
        </w:r>
        <w:r>
          <w:rPr>
            <w:noProof/>
            <w:webHidden/>
          </w:rPr>
          <w:instrText xml:space="preserve"> PAGEREF _Toc210570694 \h </w:instrText>
        </w:r>
        <w:r>
          <w:rPr>
            <w:noProof/>
            <w:webHidden/>
          </w:rPr>
        </w:r>
        <w:r>
          <w:rPr>
            <w:noProof/>
            <w:webHidden/>
          </w:rPr>
          <w:fldChar w:fldCharType="separate"/>
        </w:r>
        <w:r w:rsidR="00C42930">
          <w:rPr>
            <w:noProof/>
            <w:webHidden/>
          </w:rPr>
          <w:t>63</w:t>
        </w:r>
        <w:r>
          <w:rPr>
            <w:noProof/>
            <w:webHidden/>
          </w:rPr>
          <w:fldChar w:fldCharType="end"/>
        </w:r>
      </w:hyperlink>
    </w:p>
    <w:p w14:paraId="2DA9813B" w14:textId="31E9540B" w:rsidR="00386068" w:rsidRDefault="00386068">
      <w:pPr>
        <w:pStyle w:val="32"/>
        <w:rPr>
          <w:rFonts w:asciiTheme="minorHAnsi" w:eastAsiaTheme="minorEastAsia" w:hAnsiTheme="minorHAnsi" w:cstheme="minorBidi"/>
          <w:noProof/>
          <w:sz w:val="22"/>
          <w:szCs w:val="22"/>
        </w:rPr>
      </w:pPr>
      <w:hyperlink w:anchor="_Toc210570695" w:history="1">
        <w:r w:rsidRPr="00E87C45">
          <w:rPr>
            <w:rStyle w:val="-"/>
            <w:noProof/>
          </w:rPr>
          <w:t>3.3.</w:t>
        </w:r>
        <w:r>
          <w:rPr>
            <w:rFonts w:asciiTheme="minorHAnsi" w:eastAsiaTheme="minorEastAsia" w:hAnsiTheme="minorHAnsi" w:cstheme="minorBidi"/>
            <w:noProof/>
            <w:sz w:val="22"/>
            <w:szCs w:val="22"/>
          </w:rPr>
          <w:tab/>
        </w:r>
        <w:r w:rsidRPr="00E87C45">
          <w:rPr>
            <w:rStyle w:val="-"/>
            <w:noProof/>
          </w:rPr>
          <w:t>Οι αγορές τίτλων του Ελληνικού Δημοσίου</w:t>
        </w:r>
        <w:r>
          <w:rPr>
            <w:noProof/>
            <w:webHidden/>
          </w:rPr>
          <w:tab/>
        </w:r>
        <w:r>
          <w:rPr>
            <w:noProof/>
            <w:webHidden/>
          </w:rPr>
          <w:fldChar w:fldCharType="begin"/>
        </w:r>
        <w:r>
          <w:rPr>
            <w:noProof/>
            <w:webHidden/>
          </w:rPr>
          <w:instrText xml:space="preserve"> PAGEREF _Toc210570695 \h </w:instrText>
        </w:r>
        <w:r>
          <w:rPr>
            <w:noProof/>
            <w:webHidden/>
          </w:rPr>
        </w:r>
        <w:r>
          <w:rPr>
            <w:noProof/>
            <w:webHidden/>
          </w:rPr>
          <w:fldChar w:fldCharType="separate"/>
        </w:r>
        <w:r w:rsidR="00C42930">
          <w:rPr>
            <w:noProof/>
            <w:webHidden/>
          </w:rPr>
          <w:t>63</w:t>
        </w:r>
        <w:r>
          <w:rPr>
            <w:noProof/>
            <w:webHidden/>
          </w:rPr>
          <w:fldChar w:fldCharType="end"/>
        </w:r>
      </w:hyperlink>
    </w:p>
    <w:p w14:paraId="5ACF7BFD" w14:textId="360BF435" w:rsidR="00386068" w:rsidRDefault="00386068">
      <w:pPr>
        <w:pStyle w:val="40"/>
        <w:rPr>
          <w:rFonts w:asciiTheme="minorHAnsi" w:eastAsiaTheme="minorEastAsia" w:hAnsiTheme="minorHAnsi" w:cstheme="minorBidi"/>
          <w:noProof/>
          <w:sz w:val="22"/>
          <w:szCs w:val="22"/>
        </w:rPr>
      </w:pPr>
      <w:hyperlink w:anchor="_Toc210570696" w:history="1">
        <w:r w:rsidRPr="00E87C45">
          <w:rPr>
            <w:rStyle w:val="-"/>
            <w:noProof/>
            <w14:scene3d>
              <w14:camera w14:prst="orthographicFront"/>
              <w14:lightRig w14:rig="threePt" w14:dir="t">
                <w14:rot w14:lat="0" w14:lon="0" w14:rev="0"/>
              </w14:lightRig>
            </w14:scene3d>
          </w:rPr>
          <w:t>3.3.1.</w:t>
        </w:r>
        <w:r>
          <w:rPr>
            <w:rFonts w:asciiTheme="minorHAnsi" w:eastAsiaTheme="minorEastAsia" w:hAnsiTheme="minorHAnsi" w:cstheme="minorBidi"/>
            <w:noProof/>
            <w:sz w:val="22"/>
            <w:szCs w:val="22"/>
          </w:rPr>
          <w:tab/>
        </w:r>
        <w:r w:rsidRPr="00E87C45">
          <w:rPr>
            <w:rStyle w:val="-"/>
            <w:noProof/>
          </w:rPr>
          <w:t>Πρωτογενής αγορά τίτλων</w:t>
        </w:r>
        <w:r>
          <w:rPr>
            <w:noProof/>
            <w:webHidden/>
          </w:rPr>
          <w:tab/>
        </w:r>
        <w:r>
          <w:rPr>
            <w:noProof/>
            <w:webHidden/>
          </w:rPr>
          <w:fldChar w:fldCharType="begin"/>
        </w:r>
        <w:r>
          <w:rPr>
            <w:noProof/>
            <w:webHidden/>
          </w:rPr>
          <w:instrText xml:space="preserve"> PAGEREF _Toc210570696 \h </w:instrText>
        </w:r>
        <w:r>
          <w:rPr>
            <w:noProof/>
            <w:webHidden/>
          </w:rPr>
        </w:r>
        <w:r>
          <w:rPr>
            <w:noProof/>
            <w:webHidden/>
          </w:rPr>
          <w:fldChar w:fldCharType="separate"/>
        </w:r>
        <w:r w:rsidR="00C42930">
          <w:rPr>
            <w:noProof/>
            <w:webHidden/>
          </w:rPr>
          <w:t>64</w:t>
        </w:r>
        <w:r>
          <w:rPr>
            <w:noProof/>
            <w:webHidden/>
          </w:rPr>
          <w:fldChar w:fldCharType="end"/>
        </w:r>
      </w:hyperlink>
    </w:p>
    <w:p w14:paraId="64D484A8" w14:textId="554F8883" w:rsidR="00386068" w:rsidRDefault="00386068">
      <w:pPr>
        <w:pStyle w:val="40"/>
        <w:rPr>
          <w:rFonts w:asciiTheme="minorHAnsi" w:eastAsiaTheme="minorEastAsia" w:hAnsiTheme="minorHAnsi" w:cstheme="minorBidi"/>
          <w:noProof/>
          <w:sz w:val="22"/>
          <w:szCs w:val="22"/>
        </w:rPr>
      </w:pPr>
      <w:hyperlink w:anchor="_Toc210570697" w:history="1">
        <w:r w:rsidRPr="00E87C45">
          <w:rPr>
            <w:rStyle w:val="-"/>
            <w:noProof/>
            <w14:scene3d>
              <w14:camera w14:prst="orthographicFront"/>
              <w14:lightRig w14:rig="threePt" w14:dir="t">
                <w14:rot w14:lat="0" w14:lon="0" w14:rev="0"/>
              </w14:lightRig>
            </w14:scene3d>
          </w:rPr>
          <w:t>3.3.2.</w:t>
        </w:r>
        <w:r>
          <w:rPr>
            <w:rFonts w:asciiTheme="minorHAnsi" w:eastAsiaTheme="minorEastAsia" w:hAnsiTheme="minorHAnsi" w:cstheme="minorBidi"/>
            <w:noProof/>
            <w:sz w:val="22"/>
            <w:szCs w:val="22"/>
          </w:rPr>
          <w:tab/>
        </w:r>
        <w:r w:rsidRPr="00E87C45">
          <w:rPr>
            <w:rStyle w:val="-"/>
            <w:noProof/>
          </w:rPr>
          <w:t>Δευτερογενής αγορά τίτλων</w:t>
        </w:r>
        <w:r>
          <w:rPr>
            <w:noProof/>
            <w:webHidden/>
          </w:rPr>
          <w:tab/>
        </w:r>
        <w:r>
          <w:rPr>
            <w:noProof/>
            <w:webHidden/>
          </w:rPr>
          <w:fldChar w:fldCharType="begin"/>
        </w:r>
        <w:r>
          <w:rPr>
            <w:noProof/>
            <w:webHidden/>
          </w:rPr>
          <w:instrText xml:space="preserve"> PAGEREF _Toc210570697 \h </w:instrText>
        </w:r>
        <w:r>
          <w:rPr>
            <w:noProof/>
            <w:webHidden/>
          </w:rPr>
        </w:r>
        <w:r>
          <w:rPr>
            <w:noProof/>
            <w:webHidden/>
          </w:rPr>
          <w:fldChar w:fldCharType="separate"/>
        </w:r>
        <w:r w:rsidR="00C42930">
          <w:rPr>
            <w:noProof/>
            <w:webHidden/>
          </w:rPr>
          <w:t>64</w:t>
        </w:r>
        <w:r>
          <w:rPr>
            <w:noProof/>
            <w:webHidden/>
          </w:rPr>
          <w:fldChar w:fldCharType="end"/>
        </w:r>
      </w:hyperlink>
    </w:p>
    <w:p w14:paraId="47F20283" w14:textId="745335A1" w:rsidR="00386068" w:rsidRDefault="00386068">
      <w:pPr>
        <w:pStyle w:val="32"/>
        <w:rPr>
          <w:rFonts w:asciiTheme="minorHAnsi" w:eastAsiaTheme="minorEastAsia" w:hAnsiTheme="minorHAnsi" w:cstheme="minorBidi"/>
          <w:noProof/>
          <w:sz w:val="22"/>
          <w:szCs w:val="22"/>
        </w:rPr>
      </w:pPr>
      <w:hyperlink w:anchor="_Toc210570698" w:history="1">
        <w:r w:rsidRPr="00E87C45">
          <w:rPr>
            <w:rStyle w:val="-"/>
            <w:noProof/>
          </w:rPr>
          <w:t>3.4.</w:t>
        </w:r>
        <w:r>
          <w:rPr>
            <w:rFonts w:asciiTheme="minorHAnsi" w:eastAsiaTheme="minorEastAsia" w:hAnsiTheme="minorHAnsi" w:cstheme="minorBidi"/>
            <w:noProof/>
            <w:sz w:val="22"/>
            <w:szCs w:val="22"/>
          </w:rPr>
          <w:tab/>
        </w:r>
        <w:r w:rsidRPr="00E87C45">
          <w:rPr>
            <w:rStyle w:val="-"/>
            <w:noProof/>
          </w:rPr>
          <w:t>Βασικές κατευθύνσεις δανεισμού και διαχειριστικών στόχων για το 2026</w:t>
        </w:r>
        <w:r>
          <w:rPr>
            <w:noProof/>
            <w:webHidden/>
          </w:rPr>
          <w:tab/>
        </w:r>
        <w:r>
          <w:rPr>
            <w:noProof/>
            <w:webHidden/>
          </w:rPr>
          <w:fldChar w:fldCharType="begin"/>
        </w:r>
        <w:r>
          <w:rPr>
            <w:noProof/>
            <w:webHidden/>
          </w:rPr>
          <w:instrText xml:space="preserve"> PAGEREF _Toc210570698 \h </w:instrText>
        </w:r>
        <w:r>
          <w:rPr>
            <w:noProof/>
            <w:webHidden/>
          </w:rPr>
        </w:r>
        <w:r>
          <w:rPr>
            <w:noProof/>
            <w:webHidden/>
          </w:rPr>
          <w:fldChar w:fldCharType="separate"/>
        </w:r>
        <w:r w:rsidR="00C42930">
          <w:rPr>
            <w:noProof/>
            <w:webHidden/>
          </w:rPr>
          <w:t>65</w:t>
        </w:r>
        <w:r>
          <w:rPr>
            <w:noProof/>
            <w:webHidden/>
          </w:rPr>
          <w:fldChar w:fldCharType="end"/>
        </w:r>
      </w:hyperlink>
    </w:p>
    <w:p w14:paraId="048A6D20" w14:textId="1E07D1C1" w:rsidR="00AB1AA8" w:rsidRDefault="001F379D" w:rsidP="00AB1AA8">
      <w:pPr>
        <w:rPr>
          <w:rFonts w:cs="Arial"/>
          <w:sz w:val="18"/>
          <w:szCs w:val="18"/>
        </w:rPr>
      </w:pPr>
      <w:r w:rsidRPr="000B2B1F">
        <w:rPr>
          <w:rFonts w:cs="Arial"/>
          <w:b/>
          <w:bCs/>
          <w:caps/>
          <w:noProof/>
          <w:color w:val="2F5496"/>
          <w:szCs w:val="20"/>
        </w:rPr>
        <w:fldChar w:fldCharType="end"/>
      </w:r>
      <w:r w:rsidR="00BB55F9" w:rsidRPr="003B78A1">
        <w:rPr>
          <w:rFonts w:cs="Arial"/>
          <w:sz w:val="18"/>
          <w:szCs w:val="18"/>
        </w:rPr>
        <w:tab/>
      </w:r>
    </w:p>
    <w:p w14:paraId="4D8919E6" w14:textId="77777777" w:rsidR="00003291" w:rsidRDefault="00003291" w:rsidP="00AB1AA8">
      <w:pPr>
        <w:rPr>
          <w:rFonts w:cs="Arial"/>
          <w:sz w:val="18"/>
          <w:szCs w:val="18"/>
        </w:rPr>
      </w:pPr>
    </w:p>
    <w:p w14:paraId="1FB36C04" w14:textId="77777777" w:rsidR="00003291" w:rsidRDefault="00003291" w:rsidP="00AB1AA8">
      <w:pPr>
        <w:rPr>
          <w:rFonts w:cs="Arial"/>
          <w:sz w:val="18"/>
          <w:szCs w:val="18"/>
        </w:rPr>
      </w:pPr>
    </w:p>
    <w:p w14:paraId="414398AA" w14:textId="77777777" w:rsidR="00C1009D" w:rsidRDefault="00C1009D" w:rsidP="00AB1AA8">
      <w:pPr>
        <w:rPr>
          <w:rFonts w:cs="Arial"/>
          <w:sz w:val="18"/>
          <w:szCs w:val="18"/>
        </w:rPr>
      </w:pPr>
    </w:p>
    <w:p w14:paraId="594488F9" w14:textId="77777777" w:rsidR="000241F0" w:rsidRDefault="000241F0">
      <w:pPr>
        <w:spacing w:after="0" w:line="240" w:lineRule="auto"/>
        <w:jc w:val="left"/>
        <w:rPr>
          <w:rFonts w:cs="Arial"/>
          <w:sz w:val="18"/>
          <w:szCs w:val="18"/>
        </w:rPr>
      </w:pPr>
      <w:r>
        <w:rPr>
          <w:rFonts w:cs="Arial"/>
          <w:sz w:val="18"/>
          <w:szCs w:val="18"/>
        </w:rPr>
        <w:br w:type="page"/>
      </w:r>
    </w:p>
    <w:p w14:paraId="3547A2C8" w14:textId="77777777" w:rsidR="00050D32" w:rsidRPr="006844B1" w:rsidRDefault="00874235" w:rsidP="003F05C7">
      <w:pPr>
        <w:pStyle w:val="aff"/>
      </w:pPr>
      <w:r w:rsidRPr="006844B1">
        <w:lastRenderedPageBreak/>
        <w:t>ΔΙΑΓΡΑΜΜΑΤΑ</w:t>
      </w:r>
    </w:p>
    <w:p w14:paraId="5329C064" w14:textId="0230FA08" w:rsidR="00386068" w:rsidRPr="00386068" w:rsidRDefault="00780A76" w:rsidP="00386068">
      <w:pPr>
        <w:pStyle w:val="afd"/>
        <w:rPr>
          <w:rFonts w:eastAsiaTheme="minorEastAsia"/>
          <w:noProof/>
        </w:rPr>
      </w:pPr>
      <w:r w:rsidRPr="007D28DF">
        <w:rPr>
          <w:rStyle w:val="-"/>
          <w:color w:val="auto"/>
          <w:u w:val="none"/>
        </w:rPr>
        <w:fldChar w:fldCharType="begin"/>
      </w:r>
      <w:r w:rsidRPr="007D28DF">
        <w:rPr>
          <w:rStyle w:val="-"/>
          <w:color w:val="auto"/>
          <w:u w:val="none"/>
        </w:rPr>
        <w:instrText xml:space="preserve"> TOC \h \z \c "Διάγραμμα 1." </w:instrText>
      </w:r>
      <w:r w:rsidRPr="007D28DF">
        <w:rPr>
          <w:rStyle w:val="-"/>
          <w:color w:val="auto"/>
          <w:u w:val="none"/>
        </w:rPr>
        <w:fldChar w:fldCharType="separate"/>
      </w:r>
      <w:hyperlink w:anchor="_Toc210570699" w:history="1">
        <w:r w:rsidR="00386068" w:rsidRPr="00386068">
          <w:rPr>
            <w:rStyle w:val="-"/>
            <w:noProof/>
            <w:color w:val="auto"/>
            <w:u w:val="none"/>
          </w:rPr>
          <w:t>Διάγραμμα 1.1.:</w:t>
        </w:r>
        <w:r w:rsidR="00386068">
          <w:rPr>
            <w:rStyle w:val="-"/>
            <w:noProof/>
            <w:color w:val="auto"/>
            <w:u w:val="none"/>
          </w:rPr>
          <w:tab/>
        </w:r>
        <w:r w:rsidR="00386068" w:rsidRPr="00386068">
          <w:rPr>
            <w:rStyle w:val="-"/>
            <w:noProof/>
            <w:color w:val="auto"/>
            <w:u w:val="none"/>
          </w:rPr>
          <w:t>Ρυθμοί μεγέθυνσης κρατών - μελών ΕΕ</w:t>
        </w:r>
        <w:r w:rsidR="00386068" w:rsidRPr="00386068">
          <w:rPr>
            <w:noProof/>
            <w:webHidden/>
          </w:rPr>
          <w:tab/>
        </w:r>
        <w:r w:rsidR="00386068" w:rsidRPr="00386068">
          <w:rPr>
            <w:noProof/>
            <w:webHidden/>
          </w:rPr>
          <w:fldChar w:fldCharType="begin"/>
        </w:r>
        <w:r w:rsidR="00386068" w:rsidRPr="00386068">
          <w:rPr>
            <w:noProof/>
            <w:webHidden/>
          </w:rPr>
          <w:instrText xml:space="preserve"> PAGEREF _Toc210570699 \h </w:instrText>
        </w:r>
        <w:r w:rsidR="00386068" w:rsidRPr="00386068">
          <w:rPr>
            <w:noProof/>
            <w:webHidden/>
          </w:rPr>
        </w:r>
        <w:r w:rsidR="00386068" w:rsidRPr="00386068">
          <w:rPr>
            <w:noProof/>
            <w:webHidden/>
          </w:rPr>
          <w:fldChar w:fldCharType="separate"/>
        </w:r>
        <w:r w:rsidR="00C42930">
          <w:rPr>
            <w:noProof/>
            <w:webHidden/>
          </w:rPr>
          <w:t>13</w:t>
        </w:r>
        <w:r w:rsidR="00386068" w:rsidRPr="00386068">
          <w:rPr>
            <w:noProof/>
            <w:webHidden/>
          </w:rPr>
          <w:fldChar w:fldCharType="end"/>
        </w:r>
      </w:hyperlink>
    </w:p>
    <w:p w14:paraId="03C693EC" w14:textId="676EEC78" w:rsidR="00386068" w:rsidRPr="00386068" w:rsidRDefault="00386068" w:rsidP="00386068">
      <w:pPr>
        <w:pStyle w:val="afd"/>
        <w:rPr>
          <w:rFonts w:eastAsiaTheme="minorEastAsia"/>
          <w:noProof/>
        </w:rPr>
      </w:pPr>
      <w:hyperlink w:anchor="_Toc210570700" w:history="1">
        <w:r w:rsidRPr="00386068">
          <w:rPr>
            <w:rStyle w:val="-"/>
            <w:noProof/>
            <w:color w:val="auto"/>
            <w:u w:val="none"/>
          </w:rPr>
          <w:t>Διάγραμμα 1.2.:</w:t>
        </w:r>
        <w:r>
          <w:rPr>
            <w:rStyle w:val="-"/>
            <w:noProof/>
            <w:color w:val="auto"/>
            <w:u w:val="none"/>
          </w:rPr>
          <w:tab/>
        </w:r>
        <w:r w:rsidRPr="00386068">
          <w:rPr>
            <w:rStyle w:val="-"/>
            <w:noProof/>
            <w:color w:val="auto"/>
            <w:u w:val="none"/>
          </w:rPr>
          <w:t>Απόκλιση τριμηνιαίου ΑΕΠ και συνιστωσών Ελλάδας - Ευρωζώνης</w:t>
        </w:r>
        <w:r w:rsidRPr="00386068">
          <w:rPr>
            <w:noProof/>
            <w:webHidden/>
          </w:rPr>
          <w:tab/>
        </w:r>
        <w:r w:rsidRPr="00386068">
          <w:rPr>
            <w:noProof/>
            <w:webHidden/>
          </w:rPr>
          <w:fldChar w:fldCharType="begin"/>
        </w:r>
        <w:r w:rsidRPr="00386068">
          <w:rPr>
            <w:noProof/>
            <w:webHidden/>
          </w:rPr>
          <w:instrText xml:space="preserve"> PAGEREF _Toc210570700 \h </w:instrText>
        </w:r>
        <w:r w:rsidRPr="00386068">
          <w:rPr>
            <w:noProof/>
            <w:webHidden/>
          </w:rPr>
        </w:r>
        <w:r w:rsidRPr="00386068">
          <w:rPr>
            <w:noProof/>
            <w:webHidden/>
          </w:rPr>
          <w:fldChar w:fldCharType="separate"/>
        </w:r>
        <w:r w:rsidR="00C42930">
          <w:rPr>
            <w:noProof/>
            <w:webHidden/>
          </w:rPr>
          <w:t>14</w:t>
        </w:r>
        <w:r w:rsidRPr="00386068">
          <w:rPr>
            <w:noProof/>
            <w:webHidden/>
          </w:rPr>
          <w:fldChar w:fldCharType="end"/>
        </w:r>
      </w:hyperlink>
    </w:p>
    <w:p w14:paraId="7425852B" w14:textId="3CBCE1E3" w:rsidR="00386068" w:rsidRPr="00386068" w:rsidRDefault="00386068" w:rsidP="00386068">
      <w:pPr>
        <w:pStyle w:val="afd"/>
        <w:rPr>
          <w:rFonts w:eastAsiaTheme="minorEastAsia"/>
          <w:noProof/>
        </w:rPr>
      </w:pPr>
      <w:hyperlink w:anchor="_Toc210570701" w:history="1">
        <w:r w:rsidRPr="00386068">
          <w:rPr>
            <w:rStyle w:val="-"/>
            <w:noProof/>
            <w:color w:val="auto"/>
            <w:u w:val="none"/>
          </w:rPr>
          <w:t>Διάγραμμα 1.3.:</w:t>
        </w:r>
        <w:r w:rsidR="00E21745">
          <w:rPr>
            <w:rStyle w:val="-"/>
            <w:noProof/>
            <w:color w:val="auto"/>
            <w:u w:val="none"/>
          </w:rPr>
          <w:tab/>
        </w:r>
        <w:r w:rsidRPr="00386068">
          <w:rPr>
            <w:rStyle w:val="-"/>
            <w:noProof/>
            <w:color w:val="auto"/>
            <w:u w:val="none"/>
          </w:rPr>
          <w:t>Πραγματική εγχώρια ζήτηση στην Ευρωζώνη 2024 - 2023</w:t>
        </w:r>
        <w:r w:rsidRPr="00386068">
          <w:rPr>
            <w:noProof/>
            <w:webHidden/>
          </w:rPr>
          <w:tab/>
        </w:r>
        <w:r w:rsidRPr="00386068">
          <w:rPr>
            <w:noProof/>
            <w:webHidden/>
          </w:rPr>
          <w:fldChar w:fldCharType="begin"/>
        </w:r>
        <w:r w:rsidRPr="00386068">
          <w:rPr>
            <w:noProof/>
            <w:webHidden/>
          </w:rPr>
          <w:instrText xml:space="preserve"> PAGEREF _Toc210570701 \h </w:instrText>
        </w:r>
        <w:r w:rsidRPr="00386068">
          <w:rPr>
            <w:noProof/>
            <w:webHidden/>
          </w:rPr>
        </w:r>
        <w:r w:rsidRPr="00386068">
          <w:rPr>
            <w:noProof/>
            <w:webHidden/>
          </w:rPr>
          <w:fldChar w:fldCharType="separate"/>
        </w:r>
        <w:r w:rsidR="00C42930">
          <w:rPr>
            <w:noProof/>
            <w:webHidden/>
          </w:rPr>
          <w:t>15</w:t>
        </w:r>
        <w:r w:rsidRPr="00386068">
          <w:rPr>
            <w:noProof/>
            <w:webHidden/>
          </w:rPr>
          <w:fldChar w:fldCharType="end"/>
        </w:r>
      </w:hyperlink>
    </w:p>
    <w:p w14:paraId="5E72CAEA" w14:textId="6EFEADB7" w:rsidR="00386068" w:rsidRPr="00386068" w:rsidRDefault="00386068" w:rsidP="00386068">
      <w:pPr>
        <w:pStyle w:val="afd"/>
        <w:rPr>
          <w:rFonts w:eastAsiaTheme="minorEastAsia"/>
          <w:noProof/>
        </w:rPr>
      </w:pPr>
      <w:hyperlink w:anchor="_Toc210570702" w:history="1">
        <w:r w:rsidRPr="00386068">
          <w:rPr>
            <w:rStyle w:val="-"/>
            <w:noProof/>
            <w:color w:val="auto"/>
            <w:u w:val="none"/>
          </w:rPr>
          <w:t>Διάγραμμα 1.4.:</w:t>
        </w:r>
        <w:r w:rsidR="00E21745">
          <w:rPr>
            <w:rStyle w:val="-"/>
            <w:noProof/>
            <w:color w:val="auto"/>
            <w:u w:val="none"/>
          </w:rPr>
          <w:tab/>
        </w:r>
        <w:r w:rsidRPr="00386068">
          <w:rPr>
            <w:rStyle w:val="-"/>
            <w:noProof/>
            <w:color w:val="auto"/>
            <w:u w:val="none"/>
          </w:rPr>
          <w:t>Εξέλιξη συμβολής ΑΕΠ ανά συνιστώσα</w:t>
        </w:r>
        <w:r w:rsidRPr="00386068">
          <w:rPr>
            <w:noProof/>
            <w:webHidden/>
          </w:rPr>
          <w:tab/>
        </w:r>
        <w:r w:rsidRPr="00386068">
          <w:rPr>
            <w:noProof/>
            <w:webHidden/>
          </w:rPr>
          <w:fldChar w:fldCharType="begin"/>
        </w:r>
        <w:r w:rsidRPr="00386068">
          <w:rPr>
            <w:noProof/>
            <w:webHidden/>
          </w:rPr>
          <w:instrText xml:space="preserve"> PAGEREF _Toc210570702 \h </w:instrText>
        </w:r>
        <w:r w:rsidRPr="00386068">
          <w:rPr>
            <w:noProof/>
            <w:webHidden/>
          </w:rPr>
        </w:r>
        <w:r w:rsidRPr="00386068">
          <w:rPr>
            <w:noProof/>
            <w:webHidden/>
          </w:rPr>
          <w:fldChar w:fldCharType="separate"/>
        </w:r>
        <w:r w:rsidR="00C42930">
          <w:rPr>
            <w:noProof/>
            <w:webHidden/>
          </w:rPr>
          <w:t>16</w:t>
        </w:r>
        <w:r w:rsidRPr="00386068">
          <w:rPr>
            <w:noProof/>
            <w:webHidden/>
          </w:rPr>
          <w:fldChar w:fldCharType="end"/>
        </w:r>
      </w:hyperlink>
    </w:p>
    <w:p w14:paraId="74DF5C6E" w14:textId="369BA72F" w:rsidR="00386068" w:rsidRPr="00386068" w:rsidRDefault="00386068" w:rsidP="00386068">
      <w:pPr>
        <w:pStyle w:val="afd"/>
        <w:rPr>
          <w:rFonts w:eastAsiaTheme="minorEastAsia"/>
          <w:noProof/>
        </w:rPr>
      </w:pPr>
      <w:hyperlink w:anchor="_Toc210570703" w:history="1">
        <w:r w:rsidRPr="00386068">
          <w:rPr>
            <w:rStyle w:val="-"/>
            <w:noProof/>
            <w:color w:val="auto"/>
            <w:u w:val="none"/>
          </w:rPr>
          <w:t>Διάγραμμα 1.5.:</w:t>
        </w:r>
        <w:r w:rsidR="00E21745">
          <w:rPr>
            <w:rStyle w:val="-"/>
            <w:noProof/>
            <w:color w:val="auto"/>
            <w:u w:val="none"/>
          </w:rPr>
          <w:tab/>
        </w:r>
        <w:r w:rsidRPr="00386068">
          <w:rPr>
            <w:rStyle w:val="-"/>
            <w:noProof/>
            <w:color w:val="auto"/>
            <w:u w:val="none"/>
          </w:rPr>
          <w:t>Εξέλιξη διάρθρωσης βασικών οικονομικών κλάδων</w:t>
        </w:r>
        <w:r w:rsidRPr="00386068">
          <w:rPr>
            <w:noProof/>
            <w:webHidden/>
          </w:rPr>
          <w:tab/>
        </w:r>
        <w:r w:rsidRPr="00386068">
          <w:rPr>
            <w:noProof/>
            <w:webHidden/>
          </w:rPr>
          <w:fldChar w:fldCharType="begin"/>
        </w:r>
        <w:r w:rsidRPr="00386068">
          <w:rPr>
            <w:noProof/>
            <w:webHidden/>
          </w:rPr>
          <w:instrText xml:space="preserve"> PAGEREF _Toc210570703 \h </w:instrText>
        </w:r>
        <w:r w:rsidRPr="00386068">
          <w:rPr>
            <w:noProof/>
            <w:webHidden/>
          </w:rPr>
        </w:r>
        <w:r w:rsidRPr="00386068">
          <w:rPr>
            <w:noProof/>
            <w:webHidden/>
          </w:rPr>
          <w:fldChar w:fldCharType="separate"/>
        </w:r>
        <w:r w:rsidR="00C42930">
          <w:rPr>
            <w:noProof/>
            <w:webHidden/>
          </w:rPr>
          <w:t>17</w:t>
        </w:r>
        <w:r w:rsidRPr="00386068">
          <w:rPr>
            <w:noProof/>
            <w:webHidden/>
          </w:rPr>
          <w:fldChar w:fldCharType="end"/>
        </w:r>
      </w:hyperlink>
    </w:p>
    <w:p w14:paraId="37E9D79B" w14:textId="49DF68E0" w:rsidR="00386068" w:rsidRPr="00386068" w:rsidRDefault="00386068" w:rsidP="00386068">
      <w:pPr>
        <w:pStyle w:val="afd"/>
        <w:rPr>
          <w:rFonts w:eastAsiaTheme="minorEastAsia"/>
          <w:noProof/>
        </w:rPr>
      </w:pPr>
      <w:hyperlink w:anchor="_Toc210570704" w:history="1">
        <w:r w:rsidRPr="00386068">
          <w:rPr>
            <w:rStyle w:val="-"/>
            <w:noProof/>
            <w:color w:val="auto"/>
            <w:u w:val="none"/>
          </w:rPr>
          <w:t>Διάγραμμα 1.6.:</w:t>
        </w:r>
        <w:r w:rsidR="00E21745">
          <w:rPr>
            <w:rStyle w:val="-"/>
            <w:noProof/>
            <w:color w:val="auto"/>
            <w:u w:val="none"/>
          </w:rPr>
          <w:tab/>
        </w:r>
        <w:r w:rsidRPr="00386068">
          <w:rPr>
            <w:rStyle w:val="-"/>
            <w:noProof/>
            <w:color w:val="auto"/>
            <w:u w:val="none"/>
          </w:rPr>
          <w:t>Εξέλιξη διεθνών τιμών στην ενέργεια</w:t>
        </w:r>
        <w:r w:rsidRPr="00386068">
          <w:rPr>
            <w:noProof/>
            <w:webHidden/>
          </w:rPr>
          <w:tab/>
        </w:r>
        <w:r w:rsidRPr="00386068">
          <w:rPr>
            <w:noProof/>
            <w:webHidden/>
          </w:rPr>
          <w:fldChar w:fldCharType="begin"/>
        </w:r>
        <w:r w:rsidRPr="00386068">
          <w:rPr>
            <w:noProof/>
            <w:webHidden/>
          </w:rPr>
          <w:instrText xml:space="preserve"> PAGEREF _Toc210570704 \h </w:instrText>
        </w:r>
        <w:r w:rsidRPr="00386068">
          <w:rPr>
            <w:noProof/>
            <w:webHidden/>
          </w:rPr>
        </w:r>
        <w:r w:rsidRPr="00386068">
          <w:rPr>
            <w:noProof/>
            <w:webHidden/>
          </w:rPr>
          <w:fldChar w:fldCharType="separate"/>
        </w:r>
        <w:r w:rsidR="00C42930">
          <w:rPr>
            <w:noProof/>
            <w:webHidden/>
          </w:rPr>
          <w:t>19</w:t>
        </w:r>
        <w:r w:rsidRPr="00386068">
          <w:rPr>
            <w:noProof/>
            <w:webHidden/>
          </w:rPr>
          <w:fldChar w:fldCharType="end"/>
        </w:r>
      </w:hyperlink>
    </w:p>
    <w:p w14:paraId="210121AA" w14:textId="690CDF3E" w:rsidR="00386068" w:rsidRPr="00386068" w:rsidRDefault="00386068" w:rsidP="00386068">
      <w:pPr>
        <w:pStyle w:val="afd"/>
        <w:rPr>
          <w:rFonts w:eastAsiaTheme="minorEastAsia"/>
          <w:noProof/>
        </w:rPr>
      </w:pPr>
      <w:hyperlink w:anchor="_Toc210570705" w:history="1">
        <w:r w:rsidRPr="00386068">
          <w:rPr>
            <w:rStyle w:val="-"/>
            <w:noProof/>
            <w:color w:val="auto"/>
            <w:u w:val="none"/>
          </w:rPr>
          <w:t>Διάγραμμα 1.7.:</w:t>
        </w:r>
        <w:r w:rsidR="00E21745">
          <w:rPr>
            <w:rStyle w:val="-"/>
            <w:noProof/>
            <w:color w:val="auto"/>
            <w:u w:val="none"/>
          </w:rPr>
          <w:tab/>
        </w:r>
        <w:r w:rsidRPr="00386068">
          <w:rPr>
            <w:rStyle w:val="-"/>
            <w:noProof/>
            <w:color w:val="auto"/>
            <w:u w:val="none"/>
          </w:rPr>
          <w:t>Εξέλιξη Ισοζυγίου Τρεχουσών Συναλλαγών</w:t>
        </w:r>
        <w:r w:rsidRPr="00386068">
          <w:rPr>
            <w:noProof/>
            <w:webHidden/>
          </w:rPr>
          <w:tab/>
        </w:r>
        <w:r w:rsidRPr="00386068">
          <w:rPr>
            <w:noProof/>
            <w:webHidden/>
          </w:rPr>
          <w:fldChar w:fldCharType="begin"/>
        </w:r>
        <w:r w:rsidRPr="00386068">
          <w:rPr>
            <w:noProof/>
            <w:webHidden/>
          </w:rPr>
          <w:instrText xml:space="preserve"> PAGEREF _Toc210570705 \h </w:instrText>
        </w:r>
        <w:r w:rsidRPr="00386068">
          <w:rPr>
            <w:noProof/>
            <w:webHidden/>
          </w:rPr>
        </w:r>
        <w:r w:rsidRPr="00386068">
          <w:rPr>
            <w:noProof/>
            <w:webHidden/>
          </w:rPr>
          <w:fldChar w:fldCharType="separate"/>
        </w:r>
        <w:r w:rsidR="00C42930">
          <w:rPr>
            <w:noProof/>
            <w:webHidden/>
          </w:rPr>
          <w:t>20</w:t>
        </w:r>
        <w:r w:rsidRPr="00386068">
          <w:rPr>
            <w:noProof/>
            <w:webHidden/>
          </w:rPr>
          <w:fldChar w:fldCharType="end"/>
        </w:r>
      </w:hyperlink>
    </w:p>
    <w:p w14:paraId="43752DC1" w14:textId="1B5DE861" w:rsidR="00386068" w:rsidRPr="00386068" w:rsidRDefault="00386068" w:rsidP="00386068">
      <w:pPr>
        <w:pStyle w:val="afd"/>
        <w:rPr>
          <w:rFonts w:eastAsiaTheme="minorEastAsia"/>
          <w:noProof/>
        </w:rPr>
      </w:pPr>
      <w:hyperlink w:anchor="_Toc210570706" w:history="1">
        <w:r w:rsidRPr="00386068">
          <w:rPr>
            <w:rStyle w:val="-"/>
            <w:noProof/>
            <w:color w:val="auto"/>
            <w:u w:val="none"/>
          </w:rPr>
          <w:t>Διάγραμμα 1.8.:</w:t>
        </w:r>
        <w:r w:rsidR="00E21745">
          <w:rPr>
            <w:rStyle w:val="-"/>
            <w:noProof/>
            <w:color w:val="auto"/>
            <w:u w:val="none"/>
          </w:rPr>
          <w:tab/>
        </w:r>
        <w:r w:rsidRPr="00386068">
          <w:rPr>
            <w:rStyle w:val="-"/>
            <w:noProof/>
            <w:color w:val="auto"/>
            <w:u w:val="none"/>
          </w:rPr>
          <w:t>Το επενδυτικό κενό της Ελλάδας έναντι της Ευρωζώνης</w:t>
        </w:r>
        <w:r w:rsidRPr="00386068">
          <w:rPr>
            <w:noProof/>
            <w:webHidden/>
          </w:rPr>
          <w:tab/>
        </w:r>
        <w:r w:rsidRPr="00386068">
          <w:rPr>
            <w:noProof/>
            <w:webHidden/>
          </w:rPr>
          <w:fldChar w:fldCharType="begin"/>
        </w:r>
        <w:r w:rsidRPr="00386068">
          <w:rPr>
            <w:noProof/>
            <w:webHidden/>
          </w:rPr>
          <w:instrText xml:space="preserve"> PAGEREF _Toc210570706 \h </w:instrText>
        </w:r>
        <w:r w:rsidRPr="00386068">
          <w:rPr>
            <w:noProof/>
            <w:webHidden/>
          </w:rPr>
        </w:r>
        <w:r w:rsidRPr="00386068">
          <w:rPr>
            <w:noProof/>
            <w:webHidden/>
          </w:rPr>
          <w:fldChar w:fldCharType="separate"/>
        </w:r>
        <w:r w:rsidR="00C42930">
          <w:rPr>
            <w:noProof/>
            <w:webHidden/>
          </w:rPr>
          <w:t>26</w:t>
        </w:r>
        <w:r w:rsidRPr="00386068">
          <w:rPr>
            <w:noProof/>
            <w:webHidden/>
          </w:rPr>
          <w:fldChar w:fldCharType="end"/>
        </w:r>
      </w:hyperlink>
    </w:p>
    <w:p w14:paraId="2668E861" w14:textId="681210FC" w:rsidR="00386068" w:rsidRDefault="00386068" w:rsidP="007D28DF">
      <w:pPr>
        <w:pStyle w:val="afd"/>
        <w:rPr>
          <w:noProof/>
        </w:rPr>
      </w:pPr>
      <w:hyperlink w:anchor="_Toc210570707" w:history="1">
        <w:r w:rsidRPr="00386068">
          <w:rPr>
            <w:rStyle w:val="-"/>
            <w:noProof/>
            <w:color w:val="auto"/>
            <w:u w:val="none"/>
          </w:rPr>
          <w:t>Διάγραμμα 1.9.:</w:t>
        </w:r>
        <w:r w:rsidR="00E21745">
          <w:rPr>
            <w:rStyle w:val="-"/>
            <w:noProof/>
            <w:color w:val="auto"/>
            <w:u w:val="none"/>
          </w:rPr>
          <w:tab/>
        </w:r>
        <w:r w:rsidRPr="00386068">
          <w:rPr>
            <w:rStyle w:val="-"/>
            <w:noProof/>
            <w:color w:val="auto"/>
            <w:u w:val="none"/>
          </w:rPr>
          <w:t>Ρυθμός μεταβολής κατά κεφαλήν ΑΕΠ</w:t>
        </w:r>
        <w:r w:rsidRPr="00386068">
          <w:rPr>
            <w:noProof/>
            <w:webHidden/>
          </w:rPr>
          <w:tab/>
        </w:r>
        <w:r w:rsidRPr="00386068">
          <w:rPr>
            <w:noProof/>
            <w:webHidden/>
          </w:rPr>
          <w:fldChar w:fldCharType="begin"/>
        </w:r>
        <w:r w:rsidRPr="00386068">
          <w:rPr>
            <w:noProof/>
            <w:webHidden/>
          </w:rPr>
          <w:instrText xml:space="preserve"> PAGEREF _Toc210570707 \h </w:instrText>
        </w:r>
        <w:r w:rsidRPr="00386068">
          <w:rPr>
            <w:noProof/>
            <w:webHidden/>
          </w:rPr>
        </w:r>
        <w:r w:rsidRPr="00386068">
          <w:rPr>
            <w:noProof/>
            <w:webHidden/>
          </w:rPr>
          <w:fldChar w:fldCharType="separate"/>
        </w:r>
        <w:r w:rsidR="00C42930">
          <w:rPr>
            <w:noProof/>
            <w:webHidden/>
          </w:rPr>
          <w:t>27</w:t>
        </w:r>
        <w:r w:rsidRPr="00386068">
          <w:rPr>
            <w:noProof/>
            <w:webHidden/>
          </w:rPr>
          <w:fldChar w:fldCharType="end"/>
        </w:r>
      </w:hyperlink>
      <w:r w:rsidR="00780A76" w:rsidRPr="007D28DF">
        <w:rPr>
          <w:rStyle w:val="-"/>
          <w:color w:val="auto"/>
          <w:u w:val="none"/>
        </w:rPr>
        <w:fldChar w:fldCharType="end"/>
      </w:r>
      <w:r w:rsidR="007C66A9" w:rsidRPr="007D28DF">
        <w:rPr>
          <w:rStyle w:val="-"/>
          <w:color w:val="auto"/>
          <w:u w:val="none"/>
        </w:rPr>
        <w:fldChar w:fldCharType="begin"/>
      </w:r>
      <w:r w:rsidR="007C66A9" w:rsidRPr="007D28DF">
        <w:rPr>
          <w:rStyle w:val="-"/>
          <w:color w:val="auto"/>
          <w:u w:val="none"/>
        </w:rPr>
        <w:instrText xml:space="preserve"> TOC \h \z \c "Διάγραμμα 3." </w:instrText>
      </w:r>
      <w:r w:rsidR="007C66A9" w:rsidRPr="007D28DF">
        <w:rPr>
          <w:rStyle w:val="-"/>
          <w:color w:val="auto"/>
          <w:u w:val="none"/>
        </w:rPr>
        <w:fldChar w:fldCharType="separate"/>
      </w:r>
    </w:p>
    <w:p w14:paraId="21A79F3E" w14:textId="01AD7CE0" w:rsidR="00386068" w:rsidRPr="00386068" w:rsidRDefault="00386068" w:rsidP="00386068">
      <w:pPr>
        <w:pStyle w:val="afd"/>
        <w:rPr>
          <w:rFonts w:eastAsiaTheme="minorEastAsia"/>
          <w:noProof/>
        </w:rPr>
      </w:pPr>
      <w:hyperlink w:anchor="_Toc210570708" w:history="1">
        <w:r w:rsidRPr="00386068">
          <w:rPr>
            <w:rStyle w:val="-"/>
            <w:noProof/>
            <w:color w:val="auto"/>
            <w:u w:val="none"/>
          </w:rPr>
          <w:t>Διάγραμμα 3.1.:</w:t>
        </w:r>
        <w:r w:rsidR="00E21745">
          <w:rPr>
            <w:rStyle w:val="-"/>
            <w:noProof/>
            <w:color w:val="auto"/>
            <w:u w:val="none"/>
          </w:rPr>
          <w:tab/>
        </w:r>
        <w:r w:rsidRPr="00386068">
          <w:rPr>
            <w:rStyle w:val="-"/>
            <w:noProof/>
            <w:color w:val="auto"/>
            <w:u w:val="none"/>
          </w:rPr>
          <w:t>Χρονοδιάγραμμα λήξης χρέους της Κεντρικής Διοίκησης την 31η.8.2025</w:t>
        </w:r>
        <w:r w:rsidRPr="00386068">
          <w:rPr>
            <w:noProof/>
            <w:webHidden/>
          </w:rPr>
          <w:tab/>
        </w:r>
        <w:r w:rsidRPr="00386068">
          <w:rPr>
            <w:noProof/>
            <w:webHidden/>
          </w:rPr>
          <w:fldChar w:fldCharType="begin"/>
        </w:r>
        <w:r w:rsidRPr="00386068">
          <w:rPr>
            <w:noProof/>
            <w:webHidden/>
          </w:rPr>
          <w:instrText xml:space="preserve"> PAGEREF _Toc210570708 \h </w:instrText>
        </w:r>
        <w:r w:rsidRPr="00386068">
          <w:rPr>
            <w:noProof/>
            <w:webHidden/>
          </w:rPr>
        </w:r>
        <w:r w:rsidRPr="00386068">
          <w:rPr>
            <w:noProof/>
            <w:webHidden/>
          </w:rPr>
          <w:fldChar w:fldCharType="separate"/>
        </w:r>
        <w:r w:rsidR="00C42930">
          <w:rPr>
            <w:noProof/>
            <w:webHidden/>
          </w:rPr>
          <w:t>63</w:t>
        </w:r>
        <w:r w:rsidRPr="00386068">
          <w:rPr>
            <w:noProof/>
            <w:webHidden/>
          </w:rPr>
          <w:fldChar w:fldCharType="end"/>
        </w:r>
      </w:hyperlink>
    </w:p>
    <w:p w14:paraId="58CABE35" w14:textId="77777777" w:rsidR="00A84E52" w:rsidRPr="005578ED" w:rsidRDefault="007C66A9" w:rsidP="007D28DF">
      <w:pPr>
        <w:pStyle w:val="afd"/>
        <w:rPr>
          <w:rStyle w:val="-"/>
          <w:color w:val="auto"/>
          <w:u w:val="none"/>
        </w:rPr>
      </w:pPr>
      <w:r w:rsidRPr="007D28DF">
        <w:rPr>
          <w:rStyle w:val="-"/>
          <w:color w:val="auto"/>
          <w:u w:val="none"/>
        </w:rPr>
        <w:fldChar w:fldCharType="end"/>
      </w:r>
    </w:p>
    <w:p w14:paraId="74EFE4A5" w14:textId="77777777" w:rsidR="00A84E52" w:rsidRPr="005578ED" w:rsidRDefault="00A84E52" w:rsidP="00070452">
      <w:pPr>
        <w:rPr>
          <w:rStyle w:val="-"/>
          <w:color w:val="auto"/>
          <w:u w:val="none"/>
        </w:rPr>
      </w:pPr>
    </w:p>
    <w:p w14:paraId="322395A3" w14:textId="77777777" w:rsidR="00874235" w:rsidRPr="00C60926" w:rsidRDefault="00874235" w:rsidP="003F05C7">
      <w:pPr>
        <w:pStyle w:val="aff"/>
      </w:pPr>
      <w:r w:rsidRPr="00C60926">
        <w:t>ΠΙΝΑΚΕΣ</w:t>
      </w:r>
    </w:p>
    <w:p w14:paraId="5BD5A928" w14:textId="411BE0C9" w:rsidR="00C2481F" w:rsidRPr="00C2481F" w:rsidRDefault="007C66A9" w:rsidP="00C2481F">
      <w:pPr>
        <w:pStyle w:val="afd"/>
        <w:rPr>
          <w:rFonts w:eastAsiaTheme="minorEastAsia"/>
          <w:noProof/>
        </w:rPr>
      </w:pPr>
      <w:r w:rsidRPr="00C2481F">
        <w:rPr>
          <w:rStyle w:val="-"/>
          <w:color w:val="auto"/>
          <w:u w:val="none"/>
        </w:rPr>
        <w:fldChar w:fldCharType="begin"/>
      </w:r>
      <w:r w:rsidRPr="00C2481F">
        <w:rPr>
          <w:rStyle w:val="-"/>
          <w:color w:val="auto"/>
          <w:u w:val="none"/>
        </w:rPr>
        <w:instrText xml:space="preserve"> TOC \h \z \c "Πίνακας 1." </w:instrText>
      </w:r>
      <w:r w:rsidRPr="00C2481F">
        <w:rPr>
          <w:rStyle w:val="-"/>
          <w:color w:val="auto"/>
          <w:u w:val="none"/>
        </w:rPr>
        <w:fldChar w:fldCharType="separate"/>
      </w:r>
      <w:hyperlink w:anchor="_Toc210570892" w:history="1">
        <w:r w:rsidR="00C2481F" w:rsidRPr="00C2481F">
          <w:rPr>
            <w:rStyle w:val="-"/>
            <w:noProof/>
            <w:color w:val="auto"/>
            <w:u w:val="none"/>
          </w:rPr>
          <w:t>Πίνακας 1.1.:</w:t>
        </w:r>
        <w:r w:rsidR="00C2481F">
          <w:rPr>
            <w:rStyle w:val="-"/>
            <w:noProof/>
            <w:color w:val="auto"/>
            <w:u w:val="none"/>
          </w:rPr>
          <w:tab/>
        </w:r>
        <w:r w:rsidR="00C2481F" w:rsidRPr="00C2481F">
          <w:rPr>
            <w:rStyle w:val="-"/>
            <w:noProof/>
            <w:color w:val="auto"/>
            <w:u w:val="none"/>
          </w:rPr>
          <w:t>Βασικά μεγέθη της ευρωπαϊκής και της παγκόσμιας οικονομίας</w:t>
        </w:r>
        <w:r w:rsidR="00C2481F" w:rsidRPr="00C2481F">
          <w:rPr>
            <w:noProof/>
            <w:webHidden/>
          </w:rPr>
          <w:tab/>
        </w:r>
        <w:r w:rsidR="00C2481F" w:rsidRPr="00C2481F">
          <w:rPr>
            <w:noProof/>
            <w:webHidden/>
          </w:rPr>
          <w:fldChar w:fldCharType="begin"/>
        </w:r>
        <w:r w:rsidR="00C2481F" w:rsidRPr="00C2481F">
          <w:rPr>
            <w:noProof/>
            <w:webHidden/>
          </w:rPr>
          <w:instrText xml:space="preserve"> PAGEREF _Toc210570892 \h </w:instrText>
        </w:r>
        <w:r w:rsidR="00C2481F" w:rsidRPr="00C2481F">
          <w:rPr>
            <w:noProof/>
            <w:webHidden/>
          </w:rPr>
        </w:r>
        <w:r w:rsidR="00C2481F" w:rsidRPr="00C2481F">
          <w:rPr>
            <w:noProof/>
            <w:webHidden/>
          </w:rPr>
          <w:fldChar w:fldCharType="separate"/>
        </w:r>
        <w:r w:rsidR="00C42930">
          <w:rPr>
            <w:noProof/>
            <w:webHidden/>
          </w:rPr>
          <w:t>24</w:t>
        </w:r>
        <w:r w:rsidR="00C2481F" w:rsidRPr="00C2481F">
          <w:rPr>
            <w:noProof/>
            <w:webHidden/>
          </w:rPr>
          <w:fldChar w:fldCharType="end"/>
        </w:r>
      </w:hyperlink>
    </w:p>
    <w:p w14:paraId="629D61A2" w14:textId="2EA038CD" w:rsidR="00C2481F" w:rsidRPr="00C2481F" w:rsidRDefault="00C2481F" w:rsidP="00C2481F">
      <w:pPr>
        <w:pStyle w:val="afd"/>
        <w:rPr>
          <w:noProof/>
        </w:rPr>
      </w:pPr>
      <w:hyperlink w:anchor="_Toc210570893" w:history="1">
        <w:r w:rsidRPr="00C2481F">
          <w:rPr>
            <w:rStyle w:val="-"/>
            <w:noProof/>
            <w:color w:val="auto"/>
            <w:u w:val="none"/>
          </w:rPr>
          <w:t>Πίνακας 1.2.:</w:t>
        </w:r>
        <w:r>
          <w:rPr>
            <w:rStyle w:val="-"/>
            <w:noProof/>
            <w:color w:val="auto"/>
            <w:u w:val="none"/>
          </w:rPr>
          <w:tab/>
        </w:r>
        <w:r w:rsidRPr="00C2481F">
          <w:rPr>
            <w:rStyle w:val="-"/>
            <w:noProof/>
            <w:color w:val="auto"/>
            <w:u w:val="none"/>
          </w:rPr>
          <w:t>Βασικά μεγέθη της ελληνικής οικονομίας</w:t>
        </w:r>
        <w:r w:rsidRPr="00C2481F">
          <w:rPr>
            <w:noProof/>
            <w:webHidden/>
          </w:rPr>
          <w:tab/>
        </w:r>
        <w:r w:rsidRPr="00C2481F">
          <w:rPr>
            <w:noProof/>
            <w:webHidden/>
          </w:rPr>
          <w:fldChar w:fldCharType="begin"/>
        </w:r>
        <w:r w:rsidRPr="00C2481F">
          <w:rPr>
            <w:noProof/>
            <w:webHidden/>
          </w:rPr>
          <w:instrText xml:space="preserve"> PAGEREF _Toc210570893 \h </w:instrText>
        </w:r>
        <w:r w:rsidRPr="00C2481F">
          <w:rPr>
            <w:noProof/>
            <w:webHidden/>
          </w:rPr>
        </w:r>
        <w:r w:rsidRPr="00C2481F">
          <w:rPr>
            <w:noProof/>
            <w:webHidden/>
          </w:rPr>
          <w:fldChar w:fldCharType="separate"/>
        </w:r>
        <w:r w:rsidR="00C42930">
          <w:rPr>
            <w:noProof/>
            <w:webHidden/>
          </w:rPr>
          <w:t>29</w:t>
        </w:r>
        <w:r w:rsidRPr="00C2481F">
          <w:rPr>
            <w:noProof/>
            <w:webHidden/>
          </w:rPr>
          <w:fldChar w:fldCharType="end"/>
        </w:r>
      </w:hyperlink>
      <w:r w:rsidR="007C66A9" w:rsidRPr="00C2481F">
        <w:rPr>
          <w:rStyle w:val="-"/>
          <w:color w:val="auto"/>
          <w:u w:val="none"/>
        </w:rPr>
        <w:fldChar w:fldCharType="end"/>
      </w:r>
      <w:r w:rsidR="00BA32BF" w:rsidRPr="00C2481F">
        <w:rPr>
          <w:rStyle w:val="-"/>
          <w:color w:val="auto"/>
          <w:u w:val="none"/>
        </w:rPr>
        <w:fldChar w:fldCharType="begin"/>
      </w:r>
      <w:r w:rsidR="00BA32BF" w:rsidRPr="00C2481F">
        <w:rPr>
          <w:rStyle w:val="-"/>
          <w:color w:val="auto"/>
          <w:u w:val="none"/>
        </w:rPr>
        <w:instrText xml:space="preserve"> TOC \h \z \c "Πίνακας 2." </w:instrText>
      </w:r>
      <w:r w:rsidR="00BA32BF" w:rsidRPr="00C2481F">
        <w:rPr>
          <w:rStyle w:val="-"/>
          <w:color w:val="auto"/>
          <w:u w:val="none"/>
        </w:rPr>
        <w:fldChar w:fldCharType="separate"/>
      </w:r>
    </w:p>
    <w:p w14:paraId="79276EBC" w14:textId="1CEB25B0" w:rsidR="00C2481F" w:rsidRPr="00C2481F" w:rsidRDefault="00C2481F" w:rsidP="00C2481F">
      <w:pPr>
        <w:pStyle w:val="afd"/>
        <w:rPr>
          <w:rFonts w:eastAsiaTheme="minorEastAsia"/>
          <w:noProof/>
        </w:rPr>
      </w:pPr>
      <w:hyperlink w:anchor="_Toc210570897" w:history="1">
        <w:r w:rsidRPr="00C2481F">
          <w:rPr>
            <w:rStyle w:val="-"/>
            <w:noProof/>
            <w:color w:val="auto"/>
            <w:u w:val="none"/>
          </w:rPr>
          <w:t>Πίνακας 2.1.:</w:t>
        </w:r>
        <w:r>
          <w:rPr>
            <w:rStyle w:val="-"/>
            <w:noProof/>
            <w:color w:val="auto"/>
            <w:u w:val="none"/>
          </w:rPr>
          <w:tab/>
        </w:r>
        <w:r w:rsidRPr="00C2481F">
          <w:rPr>
            <w:rStyle w:val="-"/>
            <w:noProof/>
            <w:color w:val="auto"/>
            <w:u w:val="none"/>
          </w:rPr>
          <w:t>Ισοζύγιο Γενικής Κυβέρνησης σύμφωνα με τη μεθοδολογία</w:t>
        </w:r>
        <w:r>
          <w:rPr>
            <w:rStyle w:val="-"/>
            <w:noProof/>
            <w:color w:val="auto"/>
            <w:u w:val="none"/>
          </w:rPr>
          <w:t xml:space="preserve"> </w:t>
        </w:r>
        <w:r w:rsidRPr="00C2481F">
          <w:rPr>
            <w:rStyle w:val="-"/>
            <w:noProof/>
            <w:color w:val="auto"/>
            <w:u w:val="none"/>
          </w:rPr>
          <w:t>ESA</w:t>
        </w:r>
        <w:r w:rsidRPr="00C2481F">
          <w:rPr>
            <w:noProof/>
            <w:webHidden/>
          </w:rPr>
          <w:tab/>
        </w:r>
        <w:r w:rsidRPr="00C2481F">
          <w:rPr>
            <w:noProof/>
            <w:webHidden/>
          </w:rPr>
          <w:fldChar w:fldCharType="begin"/>
        </w:r>
        <w:r w:rsidRPr="00C2481F">
          <w:rPr>
            <w:noProof/>
            <w:webHidden/>
          </w:rPr>
          <w:instrText xml:space="preserve"> PAGEREF _Toc210570897 \h </w:instrText>
        </w:r>
        <w:r w:rsidRPr="00C2481F">
          <w:rPr>
            <w:noProof/>
            <w:webHidden/>
          </w:rPr>
        </w:r>
        <w:r w:rsidRPr="00C2481F">
          <w:rPr>
            <w:noProof/>
            <w:webHidden/>
          </w:rPr>
          <w:fldChar w:fldCharType="separate"/>
        </w:r>
        <w:r w:rsidR="00C42930">
          <w:rPr>
            <w:noProof/>
            <w:webHidden/>
          </w:rPr>
          <w:t>32</w:t>
        </w:r>
        <w:r w:rsidRPr="00C2481F">
          <w:rPr>
            <w:noProof/>
            <w:webHidden/>
          </w:rPr>
          <w:fldChar w:fldCharType="end"/>
        </w:r>
      </w:hyperlink>
    </w:p>
    <w:p w14:paraId="78D01C6D" w14:textId="31508E51" w:rsidR="00C2481F" w:rsidRPr="00C2481F" w:rsidRDefault="00C2481F" w:rsidP="00C2481F">
      <w:pPr>
        <w:pStyle w:val="afd"/>
        <w:rPr>
          <w:rFonts w:eastAsiaTheme="minorEastAsia"/>
          <w:noProof/>
        </w:rPr>
      </w:pPr>
      <w:hyperlink w:anchor="_Toc210570898" w:history="1">
        <w:r w:rsidRPr="00C2481F">
          <w:rPr>
            <w:rStyle w:val="-"/>
            <w:noProof/>
            <w:color w:val="auto"/>
            <w:u w:val="none"/>
          </w:rPr>
          <w:t>Πίνακας 2.2.:</w:t>
        </w:r>
        <w:r>
          <w:rPr>
            <w:rStyle w:val="-"/>
            <w:noProof/>
            <w:color w:val="auto"/>
            <w:u w:val="none"/>
          </w:rPr>
          <w:tab/>
        </w:r>
        <w:r w:rsidRPr="00C2481F">
          <w:rPr>
            <w:rStyle w:val="-"/>
            <w:noProof/>
            <w:color w:val="auto"/>
            <w:u w:val="none"/>
          </w:rPr>
          <w:t>Εξέλιξη ληξιπρόθεσμων υποχρεώσεων της Γενικής Κυβέρνησης</w:t>
        </w:r>
        <w:r w:rsidRPr="00C2481F">
          <w:rPr>
            <w:noProof/>
            <w:webHidden/>
          </w:rPr>
          <w:tab/>
        </w:r>
        <w:r w:rsidRPr="00C2481F">
          <w:rPr>
            <w:noProof/>
            <w:webHidden/>
          </w:rPr>
          <w:fldChar w:fldCharType="begin"/>
        </w:r>
        <w:r w:rsidRPr="00C2481F">
          <w:rPr>
            <w:noProof/>
            <w:webHidden/>
          </w:rPr>
          <w:instrText xml:space="preserve"> PAGEREF _Toc210570898 \h </w:instrText>
        </w:r>
        <w:r w:rsidRPr="00C2481F">
          <w:rPr>
            <w:noProof/>
            <w:webHidden/>
          </w:rPr>
        </w:r>
        <w:r w:rsidRPr="00C2481F">
          <w:rPr>
            <w:noProof/>
            <w:webHidden/>
          </w:rPr>
          <w:fldChar w:fldCharType="separate"/>
        </w:r>
        <w:r w:rsidR="00C42930">
          <w:rPr>
            <w:noProof/>
            <w:webHidden/>
          </w:rPr>
          <w:t>42</w:t>
        </w:r>
        <w:r w:rsidRPr="00C2481F">
          <w:rPr>
            <w:noProof/>
            <w:webHidden/>
          </w:rPr>
          <w:fldChar w:fldCharType="end"/>
        </w:r>
      </w:hyperlink>
    </w:p>
    <w:p w14:paraId="62DF84CC" w14:textId="48F44A39" w:rsidR="00C2481F" w:rsidRPr="00C2481F" w:rsidRDefault="00C2481F" w:rsidP="00C2481F">
      <w:pPr>
        <w:pStyle w:val="afd"/>
        <w:rPr>
          <w:rFonts w:eastAsiaTheme="minorEastAsia"/>
          <w:noProof/>
        </w:rPr>
      </w:pPr>
      <w:hyperlink w:anchor="_Toc210570899" w:history="1">
        <w:r w:rsidRPr="00C2481F">
          <w:rPr>
            <w:rStyle w:val="-"/>
            <w:noProof/>
            <w:color w:val="auto"/>
            <w:u w:val="none"/>
          </w:rPr>
          <w:t>Πίνακας 2.3.:</w:t>
        </w:r>
        <w:r>
          <w:rPr>
            <w:rStyle w:val="-"/>
            <w:noProof/>
            <w:color w:val="auto"/>
            <w:u w:val="none"/>
          </w:rPr>
          <w:tab/>
        </w:r>
        <w:r w:rsidRPr="00C2481F">
          <w:rPr>
            <w:rStyle w:val="-"/>
            <w:noProof/>
            <w:color w:val="auto"/>
            <w:u w:val="none"/>
          </w:rPr>
          <w:t>Εξέλιξη εκκρεμών επιστροφών φόρων Δεκέμβριος 2023 - Ιούλιος 2025</w:t>
        </w:r>
        <w:r w:rsidRPr="00C2481F">
          <w:rPr>
            <w:noProof/>
            <w:webHidden/>
          </w:rPr>
          <w:tab/>
        </w:r>
        <w:r w:rsidRPr="00C2481F">
          <w:rPr>
            <w:noProof/>
            <w:webHidden/>
          </w:rPr>
          <w:fldChar w:fldCharType="begin"/>
        </w:r>
        <w:r w:rsidRPr="00C2481F">
          <w:rPr>
            <w:noProof/>
            <w:webHidden/>
          </w:rPr>
          <w:instrText xml:space="preserve"> PAGEREF _Toc210570899 \h </w:instrText>
        </w:r>
        <w:r w:rsidRPr="00C2481F">
          <w:rPr>
            <w:noProof/>
            <w:webHidden/>
          </w:rPr>
        </w:r>
        <w:r w:rsidRPr="00C2481F">
          <w:rPr>
            <w:noProof/>
            <w:webHidden/>
          </w:rPr>
          <w:fldChar w:fldCharType="separate"/>
        </w:r>
        <w:r w:rsidR="00C42930">
          <w:rPr>
            <w:noProof/>
            <w:webHidden/>
          </w:rPr>
          <w:t>42</w:t>
        </w:r>
        <w:r w:rsidRPr="00C2481F">
          <w:rPr>
            <w:noProof/>
            <w:webHidden/>
          </w:rPr>
          <w:fldChar w:fldCharType="end"/>
        </w:r>
      </w:hyperlink>
    </w:p>
    <w:p w14:paraId="6B145EDE" w14:textId="78C1A86C" w:rsidR="00C2481F" w:rsidRPr="00C2481F" w:rsidRDefault="00C2481F" w:rsidP="00C2481F">
      <w:pPr>
        <w:pStyle w:val="afd"/>
        <w:rPr>
          <w:noProof/>
        </w:rPr>
      </w:pPr>
      <w:hyperlink w:anchor="_Toc210570900" w:history="1">
        <w:r w:rsidRPr="00C2481F">
          <w:rPr>
            <w:rStyle w:val="-"/>
            <w:noProof/>
            <w:color w:val="auto"/>
            <w:u w:val="none"/>
          </w:rPr>
          <w:t>Πίνακας 2.4.:</w:t>
        </w:r>
        <w:r>
          <w:rPr>
            <w:rStyle w:val="-"/>
            <w:noProof/>
            <w:color w:val="auto"/>
            <w:u w:val="none"/>
          </w:rPr>
          <w:tab/>
        </w:r>
        <w:r w:rsidRPr="00C2481F">
          <w:rPr>
            <w:rStyle w:val="-"/>
            <w:noProof/>
            <w:color w:val="auto"/>
            <w:u w:val="none"/>
          </w:rPr>
          <w:t>Κυριότερες μόνιμες δημοσιονομικές παρεμβάσεις 2025 - 2027</w:t>
        </w:r>
        <w:r w:rsidRPr="00C2481F">
          <w:rPr>
            <w:noProof/>
            <w:webHidden/>
          </w:rPr>
          <w:tab/>
        </w:r>
        <w:r w:rsidRPr="00C2481F">
          <w:rPr>
            <w:noProof/>
            <w:webHidden/>
          </w:rPr>
          <w:fldChar w:fldCharType="begin"/>
        </w:r>
        <w:r w:rsidRPr="00C2481F">
          <w:rPr>
            <w:noProof/>
            <w:webHidden/>
          </w:rPr>
          <w:instrText xml:space="preserve"> PAGEREF _Toc210570900 \h </w:instrText>
        </w:r>
        <w:r w:rsidRPr="00C2481F">
          <w:rPr>
            <w:noProof/>
            <w:webHidden/>
          </w:rPr>
        </w:r>
        <w:r w:rsidRPr="00C2481F">
          <w:rPr>
            <w:noProof/>
            <w:webHidden/>
          </w:rPr>
          <w:fldChar w:fldCharType="separate"/>
        </w:r>
        <w:r w:rsidR="00C42930">
          <w:rPr>
            <w:noProof/>
            <w:webHidden/>
          </w:rPr>
          <w:t>58</w:t>
        </w:r>
        <w:r w:rsidRPr="00C2481F">
          <w:rPr>
            <w:noProof/>
            <w:webHidden/>
          </w:rPr>
          <w:fldChar w:fldCharType="end"/>
        </w:r>
      </w:hyperlink>
      <w:r w:rsidR="00BA32BF" w:rsidRPr="00C2481F">
        <w:rPr>
          <w:rStyle w:val="-"/>
          <w:color w:val="auto"/>
          <w:u w:val="none"/>
        </w:rPr>
        <w:fldChar w:fldCharType="end"/>
      </w:r>
      <w:r w:rsidR="005924E5" w:rsidRPr="00C2481F">
        <w:rPr>
          <w:rStyle w:val="-"/>
          <w:color w:val="auto"/>
          <w:u w:val="none"/>
        </w:rPr>
        <w:fldChar w:fldCharType="begin"/>
      </w:r>
      <w:r w:rsidR="005924E5" w:rsidRPr="00C2481F">
        <w:rPr>
          <w:rStyle w:val="-"/>
          <w:color w:val="auto"/>
          <w:u w:val="none"/>
        </w:rPr>
        <w:instrText xml:space="preserve"> TOC \h \z \c "Πίνακας 3." </w:instrText>
      </w:r>
      <w:r w:rsidR="005924E5" w:rsidRPr="00C2481F">
        <w:rPr>
          <w:rStyle w:val="-"/>
          <w:color w:val="auto"/>
          <w:u w:val="none"/>
        </w:rPr>
        <w:fldChar w:fldCharType="separate"/>
      </w:r>
    </w:p>
    <w:p w14:paraId="0788513B" w14:textId="6A7BD8CB" w:rsidR="00C2481F" w:rsidRPr="00C2481F" w:rsidRDefault="00C2481F" w:rsidP="00C2481F">
      <w:pPr>
        <w:pStyle w:val="afd"/>
        <w:rPr>
          <w:rFonts w:eastAsiaTheme="minorEastAsia"/>
          <w:noProof/>
        </w:rPr>
      </w:pPr>
      <w:hyperlink w:anchor="_Toc210570901" w:history="1">
        <w:r w:rsidRPr="00C2481F">
          <w:rPr>
            <w:rStyle w:val="-"/>
            <w:noProof/>
            <w:color w:val="auto"/>
            <w:u w:val="none"/>
          </w:rPr>
          <w:t>Πίνακας 3.1.:</w:t>
        </w:r>
        <w:r>
          <w:rPr>
            <w:rStyle w:val="-"/>
            <w:noProof/>
            <w:color w:val="auto"/>
            <w:u w:val="none"/>
          </w:rPr>
          <w:tab/>
        </w:r>
        <w:r w:rsidRPr="00C2481F">
          <w:rPr>
            <w:rStyle w:val="-"/>
            <w:noProof/>
            <w:color w:val="auto"/>
            <w:u w:val="none"/>
          </w:rPr>
          <w:t>Σύνθεση δημόσιου χρέους</w:t>
        </w:r>
        <w:r w:rsidRPr="00C2481F">
          <w:rPr>
            <w:noProof/>
            <w:webHidden/>
          </w:rPr>
          <w:tab/>
        </w:r>
        <w:r w:rsidRPr="00C2481F">
          <w:rPr>
            <w:noProof/>
            <w:webHidden/>
          </w:rPr>
          <w:fldChar w:fldCharType="begin"/>
        </w:r>
        <w:r w:rsidRPr="00C2481F">
          <w:rPr>
            <w:noProof/>
            <w:webHidden/>
          </w:rPr>
          <w:instrText xml:space="preserve"> PAGEREF _Toc210570901 \h </w:instrText>
        </w:r>
        <w:r w:rsidRPr="00C2481F">
          <w:rPr>
            <w:noProof/>
            <w:webHidden/>
          </w:rPr>
        </w:r>
        <w:r w:rsidRPr="00C2481F">
          <w:rPr>
            <w:noProof/>
            <w:webHidden/>
          </w:rPr>
          <w:fldChar w:fldCharType="separate"/>
        </w:r>
        <w:r w:rsidR="00C42930">
          <w:rPr>
            <w:noProof/>
            <w:webHidden/>
          </w:rPr>
          <w:t>62</w:t>
        </w:r>
        <w:r w:rsidRPr="00C2481F">
          <w:rPr>
            <w:noProof/>
            <w:webHidden/>
          </w:rPr>
          <w:fldChar w:fldCharType="end"/>
        </w:r>
      </w:hyperlink>
    </w:p>
    <w:p w14:paraId="13A0EB2D" w14:textId="1D571569" w:rsidR="00C2481F" w:rsidRPr="00C2481F" w:rsidRDefault="00C2481F" w:rsidP="00C2481F">
      <w:pPr>
        <w:pStyle w:val="afd"/>
        <w:rPr>
          <w:rFonts w:eastAsiaTheme="minorEastAsia"/>
          <w:noProof/>
        </w:rPr>
      </w:pPr>
      <w:hyperlink w:anchor="_Toc210570902" w:history="1">
        <w:r w:rsidRPr="00C2481F">
          <w:rPr>
            <w:rStyle w:val="-"/>
            <w:noProof/>
            <w:color w:val="auto"/>
            <w:u w:val="none"/>
          </w:rPr>
          <w:t>Πίνακας 3.2.:</w:t>
        </w:r>
        <w:r>
          <w:rPr>
            <w:rStyle w:val="-"/>
            <w:noProof/>
            <w:color w:val="auto"/>
            <w:u w:val="none"/>
          </w:rPr>
          <w:tab/>
        </w:r>
        <w:r w:rsidRPr="00C2481F">
          <w:rPr>
            <w:rStyle w:val="-"/>
            <w:noProof/>
            <w:color w:val="auto"/>
            <w:u w:val="none"/>
          </w:rPr>
          <w:t>Ύψος δαπανών για τόκους χρέους της Κεντρικής Διοίκησης</w:t>
        </w:r>
        <w:r w:rsidRPr="00C2481F">
          <w:rPr>
            <w:noProof/>
            <w:webHidden/>
          </w:rPr>
          <w:tab/>
        </w:r>
        <w:r w:rsidRPr="00C2481F">
          <w:rPr>
            <w:noProof/>
            <w:webHidden/>
          </w:rPr>
          <w:fldChar w:fldCharType="begin"/>
        </w:r>
        <w:r w:rsidRPr="00C2481F">
          <w:rPr>
            <w:noProof/>
            <w:webHidden/>
          </w:rPr>
          <w:instrText xml:space="preserve"> PAGEREF _Toc210570902 \h </w:instrText>
        </w:r>
        <w:r w:rsidRPr="00C2481F">
          <w:rPr>
            <w:noProof/>
            <w:webHidden/>
          </w:rPr>
        </w:r>
        <w:r w:rsidRPr="00C2481F">
          <w:rPr>
            <w:noProof/>
            <w:webHidden/>
          </w:rPr>
          <w:fldChar w:fldCharType="separate"/>
        </w:r>
        <w:r w:rsidR="00C42930">
          <w:rPr>
            <w:noProof/>
            <w:webHidden/>
          </w:rPr>
          <w:t>63</w:t>
        </w:r>
        <w:r w:rsidRPr="00C2481F">
          <w:rPr>
            <w:noProof/>
            <w:webHidden/>
          </w:rPr>
          <w:fldChar w:fldCharType="end"/>
        </w:r>
      </w:hyperlink>
    </w:p>
    <w:p w14:paraId="54707A15" w14:textId="77777777" w:rsidR="007B4361" w:rsidRPr="005578ED" w:rsidRDefault="005924E5" w:rsidP="00C2481F">
      <w:pPr>
        <w:pStyle w:val="afd"/>
        <w:rPr>
          <w:rStyle w:val="-"/>
          <w:color w:val="auto"/>
          <w:u w:val="none"/>
        </w:rPr>
      </w:pPr>
      <w:r w:rsidRPr="00C2481F">
        <w:rPr>
          <w:rStyle w:val="-"/>
          <w:color w:val="auto"/>
          <w:u w:val="none"/>
        </w:rPr>
        <w:fldChar w:fldCharType="end"/>
      </w:r>
    </w:p>
    <w:p w14:paraId="7A084819" w14:textId="77777777" w:rsidR="003B29A8" w:rsidRDefault="003B29A8" w:rsidP="00070452">
      <w:pPr>
        <w:rPr>
          <w:highlight w:val="yellow"/>
        </w:rPr>
      </w:pPr>
    </w:p>
    <w:p w14:paraId="2AC2EA6F" w14:textId="77777777" w:rsidR="003B29A8" w:rsidRPr="003B29A8" w:rsidRDefault="003B29A8" w:rsidP="00070452">
      <w:pPr>
        <w:rPr>
          <w:highlight w:val="yellow"/>
        </w:rPr>
      </w:pPr>
    </w:p>
    <w:tbl>
      <w:tblPr>
        <w:tblW w:w="9553" w:type="dxa"/>
        <w:jc w:val="center"/>
        <w:tblLook w:val="04A0" w:firstRow="1" w:lastRow="0" w:firstColumn="1" w:lastColumn="0" w:noHBand="0" w:noVBand="1"/>
      </w:tblPr>
      <w:tblGrid>
        <w:gridCol w:w="9553"/>
      </w:tblGrid>
      <w:tr w:rsidR="008E2C9B" w:rsidRPr="00515AD1" w14:paraId="61A44978" w14:textId="77777777" w:rsidTr="00515AD1">
        <w:trPr>
          <w:jc w:val="center"/>
        </w:trPr>
        <w:tc>
          <w:tcPr>
            <w:tcW w:w="9553" w:type="dxa"/>
            <w:vAlign w:val="center"/>
          </w:tcPr>
          <w:p w14:paraId="12A867D6" w14:textId="77777777" w:rsidR="008E2C9B" w:rsidRPr="00515AD1" w:rsidRDefault="008E2C9B" w:rsidP="005924E5">
            <w:pPr>
              <w:tabs>
                <w:tab w:val="left" w:pos="2100"/>
              </w:tabs>
              <w:spacing w:before="60" w:after="60"/>
              <w:jc w:val="center"/>
              <w:rPr>
                <w:rFonts w:cs="Arial"/>
                <w:szCs w:val="20"/>
              </w:rPr>
            </w:pPr>
            <w:r w:rsidRPr="00515AD1">
              <w:rPr>
                <w:rFonts w:cs="Arial"/>
                <w:szCs w:val="20"/>
              </w:rPr>
              <w:t xml:space="preserve">Σημείωση: </w:t>
            </w:r>
            <w:r w:rsidR="00515AD1" w:rsidRPr="00515AD1">
              <w:rPr>
                <w:rFonts w:cs="Arial"/>
                <w:szCs w:val="20"/>
              </w:rPr>
              <w:t>Ενδεχόμενες</w:t>
            </w:r>
            <w:r w:rsidRPr="00515AD1">
              <w:rPr>
                <w:rFonts w:cs="Arial"/>
                <w:szCs w:val="20"/>
              </w:rPr>
              <w:t xml:space="preserve"> διαφορές ποσών ή ποσοστών στους πίνακες οφείλονται σε στρογγυλοποιήσεις</w:t>
            </w:r>
            <w:r w:rsidR="005924E5" w:rsidRPr="00515AD1">
              <w:rPr>
                <w:rFonts w:cs="Arial"/>
                <w:szCs w:val="20"/>
              </w:rPr>
              <w:t>.</w:t>
            </w:r>
          </w:p>
        </w:tc>
      </w:tr>
    </w:tbl>
    <w:p w14:paraId="76A35A6E" w14:textId="77777777" w:rsidR="007B4361" w:rsidRPr="003D73A3" w:rsidRDefault="007B4361" w:rsidP="00BB55F9">
      <w:pPr>
        <w:tabs>
          <w:tab w:val="left" w:pos="2100"/>
        </w:tabs>
        <w:rPr>
          <w:rFonts w:cs="Arial"/>
          <w:sz w:val="40"/>
          <w:szCs w:val="22"/>
          <w:highlight w:val="yellow"/>
        </w:rPr>
      </w:pPr>
    </w:p>
    <w:p w14:paraId="73D125FE" w14:textId="77777777" w:rsidR="007B4361" w:rsidRPr="003652CF" w:rsidRDefault="007B4361" w:rsidP="00BB55F9">
      <w:pPr>
        <w:tabs>
          <w:tab w:val="left" w:pos="2100"/>
        </w:tabs>
        <w:rPr>
          <w:rFonts w:ascii="Arial Narrow" w:hAnsi="Arial Narrow"/>
          <w:sz w:val="40"/>
          <w:szCs w:val="22"/>
          <w:highlight w:val="yellow"/>
        </w:rPr>
      </w:pPr>
    </w:p>
    <w:p w14:paraId="39AB812D" w14:textId="116D87AB" w:rsidR="00A11329" w:rsidRDefault="00A11329">
      <w:pPr>
        <w:spacing w:after="0" w:line="240" w:lineRule="auto"/>
        <w:jc w:val="left"/>
        <w:rPr>
          <w:rFonts w:ascii="Arial Narrow" w:hAnsi="Arial Narrow"/>
          <w:sz w:val="40"/>
          <w:szCs w:val="22"/>
          <w:highlight w:val="yellow"/>
        </w:rPr>
      </w:pPr>
      <w:r>
        <w:rPr>
          <w:rFonts w:ascii="Arial Narrow" w:hAnsi="Arial Narrow"/>
          <w:sz w:val="40"/>
          <w:szCs w:val="22"/>
          <w:highlight w:val="yellow"/>
        </w:rPr>
        <w:br w:type="page"/>
      </w:r>
    </w:p>
    <w:p w14:paraId="66EAA15D"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1934BB77"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3C1B9E76"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713DD008"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4545ED8B"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4AF917B6"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5882AAF8"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37E990D6"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6C2DC79B"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0CEFC245" w14:textId="77777777" w:rsidR="005B5B96" w:rsidRDefault="005B5B96" w:rsidP="005B5B96">
      <w:pPr>
        <w:spacing w:after="0" w:line="256" w:lineRule="auto"/>
        <w:jc w:val="center"/>
        <w:rPr>
          <w:rFonts w:asciiTheme="minorHAnsi" w:eastAsia="Calibri" w:hAnsiTheme="minorHAnsi" w:cstheme="minorHAnsi"/>
          <w:b/>
          <w:sz w:val="22"/>
          <w:szCs w:val="22"/>
          <w:lang w:eastAsia="en-US"/>
        </w:rPr>
      </w:pPr>
    </w:p>
    <w:p w14:paraId="4152A538" w14:textId="334F86B6" w:rsidR="005B5B96" w:rsidRPr="005868B3" w:rsidRDefault="005B5B96" w:rsidP="00C832DE">
      <w:pPr>
        <w:spacing w:after="0"/>
        <w:jc w:val="center"/>
        <w:rPr>
          <w:rFonts w:eastAsia="Calibri" w:cs="Arial"/>
          <w:b/>
          <w:szCs w:val="20"/>
          <w:lang w:eastAsia="en-US"/>
        </w:rPr>
      </w:pPr>
      <w:r w:rsidRPr="005868B3">
        <w:rPr>
          <w:rFonts w:eastAsia="Calibri" w:cs="Arial"/>
          <w:b/>
          <w:szCs w:val="20"/>
          <w:lang w:eastAsia="en-US"/>
        </w:rPr>
        <w:t>Γνώμη του Ελληνικού Δημοσιονομικού Συμβουλίου</w:t>
      </w:r>
    </w:p>
    <w:p w14:paraId="1A991B08" w14:textId="05EA2246" w:rsidR="005B5B96" w:rsidRPr="005868B3" w:rsidRDefault="005B5B96" w:rsidP="00C832DE">
      <w:pPr>
        <w:spacing w:after="0"/>
        <w:jc w:val="center"/>
        <w:rPr>
          <w:rFonts w:eastAsia="Calibri" w:cs="Arial"/>
          <w:b/>
          <w:szCs w:val="20"/>
          <w:lang w:eastAsia="en-US"/>
        </w:rPr>
      </w:pPr>
      <w:r w:rsidRPr="005868B3">
        <w:rPr>
          <w:rFonts w:eastAsia="Calibri" w:cs="Arial"/>
          <w:b/>
          <w:szCs w:val="20"/>
          <w:lang w:eastAsia="en-US"/>
        </w:rPr>
        <w:t>(παρ.4α</w:t>
      </w:r>
      <w:r w:rsidR="005868B3" w:rsidRPr="005868B3">
        <w:rPr>
          <w:rFonts w:eastAsia="Calibri" w:cs="Arial"/>
          <w:b/>
          <w:szCs w:val="20"/>
          <w:lang w:eastAsia="en-US"/>
        </w:rPr>
        <w:t xml:space="preserve"> του</w:t>
      </w:r>
      <w:r w:rsidRPr="005868B3">
        <w:rPr>
          <w:rFonts w:eastAsia="Calibri" w:cs="Arial"/>
          <w:b/>
          <w:szCs w:val="20"/>
          <w:lang w:eastAsia="en-US"/>
        </w:rPr>
        <w:t xml:space="preserve"> άρθρο</w:t>
      </w:r>
      <w:r w:rsidR="005868B3" w:rsidRPr="005868B3">
        <w:rPr>
          <w:rFonts w:eastAsia="Calibri" w:cs="Arial"/>
          <w:b/>
          <w:szCs w:val="20"/>
          <w:lang w:eastAsia="en-US"/>
        </w:rPr>
        <w:t>υ</w:t>
      </w:r>
      <w:r w:rsidRPr="005868B3">
        <w:rPr>
          <w:rFonts w:eastAsia="Calibri" w:cs="Arial"/>
          <w:b/>
          <w:szCs w:val="20"/>
          <w:lang w:eastAsia="en-US"/>
        </w:rPr>
        <w:t xml:space="preserve"> 2 και παρ.2</w:t>
      </w:r>
      <w:r w:rsidR="005868B3" w:rsidRPr="005868B3">
        <w:rPr>
          <w:rFonts w:eastAsia="Calibri" w:cs="Arial"/>
          <w:b/>
          <w:szCs w:val="20"/>
          <w:lang w:eastAsia="en-US"/>
        </w:rPr>
        <w:t xml:space="preserve"> του </w:t>
      </w:r>
      <w:r w:rsidRPr="005868B3">
        <w:rPr>
          <w:rFonts w:eastAsia="Calibri" w:cs="Arial"/>
          <w:b/>
          <w:szCs w:val="20"/>
          <w:lang w:eastAsia="en-US"/>
        </w:rPr>
        <w:t>άρθρο</w:t>
      </w:r>
      <w:r w:rsidR="005868B3" w:rsidRPr="005868B3">
        <w:rPr>
          <w:rFonts w:eastAsia="Calibri" w:cs="Arial"/>
          <w:b/>
          <w:szCs w:val="20"/>
          <w:lang w:eastAsia="en-US"/>
        </w:rPr>
        <w:t>υ</w:t>
      </w:r>
      <w:r w:rsidRPr="005868B3">
        <w:rPr>
          <w:rFonts w:eastAsia="Calibri" w:cs="Arial"/>
          <w:b/>
          <w:szCs w:val="20"/>
          <w:lang w:eastAsia="en-US"/>
        </w:rPr>
        <w:t xml:space="preserve"> 58 του ν.4270/2014, Α’ 143</w:t>
      </w:r>
      <w:r w:rsidRPr="005868B3">
        <w:rPr>
          <w:rFonts w:cs="Arial"/>
          <w:b/>
          <w:szCs w:val="20"/>
        </w:rPr>
        <w:t>)</w:t>
      </w:r>
    </w:p>
    <w:p w14:paraId="3EC45E77" w14:textId="77777777" w:rsidR="00F03AC3" w:rsidRDefault="00F03AC3" w:rsidP="00F03AC3">
      <w:pPr>
        <w:spacing w:before="240" w:after="0"/>
        <w:ind w:left="425" w:right="652"/>
        <w:rPr>
          <w:rFonts w:eastAsia="Calibri" w:cs="Arial"/>
          <w:szCs w:val="20"/>
          <w:lang w:eastAsia="en-US"/>
        </w:rPr>
      </w:pPr>
      <w:r>
        <w:rPr>
          <w:rFonts w:eastAsia="Calibri" w:cs="Arial"/>
          <w:szCs w:val="20"/>
          <w:lang w:val="en-US" w:eastAsia="en-US"/>
        </w:rPr>
        <w:t>To</w:t>
      </w:r>
      <w:r w:rsidRPr="00B640AF">
        <w:rPr>
          <w:rFonts w:eastAsia="Calibri" w:cs="Arial"/>
          <w:szCs w:val="20"/>
          <w:lang w:eastAsia="en-US"/>
        </w:rPr>
        <w:t xml:space="preserve"> </w:t>
      </w:r>
      <w:r w:rsidRPr="005868B3">
        <w:rPr>
          <w:rFonts w:eastAsia="Calibri" w:cs="Arial"/>
          <w:szCs w:val="20"/>
          <w:lang w:eastAsia="en-US"/>
        </w:rPr>
        <w:t>Ελληνικό Δημοσιονομικό Συμβούλιο</w:t>
      </w:r>
      <w:r w:rsidRPr="00B640AF">
        <w:rPr>
          <w:rFonts w:eastAsia="Calibri" w:cs="Arial"/>
          <w:szCs w:val="20"/>
          <w:lang w:eastAsia="en-US"/>
        </w:rPr>
        <w:t xml:space="preserve"> </w:t>
      </w:r>
      <w:r w:rsidRPr="00B313A9">
        <w:rPr>
          <w:rFonts w:eastAsia="Calibri" w:cs="Arial"/>
          <w:szCs w:val="20"/>
          <w:lang w:eastAsia="en-US"/>
        </w:rPr>
        <w:t>υιοθετεί</w:t>
      </w:r>
      <w:r w:rsidRPr="00B640AF">
        <w:rPr>
          <w:rFonts w:eastAsia="Calibri" w:cs="Arial"/>
          <w:szCs w:val="20"/>
          <w:lang w:eastAsia="en-US"/>
        </w:rPr>
        <w:t xml:space="preserve"> τις μακροοικονομικές προβλέψεις </w:t>
      </w:r>
      <w:r>
        <w:rPr>
          <w:rFonts w:eastAsia="Calibri" w:cs="Arial"/>
          <w:szCs w:val="20"/>
          <w:lang w:eastAsia="en-US"/>
        </w:rPr>
        <w:t>στις οποίες</w:t>
      </w:r>
      <w:r w:rsidRPr="00B640AF">
        <w:rPr>
          <w:rFonts w:eastAsia="Calibri" w:cs="Arial"/>
          <w:szCs w:val="20"/>
          <w:lang w:eastAsia="en-US"/>
        </w:rPr>
        <w:t xml:space="preserve"> βασίζεται το </w:t>
      </w:r>
      <w:r>
        <w:rPr>
          <w:rFonts w:eastAsia="Calibri" w:cs="Arial"/>
          <w:szCs w:val="20"/>
          <w:lang w:eastAsia="en-US"/>
        </w:rPr>
        <w:t>π</w:t>
      </w:r>
      <w:r w:rsidRPr="00B640AF">
        <w:rPr>
          <w:rFonts w:eastAsia="Calibri" w:cs="Arial"/>
          <w:szCs w:val="20"/>
          <w:lang w:eastAsia="en-US"/>
        </w:rPr>
        <w:t xml:space="preserve">ροσχέδιο του </w:t>
      </w:r>
      <w:r>
        <w:rPr>
          <w:rFonts w:eastAsia="Calibri" w:cs="Arial"/>
          <w:szCs w:val="20"/>
          <w:lang w:eastAsia="en-US"/>
        </w:rPr>
        <w:t>κ</w:t>
      </w:r>
      <w:r w:rsidRPr="00B640AF">
        <w:rPr>
          <w:rFonts w:eastAsia="Calibri" w:cs="Arial"/>
          <w:szCs w:val="20"/>
          <w:lang w:eastAsia="en-US"/>
        </w:rPr>
        <w:t xml:space="preserve">ρατικού </w:t>
      </w:r>
      <w:r>
        <w:rPr>
          <w:rFonts w:eastAsia="Calibri" w:cs="Arial"/>
          <w:szCs w:val="20"/>
          <w:lang w:eastAsia="en-US"/>
        </w:rPr>
        <w:t>π</w:t>
      </w:r>
      <w:r w:rsidRPr="00B640AF">
        <w:rPr>
          <w:rFonts w:eastAsia="Calibri" w:cs="Arial"/>
          <w:szCs w:val="20"/>
          <w:lang w:eastAsia="en-US"/>
        </w:rPr>
        <w:t xml:space="preserve">ροϋπολογισμού </w:t>
      </w:r>
      <w:r>
        <w:rPr>
          <w:rFonts w:eastAsia="Calibri" w:cs="Arial"/>
          <w:szCs w:val="20"/>
          <w:lang w:eastAsia="en-US"/>
        </w:rPr>
        <w:t xml:space="preserve">οικονομικού έτους </w:t>
      </w:r>
      <w:r w:rsidRPr="00B640AF">
        <w:rPr>
          <w:rFonts w:eastAsia="Calibri" w:cs="Arial"/>
          <w:szCs w:val="20"/>
          <w:lang w:eastAsia="en-US"/>
        </w:rPr>
        <w:t>2026</w:t>
      </w:r>
      <w:r>
        <w:rPr>
          <w:rFonts w:eastAsia="Calibri" w:cs="Arial"/>
          <w:szCs w:val="20"/>
          <w:lang w:eastAsia="en-US"/>
        </w:rPr>
        <w:t>, ενώ παράλληλα, κατόπιν αξιολόγησης των</w:t>
      </w:r>
      <w:r w:rsidRPr="00B640AF">
        <w:rPr>
          <w:rFonts w:eastAsia="Calibri" w:cs="Arial"/>
          <w:szCs w:val="20"/>
          <w:lang w:eastAsia="en-US"/>
        </w:rPr>
        <w:t xml:space="preserve"> δημοσιονομικ</w:t>
      </w:r>
      <w:r>
        <w:rPr>
          <w:rFonts w:eastAsia="Calibri" w:cs="Arial"/>
          <w:szCs w:val="20"/>
          <w:lang w:eastAsia="en-US"/>
        </w:rPr>
        <w:t>ών</w:t>
      </w:r>
      <w:r w:rsidRPr="00B640AF">
        <w:rPr>
          <w:rFonts w:eastAsia="Calibri" w:cs="Arial"/>
          <w:szCs w:val="20"/>
          <w:lang w:eastAsia="en-US"/>
        </w:rPr>
        <w:t xml:space="preserve"> προβλέψε</w:t>
      </w:r>
      <w:r>
        <w:rPr>
          <w:rFonts w:eastAsia="Calibri" w:cs="Arial"/>
          <w:szCs w:val="20"/>
          <w:lang w:eastAsia="en-US"/>
        </w:rPr>
        <w:t>ων, διαπιστώνει</w:t>
      </w:r>
      <w:r w:rsidRPr="00B640AF">
        <w:rPr>
          <w:rFonts w:eastAsia="Calibri" w:cs="Arial"/>
          <w:szCs w:val="20"/>
          <w:lang w:eastAsia="en-US"/>
        </w:rPr>
        <w:t xml:space="preserve"> τη συμμόρφωσ</w:t>
      </w:r>
      <w:r>
        <w:rPr>
          <w:rFonts w:eastAsia="Calibri" w:cs="Arial"/>
          <w:szCs w:val="20"/>
          <w:lang w:eastAsia="en-US"/>
        </w:rPr>
        <w:t>η</w:t>
      </w:r>
      <w:r w:rsidRPr="00B640AF">
        <w:rPr>
          <w:rFonts w:eastAsia="Calibri" w:cs="Arial"/>
          <w:szCs w:val="20"/>
          <w:lang w:eastAsia="en-US"/>
        </w:rPr>
        <w:t xml:space="preserve"> </w:t>
      </w:r>
      <w:r>
        <w:rPr>
          <w:rFonts w:eastAsia="Calibri" w:cs="Arial"/>
          <w:szCs w:val="20"/>
          <w:lang w:eastAsia="en-US"/>
        </w:rPr>
        <w:t>αυτών</w:t>
      </w:r>
      <w:r w:rsidRPr="00B640AF">
        <w:rPr>
          <w:rFonts w:eastAsia="Calibri" w:cs="Arial"/>
          <w:szCs w:val="20"/>
          <w:lang w:eastAsia="en-US"/>
        </w:rPr>
        <w:t xml:space="preserve"> με τους αριθμητικούς δημοσιονομικούς κανόνες.</w:t>
      </w:r>
    </w:p>
    <w:p w14:paraId="7DEFC921" w14:textId="7303FAC9" w:rsidR="00A11329" w:rsidRDefault="00A11329" w:rsidP="005B5B96">
      <w:pPr>
        <w:rPr>
          <w:highlight w:val="yellow"/>
        </w:rPr>
      </w:pPr>
    </w:p>
    <w:p w14:paraId="7AB8DE56" w14:textId="21368A0C" w:rsidR="00A11329" w:rsidRDefault="00A11329" w:rsidP="005B5B96">
      <w:pPr>
        <w:rPr>
          <w:highlight w:val="yellow"/>
        </w:rPr>
      </w:pPr>
    </w:p>
    <w:p w14:paraId="445AAB20" w14:textId="777BDDDD" w:rsidR="005B5B96" w:rsidRPr="007C098F" w:rsidRDefault="005B5B96">
      <w:pPr>
        <w:spacing w:after="0" w:line="240" w:lineRule="auto"/>
        <w:jc w:val="left"/>
        <w:rPr>
          <w:highlight w:val="yellow"/>
        </w:rPr>
      </w:pPr>
      <w:r>
        <w:rPr>
          <w:highlight w:val="yellow"/>
        </w:rPr>
        <w:br w:type="page"/>
      </w:r>
    </w:p>
    <w:p w14:paraId="65FB5727" w14:textId="77777777" w:rsidR="00A11329" w:rsidRDefault="00A11329" w:rsidP="005B5B96">
      <w:pPr>
        <w:rPr>
          <w:highlight w:val="yellow"/>
        </w:rPr>
      </w:pPr>
    </w:p>
    <w:p w14:paraId="413DE657" w14:textId="77777777" w:rsidR="00A11329" w:rsidRPr="003652CF" w:rsidRDefault="00A11329" w:rsidP="005B5B96">
      <w:pPr>
        <w:rPr>
          <w:highlight w:val="yellow"/>
        </w:rPr>
      </w:pPr>
    </w:p>
    <w:p w14:paraId="03877797" w14:textId="77777777" w:rsidR="007B4361" w:rsidRPr="003652CF" w:rsidRDefault="007B4361" w:rsidP="00BB55F9">
      <w:pPr>
        <w:tabs>
          <w:tab w:val="left" w:pos="2100"/>
        </w:tabs>
        <w:rPr>
          <w:rFonts w:ascii="Arial Narrow" w:hAnsi="Arial Narrow"/>
          <w:sz w:val="40"/>
          <w:szCs w:val="22"/>
          <w:highlight w:val="yellow"/>
        </w:rPr>
      </w:pPr>
    </w:p>
    <w:p w14:paraId="7F037FF8" w14:textId="77777777" w:rsidR="007B4361" w:rsidRPr="003652CF" w:rsidRDefault="007B4361" w:rsidP="00BB55F9">
      <w:pPr>
        <w:tabs>
          <w:tab w:val="left" w:pos="2100"/>
        </w:tabs>
        <w:rPr>
          <w:rFonts w:ascii="Arial Narrow" w:hAnsi="Arial Narrow"/>
          <w:sz w:val="40"/>
          <w:szCs w:val="22"/>
          <w:highlight w:val="yellow"/>
        </w:rPr>
        <w:sectPr w:rsidR="007B4361" w:rsidRPr="003652CF" w:rsidSect="00B87393">
          <w:pgSz w:w="11906" w:h="16838" w:code="9"/>
          <w:pgMar w:top="1310" w:right="1418" w:bottom="1310" w:left="1418" w:header="652" w:footer="652" w:gutter="0"/>
          <w:pgNumType w:start="7"/>
          <w:cols w:space="708"/>
          <w:docGrid w:linePitch="360"/>
        </w:sectPr>
      </w:pPr>
    </w:p>
    <w:p w14:paraId="44513C10" w14:textId="77777777" w:rsidR="00AB5E1D" w:rsidRPr="007E531C" w:rsidRDefault="00AB5E1D" w:rsidP="008462EC">
      <w:pPr>
        <w:pStyle w:val="1"/>
        <w:keepNext w:val="0"/>
      </w:pPr>
      <w:bookmarkStart w:id="0" w:name="_Toc210570657"/>
      <w:bookmarkStart w:id="1" w:name="OLE_LINK1"/>
      <w:bookmarkEnd w:id="0"/>
    </w:p>
    <w:p w14:paraId="7B7A0C19" w14:textId="77777777" w:rsidR="00AB5E1D" w:rsidRPr="00B70FB5" w:rsidRDefault="00AB5E1D" w:rsidP="008462EC">
      <w:pPr>
        <w:pStyle w:val="2"/>
        <w:keepNext w:val="0"/>
        <w:rPr>
          <w:lang w:val="en-US"/>
        </w:rPr>
      </w:pPr>
      <w:bookmarkStart w:id="2" w:name="_Toc210570658"/>
      <w:r w:rsidRPr="006A035C">
        <w:t>ΟΙΚΟΝΟΜΙΚΕΣ</w:t>
      </w:r>
      <w:r w:rsidRPr="00B067F4">
        <w:t xml:space="preserve"> ΕΞΕΛΙΞΕΙΣ</w:t>
      </w:r>
      <w:r>
        <w:t xml:space="preserve"> </w:t>
      </w:r>
      <w:r w:rsidRPr="00B067F4">
        <w:t>ΚΑΙ ΠΡΟΟΠΤΙΚΕΣ</w:t>
      </w:r>
      <w:bookmarkEnd w:id="2"/>
    </w:p>
    <w:p w14:paraId="142F1691" w14:textId="77777777" w:rsidR="00AB5E1D" w:rsidRPr="007C5924" w:rsidRDefault="00AB5E1D" w:rsidP="008462EC">
      <w:pPr>
        <w:pStyle w:val="3"/>
        <w:keepNext w:val="0"/>
      </w:pPr>
      <w:bookmarkStart w:id="3" w:name="_Toc210570659"/>
      <w:r w:rsidRPr="00F44BF9">
        <w:t>Μακροοικονομικές</w:t>
      </w:r>
      <w:r w:rsidRPr="007C5924">
        <w:t xml:space="preserve"> εξελίξεις </w:t>
      </w:r>
      <w:r w:rsidRPr="00C047FE">
        <w:t>το 202</w:t>
      </w:r>
      <w:r w:rsidR="00390E3B" w:rsidRPr="00C047FE">
        <w:rPr>
          <w:lang w:val="el-GR"/>
        </w:rPr>
        <w:t>5</w:t>
      </w:r>
      <w:bookmarkEnd w:id="3"/>
    </w:p>
    <w:p w14:paraId="6D817956" w14:textId="55D5BB0A" w:rsidR="007563A7" w:rsidRPr="0049656A" w:rsidRDefault="007563A7" w:rsidP="007563A7">
      <w:pPr>
        <w:rPr>
          <w:lang w:val="x-none"/>
        </w:rPr>
      </w:pPr>
      <w:r w:rsidRPr="0049656A">
        <w:rPr>
          <w:lang w:val="x-none"/>
        </w:rPr>
        <w:t xml:space="preserve">Κατά το 2025 η παγκόσμια οικονομία συνεχίζει να λειτουργεί σε ένα περιβάλλον αυξημένων προκλήσεων και αβεβαιοτήτων. Η διατήρηση </w:t>
      </w:r>
      <w:r w:rsidRPr="0049656A">
        <w:t xml:space="preserve">και σε ορισμένες περιπτώσεις η </w:t>
      </w:r>
      <w:r>
        <w:t>κλιμάκωση</w:t>
      </w:r>
      <w:r w:rsidRPr="0049656A">
        <w:t xml:space="preserve"> των </w:t>
      </w:r>
      <w:r w:rsidRPr="0049656A">
        <w:rPr>
          <w:lang w:val="x-none"/>
        </w:rPr>
        <w:t>γεωπολιτικών εντάσεων στην Ουκρανία και τη Μέση Ανατολή</w:t>
      </w:r>
      <w:r w:rsidR="00CA040C">
        <w:t xml:space="preserve"> καθώς και </w:t>
      </w:r>
      <w:r w:rsidRPr="0049656A">
        <w:rPr>
          <w:lang w:val="x-none"/>
        </w:rPr>
        <w:t xml:space="preserve">οι αναταράξεις σε </w:t>
      </w:r>
      <w:r w:rsidR="003340C5">
        <w:t>νευραλγικές</w:t>
      </w:r>
      <w:r w:rsidRPr="0049656A">
        <w:rPr>
          <w:lang w:val="x-none"/>
        </w:rPr>
        <w:t xml:space="preserve"> θαλάσσιες οδούς εμπορίου, όπως η Ερυθρά Θάλασσα</w:t>
      </w:r>
      <w:r w:rsidR="00CA040C">
        <w:t>,</w:t>
      </w:r>
      <w:r w:rsidRPr="0049656A">
        <w:rPr>
          <w:lang w:val="x-none"/>
        </w:rPr>
        <w:t xml:space="preserve"> επηρεάζουν την ομαλή λειτουργία των εφοδιαστικών αλυσίδων και </w:t>
      </w:r>
      <w:r w:rsidR="003340C5">
        <w:t>επιτείνουν</w:t>
      </w:r>
      <w:r w:rsidRPr="0049656A">
        <w:rPr>
          <w:lang w:val="x-none"/>
        </w:rPr>
        <w:t xml:space="preserve"> τ</w:t>
      </w:r>
      <w:r>
        <w:t xml:space="preserve">ην </w:t>
      </w:r>
      <w:r w:rsidRPr="0049656A">
        <w:rPr>
          <w:lang w:val="x-none"/>
        </w:rPr>
        <w:t>αβεβαιότητ</w:t>
      </w:r>
      <w:r>
        <w:t>α</w:t>
      </w:r>
      <w:r w:rsidRPr="0049656A">
        <w:rPr>
          <w:lang w:val="x-none"/>
        </w:rPr>
        <w:t xml:space="preserve"> ως προς τις προοπτικές της παγκόσμιας ανάπτυξης. Παράλληλα, </w:t>
      </w:r>
      <w:r w:rsidRPr="0049656A">
        <w:t xml:space="preserve">οι ανταγωνισμοί ομάδων χωρών, </w:t>
      </w:r>
      <w:r w:rsidRPr="0049656A">
        <w:rPr>
          <w:lang w:val="x-none"/>
        </w:rPr>
        <w:t>η ενίσχυση του προστατευτισμού</w:t>
      </w:r>
      <w:r>
        <w:t>,</w:t>
      </w:r>
      <w:r w:rsidRPr="0049656A">
        <w:rPr>
          <w:lang w:val="x-none"/>
        </w:rPr>
        <w:t xml:space="preserve"> η επιβολή δασμών από τις ΗΠΑ σε βασικές κατηγορίες προϊόντων</w:t>
      </w:r>
      <w:r w:rsidRPr="0049656A">
        <w:t xml:space="preserve"> </w:t>
      </w:r>
      <w:r w:rsidR="00CA040C">
        <w:t>και οι αναμενόμενες αντιδράσεις των παραδοσιακών εμπορικών τους εταίρων</w:t>
      </w:r>
      <w:r w:rsidR="00CA040C" w:rsidRPr="0049656A">
        <w:t xml:space="preserve"> </w:t>
      </w:r>
      <w:r w:rsidRPr="0049656A">
        <w:rPr>
          <w:lang w:val="x-none"/>
        </w:rPr>
        <w:t xml:space="preserve">έχουν επιβραδύνει το διεθνές εμπόριο, </w:t>
      </w:r>
      <w:r w:rsidR="003340C5">
        <w:t xml:space="preserve">αποτελώντας τροχοπέδη </w:t>
      </w:r>
      <w:r w:rsidR="00CF7071">
        <w:t xml:space="preserve">για </w:t>
      </w:r>
      <w:r w:rsidRPr="0049656A">
        <w:rPr>
          <w:lang w:val="x-none"/>
        </w:rPr>
        <w:t>τις επενδύσεις και την παραγωγικότητα.</w:t>
      </w:r>
    </w:p>
    <w:p w14:paraId="1B18CF15" w14:textId="22B0194A" w:rsidR="007563A7" w:rsidRPr="0049656A" w:rsidRDefault="007563A7" w:rsidP="007563A7">
      <w:pPr>
        <w:rPr>
          <w:lang w:val="x-none"/>
        </w:rPr>
      </w:pPr>
      <w:r w:rsidRPr="0049656A">
        <w:rPr>
          <w:lang w:val="x-none"/>
        </w:rPr>
        <w:t>Σ</w:t>
      </w:r>
      <w:r w:rsidR="00CA040C">
        <w:t>τον αντίποδα αυτών,</w:t>
      </w:r>
      <w:r w:rsidRPr="0049656A">
        <w:rPr>
          <w:lang w:val="x-none"/>
        </w:rPr>
        <w:t xml:space="preserve"> η αποκλιμάκωση του πληθωρισμού σε παγκόσμιο επίπεδο επέτρεψε στις κεντρικές τράπεζες να προχωρήσουν σε βαθμιαία χαλάρωση της νομισματικής πολιτικής</w:t>
      </w:r>
      <w:r w:rsidR="00B03540">
        <w:t>, ενώ συγχρόνως,</w:t>
      </w:r>
      <w:r w:rsidR="00CA040C">
        <w:t xml:space="preserve"> οι τιμές της ενέργειας επιδεικνύουν συγκράτηση παρά την αβεβαιότητα. Η πορεία της παγκόσμιας οικονομίας μπορεί να χαρακτηριστεί ως ρευστή</w:t>
      </w:r>
      <w:r w:rsidR="00B03540">
        <w:t>,</w:t>
      </w:r>
      <w:r w:rsidR="00CA040C">
        <w:t xml:space="preserve"> </w:t>
      </w:r>
      <w:r w:rsidR="00B03540">
        <w:t>επηρεαζόμενη</w:t>
      </w:r>
      <w:r w:rsidR="00CA040C">
        <w:t xml:space="preserve"> </w:t>
      </w:r>
      <w:r w:rsidR="00B03540">
        <w:t>α</w:t>
      </w:r>
      <w:r w:rsidR="00CA040C">
        <w:t>πό σημαντικούς παράγοντες αβεβαιότητας</w:t>
      </w:r>
      <w:r w:rsidR="008853D7">
        <w:t>,</w:t>
      </w:r>
      <w:r w:rsidR="00CA040C">
        <w:t xml:space="preserve"> </w:t>
      </w:r>
      <w:r w:rsidR="00B03540">
        <w:t>οι οποίοι υποσκάπτουν κα</w:t>
      </w:r>
      <w:r w:rsidR="00CA040C">
        <w:t>ι τις γενικότερες προοπτικές ανάπτυξης.</w:t>
      </w:r>
    </w:p>
    <w:p w14:paraId="21CD0F67" w14:textId="24D0D764" w:rsidR="007563A7" w:rsidRPr="00E97DFD" w:rsidRDefault="00B03540" w:rsidP="008F5D5E">
      <w:pPr>
        <w:spacing w:after="240"/>
        <w:rPr>
          <w:szCs w:val="20"/>
          <w:highlight w:val="cyan"/>
        </w:rPr>
      </w:pPr>
      <w:r>
        <w:t>Π</w:t>
      </w:r>
      <w:r w:rsidR="007563A7" w:rsidRPr="0049656A">
        <w:t>αρά την ανωτέρω αυξημένη αβεβαιότητα στο παγκόσμιο οικονομικό περιβάλλον και την όξυνση σε αρκετές περιπτώσεις της γεωπολιτικής αστάθειας</w:t>
      </w:r>
      <w:r w:rsidR="007563A7" w:rsidRPr="0049656A">
        <w:rPr>
          <w:lang w:val="x-none"/>
        </w:rPr>
        <w:t xml:space="preserve">, η ελληνική οικονομία εξακολουθεί να </w:t>
      </w:r>
      <w:r w:rsidR="002019EA">
        <w:t>παρουσιάζει</w:t>
      </w:r>
      <w:r w:rsidR="007563A7" w:rsidRPr="0049656A">
        <w:t xml:space="preserve"> ανθεκτικότητα καταγράφοντας ρυθμούς μεγέθυνσης του </w:t>
      </w:r>
      <w:r w:rsidR="002019EA">
        <w:t>Ακαθάριστου Εγχώριου Προϊόντος (</w:t>
      </w:r>
      <w:r w:rsidR="007563A7" w:rsidRPr="0049656A">
        <w:t>ΑΕΠ</w:t>
      </w:r>
      <w:r w:rsidR="002019EA">
        <w:t>)</w:t>
      </w:r>
      <w:r w:rsidR="007563A7">
        <w:t>,</w:t>
      </w:r>
      <w:r w:rsidR="007563A7" w:rsidRPr="0049656A">
        <w:t xml:space="preserve"> </w:t>
      </w:r>
      <w:r w:rsidR="007563A7" w:rsidRPr="001F22F2">
        <w:t>που βρίσκονται σταθερά πάνω</w:t>
      </w:r>
      <w:r w:rsidR="007563A7" w:rsidRPr="0049656A">
        <w:t xml:space="preserve"> από το</w:t>
      </w:r>
      <w:r w:rsidR="002019EA">
        <w:t>ν</w:t>
      </w:r>
      <w:r w:rsidR="007563A7" w:rsidRPr="0049656A">
        <w:t xml:space="preserve"> μέσο όρο της Ευρωζώνης και της Ευρωπαϊκής Ένωσης (ΕΕ). Ειδικότερα, κατά το 2ο τρίμηνο του 2025, σύμφωνα με τα στοιχεία </w:t>
      </w:r>
      <w:r w:rsidR="00A73F76">
        <w:t xml:space="preserve">της </w:t>
      </w:r>
      <w:r w:rsidR="00A73F76" w:rsidRPr="00A73F76">
        <w:t>Ευρωπαϊκή</w:t>
      </w:r>
      <w:r w:rsidR="00A73F76">
        <w:t>ς</w:t>
      </w:r>
      <w:r w:rsidR="00A73F76" w:rsidRPr="00A73F76">
        <w:t xml:space="preserve"> Στατιστική</w:t>
      </w:r>
      <w:r w:rsidR="00A73F76">
        <w:t>ς</w:t>
      </w:r>
      <w:r w:rsidR="00A73F76" w:rsidRPr="00A73F76">
        <w:t xml:space="preserve"> Υπηρεσία</w:t>
      </w:r>
      <w:r w:rsidR="00A73F76">
        <w:t xml:space="preserve">ς </w:t>
      </w:r>
      <w:r w:rsidR="000229F7" w:rsidRPr="00EF7894">
        <w:t>(</w:t>
      </w:r>
      <w:r w:rsidR="007563A7" w:rsidRPr="00EF7894">
        <w:rPr>
          <w:lang w:val="en-US"/>
        </w:rPr>
        <w:t>Eurostat</w:t>
      </w:r>
      <w:r w:rsidR="000229F7" w:rsidRPr="00EF7894">
        <w:t>)</w:t>
      </w:r>
      <w:r w:rsidR="007563A7" w:rsidRPr="00EF7894">
        <w:rPr>
          <w:rStyle w:val="ab"/>
          <w:lang w:val="en-US"/>
        </w:rPr>
        <w:footnoteReference w:id="2"/>
      </w:r>
      <w:r w:rsidR="007563A7" w:rsidRPr="00EF7894">
        <w:t>, τ</w:t>
      </w:r>
      <w:r w:rsidR="007563A7" w:rsidRPr="00EF7894">
        <w:rPr>
          <w:lang w:val="en-US"/>
        </w:rPr>
        <w:t>o</w:t>
      </w:r>
      <w:r w:rsidR="007563A7" w:rsidRPr="00EF7894">
        <w:t xml:space="preserve"> ΑΕΠ</w:t>
      </w:r>
      <w:r w:rsidR="007563A7" w:rsidRPr="0049656A">
        <w:t xml:space="preserve"> της Ελλάδας διαμορφώθηκε σε 1,7% έναντι 1,5% της Ευρωζώνης και 1,6% της ΕΕ, όπως αποτυπώνεται στο </w:t>
      </w:r>
      <w:r w:rsidR="006B3B66" w:rsidRPr="00EF7894">
        <w:fldChar w:fldCharType="begin"/>
      </w:r>
      <w:r w:rsidR="006B3B66" w:rsidRPr="00EF7894">
        <w:instrText xml:space="preserve"> REF _Ref210136384 \h  \* MERGEFORMAT </w:instrText>
      </w:r>
      <w:r w:rsidR="006B3B66" w:rsidRPr="00EF7894">
        <w:fldChar w:fldCharType="separate"/>
      </w:r>
      <w:r w:rsidR="00C42930" w:rsidRPr="00C42930">
        <w:t>Διάγραμμα 1.1</w:t>
      </w:r>
      <w:r w:rsidR="006B3B66" w:rsidRPr="00EF7894">
        <w:fldChar w:fldCharType="end"/>
      </w:r>
      <w:r w:rsidR="006B3B66" w:rsidRPr="00EF7894">
        <w:t>.</w:t>
      </w:r>
    </w:p>
    <w:p w14:paraId="52D4B3CA" w14:textId="580079BF" w:rsidR="00FC0004" w:rsidRPr="00FC0004" w:rsidRDefault="00FC0004" w:rsidP="006B3B66">
      <w:pPr>
        <w:pStyle w:val="afc"/>
        <w:keepNext/>
        <w:spacing w:after="60" w:line="276" w:lineRule="auto"/>
        <w:jc w:val="center"/>
        <w:rPr>
          <w:sz w:val="18"/>
          <w:szCs w:val="18"/>
        </w:rPr>
      </w:pPr>
      <w:bookmarkStart w:id="4" w:name="_Ref210136384"/>
      <w:bookmarkStart w:id="5" w:name="_Toc210570699"/>
      <w:r w:rsidRPr="00FC0004">
        <w:rPr>
          <w:sz w:val="18"/>
          <w:szCs w:val="18"/>
        </w:rPr>
        <w:t>Διάγραμμα 1.</w:t>
      </w:r>
      <w:r w:rsidR="00CC4105">
        <w:rPr>
          <w:sz w:val="18"/>
          <w:szCs w:val="18"/>
        </w:rPr>
        <w:fldChar w:fldCharType="begin"/>
      </w:r>
      <w:r w:rsidR="00CC4105">
        <w:rPr>
          <w:sz w:val="18"/>
          <w:szCs w:val="18"/>
        </w:rPr>
        <w:instrText xml:space="preserve"> SEQ Διάγραμμα_1. \* ARABIC </w:instrText>
      </w:r>
      <w:r w:rsidR="00CC4105">
        <w:rPr>
          <w:sz w:val="18"/>
          <w:szCs w:val="18"/>
        </w:rPr>
        <w:fldChar w:fldCharType="separate"/>
      </w:r>
      <w:r w:rsidR="00C42930">
        <w:rPr>
          <w:noProof/>
          <w:sz w:val="18"/>
          <w:szCs w:val="18"/>
        </w:rPr>
        <w:t>1</w:t>
      </w:r>
      <w:r w:rsidR="00CC4105">
        <w:rPr>
          <w:sz w:val="18"/>
          <w:szCs w:val="18"/>
        </w:rPr>
        <w:fldChar w:fldCharType="end"/>
      </w:r>
      <w:bookmarkEnd w:id="4"/>
      <w:r w:rsidRPr="00FC0004">
        <w:rPr>
          <w:sz w:val="18"/>
          <w:szCs w:val="18"/>
        </w:rPr>
        <w:t>.:</w:t>
      </w:r>
      <w:r w:rsidR="004A4CB9" w:rsidRPr="00FC0004">
        <w:rPr>
          <w:sz w:val="18"/>
          <w:szCs w:val="18"/>
        </w:rPr>
        <w:t>Ρυθμοί μεγέθυνσης κρατών - μελών ΕΕ, 2ο τρίμηνο 2025 (σταθερές τιμές, %)</w:t>
      </w:r>
      <w:bookmarkEnd w:id="5"/>
    </w:p>
    <w:p w14:paraId="45023043" w14:textId="77777777" w:rsidR="00A62A4D" w:rsidRDefault="00B716ED" w:rsidP="00A05C43">
      <w:pPr>
        <w:spacing w:after="0" w:line="276" w:lineRule="auto"/>
      </w:pPr>
      <w:r>
        <w:rPr>
          <w:noProof/>
        </w:rPr>
        <w:drawing>
          <wp:inline distT="0" distB="0" distL="0" distR="0" wp14:anchorId="792FEADE" wp14:editId="3E5248A6">
            <wp:extent cx="5759450" cy="2584173"/>
            <wp:effectExtent l="0" t="0" r="12700" b="6985"/>
            <wp:docPr id="2" name="Γράφημα 2">
              <a:extLst xmlns:a="http://schemas.openxmlformats.org/drawingml/2006/main">
                <a:ext uri="{FF2B5EF4-FFF2-40B4-BE49-F238E27FC236}">
                  <a16:creationId xmlns:a16="http://schemas.microsoft.com/office/drawing/2014/main" id="{84A0940F-D5AA-46BD-A7D1-D7E9C8481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02590E" w14:textId="77777777" w:rsidR="00631895" w:rsidRPr="00982682" w:rsidRDefault="00631895" w:rsidP="00A05C43">
      <w:pPr>
        <w:spacing w:before="60" w:after="0" w:line="276" w:lineRule="auto"/>
        <w:ind w:left="284" w:hanging="284"/>
        <w:rPr>
          <w:rFonts w:cs="Arial"/>
          <w:sz w:val="16"/>
          <w:szCs w:val="16"/>
        </w:rPr>
      </w:pPr>
      <w:r w:rsidRPr="00982682">
        <w:rPr>
          <w:rFonts w:cs="Arial"/>
          <w:sz w:val="16"/>
          <w:szCs w:val="16"/>
        </w:rPr>
        <w:t xml:space="preserve">Πηγή: Τριμηνιαίοι Εθνικοί Λογαριασμοί (ΕΛΣΤΑΤ, </w:t>
      </w:r>
      <w:r w:rsidRPr="00982682">
        <w:rPr>
          <w:rFonts w:cs="Arial"/>
          <w:sz w:val="16"/>
          <w:szCs w:val="16"/>
          <w:lang w:val="en-US"/>
        </w:rPr>
        <w:t>Eurostat</w:t>
      </w:r>
      <w:r w:rsidRPr="00982682">
        <w:rPr>
          <w:rFonts w:cs="Arial"/>
          <w:sz w:val="16"/>
          <w:szCs w:val="16"/>
        </w:rPr>
        <w:t>), επεξεργασία Υπουργείου Εθνικής Οικονομίας και Οικονομικών</w:t>
      </w:r>
    </w:p>
    <w:p w14:paraId="751F11F9" w14:textId="72AC03C4" w:rsidR="008F5D5E" w:rsidRDefault="007424FF" w:rsidP="004E614B">
      <w:pPr>
        <w:spacing w:before="240" w:after="240"/>
        <w:rPr>
          <w:rFonts w:cs="Arial"/>
          <w:szCs w:val="20"/>
        </w:rPr>
      </w:pPr>
      <w:r w:rsidRPr="00D47C86">
        <w:rPr>
          <w:rFonts w:cs="Arial"/>
          <w:szCs w:val="20"/>
        </w:rPr>
        <w:lastRenderedPageBreak/>
        <w:t xml:space="preserve">Την ίδια χρονική περίοδο αρκετές χώρες της Ευρωζώνης </w:t>
      </w:r>
      <w:r w:rsidR="00431EC2">
        <w:rPr>
          <w:rFonts w:cs="Arial"/>
          <w:szCs w:val="20"/>
        </w:rPr>
        <w:t>και μεγάλες οικονομίες</w:t>
      </w:r>
      <w:r w:rsidR="005B60E3" w:rsidRPr="005B60E3">
        <w:rPr>
          <w:rFonts w:cs="Arial"/>
          <w:szCs w:val="20"/>
        </w:rPr>
        <w:t>,</w:t>
      </w:r>
      <w:r w:rsidR="00431EC2">
        <w:rPr>
          <w:rFonts w:cs="Arial"/>
          <w:szCs w:val="20"/>
        </w:rPr>
        <w:t xml:space="preserve"> </w:t>
      </w:r>
      <w:r w:rsidR="00431EC2" w:rsidRPr="00D47C86">
        <w:rPr>
          <w:rFonts w:cs="Arial"/>
          <w:szCs w:val="20"/>
        </w:rPr>
        <w:t xml:space="preserve">όπως η Γερμανία, η Γαλλία, η Ιταλία, το Βέλγιο </w:t>
      </w:r>
      <w:r w:rsidR="00431EC2">
        <w:rPr>
          <w:rFonts w:cs="Arial"/>
          <w:szCs w:val="20"/>
        </w:rPr>
        <w:t>και η Αυστρία</w:t>
      </w:r>
      <w:r w:rsidR="00436B95">
        <w:rPr>
          <w:rFonts w:cs="Arial"/>
          <w:szCs w:val="20"/>
        </w:rPr>
        <w:t>,</w:t>
      </w:r>
      <w:r w:rsidR="00431EC2">
        <w:rPr>
          <w:rFonts w:cs="Arial"/>
          <w:szCs w:val="20"/>
        </w:rPr>
        <w:t xml:space="preserve"> </w:t>
      </w:r>
      <w:r w:rsidRPr="00D47C86">
        <w:rPr>
          <w:rFonts w:cs="Arial"/>
          <w:szCs w:val="20"/>
        </w:rPr>
        <w:t>εμφανίζουν αναιμικά επίπεδα ανάπτυξης</w:t>
      </w:r>
      <w:r w:rsidR="00431EC2">
        <w:rPr>
          <w:rFonts w:cs="Arial"/>
          <w:szCs w:val="20"/>
        </w:rPr>
        <w:t>, χαμηλότερα της μίας ποσοστιαίας μονάδας</w:t>
      </w:r>
      <w:r w:rsidR="000D1992">
        <w:rPr>
          <w:rFonts w:cs="Arial"/>
          <w:szCs w:val="20"/>
        </w:rPr>
        <w:t>,</w:t>
      </w:r>
      <w:r w:rsidRPr="00D47C86">
        <w:rPr>
          <w:rFonts w:cs="Arial"/>
          <w:szCs w:val="20"/>
        </w:rPr>
        <w:t xml:space="preserve"> ενώ</w:t>
      </w:r>
      <w:r>
        <w:rPr>
          <w:rFonts w:ascii="Times New Roman" w:hAnsi="Times New Roman"/>
          <w:sz w:val="24"/>
        </w:rPr>
        <w:t xml:space="preserve"> </w:t>
      </w:r>
      <w:r w:rsidRPr="00D47C86">
        <w:rPr>
          <w:lang w:val="x-none"/>
        </w:rPr>
        <w:t>το Λουξεμβούργο βρίσκεται σε υφεσιακό καθεστώς. Η ισχνή οικονομική ανάπτυξη των ισχυρών οικονομιών της Ευρωζώνης οφείλεται</w:t>
      </w:r>
      <w:r w:rsidR="00A05060">
        <w:t>,</w:t>
      </w:r>
      <w:r w:rsidRPr="00D47C86">
        <w:rPr>
          <w:lang w:val="x-none"/>
        </w:rPr>
        <w:t xml:space="preserve"> μεταξύ άλλων παραγόντων</w:t>
      </w:r>
      <w:r w:rsidR="00766D5F">
        <w:t>,</w:t>
      </w:r>
      <w:r w:rsidRPr="00D47C86">
        <w:rPr>
          <w:lang w:val="x-none"/>
        </w:rPr>
        <w:t xml:space="preserve"> και στις επιπτώσεις της δασμολογικής πολιτικής των ΗΠΑ καθώς και </w:t>
      </w:r>
      <w:r w:rsidR="00431EC2">
        <w:t>στους δημοσιονομικούς περιορισμούς</w:t>
      </w:r>
      <w:r w:rsidRPr="00D47C86">
        <w:rPr>
          <w:lang w:val="x-none"/>
        </w:rPr>
        <w:t xml:space="preserve">. </w:t>
      </w:r>
      <w:r>
        <w:t>Αντίθετα, η</w:t>
      </w:r>
      <w:r w:rsidRPr="00D47C86">
        <w:rPr>
          <w:lang w:val="x-none"/>
        </w:rPr>
        <w:t xml:space="preserve"> </w:t>
      </w:r>
      <w:r w:rsidRPr="00D47C86">
        <w:rPr>
          <w:rFonts w:cs="Arial"/>
          <w:szCs w:val="20"/>
          <w:lang w:val="x-none"/>
        </w:rPr>
        <w:t>ιρλανδική οικονομία καταγράφει ιδιαίτερα ισχυρούς ρυθμούς μεγέθυνσης λόγω, μεταξύ άλλων, και της ενίσχυσης των εξαγωγών προς τις ΗΠΑ το</w:t>
      </w:r>
      <w:r>
        <w:rPr>
          <w:rFonts w:cs="Arial"/>
          <w:szCs w:val="20"/>
          <w:lang w:val="x-none"/>
        </w:rPr>
        <w:t xml:space="preserve"> </w:t>
      </w:r>
      <w:r w:rsidRPr="00D47C86">
        <w:rPr>
          <w:rFonts w:cs="Arial"/>
          <w:szCs w:val="20"/>
          <w:lang w:val="x-none"/>
        </w:rPr>
        <w:t xml:space="preserve">2ο τρίμηνο του 2025 </w:t>
      </w:r>
      <w:r w:rsidR="00431EC2">
        <w:rPr>
          <w:rFonts w:cs="Arial"/>
          <w:szCs w:val="20"/>
        </w:rPr>
        <w:t xml:space="preserve">σε αναμονή </w:t>
      </w:r>
      <w:r w:rsidR="009A3693">
        <w:rPr>
          <w:rFonts w:cs="Arial"/>
          <w:szCs w:val="20"/>
        </w:rPr>
        <w:t xml:space="preserve">της </w:t>
      </w:r>
      <w:r w:rsidRPr="00D47C86">
        <w:rPr>
          <w:rFonts w:cs="Arial"/>
          <w:szCs w:val="20"/>
          <w:lang w:val="x-none"/>
        </w:rPr>
        <w:t>αναγγελθείσα</w:t>
      </w:r>
      <w:r w:rsidR="00431EC2">
        <w:rPr>
          <w:rFonts w:cs="Arial"/>
          <w:szCs w:val="20"/>
        </w:rPr>
        <w:t>ς</w:t>
      </w:r>
      <w:r w:rsidRPr="00D47C86">
        <w:rPr>
          <w:rFonts w:cs="Arial"/>
          <w:szCs w:val="20"/>
          <w:lang w:val="x-none"/>
        </w:rPr>
        <w:t xml:space="preserve"> επιβολή</w:t>
      </w:r>
      <w:r w:rsidR="00431EC2">
        <w:rPr>
          <w:rFonts w:cs="Arial"/>
          <w:szCs w:val="20"/>
        </w:rPr>
        <w:t>ς</w:t>
      </w:r>
      <w:r w:rsidRPr="00D47C86">
        <w:rPr>
          <w:rFonts w:cs="Arial"/>
          <w:szCs w:val="20"/>
          <w:lang w:val="x-none"/>
        </w:rPr>
        <w:t xml:space="preserve"> δασμών εκ μέρους </w:t>
      </w:r>
      <w:r w:rsidR="00CF6C02">
        <w:rPr>
          <w:rFonts w:cs="Arial"/>
          <w:szCs w:val="20"/>
          <w:lang w:val="x-none"/>
        </w:rPr>
        <w:t>τους</w:t>
      </w:r>
      <w:r w:rsidR="00CF6C02">
        <w:rPr>
          <w:rFonts w:cs="Arial"/>
          <w:szCs w:val="20"/>
        </w:rPr>
        <w:t>,</w:t>
      </w:r>
      <w:r w:rsidRPr="00D47C86">
        <w:rPr>
          <w:rFonts w:cs="Arial"/>
          <w:szCs w:val="20"/>
          <w:lang w:val="x-none"/>
        </w:rPr>
        <w:t xml:space="preserve"> αλλά και </w:t>
      </w:r>
      <w:r w:rsidR="00AC56CC">
        <w:rPr>
          <w:rFonts w:cs="Arial"/>
          <w:szCs w:val="20"/>
        </w:rPr>
        <w:t xml:space="preserve">λόγω </w:t>
      </w:r>
      <w:r w:rsidRPr="00D47C86">
        <w:rPr>
          <w:rFonts w:cs="Arial"/>
          <w:szCs w:val="20"/>
          <w:lang w:val="x-none"/>
        </w:rPr>
        <w:t xml:space="preserve">του ευνοϊκού φορολογικού καθεστώτος των πολυεθνικών επιχειρήσεων, </w:t>
      </w:r>
      <w:r w:rsidR="00766D5F">
        <w:rPr>
          <w:rFonts w:cs="Arial"/>
          <w:szCs w:val="20"/>
        </w:rPr>
        <w:t xml:space="preserve">με αποτέλεσμα να συμβάλλει </w:t>
      </w:r>
      <w:r w:rsidRPr="00D47C86">
        <w:rPr>
          <w:rFonts w:cs="Arial"/>
          <w:szCs w:val="20"/>
          <w:lang w:val="x-none"/>
        </w:rPr>
        <w:t>και στην αύξηση του μέσου</w:t>
      </w:r>
      <w:r>
        <w:rPr>
          <w:rFonts w:cs="Arial"/>
          <w:szCs w:val="20"/>
        </w:rPr>
        <w:t xml:space="preserve"> όρου</w:t>
      </w:r>
      <w:r w:rsidRPr="00D47C86">
        <w:rPr>
          <w:rFonts w:cs="Arial"/>
          <w:szCs w:val="20"/>
          <w:lang w:val="x-none"/>
        </w:rPr>
        <w:t xml:space="preserve"> της Ευρωζώνης και της ΕΕ</w:t>
      </w:r>
      <w:r>
        <w:rPr>
          <w:rFonts w:cs="Arial"/>
          <w:szCs w:val="20"/>
        </w:rPr>
        <w:t>.</w:t>
      </w:r>
      <w:bookmarkStart w:id="6" w:name="_Ref210041438"/>
    </w:p>
    <w:p w14:paraId="44017DE3" w14:textId="572F9E6A" w:rsidR="004E4349" w:rsidRPr="006B3B66" w:rsidRDefault="006B3B66" w:rsidP="00B77A67">
      <w:pPr>
        <w:pStyle w:val="afc"/>
        <w:keepNext/>
        <w:spacing w:after="0" w:line="276" w:lineRule="auto"/>
        <w:jc w:val="center"/>
        <w:rPr>
          <w:sz w:val="18"/>
          <w:szCs w:val="18"/>
        </w:rPr>
      </w:pPr>
      <w:bookmarkStart w:id="7" w:name="_Ref210136412"/>
      <w:bookmarkStart w:id="8" w:name="_Toc210570700"/>
      <w:bookmarkEnd w:id="6"/>
      <w:r w:rsidRPr="006B3B66">
        <w:rPr>
          <w:sz w:val="18"/>
          <w:szCs w:val="18"/>
        </w:rPr>
        <w:t>Διάγραμμα 1.</w:t>
      </w:r>
      <w:r w:rsidR="00CC4105">
        <w:rPr>
          <w:sz w:val="18"/>
          <w:szCs w:val="18"/>
        </w:rPr>
        <w:fldChar w:fldCharType="begin"/>
      </w:r>
      <w:r w:rsidR="00CC4105">
        <w:rPr>
          <w:sz w:val="18"/>
          <w:szCs w:val="18"/>
        </w:rPr>
        <w:instrText xml:space="preserve"> SEQ Διάγραμμα_1. \* ARABIC </w:instrText>
      </w:r>
      <w:r w:rsidR="00CC4105">
        <w:rPr>
          <w:sz w:val="18"/>
          <w:szCs w:val="18"/>
        </w:rPr>
        <w:fldChar w:fldCharType="separate"/>
      </w:r>
      <w:r w:rsidR="00C42930">
        <w:rPr>
          <w:noProof/>
          <w:sz w:val="18"/>
          <w:szCs w:val="18"/>
        </w:rPr>
        <w:t>2</w:t>
      </w:r>
      <w:r w:rsidR="00CC4105">
        <w:rPr>
          <w:sz w:val="18"/>
          <w:szCs w:val="18"/>
        </w:rPr>
        <w:fldChar w:fldCharType="end"/>
      </w:r>
      <w:bookmarkEnd w:id="7"/>
      <w:r w:rsidRPr="006B3B66">
        <w:rPr>
          <w:sz w:val="18"/>
          <w:szCs w:val="18"/>
        </w:rPr>
        <w:t xml:space="preserve">.: </w:t>
      </w:r>
      <w:r w:rsidR="00495246" w:rsidRPr="006B3B66">
        <w:rPr>
          <w:sz w:val="18"/>
          <w:szCs w:val="18"/>
        </w:rPr>
        <w:t xml:space="preserve">Απόκλιση τριμηνιαίου ΑΕΠ και συνιστωσών 2019Q4 - 2025Q2 Ελλάδας </w:t>
      </w:r>
      <w:r w:rsidR="002053A3" w:rsidRPr="006B3B66">
        <w:rPr>
          <w:sz w:val="18"/>
          <w:szCs w:val="18"/>
        </w:rPr>
        <w:t>-</w:t>
      </w:r>
      <w:r w:rsidR="00495246" w:rsidRPr="006B3B66">
        <w:rPr>
          <w:sz w:val="18"/>
          <w:szCs w:val="18"/>
        </w:rPr>
        <w:t xml:space="preserve"> Ευρωζώνης</w:t>
      </w:r>
      <w:bookmarkEnd w:id="8"/>
    </w:p>
    <w:p w14:paraId="08473B9E" w14:textId="7DE38744" w:rsidR="006B3B66" w:rsidRPr="006B3B66" w:rsidRDefault="004E4349" w:rsidP="006B3B66">
      <w:pPr>
        <w:keepNext/>
        <w:spacing w:after="60" w:line="276" w:lineRule="auto"/>
        <w:jc w:val="center"/>
        <w:rPr>
          <w:sz w:val="18"/>
          <w:szCs w:val="18"/>
        </w:rPr>
      </w:pPr>
      <w:r w:rsidRPr="006B3B66">
        <w:rPr>
          <w:rFonts w:cs="Arial"/>
          <w:b/>
          <w:bCs/>
          <w:sz w:val="18"/>
          <w:szCs w:val="18"/>
        </w:rPr>
        <w:t xml:space="preserve">(σταθερές τιμές, εποχικά διορθωμένα στοιχεία, ως % του ΑΕΠ </w:t>
      </w:r>
      <w:r w:rsidR="00CF7071">
        <w:rPr>
          <w:rFonts w:cs="Arial"/>
          <w:b/>
          <w:bCs/>
          <w:sz w:val="18"/>
          <w:szCs w:val="18"/>
        </w:rPr>
        <w:t>4ου</w:t>
      </w:r>
      <w:r w:rsidRPr="006B3B66">
        <w:rPr>
          <w:rFonts w:cs="Arial"/>
          <w:b/>
          <w:bCs/>
          <w:sz w:val="18"/>
          <w:szCs w:val="18"/>
        </w:rPr>
        <w:t xml:space="preserve"> τριμήνου 2019)</w:t>
      </w:r>
    </w:p>
    <w:p w14:paraId="2FC6E12F" w14:textId="77777777" w:rsidR="003A2AE4" w:rsidRDefault="002D7AD4" w:rsidP="00BF7AE6">
      <w:pPr>
        <w:keepNext/>
        <w:spacing w:line="276" w:lineRule="auto"/>
        <w:jc w:val="center"/>
        <w:rPr>
          <w:b/>
          <w:sz w:val="18"/>
          <w:szCs w:val="18"/>
        </w:rPr>
      </w:pPr>
      <w:r>
        <w:rPr>
          <w:noProof/>
        </w:rPr>
        <w:drawing>
          <wp:inline distT="0" distB="0" distL="0" distR="0" wp14:anchorId="75B9E7D6" wp14:editId="77FFED48">
            <wp:extent cx="5759450" cy="2847975"/>
            <wp:effectExtent l="0" t="0" r="12700" b="9525"/>
            <wp:docPr id="6" name="Γράφημα 6">
              <a:extLst xmlns:a="http://schemas.openxmlformats.org/drawingml/2006/main">
                <a:ext uri="{FF2B5EF4-FFF2-40B4-BE49-F238E27FC236}">
                  <a16:creationId xmlns:a16="http://schemas.microsoft.com/office/drawing/2014/main" id="{D06ACB4B-3B1A-47FF-AB9F-3C638BFF9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B9982B" w14:textId="77777777" w:rsidR="008F5D5E" w:rsidRDefault="004E4349" w:rsidP="00A05C43">
      <w:pPr>
        <w:spacing w:before="120" w:after="0" w:line="276" w:lineRule="auto"/>
        <w:jc w:val="center"/>
        <w:rPr>
          <w:rFonts w:cs="Arial"/>
          <w:b/>
          <w:bCs/>
          <w:sz w:val="18"/>
          <w:szCs w:val="18"/>
        </w:rPr>
      </w:pPr>
      <w:r>
        <w:rPr>
          <w:noProof/>
        </w:rPr>
        <w:drawing>
          <wp:inline distT="0" distB="0" distL="0" distR="0" wp14:anchorId="303EDCC4" wp14:editId="76A81D8C">
            <wp:extent cx="5759450" cy="3268980"/>
            <wp:effectExtent l="0" t="0" r="12700" b="7620"/>
            <wp:docPr id="7" name="Γράφημα 7">
              <a:extLst xmlns:a="http://schemas.openxmlformats.org/drawingml/2006/main">
                <a:ext uri="{FF2B5EF4-FFF2-40B4-BE49-F238E27FC236}">
                  <a16:creationId xmlns:a16="http://schemas.microsoft.com/office/drawing/2014/main" id="{20EA551A-35EF-46DE-8767-51C5E52F2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0FB07F" w14:textId="77777777" w:rsidR="007424FF" w:rsidRPr="00982682" w:rsidRDefault="007424FF" w:rsidP="00A05C43">
      <w:pPr>
        <w:tabs>
          <w:tab w:val="left" w:pos="0"/>
        </w:tabs>
        <w:spacing w:before="60" w:after="0" w:line="276" w:lineRule="auto"/>
        <w:rPr>
          <w:noProof/>
        </w:rPr>
      </w:pPr>
      <w:r w:rsidRPr="00982682">
        <w:rPr>
          <w:rFonts w:cs="Arial"/>
          <w:sz w:val="16"/>
          <w:szCs w:val="16"/>
        </w:rPr>
        <w:t>Πηγή: Τριμηνιαίοι Εθνικοί Λογαριασμοί (ΕΛΣΤΑΤ, Eurostat), επεξεργασία Υπουργείου Εθνικής Οικονομίας και Οικονομικών</w:t>
      </w:r>
    </w:p>
    <w:p w14:paraId="66F2A9D0" w14:textId="7BA99DB0" w:rsidR="00B65EF7" w:rsidRPr="00436B95" w:rsidRDefault="00B65EF7" w:rsidP="0064261E">
      <w:pPr>
        <w:spacing w:before="240"/>
      </w:pPr>
      <w:r w:rsidRPr="00D47C86">
        <w:rPr>
          <w:rFonts w:cs="Arial"/>
          <w:szCs w:val="20"/>
          <w:lang w:val="x-none"/>
        </w:rPr>
        <w:lastRenderedPageBreak/>
        <w:t xml:space="preserve">Το ΑΕΠ της ελληνικής οικονομίας (σε όρους όγκου) το 2ο τρίμηνο του 2025 </w:t>
      </w:r>
      <w:r>
        <w:rPr>
          <w:rFonts w:cs="Arial"/>
          <w:szCs w:val="20"/>
        </w:rPr>
        <w:t xml:space="preserve">εξακολουθεί </w:t>
      </w:r>
      <w:r w:rsidRPr="00D47C86">
        <w:rPr>
          <w:rFonts w:cs="Arial"/>
          <w:szCs w:val="20"/>
          <w:lang w:val="x-none"/>
        </w:rPr>
        <w:t>να μεγεθύνεται σε ετήσια βάση, συμπληρώνοντας το δέκατο έβδομο συνεχόμενο τρίμηνο ανάπτυξης μετά</w:t>
      </w:r>
      <w:r>
        <w:rPr>
          <w:rFonts w:cs="Arial"/>
          <w:color w:val="FF0000"/>
          <w:szCs w:val="20"/>
        </w:rPr>
        <w:t xml:space="preserve"> </w:t>
      </w:r>
      <w:r w:rsidRPr="00C82E05">
        <w:rPr>
          <w:rFonts w:cs="Arial"/>
          <w:szCs w:val="20"/>
        </w:rPr>
        <w:t>το</w:t>
      </w:r>
      <w:r w:rsidRPr="00D47C86">
        <w:rPr>
          <w:rFonts w:cs="Arial"/>
          <w:color w:val="FF0000"/>
          <w:szCs w:val="20"/>
        </w:rPr>
        <w:t xml:space="preserve"> </w:t>
      </w:r>
      <w:r w:rsidRPr="00C82E05">
        <w:rPr>
          <w:rFonts w:cs="Arial"/>
          <w:szCs w:val="20"/>
        </w:rPr>
        <w:t xml:space="preserve">1ο τρίμηνο του </w:t>
      </w:r>
      <w:r w:rsidRPr="001F31EA">
        <w:rPr>
          <w:rFonts w:cs="Arial"/>
          <w:szCs w:val="20"/>
        </w:rPr>
        <w:t>2021</w:t>
      </w:r>
      <w:r w:rsidR="009A3693" w:rsidRPr="001F31EA">
        <w:rPr>
          <w:rFonts w:cs="Arial"/>
          <w:szCs w:val="20"/>
        </w:rPr>
        <w:t xml:space="preserve"> (</w:t>
      </w:r>
      <w:r w:rsidR="009A3693" w:rsidRPr="001F31EA">
        <w:fldChar w:fldCharType="begin"/>
      </w:r>
      <w:r w:rsidR="009A3693" w:rsidRPr="001F31EA">
        <w:instrText xml:space="preserve"> REF _Ref210136412 \h  \* MERGEFORMAT </w:instrText>
      </w:r>
      <w:r w:rsidR="009A3693" w:rsidRPr="001F31EA">
        <w:fldChar w:fldCharType="separate"/>
      </w:r>
      <w:r w:rsidR="00C42930" w:rsidRPr="00C42930">
        <w:t>Διάγραμμα 1.2</w:t>
      </w:r>
      <w:r w:rsidR="009A3693" w:rsidRPr="001F31EA">
        <w:fldChar w:fldCharType="end"/>
      </w:r>
      <w:r w:rsidRPr="001F31EA">
        <w:t>.</w:t>
      </w:r>
      <w:r w:rsidR="009A3693" w:rsidRPr="001F31EA">
        <w:t>).</w:t>
      </w:r>
      <w:r w:rsidRPr="001F31EA">
        <w:rPr>
          <w:rFonts w:cs="Arial"/>
          <w:szCs w:val="20"/>
        </w:rPr>
        <w:t xml:space="preserve"> Η εν</w:t>
      </w:r>
      <w:r>
        <w:rPr>
          <w:rFonts w:cs="Arial"/>
          <w:szCs w:val="20"/>
        </w:rPr>
        <w:t xml:space="preserve"> λόγω </w:t>
      </w:r>
      <w:r w:rsidRPr="00C82E05">
        <w:rPr>
          <w:rFonts w:cs="Arial"/>
          <w:szCs w:val="20"/>
        </w:rPr>
        <w:t xml:space="preserve">μεγέθυνση οφείλεται στην ενίσχυση των επενδύσεων, στη σταθερή ιδιωτική κατανάλωση και </w:t>
      </w:r>
      <w:r>
        <w:rPr>
          <w:rFonts w:cs="Arial"/>
          <w:szCs w:val="20"/>
        </w:rPr>
        <w:t>σ</w:t>
      </w:r>
      <w:r w:rsidRPr="00C82E05">
        <w:rPr>
          <w:rFonts w:cs="Arial"/>
          <w:szCs w:val="20"/>
        </w:rPr>
        <w:t>την ισχυρή ανάκαμψη του τουρισμού</w:t>
      </w:r>
      <w:r>
        <w:rPr>
          <w:rFonts w:cs="Arial"/>
          <w:szCs w:val="20"/>
        </w:rPr>
        <w:t xml:space="preserve">. Επίσης, </w:t>
      </w:r>
      <w:r w:rsidRPr="00C82E05">
        <w:t xml:space="preserve">θετικά </w:t>
      </w:r>
      <w:r w:rsidRPr="00C82E05">
        <w:rPr>
          <w:lang w:val="x-none"/>
        </w:rPr>
        <w:t>επ</w:t>
      </w:r>
      <w:r>
        <w:t>έ</w:t>
      </w:r>
      <w:r w:rsidRPr="00C82E05">
        <w:rPr>
          <w:lang w:val="x-none"/>
        </w:rPr>
        <w:t>δρασαν</w:t>
      </w:r>
      <w:r w:rsidRPr="00C82E05">
        <w:t xml:space="preserve"> </w:t>
      </w:r>
      <w:r w:rsidRPr="00C82E05">
        <w:rPr>
          <w:lang w:val="x-none"/>
        </w:rPr>
        <w:t>οι καθαρές εξαγωγές αγαθών και υπηρεσιών</w:t>
      </w:r>
      <w:r w:rsidRPr="00C82E05">
        <w:t xml:space="preserve"> παρά την επιβολή</w:t>
      </w:r>
      <w:r w:rsidRPr="00AC56CC">
        <w:t xml:space="preserve"> </w:t>
      </w:r>
      <w:r w:rsidRPr="00C82E05">
        <w:t>εκ μέρους των ΗΠΑ</w:t>
      </w:r>
      <w:r w:rsidRPr="00AC56CC">
        <w:t xml:space="preserve"> </w:t>
      </w:r>
      <w:r w:rsidRPr="00C82E05">
        <w:t>δασμών</w:t>
      </w:r>
      <w:r w:rsidR="00DC322C">
        <w:t xml:space="preserve"> </w:t>
      </w:r>
      <w:r w:rsidRPr="00C82E05">
        <w:t>στις εισαγωγές</w:t>
      </w:r>
      <w:r w:rsidRPr="00AC56CC">
        <w:t xml:space="preserve"> </w:t>
      </w:r>
      <w:r w:rsidRPr="00C82E05">
        <w:t>από την ΕΕ από τον Απρίλιο 2025</w:t>
      </w:r>
      <w:r>
        <w:t>.</w:t>
      </w:r>
    </w:p>
    <w:p w14:paraId="06697AD1" w14:textId="4631279F" w:rsidR="00B65EF7" w:rsidRPr="005D1642" w:rsidRDefault="00B65EF7" w:rsidP="00B65EF7">
      <w:r>
        <w:t>Συνολικά για το 2025 οι επιπτώσεις από την επιβολή δασμών εκ μέρους των ΗΠΑ αναμένεται να είναι περιορισμένες λόγω της χαμηλής έκθεσης των ελληνικών εξαγωγών</w:t>
      </w:r>
      <w:r w:rsidR="00744C8C">
        <w:t>, χωρίς ωστόσο να παραβλέπονται οι πιθανές έμμεσες επιπτώσεις.</w:t>
      </w:r>
    </w:p>
    <w:p w14:paraId="179946C5" w14:textId="292909A2" w:rsidR="00B65EF7" w:rsidRPr="00B65EF7" w:rsidRDefault="00B65EF7" w:rsidP="00FD127C">
      <w:pPr>
        <w:rPr>
          <w:rFonts w:ascii="Times New Roman" w:hAnsi="Times New Roman"/>
          <w:sz w:val="24"/>
        </w:rPr>
      </w:pPr>
      <w:r w:rsidRPr="001F31EA">
        <w:t xml:space="preserve">Το </w:t>
      </w:r>
      <w:r w:rsidR="006B3B66" w:rsidRPr="001F31EA">
        <w:fldChar w:fldCharType="begin"/>
      </w:r>
      <w:r w:rsidR="006B3B66" w:rsidRPr="001F31EA">
        <w:instrText xml:space="preserve"> REF _Ref210136412 \h  \* MERGEFORMAT </w:instrText>
      </w:r>
      <w:r w:rsidR="006B3B66" w:rsidRPr="001F31EA">
        <w:fldChar w:fldCharType="separate"/>
      </w:r>
      <w:r w:rsidR="00C42930" w:rsidRPr="00C42930">
        <w:t>Διάγραμμα 1.2</w:t>
      </w:r>
      <w:r w:rsidR="006B3B66" w:rsidRPr="001F31EA">
        <w:fldChar w:fldCharType="end"/>
      </w:r>
      <w:r w:rsidR="006B3B66" w:rsidRPr="001F31EA">
        <w:t xml:space="preserve">. </w:t>
      </w:r>
      <w:r w:rsidRPr="001F31EA">
        <w:t>αποτυπώνει</w:t>
      </w:r>
      <w:r w:rsidRPr="006B3B66">
        <w:t xml:space="preserve"> τη συμβολή των συνιστωσών του ΑΕΠ στην οικονομική ανάπτυξη της</w:t>
      </w:r>
      <w:r>
        <w:t xml:space="preserve"> Ελλάδας και της Ευρωζώνης από το 2019 και εφεξής.</w:t>
      </w:r>
    </w:p>
    <w:p w14:paraId="6E3CB8CC" w14:textId="0C525862" w:rsidR="007424FF" w:rsidRPr="001F31EA" w:rsidRDefault="007424FF" w:rsidP="00B77A67">
      <w:pPr>
        <w:spacing w:after="240"/>
      </w:pPr>
      <w:r w:rsidRPr="00D47C86">
        <w:rPr>
          <w:lang w:val="x-none"/>
        </w:rPr>
        <w:t>Σύμφωνα με τα στοιχεία της Ευρωπαϊκής Επιτροπής, η εγχώρια ζήτηση της Ευρωζώνης για το έτος 2024 ανέκαμψε, αλλά με ήπιους ρυθμούς, σημειώνοντας</w:t>
      </w:r>
      <w:r>
        <w:rPr>
          <w:lang w:val="x-none"/>
        </w:rPr>
        <w:t xml:space="preserve"> </w:t>
      </w:r>
      <w:r w:rsidRPr="00D47C86">
        <w:rPr>
          <w:lang w:val="x-none"/>
        </w:rPr>
        <w:t xml:space="preserve">αύξηση </w:t>
      </w:r>
      <w:r>
        <w:t>0,8</w:t>
      </w:r>
      <w:r w:rsidRPr="00D47C86">
        <w:rPr>
          <w:lang w:val="x-none"/>
        </w:rPr>
        <w:t xml:space="preserve">% έναντι της οριακής αύξησης 0,2% το 2023. Η ανάκαμψη αυτή ήταν σταδιακή, </w:t>
      </w:r>
      <w:r w:rsidR="00AC7E16">
        <w:t>δεδομένου ότι</w:t>
      </w:r>
      <w:r w:rsidRPr="00D47C86">
        <w:rPr>
          <w:lang w:val="x-none"/>
        </w:rPr>
        <w:t xml:space="preserve"> οι καταναλωτές παρέμειναν επιφυλακτικοί λόγω των πληθωριστικών πιέσεων. Για την Ελλάδα το 2023 η αύξηση ήταν 1,3%</w:t>
      </w:r>
      <w:r w:rsidR="001B4CEB">
        <w:t xml:space="preserve"> και</w:t>
      </w:r>
      <w:r w:rsidRPr="00D47C86">
        <w:rPr>
          <w:lang w:val="x-none"/>
        </w:rPr>
        <w:t xml:space="preserve"> το 2024 αυτή η δυναμική επιταχύνθηκε σημαντικά</w:t>
      </w:r>
      <w:r w:rsidR="006C49D0">
        <w:t>,</w:t>
      </w:r>
      <w:r w:rsidRPr="00D47C86">
        <w:rPr>
          <w:lang w:val="x-none"/>
        </w:rPr>
        <w:t xml:space="preserve"> με την εγχώρια ζήτηση να αυξάνεται κατά 2,1% σε ετήσια βάση. Η επίδοση αυτή κατέταξε την Ελλάδα για το 2024 μέσα στις πρώτες δέκα θέσεις μεταξύ των κρατών</w:t>
      </w:r>
      <w:r w:rsidR="00C047FE">
        <w:t xml:space="preserve"> </w:t>
      </w:r>
      <w:r w:rsidRPr="00D47C86">
        <w:rPr>
          <w:lang w:val="x-none"/>
        </w:rPr>
        <w:t>-</w:t>
      </w:r>
      <w:r w:rsidR="00C047FE">
        <w:t xml:space="preserve"> </w:t>
      </w:r>
      <w:r w:rsidRPr="00D47C86">
        <w:rPr>
          <w:lang w:val="x-none"/>
        </w:rPr>
        <w:t xml:space="preserve">μελών της Ευρωζώνης που παρουσιάζουν ισχυρή και συνεχή αύξηση της εγχώριας ζήτησης, όπως αυτό αποτυπώνεται </w:t>
      </w:r>
      <w:r w:rsidRPr="001F31EA">
        <w:rPr>
          <w:lang w:val="x-none"/>
        </w:rPr>
        <w:t>στο</w:t>
      </w:r>
      <w:r w:rsidR="00BE79D1" w:rsidRPr="001F31EA">
        <w:t xml:space="preserve"> </w:t>
      </w:r>
      <w:r w:rsidR="00BE79D1" w:rsidRPr="001F31EA">
        <w:fldChar w:fldCharType="begin"/>
      </w:r>
      <w:r w:rsidR="00BE79D1" w:rsidRPr="001F31EA">
        <w:instrText xml:space="preserve"> REF _Ref210138846 \h  \* MERGEFORMAT </w:instrText>
      </w:r>
      <w:r w:rsidR="00BE79D1" w:rsidRPr="001F31EA">
        <w:fldChar w:fldCharType="separate"/>
      </w:r>
      <w:r w:rsidR="00C42930" w:rsidRPr="00C42930">
        <w:t>Διάγραμμα 1.3</w:t>
      </w:r>
      <w:r w:rsidR="00BE79D1" w:rsidRPr="001F31EA">
        <w:fldChar w:fldCharType="end"/>
      </w:r>
      <w:r w:rsidR="00826A3E" w:rsidRPr="001F31EA">
        <w:t>.</w:t>
      </w:r>
    </w:p>
    <w:p w14:paraId="2A8A6405" w14:textId="096B5379" w:rsidR="007211ED" w:rsidRPr="00B91E01" w:rsidRDefault="00B91E01" w:rsidP="00B77A67">
      <w:pPr>
        <w:pStyle w:val="afc"/>
        <w:keepNext/>
        <w:spacing w:after="0" w:line="276" w:lineRule="auto"/>
        <w:jc w:val="center"/>
        <w:rPr>
          <w:rFonts w:cs="Arial"/>
          <w:bCs w:val="0"/>
          <w:sz w:val="18"/>
          <w:szCs w:val="18"/>
        </w:rPr>
      </w:pPr>
      <w:bookmarkStart w:id="9" w:name="_Ref210138846"/>
      <w:bookmarkStart w:id="10" w:name="_Toc210570701"/>
      <w:r w:rsidRPr="00B91E01">
        <w:rPr>
          <w:sz w:val="18"/>
          <w:szCs w:val="18"/>
        </w:rPr>
        <w:t>Διάγραμμα 1.</w:t>
      </w:r>
      <w:r w:rsidR="00CC4105">
        <w:rPr>
          <w:sz w:val="18"/>
          <w:szCs w:val="18"/>
        </w:rPr>
        <w:fldChar w:fldCharType="begin"/>
      </w:r>
      <w:r w:rsidR="00CC4105">
        <w:rPr>
          <w:sz w:val="18"/>
          <w:szCs w:val="18"/>
        </w:rPr>
        <w:instrText xml:space="preserve"> SEQ Διάγραμμα_1. \* ARABIC </w:instrText>
      </w:r>
      <w:r w:rsidR="00CC4105">
        <w:rPr>
          <w:sz w:val="18"/>
          <w:szCs w:val="18"/>
        </w:rPr>
        <w:fldChar w:fldCharType="separate"/>
      </w:r>
      <w:r w:rsidR="00C42930">
        <w:rPr>
          <w:noProof/>
          <w:sz w:val="18"/>
          <w:szCs w:val="18"/>
        </w:rPr>
        <w:t>3</w:t>
      </w:r>
      <w:r w:rsidR="00CC4105">
        <w:rPr>
          <w:sz w:val="18"/>
          <w:szCs w:val="18"/>
        </w:rPr>
        <w:fldChar w:fldCharType="end"/>
      </w:r>
      <w:bookmarkEnd w:id="9"/>
      <w:r w:rsidRPr="00B91E01">
        <w:rPr>
          <w:sz w:val="18"/>
          <w:szCs w:val="18"/>
        </w:rPr>
        <w:t>.:</w:t>
      </w:r>
      <w:r w:rsidR="007211ED" w:rsidRPr="00B91E01">
        <w:rPr>
          <w:rFonts w:cs="Arial"/>
          <w:bCs w:val="0"/>
          <w:sz w:val="18"/>
          <w:szCs w:val="18"/>
        </w:rPr>
        <w:t xml:space="preserve"> Πραγματική εγχώρια ζήτηση στην Ευρωζώνη 2024 - 2023</w:t>
      </w:r>
      <w:bookmarkEnd w:id="10"/>
    </w:p>
    <w:p w14:paraId="1A2BDBAD" w14:textId="77777777" w:rsidR="007211ED" w:rsidRDefault="007211ED" w:rsidP="00190C05">
      <w:pPr>
        <w:spacing w:after="60" w:line="276" w:lineRule="auto"/>
        <w:jc w:val="center"/>
        <w:rPr>
          <w:rFonts w:cs="Arial"/>
          <w:b/>
          <w:sz w:val="18"/>
          <w:szCs w:val="18"/>
        </w:rPr>
      </w:pPr>
      <w:r w:rsidRPr="00982682">
        <w:rPr>
          <w:rFonts w:cs="Arial"/>
          <w:b/>
          <w:sz w:val="18"/>
          <w:szCs w:val="18"/>
        </w:rPr>
        <w:t>(ετήσιοι ρυθμοί μεταβολής %, συμπεριλαμβανομένης της μεταβολής αποθεμάτων)</w:t>
      </w:r>
    </w:p>
    <w:p w14:paraId="1F9736BE" w14:textId="77777777" w:rsidR="002F67F3" w:rsidRDefault="002F67F3" w:rsidP="00A05C43">
      <w:pPr>
        <w:spacing w:after="0" w:line="276" w:lineRule="auto"/>
        <w:jc w:val="center"/>
        <w:rPr>
          <w:rFonts w:cs="Arial"/>
          <w:b/>
          <w:sz w:val="18"/>
          <w:szCs w:val="18"/>
        </w:rPr>
      </w:pPr>
      <w:r>
        <w:rPr>
          <w:noProof/>
        </w:rPr>
        <w:drawing>
          <wp:inline distT="0" distB="0" distL="0" distR="0" wp14:anchorId="2A82759A" wp14:editId="69E66498">
            <wp:extent cx="5759450" cy="3086100"/>
            <wp:effectExtent l="0" t="0" r="12700" b="0"/>
            <wp:docPr id="8" name="Γράφημα 8">
              <a:extLst xmlns:a="http://schemas.openxmlformats.org/drawingml/2006/main">
                <a:ext uri="{FF2B5EF4-FFF2-40B4-BE49-F238E27FC236}">
                  <a16:creationId xmlns:a16="http://schemas.microsoft.com/office/drawing/2014/main" id="{D220FE08-3432-4952-9EC2-0509995A1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1BE806" w14:textId="77777777" w:rsidR="00C55B4A" w:rsidRPr="00982682" w:rsidRDefault="00C55B4A" w:rsidP="00A05C43">
      <w:pPr>
        <w:spacing w:before="60" w:after="0" w:line="276" w:lineRule="auto"/>
        <w:rPr>
          <w:rFonts w:cs="Arial"/>
          <w:sz w:val="16"/>
          <w:szCs w:val="16"/>
        </w:rPr>
      </w:pPr>
      <w:r w:rsidRPr="00982682">
        <w:rPr>
          <w:rFonts w:cs="Arial"/>
          <w:sz w:val="16"/>
          <w:szCs w:val="16"/>
        </w:rPr>
        <w:t>Πηγή: Μακροοικονομική βάση δεδομένων AMECΟ της Ευρωπαϊκής Επιτροπής</w:t>
      </w:r>
    </w:p>
    <w:p w14:paraId="3D06044C" w14:textId="6C1BCEA5" w:rsidR="00C55B4A" w:rsidRPr="006C49D0" w:rsidRDefault="00C55B4A" w:rsidP="001B4CEB">
      <w:pPr>
        <w:spacing w:before="240"/>
      </w:pPr>
      <w:r w:rsidRPr="00D47C86">
        <w:rPr>
          <w:lang w:val="x-none"/>
        </w:rPr>
        <w:t xml:space="preserve">Στο σύνολο του </w:t>
      </w:r>
      <w:r w:rsidR="00903FAB">
        <w:t>1ου</w:t>
      </w:r>
      <w:r w:rsidRPr="00D47C86">
        <w:rPr>
          <w:lang w:val="x-none"/>
        </w:rPr>
        <w:t xml:space="preserve"> εξαμήνου του 2025 η ανάπτυξη της ελληνικής οικονομίας διαμορφώθηκε σε 2,0%, όσο και στο </w:t>
      </w:r>
      <w:r w:rsidR="00E5465F">
        <w:t>1ο</w:t>
      </w:r>
      <w:r w:rsidRPr="00D47C86">
        <w:rPr>
          <w:lang w:val="x-none"/>
        </w:rPr>
        <w:t xml:space="preserve"> εξάμηνο του προηγούμενου έτους, </w:t>
      </w:r>
      <w:r w:rsidR="00571270">
        <w:t xml:space="preserve">ανερχόμενη σε υψηλότερα επίπεδα </w:t>
      </w:r>
      <w:r w:rsidRPr="00D47C86">
        <w:rPr>
          <w:lang w:val="x-none"/>
        </w:rPr>
        <w:t>σε σχέση με την ΕΕ (1,6%) και την Ευρωζώνη (1,5%).</w:t>
      </w:r>
      <w:r w:rsidR="001B4CEB">
        <w:t xml:space="preserve"> </w:t>
      </w:r>
      <w:r w:rsidRPr="00D47C86">
        <w:rPr>
          <w:lang w:val="x-none"/>
        </w:rPr>
        <w:t xml:space="preserve">Κύριοι μοχλοί </w:t>
      </w:r>
      <w:r>
        <w:rPr>
          <w:lang w:val="x-none"/>
        </w:rPr>
        <w:t>της</w:t>
      </w:r>
      <w:r>
        <w:t xml:space="preserve"> </w:t>
      </w:r>
      <w:r w:rsidRPr="00D47C86">
        <w:rPr>
          <w:lang w:val="x-none"/>
        </w:rPr>
        <w:t xml:space="preserve">ανάπτυξης για το </w:t>
      </w:r>
      <w:r w:rsidR="00E5465F">
        <w:t>1ο</w:t>
      </w:r>
      <w:r w:rsidRPr="00D47C86">
        <w:rPr>
          <w:lang w:val="x-none"/>
        </w:rPr>
        <w:t xml:space="preserve"> εξάμηνο του τρέχοντος έτους ήταν η ιδιωτική κατανάλωση με συμβολή </w:t>
      </w:r>
      <w:r>
        <w:t xml:space="preserve">κατά </w:t>
      </w:r>
      <w:r w:rsidRPr="00D47C86">
        <w:rPr>
          <w:lang w:val="x-none"/>
        </w:rPr>
        <w:t xml:space="preserve">μία (1) ποσοστιαία μονάδα </w:t>
      </w:r>
      <w:r>
        <w:t>στο</w:t>
      </w:r>
      <w:r w:rsidRPr="00D47C86">
        <w:rPr>
          <w:lang w:val="x-none"/>
        </w:rPr>
        <w:t xml:space="preserve"> ΑΕΠ (και ετήσια μεταβολή</w:t>
      </w:r>
      <w:r w:rsidRPr="00D47C86">
        <w:rPr>
          <w:rFonts w:cs="Arial"/>
          <w:szCs w:val="20"/>
        </w:rPr>
        <w:t xml:space="preserve"> 1,5%) </w:t>
      </w:r>
      <w:r w:rsidR="00571270">
        <w:rPr>
          <w:rFonts w:cs="Arial"/>
          <w:szCs w:val="20"/>
        </w:rPr>
        <w:t xml:space="preserve">καθώς </w:t>
      </w:r>
      <w:r>
        <w:rPr>
          <w:rFonts w:cs="Arial"/>
          <w:szCs w:val="20"/>
        </w:rPr>
        <w:t xml:space="preserve">και </w:t>
      </w:r>
      <w:r w:rsidRPr="00D47C86">
        <w:rPr>
          <w:rFonts w:cs="Arial"/>
          <w:szCs w:val="20"/>
        </w:rPr>
        <w:t xml:space="preserve">οι επενδύσεις με συμβολή </w:t>
      </w:r>
      <w:r>
        <w:rPr>
          <w:rFonts w:cs="Arial"/>
          <w:szCs w:val="20"/>
        </w:rPr>
        <w:t xml:space="preserve">κατά </w:t>
      </w:r>
      <w:r w:rsidRPr="00D47C86">
        <w:rPr>
          <w:rFonts w:cs="Arial"/>
          <w:szCs w:val="20"/>
        </w:rPr>
        <w:t xml:space="preserve">0,3 ποσοστιαίες μονάδες </w:t>
      </w:r>
      <w:r>
        <w:rPr>
          <w:rFonts w:cs="Arial"/>
          <w:szCs w:val="20"/>
        </w:rPr>
        <w:t>στο</w:t>
      </w:r>
      <w:r w:rsidRPr="00D47C86">
        <w:rPr>
          <w:rFonts w:cs="Arial"/>
          <w:szCs w:val="20"/>
        </w:rPr>
        <w:t xml:space="preserve"> ΑΕΠ (και ετήσια μεταβολή 2,1%)</w:t>
      </w:r>
      <w:r>
        <w:rPr>
          <w:rFonts w:cs="Arial"/>
          <w:szCs w:val="20"/>
        </w:rPr>
        <w:t>.</w:t>
      </w:r>
    </w:p>
    <w:p w14:paraId="2ADF9FFE" w14:textId="77777777" w:rsidR="00C55B4A" w:rsidRPr="00D47C86" w:rsidRDefault="00C55B4A" w:rsidP="00C55B4A">
      <w:pPr>
        <w:rPr>
          <w:lang w:val="x-none"/>
        </w:rPr>
      </w:pPr>
      <w:r w:rsidRPr="00F2316E">
        <w:rPr>
          <w:rFonts w:cs="Arial"/>
          <w:szCs w:val="20"/>
        </w:rPr>
        <w:lastRenderedPageBreak/>
        <w:t>Οι συνολικές ε</w:t>
      </w:r>
      <w:r>
        <w:rPr>
          <w:rFonts w:cs="Arial"/>
          <w:szCs w:val="20"/>
        </w:rPr>
        <w:t>ξαγωγές (</w:t>
      </w:r>
      <w:r w:rsidRPr="00F2316E">
        <w:rPr>
          <w:rFonts w:cs="Arial"/>
          <w:szCs w:val="20"/>
        </w:rPr>
        <w:t>αγαθών και υπηρεσιών</w:t>
      </w:r>
      <w:r>
        <w:rPr>
          <w:rFonts w:cs="Arial"/>
          <w:szCs w:val="20"/>
        </w:rPr>
        <w:t>)</w:t>
      </w:r>
      <w:r w:rsidRPr="00F2316E">
        <w:rPr>
          <w:rFonts w:cs="Arial"/>
          <w:szCs w:val="20"/>
        </w:rPr>
        <w:t xml:space="preserve"> του 1ου εξαμήνου </w:t>
      </w:r>
      <w:r w:rsidR="00623446">
        <w:rPr>
          <w:rFonts w:cs="Arial"/>
          <w:szCs w:val="20"/>
        </w:rPr>
        <w:t xml:space="preserve">του </w:t>
      </w:r>
      <w:r w:rsidRPr="00F2316E">
        <w:rPr>
          <w:rFonts w:cs="Arial"/>
          <w:szCs w:val="20"/>
        </w:rPr>
        <w:t xml:space="preserve">2025 αυξήθηκαν κατά 2,2%, ενώ οι εισαγωγές (αγαθών και υπηρεσιών) μειώθηκαν κατά 0,5%. </w:t>
      </w:r>
      <w:r w:rsidRPr="00D47C86">
        <w:rPr>
          <w:rFonts w:cs="Arial"/>
          <w:szCs w:val="20"/>
        </w:rPr>
        <w:t xml:space="preserve">Η ελληνική οικονομία στο 2ο τρίμηνο του 2025, παρά τη συνεχιζόμενη αβεβαιότητα αναφορικά με τις δασμολογικές πολιτικές σε παγκόσμιο </w:t>
      </w:r>
      <w:r w:rsidRPr="00D47C86">
        <w:rPr>
          <w:lang w:val="x-none"/>
        </w:rPr>
        <w:t>επίπεδο, συνέχισε να μεγεθύνεται σε ετήσια βάση κατά 1,7% (σε πραγματικές τιμές) έναντι αύξησης 2,2% που καταγράφηκε στο 1ο τρίμηνο του</w:t>
      </w:r>
      <w:r>
        <w:rPr>
          <w:lang w:val="x-none"/>
        </w:rPr>
        <w:t xml:space="preserve"> </w:t>
      </w:r>
      <w:r w:rsidRPr="00D47C86">
        <w:rPr>
          <w:lang w:val="x-none"/>
        </w:rPr>
        <w:t>2025.</w:t>
      </w:r>
    </w:p>
    <w:p w14:paraId="60099895" w14:textId="01D37D6A" w:rsidR="00C55B4A" w:rsidRPr="00D47C86" w:rsidRDefault="00C55B4A" w:rsidP="00C55B4A">
      <w:pPr>
        <w:rPr>
          <w:rFonts w:cs="Arial"/>
          <w:szCs w:val="20"/>
        </w:rPr>
      </w:pPr>
      <w:r w:rsidRPr="00D47C86">
        <w:rPr>
          <w:lang w:val="x-none"/>
        </w:rPr>
        <w:t>Σε όρους συνιστωσών του ΑΕΠ (σε σταθερές τιμές) στο 2ο τρίμηνο του 2025 η</w:t>
      </w:r>
      <w:r>
        <w:rPr>
          <w:lang w:val="x-none"/>
        </w:rPr>
        <w:t xml:space="preserve"> </w:t>
      </w:r>
      <w:r w:rsidRPr="00D47C86">
        <w:rPr>
          <w:lang w:val="x-none"/>
        </w:rPr>
        <w:t>συνεχιζόμενη αύξηση της ιδιωτικής κατανάλωσης κατά 1,1% συν</w:t>
      </w:r>
      <w:r w:rsidR="00B2057A">
        <w:t xml:space="preserve">αρτάται </w:t>
      </w:r>
      <w:r w:rsidRPr="00D47C86">
        <w:rPr>
          <w:lang w:val="x-none"/>
        </w:rPr>
        <w:t xml:space="preserve">άμεσα με τις θετικές εξελίξεις στην αγορά εργασίας, </w:t>
      </w:r>
      <w:r w:rsidR="00B2057A">
        <w:t>καθ</w:t>
      </w:r>
      <w:r w:rsidR="00FE3FFD">
        <w:t xml:space="preserve">’ </w:t>
      </w:r>
      <w:r w:rsidR="00B2057A">
        <w:t xml:space="preserve">όσον </w:t>
      </w:r>
      <w:r w:rsidRPr="00D47C86">
        <w:rPr>
          <w:lang w:val="x-none"/>
        </w:rPr>
        <w:t xml:space="preserve">παρατηρείται περαιτέρω ενίσχυση της απασχόλησης, η οποία προσθέτει εισοδήματα στα νοικοκυριά, ενώ η άνοδος του μέσου μισθού τόσο στον ιδιωτικό όσο και στον δημόσιο τομέα συμβάλλει αποφασιστικά στην </w:t>
      </w:r>
      <w:r w:rsidR="00B2057A">
        <w:t xml:space="preserve">ενίσχυση </w:t>
      </w:r>
      <w:r w:rsidRPr="00D47C86">
        <w:rPr>
          <w:lang w:val="x-none"/>
        </w:rPr>
        <w:t>της κατανάλωσης ομαλοποιώντας τις επιπτώσεις από τις πληθωριστικές πιέσεις.</w:t>
      </w:r>
    </w:p>
    <w:p w14:paraId="6B2F66A4" w14:textId="06BB02C4" w:rsidR="00C55B4A" w:rsidRPr="00D47C86" w:rsidRDefault="00C55B4A" w:rsidP="00C55B4A">
      <w:pPr>
        <w:rPr>
          <w:rFonts w:cs="Arial"/>
          <w:szCs w:val="20"/>
        </w:rPr>
      </w:pPr>
      <w:r w:rsidRPr="00D47C86">
        <w:rPr>
          <w:rFonts w:cs="Arial"/>
          <w:szCs w:val="20"/>
        </w:rPr>
        <w:t>Οι επενδύσεις στο 2ο τρίμηνο του 2025 ανέκαμψαν σημαντικά σε σχέση με το 1ο τρίμηνο του 2025, ενισχυόμενες σε ετήσια βάση κατά 6,5%</w:t>
      </w:r>
      <w:r>
        <w:rPr>
          <w:rFonts w:cs="Arial"/>
          <w:szCs w:val="20"/>
        </w:rPr>
        <w:t>.</w:t>
      </w:r>
      <w:r w:rsidRPr="00D47C86">
        <w:rPr>
          <w:rFonts w:cs="Arial"/>
          <w:szCs w:val="20"/>
        </w:rPr>
        <w:t xml:space="preserve"> Σημαντική </w:t>
      </w:r>
      <w:r w:rsidR="00B2057A">
        <w:rPr>
          <w:rFonts w:cs="Arial"/>
          <w:szCs w:val="20"/>
        </w:rPr>
        <w:t xml:space="preserve">συμβολή </w:t>
      </w:r>
      <w:r w:rsidRPr="00D47C86">
        <w:rPr>
          <w:rFonts w:cs="Arial"/>
          <w:szCs w:val="20"/>
        </w:rPr>
        <w:t xml:space="preserve">στην εξέλιξη αυτή είχαν </w:t>
      </w:r>
      <w:r w:rsidR="006E7FCF">
        <w:rPr>
          <w:rFonts w:cs="Arial"/>
          <w:szCs w:val="20"/>
        </w:rPr>
        <w:t xml:space="preserve">οι εισροές </w:t>
      </w:r>
      <w:r w:rsidR="001B4CEB">
        <w:rPr>
          <w:rFonts w:cs="Arial"/>
          <w:szCs w:val="20"/>
        </w:rPr>
        <w:t xml:space="preserve">από το Αναπτυξιακό Πρόγραμμα Δημοσίων Επενδύσεων (ΑΠΔΕ), στο οποίο περιλαμβάνονται και οι εισροές από τον Ευρωπαϊκό Μηχανισμό Ανάκαμψης και Ανθεκτικότητας </w:t>
      </w:r>
      <w:r w:rsidR="001B4CEB" w:rsidRPr="005026A2">
        <w:rPr>
          <w:rFonts w:cs="Arial"/>
          <w:szCs w:val="20"/>
        </w:rPr>
        <w:t>(</w:t>
      </w:r>
      <w:r w:rsidR="001B4CEB">
        <w:rPr>
          <w:rFonts w:cs="Arial"/>
          <w:szCs w:val="20"/>
          <w:lang w:val="en-US"/>
        </w:rPr>
        <w:t>RRF</w:t>
      </w:r>
      <w:r w:rsidR="001B4CEB" w:rsidRPr="005026A2">
        <w:rPr>
          <w:rFonts w:cs="Arial"/>
          <w:szCs w:val="20"/>
        </w:rPr>
        <w:t>)</w:t>
      </w:r>
      <w:r w:rsidR="001B4CEB">
        <w:rPr>
          <w:rFonts w:cs="Arial"/>
          <w:szCs w:val="20"/>
        </w:rPr>
        <w:t>.</w:t>
      </w:r>
      <w:r w:rsidR="006E7FCF">
        <w:rPr>
          <w:rFonts w:cs="Arial"/>
          <w:szCs w:val="20"/>
        </w:rPr>
        <w:t xml:space="preserve"> </w:t>
      </w:r>
      <w:r w:rsidR="001B4CEB">
        <w:rPr>
          <w:rFonts w:cs="Arial"/>
          <w:szCs w:val="20"/>
        </w:rPr>
        <w:t xml:space="preserve">Οι </w:t>
      </w:r>
      <w:r w:rsidR="00290846">
        <w:rPr>
          <w:rFonts w:cs="Arial"/>
          <w:szCs w:val="20"/>
        </w:rPr>
        <w:t xml:space="preserve">μεγαλύτερες </w:t>
      </w:r>
      <w:r w:rsidR="001B4CEB">
        <w:rPr>
          <w:rFonts w:cs="Arial"/>
          <w:szCs w:val="20"/>
        </w:rPr>
        <w:t xml:space="preserve">μεταβολές </w:t>
      </w:r>
      <w:r w:rsidRPr="00D47C86">
        <w:rPr>
          <w:rFonts w:cs="Arial"/>
          <w:szCs w:val="20"/>
        </w:rPr>
        <w:t>εντοπίζονται</w:t>
      </w:r>
      <w:r w:rsidR="006E7FCF">
        <w:rPr>
          <w:rFonts w:cs="Arial"/>
          <w:szCs w:val="20"/>
        </w:rPr>
        <w:t xml:space="preserve"> </w:t>
      </w:r>
      <w:r w:rsidR="00290846">
        <w:rPr>
          <w:rFonts w:cs="Arial"/>
          <w:szCs w:val="20"/>
        </w:rPr>
        <w:t xml:space="preserve">στις κατηγορίες </w:t>
      </w:r>
      <w:r w:rsidRPr="00D47C86">
        <w:rPr>
          <w:rFonts w:cs="Arial"/>
          <w:szCs w:val="20"/>
        </w:rPr>
        <w:t>«Μεταφορικ</w:t>
      </w:r>
      <w:r w:rsidR="00290846">
        <w:rPr>
          <w:rFonts w:cs="Arial"/>
          <w:szCs w:val="20"/>
        </w:rPr>
        <w:t>ός</w:t>
      </w:r>
      <w:r>
        <w:rPr>
          <w:rFonts w:cs="Arial"/>
          <w:szCs w:val="20"/>
        </w:rPr>
        <w:t xml:space="preserve"> </w:t>
      </w:r>
      <w:r w:rsidRPr="00D47C86">
        <w:rPr>
          <w:rFonts w:cs="Arial"/>
          <w:szCs w:val="20"/>
        </w:rPr>
        <w:t>εξοπλισμ</w:t>
      </w:r>
      <w:r w:rsidR="00290846">
        <w:rPr>
          <w:rFonts w:cs="Arial"/>
          <w:szCs w:val="20"/>
        </w:rPr>
        <w:t>ός</w:t>
      </w:r>
      <w:r w:rsidRPr="00D47C86">
        <w:rPr>
          <w:rFonts w:cs="Arial"/>
          <w:szCs w:val="20"/>
        </w:rPr>
        <w:t>»</w:t>
      </w:r>
      <w:r w:rsidR="00EF1ABD">
        <w:rPr>
          <w:rFonts w:cs="Arial"/>
          <w:szCs w:val="20"/>
        </w:rPr>
        <w:t>,</w:t>
      </w:r>
      <w:r w:rsidR="00290846">
        <w:rPr>
          <w:rFonts w:cs="Arial"/>
          <w:szCs w:val="20"/>
        </w:rPr>
        <w:t xml:space="preserve"> με</w:t>
      </w:r>
      <w:r w:rsidRPr="00D47C86">
        <w:rPr>
          <w:rFonts w:cs="Arial"/>
          <w:szCs w:val="20"/>
        </w:rPr>
        <w:t xml:space="preserve"> αύξηση 30,4%, «Κατοικ</w:t>
      </w:r>
      <w:r w:rsidR="00290846">
        <w:rPr>
          <w:rFonts w:cs="Arial"/>
          <w:szCs w:val="20"/>
        </w:rPr>
        <w:t xml:space="preserve">ίες» </w:t>
      </w:r>
      <w:r w:rsidRPr="00D47C86">
        <w:rPr>
          <w:rFonts w:cs="Arial"/>
          <w:szCs w:val="20"/>
        </w:rPr>
        <w:t>(αύξηση 15,2%)</w:t>
      </w:r>
      <w:r>
        <w:rPr>
          <w:rFonts w:cs="Arial"/>
          <w:szCs w:val="20"/>
        </w:rPr>
        <w:t xml:space="preserve">, </w:t>
      </w:r>
      <w:r w:rsidRPr="00D47C86">
        <w:rPr>
          <w:rFonts w:cs="Arial"/>
          <w:szCs w:val="20"/>
        </w:rPr>
        <w:t>«Αγροτικ</w:t>
      </w:r>
      <w:r w:rsidR="00290846">
        <w:rPr>
          <w:rFonts w:cs="Arial"/>
          <w:szCs w:val="20"/>
        </w:rPr>
        <w:t>ά</w:t>
      </w:r>
      <w:r w:rsidRPr="00D47C86">
        <w:rPr>
          <w:rFonts w:cs="Arial"/>
          <w:szCs w:val="20"/>
        </w:rPr>
        <w:t xml:space="preserve"> προϊόντ</w:t>
      </w:r>
      <w:r w:rsidR="00290846">
        <w:rPr>
          <w:rFonts w:cs="Arial"/>
          <w:szCs w:val="20"/>
        </w:rPr>
        <w:t>α</w:t>
      </w:r>
      <w:r w:rsidRPr="00D47C86">
        <w:rPr>
          <w:rFonts w:cs="Arial"/>
          <w:szCs w:val="20"/>
        </w:rPr>
        <w:t>» (αύξηση 8,3%)</w:t>
      </w:r>
      <w:r w:rsidR="00290846">
        <w:rPr>
          <w:rFonts w:cs="Arial"/>
          <w:szCs w:val="20"/>
        </w:rPr>
        <w:t xml:space="preserve"> και «</w:t>
      </w:r>
      <w:r w:rsidRPr="00D47C86">
        <w:rPr>
          <w:rFonts w:cs="Arial"/>
          <w:szCs w:val="20"/>
        </w:rPr>
        <w:t>Άλλ</w:t>
      </w:r>
      <w:r w:rsidR="00290846">
        <w:rPr>
          <w:rFonts w:cs="Arial"/>
          <w:szCs w:val="20"/>
        </w:rPr>
        <w:t>ες</w:t>
      </w:r>
      <w:r>
        <w:rPr>
          <w:rFonts w:cs="Arial"/>
          <w:szCs w:val="20"/>
        </w:rPr>
        <w:t xml:space="preserve"> </w:t>
      </w:r>
      <w:r w:rsidRPr="00D47C86">
        <w:rPr>
          <w:rFonts w:cs="Arial"/>
          <w:szCs w:val="20"/>
        </w:rPr>
        <w:t>κατασκευ</w:t>
      </w:r>
      <w:r w:rsidR="00290846">
        <w:rPr>
          <w:rFonts w:cs="Arial"/>
          <w:szCs w:val="20"/>
        </w:rPr>
        <w:t>ές</w:t>
      </w:r>
      <w:r w:rsidRPr="00D47C86">
        <w:rPr>
          <w:rFonts w:cs="Arial"/>
          <w:szCs w:val="20"/>
        </w:rPr>
        <w:t>»</w:t>
      </w:r>
      <w:r>
        <w:rPr>
          <w:rFonts w:cs="Arial"/>
          <w:szCs w:val="20"/>
        </w:rPr>
        <w:t>,</w:t>
      </w:r>
      <w:r w:rsidRPr="00D47C86">
        <w:rPr>
          <w:rFonts w:cs="Arial"/>
          <w:szCs w:val="20"/>
        </w:rPr>
        <w:t xml:space="preserve"> όπου </w:t>
      </w:r>
      <w:r w:rsidR="00290846">
        <w:rPr>
          <w:rFonts w:cs="Arial"/>
          <w:szCs w:val="20"/>
        </w:rPr>
        <w:t>περιλαμβάνονται ιδίως παραγωγικές επενδύσεις (αύξηση 7,7</w:t>
      </w:r>
      <w:r w:rsidRPr="00D47C86">
        <w:rPr>
          <w:rFonts w:cs="Arial"/>
          <w:szCs w:val="20"/>
        </w:rPr>
        <w:t>%).</w:t>
      </w:r>
    </w:p>
    <w:p w14:paraId="14818B9B" w14:textId="77777777" w:rsidR="00C55B4A" w:rsidRPr="00D47C86" w:rsidRDefault="00C55B4A" w:rsidP="00C55B4A">
      <w:pPr>
        <w:rPr>
          <w:lang w:val="x-none"/>
        </w:rPr>
      </w:pPr>
      <w:r w:rsidRPr="00D47C86">
        <w:rPr>
          <w:lang w:val="x-none"/>
        </w:rPr>
        <w:t>Η δημόσια κατανάλωση επέδρασε θετικά στην ανάπτυξη του</w:t>
      </w:r>
      <w:r>
        <w:rPr>
          <w:lang w:val="x-none"/>
        </w:rPr>
        <w:t xml:space="preserve"> </w:t>
      </w:r>
      <w:r w:rsidRPr="00D47C86">
        <w:rPr>
          <w:lang w:val="x-none"/>
        </w:rPr>
        <w:t xml:space="preserve">2ου τριμήνου </w:t>
      </w:r>
      <w:r w:rsidR="001246A4">
        <w:t xml:space="preserve">του </w:t>
      </w:r>
      <w:r w:rsidRPr="00D47C86">
        <w:rPr>
          <w:lang w:val="x-none"/>
        </w:rPr>
        <w:t>2025 κατά 0,7% σε σχέση με το 2ο τρίμηνο του 2024.</w:t>
      </w:r>
    </w:p>
    <w:p w14:paraId="48D56DAF" w14:textId="2B10D73C" w:rsidR="00C55B4A" w:rsidRPr="00D47C86" w:rsidRDefault="00C55B4A" w:rsidP="00C55B4A">
      <w:pPr>
        <w:rPr>
          <w:lang w:val="x-none"/>
        </w:rPr>
      </w:pPr>
      <w:r w:rsidRPr="00D47C86">
        <w:rPr>
          <w:lang w:val="x-none"/>
        </w:rPr>
        <w:t>Στο 2ο τρίμηνο του 2025 οι εξαγωγές αγαθών και υπηρεσιών της Ελλάδας συνέχισαν την ανοδική τους πορεία</w:t>
      </w:r>
      <w:r w:rsidR="004A6902">
        <w:t>,</w:t>
      </w:r>
      <w:r w:rsidRPr="00D47C86">
        <w:rPr>
          <w:lang w:val="x-none"/>
        </w:rPr>
        <w:t xml:space="preserve"> καταγράφοντας αύξηση 1,9% έναντι του 2ου τριμήνου του 2024. Η άνοδος αυτή οφείλεται κυρίως στις εξαγωγές υπηρεσιών, οι οποίες αυξήθηκαν κατά 3,9% λόγω κυρίως της συνεχιζόμενης ισχυρής απόδοσης του τουρισμού και των αντίστοιχων υψηλών τουριστικών εισπράξεων.</w:t>
      </w:r>
    </w:p>
    <w:p w14:paraId="3EDDAB24" w14:textId="64EB3B62" w:rsidR="00C55B4A" w:rsidRPr="00D62EED" w:rsidRDefault="00C55B4A" w:rsidP="009D6DA0">
      <w:pPr>
        <w:spacing w:after="240"/>
      </w:pPr>
      <w:r w:rsidRPr="00D47C86">
        <w:rPr>
          <w:lang w:val="x-none"/>
        </w:rPr>
        <w:t>Οι εισαγωγές αγαθών και υπηρεσιών στο 2ο τρίμηνο του 2025 παρουσίασαν μείωση κατά 3,2% σε σχέση με το 2ο τρίμηνο του 2024</w:t>
      </w:r>
      <w:r>
        <w:t xml:space="preserve">, η οποία οφείλεται στη μείωση (4,8%) του σκέλους των </w:t>
      </w:r>
      <w:r w:rsidRPr="00D47C86">
        <w:rPr>
          <w:lang w:val="x-none"/>
        </w:rPr>
        <w:t>αγαθών</w:t>
      </w:r>
      <w:r w:rsidR="004A6902">
        <w:t>,</w:t>
      </w:r>
      <w:r w:rsidRPr="00B5045C">
        <w:rPr>
          <w:lang w:val="x-none"/>
        </w:rPr>
        <w:t xml:space="preserve"> συμβάλλοντας συνολικά σε βελτίωση του ελλείμματος του εμπορικού ισοζυγίου</w:t>
      </w:r>
      <w:r w:rsidR="00D62EED">
        <w:t xml:space="preserve">, </w:t>
      </w:r>
      <w:r w:rsidR="00D62EED" w:rsidRPr="00B5045C">
        <w:rPr>
          <w:lang w:val="x-none"/>
        </w:rPr>
        <w:t>ενώ οι εισαγωγές υπηρεσιών αυξήθηκαν κατά 1,5%</w:t>
      </w:r>
      <w:r w:rsidR="00D62EED">
        <w:t>.</w:t>
      </w:r>
    </w:p>
    <w:p w14:paraId="653E69F6" w14:textId="0A645209" w:rsidR="00D92A01" w:rsidRPr="00D92A01" w:rsidRDefault="00D92A01" w:rsidP="00B77A67">
      <w:pPr>
        <w:pStyle w:val="afc"/>
        <w:keepNext/>
        <w:spacing w:after="60" w:line="276" w:lineRule="auto"/>
        <w:jc w:val="center"/>
        <w:rPr>
          <w:sz w:val="18"/>
          <w:szCs w:val="18"/>
        </w:rPr>
      </w:pPr>
      <w:bookmarkStart w:id="11" w:name="_Ref210139082"/>
      <w:bookmarkStart w:id="12" w:name="_Toc210570702"/>
      <w:r w:rsidRPr="00D92A01">
        <w:rPr>
          <w:sz w:val="18"/>
          <w:szCs w:val="18"/>
        </w:rPr>
        <w:t>Διάγραμμα 1.</w:t>
      </w:r>
      <w:r w:rsidR="00CC4105">
        <w:rPr>
          <w:sz w:val="18"/>
          <w:szCs w:val="18"/>
        </w:rPr>
        <w:fldChar w:fldCharType="begin"/>
      </w:r>
      <w:r w:rsidR="00CC4105">
        <w:rPr>
          <w:sz w:val="18"/>
          <w:szCs w:val="18"/>
        </w:rPr>
        <w:instrText xml:space="preserve"> SEQ Διάγραμμα_1. \* ARABIC </w:instrText>
      </w:r>
      <w:r w:rsidR="00CC4105">
        <w:rPr>
          <w:sz w:val="18"/>
          <w:szCs w:val="18"/>
        </w:rPr>
        <w:fldChar w:fldCharType="separate"/>
      </w:r>
      <w:r w:rsidR="00C42930">
        <w:rPr>
          <w:noProof/>
          <w:sz w:val="18"/>
          <w:szCs w:val="18"/>
        </w:rPr>
        <w:t>4</w:t>
      </w:r>
      <w:r w:rsidR="00CC4105">
        <w:rPr>
          <w:sz w:val="18"/>
          <w:szCs w:val="18"/>
        </w:rPr>
        <w:fldChar w:fldCharType="end"/>
      </w:r>
      <w:bookmarkEnd w:id="11"/>
      <w:r w:rsidRPr="00D92A01">
        <w:rPr>
          <w:sz w:val="18"/>
          <w:szCs w:val="18"/>
        </w:rPr>
        <w:t xml:space="preserve">.: </w:t>
      </w:r>
      <w:r w:rsidRPr="00D92A01">
        <w:rPr>
          <w:rFonts w:cs="Arial"/>
          <w:sz w:val="18"/>
          <w:szCs w:val="18"/>
        </w:rPr>
        <w:t xml:space="preserve">Εξέλιξη συμβολής ΑΕΠ ανά συνιστώσα </w:t>
      </w:r>
      <w:r w:rsidRPr="00D92A01">
        <w:rPr>
          <w:rFonts w:cs="Arial"/>
          <w:sz w:val="18"/>
          <w:szCs w:val="18"/>
          <w:lang w:val="en-US"/>
        </w:rPr>
        <w:t>Q</w:t>
      </w:r>
      <w:r w:rsidRPr="00D92A01">
        <w:rPr>
          <w:rFonts w:cs="Arial"/>
          <w:sz w:val="18"/>
          <w:szCs w:val="18"/>
        </w:rPr>
        <w:t xml:space="preserve">12021 - </w:t>
      </w:r>
      <w:r w:rsidRPr="00D92A01">
        <w:rPr>
          <w:rFonts w:cs="Arial"/>
          <w:sz w:val="18"/>
          <w:szCs w:val="18"/>
          <w:lang w:val="en-US"/>
        </w:rPr>
        <w:t>Q</w:t>
      </w:r>
      <w:r w:rsidRPr="00D92A01">
        <w:rPr>
          <w:rFonts w:cs="Arial"/>
          <w:sz w:val="18"/>
          <w:szCs w:val="18"/>
        </w:rPr>
        <w:t>22025 (Q/Q-4,%)</w:t>
      </w:r>
      <w:bookmarkEnd w:id="12"/>
    </w:p>
    <w:p w14:paraId="2673F9BB" w14:textId="77777777" w:rsidR="00F12FF2" w:rsidRDefault="00CD3945" w:rsidP="00A05C43">
      <w:pPr>
        <w:keepNext/>
        <w:spacing w:after="0" w:line="276" w:lineRule="auto"/>
        <w:rPr>
          <w:rFonts w:cs="Arial"/>
          <w:b/>
          <w:sz w:val="18"/>
          <w:szCs w:val="18"/>
        </w:rPr>
      </w:pPr>
      <w:r w:rsidRPr="00986E4B">
        <w:rPr>
          <w:noProof/>
          <w:sz w:val="18"/>
        </w:rPr>
        <w:drawing>
          <wp:inline distT="0" distB="0" distL="0" distR="0" wp14:anchorId="46ADF848" wp14:editId="1B1AAC90">
            <wp:extent cx="5759450" cy="2734945"/>
            <wp:effectExtent l="0" t="0" r="12700" b="8255"/>
            <wp:docPr id="10" name="Γράφημα 10">
              <a:extLst xmlns:a="http://schemas.openxmlformats.org/drawingml/2006/main">
                <a:ext uri="{FF2B5EF4-FFF2-40B4-BE49-F238E27FC236}">
                  <a16:creationId xmlns:a16="http://schemas.microsoft.com/office/drawing/2014/main" id="{53526814-250A-4BAF-9B93-CE3BA7678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403BF9" w14:textId="77777777" w:rsidR="001D1DAB" w:rsidRDefault="001D1DAB" w:rsidP="00A05C43">
      <w:pPr>
        <w:tabs>
          <w:tab w:val="left" w:pos="0"/>
        </w:tabs>
        <w:spacing w:before="60" w:after="0" w:line="276" w:lineRule="auto"/>
        <w:rPr>
          <w:rFonts w:cs="Arial"/>
          <w:sz w:val="16"/>
          <w:szCs w:val="16"/>
        </w:rPr>
      </w:pPr>
      <w:r w:rsidRPr="00982682">
        <w:rPr>
          <w:rFonts w:cs="Arial"/>
          <w:sz w:val="16"/>
          <w:szCs w:val="16"/>
        </w:rPr>
        <w:t>Πηγή: ΕΛΣΤΑΤ, επεξεργασία</w:t>
      </w:r>
      <w:r>
        <w:rPr>
          <w:rFonts w:cs="Arial"/>
          <w:sz w:val="16"/>
          <w:szCs w:val="16"/>
        </w:rPr>
        <w:t xml:space="preserve"> </w:t>
      </w:r>
      <w:r w:rsidRPr="00BD2666">
        <w:rPr>
          <w:rFonts w:cs="Arial"/>
          <w:sz w:val="16"/>
          <w:szCs w:val="16"/>
        </w:rPr>
        <w:t>Υπουργείου Εθνικής Οικονομίας και Οικονομικών</w:t>
      </w:r>
    </w:p>
    <w:p w14:paraId="5BC3FAD1" w14:textId="16F64580" w:rsidR="009D6DA0" w:rsidRPr="00D62EED" w:rsidRDefault="009D6DA0" w:rsidP="00A465CF">
      <w:pPr>
        <w:spacing w:before="240"/>
        <w:rPr>
          <w:lang w:val="x-none"/>
        </w:rPr>
      </w:pPr>
      <w:r w:rsidRPr="001F31EA">
        <w:rPr>
          <w:lang w:val="x-none"/>
        </w:rPr>
        <w:lastRenderedPageBreak/>
        <w:t xml:space="preserve">Στο </w:t>
      </w:r>
      <w:r w:rsidRPr="001F31EA">
        <w:rPr>
          <w:lang w:val="x-none"/>
        </w:rPr>
        <w:fldChar w:fldCharType="begin"/>
      </w:r>
      <w:r w:rsidRPr="001F31EA">
        <w:rPr>
          <w:lang w:val="x-none"/>
        </w:rPr>
        <w:instrText xml:space="preserve"> REF _Ref210139082 \h  \* MERGEFORMAT </w:instrText>
      </w:r>
      <w:r w:rsidRPr="001F31EA">
        <w:rPr>
          <w:lang w:val="x-none"/>
        </w:rPr>
      </w:r>
      <w:r w:rsidRPr="001F31EA">
        <w:rPr>
          <w:lang w:val="x-none"/>
        </w:rPr>
        <w:fldChar w:fldCharType="separate"/>
      </w:r>
      <w:r w:rsidR="00C42930" w:rsidRPr="00C42930">
        <w:rPr>
          <w:lang w:val="x-none"/>
        </w:rPr>
        <w:t>Διάγραμμα 1.4</w:t>
      </w:r>
      <w:r w:rsidRPr="001F31EA">
        <w:rPr>
          <w:lang w:val="x-none"/>
        </w:rPr>
        <w:fldChar w:fldCharType="end"/>
      </w:r>
      <w:r w:rsidRPr="001F31EA">
        <w:rPr>
          <w:lang w:val="x-none"/>
        </w:rPr>
        <w:t>. αποτυπώνεται</w:t>
      </w:r>
      <w:r w:rsidRPr="00D62EED">
        <w:rPr>
          <w:lang w:val="x-none"/>
        </w:rPr>
        <w:t xml:space="preserve"> διαχρονικά η εξέλιξη της συμβολής των συνιστωσών του ΑΕΠ από το 1ο τρίμηνο του 2021 έως και το 2ο τρίμηνο του 2025. Ειδικότερα, στο 2ο τρίμηνο του 2025 η συμβολή των συνιστωσών του ΑΕΠ στην κατά 1,7% μεγέθυνση της ελληνικής οικονομίας αποτυπώνεται κυρίως μέσω της θετικής πορείας της ιδιωτικής και της δημόσιας κατανάλωσης, συνεισφέροντας κατά 0,8 και 0,1 ποσοστιαίες μονάδες αντίστοιχα, καθώς και των επενδύσεων (ακαθάριστος σχηματισμός παγίου κεφαλαίου</w:t>
      </w:r>
      <w:r w:rsidR="006A00EC">
        <w:t>,</w:t>
      </w:r>
      <w:r w:rsidRPr="00D62EED">
        <w:rPr>
          <w:lang w:val="x-none"/>
        </w:rPr>
        <w:t xml:space="preserve"> εξαιρουμένων των αποθεμάτων) κατά μία (1) ποσοστιαία μονάδα.</w:t>
      </w:r>
    </w:p>
    <w:p w14:paraId="087A0B1B" w14:textId="6CF7E4FB" w:rsidR="009D6DA0" w:rsidRPr="00D47C86" w:rsidRDefault="009D6DA0" w:rsidP="009D6DA0">
      <w:pPr>
        <w:rPr>
          <w:lang w:val="x-none"/>
        </w:rPr>
      </w:pPr>
      <w:r w:rsidRPr="009B3E20">
        <w:rPr>
          <w:lang w:val="x-none"/>
        </w:rPr>
        <w:t xml:space="preserve">Οι εξαγωγές </w:t>
      </w:r>
      <w:bookmarkStart w:id="13" w:name="_Hlk200563547"/>
      <w:r w:rsidRPr="009B3E20">
        <w:rPr>
          <w:lang w:val="x-none"/>
        </w:rPr>
        <w:t xml:space="preserve">(αγαθών και υπηρεσιών) </w:t>
      </w:r>
      <w:bookmarkEnd w:id="13"/>
      <w:r w:rsidRPr="009B3E20">
        <w:t>επέδρασαν, ομοίως,</w:t>
      </w:r>
      <w:r w:rsidRPr="009B3E20">
        <w:rPr>
          <w:lang w:val="x-none"/>
        </w:rPr>
        <w:t xml:space="preserve"> θετικά στο ΑΕΠ του 2ου τριμήνου </w:t>
      </w:r>
      <w:r w:rsidRPr="009B3E20">
        <w:t xml:space="preserve">του </w:t>
      </w:r>
      <w:r w:rsidRPr="009B3E20">
        <w:rPr>
          <w:lang w:val="x-none"/>
        </w:rPr>
        <w:t xml:space="preserve">2025 κατά 0,7 ποσοστιαίες μονάδες </w:t>
      </w:r>
      <w:r>
        <w:t xml:space="preserve">λόγω της αύξησης της εξαγωγής υπηρεσιών, η οποία αντιστάθμισε πλήρως την οριακή μείωση των εξαγωγών αγαθών κατά </w:t>
      </w:r>
      <w:r w:rsidRPr="009B3E20">
        <w:rPr>
          <w:lang w:val="x-none"/>
        </w:rPr>
        <w:t>0,2 ποσοστιαίες μονάδες. Οι εισαγωγές αγαθών και υπηρεσιών</w:t>
      </w:r>
      <w:r w:rsidR="001C21B8">
        <w:t>,</w:t>
      </w:r>
      <w:r w:rsidRPr="009B3E20">
        <w:rPr>
          <w:lang w:val="x-none"/>
        </w:rPr>
        <w:t xml:space="preserve"> καταγράφοντας μείωση 3,2</w:t>
      </w:r>
      <w:r w:rsidRPr="009B3E20">
        <w:t>%</w:t>
      </w:r>
      <w:r w:rsidRPr="009B3E20">
        <w:rPr>
          <w:lang w:val="x-none"/>
        </w:rPr>
        <w:t xml:space="preserve"> (-4,8% στα αγαθά και αύξηση 1,5</w:t>
      </w:r>
      <w:r w:rsidRPr="009B3E20">
        <w:t>%</w:t>
      </w:r>
      <w:r w:rsidRPr="009B3E20">
        <w:rPr>
          <w:lang w:val="x-none"/>
        </w:rPr>
        <w:t xml:space="preserve"> στις υπηρεσίες)</w:t>
      </w:r>
      <w:r w:rsidR="001C21B8">
        <w:t>,</w:t>
      </w:r>
      <w:r w:rsidRPr="009B3E20">
        <w:rPr>
          <w:lang w:val="x-none"/>
        </w:rPr>
        <w:t xml:space="preserve"> συνε</w:t>
      </w:r>
      <w:r>
        <w:t xml:space="preserve">τέλεσαν </w:t>
      </w:r>
      <w:r w:rsidRPr="009B3E20">
        <w:rPr>
          <w:lang w:val="x-none"/>
        </w:rPr>
        <w:t>θετικ</w:t>
      </w:r>
      <w:r>
        <w:t>ά</w:t>
      </w:r>
      <w:r w:rsidRPr="009B3E20">
        <w:rPr>
          <w:lang w:val="x-none"/>
        </w:rPr>
        <w:t xml:space="preserve"> </w:t>
      </w:r>
      <w:r>
        <w:t xml:space="preserve">στην </w:t>
      </w:r>
      <w:r w:rsidRPr="009B3E20">
        <w:rPr>
          <w:lang w:val="x-none"/>
        </w:rPr>
        <w:t>επίδραση των καθαρών εξαγωγών στο ΑΕΠ κατά 2,2 ποσοστιαίες μονάδες.</w:t>
      </w:r>
    </w:p>
    <w:p w14:paraId="1D498C69" w14:textId="031B80EC" w:rsidR="00E2049B" w:rsidRPr="00C1293D" w:rsidRDefault="00E2049B" w:rsidP="009D6DA0">
      <w:pPr>
        <w:spacing w:before="120"/>
      </w:pPr>
      <w:r w:rsidRPr="00D47C86">
        <w:rPr>
          <w:rFonts w:cs="Arial"/>
          <w:szCs w:val="20"/>
        </w:rPr>
        <w:t>Ο ρυθμός ανάπτυξης της ελληνικής οικονομίας για το σύνολο του έτους 2025 εκτιμάται ότι θα ανέλθει σ</w:t>
      </w:r>
      <w:r w:rsidR="004C1686">
        <w:rPr>
          <w:rFonts w:cs="Arial"/>
          <w:szCs w:val="20"/>
        </w:rPr>
        <w:t>ε</w:t>
      </w:r>
      <w:r w:rsidRPr="00D47C86">
        <w:rPr>
          <w:rFonts w:cs="Arial"/>
          <w:szCs w:val="20"/>
        </w:rPr>
        <w:t xml:space="preserve"> </w:t>
      </w:r>
      <w:r>
        <w:rPr>
          <w:rFonts w:cs="Arial"/>
          <w:szCs w:val="20"/>
        </w:rPr>
        <w:t>2,2</w:t>
      </w:r>
      <w:r w:rsidRPr="00D47C86">
        <w:rPr>
          <w:rFonts w:cs="Arial"/>
          <w:szCs w:val="20"/>
        </w:rPr>
        <w:t>%</w:t>
      </w:r>
      <w:r>
        <w:rPr>
          <w:rFonts w:cs="Arial"/>
          <w:szCs w:val="20"/>
        </w:rPr>
        <w:t xml:space="preserve">. </w:t>
      </w:r>
      <w:r w:rsidRPr="00D47C86">
        <w:rPr>
          <w:rFonts w:cs="Arial"/>
          <w:szCs w:val="20"/>
        </w:rPr>
        <w:t xml:space="preserve">Ο υψηλός ρυθμός των επενδύσεων σε συνδυασμό με τη διατήρηση της κατανάλωσης και </w:t>
      </w:r>
      <w:r w:rsidRPr="00210210">
        <w:rPr>
          <w:rFonts w:cs="Arial"/>
          <w:szCs w:val="20"/>
        </w:rPr>
        <w:t xml:space="preserve">τη θετική </w:t>
      </w:r>
      <w:r w:rsidR="004C1686">
        <w:rPr>
          <w:rFonts w:cs="Arial"/>
          <w:szCs w:val="20"/>
        </w:rPr>
        <w:t xml:space="preserve">επίδραση </w:t>
      </w:r>
      <w:r w:rsidRPr="00210210">
        <w:rPr>
          <w:rFonts w:cs="Arial"/>
          <w:szCs w:val="20"/>
        </w:rPr>
        <w:t>των καθαρών εξαγωγών</w:t>
      </w:r>
      <w:r w:rsidR="004C1686">
        <w:rPr>
          <w:rFonts w:cs="Arial"/>
          <w:szCs w:val="20"/>
        </w:rPr>
        <w:t>,</w:t>
      </w:r>
      <w:r w:rsidRPr="00210210">
        <w:rPr>
          <w:rFonts w:cs="Arial"/>
          <w:szCs w:val="20"/>
        </w:rPr>
        <w:t xml:space="preserve"> αναμένεται να διατηρήσουν την </w:t>
      </w:r>
      <w:r w:rsidRPr="00210210">
        <w:t xml:space="preserve">ελληνική οικονομία σε αναπτυξιακή </w:t>
      </w:r>
      <w:r w:rsidRPr="00D47C86">
        <w:t>τροχιά και το έτος 2025.</w:t>
      </w:r>
      <w:r>
        <w:t xml:space="preserve"> Ειδικότερα, </w:t>
      </w:r>
      <w:r w:rsidRPr="00D47C86">
        <w:rPr>
          <w:rFonts w:cs="Arial"/>
          <w:szCs w:val="20"/>
        </w:rPr>
        <w:t xml:space="preserve">οι επενδύσεις </w:t>
      </w:r>
      <w:r>
        <w:rPr>
          <w:rFonts w:cs="Arial"/>
          <w:szCs w:val="20"/>
        </w:rPr>
        <w:t xml:space="preserve">αναμένεται να αυξηθούν κατά </w:t>
      </w:r>
      <w:r w:rsidRPr="00D47C86">
        <w:rPr>
          <w:rFonts w:cs="Arial"/>
          <w:szCs w:val="20"/>
        </w:rPr>
        <w:t xml:space="preserve">5,7%, οι εξαγωγές αγαθών και υπηρεσιών κατά </w:t>
      </w:r>
      <w:r>
        <w:rPr>
          <w:rFonts w:cs="Arial"/>
          <w:szCs w:val="20"/>
        </w:rPr>
        <w:t>2,2</w:t>
      </w:r>
      <w:r w:rsidRPr="00D47C86">
        <w:rPr>
          <w:rFonts w:cs="Arial"/>
          <w:szCs w:val="20"/>
        </w:rPr>
        <w:t>%</w:t>
      </w:r>
      <w:r>
        <w:rPr>
          <w:rFonts w:cs="Arial"/>
          <w:szCs w:val="20"/>
        </w:rPr>
        <w:t xml:space="preserve"> </w:t>
      </w:r>
      <w:r w:rsidRPr="00D47C86">
        <w:rPr>
          <w:rFonts w:cs="Arial"/>
          <w:szCs w:val="20"/>
        </w:rPr>
        <w:t>και η ιδιωτική</w:t>
      </w:r>
      <w:r>
        <w:rPr>
          <w:rFonts w:cs="Arial"/>
          <w:szCs w:val="20"/>
        </w:rPr>
        <w:t xml:space="preserve"> και </w:t>
      </w:r>
      <w:r w:rsidR="004C1686">
        <w:rPr>
          <w:rFonts w:cs="Arial"/>
          <w:szCs w:val="20"/>
        </w:rPr>
        <w:t xml:space="preserve">η </w:t>
      </w:r>
      <w:r>
        <w:rPr>
          <w:rFonts w:cs="Arial"/>
          <w:szCs w:val="20"/>
        </w:rPr>
        <w:t xml:space="preserve">δημόσια </w:t>
      </w:r>
      <w:r w:rsidRPr="00D47C86">
        <w:rPr>
          <w:rFonts w:cs="Arial"/>
          <w:szCs w:val="20"/>
        </w:rPr>
        <w:t xml:space="preserve">κατανάλωση </w:t>
      </w:r>
      <w:r>
        <w:rPr>
          <w:rFonts w:cs="Arial"/>
          <w:szCs w:val="20"/>
        </w:rPr>
        <w:t xml:space="preserve">κατά </w:t>
      </w:r>
      <w:r w:rsidRPr="00D47C86">
        <w:rPr>
          <w:rFonts w:cs="Arial"/>
          <w:szCs w:val="20"/>
        </w:rPr>
        <w:t>1,9%</w:t>
      </w:r>
      <w:r>
        <w:rPr>
          <w:rFonts w:cs="Arial"/>
          <w:szCs w:val="20"/>
        </w:rPr>
        <w:t xml:space="preserve"> και 1,4%</w:t>
      </w:r>
      <w:r w:rsidR="004C1686">
        <w:rPr>
          <w:rFonts w:cs="Arial"/>
          <w:szCs w:val="20"/>
        </w:rPr>
        <w:t>,</w:t>
      </w:r>
      <w:r>
        <w:rPr>
          <w:rFonts w:cs="Arial"/>
          <w:szCs w:val="20"/>
        </w:rPr>
        <w:t xml:space="preserve"> αντίστοιχα.</w:t>
      </w:r>
    </w:p>
    <w:p w14:paraId="299C6087" w14:textId="7A04E270" w:rsidR="00E2049B" w:rsidRPr="00210210" w:rsidRDefault="00E2049B" w:rsidP="002914C1">
      <w:pPr>
        <w:spacing w:after="240"/>
        <w:rPr>
          <w:rFonts w:cs="Arial"/>
          <w:szCs w:val="20"/>
        </w:rPr>
      </w:pPr>
      <w:r w:rsidRPr="00210210">
        <w:t>Η ανοδική πορεία της ελληνικής οικονομίας κατά τη διάρκεια του 1ου εξαμήνου του 2025, παρά την αβεβαιότητα του διεθνούς</w:t>
      </w:r>
      <w:r w:rsidRPr="00210210">
        <w:rPr>
          <w:rFonts w:cs="Arial"/>
          <w:szCs w:val="20"/>
        </w:rPr>
        <w:t xml:space="preserve"> οικονομικού περιβάλλοντος, </w:t>
      </w:r>
      <w:r w:rsidR="004C1686">
        <w:rPr>
          <w:rFonts w:cs="Arial"/>
          <w:szCs w:val="20"/>
        </w:rPr>
        <w:t xml:space="preserve">αντικατοπτρίζεται </w:t>
      </w:r>
      <w:r w:rsidRPr="00210210">
        <w:rPr>
          <w:rFonts w:cs="Arial"/>
          <w:szCs w:val="20"/>
        </w:rPr>
        <w:t>και σε όρους πραγματικής παραγωγής. Η Ακαθάριστη Προστιθέμενη Αξία (ΑΠΑ) κατέγραψε αύξηση της τάξης του 1,3% έναντι του αντίστοιχου εξαμήνου του 2024</w:t>
      </w:r>
      <w:r w:rsidR="00BA3877">
        <w:rPr>
          <w:rFonts w:cs="Arial"/>
          <w:szCs w:val="20"/>
        </w:rPr>
        <w:t>,</w:t>
      </w:r>
      <w:r w:rsidRPr="00210210">
        <w:rPr>
          <w:rFonts w:cs="Arial"/>
          <w:szCs w:val="20"/>
        </w:rPr>
        <w:t xml:space="preserve"> διατηρώντας τη θετική της δυναμική.</w:t>
      </w:r>
    </w:p>
    <w:p w14:paraId="21875648" w14:textId="66250845" w:rsidR="00A64E63" w:rsidRPr="00980B3F" w:rsidRDefault="00980B3F" w:rsidP="00980B3F">
      <w:pPr>
        <w:pStyle w:val="afc"/>
        <w:keepNext/>
        <w:spacing w:after="0" w:line="276" w:lineRule="auto"/>
        <w:jc w:val="center"/>
        <w:rPr>
          <w:rFonts w:ascii="Times New Roman" w:hAnsi="Times New Roman"/>
          <w:sz w:val="18"/>
          <w:szCs w:val="18"/>
        </w:rPr>
      </w:pPr>
      <w:bookmarkStart w:id="14" w:name="_Ref210139292"/>
      <w:bookmarkStart w:id="15" w:name="_Toc210570703"/>
      <w:r w:rsidRPr="00980B3F">
        <w:rPr>
          <w:sz w:val="18"/>
          <w:szCs w:val="18"/>
        </w:rPr>
        <w:t>Διάγραμμα 1.</w:t>
      </w:r>
      <w:r w:rsidR="00CC4105">
        <w:rPr>
          <w:sz w:val="18"/>
          <w:szCs w:val="18"/>
        </w:rPr>
        <w:fldChar w:fldCharType="begin"/>
      </w:r>
      <w:r w:rsidR="00CC4105">
        <w:rPr>
          <w:sz w:val="18"/>
          <w:szCs w:val="18"/>
        </w:rPr>
        <w:instrText xml:space="preserve"> SEQ Διάγραμμα_1. \* ARABIC </w:instrText>
      </w:r>
      <w:r w:rsidR="00CC4105">
        <w:rPr>
          <w:sz w:val="18"/>
          <w:szCs w:val="18"/>
        </w:rPr>
        <w:fldChar w:fldCharType="separate"/>
      </w:r>
      <w:r w:rsidR="00C42930">
        <w:rPr>
          <w:noProof/>
          <w:sz w:val="18"/>
          <w:szCs w:val="18"/>
        </w:rPr>
        <w:t>5</w:t>
      </w:r>
      <w:r w:rsidR="00CC4105">
        <w:rPr>
          <w:sz w:val="18"/>
          <w:szCs w:val="18"/>
        </w:rPr>
        <w:fldChar w:fldCharType="end"/>
      </w:r>
      <w:bookmarkEnd w:id="14"/>
      <w:r w:rsidRPr="00980B3F">
        <w:rPr>
          <w:sz w:val="18"/>
          <w:szCs w:val="18"/>
        </w:rPr>
        <w:t xml:space="preserve">.: </w:t>
      </w:r>
      <w:r w:rsidR="00A64E63" w:rsidRPr="00980B3F">
        <w:rPr>
          <w:rFonts w:cs="Arial"/>
          <w:bCs w:val="0"/>
          <w:sz w:val="18"/>
          <w:szCs w:val="18"/>
        </w:rPr>
        <w:t>Εξέλιξη διάρθρωσης βασικών οικονομικών κλάδων 2022</w:t>
      </w:r>
      <w:r w:rsidR="00A64E63" w:rsidRPr="00980B3F">
        <w:rPr>
          <w:rFonts w:cs="Arial"/>
          <w:bCs w:val="0"/>
          <w:sz w:val="18"/>
          <w:szCs w:val="18"/>
          <w:lang w:val="en-US"/>
        </w:rPr>
        <w:t>Q</w:t>
      </w:r>
      <w:r w:rsidR="00A64E63" w:rsidRPr="00980B3F">
        <w:rPr>
          <w:rFonts w:cs="Arial"/>
          <w:bCs w:val="0"/>
          <w:sz w:val="18"/>
          <w:szCs w:val="18"/>
        </w:rPr>
        <w:t>1</w:t>
      </w:r>
      <w:r w:rsidR="000B4765">
        <w:rPr>
          <w:rFonts w:cs="Arial"/>
          <w:bCs w:val="0"/>
          <w:sz w:val="18"/>
          <w:szCs w:val="18"/>
        </w:rPr>
        <w:t xml:space="preserve"> </w:t>
      </w:r>
      <w:r w:rsidR="00A64E63" w:rsidRPr="00980B3F">
        <w:rPr>
          <w:rFonts w:cs="Arial"/>
          <w:bCs w:val="0"/>
          <w:sz w:val="18"/>
          <w:szCs w:val="18"/>
        </w:rPr>
        <w:t>- 2025</w:t>
      </w:r>
      <w:r w:rsidR="00A64E63" w:rsidRPr="00980B3F">
        <w:rPr>
          <w:rFonts w:cs="Arial"/>
          <w:bCs w:val="0"/>
          <w:sz w:val="18"/>
          <w:szCs w:val="18"/>
          <w:lang w:val="en-US"/>
        </w:rPr>
        <w:t>Q</w:t>
      </w:r>
      <w:r w:rsidR="00A64E63" w:rsidRPr="00980B3F">
        <w:rPr>
          <w:rFonts w:cs="Arial"/>
          <w:bCs w:val="0"/>
          <w:sz w:val="18"/>
          <w:szCs w:val="18"/>
        </w:rPr>
        <w:t>2</w:t>
      </w:r>
      <w:bookmarkEnd w:id="15"/>
    </w:p>
    <w:p w14:paraId="6005BC74" w14:textId="77777777" w:rsidR="00A64E63" w:rsidRDefault="00A64E63" w:rsidP="00A64E63">
      <w:pPr>
        <w:keepNext/>
        <w:spacing w:after="60" w:line="276" w:lineRule="auto"/>
        <w:jc w:val="center"/>
        <w:rPr>
          <w:rFonts w:cs="Arial"/>
          <w:b/>
          <w:sz w:val="18"/>
          <w:szCs w:val="18"/>
        </w:rPr>
      </w:pPr>
      <w:r w:rsidRPr="00A64E63">
        <w:rPr>
          <w:rFonts w:cs="Arial"/>
          <w:b/>
          <w:sz w:val="18"/>
          <w:szCs w:val="18"/>
        </w:rPr>
        <w:t>(τριμηνιαία στοιχεία, σταθερές τιμές, εποχικά διορθωμένα, εκατ. ευρώ)</w:t>
      </w:r>
    </w:p>
    <w:p w14:paraId="571BA61A" w14:textId="77777777" w:rsidR="003B177A" w:rsidRDefault="00C57986" w:rsidP="00A05C43">
      <w:pPr>
        <w:keepNext/>
        <w:spacing w:after="0" w:line="276" w:lineRule="auto"/>
        <w:jc w:val="center"/>
        <w:rPr>
          <w:rFonts w:cs="Arial"/>
          <w:b/>
          <w:sz w:val="18"/>
          <w:szCs w:val="18"/>
        </w:rPr>
      </w:pPr>
      <w:r>
        <w:rPr>
          <w:noProof/>
        </w:rPr>
        <w:drawing>
          <wp:inline distT="0" distB="0" distL="0" distR="0" wp14:anchorId="695AD1F3" wp14:editId="5C35359C">
            <wp:extent cx="5760000" cy="2719346"/>
            <wp:effectExtent l="0" t="0" r="12700" b="5080"/>
            <wp:docPr id="22" name="Γράφημα 22" descr="Διάρθρωση Κλάδων οικονομίας (εκατ. ευρώ, Σταθερές τιμές)">
              <a:extLst xmlns:a="http://schemas.openxmlformats.org/drawingml/2006/main">
                <a:ext uri="{FF2B5EF4-FFF2-40B4-BE49-F238E27FC236}">
                  <a16:creationId xmlns:a16="http://schemas.microsoft.com/office/drawing/2014/main" id="{53F0809A-23F7-43F5-A818-0160EC7A5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C005DD" w14:textId="77777777" w:rsidR="004E08BA" w:rsidRPr="00BD2274" w:rsidRDefault="004E08BA" w:rsidP="009D6DA0">
      <w:pPr>
        <w:spacing w:before="60" w:after="0" w:line="276" w:lineRule="auto"/>
        <w:rPr>
          <w:rFonts w:cs="Arial"/>
          <w:b/>
          <w:sz w:val="18"/>
          <w:szCs w:val="18"/>
        </w:rPr>
      </w:pPr>
      <w:r w:rsidRPr="00982682">
        <w:rPr>
          <w:rFonts w:cs="Arial"/>
          <w:sz w:val="16"/>
          <w:szCs w:val="16"/>
        </w:rPr>
        <w:t xml:space="preserve">Πηγή: ΕΛΣΤΑΤ, </w:t>
      </w:r>
      <w:r w:rsidRPr="00BD2274">
        <w:rPr>
          <w:rFonts w:cs="Arial"/>
          <w:sz w:val="16"/>
          <w:szCs w:val="16"/>
        </w:rPr>
        <w:t>επεξεργασία Υπουργείου Εθνικής Οικονομίας και Οικονομικών</w:t>
      </w:r>
    </w:p>
    <w:p w14:paraId="62FA58E1" w14:textId="69CB220A" w:rsidR="009D6DA0" w:rsidRDefault="009D6DA0" w:rsidP="009D6DA0">
      <w:pPr>
        <w:spacing w:before="240"/>
        <w:rPr>
          <w:rFonts w:cs="Arial"/>
          <w:szCs w:val="20"/>
        </w:rPr>
      </w:pPr>
      <w:r w:rsidRPr="004D6363">
        <w:rPr>
          <w:rFonts w:cs="Arial"/>
          <w:szCs w:val="20"/>
        </w:rPr>
        <w:t>Η διαχρονική εξέλιξη των βασικών οικονομικών δραστηριοτήτων της ελληνικής οικονομίας για τα τρία τελευταία έτη παρουσιάζ</w:t>
      </w:r>
      <w:r>
        <w:rPr>
          <w:rFonts w:cs="Arial"/>
          <w:szCs w:val="20"/>
        </w:rPr>
        <w:t>εται</w:t>
      </w:r>
      <w:r w:rsidRPr="004D6363">
        <w:rPr>
          <w:rFonts w:cs="Arial"/>
          <w:szCs w:val="20"/>
        </w:rPr>
        <w:t xml:space="preserve"> </w:t>
      </w:r>
      <w:r w:rsidRPr="007B1B5A">
        <w:rPr>
          <w:rFonts w:cs="Arial"/>
          <w:szCs w:val="20"/>
        </w:rPr>
        <w:t xml:space="preserve">στο </w:t>
      </w:r>
      <w:r w:rsidRPr="007B1B5A">
        <w:fldChar w:fldCharType="begin"/>
      </w:r>
      <w:r w:rsidRPr="007B1B5A">
        <w:instrText xml:space="preserve"> REF _Ref210139292 \h  \* MERGEFORMAT </w:instrText>
      </w:r>
      <w:r w:rsidRPr="007B1B5A">
        <w:fldChar w:fldCharType="separate"/>
      </w:r>
      <w:r w:rsidR="00C42930" w:rsidRPr="00C42930">
        <w:t>Διάγραμμα 1.5</w:t>
      </w:r>
      <w:r w:rsidRPr="007B1B5A">
        <w:fldChar w:fldCharType="end"/>
      </w:r>
      <w:r w:rsidRPr="007B1B5A">
        <w:t>.</w:t>
      </w:r>
      <w:r w:rsidRPr="007B1B5A">
        <w:rPr>
          <w:rFonts w:cs="Arial"/>
          <w:szCs w:val="20"/>
        </w:rPr>
        <w:t xml:space="preserve"> Οι κυριότερες</w:t>
      </w:r>
      <w:r w:rsidRPr="004D6363">
        <w:rPr>
          <w:rFonts w:cs="Arial"/>
          <w:szCs w:val="20"/>
        </w:rPr>
        <w:t xml:space="preserve"> αυξήσεις στο 2ο τρίμηνο του 2025 καταγράφηκαν στον πρωτογενή τομέα, ο οποίος με τον κλάδο «Γεωργί</w:t>
      </w:r>
      <w:r>
        <w:rPr>
          <w:rFonts w:cs="Arial"/>
          <w:szCs w:val="20"/>
        </w:rPr>
        <w:t>α</w:t>
      </w:r>
      <w:r w:rsidRPr="004D6363">
        <w:rPr>
          <w:rFonts w:cs="Arial"/>
          <w:szCs w:val="20"/>
        </w:rPr>
        <w:t xml:space="preserve">, δασοκομία και αλιεία» παρουσίασε συνολικά αύξηση 5,5%, επιβεβαιώνοντας την </w:t>
      </w:r>
      <w:r>
        <w:rPr>
          <w:rFonts w:cs="Arial"/>
          <w:szCs w:val="20"/>
        </w:rPr>
        <w:t>αναστροφή</w:t>
      </w:r>
      <w:r w:rsidRPr="004D6363">
        <w:rPr>
          <w:rFonts w:cs="Arial"/>
          <w:szCs w:val="20"/>
        </w:rPr>
        <w:t xml:space="preserve"> της συρρίκνωσης του αγροτικού τομέα ως απόρροια</w:t>
      </w:r>
      <w:r>
        <w:rPr>
          <w:rFonts w:cs="Arial"/>
          <w:szCs w:val="20"/>
        </w:rPr>
        <w:t>ς</w:t>
      </w:r>
      <w:r w:rsidRPr="004D6363">
        <w:rPr>
          <w:rFonts w:cs="Arial"/>
          <w:szCs w:val="20"/>
        </w:rPr>
        <w:t xml:space="preserve"> των</w:t>
      </w:r>
      <w:r>
        <w:rPr>
          <w:rFonts w:cs="Arial"/>
          <w:szCs w:val="20"/>
        </w:rPr>
        <w:t xml:space="preserve"> </w:t>
      </w:r>
      <w:r w:rsidRPr="004D6363">
        <w:rPr>
          <w:rFonts w:cs="Arial"/>
          <w:szCs w:val="20"/>
        </w:rPr>
        <w:t>καταστροφικών πλημμυρών στη Θεσσαλία το 2023</w:t>
      </w:r>
      <w:r>
        <w:rPr>
          <w:rFonts w:cs="Arial"/>
          <w:szCs w:val="20"/>
        </w:rPr>
        <w:t>.</w:t>
      </w:r>
    </w:p>
    <w:p w14:paraId="39308BC0" w14:textId="77777777" w:rsidR="009D6DA0" w:rsidRDefault="009D6DA0" w:rsidP="009D6DA0">
      <w:pPr>
        <w:spacing w:before="120"/>
        <w:rPr>
          <w:rFonts w:cs="Arial"/>
          <w:szCs w:val="20"/>
        </w:rPr>
      </w:pPr>
      <w:r>
        <w:rPr>
          <w:rFonts w:cs="Arial"/>
          <w:szCs w:val="20"/>
        </w:rPr>
        <w:lastRenderedPageBreak/>
        <w:t>Ο</w:t>
      </w:r>
      <w:r w:rsidRPr="004D6363">
        <w:rPr>
          <w:rFonts w:cs="Arial"/>
          <w:szCs w:val="20"/>
        </w:rPr>
        <w:t xml:space="preserve"> δευτερογενής τομέας</w:t>
      </w:r>
      <w:r w:rsidRPr="005D3318">
        <w:rPr>
          <w:rFonts w:cs="Arial"/>
          <w:szCs w:val="20"/>
        </w:rPr>
        <w:t xml:space="preserve"> </w:t>
      </w:r>
      <w:r>
        <w:rPr>
          <w:rFonts w:cs="Arial"/>
          <w:szCs w:val="20"/>
        </w:rPr>
        <w:t xml:space="preserve">κατά το 2ο τρίμηνο του 2025 </w:t>
      </w:r>
      <w:r w:rsidRPr="004D6363">
        <w:rPr>
          <w:rFonts w:cs="Arial"/>
          <w:szCs w:val="20"/>
        </w:rPr>
        <w:t>κατέγραψε συνολικά αύξηση 1,2%</w:t>
      </w:r>
      <w:r>
        <w:rPr>
          <w:rFonts w:cs="Arial"/>
          <w:szCs w:val="20"/>
        </w:rPr>
        <w:t xml:space="preserve"> </w:t>
      </w:r>
      <w:r w:rsidRPr="004D6363">
        <w:rPr>
          <w:rFonts w:cs="Arial"/>
          <w:szCs w:val="20"/>
        </w:rPr>
        <w:t>με τον κλάδο «</w:t>
      </w:r>
      <w:r>
        <w:rPr>
          <w:rFonts w:cs="Arial"/>
          <w:szCs w:val="20"/>
        </w:rPr>
        <w:t>Κ</w:t>
      </w:r>
      <w:r w:rsidRPr="004D6363">
        <w:rPr>
          <w:rFonts w:cs="Arial"/>
          <w:szCs w:val="20"/>
        </w:rPr>
        <w:t>ατασκευ</w:t>
      </w:r>
      <w:r>
        <w:rPr>
          <w:rFonts w:cs="Arial"/>
          <w:szCs w:val="20"/>
        </w:rPr>
        <w:t>ές</w:t>
      </w:r>
      <w:r w:rsidRPr="004D6363">
        <w:rPr>
          <w:rFonts w:cs="Arial"/>
          <w:szCs w:val="20"/>
        </w:rPr>
        <w:t>» να σημειώνει αύξηση 11,0%. Θε</w:t>
      </w:r>
      <w:r>
        <w:rPr>
          <w:rFonts w:cs="Arial"/>
          <w:szCs w:val="20"/>
        </w:rPr>
        <w:t>τικά επέδρασε</w:t>
      </w:r>
      <w:r w:rsidRPr="004D6363">
        <w:rPr>
          <w:rFonts w:cs="Arial"/>
          <w:szCs w:val="20"/>
        </w:rPr>
        <w:t xml:space="preserve"> και ο τριτογενής τομέας καταγράφοντας συνολική αύξηση 0,9% μέσω των κλάδων «</w:t>
      </w:r>
      <w:r>
        <w:rPr>
          <w:rFonts w:cs="Arial"/>
          <w:szCs w:val="20"/>
        </w:rPr>
        <w:t>Ψ</w:t>
      </w:r>
      <w:r w:rsidRPr="004D6363">
        <w:rPr>
          <w:rFonts w:cs="Arial"/>
          <w:szCs w:val="20"/>
        </w:rPr>
        <w:t>υχαγωγία</w:t>
      </w:r>
      <w:r>
        <w:rPr>
          <w:rFonts w:cs="Arial"/>
          <w:szCs w:val="20"/>
        </w:rPr>
        <w:t xml:space="preserve"> - Δ</w:t>
      </w:r>
      <w:r w:rsidRPr="004D6363">
        <w:rPr>
          <w:rFonts w:cs="Arial"/>
          <w:szCs w:val="20"/>
        </w:rPr>
        <w:t>ιασκέδαση</w:t>
      </w:r>
      <w:r>
        <w:rPr>
          <w:rFonts w:cs="Arial"/>
          <w:szCs w:val="20"/>
        </w:rPr>
        <w:t xml:space="preserve"> </w:t>
      </w:r>
      <w:r w:rsidRPr="004D6363">
        <w:rPr>
          <w:rFonts w:cs="Arial"/>
          <w:szCs w:val="20"/>
        </w:rPr>
        <w:t>-</w:t>
      </w:r>
      <w:r>
        <w:rPr>
          <w:rFonts w:cs="Arial"/>
          <w:szCs w:val="20"/>
        </w:rPr>
        <w:t xml:space="preserve"> Τέ</w:t>
      </w:r>
      <w:r w:rsidRPr="004D6363">
        <w:rPr>
          <w:rFonts w:cs="Arial"/>
          <w:szCs w:val="20"/>
        </w:rPr>
        <w:t>χν</w:t>
      </w:r>
      <w:r>
        <w:rPr>
          <w:rFonts w:cs="Arial"/>
          <w:szCs w:val="20"/>
        </w:rPr>
        <w:t>ες</w:t>
      </w:r>
      <w:r w:rsidRPr="004D6363">
        <w:rPr>
          <w:rFonts w:cs="Arial"/>
          <w:szCs w:val="20"/>
        </w:rPr>
        <w:t>» (8,9%)</w:t>
      </w:r>
      <w:r>
        <w:rPr>
          <w:rFonts w:cs="Arial"/>
          <w:szCs w:val="20"/>
        </w:rPr>
        <w:t xml:space="preserve">, </w:t>
      </w:r>
      <w:r w:rsidRPr="004D6363">
        <w:rPr>
          <w:rFonts w:cs="Arial"/>
          <w:szCs w:val="20"/>
        </w:rPr>
        <w:t>«</w:t>
      </w:r>
      <w:r>
        <w:rPr>
          <w:rFonts w:cs="Arial"/>
          <w:szCs w:val="20"/>
        </w:rPr>
        <w:t>Χ</w:t>
      </w:r>
      <w:r w:rsidRPr="004D6363">
        <w:rPr>
          <w:rFonts w:cs="Arial"/>
          <w:szCs w:val="20"/>
        </w:rPr>
        <w:t>ρηματοοικονομικ</w:t>
      </w:r>
      <w:r>
        <w:rPr>
          <w:rFonts w:cs="Arial"/>
          <w:szCs w:val="20"/>
        </w:rPr>
        <w:t>ές</w:t>
      </w:r>
      <w:r w:rsidRPr="004D6363">
        <w:rPr>
          <w:rFonts w:cs="Arial"/>
          <w:szCs w:val="20"/>
        </w:rPr>
        <w:t xml:space="preserve"> και ασφαλιστικ</w:t>
      </w:r>
      <w:r>
        <w:rPr>
          <w:rFonts w:cs="Arial"/>
          <w:szCs w:val="20"/>
        </w:rPr>
        <w:t>ές</w:t>
      </w:r>
      <w:r w:rsidRPr="004D6363">
        <w:rPr>
          <w:rFonts w:cs="Arial"/>
          <w:szCs w:val="20"/>
        </w:rPr>
        <w:t xml:space="preserve"> δραστηρι</w:t>
      </w:r>
      <w:r>
        <w:rPr>
          <w:rFonts w:cs="Arial"/>
          <w:szCs w:val="20"/>
        </w:rPr>
        <w:t>ότητες</w:t>
      </w:r>
      <w:r w:rsidRPr="004D6363">
        <w:rPr>
          <w:rFonts w:cs="Arial"/>
          <w:szCs w:val="20"/>
        </w:rPr>
        <w:t>» (5,2%)</w:t>
      </w:r>
      <w:r>
        <w:rPr>
          <w:rFonts w:cs="Arial"/>
          <w:szCs w:val="20"/>
        </w:rPr>
        <w:t>,</w:t>
      </w:r>
      <w:r w:rsidRPr="004D6363">
        <w:rPr>
          <w:rFonts w:cs="Arial"/>
          <w:szCs w:val="20"/>
        </w:rPr>
        <w:t xml:space="preserve"> «Επαγγελματικ</w:t>
      </w:r>
      <w:r>
        <w:rPr>
          <w:rFonts w:cs="Arial"/>
          <w:szCs w:val="20"/>
        </w:rPr>
        <w:t>ές</w:t>
      </w:r>
      <w:r w:rsidRPr="004D6363">
        <w:rPr>
          <w:rFonts w:cs="Arial"/>
          <w:szCs w:val="20"/>
        </w:rPr>
        <w:t>, επιστημονικ</w:t>
      </w:r>
      <w:r>
        <w:rPr>
          <w:rFonts w:cs="Arial"/>
          <w:szCs w:val="20"/>
        </w:rPr>
        <w:t>ές</w:t>
      </w:r>
      <w:r w:rsidRPr="004D6363">
        <w:rPr>
          <w:rFonts w:cs="Arial"/>
          <w:szCs w:val="20"/>
        </w:rPr>
        <w:t xml:space="preserve"> και τεχνικ</w:t>
      </w:r>
      <w:r>
        <w:rPr>
          <w:rFonts w:cs="Arial"/>
          <w:szCs w:val="20"/>
        </w:rPr>
        <w:t>ές</w:t>
      </w:r>
      <w:r w:rsidRPr="004D6363">
        <w:rPr>
          <w:rFonts w:cs="Arial"/>
          <w:szCs w:val="20"/>
        </w:rPr>
        <w:t xml:space="preserve"> δραστηρι</w:t>
      </w:r>
      <w:r>
        <w:rPr>
          <w:rFonts w:cs="Arial"/>
          <w:szCs w:val="20"/>
        </w:rPr>
        <w:t>ότητες</w:t>
      </w:r>
      <w:r w:rsidRPr="004D6363">
        <w:rPr>
          <w:rFonts w:cs="Arial"/>
          <w:szCs w:val="20"/>
        </w:rPr>
        <w:t>»</w:t>
      </w:r>
      <w:r>
        <w:rPr>
          <w:rFonts w:cs="Arial"/>
          <w:szCs w:val="20"/>
        </w:rPr>
        <w:t xml:space="preserve"> </w:t>
      </w:r>
      <w:r w:rsidRPr="004D6363">
        <w:rPr>
          <w:rFonts w:cs="Arial"/>
          <w:szCs w:val="20"/>
        </w:rPr>
        <w:t>(5,6%) και «Εμπ</w:t>
      </w:r>
      <w:r>
        <w:rPr>
          <w:rFonts w:cs="Arial"/>
          <w:szCs w:val="20"/>
        </w:rPr>
        <w:t>όριο</w:t>
      </w:r>
      <w:r w:rsidRPr="004D6363">
        <w:rPr>
          <w:rFonts w:cs="Arial"/>
          <w:szCs w:val="20"/>
        </w:rPr>
        <w:t>, ξενοδοχεί</w:t>
      </w:r>
      <w:r>
        <w:rPr>
          <w:rFonts w:cs="Arial"/>
          <w:szCs w:val="20"/>
        </w:rPr>
        <w:t>α</w:t>
      </w:r>
      <w:r w:rsidRPr="004D6363">
        <w:rPr>
          <w:rFonts w:cs="Arial"/>
          <w:szCs w:val="20"/>
        </w:rPr>
        <w:t xml:space="preserve"> και εστιατ</w:t>
      </w:r>
      <w:r>
        <w:rPr>
          <w:rFonts w:cs="Arial"/>
          <w:szCs w:val="20"/>
        </w:rPr>
        <w:t>ό</w:t>
      </w:r>
      <w:r w:rsidRPr="004D6363">
        <w:rPr>
          <w:rFonts w:cs="Arial"/>
          <w:szCs w:val="20"/>
        </w:rPr>
        <w:t>ρ</w:t>
      </w:r>
      <w:r>
        <w:rPr>
          <w:rFonts w:cs="Arial"/>
          <w:szCs w:val="20"/>
        </w:rPr>
        <w:t>ια</w:t>
      </w:r>
      <w:r w:rsidRPr="004D6363">
        <w:rPr>
          <w:rFonts w:cs="Arial"/>
          <w:szCs w:val="20"/>
        </w:rPr>
        <w:t>, μεταφορ</w:t>
      </w:r>
      <w:r>
        <w:rPr>
          <w:rFonts w:cs="Arial"/>
          <w:szCs w:val="20"/>
        </w:rPr>
        <w:t>ές</w:t>
      </w:r>
      <w:r w:rsidRPr="004D6363">
        <w:rPr>
          <w:rFonts w:cs="Arial"/>
          <w:szCs w:val="20"/>
        </w:rPr>
        <w:t xml:space="preserve"> και επικοινων</w:t>
      </w:r>
      <w:r>
        <w:rPr>
          <w:rFonts w:cs="Arial"/>
          <w:szCs w:val="20"/>
        </w:rPr>
        <w:t>ίες</w:t>
      </w:r>
      <w:r w:rsidRPr="004D6363">
        <w:rPr>
          <w:rFonts w:cs="Arial"/>
          <w:szCs w:val="20"/>
        </w:rPr>
        <w:t>» (1,8%).</w:t>
      </w:r>
    </w:p>
    <w:p w14:paraId="13ADE7FF" w14:textId="726C1485" w:rsidR="004E08BA" w:rsidRPr="003F1518" w:rsidRDefault="004E08BA" w:rsidP="00685673">
      <w:pPr>
        <w:spacing w:before="120"/>
      </w:pPr>
      <w:r w:rsidRPr="003F1518">
        <w:t xml:space="preserve">Η αγορά εργασίας, σύμφωνα με τα στοιχεία της </w:t>
      </w:r>
      <w:r w:rsidR="0050126D">
        <w:t xml:space="preserve">Ελληνικής Στατιστικής Αρχής - </w:t>
      </w:r>
      <w:r w:rsidRPr="003F1518">
        <w:t>ΕΛΣΤΑΤ (</w:t>
      </w:r>
      <w:r w:rsidRPr="003A3927">
        <w:t>1η</w:t>
      </w:r>
      <w:r w:rsidRPr="003F1518">
        <w:t xml:space="preserve"> Σεπτεμβρίου 2025)</w:t>
      </w:r>
      <w:r w:rsidR="0050126D">
        <w:t xml:space="preserve">, </w:t>
      </w:r>
      <w:r w:rsidRPr="003F1518">
        <w:t xml:space="preserve">εξακολουθεί να αναπτύσσεται και την περίοδο Ιανουαρίου </w:t>
      </w:r>
      <w:r w:rsidR="0050126D">
        <w:t>-</w:t>
      </w:r>
      <w:r w:rsidRPr="003F1518">
        <w:t xml:space="preserve"> Ιουλίου 2025, με την απασχόληση να αυξάνεται κατά 1,6% έναντι της αντίστοιχης περιόδου του έτους 202</w:t>
      </w:r>
      <w:r>
        <w:t>4</w:t>
      </w:r>
      <w:r w:rsidRPr="003F1518">
        <w:t xml:space="preserve">. Σύμφωνα με το ισοζύγιο μισθωτής απασχόλησης του συστήματος ΕΡΓΑΝΗ, </w:t>
      </w:r>
      <w:r w:rsidR="0047496D">
        <w:t>σ</w:t>
      </w:r>
      <w:r w:rsidRPr="003F1518">
        <w:t>το επτάμηνο του έτους 2025 δημιουργήθηκαν 319.843 νέες θέσεις εργασίας έναντι 304.229 το 2024, αποτελώντας την υψηλότερη επίδοση επταμήνου</w:t>
      </w:r>
      <w:r w:rsidR="00CE5A4D" w:rsidRPr="00CE5A4D">
        <w:t xml:space="preserve"> </w:t>
      </w:r>
      <w:r w:rsidR="00CE5A4D">
        <w:t>έτους</w:t>
      </w:r>
      <w:r w:rsidRPr="003F1518">
        <w:t xml:space="preserve"> από το 2001 μέχρι σήμερα. Στο σύνολο των προσλήψεων της ίδιας περιόδου το 56,5% αφορά σε συμβάσεις πλήρους απασχόλησης, το 34,4% σε συμβάσεις μερικής απασχόλησης και το 9,1% σε συμβάσεις εκ περιτροπής. Οι δραστηριότητες με τα υψηλότερα θετικά ισοζύγια (προσλήψεων</w:t>
      </w:r>
      <w:r w:rsidR="0050126D">
        <w:t xml:space="preserve"> </w:t>
      </w:r>
      <w:r>
        <w:t>-</w:t>
      </w:r>
      <w:r w:rsidRPr="003F1518">
        <w:t xml:space="preserve"> αποχωρήσεων) την περίοδο Ιανουαρίου</w:t>
      </w:r>
      <w:r>
        <w:t xml:space="preserve"> </w:t>
      </w:r>
      <w:r w:rsidRPr="003F1518">
        <w:t>- Ιουλίου 2025 αφορούν στις υπηρεσίες εστίασης και καταλυμάτων</w:t>
      </w:r>
      <w:r w:rsidR="0050126D">
        <w:t xml:space="preserve">, </w:t>
      </w:r>
      <w:r w:rsidRPr="003F1518">
        <w:t>οι οποί</w:t>
      </w:r>
      <w:r>
        <w:t>ες</w:t>
      </w:r>
      <w:r w:rsidRPr="003F1518">
        <w:t xml:space="preserve"> συνδέονται άμεσα με τον τουρισμό και τη δυναμική που επιδεικνύει</w:t>
      </w:r>
      <w:r w:rsidR="008B39EA">
        <w:t>,</w:t>
      </w:r>
      <w:r w:rsidRPr="003F1518">
        <w:t xml:space="preserve"> καθώς</w:t>
      </w:r>
      <w:r>
        <w:t xml:space="preserve"> και</w:t>
      </w:r>
      <w:r w:rsidRPr="003F1518">
        <w:t xml:space="preserve"> του λιανικού και χονδρικού εμπορίου.</w:t>
      </w:r>
    </w:p>
    <w:p w14:paraId="11A9ED05" w14:textId="587DC664" w:rsidR="004E08BA" w:rsidRPr="003F1518" w:rsidRDefault="004E08BA" w:rsidP="004E08BA">
      <w:r w:rsidRPr="003F1518">
        <w:t>Επιπλέον, σύμφωνα με τα στοιχεία της Έρευνας Εργατικού Δυναμικού της ΕΛΣΤΑΤ, ο αριθμός των απασχολούμενων το 2ο τρίμηνο του 2025 ανήλθε σε 4.386.832 άτομα, παρουσιάζοντας αύξηση κατά 4,0% έναντι του προηγούμενου τριμήνου και αύξηση 1,4% σε σχέση με το αντίστοιχο τρίμηνο του προηγούμενου έτους. Ο αριθμός των ανέργων το 2ο τρίμηνο του 2025 ανήλθε σε 411.722</w:t>
      </w:r>
      <w:r>
        <w:t xml:space="preserve"> </w:t>
      </w:r>
      <w:r w:rsidRPr="003F1518">
        <w:t>άτομα, χαμηλότερος σε σύγκριση με τον αριθμό των 488.085 ατόμων του 1ου τριμήνου, παρουσιάζοντας μείωση κατά 15,7%, ενώ σε ετήσια βάση κατ</w:t>
      </w:r>
      <w:r>
        <w:t>έγραψε</w:t>
      </w:r>
      <w:r w:rsidRPr="003F1518">
        <w:t xml:space="preserve"> μείωση 12,0%.</w:t>
      </w:r>
      <w:r>
        <w:t xml:space="preserve"> </w:t>
      </w:r>
      <w:r w:rsidRPr="003F1518">
        <w:t>Το</w:t>
      </w:r>
      <w:r>
        <w:t xml:space="preserve"> </w:t>
      </w:r>
      <w:r w:rsidRPr="003F1518">
        <w:t xml:space="preserve">ποσοστό ανεργίας κατά το 2ο τρίμηνο </w:t>
      </w:r>
      <w:r>
        <w:t xml:space="preserve">2025 </w:t>
      </w:r>
      <w:r w:rsidRPr="003F1518">
        <w:t xml:space="preserve">διαμορφώθηκε σε 8,6%, υποχωρώντας τόσο σε σχέση με το ποσοστό 10,4% του 1ου τριμήνου όσο και με το ποσοστό 9,8% του αντίστοιχου τριμήνου του προηγούμενου έτους. Σημειώνεται ότι το ανωτέρω μονοψήφιο ποσοστό 8,6% συνιστά, σύμφωνα με στοιχεία της </w:t>
      </w:r>
      <w:r w:rsidRPr="003F1518">
        <w:rPr>
          <w:lang w:val="en-US"/>
        </w:rPr>
        <w:t>Eurostat</w:t>
      </w:r>
      <w:r w:rsidRPr="003F1518">
        <w:t xml:space="preserve">, το χαμηλότερο ποσοστό ανεργίας από το </w:t>
      </w:r>
      <w:r w:rsidR="00D8305B">
        <w:t>1ο</w:t>
      </w:r>
      <w:r w:rsidRPr="003F1518">
        <w:t xml:space="preserve"> τρίμηνο του 2009</w:t>
      </w:r>
      <w:r>
        <w:t xml:space="preserve"> και </w:t>
      </w:r>
      <w:r w:rsidR="00227709">
        <w:t>εφεξής.</w:t>
      </w:r>
      <w:r w:rsidRPr="003F1518">
        <w:t xml:space="preserve"> Σύμφωνα με τα τελευταία διαθέσιμα στοιχεία της ΕΛΣΤΑΤ (</w:t>
      </w:r>
      <w:r w:rsidR="0047496D">
        <w:t>Οκτώβριος</w:t>
      </w:r>
      <w:r w:rsidRPr="003F1518">
        <w:t xml:space="preserve"> 2025), το εποχικά διορθωμένο ποσοστό ανεργίας τον </w:t>
      </w:r>
      <w:r w:rsidR="00D42F2D">
        <w:t>Αύγουστο</w:t>
      </w:r>
      <w:r w:rsidRPr="003F1518">
        <w:t xml:space="preserve"> 2025 </w:t>
      </w:r>
      <w:r>
        <w:t>α</w:t>
      </w:r>
      <w:r w:rsidRPr="003F1518">
        <w:t>νήλθε σε 8,</w:t>
      </w:r>
      <w:r w:rsidR="00D42F2D">
        <w:t>1</w:t>
      </w:r>
      <w:r w:rsidRPr="003F1518">
        <w:t xml:space="preserve">% έναντι </w:t>
      </w:r>
      <w:r w:rsidR="00AC63FC">
        <w:t xml:space="preserve">ποσοστού </w:t>
      </w:r>
      <w:r w:rsidRPr="003F1518">
        <w:t>9,</w:t>
      </w:r>
      <w:r w:rsidR="00D42F2D">
        <w:t>7</w:t>
      </w:r>
      <w:r w:rsidRPr="003F1518">
        <w:t xml:space="preserve">% τον </w:t>
      </w:r>
      <w:r w:rsidR="00D42F2D">
        <w:t>Αύγουστο</w:t>
      </w:r>
      <w:r w:rsidRPr="003F1518">
        <w:t xml:space="preserve"> 2024 και </w:t>
      </w:r>
      <w:r w:rsidR="00227709">
        <w:t xml:space="preserve">ποσοστού </w:t>
      </w:r>
      <w:r w:rsidR="00D42F2D">
        <w:t>8</w:t>
      </w:r>
      <w:r w:rsidRPr="003F1518">
        <w:t>,</w:t>
      </w:r>
      <w:r w:rsidR="00D42F2D">
        <w:t>3</w:t>
      </w:r>
      <w:r w:rsidRPr="003F1518">
        <w:t>% τον Ιού</w:t>
      </w:r>
      <w:r w:rsidR="00D42F2D">
        <w:t>λ</w:t>
      </w:r>
      <w:r w:rsidRPr="003F1518">
        <w:t>ιο 2025.</w:t>
      </w:r>
    </w:p>
    <w:p w14:paraId="3EF681F4" w14:textId="3AFBCCD2" w:rsidR="004E08BA" w:rsidRPr="003F1518" w:rsidRDefault="004E08BA" w:rsidP="004E08BA">
      <w:pPr>
        <w:rPr>
          <w:lang w:eastAsia="x-none"/>
        </w:rPr>
      </w:pPr>
      <w:r w:rsidRPr="003F1518">
        <w:t>Στις ανωτέρω εξελίξεις συνέβαλαν τα μέτρα πολιτικής και οι μεταρρυθμίσεις που υιοθετήθηκαν, όπως η μείωση των ασφαλιστικών εισφορών τα τελευταία έτη</w:t>
      </w:r>
      <w:r>
        <w:t>,</w:t>
      </w:r>
      <w:r w:rsidRPr="003F1518">
        <w:t xml:space="preserve"> </w:t>
      </w:r>
      <w:r>
        <w:t>η οποία συν</w:t>
      </w:r>
      <w:r w:rsidR="00583F56">
        <w:t>ετέλεσε</w:t>
      </w:r>
      <w:r>
        <w:t xml:space="preserve"> </w:t>
      </w:r>
      <w:r w:rsidRPr="003F1518">
        <w:t>άμεσα στην ελάφρυνση του μη μισθολογικού κόστους,</w:t>
      </w:r>
      <w:r>
        <w:t xml:space="preserve"> </w:t>
      </w:r>
      <w:r w:rsidR="00AC63FC">
        <w:t xml:space="preserve">η μείωση των φορολογικών βαρών, </w:t>
      </w:r>
      <w:r w:rsidRPr="003F1518">
        <w:t>η ψηφιακή κάρτα εργασίας</w:t>
      </w:r>
      <w:r>
        <w:t>,</w:t>
      </w:r>
      <w:r w:rsidRPr="003F1518">
        <w:t xml:space="preserve"> </w:t>
      </w:r>
      <w:r w:rsidR="00F30BAD">
        <w:t>η οποία συν</w:t>
      </w:r>
      <w:r w:rsidR="00583F56">
        <w:t xml:space="preserve">έτεινε </w:t>
      </w:r>
      <w:r w:rsidR="00F30BAD">
        <w:t>σ</w:t>
      </w:r>
      <w:r w:rsidR="00EF2C8B">
        <w:t>την</w:t>
      </w:r>
      <w:r w:rsidRPr="003F1518">
        <w:t xml:space="preserve"> </w:t>
      </w:r>
      <w:r w:rsidR="00AC63FC">
        <w:t xml:space="preserve">καταγραφή των πραγματικών ωρών απασχόλησης και </w:t>
      </w:r>
      <w:r w:rsidR="00983ABB">
        <w:t>σ</w:t>
      </w:r>
      <w:r w:rsidR="00EF2C8B">
        <w:t>την</w:t>
      </w:r>
      <w:r w:rsidR="00983ABB">
        <w:t xml:space="preserve"> </w:t>
      </w:r>
      <w:r w:rsidR="00AC63FC">
        <w:t>αύξηση των αποδοχών των εργαζ</w:t>
      </w:r>
      <w:r w:rsidR="00983ABB">
        <w:t>όμε</w:t>
      </w:r>
      <w:r w:rsidR="00AC63FC">
        <w:t>νων</w:t>
      </w:r>
      <w:r w:rsidRPr="003F1518">
        <w:t>, οι πολιτικές για τη διευκόλυνση της συμμετοχής των γυναικών στην αγορά εργασίας και οι υψηλοί ρυθμοί ανάπτυξης της ελληνικής οικονομίας</w:t>
      </w:r>
      <w:r>
        <w:t xml:space="preserve"> </w:t>
      </w:r>
      <w:r w:rsidRPr="003F1518">
        <w:t xml:space="preserve">με την αύξηση των επενδύσεων, που είχαν ως αποτέλεσμα την αύξηση της ζήτησης εργασίας εκ μέρους των επιχειρήσεων. Σημειώνεται ότι από το 2019 και </w:t>
      </w:r>
      <w:r w:rsidR="00D74118">
        <w:t>εφεξής</w:t>
      </w:r>
      <w:r w:rsidRPr="003F1518">
        <w:t xml:space="preserve"> το επίπεδο των μισθών έχει αυξηθεί σημαντικά, καθώς ο κατώτατος μισθός έχει καταγράψει </w:t>
      </w:r>
      <w:r>
        <w:t xml:space="preserve">σωρευτική </w:t>
      </w:r>
      <w:r w:rsidRPr="003F1518">
        <w:t>αύξηση της τάξης του 3</w:t>
      </w:r>
      <w:r>
        <w:t>5</w:t>
      </w:r>
      <w:r w:rsidRPr="003F1518">
        <w:t>,</w:t>
      </w:r>
      <w:r>
        <w:t>4</w:t>
      </w:r>
      <w:r w:rsidRPr="003F1518">
        <w:t>% με στόχο τη διαμόρφωση του κατ</w:t>
      </w:r>
      <w:r>
        <w:t>ώ</w:t>
      </w:r>
      <w:r w:rsidRPr="003F1518">
        <w:t>τ</w:t>
      </w:r>
      <w:r>
        <w:t>α</w:t>
      </w:r>
      <w:r w:rsidRPr="003F1518">
        <w:t>του μισθού σ</w:t>
      </w:r>
      <w:r w:rsidR="00D74118">
        <w:t>το ποσό των</w:t>
      </w:r>
      <w:r w:rsidRPr="003F1518">
        <w:t xml:space="preserve"> 950 ευρώ έως τον Απρίλιο 2027. </w:t>
      </w:r>
      <w:r w:rsidRPr="003F1518">
        <w:rPr>
          <w:lang w:eastAsia="x-none"/>
        </w:rPr>
        <w:t>Η αύξηση του κατώτατου μισθού (η οποία συμπαρασύρει</w:t>
      </w:r>
      <w:r w:rsidR="00D06BC4">
        <w:rPr>
          <w:lang w:eastAsia="x-none"/>
        </w:rPr>
        <w:t xml:space="preserve"> μερικώς</w:t>
      </w:r>
      <w:r w:rsidRPr="003F1518">
        <w:rPr>
          <w:lang w:eastAsia="x-none"/>
        </w:rPr>
        <w:t xml:space="preserve"> και τον μέσο μισθό) συμβάλλει επίσης στην αντιμετώπιση ζητημάτων έλλειψης προσφοράς εργατικού δυναμικού σε ορισμένους τομείς, όπως το λιανικό εμπόριο, η γεωργία, οι κατασκευές και ο τουρισμός, ενώ παράλληλα ενισχύει τη συμμετοχή στην αγορά εργασίας. Στο πλαίσιο αυτό και ο μέσος μισθός αυξήθηκε σ</w:t>
      </w:r>
      <w:r w:rsidR="00D74118">
        <w:rPr>
          <w:lang w:eastAsia="x-none"/>
        </w:rPr>
        <w:t xml:space="preserve">ε </w:t>
      </w:r>
      <w:r w:rsidRPr="003F1518">
        <w:rPr>
          <w:lang w:eastAsia="x-none"/>
        </w:rPr>
        <w:t>1.342 ευρώ, σύμφωνα με τα στοιχεία της ετήσιας έκθεσης του συστήματος ΕΡΓΑΝΗ για το έτος 2024</w:t>
      </w:r>
      <w:r>
        <w:rPr>
          <w:lang w:eastAsia="x-none"/>
        </w:rPr>
        <w:t xml:space="preserve"> </w:t>
      </w:r>
      <w:r w:rsidRPr="003F1518">
        <w:rPr>
          <w:lang w:eastAsia="x-none"/>
        </w:rPr>
        <w:t>(αύξηση 28,3% από το 2019)</w:t>
      </w:r>
      <w:r>
        <w:rPr>
          <w:lang w:eastAsia="x-none"/>
        </w:rPr>
        <w:t>,</w:t>
      </w:r>
      <w:r w:rsidRPr="003F1518">
        <w:rPr>
          <w:lang w:eastAsia="x-none"/>
        </w:rPr>
        <w:t xml:space="preserve"> με στόχο τη διαμόρφωσή </w:t>
      </w:r>
      <w:r>
        <w:rPr>
          <w:lang w:eastAsia="x-none"/>
        </w:rPr>
        <w:t>του σ</w:t>
      </w:r>
      <w:r w:rsidRPr="003F1518">
        <w:rPr>
          <w:lang w:eastAsia="x-none"/>
        </w:rPr>
        <w:t>τ</w:t>
      </w:r>
      <w:r w:rsidR="00D74118">
        <w:rPr>
          <w:lang w:eastAsia="x-none"/>
        </w:rPr>
        <w:t xml:space="preserve">ο ποσό των </w:t>
      </w:r>
      <w:r w:rsidRPr="003F1518">
        <w:rPr>
          <w:lang w:eastAsia="x-none"/>
        </w:rPr>
        <w:t>1</w:t>
      </w:r>
      <w:r>
        <w:rPr>
          <w:lang w:eastAsia="x-none"/>
        </w:rPr>
        <w:t>.</w:t>
      </w:r>
      <w:r w:rsidRPr="003F1518">
        <w:rPr>
          <w:lang w:eastAsia="x-none"/>
        </w:rPr>
        <w:t>500 ευρώ έ</w:t>
      </w:r>
      <w:r>
        <w:rPr>
          <w:lang w:eastAsia="x-none"/>
        </w:rPr>
        <w:t>ως τον Απρίλιο 2027.</w:t>
      </w:r>
      <w:r w:rsidRPr="003F1518">
        <w:rPr>
          <w:lang w:eastAsia="x-none"/>
        </w:rPr>
        <w:t xml:space="preserve"> Εκτιμάται ότι οι αμοιβές εξαρτημένης εργασίας ανά εργαζόμενο </w:t>
      </w:r>
      <w:r w:rsidR="00D74118">
        <w:rPr>
          <w:lang w:eastAsia="x-none"/>
        </w:rPr>
        <w:t>θ</w:t>
      </w:r>
      <w:r w:rsidRPr="003F1518">
        <w:rPr>
          <w:lang w:eastAsia="x-none"/>
        </w:rPr>
        <w:t>α αυξηθούν περαιτέρω το 2025 κατά 3,7%, στοιχείο το οποίο συμφωνεί και με τις προβλέψεις της Ευρωπαϊκής Επιτροπής για αύξηση 3,8% στις εαρινές οικονομικές εκτιμήσεις της (</w:t>
      </w:r>
      <w:r>
        <w:rPr>
          <w:lang w:eastAsia="x-none"/>
        </w:rPr>
        <w:t>Μ</w:t>
      </w:r>
      <w:r w:rsidR="00D74118">
        <w:rPr>
          <w:lang w:eastAsia="x-none"/>
        </w:rPr>
        <w:t>άιος</w:t>
      </w:r>
      <w:r w:rsidRPr="003F1518">
        <w:rPr>
          <w:lang w:eastAsia="x-none"/>
        </w:rPr>
        <w:t xml:space="preserve"> 2025)</w:t>
      </w:r>
      <w:r w:rsidR="001440C5">
        <w:rPr>
          <w:lang w:eastAsia="x-none"/>
        </w:rPr>
        <w:t xml:space="preserve">, ενώ οι συνολικές αμοιβές εξαρτημένης εργασίας, λαμβανομένης υπόψη και της αύξησης </w:t>
      </w:r>
      <w:r w:rsidR="001440C5">
        <w:rPr>
          <w:lang w:eastAsia="x-none"/>
        </w:rPr>
        <w:lastRenderedPageBreak/>
        <w:t>της απασχόλησης, αναμένεται να αυξηθούν κατά 6,3% το 2025, ποσοστό σημαντικ</w:t>
      </w:r>
      <w:r w:rsidR="00F54124">
        <w:rPr>
          <w:lang w:eastAsia="x-none"/>
        </w:rPr>
        <w:t>ά</w:t>
      </w:r>
      <w:r w:rsidR="001440C5">
        <w:rPr>
          <w:lang w:eastAsia="x-none"/>
        </w:rPr>
        <w:t xml:space="preserve"> υψηλότερο από το 3,4%, που ήταν η πρόβλεψη της εισηγητικής έκθεσης του προϋπολογισμού 2025</w:t>
      </w:r>
      <w:r w:rsidRPr="003F1518">
        <w:rPr>
          <w:lang w:eastAsia="x-none"/>
        </w:rPr>
        <w:t>.</w:t>
      </w:r>
    </w:p>
    <w:p w14:paraId="11E43CC5" w14:textId="77777777" w:rsidR="004E08BA" w:rsidRPr="003F1518" w:rsidRDefault="004E08BA" w:rsidP="004E08BA">
      <w:r w:rsidRPr="003F1518">
        <w:t xml:space="preserve">Η μεταβολή του Εναρμονισμένου Δείκτη Τιμών Καταναλωτή (Εν.ΔΤΚ) εκτιμάται σε 3,0% για το σύνολο του τρέχοντος έτους. Ο ετήσιος ρυθμός μεταβολής του Εθνικού Δείκτη Τιμών Καταναλωτή (ΔΤΚ) εκτιμάται </w:t>
      </w:r>
      <w:r>
        <w:t>σ</w:t>
      </w:r>
      <w:r w:rsidRPr="003F1518">
        <w:t>ε 2,6%. Ειδικότερα, σύμφωνα με τα στοιχεία της ΕΛΣΤΑΤ κατά το χρονικό διάστημα Ιανουαρίου - Αυγούστου 2025 ο μέσος ρυθμός μεταβολής του ΔΤΚ ανήλθε σε 2,6%, ενώ την αντίστοιχη περίοδο του προηγούμενου έτους κατέγραψε αύξηση κατά 2,8%. Η μεγαλύτερη μεταβολή σημειώθηκε στην κατηγορία «Ξενοδοχεία, καφέ, εστιατόρια» με 6,2% και ακολουθούν οι κατηγορίες «Ένδυση και υπόδηση» και «Στέγαση» με 5,8% και 5,3</w:t>
      </w:r>
      <w:r>
        <w:t>%</w:t>
      </w:r>
      <w:r w:rsidRPr="003F1518">
        <w:t>, αντίστοιχα. Αντίθετα, στις μεταφορές σημειώθηκε μείωση τιμών κατά 0,3% την περίοδο Ιανουαρίου - Αυγούστου 2025 σε σχέση με το αντίστοιχο χρονικό διάστημα του 2024.</w:t>
      </w:r>
    </w:p>
    <w:p w14:paraId="7BFBFDD8" w14:textId="4393F4BA" w:rsidR="004E08BA" w:rsidRPr="003F1518" w:rsidRDefault="004E08BA" w:rsidP="004E08BA">
      <w:r w:rsidRPr="003F1518">
        <w:t>Η μεταβολή του Εν.ΔΤΚ (Eurostat) στην Ελλάδα την περίοδο Ιανουαρίου - Αυγούστου 2025</w:t>
      </w:r>
      <w:r>
        <w:t xml:space="preserve"> </w:t>
      </w:r>
      <w:r w:rsidRPr="003F1518">
        <w:t>ανήλθε σε 3,2% από 3</w:t>
      </w:r>
      <w:r>
        <w:t>,</w:t>
      </w:r>
      <w:r w:rsidRPr="003F1518">
        <w:t>0% την αντίστοιχη περίοδο του 2024. Ο μέσος όρος μεταβολής του Εν.ΔΤΚ στην Ευρωζώνη</w:t>
      </w:r>
      <w:r w:rsidR="00D06BC4">
        <w:t xml:space="preserve"> </w:t>
      </w:r>
      <w:r w:rsidRPr="003F1518">
        <w:t>διαμορφώθηκε την περίοδο Ιανουαρίου - Αυγούστου 2025 σ</w:t>
      </w:r>
      <w:r w:rsidR="00242DDB">
        <w:t>ε</w:t>
      </w:r>
      <w:r w:rsidRPr="003F1518">
        <w:t xml:space="preserve"> 2,2% από 2,5% </w:t>
      </w:r>
      <w:r w:rsidR="00CE5A4D">
        <w:t xml:space="preserve">το προηγούμενο </w:t>
      </w:r>
      <w:r w:rsidRPr="003F1518">
        <w:t>έτος.</w:t>
      </w:r>
    </w:p>
    <w:p w14:paraId="0D465516" w14:textId="22CE9ACB" w:rsidR="004E08BA" w:rsidRPr="003F1518" w:rsidRDefault="00242DDB" w:rsidP="004E08BA">
      <w:r>
        <w:t>Όσον αφορά σ</w:t>
      </w:r>
      <w:r w:rsidR="004E08BA" w:rsidRPr="003F1518">
        <w:t xml:space="preserve">τις εξελίξεις στον τομέα της </w:t>
      </w:r>
      <w:r w:rsidR="004E08BA" w:rsidRPr="007B1B5A">
        <w:t xml:space="preserve">ενέργειας </w:t>
      </w:r>
      <w:r w:rsidR="00E52369" w:rsidRPr="007B1B5A">
        <w:t>(</w:t>
      </w:r>
      <w:r w:rsidR="00FE3721" w:rsidRPr="007B1B5A">
        <w:fldChar w:fldCharType="begin"/>
      </w:r>
      <w:r w:rsidR="00FE3721" w:rsidRPr="007B1B5A">
        <w:instrText xml:space="preserve"> REF _Ref210139422 \h  \* MERGEFORMAT </w:instrText>
      </w:r>
      <w:r w:rsidR="00FE3721" w:rsidRPr="007B1B5A">
        <w:fldChar w:fldCharType="separate"/>
      </w:r>
      <w:r w:rsidR="00C42930" w:rsidRPr="00C42930">
        <w:t>Διάγραμμα 1.6</w:t>
      </w:r>
      <w:r w:rsidR="00FE3721" w:rsidRPr="007B1B5A">
        <w:fldChar w:fldCharType="end"/>
      </w:r>
      <w:r w:rsidR="00FE3721" w:rsidRPr="007B1B5A">
        <w:t>.</w:t>
      </w:r>
      <w:r w:rsidR="00E52369" w:rsidRPr="007B1B5A">
        <w:t>)</w:t>
      </w:r>
      <w:r w:rsidR="00783C7E" w:rsidRPr="007B1B5A">
        <w:t>,</w:t>
      </w:r>
      <w:r w:rsidR="00D35BF4" w:rsidRPr="007B1B5A">
        <w:t xml:space="preserve"> </w:t>
      </w:r>
      <w:r w:rsidR="004E08BA" w:rsidRPr="007B1B5A">
        <w:t>η</w:t>
      </w:r>
      <w:r w:rsidR="004E08BA" w:rsidRPr="00FE3721">
        <w:t xml:space="preserve"> μέση μηνιαία διεθνής τιμή του πετρελαίου Brent το 2025 κινήθηκε σε χαμηλότερα επίπεδα σε σχέση με</w:t>
      </w:r>
      <w:r w:rsidR="004E08BA" w:rsidRPr="003F1518">
        <w:t xml:space="preserve"> το προηγούμενο έτος</w:t>
      </w:r>
      <w:r w:rsidR="00783C7E">
        <w:t>,</w:t>
      </w:r>
      <w:r w:rsidR="004E08BA" w:rsidRPr="003F1518">
        <w:t xml:space="preserve"> ακολουθώντας πτωτική πορεία. Από τον Ιανουάριο έως τον Αύγουστο 2025 κυμάνθηκε σε ένα εύρος από 64 έως 79 δολάρια ανά βαρέλι, με την κατώτατη τιμή να καταγράφεται τον Μάιο (64,21 δολάρια ανά βαρέλι) και την υψηλότερη τον Ιανουάριο (79,21 δολάρια ανά βαρέλι). Οι καθοδικές πιέσεις στην πλευρά της ζήτησης λόγω του εμπορικού προστατευτισμού σε συνδυασμό με την αυξημένη προσφορά εκτός OPEC+ συνέβαλαν στη σταδιακή μείωση των τιμών, ενώ η γεωπολιτική αβεβαιότητα εξακολούθησε να τροφοδοτεί τη βραχυπρόθεσμη μεταβλητότητα.</w:t>
      </w:r>
    </w:p>
    <w:p w14:paraId="5E3AEC28" w14:textId="1374B3CA" w:rsidR="004E08BA" w:rsidRPr="003F1518" w:rsidRDefault="004E08BA" w:rsidP="002914C1">
      <w:pPr>
        <w:spacing w:after="240"/>
      </w:pPr>
      <w:r w:rsidRPr="003F1518">
        <w:t xml:space="preserve">Κατά το </w:t>
      </w:r>
      <w:r w:rsidR="00242DDB">
        <w:t>2ο</w:t>
      </w:r>
      <w:r w:rsidRPr="003F1518">
        <w:t xml:space="preserve"> τρίμηνο </w:t>
      </w:r>
      <w:r w:rsidR="00242DDB">
        <w:t xml:space="preserve">του </w:t>
      </w:r>
      <w:r>
        <w:t xml:space="preserve">2025 </w:t>
      </w:r>
      <w:r w:rsidRPr="003F1518">
        <w:t xml:space="preserve">και ιδίως από τον </w:t>
      </w:r>
      <w:r>
        <w:t>Ιούνιο</w:t>
      </w:r>
      <w:r w:rsidRPr="003F1518">
        <w:t xml:space="preserve"> και </w:t>
      </w:r>
      <w:r w:rsidR="00242DDB">
        <w:t>μετά</w:t>
      </w:r>
      <w:r w:rsidRPr="003F1518">
        <w:t xml:space="preserve"> διαμορφώθηκε μ</w:t>
      </w:r>
      <w:r w:rsidR="00242DDB">
        <w:t>ί</w:t>
      </w:r>
      <w:r w:rsidRPr="003F1518">
        <w:t>α τάση σταθεροποίησης, με τις τιμές να κινούνται πλησιέστερα σ</w:t>
      </w:r>
      <w:r w:rsidR="00242DDB">
        <w:t>ε</w:t>
      </w:r>
      <w:r w:rsidRPr="003F1518">
        <w:t xml:space="preserve"> </w:t>
      </w:r>
      <w:r w:rsidR="00D06BC4">
        <w:t xml:space="preserve">65 με </w:t>
      </w:r>
      <w:r w:rsidRPr="003F1518">
        <w:t xml:space="preserve">70 δολάρια ανά βαρέλι, ενώ η μείωση από την αρχή του έτους υπερβαίνει </w:t>
      </w:r>
      <w:r w:rsidR="000811B7">
        <w:t xml:space="preserve">σε </w:t>
      </w:r>
      <w:r w:rsidR="00242DDB">
        <w:t xml:space="preserve">ποσοστό </w:t>
      </w:r>
      <w:r w:rsidR="000811B7">
        <w:t xml:space="preserve">το </w:t>
      </w:r>
      <w:r w:rsidRPr="003F1518">
        <w:t>10%. Ωστόσο, οι συνθήκες στην αγορά πετρελαίου παραμένουν ευμετάβλητες, κα</w:t>
      </w:r>
      <w:r w:rsidR="00242DDB">
        <w:t xml:space="preserve">θ’ όσον </w:t>
      </w:r>
      <w:r w:rsidRPr="003F1518">
        <w:t>οι εξελίξεις στη Μέση Ανατολή και οι αποφάσεις του OPEC+ εξακολουθούν να συνιστούν σημαντικές πηγές αβεβαιότητας.</w:t>
      </w:r>
    </w:p>
    <w:p w14:paraId="4E37EA09" w14:textId="1162078D" w:rsidR="00D35BF4" w:rsidRPr="00980B3F" w:rsidRDefault="00980B3F" w:rsidP="00980B3F">
      <w:pPr>
        <w:pStyle w:val="afc"/>
        <w:keepNext/>
        <w:spacing w:after="0" w:line="276" w:lineRule="auto"/>
        <w:jc w:val="center"/>
        <w:rPr>
          <w:rFonts w:cs="Arial"/>
          <w:sz w:val="18"/>
          <w:szCs w:val="18"/>
        </w:rPr>
      </w:pPr>
      <w:bookmarkStart w:id="16" w:name="_Ref210139422"/>
      <w:bookmarkStart w:id="17" w:name="_Ref210042496"/>
      <w:bookmarkStart w:id="18" w:name="_Toc210570704"/>
      <w:r w:rsidRPr="00980B3F">
        <w:rPr>
          <w:sz w:val="18"/>
          <w:szCs w:val="18"/>
        </w:rPr>
        <w:t>Διάγραμμα 1.</w:t>
      </w:r>
      <w:r w:rsidR="00CC4105">
        <w:rPr>
          <w:sz w:val="18"/>
          <w:szCs w:val="18"/>
        </w:rPr>
        <w:fldChar w:fldCharType="begin"/>
      </w:r>
      <w:r w:rsidR="00CC4105">
        <w:rPr>
          <w:sz w:val="18"/>
          <w:szCs w:val="18"/>
        </w:rPr>
        <w:instrText xml:space="preserve"> SEQ Διάγραμμα_1. \* ARABIC </w:instrText>
      </w:r>
      <w:r w:rsidR="00CC4105">
        <w:rPr>
          <w:sz w:val="18"/>
          <w:szCs w:val="18"/>
        </w:rPr>
        <w:fldChar w:fldCharType="separate"/>
      </w:r>
      <w:r w:rsidR="00C42930">
        <w:rPr>
          <w:noProof/>
          <w:sz w:val="18"/>
          <w:szCs w:val="18"/>
        </w:rPr>
        <w:t>6</w:t>
      </w:r>
      <w:r w:rsidR="00CC4105">
        <w:rPr>
          <w:sz w:val="18"/>
          <w:szCs w:val="18"/>
        </w:rPr>
        <w:fldChar w:fldCharType="end"/>
      </w:r>
      <w:bookmarkEnd w:id="16"/>
      <w:r w:rsidRPr="00980B3F">
        <w:rPr>
          <w:sz w:val="18"/>
          <w:szCs w:val="18"/>
        </w:rPr>
        <w:t xml:space="preserve">.: </w:t>
      </w:r>
      <w:bookmarkEnd w:id="17"/>
      <w:r w:rsidR="00D35BF4" w:rsidRPr="00980B3F">
        <w:rPr>
          <w:rFonts w:cs="Arial"/>
          <w:sz w:val="18"/>
          <w:szCs w:val="18"/>
        </w:rPr>
        <w:t>Εξέλιξη διεθνών τιμών στην ενέργεια</w:t>
      </w:r>
      <w:bookmarkEnd w:id="18"/>
    </w:p>
    <w:p w14:paraId="521A3D93" w14:textId="4D9ED9A2" w:rsidR="00D35BF4" w:rsidRDefault="00D35BF4" w:rsidP="00980B3F">
      <w:pPr>
        <w:spacing w:after="60" w:line="276" w:lineRule="auto"/>
        <w:jc w:val="center"/>
        <w:rPr>
          <w:rFonts w:cs="Arial"/>
          <w:b/>
          <w:bCs/>
          <w:sz w:val="18"/>
          <w:szCs w:val="18"/>
        </w:rPr>
      </w:pPr>
      <w:r w:rsidRPr="004B6A6A">
        <w:rPr>
          <w:rFonts w:cs="Arial"/>
          <w:b/>
          <w:bCs/>
          <w:sz w:val="18"/>
          <w:szCs w:val="18"/>
        </w:rPr>
        <w:t>(επίπεδο τιμών)</w:t>
      </w:r>
    </w:p>
    <w:p w14:paraId="620FFE75" w14:textId="3212DEFD" w:rsidR="00DB7252" w:rsidRDefault="00DB7252" w:rsidP="00980B3F">
      <w:pPr>
        <w:spacing w:after="60" w:line="276" w:lineRule="auto"/>
        <w:jc w:val="center"/>
        <w:rPr>
          <w:rFonts w:cs="Arial"/>
          <w:b/>
          <w:bCs/>
          <w:sz w:val="18"/>
          <w:szCs w:val="18"/>
        </w:rPr>
      </w:pPr>
      <w:r>
        <w:rPr>
          <w:noProof/>
        </w:rPr>
        <w:drawing>
          <wp:inline distT="0" distB="0" distL="0" distR="0" wp14:anchorId="19016BC6" wp14:editId="0E6FEE45">
            <wp:extent cx="5759450" cy="2438400"/>
            <wp:effectExtent l="0" t="0" r="12700" b="0"/>
            <wp:docPr id="11" name="Γράφημα 11">
              <a:extLst xmlns:a="http://schemas.openxmlformats.org/drawingml/2006/main">
                <a:ext uri="{FF2B5EF4-FFF2-40B4-BE49-F238E27FC236}">
                  <a16:creationId xmlns:a16="http://schemas.microsoft.com/office/drawing/2014/main" id="{AB453884-61F6-F715-4424-A8F4EEB98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96A980" w14:textId="77777777" w:rsidR="004E08BA" w:rsidRDefault="004E08BA" w:rsidP="00A05C43">
      <w:pPr>
        <w:tabs>
          <w:tab w:val="left" w:pos="0"/>
        </w:tabs>
        <w:spacing w:before="60" w:after="0" w:line="276" w:lineRule="auto"/>
        <w:rPr>
          <w:rFonts w:cs="Arial"/>
          <w:sz w:val="16"/>
          <w:szCs w:val="16"/>
        </w:rPr>
      </w:pPr>
      <w:r w:rsidRPr="00B03BCA">
        <w:rPr>
          <w:rFonts w:cs="Arial"/>
          <w:sz w:val="16"/>
          <w:szCs w:val="16"/>
        </w:rPr>
        <w:t xml:space="preserve">Πηγή: </w:t>
      </w:r>
      <w:r w:rsidRPr="00B03BCA">
        <w:rPr>
          <w:rFonts w:cs="Arial"/>
          <w:sz w:val="16"/>
          <w:szCs w:val="16"/>
          <w:lang w:val="en-GB"/>
        </w:rPr>
        <w:t>Intercontinental</w:t>
      </w:r>
      <w:r w:rsidRPr="00B03BCA">
        <w:rPr>
          <w:rFonts w:cs="Arial"/>
          <w:sz w:val="16"/>
          <w:szCs w:val="16"/>
        </w:rPr>
        <w:t xml:space="preserve"> </w:t>
      </w:r>
      <w:r w:rsidRPr="00B03BCA">
        <w:rPr>
          <w:rFonts w:cs="Arial"/>
          <w:sz w:val="16"/>
          <w:szCs w:val="16"/>
          <w:lang w:val="en-GB"/>
        </w:rPr>
        <w:t>Exchange</w:t>
      </w:r>
      <w:r w:rsidRPr="00B03BCA">
        <w:rPr>
          <w:rFonts w:cs="Arial"/>
          <w:sz w:val="16"/>
          <w:szCs w:val="16"/>
        </w:rPr>
        <w:t xml:space="preserve"> (</w:t>
      </w:r>
      <w:r w:rsidRPr="00B03BCA">
        <w:rPr>
          <w:rFonts w:cs="Arial"/>
          <w:sz w:val="16"/>
          <w:szCs w:val="16"/>
          <w:lang w:val="en-GB"/>
        </w:rPr>
        <w:t>ICE</w:t>
      </w:r>
      <w:r w:rsidRPr="00B03BCA">
        <w:rPr>
          <w:rFonts w:cs="Arial"/>
          <w:sz w:val="16"/>
          <w:szCs w:val="16"/>
        </w:rPr>
        <w:t xml:space="preserve">), Παγκόσμια Τράπεζα, </w:t>
      </w:r>
      <w:r w:rsidRPr="00B03BCA">
        <w:rPr>
          <w:rFonts w:cs="Arial"/>
          <w:sz w:val="16"/>
          <w:szCs w:val="16"/>
          <w:lang w:val="en-GB"/>
        </w:rPr>
        <w:t>Commodity</w:t>
      </w:r>
      <w:r w:rsidRPr="00B03BCA">
        <w:rPr>
          <w:rFonts w:cs="Arial"/>
          <w:sz w:val="16"/>
          <w:szCs w:val="16"/>
        </w:rPr>
        <w:t xml:space="preserve"> </w:t>
      </w:r>
      <w:r w:rsidRPr="00B03BCA">
        <w:rPr>
          <w:rFonts w:cs="Arial"/>
          <w:sz w:val="16"/>
          <w:szCs w:val="16"/>
          <w:lang w:val="en-GB"/>
        </w:rPr>
        <w:t>Markets</w:t>
      </w:r>
      <w:r w:rsidRPr="00B03BCA">
        <w:rPr>
          <w:rFonts w:cs="Arial"/>
          <w:sz w:val="16"/>
          <w:szCs w:val="16"/>
        </w:rPr>
        <w:t>, μηνιαίες τιμές, Σεπτέμβριος 2025</w:t>
      </w:r>
    </w:p>
    <w:p w14:paraId="0773CA1A" w14:textId="77777777" w:rsidR="008C0CE1" w:rsidRPr="003F1518" w:rsidRDefault="008C0CE1" w:rsidP="008C0CE1">
      <w:pPr>
        <w:spacing w:before="240"/>
      </w:pPr>
      <w:r w:rsidRPr="003F1518">
        <w:t>Η διεθνής τιμή του φυσικού αερίου στην Ευρώπη υποχώρησε περαιτέρω το 2025</w:t>
      </w:r>
      <w:r>
        <w:t>,</w:t>
      </w:r>
      <w:r w:rsidRPr="003F1518">
        <w:t xml:space="preserve"> ακολουθώντας πτωτική πορεία μετά την προσωρινή άνοδο στις αρχές του έτους</w:t>
      </w:r>
      <w:r>
        <w:t xml:space="preserve">, η οποία οφειλόταν στα χαμηλότερα ενεργειακά αποθέματα στην Ευρώπη συγκριτικά με το 2024, στις δυσμενέστερες καιρικές συνθήκες τον </w:t>
      </w:r>
      <w:r>
        <w:lastRenderedPageBreak/>
        <w:t>χειμώνα, στη διακοπή της διαμετακόμισης ρωσικού φυσικού αερίου μέσω της Ουκρανίας και στη μειωμένη παραγωγή από ανανεώσιμες πηγές</w:t>
      </w:r>
      <w:r w:rsidRPr="003F1518">
        <w:t>.</w:t>
      </w:r>
      <w:r>
        <w:t xml:space="preserve"> </w:t>
      </w:r>
      <w:r w:rsidRPr="003F1518">
        <w:t>Η τιμή TTF</w:t>
      </w:r>
      <w:r w:rsidRPr="00ED4620">
        <w:t xml:space="preserve"> </w:t>
      </w:r>
      <w:r w:rsidRPr="00F77871">
        <w:t>(</w:t>
      </w:r>
      <w:r>
        <w:rPr>
          <w:lang w:val="en-US"/>
        </w:rPr>
        <w:t>Title</w:t>
      </w:r>
      <w:r w:rsidRPr="000B0F64">
        <w:t xml:space="preserve"> </w:t>
      </w:r>
      <w:r>
        <w:rPr>
          <w:lang w:val="en-US"/>
        </w:rPr>
        <w:t>Transfer</w:t>
      </w:r>
      <w:r w:rsidRPr="000B0F64">
        <w:t xml:space="preserve"> </w:t>
      </w:r>
      <w:r>
        <w:rPr>
          <w:lang w:val="en-US"/>
        </w:rPr>
        <w:t>Facility</w:t>
      </w:r>
      <w:r w:rsidRPr="00ED4620">
        <w:t>)</w:t>
      </w:r>
      <w:r w:rsidRPr="000B0F64">
        <w:t xml:space="preserve"> </w:t>
      </w:r>
      <w:r w:rsidRPr="003F1518">
        <w:t>μειώθηκε από 42,8 ευρώ ανά μεγαβατώρα τον Αύγουστο 2024 σε 35,4 ευρώ ανά μεγαβατώρα τον Αύγουστο 2025, καταγράφοντας πτώση 17</w:t>
      </w:r>
      <w:r>
        <w:t>,3</w:t>
      </w:r>
      <w:r w:rsidRPr="003F1518">
        <w:t>%, ενώ η πτώση από τον Αύγουστο 2022, που ήταν το χρονικό σημείο κορύφωσης της ενεργειακής κρίσης, ανήλθε σ</w:t>
      </w:r>
      <w:r>
        <w:t>ε</w:t>
      </w:r>
      <w:r w:rsidRPr="003F1518">
        <w:t xml:space="preserve"> 90%. Η αποκλιμάκωση αυτή εντός του 2025 </w:t>
      </w:r>
      <w:r>
        <w:t>αποδίδεται</w:t>
      </w:r>
      <w:r w:rsidRPr="003F1518">
        <w:t xml:space="preserve"> στις ηπιότερες θερμοκρασίες, στη διαθεσιμότητα επαρκών αποθεμάτων υγροποιημένου φυσικού αερίου LNG και στη συμβολή των ανανεώσιμων πηγών ενέργειας. Παρά τη σημαντική αυτή αποκλιμάκωση</w:t>
      </w:r>
      <w:r>
        <w:t>,</w:t>
      </w:r>
      <w:r w:rsidRPr="003F1518">
        <w:t xml:space="preserve"> οι διεθνείς τιμές παραμένουν ευμετάβλητες και ιδιαίτερα ευαίσθητες στις συνθήκες προσφοράς και ζήτησης καθώς και στις γεωπολιτικές εξελίξεις</w:t>
      </w:r>
      <w:r>
        <w:t>, οι οποίες</w:t>
      </w:r>
      <w:r w:rsidRPr="003F1518">
        <w:t xml:space="preserve"> εξακολουθούν να επηρεάζουν τον ενεργειακό εφοδιασμό της Ευρώπης.</w:t>
      </w:r>
    </w:p>
    <w:p w14:paraId="7196FF53" w14:textId="0AC58257" w:rsidR="004E08BA" w:rsidRDefault="004E08BA" w:rsidP="008C0CE1">
      <w:pPr>
        <w:spacing w:before="120" w:after="240"/>
      </w:pPr>
      <w:r w:rsidRPr="00F06D30">
        <w:t xml:space="preserve">Κατά το </w:t>
      </w:r>
      <w:r w:rsidR="00C0691C" w:rsidRPr="00C0691C">
        <w:t>1</w:t>
      </w:r>
      <w:r w:rsidR="00C0691C">
        <w:rPr>
          <w:lang w:val="en-US"/>
        </w:rPr>
        <w:t>o</w:t>
      </w:r>
      <w:r w:rsidRPr="00F06D30">
        <w:t xml:space="preserve"> εξάμηνο του 2025 το έλλειμμα του ισοζυγίου τρεχουσών συναλλαγών διαμορφώθηκε σε 6,5% του ΑΕΠ, χαμηλότερα σε σχέση με το αντίστοιχο διάστημα του 2024 (7,5% του ΑΕΠ). Την περίοδο Ιανουαρίου </w:t>
      </w:r>
      <w:r w:rsidR="004E4040">
        <w:t>-</w:t>
      </w:r>
      <w:r w:rsidRPr="00F06D30">
        <w:t xml:space="preserve"> Ιουλίου 2025 </w:t>
      </w:r>
      <w:r>
        <w:t>το ισοζύγιο τρεχουσών συναλλαγών βελτιώθηκε καταγράφοντας μείωση του ελλείμματος κατά 1,4 δισ. ευρώ ή 17,5% σε σχέση με το αντίστοιχο διάστημα του 2024 (8,1 δισ. ευρώ). Η εξέλιξη αυτή οφείλεται στη βελτίωση όλων των επιμέρους ισοζυγίων και κυρίως του ισοζυγίου πρωτογενών εισοδημάτων, του ισοζυγίου υπηρεσιών και του ισοζυγίου αγαθών. Τ</w:t>
      </w:r>
      <w:r w:rsidRPr="00F06D30">
        <w:t xml:space="preserve">ο πλεόνασμα του ισοζυγίου υπηρεσιών </w:t>
      </w:r>
      <w:r>
        <w:t xml:space="preserve">αυξήθηκε σχεδόν κατά </w:t>
      </w:r>
      <w:r w:rsidRPr="00F06D30">
        <w:t xml:space="preserve">0,5 δισ. ευρώ ή 4,2% από 11,4 δισ. ευρώ σε 11,8 δισ. ευρώ, </w:t>
      </w:r>
      <w:r w:rsidR="00AC3A94">
        <w:t xml:space="preserve">συνεπεία </w:t>
      </w:r>
      <w:r w:rsidRPr="00F06D30">
        <w:t>των υψηλών ταξιδιωτικών εισπράξεων.</w:t>
      </w:r>
      <w:r>
        <w:t xml:space="preserve"> </w:t>
      </w:r>
      <w:r w:rsidRPr="003F1518">
        <w:t xml:space="preserve">Οι ταξιδιωτικές εισπράξεις της περιόδου Ιανουαρίου </w:t>
      </w:r>
      <w:r w:rsidR="004E4040">
        <w:t>-</w:t>
      </w:r>
      <w:r w:rsidRPr="003F1518">
        <w:t xml:space="preserve"> Ιουλίου 2025 ανήλθαν σε 12,18 δισ. ευρώ</w:t>
      </w:r>
      <w:r w:rsidR="003A4671">
        <w:t>,</w:t>
      </w:r>
      <w:r w:rsidRPr="003F1518">
        <w:t xml:space="preserve"> υπερβαίνοντας το επίπεδο </w:t>
      </w:r>
      <w:r>
        <w:t xml:space="preserve">των </w:t>
      </w:r>
      <w:r w:rsidR="001268AA">
        <w:t>10</w:t>
      </w:r>
      <w:r w:rsidRPr="00CD0959">
        <w:t>,</w:t>
      </w:r>
      <w:r w:rsidR="001268AA">
        <w:t>83</w:t>
      </w:r>
      <w:r w:rsidRPr="00CD0959">
        <w:t xml:space="preserve"> δισ. ευρώ </w:t>
      </w:r>
      <w:r w:rsidRPr="003F1518">
        <w:t>του 20</w:t>
      </w:r>
      <w:r w:rsidR="001268AA">
        <w:t>24</w:t>
      </w:r>
      <w:r>
        <w:t xml:space="preserve"> </w:t>
      </w:r>
      <w:r w:rsidRPr="00CD0959">
        <w:t xml:space="preserve">κατά </w:t>
      </w:r>
      <w:r w:rsidR="001268AA">
        <w:t>12</w:t>
      </w:r>
      <w:r w:rsidRPr="00CD0959">
        <w:t>,</w:t>
      </w:r>
      <w:r w:rsidR="001268AA">
        <w:t>5</w:t>
      </w:r>
      <w:r w:rsidRPr="00CD0959">
        <w:t>%</w:t>
      </w:r>
      <w:r w:rsidRPr="003F1518">
        <w:t>.</w:t>
      </w:r>
    </w:p>
    <w:p w14:paraId="48CE184D" w14:textId="1A8D4E2D" w:rsidR="00D35BF4" w:rsidRPr="00FE3721" w:rsidRDefault="00FE3721" w:rsidP="00FE3721">
      <w:pPr>
        <w:pStyle w:val="afc"/>
        <w:keepNext/>
        <w:spacing w:after="0" w:line="276" w:lineRule="auto"/>
        <w:jc w:val="center"/>
        <w:rPr>
          <w:rFonts w:cs="Arial"/>
          <w:sz w:val="18"/>
          <w:szCs w:val="18"/>
        </w:rPr>
      </w:pPr>
      <w:bookmarkStart w:id="19" w:name="_Toc210570705"/>
      <w:r w:rsidRPr="00FE3721">
        <w:rPr>
          <w:sz w:val="18"/>
          <w:szCs w:val="18"/>
        </w:rPr>
        <w:t>Διάγραμμα 1.</w:t>
      </w:r>
      <w:r w:rsidR="00CC4105">
        <w:rPr>
          <w:sz w:val="18"/>
          <w:szCs w:val="18"/>
        </w:rPr>
        <w:fldChar w:fldCharType="begin"/>
      </w:r>
      <w:r w:rsidR="00CC4105">
        <w:rPr>
          <w:sz w:val="18"/>
          <w:szCs w:val="18"/>
        </w:rPr>
        <w:instrText xml:space="preserve"> SEQ Διάγραμμα_1. \* ARABIC </w:instrText>
      </w:r>
      <w:r w:rsidR="00CC4105">
        <w:rPr>
          <w:sz w:val="18"/>
          <w:szCs w:val="18"/>
        </w:rPr>
        <w:fldChar w:fldCharType="separate"/>
      </w:r>
      <w:r w:rsidR="00C42930">
        <w:rPr>
          <w:noProof/>
          <w:sz w:val="18"/>
          <w:szCs w:val="18"/>
        </w:rPr>
        <w:t>7</w:t>
      </w:r>
      <w:r w:rsidR="00CC4105">
        <w:rPr>
          <w:sz w:val="18"/>
          <w:szCs w:val="18"/>
        </w:rPr>
        <w:fldChar w:fldCharType="end"/>
      </w:r>
      <w:r w:rsidRPr="00FE3721">
        <w:rPr>
          <w:sz w:val="18"/>
          <w:szCs w:val="18"/>
        </w:rPr>
        <w:t xml:space="preserve">.: </w:t>
      </w:r>
      <w:r w:rsidR="00D35BF4" w:rsidRPr="00FE3721">
        <w:rPr>
          <w:rFonts w:cs="Arial"/>
          <w:sz w:val="18"/>
          <w:szCs w:val="18"/>
        </w:rPr>
        <w:t>Εξέλιξη Ισοζυγίου Τρεχουσών Συναλλαγών</w:t>
      </w:r>
      <w:bookmarkEnd w:id="19"/>
    </w:p>
    <w:p w14:paraId="25871346" w14:textId="77777777" w:rsidR="00D35BF4" w:rsidRDefault="00D35BF4" w:rsidP="006A7C7F">
      <w:pPr>
        <w:keepNext/>
        <w:spacing w:after="60" w:line="276" w:lineRule="auto"/>
        <w:jc w:val="center"/>
        <w:rPr>
          <w:rFonts w:cs="Arial"/>
          <w:b/>
          <w:bCs/>
          <w:sz w:val="18"/>
          <w:szCs w:val="18"/>
        </w:rPr>
      </w:pPr>
      <w:r w:rsidRPr="004B6A6A">
        <w:rPr>
          <w:rFonts w:cs="Arial"/>
          <w:b/>
          <w:bCs/>
          <w:sz w:val="18"/>
          <w:szCs w:val="18"/>
        </w:rPr>
        <w:t>(εκατ. ευρώ, τρέχουσες τιμές, μη εποχικά διορθωμένα στοιχεία)</w:t>
      </w:r>
    </w:p>
    <w:p w14:paraId="49FB1AFA" w14:textId="77777777" w:rsidR="000503F0" w:rsidRDefault="00997959" w:rsidP="00A05C43">
      <w:pPr>
        <w:spacing w:after="0" w:line="276" w:lineRule="auto"/>
        <w:jc w:val="center"/>
        <w:rPr>
          <w:rFonts w:cs="Arial"/>
          <w:b/>
          <w:bCs/>
          <w:sz w:val="18"/>
          <w:szCs w:val="18"/>
        </w:rPr>
      </w:pPr>
      <w:r>
        <w:rPr>
          <w:noProof/>
        </w:rPr>
        <w:drawing>
          <wp:inline distT="0" distB="0" distL="0" distR="0" wp14:anchorId="5B336D5A" wp14:editId="323B28B6">
            <wp:extent cx="5759450" cy="2623930"/>
            <wp:effectExtent l="0" t="0" r="12700" b="4445"/>
            <wp:docPr id="9" name="Γράφημα 9">
              <a:extLst xmlns:a="http://schemas.openxmlformats.org/drawingml/2006/main">
                <a:ext uri="{FF2B5EF4-FFF2-40B4-BE49-F238E27FC236}">
                  <a16:creationId xmlns:a16="http://schemas.microsoft.com/office/drawing/2014/main" id="{2061B02E-289B-29CF-DA2E-EE42C1D15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46CBA7" w14:textId="77777777" w:rsidR="004E08BA" w:rsidRDefault="004E08BA" w:rsidP="00A05C43">
      <w:pPr>
        <w:tabs>
          <w:tab w:val="left" w:pos="0"/>
        </w:tabs>
        <w:spacing w:before="60" w:after="0" w:line="276" w:lineRule="auto"/>
        <w:rPr>
          <w:rFonts w:cs="Arial"/>
          <w:sz w:val="16"/>
          <w:szCs w:val="16"/>
        </w:rPr>
      </w:pPr>
      <w:r w:rsidRPr="004B6A6A">
        <w:rPr>
          <w:rFonts w:cs="Arial"/>
          <w:sz w:val="16"/>
          <w:szCs w:val="16"/>
        </w:rPr>
        <w:t>Πηγή: ΤτΕ, μηνιαία στοιχεία Ισοζυγίου Πληρωμών</w:t>
      </w:r>
    </w:p>
    <w:p w14:paraId="53FF8F8C" w14:textId="288DFC9D" w:rsidR="004E08BA" w:rsidRPr="00874105" w:rsidRDefault="004E08BA" w:rsidP="00FE3721">
      <w:pPr>
        <w:spacing w:before="240"/>
      </w:pPr>
      <w:r w:rsidRPr="00874105">
        <w:t xml:space="preserve">Η θετική δυναμική που παρουσιάζει η ελληνική οικονομία, παρά το αβέβαιο εξωτερικό οικονομικό περιβάλλον, αποτυπώθηκε στη διατήρηση της δυναμικής του Δείκτη Οικονομικού Κλίματος, ο οποίος </w:t>
      </w:r>
      <w:r>
        <w:t xml:space="preserve">σύμφωνα με τα στοιχεία της </w:t>
      </w:r>
      <w:r w:rsidRPr="007B1B5A">
        <w:t>Ευρωπαϊκής Επιτροπής</w:t>
      </w:r>
      <w:r w:rsidRPr="007B1B5A">
        <w:rPr>
          <w:rStyle w:val="ab"/>
        </w:rPr>
        <w:footnoteReference w:id="3"/>
      </w:r>
      <w:r w:rsidRPr="007B1B5A">
        <w:t xml:space="preserve"> διαμορφώθηκε</w:t>
      </w:r>
      <w:r w:rsidRPr="00874105">
        <w:t xml:space="preserve"> κατά την περίοδο Ιανουαρίου </w:t>
      </w:r>
      <w:r w:rsidR="00C20534">
        <w:t>-</w:t>
      </w:r>
      <w:r w:rsidRPr="00874105">
        <w:t xml:space="preserve"> Αυγούστου 2025 σ</w:t>
      </w:r>
      <w:r w:rsidR="00C20534">
        <w:t>ε</w:t>
      </w:r>
      <w:r w:rsidRPr="00874105">
        <w:t xml:space="preserve"> 107,8 μονάδες έναντι 107,5 μονάδων την αντίστοιχη περίοδο του 2024. Στην Ευρωζώνη ο Δείκτης Οικονομικού Κλίματος παρέμεινε σε χαμηλότερα επίπεδα, διαμορφούμενος σ</w:t>
      </w:r>
      <w:r w:rsidR="00C20534">
        <w:t>ε</w:t>
      </w:r>
      <w:r w:rsidRPr="00874105">
        <w:t xml:space="preserve"> 95,1 μονάδες την περίοδο Ιανουαρίου </w:t>
      </w:r>
      <w:r w:rsidR="00C20534">
        <w:t>-</w:t>
      </w:r>
      <w:r w:rsidRPr="00874105">
        <w:t xml:space="preserve"> Αυγούστου 2025 από 95,9 μονάδες την αντίστοιχη περίοδο του 2024.</w:t>
      </w:r>
    </w:p>
    <w:p w14:paraId="0E32CB73" w14:textId="3752D5C6" w:rsidR="004E08BA" w:rsidRPr="00874105" w:rsidRDefault="004E08BA" w:rsidP="004E08BA">
      <w:r w:rsidRPr="00874105">
        <w:lastRenderedPageBreak/>
        <w:t xml:space="preserve">Η καλύτερη επίδοση του δείκτη για την Ελλάδα οφείλεται κυρίως στις επιχειρηματικές προσδοκίες στη βιομηχανία, όπου ο σχετικός δείκτης κατά το </w:t>
      </w:r>
      <w:r w:rsidR="00C20534">
        <w:t>1ο</w:t>
      </w:r>
      <w:r w:rsidRPr="00874105">
        <w:t xml:space="preserve"> οκτάμηνο του 2025 κινήθηκε έντονα ανοδικά και διαμορφώθηκε σε 6,3 μονάδες από 0,6 μονάδες την αντίστοιχη περίοδο του 2024. Σημαντική βελτίωση σημειώθηκε</w:t>
      </w:r>
      <w:r w:rsidR="00C0691C" w:rsidRPr="00C0691C">
        <w:t>,</w:t>
      </w:r>
      <w:r w:rsidRPr="00874105">
        <w:t xml:space="preserve"> επίσης</w:t>
      </w:r>
      <w:r w:rsidR="00C0691C" w:rsidRPr="00C0691C">
        <w:t>,</w:t>
      </w:r>
      <w:r w:rsidRPr="00874105">
        <w:t xml:space="preserve"> στις επιχειρηματικές προσδοκίες</w:t>
      </w:r>
      <w:r>
        <w:t xml:space="preserve"> </w:t>
      </w:r>
      <w:r w:rsidRPr="00874105">
        <w:t>στις κατασκευές, όπου ο σχετικός δείκτης ενισχύθηκε σε 16,4 μονάδες από 8,3 μονάδες, αντανακλώντας τις αισιόδοξες προβλέψεις που συ</w:t>
      </w:r>
      <w:r w:rsidR="00C20534">
        <w:t>σχετίζονται</w:t>
      </w:r>
      <w:r w:rsidRPr="00874105">
        <w:t xml:space="preserve"> με την έντονη επενδυτική δραστηριότητα σε δημόσιες και ιδιωτικές υποδομές. Στο λιανικό εμπόριο οι προσδοκίες υποχώρησαν σε -0,3 μονάδες από 13,9 μονάδες</w:t>
      </w:r>
      <w:r>
        <w:t>.</w:t>
      </w:r>
      <w:r w:rsidRPr="00874105">
        <w:t xml:space="preserve"> </w:t>
      </w:r>
      <w:r>
        <w:t>Επίσης,</w:t>
      </w:r>
      <w:r w:rsidRPr="00874105">
        <w:t xml:space="preserve"> στις υπηρεσίες ο</w:t>
      </w:r>
      <w:r>
        <w:t xml:space="preserve"> εν λόγω</w:t>
      </w:r>
      <w:r w:rsidRPr="00874105">
        <w:t xml:space="preserve"> δείκτης μειώθηκε σε 29,9 μονάδες από 41,3 μονάδες.</w:t>
      </w:r>
    </w:p>
    <w:p w14:paraId="00702DF4" w14:textId="00C7EACF" w:rsidR="004E08BA" w:rsidRDefault="00FF6B6E" w:rsidP="004E08BA">
      <w:r>
        <w:t xml:space="preserve">Αναφορικά με </w:t>
      </w:r>
      <w:r w:rsidR="004E08BA" w:rsidRPr="003F1518">
        <w:t>τον τομέα της μεταποίησης</w:t>
      </w:r>
      <w:r>
        <w:t>,</w:t>
      </w:r>
      <w:r w:rsidR="004E08BA" w:rsidRPr="003F1518">
        <w:t xml:space="preserve"> τα στοιχεία του Δείκτη Υπευθύνων Προμηθειών (</w:t>
      </w:r>
      <w:r w:rsidR="00046AB4" w:rsidRPr="00046AB4">
        <w:t>Purchasing Managers' Index</w:t>
      </w:r>
      <w:r w:rsidR="00046AB4">
        <w:t xml:space="preserve"> - </w:t>
      </w:r>
      <w:r w:rsidR="004E08BA" w:rsidRPr="003F1518">
        <w:t>PMI) της S&amp;P Global</w:t>
      </w:r>
      <w:r w:rsidR="004E08BA">
        <w:t xml:space="preserve"> </w:t>
      </w:r>
      <w:r w:rsidR="004E08BA" w:rsidRPr="003F1518">
        <w:t>κατέδειξαν για τον μήνα Αύγουστο 2025 πολύ ισχυρή</w:t>
      </w:r>
      <w:r w:rsidR="004E08BA">
        <w:t xml:space="preserve"> </w:t>
      </w:r>
      <w:r w:rsidR="004E08BA" w:rsidRPr="003F1518">
        <w:t>απόδοση στον ελληνικό μεταποιητικό τομέα</w:t>
      </w:r>
      <w:r>
        <w:t>, δεδομένου ότι</w:t>
      </w:r>
      <w:r w:rsidR="004E08BA" w:rsidRPr="003F1518">
        <w:t xml:space="preserve"> η αύξηση των νέων παραγγελιών κατέγραψε τη μεγαλύτερη βελτίωση των τελευταίων πέντε μηνών και</w:t>
      </w:r>
      <w:r w:rsidR="004E08BA">
        <w:t xml:space="preserve"> </w:t>
      </w:r>
      <w:r w:rsidR="004E08BA" w:rsidRPr="003F1518">
        <w:t>οδήγησε σε σημαντική άνοδο της παραγωγής. Συγκεκριμένα</w:t>
      </w:r>
      <w:r>
        <w:t>,</w:t>
      </w:r>
      <w:r w:rsidR="004E08BA" w:rsidRPr="003F1518">
        <w:t xml:space="preserve"> ο εποχικά διορθωμένος δείκτης</w:t>
      </w:r>
      <w:r w:rsidR="004E08BA">
        <w:t xml:space="preserve"> </w:t>
      </w:r>
      <w:r w:rsidR="004E08BA" w:rsidRPr="003F1518">
        <w:t>αυξήθηκε σ</w:t>
      </w:r>
      <w:r>
        <w:t>ε</w:t>
      </w:r>
      <w:r w:rsidR="004E08BA">
        <w:t xml:space="preserve"> </w:t>
      </w:r>
      <w:r w:rsidR="004E08BA" w:rsidRPr="003F1518">
        <w:t xml:space="preserve">54,5 μονάδες από 51,7 τον προηγούμενο μήνα </w:t>
      </w:r>
      <w:r>
        <w:t>(</w:t>
      </w:r>
      <w:r w:rsidR="004E08BA" w:rsidRPr="003F1518">
        <w:t>Ιούλιο</w:t>
      </w:r>
      <w:r>
        <w:t>ς</w:t>
      </w:r>
      <w:r w:rsidR="004E08BA" w:rsidRPr="003F1518">
        <w:t xml:space="preserve"> 2025</w:t>
      </w:r>
      <w:r>
        <w:t>)</w:t>
      </w:r>
      <w:r w:rsidR="004E08BA" w:rsidRPr="003F1518">
        <w:t xml:space="preserve"> και από 52,9</w:t>
      </w:r>
      <w:r>
        <w:t xml:space="preserve"> </w:t>
      </w:r>
      <w:r w:rsidR="004E08BA">
        <w:t>τον Αύγουστο 2024</w:t>
      </w:r>
      <w:r w:rsidR="004E08BA" w:rsidRPr="003F1518">
        <w:t>, σηματοδοτώντας μ</w:t>
      </w:r>
      <w:r>
        <w:t>ία</w:t>
      </w:r>
      <w:r w:rsidR="004E08BA" w:rsidRPr="003F1518">
        <w:t xml:space="preserve"> σαφή ενίσχυση της δραστηριότητας στον τομέα της μεταποίησης.</w:t>
      </w:r>
      <w:r w:rsidR="004E08BA">
        <w:t xml:space="preserve"> </w:t>
      </w:r>
      <w:r w:rsidR="004E08BA" w:rsidRPr="003F1518">
        <w:t>Παρά την αδυναμία στις εξωτερικές αγορές, η βελτίωση της εσωτερικής ζήτησης αποδείχθηκε αρκετά ισχυρή</w:t>
      </w:r>
      <w:r w:rsidR="00DD5F5C">
        <w:t>,</w:t>
      </w:r>
      <w:r w:rsidR="004E08BA" w:rsidRPr="003F1518">
        <w:t xml:space="preserve"> ώστε να δώσει ώθηση στην παραγωγή και στις νέες παραγγελίες, με τη συνολική αύξηση των νέων πωλήσεων να είναι</w:t>
      </w:r>
      <w:r w:rsidR="004E08BA">
        <w:t xml:space="preserve"> </w:t>
      </w:r>
      <w:r w:rsidR="004E08BA" w:rsidRPr="003F1518">
        <w:t xml:space="preserve">η ταχύτερη από τον Μάρτιο 2024 </w:t>
      </w:r>
      <w:r w:rsidR="004E08BA">
        <w:t xml:space="preserve">και </w:t>
      </w:r>
      <w:r w:rsidR="00DD5F5C">
        <w:t>εφεξής</w:t>
      </w:r>
      <w:r w:rsidR="004E08BA" w:rsidRPr="003F1518">
        <w:t>.</w:t>
      </w:r>
    </w:p>
    <w:p w14:paraId="6A9FA43B" w14:textId="16F60DBE" w:rsidR="00AB5E1D" w:rsidRPr="00544591" w:rsidRDefault="004E08BA" w:rsidP="007B07F9">
      <w:pPr>
        <w:rPr>
          <w:highlight w:val="yellow"/>
        </w:rPr>
      </w:pPr>
      <w:r w:rsidRPr="003F1518">
        <w:t xml:space="preserve">Παρά την αστάθεια της διεθνούς συγκυρίας, οι επιδόσεις της ελληνικής οικονομίας αναγνωρίζονται διεθνώς, με τη διατήρηση της επενδυτικής βαθμίδας και τις συνεχείς αναβαθμίσεις να επιβεβαιώνουν την αξιοπιστία και την ανθεκτικότητά της. Στο πλαίσιο αυτό, η οικονομική πολιτική εστιάζει στη δημοσιονομική σταθερότητα, </w:t>
      </w:r>
      <w:r>
        <w:t>σ</w:t>
      </w:r>
      <w:r w:rsidRPr="003F1518">
        <w:t xml:space="preserve">τη μείωση του χρέους, </w:t>
      </w:r>
      <w:r>
        <w:t>σ</w:t>
      </w:r>
      <w:r w:rsidRPr="003F1518">
        <w:t xml:space="preserve">τις φορολογικές ελαφρύνσεις και </w:t>
      </w:r>
      <w:r>
        <w:t>σ</w:t>
      </w:r>
      <w:r w:rsidRPr="003F1518">
        <w:t xml:space="preserve">την ενίσχυση του διαθέσιμου εισοδήματος, ενώ παράλληλα προωθεί επενδύσεις </w:t>
      </w:r>
      <w:r w:rsidR="00F84944">
        <w:t xml:space="preserve">με έμφαση </w:t>
      </w:r>
      <w:r w:rsidRPr="003F1518">
        <w:t>στην πράσινη και</w:t>
      </w:r>
      <w:r w:rsidR="00DD5F5C">
        <w:t xml:space="preserve"> τη</w:t>
      </w:r>
      <w:r w:rsidR="002F1C81">
        <w:t>ν</w:t>
      </w:r>
      <w:r w:rsidRPr="003F1518">
        <w:t xml:space="preserve"> ψηφιακή </w:t>
      </w:r>
      <w:r w:rsidRPr="00A94196">
        <w:t xml:space="preserve">μετάβαση αξιοποιώντας τους πόρους του </w:t>
      </w:r>
      <w:r w:rsidR="00F84944" w:rsidRPr="00A94196">
        <w:t xml:space="preserve">ΑΠΔΕ </w:t>
      </w:r>
      <w:r w:rsidRPr="00A94196">
        <w:t>και ενισχύοντας περαιτέ</w:t>
      </w:r>
      <w:r w:rsidRPr="003F1518">
        <w:t>ρω την απασχόληση και την παραγωγικότητα. Η στρατηγική αυτή ενδυναμώνει την εμπιστοσύνη των επενδυτών, βελτιώνει τις χρηματοδοτικές συνθήκες και δημιουργεί τις προϋποθέσεις</w:t>
      </w:r>
      <w:r w:rsidR="00DD5F5C">
        <w:t>,</w:t>
      </w:r>
      <w:r w:rsidRPr="003F1518">
        <w:t xml:space="preserve"> για να συνεχιστεί απρόσκοπτα η αναπτυξιακή δυναμική της οικονομίας προς όφελος όλων των πολιτών.</w:t>
      </w:r>
      <w:bookmarkStart w:id="20" w:name="_Hlk50045320"/>
      <w:bookmarkEnd w:id="1"/>
    </w:p>
    <w:p w14:paraId="096C6D4A" w14:textId="77777777" w:rsidR="008F04D5" w:rsidRPr="003A2443" w:rsidRDefault="008F04D5" w:rsidP="00685673">
      <w:pPr>
        <w:pStyle w:val="3"/>
        <w:keepNext w:val="0"/>
        <w:rPr>
          <w:lang w:val="el-GR"/>
        </w:rPr>
      </w:pPr>
      <w:bookmarkStart w:id="21" w:name="_Toc210570660"/>
      <w:r w:rsidRPr="00F44BF9">
        <w:t>Νομισματικές</w:t>
      </w:r>
      <w:r w:rsidRPr="003A2443">
        <w:t xml:space="preserve"> και πιστωτικές εξελίξεις στην Ελλάδα το 202</w:t>
      </w:r>
      <w:r w:rsidR="00AF0333">
        <w:rPr>
          <w:lang w:val="el-GR"/>
        </w:rPr>
        <w:t>5</w:t>
      </w:r>
      <w:bookmarkEnd w:id="21"/>
    </w:p>
    <w:p w14:paraId="1FA96682" w14:textId="1EEFEF34" w:rsidR="00B275D4" w:rsidRPr="00B275D4" w:rsidRDefault="00F84944" w:rsidP="00B275D4">
      <w:pPr>
        <w:spacing w:before="120"/>
      </w:pPr>
      <w:r>
        <w:t xml:space="preserve">Κατά το τρέχον έτος ο </w:t>
      </w:r>
      <w:r w:rsidR="00B275D4" w:rsidRPr="00B275D4">
        <w:t xml:space="preserve">ετήσιος ρυθμός ανόδου του </w:t>
      </w:r>
      <w:r w:rsidR="00B275D4" w:rsidRPr="00EC28A9">
        <w:t>νομισματικού μεγέθους Μ3</w:t>
      </w:r>
      <w:r w:rsidR="00895EE1" w:rsidRPr="00EC28A9">
        <w:rPr>
          <w:rStyle w:val="ab"/>
        </w:rPr>
        <w:footnoteReference w:id="4"/>
      </w:r>
      <w:r w:rsidR="00B275D4" w:rsidRPr="00EC28A9">
        <w:t xml:space="preserve"> διαμορφώθηκε</w:t>
      </w:r>
      <w:r w:rsidR="00B275D4" w:rsidRPr="00B275D4">
        <w:t xml:space="preserve"> σε 5,9% κατά μέσο όρο το επτάμηνο Ιανουαρίου - Ιουλίου 2025, επίπεδο υψηλότερο έναντι της μέσης τιμής του αντίστοιχου επταμήνου </w:t>
      </w:r>
      <w:r w:rsidR="00B52410">
        <w:t xml:space="preserve">του προγενέστερου έτους </w:t>
      </w:r>
      <w:r w:rsidR="00B275D4" w:rsidRPr="00B275D4">
        <w:t xml:space="preserve">(Ιαν. </w:t>
      </w:r>
      <w:r w:rsidR="00B52410">
        <w:t>-</w:t>
      </w:r>
      <w:r w:rsidR="00B275D4" w:rsidRPr="00B275D4">
        <w:t xml:space="preserve"> Ιο</w:t>
      </w:r>
      <w:r w:rsidR="00B52410">
        <w:t>υ</w:t>
      </w:r>
      <w:r w:rsidR="00B275D4" w:rsidRPr="00B275D4">
        <w:t xml:space="preserve">λ. 2024: 3,1%). Η άνοδος του νομισματικού μεγέθους αποδίδεται στη σημαντική αύξηση των καταθέσεων </w:t>
      </w:r>
      <w:r w:rsidR="00B275D4" w:rsidRPr="00EC28A9">
        <w:t>διάρκειας μίας ημέρας</w:t>
      </w:r>
      <w:r w:rsidR="00895EE1" w:rsidRPr="00EC28A9">
        <w:rPr>
          <w:rStyle w:val="ab"/>
        </w:rPr>
        <w:footnoteReference w:id="5"/>
      </w:r>
      <w:r w:rsidR="00B275D4" w:rsidRPr="00EC28A9">
        <w:t>, απόρροια της ενίσχυσης των ονομαστικών εισοδημάτων των νοικοκυριών και της βελτίωσης της</w:t>
      </w:r>
      <w:r w:rsidR="00B275D4" w:rsidRPr="00B275D4">
        <w:t xml:space="preserve"> οικονομικής δραστηριότητας. Κατά μέσο όρο</w:t>
      </w:r>
      <w:r w:rsidR="00B52410">
        <w:t>,</w:t>
      </w:r>
      <w:r w:rsidR="00B275D4" w:rsidRPr="00B275D4">
        <w:t xml:space="preserve"> το επτάμηνο Ιανουαρίου</w:t>
      </w:r>
      <w:r w:rsidR="00B52410">
        <w:t xml:space="preserve"> - </w:t>
      </w:r>
      <w:r w:rsidR="00B275D4" w:rsidRPr="00B275D4">
        <w:t xml:space="preserve">Ιουλίου 2025 ο ετήσιος ρυθμός μεταβολής των καταθέσεων διάρκειας μίας ημέρας διαμορφώθηκε σε 8,1% έναντι αρνητικού ρυθμού -1,6% την αντίστοιχη περίοδο </w:t>
      </w:r>
      <w:r w:rsidR="00B52410">
        <w:t>του 2024</w:t>
      </w:r>
      <w:r w:rsidR="00B275D4" w:rsidRPr="00B275D4">
        <w:t>. Όσον αφορά στις καταθέσεις προθεσμίας</w:t>
      </w:r>
      <w:r w:rsidR="00A80CB8">
        <w:t xml:space="preserve">, </w:t>
      </w:r>
      <w:r w:rsidR="00B275D4" w:rsidRPr="00B275D4">
        <w:t xml:space="preserve">ο ετήσιος ρυθμός μεταβολής τους </w:t>
      </w:r>
      <w:r w:rsidR="00A80CB8">
        <w:t>εντός του 2025 παρέμεινε</w:t>
      </w:r>
      <w:r w:rsidR="004B4918">
        <w:t>,</w:t>
      </w:r>
      <w:r w:rsidR="00A80CB8">
        <w:t xml:space="preserve"> κ</w:t>
      </w:r>
      <w:r w:rsidR="00A80CB8" w:rsidRPr="00B275D4">
        <w:t>ατά μέσο όρο</w:t>
      </w:r>
      <w:r w:rsidR="004B4918">
        <w:t>,</w:t>
      </w:r>
      <w:r w:rsidR="00A80CB8" w:rsidRPr="00B275D4">
        <w:t xml:space="preserve"> </w:t>
      </w:r>
      <w:r w:rsidR="00BE0FDF">
        <w:t>αμετάβλητος</w:t>
      </w:r>
      <w:r w:rsidR="00BE0FDF" w:rsidRPr="00B275D4">
        <w:t xml:space="preserve"> </w:t>
      </w:r>
      <w:r w:rsidR="00B275D4" w:rsidRPr="00B275D4">
        <w:t>το επτάμηνο Ιανουαρίου - Ιουλίου 2025 έναντι μέσης τιμής 19,5% την αντίστοιχη περίοδο του 2024.</w:t>
      </w:r>
    </w:p>
    <w:p w14:paraId="40CE4CAA" w14:textId="35E1F8CF" w:rsidR="00B275D4" w:rsidRPr="00B275D4" w:rsidRDefault="00B275D4" w:rsidP="00B275D4">
      <w:pPr>
        <w:spacing w:before="120"/>
      </w:pPr>
      <w:r w:rsidRPr="00B275D4">
        <w:t xml:space="preserve">Όσον αφορά στις καταθέσεις των επιμέρους τομέων της οικονομίας, οι καταθέσεις των νοικοκυριών αυξήθηκαν κατά 0,8 δισ. ευρώ το επτάμηνο Ιανουαρίου - Ιουλίου 2025 έναντι ισόποσης μείωσης την αντίστοιχη περίοδο του 2024. Ο ετήσιος ρυθμός αύξησης των καταθέσεων των νοικοκυριών </w:t>
      </w:r>
      <w:r w:rsidRPr="00B275D4">
        <w:lastRenderedPageBreak/>
        <w:t xml:space="preserve">διαμορφώθηκε κατά μέσο όρο το επτάμηνο σε 3,0% (Ιαν. </w:t>
      </w:r>
      <w:r w:rsidR="00481EF1">
        <w:t>-</w:t>
      </w:r>
      <w:r w:rsidRPr="00B275D4">
        <w:t xml:space="preserve"> Ιο</w:t>
      </w:r>
      <w:r w:rsidR="00481EF1">
        <w:t>υ</w:t>
      </w:r>
      <w:r w:rsidRPr="00B275D4">
        <w:t>λ. 2024: 2,6%). Σε όρους ροών καταγράφηκε σημαντική άνοδος στις καταθέσεις μίας ημέρας των νοικοκυριών (κατά 2,6 δισ. ευρώ). Αντίθετα, οι καταθέσεις προθεσμίας μειώθηκαν (κατά 1,8 δισ. ευρώ)</w:t>
      </w:r>
      <w:r w:rsidR="00537D0A">
        <w:t xml:space="preserve"> </w:t>
      </w:r>
      <w:r w:rsidRPr="00B275D4">
        <w:t xml:space="preserve">ως συνέπεια της αρνητικής επίδρασης που άσκησε η μείωση των επιτοκίων καταθέσεων στη ζήτηση για καταθέσεις προθεσμίας. </w:t>
      </w:r>
      <w:r w:rsidR="00537D0A">
        <w:t xml:space="preserve">Οι </w:t>
      </w:r>
      <w:r w:rsidRPr="00B275D4">
        <w:t>καταθέσεις των Μη Χρηματοπιστωτικών Επιχειρήσεων (ΜΧΕ) παρουσίασαν έντονη μεταβλητότητα κατά τη διάρκεια του έτους και συνολικά μειώθηκαν το επτάμηνο του 2025 κατά 0,5 δισ. ευρώ (έναντι αύξησης 0,5 δισ. ευρώ την αντίστοιχη περίοδο του 2024). Ωστόσο, σε ετήσια βάση οι καταθέσεις των ΜΧΕ ενισχύθηκαν</w:t>
      </w:r>
      <w:r w:rsidR="008E3310">
        <w:t>,</w:t>
      </w:r>
      <w:r w:rsidRPr="00B275D4">
        <w:t xml:space="preserve"> αντανακλώντας κυρίως την ισχυρή πιστωτική επέκταση προς </w:t>
      </w:r>
      <w:r w:rsidR="00537D0A">
        <w:t>αυτόν</w:t>
      </w:r>
      <w:r w:rsidR="00537D0A" w:rsidRPr="00B275D4">
        <w:t xml:space="preserve"> </w:t>
      </w:r>
      <w:r w:rsidRPr="00B275D4">
        <w:t>τον τομέα. Ο ετήσιος ρυθμός ανόδου τους κυμάνθηκε στη διάρκεια του 2025 σε υψηλά επίπεδα (Ιαν.</w:t>
      </w:r>
      <w:r w:rsidR="00537D0A">
        <w:t xml:space="preserve"> -</w:t>
      </w:r>
      <w:r w:rsidRPr="00B275D4">
        <w:t xml:space="preserve"> Ιο</w:t>
      </w:r>
      <w:r w:rsidR="00537D0A">
        <w:t>υ</w:t>
      </w:r>
      <w:r w:rsidRPr="00B275D4">
        <w:t>λ. 2025: 10%, Ιαν.</w:t>
      </w:r>
      <w:r w:rsidR="00537D0A">
        <w:t xml:space="preserve"> -</w:t>
      </w:r>
      <w:r w:rsidRPr="00B275D4">
        <w:t xml:space="preserve"> Ιο</w:t>
      </w:r>
      <w:r w:rsidR="00537D0A">
        <w:t>υ</w:t>
      </w:r>
      <w:r w:rsidRPr="00B275D4">
        <w:t>λ. 2024: 3,1%).</w:t>
      </w:r>
    </w:p>
    <w:p w14:paraId="455FDB84" w14:textId="1F5806AF" w:rsidR="00B275D4" w:rsidRPr="00B275D4" w:rsidRDefault="00B275D4" w:rsidP="00B275D4">
      <w:pPr>
        <w:spacing w:before="120"/>
      </w:pPr>
      <w:r w:rsidRPr="00B275D4">
        <w:t>Ο ετήσιος ρυθμός μεταβολής της τραπεζικής χρηματοδότησης (συμπεριλαμβανομένης της ΤτΕ) προς τον τομέα της Γενικής Κυβέρνησης επιταχύνθηκε συνολικά με διακυμάνσεις το 2025 και διαμορφώθηκε κατά μέσο όρο το επτάμηνο Ιανουαρίου - Ιουλίου 2025 σε 1,1% έναντι 0,2% την αντίστοιχη περίοδο του 2024 (Ιο</w:t>
      </w:r>
      <w:r w:rsidR="00A001A1">
        <w:t>υ</w:t>
      </w:r>
      <w:r w:rsidRPr="00B275D4">
        <w:t>λ. 2025: 2,0%, Δεκ. 2024: 0%). Ο ετήσιος ρυθμός ανόδου της τραπεζικής χρηματοδότησης του ιδιωτικού μη χρηματοπιστωτικού τομέα της οικονομίας συνέχισε να επιταχύνεται το 2025 λόγω της σημαντικής ανόδου του ρυθμού της πιστωτικής επέκτασης προς τις επιχειρήσεις και του περιορισμού του ρυθμού συρρίκνωσης των τραπεζικών δανείων προς τα νοικοκυριά.</w:t>
      </w:r>
    </w:p>
    <w:p w14:paraId="097534EB" w14:textId="4F667DD4" w:rsidR="00B275D4" w:rsidRPr="00B275D4" w:rsidRDefault="00B275D4" w:rsidP="00B275D4">
      <w:pPr>
        <w:spacing w:before="120"/>
      </w:pPr>
      <w:r w:rsidRPr="00B275D4">
        <w:t xml:space="preserve">Αναλυτικότερα, ο ετήσιος ρυθμός αύξησης των τραπεζικών δανείων προς τις ΜΧΕ επιταχύνθηκε περαιτέρω το 2025 και κατέγραψε υψηλά ποσοστά, </w:t>
      </w:r>
      <w:r w:rsidR="00AE384E">
        <w:t xml:space="preserve">τα οποία διαμορφώθηκαν </w:t>
      </w:r>
      <w:r w:rsidR="00395557">
        <w:t xml:space="preserve">κατά μέσο όρο </w:t>
      </w:r>
      <w:r w:rsidR="00AE384E">
        <w:t xml:space="preserve">σε </w:t>
      </w:r>
      <w:r w:rsidRPr="00B275D4">
        <w:t>16,6% το επτάμηνο Ιανουαρίου - Ιουλίου 2025 έναντι 7,4% το αντίστοιχο επτάμηνο του 2024 (Ιο</w:t>
      </w:r>
      <w:r w:rsidR="00A97FA3">
        <w:t>υ</w:t>
      </w:r>
      <w:r w:rsidRPr="00B275D4">
        <w:t xml:space="preserve">λ. 2025: 16,1%, Δεκ. 2024: 13,8%). Η επιτάχυνση του ετήσιου ρυθμού της τραπεζικής πιστωτικής επέκτασης προς τις ΜΧΕ αντικατοπτρίζει θετικές συνθήκες από την πλευρά της ζήτησης αλλά και της προσφοράς τραπεζικών δανείων. Η ζήτηση για τραπεζικά δάνεια αυξήθηκε λόγω της θετικής εξέλιξης της οικονομικής δραστηριότητας καθώς και λόγω της μείωσης των τραπεζικών επιτοκίων δανεισμού. Ως προς την προσφορά τραπεζικών δανείων, η ρευστότητα των ελληνικών πιστωτικών ιδρυμάτων συνολικά ενισχύθηκε και παρέμεινε τους επτά πρώτους μήνες του 2025 σε επίπεδα </w:t>
      </w:r>
      <w:r w:rsidR="00C835C5">
        <w:t>ικανοποιητικά</w:t>
      </w:r>
      <w:r w:rsidR="00E25A7B">
        <w:t xml:space="preserve"> για </w:t>
      </w:r>
      <w:r w:rsidRPr="00B275D4">
        <w:t>την απρόσκοπτη παροχή χρηματοδότησης προς τον ιδιωτικό τομέα. Τα ελληνικά πιστωτικά ιδρύματα συγκέντρωσαν το διάστημα Ιανουαρίου - Ιουλίου 2025 σημαντικά κεφάλαια, κυρίως από τη διατραπεζική αγορά του εξωτερικού και μέσω της έκδοσης ομολόγων, ενώ και η καθαρή ροή καταθέσεων ήταν θετική. Η άντληση ρευστότητας από το Ευρωσύστημα μειώθηκε το επτάμηνο αυτό και γενικά διατηρήθηκε σε πολύ χαμηλό επίπεδο.</w:t>
      </w:r>
    </w:p>
    <w:p w14:paraId="707BC64D" w14:textId="51391410" w:rsidR="00B275D4" w:rsidRPr="00B275D4" w:rsidRDefault="00231389" w:rsidP="00B275D4">
      <w:pPr>
        <w:spacing w:before="120"/>
      </w:pPr>
      <w:r>
        <w:t>Η</w:t>
      </w:r>
      <w:r w:rsidR="00B275D4" w:rsidRPr="00B275D4">
        <w:t xml:space="preserve"> επέκταση δανείων από τις τράπεζες προς τις επιχειρήσεις </w:t>
      </w:r>
      <w:r>
        <w:t xml:space="preserve">ενισχύθηκε </w:t>
      </w:r>
      <w:r w:rsidR="00B275D4" w:rsidRPr="00B275D4">
        <w:t xml:space="preserve">σημαντικά και φέτος </w:t>
      </w:r>
      <w:r>
        <w:t xml:space="preserve">από </w:t>
      </w:r>
      <w:r w:rsidR="00B275D4" w:rsidRPr="00B275D4">
        <w:t>τα προγράμματα συγχρηματοδότησης και εγγυοδοσίας του ομίλου της Ευρωπαϊκής Τράπεζας Επενδύσεων (ΕΤΕπ)</w:t>
      </w:r>
      <w:r w:rsidR="0067025C">
        <w:t xml:space="preserve">, </w:t>
      </w:r>
      <w:r w:rsidR="00B275D4" w:rsidRPr="00B275D4">
        <w:t>της Ελληνικής Αναπτυξιακής Τράπεζας (ΕΑΤ)</w:t>
      </w:r>
      <w:r w:rsidR="0067025C">
        <w:t xml:space="preserve"> καθώς και από </w:t>
      </w:r>
      <w:r w:rsidR="00B275D4" w:rsidRPr="00B275D4">
        <w:t>τα τραπεζικά δάνεια συγχρηματοδότησης στο πλαίσιο του RRF.</w:t>
      </w:r>
    </w:p>
    <w:p w14:paraId="57737B3F" w14:textId="613543A2" w:rsidR="00B275D4" w:rsidRPr="00B275D4" w:rsidRDefault="00B275D4" w:rsidP="00B275D4">
      <w:pPr>
        <w:spacing w:before="120"/>
      </w:pPr>
      <w:r w:rsidRPr="00B275D4">
        <w:t xml:space="preserve">Όσον αφορά στα νοικοκυριά, ο ετήσιος ρυθμός μεταβολής των τραπεζικών δανείων </w:t>
      </w:r>
      <w:r w:rsidR="00DA6CFC">
        <w:t>παρέμεινε σχεδόν αμετάβλητος</w:t>
      </w:r>
      <w:r w:rsidR="00DA6CFC" w:rsidRPr="00B275D4">
        <w:t xml:space="preserve"> </w:t>
      </w:r>
      <w:r w:rsidRPr="00B275D4">
        <w:t>κατά μέσο όρο τους επτά πρώτους μήνες του 2025, ενώ το διάστημα Ιουνίου</w:t>
      </w:r>
      <w:r w:rsidR="00D418EE">
        <w:t xml:space="preserve"> </w:t>
      </w:r>
      <w:r w:rsidRPr="00B275D4">
        <w:t>-</w:t>
      </w:r>
      <w:r w:rsidR="00D418EE">
        <w:t xml:space="preserve"> </w:t>
      </w:r>
      <w:r w:rsidRPr="00B275D4">
        <w:t>Ιουλίου κατέγραψε θετικές τιμές για πρώτη φορά από τον Οκτώβριο 2010 (Ιαν. - Ιο</w:t>
      </w:r>
      <w:r w:rsidR="00D418EE">
        <w:t>υ</w:t>
      </w:r>
      <w:r w:rsidRPr="00B275D4">
        <w:t>λ. 2025: -0,1%, Ιαν.</w:t>
      </w:r>
      <w:r w:rsidR="00D418EE">
        <w:t xml:space="preserve"> </w:t>
      </w:r>
      <w:r w:rsidRPr="00B275D4">
        <w:t>- Ιουλ. 2024: -1,3%, Ιουλ. 2025: 0,7%, Δεκ. 2024: -0,5%). H εξέλιξη του ρυθμού αυτού αντανακλά την περαιτέρω μείωση του ρυθμού συρρίκνωσης των στεγαστικών δανείων καθώς και την επιτάχυνση του ρυθμού ανόδου της καταναλωτικής πίστης, ο οποίος ήδη από το 2024 έχει ισχυροποιηθεί.</w:t>
      </w:r>
    </w:p>
    <w:p w14:paraId="044C02B9" w14:textId="788E1FA3" w:rsidR="00B275D4" w:rsidRPr="00B275D4" w:rsidRDefault="00D418EE" w:rsidP="00B275D4">
      <w:pPr>
        <w:spacing w:before="120"/>
      </w:pPr>
      <w:r>
        <w:t xml:space="preserve">Σχετικά με </w:t>
      </w:r>
      <w:r w:rsidR="00B275D4" w:rsidRPr="00B275D4">
        <w:t>τις προοπτικές</w:t>
      </w:r>
      <w:r w:rsidR="009E1E2F">
        <w:t>,</w:t>
      </w:r>
      <w:r w:rsidR="00B275D4" w:rsidRPr="00B275D4">
        <w:t xml:space="preserve"> η άνοδος του ΑΕΠ το 2025 και το χαμηλότερο επίπεδο των επιτοκίων στα τραπεζικά δάνεια θα συνεχίσουν να στηρίζουν τη χορήγηση τραπεζικών πιστώσεων προς τις ΜΧΕ. Επίσης, η απορρόφηση δανειακών πόρων στο πλαίσιο του </w:t>
      </w:r>
      <w:r w:rsidR="00DA6CFC">
        <w:t>Τ</w:t>
      </w:r>
      <w:r w:rsidR="00B74F8F">
        <w:t xml:space="preserve">αμείου </w:t>
      </w:r>
      <w:r w:rsidR="001A7B33">
        <w:t>Ανάκαμψης και Ανθεκτικότητας (Τ</w:t>
      </w:r>
      <w:r w:rsidR="00DA6CFC">
        <w:t>ΑΑ</w:t>
      </w:r>
      <w:r w:rsidR="001A7B33">
        <w:t>)</w:t>
      </w:r>
      <w:r w:rsidR="00B275D4" w:rsidRPr="00B275D4">
        <w:t xml:space="preserve"> προβλέπεται να ενισχυθεί σημαντικά </w:t>
      </w:r>
      <w:r w:rsidR="00AF5198">
        <w:t xml:space="preserve">κατά την περίοδο </w:t>
      </w:r>
      <w:r w:rsidR="00B275D4" w:rsidRPr="00B275D4">
        <w:t>2025</w:t>
      </w:r>
      <w:r w:rsidR="00FD14E7">
        <w:t xml:space="preserve"> </w:t>
      </w:r>
      <w:r w:rsidR="00B275D4" w:rsidRPr="00B275D4">
        <w:t>-</w:t>
      </w:r>
      <w:r w:rsidR="00FD14E7">
        <w:t xml:space="preserve"> </w:t>
      </w:r>
      <w:r w:rsidR="00B275D4" w:rsidRPr="00B275D4">
        <w:t xml:space="preserve">2026, ενώ θετική αναμένεται να παραμείνει η </w:t>
      </w:r>
      <w:r w:rsidR="00AF5198">
        <w:t xml:space="preserve">επίδραση </w:t>
      </w:r>
      <w:r w:rsidR="00B275D4" w:rsidRPr="00B275D4">
        <w:t xml:space="preserve">των χρηματοδοτικών προγραμμάτων του ομίλου της ΕΤΕπ και </w:t>
      </w:r>
      <w:r w:rsidR="00AF5198">
        <w:t xml:space="preserve">της </w:t>
      </w:r>
      <w:r w:rsidR="00B275D4" w:rsidRPr="00B275D4">
        <w:t>ΕΑΤ στη διοχέτευση τραπεζικών επιχειρηματικών πιστώσεων.</w:t>
      </w:r>
    </w:p>
    <w:p w14:paraId="731116B8" w14:textId="77777777" w:rsidR="00B275D4" w:rsidRPr="00B275D4" w:rsidRDefault="00B275D4" w:rsidP="00B275D4">
      <w:pPr>
        <w:spacing w:before="120"/>
      </w:pPr>
      <w:r w:rsidRPr="00B275D4">
        <w:lastRenderedPageBreak/>
        <w:t>Τα επιτόκια τραπεζικών καταθέσεων που προσφέρονται στις ΜΧΕ και στα νοικοκυριά στην Ελλάδα, μειώθηκαν το τρέχον έτος συν</w:t>
      </w:r>
      <w:r w:rsidR="00AF5198">
        <w:t>ε</w:t>
      </w:r>
      <w:r w:rsidRPr="00B275D4">
        <w:t>πε</w:t>
      </w:r>
      <w:r w:rsidR="00AF5198">
        <w:t>ί</w:t>
      </w:r>
      <w:r w:rsidRPr="00B275D4">
        <w:t>α των αποφάσεων νομισματικής πολιτικής του Ευρωσυστήματος. Εντονότερες μειώσεις παρουσίασαν τα επιτόκια καταθέσεων προς τις ΜΧΕ, για τα οποία εν γένει έχει παρατηρηθεί ταχύτερη και εντονότερη ενσωμάτωση των μεταβολών των επιτοκίων νομισματικής πολιτικής, τόσο κατά τον ανοδικό όσο και κατά τον καθοδικό κύκλο των επιτοκίων πολιτικής. Το επιτόκιο των καταθέσεων προθεσμίας, περιλαμβανομένων των καταθέσεων των νοικοκυριών και των ΜΧΕ, διαμορφώθηκε κατά μέσο όρο τους επτά πρώτους μήνες του τρέχοντος έτους σε 1,7% έναντι 2,5% την αντίστοιχη περίοδο του 2024, ενώ το επιτόκιο καταθέσεων διάρκειας μίας ημέρας παρέμεινε σε οριακά θετικό επίπεδο.</w:t>
      </w:r>
    </w:p>
    <w:p w14:paraId="71A194CA" w14:textId="5C1AF490" w:rsidR="00B275D4" w:rsidRPr="00B275D4" w:rsidRDefault="00B275D4" w:rsidP="00B275D4">
      <w:pPr>
        <w:spacing w:before="120"/>
      </w:pPr>
      <w:r w:rsidRPr="00B275D4">
        <w:t xml:space="preserve">Το ονομαστικό κόστος τραπεζικού δανεισμού του εγχώριου ιδιωτικού μη χρηματοπιστωτικού τομέα περιορίστηκε κατά τη διάρκεια του τρέχοντος έτους, </w:t>
      </w:r>
      <w:r w:rsidR="00963CB6">
        <w:t xml:space="preserve">δεδομένου ότι </w:t>
      </w:r>
      <w:r w:rsidRPr="00B275D4">
        <w:t xml:space="preserve">σημειώθηκαν μειώσεις επιτοκίων στην πλειονότητα των κατηγοριών δανεισμού. Αξιόλογες ήταν οι μειώσεις στα επιτόκια χορηγήσεων των ΜΧΕ, των οποίων το μεσοσταθμικό επιτόκιο δανεισμού υποχώρησε περίπου κατά 1,5 ποσοστιαία μονάδα το επτάμηνο του 2025 έναντι της αντίστοιχης περιόδου </w:t>
      </w:r>
      <w:r w:rsidR="00963CB6">
        <w:t>του 2024</w:t>
      </w:r>
      <w:r w:rsidRPr="00B275D4">
        <w:t xml:space="preserve"> και διαμορφώθηκε σε 4,3%. Οι μειώσεις των επιτοκίων δανεισμού προς τα νοικοκυριά</w:t>
      </w:r>
      <w:r w:rsidR="00DA6CFC">
        <w:t xml:space="preserve"> είχε ως</w:t>
      </w:r>
      <w:r w:rsidRPr="00B275D4">
        <w:t xml:space="preserve"> συνέπεια το μεσοσταθμικό κόστος τραπεζικού δανεισμού των νοικοκυριών να διαμορφωθεί σε 5,8%, περίπου κατά μισή ποσοστιαία μονάδα χαμηλότερα έναντι της μέσης τιμής της αντίστοιχης περιόδου του 2024. </w:t>
      </w:r>
      <w:r w:rsidR="00963CB6">
        <w:t xml:space="preserve">Σημειωτέον ότι </w:t>
      </w:r>
      <w:r w:rsidRPr="00B275D4">
        <w:t xml:space="preserve">στην πράξη το κόστος δανεισμού τόσο των επιχειρήσεων όσο και των νοικοκυριών υπήρξε βελτιωμένο </w:t>
      </w:r>
      <w:r w:rsidR="00963CB6">
        <w:t xml:space="preserve">σε σύγκριση με το καταγραφέν </w:t>
      </w:r>
      <w:r w:rsidRPr="00B275D4">
        <w:t xml:space="preserve">στη στατιστική σειρά των τραπεζικών επιτοκίων λόγω της συμμετοχής των τομέων αυτών σε επιδοτούμενες χρηματοδοτήσεις στο πλαίσιο των σύγχρονων χρηματοδοτικών εργαλείων, των συγχρηματοδοτούμενων προγραμμάτων της ΕΑΤ και των δανείων του </w:t>
      </w:r>
      <w:r w:rsidR="00DA6CFC">
        <w:t>ΤΑΑ</w:t>
      </w:r>
      <w:r w:rsidRPr="00B275D4">
        <w:t>.</w:t>
      </w:r>
    </w:p>
    <w:p w14:paraId="5ED604A3" w14:textId="24BCB80B" w:rsidR="007B41CD" w:rsidRPr="00544591" w:rsidRDefault="00B275D4" w:rsidP="00633E94">
      <w:pPr>
        <w:spacing w:before="120"/>
        <w:rPr>
          <w:highlight w:val="yellow"/>
        </w:rPr>
      </w:pPr>
      <w:r w:rsidRPr="00B275D4">
        <w:t xml:space="preserve">Η σχετική σταθεροποίηση του επιπέδου του πληθωρισμού </w:t>
      </w:r>
      <w:r w:rsidR="003E468C">
        <w:t xml:space="preserve">ενίσχυσε την πτωτική τάση των </w:t>
      </w:r>
      <w:r w:rsidRPr="00B275D4">
        <w:t>πραγματικ</w:t>
      </w:r>
      <w:r w:rsidR="003E468C">
        <w:t>ών</w:t>
      </w:r>
      <w:r w:rsidRPr="00B275D4">
        <w:t xml:space="preserve"> επιτ</w:t>
      </w:r>
      <w:r w:rsidR="003E468C">
        <w:t xml:space="preserve">οκίων </w:t>
      </w:r>
      <w:r w:rsidRPr="00B275D4">
        <w:t>δανεισμού των επιχειρήσεων και των νοικοκυριών</w:t>
      </w:r>
      <w:r w:rsidR="00251777">
        <w:t xml:space="preserve">, με αποτέλεσμα </w:t>
      </w:r>
      <w:r w:rsidRPr="00B275D4">
        <w:t xml:space="preserve">να ακολουθήσουν στην πλειονότητά τους </w:t>
      </w:r>
      <w:r w:rsidR="00B60960" w:rsidRPr="00B275D4">
        <w:t xml:space="preserve">όμοιες </w:t>
      </w:r>
      <w:r w:rsidRPr="00B275D4">
        <w:t>πτωτικές τάσεις με αυτές των ονομαστικών επιτοκίων. Κατά συνέπεια, το πραγματικό επιτόκιο των δανείων προς τις ΜΧΕ διαμορφώθηκε σε 1,1% κατά μέσο όρο την περίοδο Ιανουαρίου - Ιουλίου 2025 έναντι 2,8% την αντίστοιχη περίοδο του 2024. Το πραγματικό επιτόκιο για τα νοικοκυριά υποχώρησε σε 2,6% έναντι μέσης τιμής 3,3% την αντίστοιχη περίοδο κατά το προηγούμενο έτος.</w:t>
      </w:r>
    </w:p>
    <w:p w14:paraId="537CD9C6" w14:textId="77777777" w:rsidR="008F04D5" w:rsidRPr="00151E2C" w:rsidRDefault="008F04D5" w:rsidP="00685673">
      <w:pPr>
        <w:pStyle w:val="3"/>
        <w:keepNext w:val="0"/>
      </w:pPr>
      <w:bookmarkStart w:id="22" w:name="_Toc210570661"/>
      <w:r w:rsidRPr="00744E41">
        <w:t>Μακροοικονομικές</w:t>
      </w:r>
      <w:r w:rsidRPr="00151E2C">
        <w:t xml:space="preserve"> </w:t>
      </w:r>
      <w:r w:rsidRPr="00656E67">
        <w:t>προβλέψεις</w:t>
      </w:r>
      <w:r w:rsidRPr="00151E2C">
        <w:t xml:space="preserve"> το </w:t>
      </w:r>
      <w:r w:rsidRPr="007B0AAB">
        <w:t>202</w:t>
      </w:r>
      <w:r w:rsidR="007B0AAB" w:rsidRPr="007B0AAB">
        <w:rPr>
          <w:lang w:val="el-GR"/>
        </w:rPr>
        <w:t>6</w:t>
      </w:r>
      <w:bookmarkEnd w:id="22"/>
    </w:p>
    <w:bookmarkEnd w:id="20"/>
    <w:p w14:paraId="77BB64BB" w14:textId="50479119" w:rsidR="003903AA" w:rsidRPr="00BC6D7C" w:rsidRDefault="003903AA" w:rsidP="003903AA">
      <w:r w:rsidRPr="00BC6D7C">
        <w:t xml:space="preserve">Η παγκόσμια οικονομία συνεχίζει να </w:t>
      </w:r>
      <w:r w:rsidR="00BE4AA1">
        <w:t xml:space="preserve">χαρακτηρίζεται </w:t>
      </w:r>
      <w:r w:rsidRPr="00BC6D7C">
        <w:t>από υψηλό βαθμό αβεβαιότητας, η οποία συνδέεται με παράγοντες</w:t>
      </w:r>
      <w:r w:rsidR="008E3310">
        <w:t>,</w:t>
      </w:r>
      <w:r w:rsidRPr="00BC6D7C">
        <w:t xml:space="preserve"> όπως οι γεωπολιτικές εντάσεις</w:t>
      </w:r>
      <w:r>
        <w:t>, η κλιματική αλλαγή</w:t>
      </w:r>
      <w:r w:rsidRPr="00BC6D7C">
        <w:t xml:space="preserve"> και </w:t>
      </w:r>
      <w:r>
        <w:t>η</w:t>
      </w:r>
      <w:r w:rsidRPr="00BC6D7C">
        <w:t xml:space="preserve"> έλλειψη σταθερότητας και προβλεψιμότητας στη διεθνή εμπορική πολιτική,</w:t>
      </w:r>
      <w:r w:rsidR="00316AFC">
        <w:t xml:space="preserve"> οι οποίοι έχουν αντίκτυπο σ</w:t>
      </w:r>
      <w:r w:rsidRPr="00BC6D7C">
        <w:t xml:space="preserve">την ιδιωτική κατανάλωση και </w:t>
      </w:r>
      <w:r w:rsidR="00316AFC">
        <w:t>σ</w:t>
      </w:r>
      <w:r w:rsidRPr="00BC6D7C">
        <w:t>τις επενδύσεις παγίου κεφαλαίου.</w:t>
      </w:r>
    </w:p>
    <w:p w14:paraId="6B145809" w14:textId="7E079B35" w:rsidR="003903AA" w:rsidRDefault="003903AA" w:rsidP="00403BBA">
      <w:pPr>
        <w:rPr>
          <w:highlight w:val="cyan"/>
        </w:rPr>
      </w:pPr>
      <w:r w:rsidRPr="00BC6D7C">
        <w:t>Ο ρυθμός ανόδου του παγκόσμιου ΑΕΠ εκτιμάται ότι θα επιβραδυνθεί από 3,3% το 2024 σε 3,0% το 2025 και θα ανακάμψει ελαφρώς σε 3,1% το 2026, σύμφωνα με τις προβλέψεις του Διεθνούς Νομισματικού Ταμείου (ΔΝΤ) τον Ιούλιο 2025. Οι προβλέψεις έχουν αναθεωρηθεί προς τα πάνω κατά 0,2 ποσοστιαίες μονάδες για το 2025 και κατά 0,1 ποσοστιαία μονάδα για το 2026 σε σύγκριση με τις προβλέψεις του Απριλίου. Ο ρυθμός ανάπτυξης για την Ευρωζώνη</w:t>
      </w:r>
      <w:r w:rsidR="00BE4AA1">
        <w:t>, σύμφωνα με το ΔΝΤ,</w:t>
      </w:r>
      <w:r w:rsidRPr="00BC6D7C">
        <w:t xml:space="preserve"> αναμένεται να </w:t>
      </w:r>
      <w:r w:rsidR="00BE4AA1">
        <w:t>ανέλθει</w:t>
      </w:r>
      <w:r w:rsidRPr="00BC6D7C">
        <w:t xml:space="preserve"> σε 1,0% το 2025 και σε 1,2% το 2026 έναντι 0,9% το </w:t>
      </w:r>
      <w:r w:rsidRPr="00EC28A9">
        <w:t>2024 (</w:t>
      </w:r>
      <w:r w:rsidR="00C94714" w:rsidRPr="00EC28A9">
        <w:fldChar w:fldCharType="begin"/>
      </w:r>
      <w:r w:rsidR="00C94714" w:rsidRPr="00EC28A9">
        <w:instrText xml:space="preserve"> REF _Ref210042992 \h  \* MERGEFORMAT </w:instrText>
      </w:r>
      <w:r w:rsidR="00C94714" w:rsidRPr="00EC28A9">
        <w:fldChar w:fldCharType="separate"/>
      </w:r>
      <w:r w:rsidR="00C42930" w:rsidRPr="00C42930">
        <w:t>Πίνακας 1.1</w:t>
      </w:r>
      <w:r w:rsidR="00C94714" w:rsidRPr="00EC28A9">
        <w:fldChar w:fldCharType="end"/>
      </w:r>
      <w:r w:rsidR="00C94714" w:rsidRPr="00EC28A9">
        <w:t>.</w:t>
      </w:r>
      <w:r w:rsidRPr="00EC28A9">
        <w:t>).</w:t>
      </w:r>
    </w:p>
    <w:p w14:paraId="1ADB33D2" w14:textId="1F79E493" w:rsidR="00403BBA" w:rsidRPr="00BC6D7C" w:rsidRDefault="00403BBA" w:rsidP="002914C1">
      <w:pPr>
        <w:spacing w:before="120" w:after="240"/>
      </w:pPr>
      <w:r w:rsidRPr="00BC6D7C">
        <w:t xml:space="preserve">Η Ευρωπαϊκή Επιτροπή στις εαρινές οικονομικές προβλέψεις τον Μάιο 2025 εκτιμά ρυθμό ανάπτυξης, </w:t>
      </w:r>
      <w:bookmarkStart w:id="23" w:name="_Hlk205804232"/>
      <w:r>
        <w:t xml:space="preserve">ο οποίος συνίσταται </w:t>
      </w:r>
      <w:r w:rsidRPr="00BC6D7C">
        <w:t xml:space="preserve">για μεν την ΕΕ </w:t>
      </w:r>
      <w:r>
        <w:t xml:space="preserve">σε μεταβολή </w:t>
      </w:r>
      <w:r w:rsidRPr="00BC6D7C">
        <w:t xml:space="preserve">από 1,0% το 2024 σε 1,1% το 2025 και σε 1,5% το 2026, </w:t>
      </w:r>
      <w:bookmarkEnd w:id="23"/>
      <w:r w:rsidRPr="00BC6D7C">
        <w:t xml:space="preserve">υποστηριζόμενο από τη συνεχιζόμενη αύξηση της κατανάλωσης και την ανάκαμψη των </w:t>
      </w:r>
      <w:bookmarkStart w:id="24" w:name="_Hlk205804314"/>
      <w:r w:rsidRPr="00BC6D7C">
        <w:t xml:space="preserve">επενδύσεων, για δε την Ευρωζώνη </w:t>
      </w:r>
      <w:r>
        <w:t xml:space="preserve">σε αύξηση </w:t>
      </w:r>
      <w:r w:rsidRPr="00BC6D7C">
        <w:t xml:space="preserve">από 0,9% τα έτη 2024 και 2025 σε 1,4% το </w:t>
      </w:r>
      <w:r w:rsidRPr="00EC28A9">
        <w:t>2026 (</w:t>
      </w:r>
      <w:r w:rsidRPr="00EC28A9">
        <w:fldChar w:fldCharType="begin"/>
      </w:r>
      <w:r w:rsidRPr="00EC28A9">
        <w:instrText xml:space="preserve"> REF _Ref210042992 \h  \* MERGEFORMAT </w:instrText>
      </w:r>
      <w:r w:rsidRPr="00EC28A9">
        <w:fldChar w:fldCharType="separate"/>
      </w:r>
      <w:r w:rsidR="00C42930" w:rsidRPr="00C42930">
        <w:t>Πίνακας 1.1</w:t>
      </w:r>
      <w:r w:rsidRPr="00EC28A9">
        <w:fldChar w:fldCharType="end"/>
      </w:r>
      <w:r w:rsidRPr="00EC28A9">
        <w:t>.).</w:t>
      </w:r>
      <w:r>
        <w:t xml:space="preserve"> </w:t>
      </w:r>
      <w:r w:rsidRPr="00BC6D7C">
        <w:t xml:space="preserve">Για τη Γαλλία ο ρυθμός ανάπτυξης από 1,2% το 2024 εκτιμάται ότι θα επιβραδυνθεί σε 0,6% το </w:t>
      </w:r>
      <w:r w:rsidRPr="00BC6D7C">
        <w:lastRenderedPageBreak/>
        <w:t xml:space="preserve">2025 και θα αυξηθεί σε 1,3% το 2026. Για τη Γερμανία, ύστερα από δύο έτη ύφεσης, </w:t>
      </w:r>
      <w:r>
        <w:t xml:space="preserve">αναμένεται </w:t>
      </w:r>
      <w:r w:rsidRPr="00BC6D7C">
        <w:t>στασιμότητα το 2025 και προβλέπεται ρυθμός ανάπτυξης 1,1% το 2026.</w:t>
      </w:r>
    </w:p>
    <w:tbl>
      <w:tblPr>
        <w:tblW w:w="731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left w:w="0" w:type="dxa"/>
          <w:right w:w="0" w:type="dxa"/>
        </w:tblCellMar>
        <w:tblLook w:val="04A0" w:firstRow="1" w:lastRow="0" w:firstColumn="1" w:lastColumn="0" w:noHBand="0" w:noVBand="1"/>
      </w:tblPr>
      <w:tblGrid>
        <w:gridCol w:w="4969"/>
        <w:gridCol w:w="728"/>
        <w:gridCol w:w="808"/>
        <w:gridCol w:w="808"/>
      </w:tblGrid>
      <w:tr w:rsidR="003903AA" w:rsidRPr="0062147D" w14:paraId="54C7DA5E" w14:textId="77777777" w:rsidTr="00E27FAA">
        <w:trPr>
          <w:cantSplit/>
          <w:trHeight w:val="586"/>
          <w:jc w:val="center"/>
        </w:trPr>
        <w:tc>
          <w:tcPr>
            <w:tcW w:w="0" w:type="auto"/>
            <w:gridSpan w:val="4"/>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D5DCE4"/>
            <w:vAlign w:val="center"/>
            <w:hideMark/>
          </w:tcPr>
          <w:p w14:paraId="06824616" w14:textId="7BD47E74" w:rsidR="003903AA" w:rsidRPr="00C94714" w:rsidRDefault="00C94714" w:rsidP="00CD71D0">
            <w:pPr>
              <w:spacing w:after="0" w:line="276" w:lineRule="auto"/>
              <w:jc w:val="center"/>
              <w:rPr>
                <w:rFonts w:eastAsia="Calibri" w:cs="Arial"/>
                <w:b/>
                <w:sz w:val="18"/>
                <w:szCs w:val="18"/>
              </w:rPr>
            </w:pPr>
            <w:bookmarkStart w:id="25" w:name="_Ref210042992"/>
            <w:bookmarkStart w:id="26" w:name="_Toc210570892"/>
            <w:bookmarkEnd w:id="24"/>
            <w:r w:rsidRPr="00C94714">
              <w:rPr>
                <w:b/>
                <w:sz w:val="18"/>
                <w:szCs w:val="18"/>
              </w:rPr>
              <w:t>Πίνακας 1.</w:t>
            </w:r>
            <w:r w:rsidRPr="00C94714">
              <w:rPr>
                <w:b/>
                <w:sz w:val="18"/>
                <w:szCs w:val="18"/>
              </w:rPr>
              <w:fldChar w:fldCharType="begin"/>
            </w:r>
            <w:r w:rsidRPr="00C94714">
              <w:rPr>
                <w:b/>
                <w:sz w:val="18"/>
                <w:szCs w:val="18"/>
              </w:rPr>
              <w:instrText xml:space="preserve"> SEQ Πίνακας_1. \* ARABIC </w:instrText>
            </w:r>
            <w:r w:rsidRPr="00C94714">
              <w:rPr>
                <w:b/>
                <w:sz w:val="18"/>
                <w:szCs w:val="18"/>
              </w:rPr>
              <w:fldChar w:fldCharType="separate"/>
            </w:r>
            <w:r w:rsidR="00C42930">
              <w:rPr>
                <w:b/>
                <w:noProof/>
                <w:sz w:val="18"/>
                <w:szCs w:val="18"/>
              </w:rPr>
              <w:t>1</w:t>
            </w:r>
            <w:r w:rsidRPr="00C94714">
              <w:rPr>
                <w:b/>
                <w:sz w:val="18"/>
                <w:szCs w:val="18"/>
              </w:rPr>
              <w:fldChar w:fldCharType="end"/>
            </w:r>
            <w:bookmarkEnd w:id="25"/>
            <w:r w:rsidRPr="00C94714">
              <w:rPr>
                <w:b/>
                <w:sz w:val="18"/>
                <w:szCs w:val="18"/>
              </w:rPr>
              <w:t>.</w:t>
            </w:r>
            <w:r w:rsidR="003903AA" w:rsidRPr="00C94714">
              <w:rPr>
                <w:rFonts w:eastAsia="Calibri" w:cs="Arial"/>
                <w:b/>
                <w:sz w:val="18"/>
                <w:szCs w:val="18"/>
              </w:rPr>
              <w:t>: Βασικά μεγέθη της ευρωπαϊκής και της παγκόσμιας οικονομίας</w:t>
            </w:r>
            <w:bookmarkEnd w:id="26"/>
          </w:p>
          <w:p w14:paraId="4EC7745C" w14:textId="77777777" w:rsidR="003903AA" w:rsidRPr="0062147D" w:rsidRDefault="003903AA" w:rsidP="00E80843">
            <w:pPr>
              <w:snapToGrid w:val="0"/>
              <w:spacing w:after="0" w:line="276" w:lineRule="auto"/>
              <w:jc w:val="center"/>
              <w:rPr>
                <w:rFonts w:eastAsia="Calibri" w:cs="Arial"/>
                <w:b/>
                <w:bCs/>
                <w:sz w:val="16"/>
                <w:szCs w:val="16"/>
              </w:rPr>
            </w:pPr>
            <w:r w:rsidRPr="00C94714">
              <w:rPr>
                <w:rFonts w:eastAsia="Calibri" w:cs="Arial"/>
                <w:b/>
                <w:sz w:val="18"/>
                <w:szCs w:val="18"/>
              </w:rPr>
              <w:t>(% ετήσιες μεταβολές, σταθερές τιμές)</w:t>
            </w:r>
          </w:p>
        </w:tc>
      </w:tr>
      <w:tr w:rsidR="003903AA" w:rsidRPr="0062147D" w14:paraId="210B472D" w14:textId="77777777" w:rsidTr="00E27FAA">
        <w:trPr>
          <w:cantSplit/>
          <w:trHeight w:val="351"/>
          <w:jc w:val="center"/>
        </w:trPr>
        <w:tc>
          <w:tcPr>
            <w:tcW w:w="0" w:type="auto"/>
            <w:tcBorders>
              <w:top w:val="nil"/>
              <w:left w:val="single" w:sz="2" w:space="0" w:color="808080" w:themeColor="background1" w:themeShade="80"/>
              <w:bottom w:val="nil"/>
            </w:tcBorders>
            <w:shd w:val="clear" w:color="auto" w:fill="F2F2F2" w:themeFill="background1" w:themeFillShade="F2"/>
            <w:tcMar>
              <w:top w:w="0" w:type="dxa"/>
              <w:left w:w="108" w:type="dxa"/>
              <w:bottom w:w="0" w:type="dxa"/>
              <w:right w:w="108" w:type="dxa"/>
            </w:tcMar>
            <w:vAlign w:val="center"/>
          </w:tcPr>
          <w:p w14:paraId="12112609" w14:textId="77777777" w:rsidR="003903AA" w:rsidRPr="007D1E3C" w:rsidRDefault="003903AA" w:rsidP="009B5C19">
            <w:pPr>
              <w:snapToGrid w:val="0"/>
              <w:spacing w:after="0" w:line="240" w:lineRule="auto"/>
              <w:jc w:val="center"/>
              <w:rPr>
                <w:rFonts w:eastAsia="Calibri" w:cs="Arial"/>
                <w:bCs/>
                <w:sz w:val="16"/>
                <w:szCs w:val="16"/>
              </w:rPr>
            </w:pPr>
          </w:p>
        </w:tc>
        <w:tc>
          <w:tcPr>
            <w:tcW w:w="0" w:type="auto"/>
            <w:tcBorders>
              <w:top w:val="nil"/>
              <w:bottom w:val="nil"/>
            </w:tcBorders>
            <w:shd w:val="clear" w:color="auto" w:fill="F2F2F2" w:themeFill="background1" w:themeFillShade="F2"/>
            <w:tcMar>
              <w:top w:w="0" w:type="dxa"/>
              <w:left w:w="108" w:type="dxa"/>
              <w:bottom w:w="0" w:type="dxa"/>
              <w:right w:w="108" w:type="dxa"/>
            </w:tcMar>
            <w:vAlign w:val="center"/>
            <w:hideMark/>
          </w:tcPr>
          <w:p w14:paraId="36ECF199" w14:textId="77777777" w:rsidR="003903AA" w:rsidRPr="00C94714" w:rsidRDefault="003903AA" w:rsidP="009B5C19">
            <w:pPr>
              <w:snapToGrid w:val="0"/>
              <w:spacing w:after="0" w:line="240" w:lineRule="auto"/>
              <w:jc w:val="center"/>
              <w:rPr>
                <w:rFonts w:eastAsia="Calibri" w:cs="Arial"/>
                <w:b/>
                <w:sz w:val="16"/>
                <w:szCs w:val="16"/>
                <w:lang w:val="en-US"/>
              </w:rPr>
            </w:pPr>
            <w:r w:rsidRPr="00C94714">
              <w:rPr>
                <w:rFonts w:eastAsia="Calibri" w:cs="Arial"/>
                <w:b/>
                <w:sz w:val="16"/>
                <w:szCs w:val="16"/>
              </w:rPr>
              <w:t>2024</w:t>
            </w:r>
          </w:p>
        </w:tc>
        <w:tc>
          <w:tcPr>
            <w:tcW w:w="0" w:type="auto"/>
            <w:tcBorders>
              <w:top w:val="nil"/>
              <w:bottom w:val="nil"/>
            </w:tcBorders>
            <w:shd w:val="clear" w:color="auto" w:fill="F2F2F2" w:themeFill="background1" w:themeFillShade="F2"/>
            <w:tcMar>
              <w:top w:w="0" w:type="dxa"/>
              <w:left w:w="108" w:type="dxa"/>
              <w:bottom w:w="0" w:type="dxa"/>
              <w:right w:w="108" w:type="dxa"/>
            </w:tcMar>
            <w:vAlign w:val="center"/>
            <w:hideMark/>
          </w:tcPr>
          <w:p w14:paraId="3AFD5B9D" w14:textId="77777777" w:rsidR="003903AA" w:rsidRPr="00C94714" w:rsidRDefault="003903AA" w:rsidP="009B5C19">
            <w:pPr>
              <w:snapToGrid w:val="0"/>
              <w:spacing w:after="0" w:line="240" w:lineRule="auto"/>
              <w:jc w:val="center"/>
              <w:rPr>
                <w:rFonts w:eastAsia="Calibri" w:cs="Arial"/>
                <w:b/>
                <w:sz w:val="16"/>
                <w:szCs w:val="16"/>
                <w:lang w:val="en-US"/>
              </w:rPr>
            </w:pPr>
            <w:r w:rsidRPr="00C94714">
              <w:rPr>
                <w:rFonts w:eastAsia="Calibri" w:cs="Arial"/>
                <w:b/>
                <w:sz w:val="16"/>
                <w:szCs w:val="16"/>
              </w:rPr>
              <w:t>2025*</w:t>
            </w:r>
          </w:p>
        </w:tc>
        <w:tc>
          <w:tcPr>
            <w:tcW w:w="0" w:type="auto"/>
            <w:tcBorders>
              <w:top w:val="nil"/>
              <w:bottom w:val="nil"/>
              <w:right w:val="single" w:sz="2" w:space="0" w:color="808080" w:themeColor="background1" w:themeShade="80"/>
            </w:tcBorders>
            <w:shd w:val="clear" w:color="auto" w:fill="F2F2F2" w:themeFill="background1" w:themeFillShade="F2"/>
            <w:tcMar>
              <w:top w:w="0" w:type="dxa"/>
              <w:left w:w="108" w:type="dxa"/>
              <w:bottom w:w="0" w:type="dxa"/>
              <w:right w:w="108" w:type="dxa"/>
            </w:tcMar>
            <w:vAlign w:val="center"/>
            <w:hideMark/>
          </w:tcPr>
          <w:p w14:paraId="24B0787E" w14:textId="77777777" w:rsidR="003903AA" w:rsidRPr="00C94714" w:rsidRDefault="003903AA" w:rsidP="009B5C19">
            <w:pPr>
              <w:snapToGrid w:val="0"/>
              <w:spacing w:after="0" w:line="240" w:lineRule="auto"/>
              <w:jc w:val="center"/>
              <w:rPr>
                <w:rFonts w:eastAsia="Calibri" w:cs="Arial"/>
                <w:b/>
                <w:sz w:val="16"/>
                <w:szCs w:val="16"/>
                <w:lang w:val="en-US"/>
              </w:rPr>
            </w:pPr>
            <w:r w:rsidRPr="00C94714">
              <w:rPr>
                <w:rFonts w:eastAsia="Calibri" w:cs="Arial"/>
                <w:b/>
                <w:sz w:val="16"/>
                <w:szCs w:val="16"/>
              </w:rPr>
              <w:t>2026*</w:t>
            </w:r>
          </w:p>
        </w:tc>
      </w:tr>
      <w:tr w:rsidR="003903AA" w:rsidRPr="0062147D" w14:paraId="05A646F6" w14:textId="77777777" w:rsidTr="00E27FAA">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hideMark/>
          </w:tcPr>
          <w:p w14:paraId="48B6552D" w14:textId="77777777" w:rsidR="003903AA" w:rsidRPr="00C94714" w:rsidRDefault="003903AA" w:rsidP="00E80843">
            <w:pPr>
              <w:snapToGrid w:val="0"/>
              <w:spacing w:after="0" w:line="276" w:lineRule="auto"/>
              <w:jc w:val="left"/>
              <w:rPr>
                <w:rFonts w:eastAsia="Calibri" w:cs="Arial"/>
                <w:bCs/>
                <w:sz w:val="16"/>
                <w:szCs w:val="16"/>
              </w:rPr>
            </w:pPr>
            <w:r w:rsidRPr="00C94714">
              <w:rPr>
                <w:rFonts w:eastAsia="Calibri" w:cs="Arial"/>
                <w:bCs/>
                <w:sz w:val="16"/>
                <w:szCs w:val="16"/>
              </w:rPr>
              <w:t>Παγκόσμιο ΑΕΠ</w:t>
            </w:r>
          </w:p>
        </w:tc>
        <w:tc>
          <w:tcPr>
            <w:tcW w:w="0" w:type="auto"/>
            <w:tcBorders>
              <w:top w:val="nil"/>
              <w:bottom w:val="nil"/>
            </w:tcBorders>
            <w:shd w:val="clear" w:color="auto" w:fill="FFFFFF"/>
            <w:tcMar>
              <w:top w:w="0" w:type="dxa"/>
              <w:left w:w="108" w:type="dxa"/>
              <w:bottom w:w="0" w:type="dxa"/>
              <w:right w:w="108" w:type="dxa"/>
            </w:tcMar>
            <w:vAlign w:val="center"/>
            <w:hideMark/>
          </w:tcPr>
          <w:p w14:paraId="15EE724C"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lang w:val="en-US"/>
              </w:rPr>
              <w:t>3</w:t>
            </w:r>
            <w:r w:rsidRPr="00C94714">
              <w:rPr>
                <w:rFonts w:eastAsia="Calibri" w:cs="Arial"/>
                <w:sz w:val="16"/>
                <w:szCs w:val="16"/>
              </w:rPr>
              <w:t>,3</w:t>
            </w:r>
          </w:p>
        </w:tc>
        <w:tc>
          <w:tcPr>
            <w:tcW w:w="0" w:type="auto"/>
            <w:tcBorders>
              <w:top w:val="nil"/>
              <w:bottom w:val="nil"/>
            </w:tcBorders>
            <w:shd w:val="clear" w:color="auto" w:fill="FFFFFF"/>
            <w:tcMar>
              <w:top w:w="0" w:type="dxa"/>
              <w:left w:w="108" w:type="dxa"/>
              <w:bottom w:w="0" w:type="dxa"/>
              <w:right w:w="108" w:type="dxa"/>
            </w:tcMar>
            <w:vAlign w:val="center"/>
            <w:hideMark/>
          </w:tcPr>
          <w:p w14:paraId="77A38401"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lang w:val="en-US"/>
              </w:rPr>
              <w:t>3,</w:t>
            </w:r>
            <w:r w:rsidRPr="00C94714">
              <w:rPr>
                <w:rFonts w:eastAsia="Calibri" w:cs="Arial"/>
                <w:sz w:val="16"/>
                <w:szCs w:val="16"/>
              </w:rPr>
              <w:t>0</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hideMark/>
          </w:tcPr>
          <w:p w14:paraId="570C159F"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3,1</w:t>
            </w:r>
          </w:p>
        </w:tc>
      </w:tr>
      <w:tr w:rsidR="003903AA" w:rsidRPr="0062147D" w14:paraId="67F9291E" w14:textId="77777777" w:rsidTr="00CD71D0">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hideMark/>
          </w:tcPr>
          <w:p w14:paraId="56FD08CF" w14:textId="77777777" w:rsidR="003903AA" w:rsidRPr="00C94714" w:rsidRDefault="003903AA" w:rsidP="00E80843">
            <w:pPr>
              <w:snapToGrid w:val="0"/>
              <w:spacing w:after="0" w:line="276" w:lineRule="auto"/>
              <w:jc w:val="left"/>
              <w:rPr>
                <w:rFonts w:eastAsia="Calibri" w:cs="Arial"/>
                <w:bCs/>
                <w:sz w:val="16"/>
                <w:szCs w:val="16"/>
                <w:lang w:val="en-US"/>
              </w:rPr>
            </w:pPr>
            <w:r w:rsidRPr="00C94714">
              <w:rPr>
                <w:rFonts w:eastAsia="Calibri" w:cs="Arial"/>
                <w:bCs/>
                <w:sz w:val="16"/>
                <w:szCs w:val="16"/>
              </w:rPr>
              <w:t>ΑΕΠ ΕΕ**</w:t>
            </w:r>
          </w:p>
        </w:tc>
        <w:tc>
          <w:tcPr>
            <w:tcW w:w="0" w:type="auto"/>
            <w:tcBorders>
              <w:top w:val="nil"/>
              <w:bottom w:val="nil"/>
            </w:tcBorders>
            <w:shd w:val="clear" w:color="auto" w:fill="FFFFFF"/>
            <w:tcMar>
              <w:top w:w="0" w:type="dxa"/>
              <w:left w:w="108" w:type="dxa"/>
              <w:bottom w:w="0" w:type="dxa"/>
              <w:right w:w="108" w:type="dxa"/>
            </w:tcMar>
            <w:vAlign w:val="center"/>
            <w:hideMark/>
          </w:tcPr>
          <w:p w14:paraId="4447C4F1"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1,0</w:t>
            </w:r>
          </w:p>
        </w:tc>
        <w:tc>
          <w:tcPr>
            <w:tcW w:w="0" w:type="auto"/>
            <w:tcBorders>
              <w:top w:val="nil"/>
              <w:bottom w:val="nil"/>
            </w:tcBorders>
            <w:shd w:val="clear" w:color="auto" w:fill="FFFFFF"/>
            <w:tcMar>
              <w:top w:w="0" w:type="dxa"/>
              <w:left w:w="108" w:type="dxa"/>
              <w:bottom w:w="0" w:type="dxa"/>
              <w:right w:w="108" w:type="dxa"/>
            </w:tcMar>
            <w:vAlign w:val="center"/>
            <w:hideMark/>
          </w:tcPr>
          <w:p w14:paraId="105B1FEE"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1</w:t>
            </w:r>
            <w:r w:rsidRPr="00C94714">
              <w:rPr>
                <w:rFonts w:eastAsia="Calibri" w:cs="Arial"/>
                <w:sz w:val="16"/>
                <w:szCs w:val="16"/>
                <w:lang w:val="en-US"/>
              </w:rPr>
              <w:t>,</w:t>
            </w:r>
            <w:r w:rsidRPr="00C94714">
              <w:rPr>
                <w:rFonts w:eastAsia="Calibri" w:cs="Arial"/>
                <w:sz w:val="16"/>
                <w:szCs w:val="16"/>
              </w:rPr>
              <w:t>1</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hideMark/>
          </w:tcPr>
          <w:p w14:paraId="12E4A0CA"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lang w:val="en-US"/>
              </w:rPr>
              <w:t>1,</w:t>
            </w:r>
            <w:r w:rsidRPr="00C94714">
              <w:rPr>
                <w:rFonts w:eastAsia="Calibri" w:cs="Arial"/>
                <w:sz w:val="16"/>
                <w:szCs w:val="16"/>
              </w:rPr>
              <w:t>5</w:t>
            </w:r>
          </w:p>
        </w:tc>
      </w:tr>
      <w:tr w:rsidR="003903AA" w:rsidRPr="0062147D" w14:paraId="2D703F60" w14:textId="77777777" w:rsidTr="00CD71D0">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hideMark/>
          </w:tcPr>
          <w:p w14:paraId="5CAB4587" w14:textId="77777777" w:rsidR="003903AA" w:rsidRPr="00C94714" w:rsidRDefault="003903AA" w:rsidP="00E80843">
            <w:pPr>
              <w:snapToGrid w:val="0"/>
              <w:spacing w:after="0" w:line="276" w:lineRule="auto"/>
              <w:jc w:val="left"/>
              <w:rPr>
                <w:rFonts w:eastAsia="Calibri" w:cs="Arial"/>
                <w:bCs/>
                <w:sz w:val="16"/>
                <w:szCs w:val="16"/>
                <w:lang w:val="en-US"/>
              </w:rPr>
            </w:pPr>
            <w:r w:rsidRPr="00C94714">
              <w:rPr>
                <w:rFonts w:eastAsia="Calibri" w:cs="Arial"/>
                <w:bCs/>
                <w:sz w:val="16"/>
                <w:szCs w:val="16"/>
              </w:rPr>
              <w:t>ΑΕΠ Ευρωζώνης**</w:t>
            </w:r>
          </w:p>
        </w:tc>
        <w:tc>
          <w:tcPr>
            <w:tcW w:w="0" w:type="auto"/>
            <w:tcBorders>
              <w:top w:val="nil"/>
              <w:bottom w:val="nil"/>
            </w:tcBorders>
            <w:shd w:val="clear" w:color="auto" w:fill="FFFFFF"/>
            <w:tcMar>
              <w:top w:w="0" w:type="dxa"/>
              <w:left w:w="108" w:type="dxa"/>
              <w:bottom w:w="0" w:type="dxa"/>
              <w:right w:w="108" w:type="dxa"/>
            </w:tcMar>
            <w:vAlign w:val="center"/>
            <w:hideMark/>
          </w:tcPr>
          <w:p w14:paraId="31973FE2"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lang w:val="en-US"/>
              </w:rPr>
              <w:t>0,</w:t>
            </w:r>
            <w:r w:rsidRPr="00C94714">
              <w:rPr>
                <w:rFonts w:eastAsia="Calibri" w:cs="Arial"/>
                <w:sz w:val="16"/>
                <w:szCs w:val="16"/>
              </w:rPr>
              <w:t>9</w:t>
            </w:r>
          </w:p>
        </w:tc>
        <w:tc>
          <w:tcPr>
            <w:tcW w:w="0" w:type="auto"/>
            <w:tcBorders>
              <w:top w:val="nil"/>
              <w:bottom w:val="nil"/>
            </w:tcBorders>
            <w:shd w:val="clear" w:color="auto" w:fill="FFFFFF"/>
            <w:tcMar>
              <w:top w:w="0" w:type="dxa"/>
              <w:left w:w="108" w:type="dxa"/>
              <w:bottom w:w="0" w:type="dxa"/>
              <w:right w:w="108" w:type="dxa"/>
            </w:tcMar>
            <w:vAlign w:val="center"/>
            <w:hideMark/>
          </w:tcPr>
          <w:p w14:paraId="127A93E7"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lang w:val="en-US"/>
              </w:rPr>
              <w:t>0,</w:t>
            </w:r>
            <w:r w:rsidRPr="00C94714">
              <w:rPr>
                <w:rFonts w:eastAsia="Calibri" w:cs="Arial"/>
                <w:sz w:val="16"/>
                <w:szCs w:val="16"/>
              </w:rPr>
              <w:t>9</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hideMark/>
          </w:tcPr>
          <w:p w14:paraId="0388AD62" w14:textId="77777777" w:rsidR="003903AA" w:rsidRPr="00C94714" w:rsidRDefault="003903AA" w:rsidP="00E80843">
            <w:pPr>
              <w:snapToGrid w:val="0"/>
              <w:spacing w:after="0" w:line="276" w:lineRule="auto"/>
              <w:jc w:val="right"/>
              <w:rPr>
                <w:rFonts w:eastAsia="Calibri" w:cs="Arial"/>
                <w:sz w:val="16"/>
                <w:szCs w:val="16"/>
                <w:lang w:val="en-US"/>
              </w:rPr>
            </w:pPr>
            <w:r w:rsidRPr="00C94714">
              <w:rPr>
                <w:rFonts w:eastAsia="Calibri" w:cs="Arial"/>
                <w:sz w:val="16"/>
                <w:szCs w:val="16"/>
                <w:lang w:val="en-US"/>
              </w:rPr>
              <w:t>1,4</w:t>
            </w:r>
          </w:p>
        </w:tc>
      </w:tr>
      <w:tr w:rsidR="003903AA" w:rsidRPr="0062147D" w14:paraId="358DC37B" w14:textId="77777777" w:rsidTr="00CD71D0">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hideMark/>
          </w:tcPr>
          <w:p w14:paraId="463C173F" w14:textId="77777777" w:rsidR="003903AA" w:rsidRPr="00C94714" w:rsidRDefault="003903AA" w:rsidP="00E80843">
            <w:pPr>
              <w:snapToGrid w:val="0"/>
              <w:spacing w:after="0" w:line="276" w:lineRule="auto"/>
              <w:jc w:val="left"/>
              <w:rPr>
                <w:rFonts w:eastAsia="Calibri" w:cs="Arial"/>
                <w:bCs/>
                <w:sz w:val="16"/>
                <w:szCs w:val="16"/>
              </w:rPr>
            </w:pPr>
            <w:r w:rsidRPr="00C94714">
              <w:rPr>
                <w:rFonts w:eastAsia="Calibri" w:cs="Arial"/>
                <w:bCs/>
                <w:sz w:val="16"/>
                <w:szCs w:val="16"/>
              </w:rPr>
              <w:t>ΑΕΠ ΗΠΑ</w:t>
            </w:r>
          </w:p>
        </w:tc>
        <w:tc>
          <w:tcPr>
            <w:tcW w:w="0" w:type="auto"/>
            <w:tcBorders>
              <w:top w:val="nil"/>
              <w:bottom w:val="nil"/>
            </w:tcBorders>
            <w:shd w:val="clear" w:color="auto" w:fill="FFFFFF"/>
            <w:tcMar>
              <w:top w:w="0" w:type="dxa"/>
              <w:left w:w="108" w:type="dxa"/>
              <w:bottom w:w="0" w:type="dxa"/>
              <w:right w:w="108" w:type="dxa"/>
            </w:tcMar>
            <w:vAlign w:val="center"/>
            <w:hideMark/>
          </w:tcPr>
          <w:p w14:paraId="0A54AFC5"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2,8</w:t>
            </w:r>
          </w:p>
        </w:tc>
        <w:tc>
          <w:tcPr>
            <w:tcW w:w="0" w:type="auto"/>
            <w:tcBorders>
              <w:top w:val="nil"/>
              <w:bottom w:val="nil"/>
            </w:tcBorders>
            <w:shd w:val="clear" w:color="auto" w:fill="FFFFFF"/>
            <w:tcMar>
              <w:top w:w="0" w:type="dxa"/>
              <w:left w:w="108" w:type="dxa"/>
              <w:bottom w:w="0" w:type="dxa"/>
              <w:right w:w="108" w:type="dxa"/>
            </w:tcMar>
            <w:vAlign w:val="center"/>
            <w:hideMark/>
          </w:tcPr>
          <w:p w14:paraId="6DE7D0E9"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1,9</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hideMark/>
          </w:tcPr>
          <w:p w14:paraId="71466B42"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2</w:t>
            </w:r>
            <w:r w:rsidRPr="00C94714">
              <w:rPr>
                <w:rFonts w:eastAsia="Calibri" w:cs="Arial"/>
                <w:sz w:val="16"/>
                <w:szCs w:val="16"/>
                <w:lang w:val="en-US"/>
              </w:rPr>
              <w:t>,</w:t>
            </w:r>
            <w:r w:rsidRPr="00C94714">
              <w:rPr>
                <w:rFonts w:eastAsia="Calibri" w:cs="Arial"/>
                <w:sz w:val="16"/>
                <w:szCs w:val="16"/>
              </w:rPr>
              <w:t>0</w:t>
            </w:r>
          </w:p>
        </w:tc>
      </w:tr>
      <w:tr w:rsidR="003903AA" w:rsidRPr="0062147D" w14:paraId="0C6D5197" w14:textId="77777777" w:rsidTr="00CD71D0">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hideMark/>
          </w:tcPr>
          <w:p w14:paraId="1A910CF1" w14:textId="77777777" w:rsidR="003903AA" w:rsidRPr="00C94714" w:rsidRDefault="003903AA" w:rsidP="00E80843">
            <w:pPr>
              <w:snapToGrid w:val="0"/>
              <w:spacing w:after="0" w:line="276" w:lineRule="auto"/>
              <w:jc w:val="left"/>
              <w:rPr>
                <w:rFonts w:eastAsia="Calibri" w:cs="Arial"/>
                <w:bCs/>
                <w:sz w:val="16"/>
                <w:szCs w:val="16"/>
              </w:rPr>
            </w:pPr>
            <w:r w:rsidRPr="00C94714">
              <w:rPr>
                <w:rFonts w:eastAsia="Calibri" w:cs="Arial"/>
                <w:bCs/>
                <w:sz w:val="16"/>
                <w:szCs w:val="16"/>
              </w:rPr>
              <w:t>Όγκος παγκόσμιου εμπορίου (αγαθά και υπηρεσίες)</w:t>
            </w:r>
          </w:p>
        </w:tc>
        <w:tc>
          <w:tcPr>
            <w:tcW w:w="0" w:type="auto"/>
            <w:tcBorders>
              <w:top w:val="nil"/>
              <w:bottom w:val="nil"/>
            </w:tcBorders>
            <w:shd w:val="clear" w:color="auto" w:fill="FFFFFF"/>
            <w:tcMar>
              <w:top w:w="0" w:type="dxa"/>
              <w:left w:w="108" w:type="dxa"/>
              <w:bottom w:w="0" w:type="dxa"/>
              <w:right w:w="108" w:type="dxa"/>
            </w:tcMar>
            <w:vAlign w:val="center"/>
            <w:hideMark/>
          </w:tcPr>
          <w:p w14:paraId="49AA496D"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3,5</w:t>
            </w:r>
          </w:p>
        </w:tc>
        <w:tc>
          <w:tcPr>
            <w:tcW w:w="0" w:type="auto"/>
            <w:tcBorders>
              <w:top w:val="nil"/>
              <w:bottom w:val="nil"/>
            </w:tcBorders>
            <w:shd w:val="clear" w:color="auto" w:fill="FFFFFF"/>
            <w:tcMar>
              <w:top w:w="0" w:type="dxa"/>
              <w:left w:w="108" w:type="dxa"/>
              <w:bottom w:w="0" w:type="dxa"/>
              <w:right w:w="108" w:type="dxa"/>
            </w:tcMar>
            <w:vAlign w:val="center"/>
            <w:hideMark/>
          </w:tcPr>
          <w:p w14:paraId="24CFA634"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2,6</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hideMark/>
          </w:tcPr>
          <w:p w14:paraId="4D27D6EE"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1,9</w:t>
            </w:r>
          </w:p>
        </w:tc>
      </w:tr>
      <w:tr w:rsidR="003903AA" w:rsidRPr="0062147D" w14:paraId="6A063334" w14:textId="77777777" w:rsidTr="00CD71D0">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hideMark/>
          </w:tcPr>
          <w:p w14:paraId="58DFBB43" w14:textId="77777777" w:rsidR="003903AA" w:rsidRPr="00C94714" w:rsidRDefault="003903AA" w:rsidP="00E80843">
            <w:pPr>
              <w:snapToGrid w:val="0"/>
              <w:spacing w:after="0" w:line="276" w:lineRule="auto"/>
              <w:jc w:val="left"/>
              <w:rPr>
                <w:rFonts w:eastAsia="Calibri" w:cs="Arial"/>
                <w:bCs/>
                <w:sz w:val="16"/>
                <w:szCs w:val="16"/>
              </w:rPr>
            </w:pPr>
            <w:r w:rsidRPr="00C94714">
              <w:rPr>
                <w:rFonts w:eastAsia="Calibri" w:cs="Arial"/>
                <w:bCs/>
                <w:sz w:val="16"/>
                <w:szCs w:val="16"/>
              </w:rPr>
              <w:t>Πληθωρισμός</w:t>
            </w:r>
          </w:p>
        </w:tc>
        <w:tc>
          <w:tcPr>
            <w:tcW w:w="0" w:type="auto"/>
            <w:tcBorders>
              <w:top w:val="nil"/>
              <w:bottom w:val="nil"/>
            </w:tcBorders>
            <w:shd w:val="clear" w:color="auto" w:fill="FFFFFF"/>
            <w:tcMar>
              <w:top w:w="0" w:type="dxa"/>
              <w:left w:w="108" w:type="dxa"/>
              <w:bottom w:w="0" w:type="dxa"/>
              <w:right w:w="108" w:type="dxa"/>
            </w:tcMar>
            <w:vAlign w:val="center"/>
          </w:tcPr>
          <w:p w14:paraId="1A1FD607"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5,6</w:t>
            </w:r>
          </w:p>
        </w:tc>
        <w:tc>
          <w:tcPr>
            <w:tcW w:w="0" w:type="auto"/>
            <w:tcBorders>
              <w:top w:val="nil"/>
              <w:bottom w:val="nil"/>
            </w:tcBorders>
            <w:shd w:val="clear" w:color="auto" w:fill="FFFFFF"/>
            <w:tcMar>
              <w:top w:w="0" w:type="dxa"/>
              <w:left w:w="108" w:type="dxa"/>
              <w:bottom w:w="0" w:type="dxa"/>
              <w:right w:w="108" w:type="dxa"/>
            </w:tcMar>
            <w:vAlign w:val="center"/>
          </w:tcPr>
          <w:p w14:paraId="52629878"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4,2</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tcPr>
          <w:p w14:paraId="2B8009D6"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3,6</w:t>
            </w:r>
          </w:p>
        </w:tc>
      </w:tr>
      <w:tr w:rsidR="003903AA" w:rsidRPr="0062147D" w14:paraId="510580AC" w14:textId="77777777" w:rsidTr="00CD71D0">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hideMark/>
          </w:tcPr>
          <w:p w14:paraId="0AE73147" w14:textId="77777777" w:rsidR="003903AA" w:rsidRPr="00C94714" w:rsidRDefault="003903AA" w:rsidP="00E80843">
            <w:pPr>
              <w:snapToGrid w:val="0"/>
              <w:spacing w:after="0" w:line="276" w:lineRule="auto"/>
              <w:jc w:val="left"/>
              <w:rPr>
                <w:rFonts w:eastAsia="Calibri" w:cs="Arial"/>
                <w:bCs/>
                <w:sz w:val="16"/>
                <w:szCs w:val="16"/>
                <w:lang w:val="en-US"/>
              </w:rPr>
            </w:pPr>
            <w:r w:rsidRPr="00C94714">
              <w:rPr>
                <w:rFonts w:eastAsia="Calibri" w:cs="Arial"/>
                <w:bCs/>
                <w:sz w:val="16"/>
                <w:szCs w:val="16"/>
              </w:rPr>
              <w:t>α. Προηγμένες οικονομίες</w:t>
            </w:r>
          </w:p>
        </w:tc>
        <w:tc>
          <w:tcPr>
            <w:tcW w:w="0" w:type="auto"/>
            <w:tcBorders>
              <w:top w:val="nil"/>
              <w:bottom w:val="nil"/>
            </w:tcBorders>
            <w:shd w:val="clear" w:color="auto" w:fill="FFFFFF"/>
            <w:tcMar>
              <w:top w:w="0" w:type="dxa"/>
              <w:left w:w="108" w:type="dxa"/>
              <w:bottom w:w="0" w:type="dxa"/>
              <w:right w:w="108" w:type="dxa"/>
            </w:tcMar>
            <w:vAlign w:val="center"/>
            <w:hideMark/>
          </w:tcPr>
          <w:p w14:paraId="625A2D09"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2,6</w:t>
            </w:r>
          </w:p>
        </w:tc>
        <w:tc>
          <w:tcPr>
            <w:tcW w:w="0" w:type="auto"/>
            <w:tcBorders>
              <w:top w:val="nil"/>
              <w:bottom w:val="nil"/>
            </w:tcBorders>
            <w:shd w:val="clear" w:color="auto" w:fill="FFFFFF"/>
            <w:tcMar>
              <w:top w:w="0" w:type="dxa"/>
              <w:left w:w="108" w:type="dxa"/>
              <w:bottom w:w="0" w:type="dxa"/>
              <w:right w:w="108" w:type="dxa"/>
            </w:tcMar>
            <w:vAlign w:val="center"/>
            <w:hideMark/>
          </w:tcPr>
          <w:p w14:paraId="387E8D9C"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2,5</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hideMark/>
          </w:tcPr>
          <w:p w14:paraId="6A0B5D41"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2,1</w:t>
            </w:r>
          </w:p>
        </w:tc>
      </w:tr>
      <w:tr w:rsidR="003903AA" w:rsidRPr="0062147D" w14:paraId="70C7D22A" w14:textId="77777777" w:rsidTr="00CD71D0">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hideMark/>
          </w:tcPr>
          <w:p w14:paraId="5B261C33" w14:textId="77777777" w:rsidR="003903AA" w:rsidRPr="00C94714" w:rsidRDefault="003903AA" w:rsidP="00E80843">
            <w:pPr>
              <w:snapToGrid w:val="0"/>
              <w:spacing w:after="0" w:line="276" w:lineRule="auto"/>
              <w:jc w:val="left"/>
              <w:rPr>
                <w:rFonts w:eastAsia="Calibri" w:cs="Arial"/>
                <w:bCs/>
                <w:sz w:val="16"/>
                <w:szCs w:val="16"/>
              </w:rPr>
            </w:pPr>
            <w:r w:rsidRPr="00C94714">
              <w:rPr>
                <w:rFonts w:eastAsia="Calibri" w:cs="Arial"/>
                <w:bCs/>
                <w:sz w:val="16"/>
                <w:szCs w:val="16"/>
              </w:rPr>
              <w:t>β. Αναδυόμενες και αναπτυσσόμενες οικονομίες</w:t>
            </w:r>
          </w:p>
        </w:tc>
        <w:tc>
          <w:tcPr>
            <w:tcW w:w="0" w:type="auto"/>
            <w:tcBorders>
              <w:top w:val="nil"/>
              <w:bottom w:val="nil"/>
            </w:tcBorders>
            <w:shd w:val="clear" w:color="auto" w:fill="FFFFFF"/>
            <w:tcMar>
              <w:top w:w="0" w:type="dxa"/>
              <w:left w:w="108" w:type="dxa"/>
              <w:bottom w:w="0" w:type="dxa"/>
              <w:right w:w="108" w:type="dxa"/>
            </w:tcMar>
            <w:vAlign w:val="center"/>
            <w:hideMark/>
          </w:tcPr>
          <w:p w14:paraId="6014C8EF" w14:textId="77777777" w:rsidR="003903AA" w:rsidRPr="00C94714" w:rsidRDefault="003903AA" w:rsidP="00E80843">
            <w:pPr>
              <w:snapToGrid w:val="0"/>
              <w:spacing w:after="0" w:line="276" w:lineRule="auto"/>
              <w:jc w:val="right"/>
              <w:rPr>
                <w:rFonts w:eastAsia="Calibri" w:cs="Arial"/>
                <w:bCs/>
                <w:sz w:val="16"/>
                <w:szCs w:val="16"/>
              </w:rPr>
            </w:pPr>
            <w:r w:rsidRPr="00C94714">
              <w:rPr>
                <w:rFonts w:eastAsia="Calibri" w:cs="Arial"/>
                <w:bCs/>
                <w:sz w:val="16"/>
                <w:szCs w:val="16"/>
              </w:rPr>
              <w:t>7,7</w:t>
            </w:r>
          </w:p>
        </w:tc>
        <w:tc>
          <w:tcPr>
            <w:tcW w:w="0" w:type="auto"/>
            <w:tcBorders>
              <w:top w:val="nil"/>
              <w:bottom w:val="nil"/>
            </w:tcBorders>
            <w:shd w:val="clear" w:color="auto" w:fill="FFFFFF"/>
            <w:tcMar>
              <w:top w:w="0" w:type="dxa"/>
              <w:left w:w="108" w:type="dxa"/>
              <w:bottom w:w="0" w:type="dxa"/>
              <w:right w:w="108" w:type="dxa"/>
            </w:tcMar>
            <w:vAlign w:val="center"/>
            <w:hideMark/>
          </w:tcPr>
          <w:p w14:paraId="186D750F" w14:textId="77777777" w:rsidR="003903AA" w:rsidRPr="00C94714" w:rsidRDefault="003903AA" w:rsidP="00E80843">
            <w:pPr>
              <w:snapToGrid w:val="0"/>
              <w:spacing w:after="0" w:line="276" w:lineRule="auto"/>
              <w:jc w:val="right"/>
              <w:rPr>
                <w:rFonts w:eastAsia="Calibri" w:cs="Arial"/>
                <w:bCs/>
                <w:sz w:val="16"/>
                <w:szCs w:val="16"/>
              </w:rPr>
            </w:pPr>
            <w:r w:rsidRPr="00C94714">
              <w:rPr>
                <w:rFonts w:eastAsia="Calibri" w:cs="Arial"/>
                <w:bCs/>
                <w:sz w:val="16"/>
                <w:szCs w:val="16"/>
              </w:rPr>
              <w:t>5,4</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hideMark/>
          </w:tcPr>
          <w:p w14:paraId="3A307A12" w14:textId="77777777" w:rsidR="003903AA" w:rsidRPr="00C94714" w:rsidRDefault="003903AA" w:rsidP="00E80843">
            <w:pPr>
              <w:tabs>
                <w:tab w:val="left" w:pos="380"/>
                <w:tab w:val="right" w:pos="578"/>
              </w:tabs>
              <w:snapToGrid w:val="0"/>
              <w:spacing w:after="0" w:line="276" w:lineRule="auto"/>
              <w:jc w:val="right"/>
              <w:rPr>
                <w:rFonts w:eastAsia="Calibri" w:cs="Arial"/>
                <w:bCs/>
                <w:sz w:val="16"/>
                <w:szCs w:val="16"/>
              </w:rPr>
            </w:pPr>
            <w:r w:rsidRPr="00C94714">
              <w:rPr>
                <w:rFonts w:eastAsia="Calibri" w:cs="Arial"/>
                <w:bCs/>
                <w:sz w:val="16"/>
                <w:szCs w:val="16"/>
              </w:rPr>
              <w:t>4,5</w:t>
            </w:r>
          </w:p>
        </w:tc>
      </w:tr>
      <w:tr w:rsidR="003903AA" w:rsidRPr="0062147D" w14:paraId="3ED1C755" w14:textId="77777777" w:rsidTr="00CD71D0">
        <w:trPr>
          <w:cantSplit/>
          <w:trHeight w:val="292"/>
          <w:jc w:val="center"/>
        </w:trPr>
        <w:tc>
          <w:tcPr>
            <w:tcW w:w="0" w:type="auto"/>
            <w:tcBorders>
              <w:top w:val="nil"/>
              <w:left w:val="single" w:sz="2" w:space="0" w:color="808080" w:themeColor="background1" w:themeShade="80"/>
              <w:bottom w:val="nil"/>
            </w:tcBorders>
            <w:shd w:val="clear" w:color="auto" w:fill="FFFFFF"/>
            <w:tcMar>
              <w:top w:w="0" w:type="dxa"/>
              <w:left w:w="108" w:type="dxa"/>
              <w:bottom w:w="0" w:type="dxa"/>
              <w:right w:w="108" w:type="dxa"/>
            </w:tcMar>
            <w:vAlign w:val="center"/>
          </w:tcPr>
          <w:p w14:paraId="3CD675FE" w14:textId="77777777" w:rsidR="003903AA" w:rsidRPr="00C94714" w:rsidRDefault="003903AA" w:rsidP="00E80843">
            <w:pPr>
              <w:snapToGrid w:val="0"/>
              <w:spacing w:after="0" w:line="276" w:lineRule="auto"/>
              <w:jc w:val="left"/>
              <w:rPr>
                <w:rFonts w:eastAsia="Calibri" w:cs="Arial"/>
                <w:bCs/>
                <w:sz w:val="16"/>
                <w:szCs w:val="16"/>
              </w:rPr>
            </w:pPr>
            <w:r w:rsidRPr="00C94714">
              <w:rPr>
                <w:rFonts w:eastAsia="Calibri" w:cs="Arial"/>
                <w:bCs/>
                <w:sz w:val="16"/>
                <w:szCs w:val="16"/>
              </w:rPr>
              <w:t>γ</w:t>
            </w:r>
            <w:r w:rsidRPr="00C94714">
              <w:rPr>
                <w:rFonts w:eastAsia="Calibri" w:cs="Arial"/>
                <w:bCs/>
                <w:sz w:val="16"/>
                <w:szCs w:val="16"/>
                <w:lang w:val="en-US"/>
              </w:rPr>
              <w:t xml:space="preserve">. </w:t>
            </w:r>
            <w:r w:rsidRPr="00C94714">
              <w:rPr>
                <w:rFonts w:eastAsia="Calibri" w:cs="Arial"/>
                <w:bCs/>
                <w:sz w:val="16"/>
                <w:szCs w:val="16"/>
              </w:rPr>
              <w:t>Ευρωζώνη**</w:t>
            </w:r>
          </w:p>
        </w:tc>
        <w:tc>
          <w:tcPr>
            <w:tcW w:w="0" w:type="auto"/>
            <w:tcBorders>
              <w:top w:val="nil"/>
              <w:bottom w:val="nil"/>
            </w:tcBorders>
            <w:shd w:val="clear" w:color="auto" w:fill="FFFFFF"/>
            <w:tcMar>
              <w:top w:w="0" w:type="dxa"/>
              <w:left w:w="108" w:type="dxa"/>
              <w:bottom w:w="0" w:type="dxa"/>
              <w:right w:w="108" w:type="dxa"/>
            </w:tcMar>
            <w:vAlign w:val="center"/>
          </w:tcPr>
          <w:p w14:paraId="0A7957EF"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2,4</w:t>
            </w:r>
          </w:p>
        </w:tc>
        <w:tc>
          <w:tcPr>
            <w:tcW w:w="0" w:type="auto"/>
            <w:tcBorders>
              <w:top w:val="nil"/>
              <w:bottom w:val="nil"/>
            </w:tcBorders>
            <w:shd w:val="clear" w:color="auto" w:fill="FFFFFF"/>
            <w:tcMar>
              <w:top w:w="0" w:type="dxa"/>
              <w:left w:w="108" w:type="dxa"/>
              <w:bottom w:w="0" w:type="dxa"/>
              <w:right w:w="108" w:type="dxa"/>
            </w:tcMar>
            <w:vAlign w:val="center"/>
          </w:tcPr>
          <w:p w14:paraId="6C2F2A50"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2,1</w:t>
            </w:r>
          </w:p>
        </w:tc>
        <w:tc>
          <w:tcPr>
            <w:tcW w:w="0" w:type="auto"/>
            <w:tcBorders>
              <w:top w:val="nil"/>
              <w:bottom w:val="nil"/>
              <w:right w:val="single" w:sz="2" w:space="0" w:color="808080" w:themeColor="background1" w:themeShade="80"/>
            </w:tcBorders>
            <w:shd w:val="clear" w:color="auto" w:fill="FFFFFF"/>
            <w:tcMar>
              <w:top w:w="0" w:type="dxa"/>
              <w:left w:w="108" w:type="dxa"/>
              <w:bottom w:w="0" w:type="dxa"/>
              <w:right w:w="108" w:type="dxa"/>
            </w:tcMar>
            <w:vAlign w:val="center"/>
          </w:tcPr>
          <w:p w14:paraId="68772BA2"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1,7</w:t>
            </w:r>
          </w:p>
        </w:tc>
      </w:tr>
      <w:tr w:rsidR="003903AA" w:rsidRPr="0062147D" w14:paraId="2262D011" w14:textId="77777777" w:rsidTr="00CD71D0">
        <w:trPr>
          <w:cantSplit/>
          <w:trHeight w:val="292"/>
          <w:jc w:val="center"/>
        </w:trPr>
        <w:tc>
          <w:tcPr>
            <w:tcW w:w="0" w:type="auto"/>
            <w:tcBorders>
              <w:top w:val="nil"/>
              <w:left w:val="single" w:sz="2" w:space="0" w:color="808080" w:themeColor="background1" w:themeShade="80"/>
              <w:bottom w:val="single" w:sz="2" w:space="0" w:color="808080" w:themeColor="background1" w:themeShade="80"/>
            </w:tcBorders>
            <w:shd w:val="clear" w:color="auto" w:fill="FFFFFF"/>
            <w:tcMar>
              <w:top w:w="0" w:type="dxa"/>
              <w:left w:w="108" w:type="dxa"/>
              <w:bottom w:w="0" w:type="dxa"/>
              <w:right w:w="108" w:type="dxa"/>
            </w:tcMar>
            <w:vAlign w:val="center"/>
            <w:hideMark/>
          </w:tcPr>
          <w:p w14:paraId="10D8EDC9" w14:textId="77777777" w:rsidR="003903AA" w:rsidRPr="00C94714" w:rsidRDefault="003903AA" w:rsidP="00E80843">
            <w:pPr>
              <w:snapToGrid w:val="0"/>
              <w:spacing w:after="0" w:line="276" w:lineRule="auto"/>
              <w:jc w:val="left"/>
              <w:rPr>
                <w:rFonts w:eastAsia="Calibri" w:cs="Arial"/>
                <w:bCs/>
                <w:sz w:val="16"/>
                <w:szCs w:val="16"/>
                <w:lang w:val="en-US"/>
              </w:rPr>
            </w:pPr>
            <w:r w:rsidRPr="00C94714">
              <w:rPr>
                <w:rFonts w:eastAsia="Calibri" w:cs="Arial"/>
                <w:bCs/>
                <w:sz w:val="16"/>
                <w:szCs w:val="16"/>
              </w:rPr>
              <w:t>Τιμή</w:t>
            </w:r>
            <w:r w:rsidRPr="00C94714">
              <w:rPr>
                <w:rFonts w:eastAsia="Calibri" w:cs="Arial"/>
                <w:bCs/>
                <w:sz w:val="16"/>
                <w:szCs w:val="16"/>
                <w:lang w:val="en-US"/>
              </w:rPr>
              <w:t xml:space="preserve"> </w:t>
            </w:r>
            <w:r w:rsidRPr="00C94714">
              <w:rPr>
                <w:rFonts w:eastAsia="Calibri" w:cs="Arial"/>
                <w:bCs/>
                <w:sz w:val="16"/>
                <w:szCs w:val="16"/>
              </w:rPr>
              <w:t>πετρελαίου</w:t>
            </w:r>
            <w:r w:rsidRPr="00C94714">
              <w:rPr>
                <w:rFonts w:eastAsia="Calibri" w:cs="Arial"/>
                <w:bCs/>
                <w:sz w:val="16"/>
                <w:szCs w:val="16"/>
                <w:lang w:val="en-US"/>
              </w:rPr>
              <w:t xml:space="preserve"> (</w:t>
            </w:r>
            <w:r w:rsidRPr="00C94714">
              <w:rPr>
                <w:rFonts w:eastAsia="Calibri" w:cs="Arial"/>
                <w:bCs/>
                <w:sz w:val="16"/>
                <w:szCs w:val="16"/>
                <w:lang w:val="en-GB"/>
              </w:rPr>
              <w:t>Brent</w:t>
            </w:r>
            <w:r w:rsidRPr="00C94714">
              <w:rPr>
                <w:rFonts w:eastAsia="Calibri" w:cs="Arial"/>
                <w:bCs/>
                <w:sz w:val="16"/>
                <w:szCs w:val="16"/>
                <w:lang w:val="en-US"/>
              </w:rPr>
              <w:t xml:space="preserve">, </w:t>
            </w:r>
            <w:r w:rsidRPr="00C94714">
              <w:rPr>
                <w:rFonts w:eastAsia="Calibri" w:cs="Arial"/>
                <w:bCs/>
                <w:sz w:val="16"/>
                <w:szCs w:val="16"/>
                <w:lang w:val="en-GB"/>
              </w:rPr>
              <w:t>USD</w:t>
            </w:r>
            <w:r w:rsidRPr="00C94714">
              <w:rPr>
                <w:rFonts w:eastAsia="Calibri" w:cs="Arial"/>
                <w:bCs/>
                <w:sz w:val="16"/>
                <w:szCs w:val="16"/>
                <w:lang w:val="en-US"/>
              </w:rPr>
              <w:t>/</w:t>
            </w:r>
            <w:r w:rsidRPr="00C94714">
              <w:rPr>
                <w:rFonts w:eastAsia="Calibri" w:cs="Arial"/>
                <w:bCs/>
                <w:sz w:val="16"/>
                <w:szCs w:val="16"/>
                <w:lang w:val="en-GB"/>
              </w:rPr>
              <w:t>barrel</w:t>
            </w:r>
            <w:r w:rsidRPr="00C94714">
              <w:rPr>
                <w:rFonts w:eastAsia="Calibri" w:cs="Arial"/>
                <w:bCs/>
                <w:sz w:val="16"/>
                <w:szCs w:val="16"/>
                <w:lang w:val="en-US"/>
              </w:rPr>
              <w:t>)**</w:t>
            </w:r>
          </w:p>
        </w:tc>
        <w:tc>
          <w:tcPr>
            <w:tcW w:w="0" w:type="auto"/>
            <w:tcBorders>
              <w:top w:val="nil"/>
              <w:bottom w:val="single" w:sz="2" w:space="0" w:color="808080" w:themeColor="background1" w:themeShade="80"/>
            </w:tcBorders>
            <w:shd w:val="clear" w:color="auto" w:fill="FFFFFF"/>
            <w:tcMar>
              <w:top w:w="0" w:type="dxa"/>
              <w:left w:w="108" w:type="dxa"/>
              <w:bottom w:w="0" w:type="dxa"/>
              <w:right w:w="108" w:type="dxa"/>
            </w:tcMar>
            <w:vAlign w:val="center"/>
            <w:hideMark/>
          </w:tcPr>
          <w:p w14:paraId="6D26ECB1" w14:textId="77777777" w:rsidR="003903AA" w:rsidRPr="00C94714" w:rsidRDefault="003903AA" w:rsidP="00E80843">
            <w:pPr>
              <w:snapToGrid w:val="0"/>
              <w:spacing w:after="0" w:line="276" w:lineRule="auto"/>
              <w:jc w:val="right"/>
              <w:rPr>
                <w:rFonts w:eastAsia="Calibri" w:cs="Arial"/>
                <w:sz w:val="16"/>
                <w:szCs w:val="16"/>
                <w:lang w:val="en-US"/>
              </w:rPr>
            </w:pPr>
            <w:r w:rsidRPr="00C94714">
              <w:rPr>
                <w:rFonts w:eastAsia="Calibri" w:cs="Arial"/>
                <w:sz w:val="16"/>
                <w:szCs w:val="16"/>
                <w:lang w:val="en-US"/>
              </w:rPr>
              <w:t>8</w:t>
            </w:r>
            <w:r w:rsidRPr="00C94714">
              <w:rPr>
                <w:rFonts w:eastAsia="Calibri" w:cs="Arial"/>
                <w:sz w:val="16"/>
                <w:szCs w:val="16"/>
              </w:rPr>
              <w:t>0</w:t>
            </w:r>
            <w:r w:rsidRPr="00C94714">
              <w:rPr>
                <w:rFonts w:eastAsia="Calibri" w:cs="Arial"/>
                <w:sz w:val="16"/>
                <w:szCs w:val="16"/>
                <w:lang w:val="en-US"/>
              </w:rPr>
              <w:t>,5</w:t>
            </w:r>
          </w:p>
        </w:tc>
        <w:tc>
          <w:tcPr>
            <w:tcW w:w="0" w:type="auto"/>
            <w:tcBorders>
              <w:top w:val="nil"/>
              <w:bottom w:val="single" w:sz="2" w:space="0" w:color="808080" w:themeColor="background1" w:themeShade="80"/>
            </w:tcBorders>
            <w:shd w:val="clear" w:color="auto" w:fill="FFFFFF"/>
            <w:tcMar>
              <w:top w:w="0" w:type="dxa"/>
              <w:left w:w="108" w:type="dxa"/>
              <w:bottom w:w="0" w:type="dxa"/>
              <w:right w:w="108" w:type="dxa"/>
            </w:tcMar>
            <w:vAlign w:val="center"/>
            <w:hideMark/>
          </w:tcPr>
          <w:p w14:paraId="095336BE" w14:textId="77777777" w:rsidR="003903AA" w:rsidRPr="00C94714" w:rsidRDefault="003903AA" w:rsidP="00E80843">
            <w:pPr>
              <w:snapToGrid w:val="0"/>
              <w:spacing w:after="0" w:line="276" w:lineRule="auto"/>
              <w:jc w:val="right"/>
              <w:rPr>
                <w:rFonts w:eastAsia="Calibri" w:cs="Arial"/>
                <w:sz w:val="16"/>
                <w:szCs w:val="16"/>
              </w:rPr>
            </w:pPr>
            <w:r w:rsidRPr="00C94714">
              <w:rPr>
                <w:rFonts w:eastAsia="Calibri" w:cs="Arial"/>
                <w:sz w:val="16"/>
                <w:szCs w:val="16"/>
              </w:rPr>
              <w:t>67</w:t>
            </w:r>
            <w:r w:rsidRPr="00C94714">
              <w:rPr>
                <w:rFonts w:eastAsia="Calibri" w:cs="Arial"/>
                <w:sz w:val="16"/>
                <w:szCs w:val="16"/>
                <w:lang w:val="en-US"/>
              </w:rPr>
              <w:t>,</w:t>
            </w:r>
            <w:r w:rsidRPr="00C94714">
              <w:rPr>
                <w:rFonts w:eastAsia="Calibri" w:cs="Arial"/>
                <w:sz w:val="16"/>
                <w:szCs w:val="16"/>
              </w:rPr>
              <w:t>7</w:t>
            </w:r>
          </w:p>
        </w:tc>
        <w:tc>
          <w:tcPr>
            <w:tcW w:w="0" w:type="auto"/>
            <w:tcBorders>
              <w:top w:val="nil"/>
              <w:bottom w:val="single" w:sz="2" w:space="0" w:color="808080" w:themeColor="background1" w:themeShade="80"/>
              <w:right w:val="single" w:sz="2" w:space="0" w:color="808080" w:themeColor="background1" w:themeShade="80"/>
            </w:tcBorders>
            <w:shd w:val="clear" w:color="auto" w:fill="FFFFFF"/>
            <w:tcMar>
              <w:top w:w="0" w:type="dxa"/>
              <w:left w:w="108" w:type="dxa"/>
              <w:bottom w:w="0" w:type="dxa"/>
              <w:right w:w="108" w:type="dxa"/>
            </w:tcMar>
            <w:vAlign w:val="center"/>
            <w:hideMark/>
          </w:tcPr>
          <w:p w14:paraId="5867D4FD" w14:textId="77777777" w:rsidR="003903AA" w:rsidRPr="00C94714" w:rsidRDefault="003903AA" w:rsidP="00E80843">
            <w:pPr>
              <w:snapToGrid w:val="0"/>
              <w:spacing w:after="0" w:line="276" w:lineRule="auto"/>
              <w:jc w:val="right"/>
              <w:rPr>
                <w:rFonts w:eastAsia="Calibri" w:cs="Arial"/>
                <w:sz w:val="16"/>
                <w:szCs w:val="16"/>
                <w:lang w:val="en-US"/>
              </w:rPr>
            </w:pPr>
            <w:r w:rsidRPr="00C94714">
              <w:rPr>
                <w:rFonts w:eastAsia="Calibri" w:cs="Arial"/>
                <w:sz w:val="16"/>
                <w:szCs w:val="16"/>
              </w:rPr>
              <w:t>64</w:t>
            </w:r>
            <w:r w:rsidRPr="00C94714">
              <w:rPr>
                <w:rFonts w:eastAsia="Calibri" w:cs="Arial"/>
                <w:sz w:val="16"/>
                <w:szCs w:val="16"/>
                <w:lang w:val="en-US"/>
              </w:rPr>
              <w:t>,0</w:t>
            </w:r>
          </w:p>
        </w:tc>
      </w:tr>
      <w:tr w:rsidR="00067F43" w:rsidRPr="0062147D" w14:paraId="5BA40C7C" w14:textId="77777777" w:rsidTr="00CD71D0">
        <w:trPr>
          <w:cantSplit/>
          <w:trHeight w:val="294"/>
          <w:jc w:val="center"/>
        </w:trPr>
        <w:tc>
          <w:tcPr>
            <w:tcW w:w="0" w:type="auto"/>
            <w:gridSpan w:val="4"/>
            <w:tcBorders>
              <w:top w:val="single" w:sz="2" w:space="0" w:color="808080" w:themeColor="background1" w:themeShade="80"/>
              <w:left w:val="nil"/>
              <w:bottom w:val="nil"/>
              <w:right w:val="nil"/>
            </w:tcBorders>
            <w:shd w:val="clear" w:color="auto" w:fill="FFFFFF"/>
            <w:tcMar>
              <w:top w:w="0" w:type="dxa"/>
              <w:left w:w="108" w:type="dxa"/>
              <w:bottom w:w="0" w:type="dxa"/>
              <w:right w:w="108" w:type="dxa"/>
            </w:tcMar>
          </w:tcPr>
          <w:p w14:paraId="43D4F411" w14:textId="77777777" w:rsidR="00067F43" w:rsidRPr="00EA48D3" w:rsidRDefault="00067F43" w:rsidP="00997107">
            <w:pPr>
              <w:tabs>
                <w:tab w:val="left" w:pos="170"/>
              </w:tabs>
              <w:snapToGrid w:val="0"/>
              <w:spacing w:before="60" w:after="0" w:line="276" w:lineRule="auto"/>
              <w:jc w:val="left"/>
              <w:rPr>
                <w:rFonts w:eastAsia="Calibri" w:cs="Arial"/>
                <w:bCs/>
                <w:sz w:val="16"/>
                <w:szCs w:val="16"/>
              </w:rPr>
            </w:pPr>
            <w:r w:rsidRPr="00EA48D3">
              <w:rPr>
                <w:rFonts w:eastAsia="Calibri" w:cs="Arial"/>
                <w:bCs/>
                <w:sz w:val="16"/>
                <w:szCs w:val="16"/>
              </w:rPr>
              <w:t>*</w:t>
            </w:r>
            <w:r w:rsidR="00EA48D3">
              <w:rPr>
                <w:rFonts w:eastAsia="Calibri" w:cs="Arial"/>
                <w:bCs/>
                <w:sz w:val="16"/>
                <w:szCs w:val="16"/>
              </w:rPr>
              <w:tab/>
            </w:r>
            <w:r w:rsidRPr="00EA48D3">
              <w:rPr>
                <w:rFonts w:eastAsia="Calibri" w:cs="Arial"/>
                <w:bCs/>
                <w:sz w:val="16"/>
                <w:szCs w:val="16"/>
              </w:rPr>
              <w:t>Εκτιμήσεις/προβλέψεις</w:t>
            </w:r>
          </w:p>
        </w:tc>
      </w:tr>
      <w:tr w:rsidR="00067F43" w:rsidRPr="0062147D" w14:paraId="29150468" w14:textId="77777777" w:rsidTr="00CD71D0">
        <w:trPr>
          <w:cantSplit/>
          <w:trHeight w:val="217"/>
          <w:jc w:val="center"/>
        </w:trPr>
        <w:tc>
          <w:tcPr>
            <w:tcW w:w="0" w:type="auto"/>
            <w:gridSpan w:val="4"/>
            <w:tcBorders>
              <w:top w:val="nil"/>
              <w:left w:val="nil"/>
              <w:bottom w:val="nil"/>
              <w:right w:val="nil"/>
            </w:tcBorders>
            <w:shd w:val="clear" w:color="auto" w:fill="FFFFFF"/>
            <w:tcMar>
              <w:top w:w="0" w:type="dxa"/>
              <w:left w:w="108" w:type="dxa"/>
              <w:bottom w:w="0" w:type="dxa"/>
              <w:right w:w="108" w:type="dxa"/>
            </w:tcMar>
          </w:tcPr>
          <w:p w14:paraId="3F7FE8DC" w14:textId="77777777" w:rsidR="00067F43" w:rsidRPr="00EA48D3" w:rsidRDefault="00067F43" w:rsidP="00403F17">
            <w:pPr>
              <w:tabs>
                <w:tab w:val="left" w:pos="170"/>
              </w:tabs>
              <w:snapToGrid w:val="0"/>
              <w:spacing w:after="0" w:line="276" w:lineRule="auto"/>
              <w:jc w:val="left"/>
              <w:rPr>
                <w:rFonts w:eastAsia="Calibri" w:cs="Arial"/>
                <w:bCs/>
                <w:sz w:val="16"/>
                <w:szCs w:val="16"/>
              </w:rPr>
            </w:pPr>
            <w:r w:rsidRPr="00EA48D3">
              <w:rPr>
                <w:rFonts w:eastAsia="Calibri" w:cs="Arial"/>
                <w:bCs/>
                <w:sz w:val="16"/>
                <w:szCs w:val="16"/>
              </w:rPr>
              <w:t>**</w:t>
            </w:r>
            <w:r w:rsidR="00DB7425">
              <w:rPr>
                <w:rFonts w:eastAsia="Calibri" w:cs="Arial"/>
                <w:bCs/>
                <w:sz w:val="16"/>
                <w:szCs w:val="16"/>
              </w:rPr>
              <w:tab/>
            </w:r>
            <w:r w:rsidRPr="00EA48D3">
              <w:rPr>
                <w:rFonts w:eastAsia="Calibri" w:cs="Arial"/>
                <w:bCs/>
                <w:sz w:val="16"/>
                <w:szCs w:val="16"/>
              </w:rPr>
              <w:t>Εαρινές προβλέψεις Ευρωπαϊκής Επιτροπής, Μάιος 2025</w:t>
            </w:r>
          </w:p>
        </w:tc>
      </w:tr>
      <w:tr w:rsidR="00067F43" w:rsidRPr="005D55BC" w14:paraId="6E83DB23" w14:textId="77777777" w:rsidTr="00CD71D0">
        <w:trPr>
          <w:cantSplit/>
          <w:trHeight w:val="217"/>
          <w:jc w:val="center"/>
        </w:trPr>
        <w:tc>
          <w:tcPr>
            <w:tcW w:w="0" w:type="auto"/>
            <w:gridSpan w:val="4"/>
            <w:tcBorders>
              <w:top w:val="nil"/>
              <w:left w:val="nil"/>
              <w:bottom w:val="nil"/>
              <w:right w:val="nil"/>
            </w:tcBorders>
            <w:shd w:val="clear" w:color="auto" w:fill="FFFFFF"/>
            <w:tcMar>
              <w:top w:w="0" w:type="dxa"/>
              <w:left w:w="108" w:type="dxa"/>
              <w:bottom w:w="0" w:type="dxa"/>
              <w:right w:w="108" w:type="dxa"/>
            </w:tcMar>
          </w:tcPr>
          <w:p w14:paraId="2656E45F" w14:textId="77777777" w:rsidR="00067F43" w:rsidRPr="00EA48D3" w:rsidRDefault="00067F43" w:rsidP="00403F17">
            <w:pPr>
              <w:snapToGrid w:val="0"/>
              <w:spacing w:after="0" w:line="276" w:lineRule="auto"/>
              <w:jc w:val="left"/>
              <w:rPr>
                <w:rFonts w:eastAsia="Calibri" w:cs="Arial"/>
                <w:bCs/>
                <w:sz w:val="16"/>
                <w:szCs w:val="16"/>
                <w:lang w:val="en-US"/>
              </w:rPr>
            </w:pPr>
            <w:r w:rsidRPr="00EA48D3">
              <w:rPr>
                <w:rFonts w:eastAsia="Calibri" w:cs="Arial"/>
                <w:bCs/>
                <w:sz w:val="16"/>
                <w:szCs w:val="16"/>
              </w:rPr>
              <w:t>Πηγές</w:t>
            </w:r>
            <w:r w:rsidRPr="00EA48D3">
              <w:rPr>
                <w:rFonts w:eastAsia="Calibri" w:cs="Arial"/>
                <w:bCs/>
                <w:sz w:val="16"/>
                <w:szCs w:val="16"/>
                <w:lang w:val="en-US"/>
              </w:rPr>
              <w:t xml:space="preserve">: IMF, World Economic Outlook, </w:t>
            </w:r>
            <w:r w:rsidRPr="00EA48D3">
              <w:rPr>
                <w:rFonts w:eastAsia="Calibri" w:cs="Arial"/>
                <w:bCs/>
                <w:sz w:val="16"/>
                <w:szCs w:val="16"/>
              </w:rPr>
              <w:t>Ιούλιος</w:t>
            </w:r>
            <w:r w:rsidRPr="00EA48D3">
              <w:rPr>
                <w:rFonts w:eastAsia="Calibri" w:cs="Arial"/>
                <w:bCs/>
                <w:sz w:val="16"/>
                <w:szCs w:val="16"/>
                <w:lang w:val="en-US"/>
              </w:rPr>
              <w:t xml:space="preserve"> 2025</w:t>
            </w:r>
          </w:p>
        </w:tc>
      </w:tr>
    </w:tbl>
    <w:p w14:paraId="28BC07CF" w14:textId="67C7746A" w:rsidR="003903AA" w:rsidRPr="00BC6D7C" w:rsidRDefault="003903AA" w:rsidP="00403BBA">
      <w:pPr>
        <w:spacing w:before="240"/>
      </w:pPr>
      <w:r w:rsidRPr="00BC6D7C">
        <w:t>Ο πληθωρισμός, σύμφωνα με τις εαρινές οικονομικές προβλέψεις της Ευρωπαϊκής Επιτροπής, αναμένεται να υποχωρήσει στη μεν ΕΕ από 2,6% το 2024 σε 2,3% το 2025 και σε 1,9% το 2026, στη δε Ευρωζώνη από 2,4% το 2024 σε 2,1% το 2025 και σε 1,7% το 2026. Καθοδικές πιέσεις ασκούν οι σημαντικά χαμηλότερες τιμές των ενεργειακών προϊόντων, οι εμπορικές σχέσεις ΗΠΑ</w:t>
      </w:r>
      <w:r w:rsidR="00FD0F61">
        <w:t xml:space="preserve"> </w:t>
      </w:r>
      <w:r w:rsidR="00D232C0">
        <w:t>-</w:t>
      </w:r>
      <w:r w:rsidR="00FD0F61">
        <w:t xml:space="preserve"> </w:t>
      </w:r>
      <w:r w:rsidRPr="00BC6D7C">
        <w:t>Κίνας</w:t>
      </w:r>
      <w:r w:rsidR="00D232C0">
        <w:t xml:space="preserve">, οι οποίες </w:t>
      </w:r>
      <w:r w:rsidRPr="00BC6D7C">
        <w:t>εντείνουν τον ανταγωνισμό στα μη ενεργειακά βιομηχανικά αγαθά στην ΕΕ και η ανατίμηση του ευρώ και άλλων νομισμάτων της ΕΕ. Οι αποπληθωριστικές αυτές δυνάμεις αντισταθμίζονται εν μέρει από τον υψηλότερο πληθωρισμό σε τρόφιμα και υπηρεσίες.</w:t>
      </w:r>
    </w:p>
    <w:p w14:paraId="50846611" w14:textId="73049CF6" w:rsidR="003903AA" w:rsidRPr="00BC6D7C" w:rsidRDefault="003903AA" w:rsidP="003903AA">
      <w:bookmarkStart w:id="27" w:name="_Hlk203034356"/>
      <w:r w:rsidRPr="00BC6D7C">
        <w:t>Σύμφωνα με τις προβλέψεις της Ευρωπαϊκής Κεντρικής Τράπεζας</w:t>
      </w:r>
      <w:r w:rsidR="004F6F96">
        <w:t xml:space="preserve"> - </w:t>
      </w:r>
      <w:r w:rsidR="00DC795E">
        <w:t xml:space="preserve">ΕΚΤ </w:t>
      </w:r>
      <w:r w:rsidR="004F6F96">
        <w:t>(</w:t>
      </w:r>
      <w:r w:rsidRPr="00BC6D7C">
        <w:t>Σεπτέμβριο</w:t>
      </w:r>
      <w:r w:rsidR="004F6F96">
        <w:t>ς</w:t>
      </w:r>
      <w:r w:rsidRPr="00BC6D7C">
        <w:t xml:space="preserve"> 2025</w:t>
      </w:r>
      <w:bookmarkEnd w:id="27"/>
      <w:r w:rsidR="004F6F96">
        <w:t>)</w:t>
      </w:r>
      <w:r w:rsidRPr="00BC6D7C">
        <w:t xml:space="preserve">, ο ρυθμός ανάπτυξης της Ευρωζώνης προβλέπεται </w:t>
      </w:r>
      <w:r w:rsidR="00205251">
        <w:t xml:space="preserve">να διαμορφωθεί </w:t>
      </w:r>
      <w:r w:rsidRPr="00BC6D7C">
        <w:t>σε 1,2% το 2025 και σε 1,0% το 2026 έναντι 0,8% το 2024</w:t>
      </w:r>
      <w:r w:rsidR="00AE11B6">
        <w:t>, ενώ ο</w:t>
      </w:r>
      <w:r w:rsidRPr="00BC6D7C">
        <w:t xml:space="preserve"> πληθωρισμός </w:t>
      </w:r>
      <w:r w:rsidR="00205251" w:rsidRPr="00BC6D7C">
        <w:t xml:space="preserve">αναμένεται να αποκλιμακωθεί </w:t>
      </w:r>
      <w:r w:rsidRPr="00BC6D7C">
        <w:t xml:space="preserve">από 2,4% </w:t>
      </w:r>
      <w:r w:rsidR="00205251">
        <w:t>το</w:t>
      </w:r>
      <w:r w:rsidRPr="00BC6D7C">
        <w:t xml:space="preserve"> 2024 σε 2,1% το 2025 και </w:t>
      </w:r>
      <w:r w:rsidR="00205251">
        <w:t xml:space="preserve">περαιτέρω </w:t>
      </w:r>
      <w:r w:rsidRPr="00BC6D7C">
        <w:t>σε 1,7% το 2026.</w:t>
      </w:r>
    </w:p>
    <w:p w14:paraId="024C7A2A" w14:textId="1CA239EA" w:rsidR="003903AA" w:rsidRPr="00BC6D7C" w:rsidRDefault="003903AA" w:rsidP="003903AA">
      <w:r w:rsidRPr="00BC6D7C">
        <w:t xml:space="preserve">Στις προηγμένες οικονομίες, σύμφωνα με τις προβλέψεις του ΔΝΤ τον Ιούλιο 2025, ο ρυθμός αύξησης του ΑΕΠ εκτιμάται ότι θα υποχωρήσει από 1,8% το 2024 σε 1,5% το 2025 και θα αυξηθεί ελαφρώς σε 1,6% το 2026. Ειδικότερα, για τις ΗΠΑ ο ρυθμός αύξησης του ΑΕΠ αναμένεται να επιβραδυνθεί από 2,8% το 2024 σε 1,9% το 2025 και να ανακάμψει ελαφρώς σε 2,0% το 2026, κυρίως λόγω φορολογικών κινήτρων που αφορούν σε εταιρικές επενδύσεις. Για την Ιαπωνία </w:t>
      </w:r>
      <w:r w:rsidR="00205251">
        <w:t xml:space="preserve">ο </w:t>
      </w:r>
      <w:r w:rsidR="00205251" w:rsidRPr="00BC6D7C">
        <w:t xml:space="preserve">ρυθμός ανάπτυξης </w:t>
      </w:r>
      <w:r w:rsidRPr="00BC6D7C">
        <w:t xml:space="preserve">προβλέπεται </w:t>
      </w:r>
      <w:r w:rsidR="00205251">
        <w:t xml:space="preserve">να διαμορφωθεί </w:t>
      </w:r>
      <w:r w:rsidRPr="00BC6D7C">
        <w:t>από 0,2% το 2024 σε 0,7% το 2025 και σε 0,5% το 2026. Για τον Καναδά αναμένεται ρυθμός ανάπτυξης 1,6% τα έτη 2024 και 2025 και 1,9% το 2026. Για το Ηνωμένο Βασίλειο ο ρυθμός ανάπτυξης εκτιμάται ότι θα αυξηθεί από 1,1% το 2024 σε 1,2% το 2025 και σε 1,4% το 2026.</w:t>
      </w:r>
    </w:p>
    <w:p w14:paraId="4AF74485" w14:textId="2770EE3F" w:rsidR="003903AA" w:rsidRPr="00BC6D7C" w:rsidRDefault="003903AA" w:rsidP="003903AA">
      <w:r w:rsidRPr="00BC6D7C">
        <w:t xml:space="preserve">Στις αναδυόμενες αγορές και </w:t>
      </w:r>
      <w:r w:rsidR="00205251">
        <w:t xml:space="preserve">τις </w:t>
      </w:r>
      <w:r w:rsidRPr="00BC6D7C">
        <w:t>αναπτυσσόμενες οικονομίες, σύμφωνα με τις προβλέψεις του ΔΝΤ τον Ιούλιο 2025, ο ρυθμός αύξησης του ΑΕΠ αναμένεται να επιβραδυνθεί από 4,3% το 2024 σε 4,1% το 2025 και σε 4,0% το 2026. Ειδικότερα, για την Κίνα ο ρυθμός ανάπτυξης προβλέπεται να υποχωρήσει από 5,0% το 2024 σε 4,8% το 2025 και σε 4,2% το 2026. Οι προβλέψεις έχουν αναθεωρηθεί προς τα πάνω σε σύγκριση με τις προβλέψεις του Απριλίου</w:t>
      </w:r>
      <w:r w:rsidR="008E3310">
        <w:t>,</w:t>
      </w:r>
      <w:r w:rsidRPr="00BC6D7C">
        <w:t xml:space="preserve"> αντανακλώντας την ισχυρότερη από την αναμενόμενη δραστηριότητα κατά το </w:t>
      </w:r>
      <w:r w:rsidR="002467D5">
        <w:t>1ο</w:t>
      </w:r>
      <w:r w:rsidRPr="00BC6D7C">
        <w:t xml:space="preserve"> εξάμηνο του 2025 καθώς και τη σημαντική μείωση των δασμών ΗΠΑ</w:t>
      </w:r>
      <w:r w:rsidR="00550AA8">
        <w:t xml:space="preserve"> </w:t>
      </w:r>
      <w:r w:rsidRPr="00BC6D7C">
        <w:t>-</w:t>
      </w:r>
      <w:r w:rsidR="00550AA8">
        <w:t xml:space="preserve"> </w:t>
      </w:r>
      <w:r w:rsidRPr="00BC6D7C">
        <w:t>Κίνας. Για την Ινδία προβλέπεται μείωση του ρυθμού ανάπτυξης από 6,5% το 2024 σε 6,4% τα έτη 2025 και 2026, ωστόσο, η χώρα εκτιμάται ότι θα παραμείνει η ταχύτερα αναπτυσσόμενη μεγάλη οικονομία παγκοσμίως. Οι προβλέψεις έχουν αναθεωρηθεί ελαφρώς προς τα πάνω</w:t>
      </w:r>
      <w:r w:rsidR="00841D9B">
        <w:t>,</w:t>
      </w:r>
      <w:r w:rsidRPr="00BC6D7C">
        <w:t xml:space="preserve"> αντ</w:t>
      </w:r>
      <w:r w:rsidR="00550AA8">
        <w:t>ικατοπτρίζοντας</w:t>
      </w:r>
      <w:r w:rsidRPr="00BC6D7C">
        <w:t xml:space="preserve"> </w:t>
      </w:r>
      <w:r w:rsidRPr="00BC6D7C">
        <w:lastRenderedPageBreak/>
        <w:t>ένα ευνοϊκότερο εξωτερικό περιβάλλον σε σύγκριση με εκείνο που είχε ληφθεί υπόψη στις προβλέψεις του Απριλίου.</w:t>
      </w:r>
    </w:p>
    <w:p w14:paraId="0B0C830E" w14:textId="0C7B4AC4" w:rsidR="003903AA" w:rsidRPr="00BC6D7C" w:rsidRDefault="003903AA" w:rsidP="003903AA">
      <w:r w:rsidRPr="00BC6D7C">
        <w:t xml:space="preserve">Σύμφωνα με τις προβλέψεις του ΔΝΤ τον Ιούλιο 2025, ο ρυθμός αύξησης του παγκόσμιου εμπορίου αγαθών και υπηρεσιών σε όρους όγκου εκτιμάται ότι θα επιβραδυνθεί από 3,5% το 2024 σε 2,6% το 2025 και περαιτέρω σε 1,9% το 2026. Ο όγκος του παγκόσμιου εμπορίου αυξήθηκε στις αρχές του 2025 λόγω προαγορών εν όψει δασμών, ωστόσο το φαινόμενο αυτό αναμένεται να εξασθενήσει. Για τις προηγμένες οικονομίες προβλέπεται υποχώρηση από 2,0% το 2024 σε 1,8% το 2025 και σε 1,2% το 2026 και για τις αναδυόμενες αγορές και </w:t>
      </w:r>
      <w:r w:rsidR="00550AA8">
        <w:t xml:space="preserve">τις </w:t>
      </w:r>
      <w:r w:rsidRPr="00BC6D7C">
        <w:t>αναπτυσσόμενες οικονομίες αναμένεται επίσης επιβράδυνση από 5,8% το 2024 σε 3,8% το 2025 και σε 3,2% το 2026.</w:t>
      </w:r>
    </w:p>
    <w:p w14:paraId="7A0C674E" w14:textId="2EEE713F" w:rsidR="003903AA" w:rsidRPr="00BC6D7C" w:rsidRDefault="003903AA" w:rsidP="003903AA">
      <w:r w:rsidRPr="00BC6D7C">
        <w:t>Σύμφωνα με τις προβλέψεις της Ε</w:t>
      </w:r>
      <w:r w:rsidR="00550AA8">
        <w:t>ΚΤ</w:t>
      </w:r>
      <w:r w:rsidRPr="00BC6D7C">
        <w:t xml:space="preserve"> τον Σεπτέμβριο 2025, ο ρυθμός αύξησης του παγκόσμιου εμπορίου (εξαιρουμένης της Ευρωζώνης) αναμένεται να μειωθεί από 4,2% το 2024 σε 2,8% το 2025 και περαιτέρω σε 1,5% το 2026. Ο ρυθμός αύξησης της εξωτερικής ζήτησης της Ευρωζώνης προβλέπεται να περιοριστεί από 3,6% το 2024 σε 2,8% το 2025 και σε 1,4% το 2026.</w:t>
      </w:r>
    </w:p>
    <w:p w14:paraId="48E41685" w14:textId="3902F8CD" w:rsidR="003903AA" w:rsidRPr="00BC6D7C" w:rsidRDefault="003903AA" w:rsidP="003903AA">
      <w:r w:rsidRPr="00BC6D7C">
        <w:t xml:space="preserve">Ο παγκόσμιος πληθωρισμός, σύμφωνα με τις προβλέψεις του ΔΝΤ τον Ιούλιο 2025, </w:t>
      </w:r>
      <w:r w:rsidR="00694685">
        <w:t xml:space="preserve">αναμένεται να </w:t>
      </w:r>
      <w:r w:rsidRPr="00BC6D7C">
        <w:t xml:space="preserve">αποκλιμακωθεί σε 4,2% το 2025 και </w:t>
      </w:r>
      <w:r w:rsidR="00694685">
        <w:t xml:space="preserve">να </w:t>
      </w:r>
      <w:r w:rsidRPr="00BC6D7C">
        <w:t>υποχωρήσει σε 3,6% το 2026 έναντι 5,6% το 2024, με αξιοσημείωτες</w:t>
      </w:r>
      <w:r w:rsidRPr="003105D7">
        <w:t xml:space="preserve"> </w:t>
      </w:r>
      <w:r w:rsidRPr="00BC6D7C">
        <w:t xml:space="preserve">ωστόσο αποκλίσεις μεταξύ των χωρών. Στις προηγμένες οικονομίες ο πληθωρισμός προβλέπεται να μειωθεί από 2,6% το 2024 σε 2,5% το 2025 και σε 2,1% το 2026, ενώ στις αναδυόμενες αγορές και </w:t>
      </w:r>
      <w:r w:rsidR="00FB7B92">
        <w:t xml:space="preserve">τις </w:t>
      </w:r>
      <w:r w:rsidRPr="00BC6D7C">
        <w:t>αναπτυσσόμενες οικονομίες</w:t>
      </w:r>
      <w:r>
        <w:t xml:space="preserve"> προβλέπεται</w:t>
      </w:r>
      <w:r w:rsidRPr="00BC6D7C">
        <w:t xml:space="preserve"> να παραμείνει υψηλότερος σε σύγκριση με τις προηγμένες οικονομίες και να υποχωρήσει από 7,7% το 2024 σε 5,4% το 2025 και να αποκλιμακωθεί περαιτέρω σε 4,5% το 2026.</w:t>
      </w:r>
    </w:p>
    <w:p w14:paraId="7140B778" w14:textId="473DFA47" w:rsidR="003903AA" w:rsidRPr="00BC6D7C" w:rsidRDefault="003903AA" w:rsidP="003903AA">
      <w:r w:rsidRPr="00BC6D7C">
        <w:t>Σύμφωνα με τις εαρινές οικονομικές προβλέψεις της Ευρωπαϊκής Επιτροπής, η μέση τιμή του αργού πετρελαίου βρίσκεται σε καθοδική τροχιά και από 80,5 δολάρια το βαρέλι το 2024 προβλέπεται να μειωθεί σε 67,7 δολάρια το βαρέλι το 2025 και σε 64,0 δολάρια το βαρέλι το 2026. Οι προβλέψεις για τις τιμές του πετρελαίου εμφανίζονται μειωμένες σε σχέση με εκείνες του φθιν</w:t>
      </w:r>
      <w:r w:rsidR="00FB7B92">
        <w:t>ό</w:t>
      </w:r>
      <w:r w:rsidRPr="00BC6D7C">
        <w:t>π</w:t>
      </w:r>
      <w:r w:rsidR="00FB7B92">
        <w:t>ω</w:t>
      </w:r>
      <w:r w:rsidRPr="00BC6D7C">
        <w:t xml:space="preserve">ρου, </w:t>
      </w:r>
      <w:r w:rsidR="003D7076">
        <w:t xml:space="preserve">λαμβανομένων υπόψη των εκτιμήσεων </w:t>
      </w:r>
      <w:r w:rsidRPr="00BC6D7C">
        <w:t>για εξασθένηση της παγκόσμιας ζήτησης.</w:t>
      </w:r>
    </w:p>
    <w:p w14:paraId="5ACB578D" w14:textId="140C3CCA" w:rsidR="003903AA" w:rsidRDefault="003903AA" w:rsidP="003903AA">
      <w:r w:rsidRPr="00BC6D7C">
        <w:t xml:space="preserve">Η παγκόσμια οικονομία σε συνέχεια των </w:t>
      </w:r>
      <w:r w:rsidR="00A57C42">
        <w:t>αναταραχών</w:t>
      </w:r>
      <w:r w:rsidRPr="00BC6D7C">
        <w:t xml:space="preserve"> που προκάλεσαν </w:t>
      </w:r>
      <w:r>
        <w:t>η</w:t>
      </w:r>
      <w:r w:rsidRPr="00BC6D7C">
        <w:t xml:space="preserve"> πανδημία και η ενεργειακή κρίση</w:t>
      </w:r>
      <w:r w:rsidR="00984E8C">
        <w:t>,</w:t>
      </w:r>
      <w:r w:rsidRPr="00BC6D7C">
        <w:t xml:space="preserve"> καλείται να αντιμετωπίσει μία σειρά νέων προκλήσεων</w:t>
      </w:r>
      <w:r w:rsidR="00A57C42">
        <w:t>,</w:t>
      </w:r>
      <w:r w:rsidRPr="00BC6D7C">
        <w:t xml:space="preserve"> οι οποίες αυξάνουν τον βαθμό αβεβαιότητας για τις διεθνείς οικονομικές προοπτικές. Η έλλειψη σταθερότητας και προβλεψιμότητας που χαρακτηρίζει το παγκόσμιο δασμολογικό πλαίσιο από τις αρχές του 2025</w:t>
      </w:r>
      <w:r w:rsidR="00A57C42">
        <w:t>,</w:t>
      </w:r>
      <w:r w:rsidRPr="00BC6D7C">
        <w:t xml:space="preserve"> αναμένεται να επιβ</w:t>
      </w:r>
      <w:r w:rsidR="003D7076">
        <w:t>ρ</w:t>
      </w:r>
      <w:r w:rsidRPr="00BC6D7C">
        <w:t>α</w:t>
      </w:r>
      <w:r w:rsidR="003D7076">
        <w:t>δ</w:t>
      </w:r>
      <w:r w:rsidRPr="00BC6D7C">
        <w:t xml:space="preserve">ύνει το διεθνές εμπόριο και τις επιχειρηματικές επενδύσεις με άμεσες </w:t>
      </w:r>
      <w:r w:rsidR="00A57C42">
        <w:t>επιπτώσεις</w:t>
      </w:r>
      <w:r w:rsidRPr="00BC6D7C">
        <w:t> </w:t>
      </w:r>
      <w:r w:rsidR="00A57C42">
        <w:t xml:space="preserve">στην </w:t>
      </w:r>
      <w:r w:rsidRPr="00BC6D7C">
        <w:t xml:space="preserve">παγκόσμια οικονομία. Επίσης, η κλιμάκωση των γεωπολιτικών εντάσεων θα μπορούσε να προκαλέσει νέους κραδασμούς στην παγκόσμια οικονομία επηρεάζοντας δυσμενώς </w:t>
      </w:r>
      <w:r w:rsidR="00A57C42">
        <w:t xml:space="preserve">τις </w:t>
      </w:r>
      <w:r w:rsidRPr="00BC6D7C">
        <w:t>θαλάσσι</w:t>
      </w:r>
      <w:r w:rsidR="00A57C42">
        <w:t>ες οδούς</w:t>
      </w:r>
      <w:r w:rsidRPr="00BC6D7C">
        <w:t>, τις αλυσίδες εφοδιασμού και κατά συνέπεια τις τιμές των βασικών προϊόντων και</w:t>
      </w:r>
      <w:r>
        <w:t xml:space="preserve"> εν γένει</w:t>
      </w:r>
      <w:r w:rsidR="003D7076">
        <w:t xml:space="preserve"> την</w:t>
      </w:r>
      <w:r w:rsidRPr="00BC6D7C">
        <w:t xml:space="preserve"> ανάπτυξη. Επιπλέον, η αυξανόμενη συχνότητα και</w:t>
      </w:r>
      <w:r w:rsidR="00A57C42">
        <w:t xml:space="preserve"> η</w:t>
      </w:r>
      <w:r w:rsidRPr="00BC6D7C">
        <w:t xml:space="preserve"> ένταση ακραίων κλιματικών φαινομένων αποτελούν</w:t>
      </w:r>
      <w:r>
        <w:t xml:space="preserve"> έναν επιπ</w:t>
      </w:r>
      <w:r w:rsidR="00A57C42">
        <w:t>ρόσθετο</w:t>
      </w:r>
      <w:r w:rsidR="003D2DF5">
        <w:t>,</w:t>
      </w:r>
      <w:r w:rsidR="00A57C42">
        <w:t xml:space="preserve"> </w:t>
      </w:r>
      <w:r w:rsidR="003D2DF5">
        <w:t xml:space="preserve">παγιωμένο </w:t>
      </w:r>
      <w:r>
        <w:t>κίνδυνο</w:t>
      </w:r>
      <w:r w:rsidRPr="00BC6D7C">
        <w:t xml:space="preserve"> με απρόβλεπτες και σοβαρές </w:t>
      </w:r>
      <w:r w:rsidR="003D2DF5">
        <w:t xml:space="preserve">επιπτώσεις </w:t>
      </w:r>
      <w:r w:rsidRPr="00BC6D7C">
        <w:t>στην οικονομική δραστηριότητα. Από την άλλη πλευρά, η άμβλυνση των εμπορικών εντάσεων μέσω ενός προβλέψιμου πλαισίου εμπορικών συμφωνιών με χαμηλά επίπεδα δασμών καθώς και η ενδεχόμενη αποκλιμάκωση των γεωπολιτικών εντάσεων θα αποτελούσαν ευνοϊκ</w:t>
      </w:r>
      <w:r w:rsidR="003D2DF5">
        <w:t xml:space="preserve">ές παραμέτρους </w:t>
      </w:r>
      <w:r w:rsidRPr="00BC6D7C">
        <w:t xml:space="preserve">για την παγκόσμια οικονομία, περιορίζοντας την αβεβαιότητα και </w:t>
      </w:r>
      <w:r w:rsidR="003D2DF5">
        <w:t xml:space="preserve">προάγοντας </w:t>
      </w:r>
      <w:r w:rsidRPr="00BC6D7C">
        <w:t>τις επενδύσεις και την ανάπτυξη.</w:t>
      </w:r>
    </w:p>
    <w:p w14:paraId="45EA97DC" w14:textId="27CDB345" w:rsidR="003903AA" w:rsidRPr="0025392F" w:rsidRDefault="003903AA" w:rsidP="003903AA">
      <w:r w:rsidRPr="0025392F">
        <w:t>Η ελληνική οικονομία προβλέπεται το 2026 να διατηρήσει ισχυρή αναπτυξιακή δυναμική</w:t>
      </w:r>
      <w:r w:rsidR="00BB6AAE">
        <w:t>,</w:t>
      </w:r>
      <w:r w:rsidRPr="0025392F">
        <w:t xml:space="preserve"> παρά τους συνεχιζόμενους εξωγενείς παράγοντες αστάθειας και προκλήσεων, </w:t>
      </w:r>
      <w:r w:rsidR="003D7076">
        <w:t>εξακολουθώντας να επιδεικνύει</w:t>
      </w:r>
      <w:r>
        <w:t xml:space="preserve"> </w:t>
      </w:r>
      <w:r w:rsidRPr="0025392F">
        <w:t>την ανθεκτικότητα που επέδειξε</w:t>
      </w:r>
      <w:r w:rsidR="003D7076">
        <w:t xml:space="preserve"> και</w:t>
      </w:r>
      <w:r w:rsidRPr="0025392F">
        <w:t xml:space="preserve"> στις προηγούμενες εξωγενείς κρίσεις. Το πραγματικό ΑΕΠ το 2026 προβλέπεται να αυξηθεί κατά 2,4% σε ετήσια βάση, σηματοδοτώντας το </w:t>
      </w:r>
      <w:r w:rsidR="003D7076">
        <w:t>έκτο</w:t>
      </w:r>
      <w:r w:rsidRPr="0025392F">
        <w:t xml:space="preserve"> διαδοχικό έτος με ρυθμό ανάπτυξης άνω του 2% </w:t>
      </w:r>
      <w:r w:rsidR="00E36E1D">
        <w:t>και</w:t>
      </w:r>
      <w:r w:rsidRPr="0025392F">
        <w:t xml:space="preserve"> εμφανίζοντας επιτάχυνση έναντι του 2025 (2,2%).</w:t>
      </w:r>
    </w:p>
    <w:p w14:paraId="17CC7AA5" w14:textId="13ECB687" w:rsidR="00EB651C" w:rsidRDefault="003903AA" w:rsidP="003903AA">
      <w:r w:rsidRPr="0025392F">
        <w:t xml:space="preserve">Η επιτάχυνση της πραγματικής ανάπτυξης το 2026 εδράζεται </w:t>
      </w:r>
      <w:r w:rsidR="007C085A">
        <w:t xml:space="preserve">στους ακόλουθους </w:t>
      </w:r>
      <w:r w:rsidRPr="0025392F">
        <w:t>βασικούς άξονες ανθεκτικότητας</w:t>
      </w:r>
      <w:r w:rsidR="00671262">
        <w:t>:</w:t>
      </w:r>
    </w:p>
    <w:p w14:paraId="0E1359B2" w14:textId="51B8C1B0" w:rsidR="00EB651C" w:rsidRPr="00491B89" w:rsidRDefault="00EB651C" w:rsidP="00491B89">
      <w:pPr>
        <w:numPr>
          <w:ilvl w:val="0"/>
          <w:numId w:val="1"/>
        </w:numPr>
        <w:spacing w:before="120" w:after="60"/>
        <w:ind w:left="568" w:hanging="284"/>
        <w:rPr>
          <w:rFonts w:cs="Arial"/>
          <w:szCs w:val="22"/>
        </w:rPr>
      </w:pPr>
      <w:r w:rsidRPr="00491B89">
        <w:rPr>
          <w:rFonts w:cs="Arial"/>
          <w:szCs w:val="22"/>
        </w:rPr>
        <w:lastRenderedPageBreak/>
        <w:t>στις νέες κυβερνητικές παρεμβάσεις μείωσης των φορολογικών βαρών και ενίσχυσης των εισοδημάτων και των επενδύσεων,</w:t>
      </w:r>
    </w:p>
    <w:p w14:paraId="37EB6144" w14:textId="10240637" w:rsidR="00EB651C" w:rsidRPr="00491B89" w:rsidRDefault="00EB651C" w:rsidP="00491B89">
      <w:pPr>
        <w:numPr>
          <w:ilvl w:val="0"/>
          <w:numId w:val="1"/>
        </w:numPr>
        <w:spacing w:before="60" w:after="60"/>
        <w:ind w:left="568" w:hanging="284"/>
        <w:rPr>
          <w:rFonts w:cs="Arial"/>
          <w:szCs w:val="22"/>
        </w:rPr>
      </w:pPr>
      <w:r w:rsidRPr="00491B89">
        <w:rPr>
          <w:rFonts w:cs="Arial"/>
          <w:szCs w:val="22"/>
        </w:rPr>
        <w:t>στη συνεχιζόμενη επέκταση της αγοράς εργασίας,</w:t>
      </w:r>
    </w:p>
    <w:p w14:paraId="1658C1DE" w14:textId="77777777" w:rsidR="00EB651C" w:rsidRPr="00491B89" w:rsidRDefault="00EB651C" w:rsidP="00491B89">
      <w:pPr>
        <w:numPr>
          <w:ilvl w:val="0"/>
          <w:numId w:val="1"/>
        </w:numPr>
        <w:spacing w:before="60" w:after="60"/>
        <w:ind w:left="568" w:hanging="284"/>
        <w:rPr>
          <w:rFonts w:cs="Arial"/>
          <w:szCs w:val="22"/>
        </w:rPr>
      </w:pPr>
      <w:r w:rsidRPr="00491B89">
        <w:rPr>
          <w:rFonts w:cs="Arial"/>
          <w:szCs w:val="22"/>
        </w:rPr>
        <w:t>στην αξιοποίηση των ευρωπαϊκών πόρων του ΤΑΑ/Next Generation EU (NGEU) και</w:t>
      </w:r>
    </w:p>
    <w:p w14:paraId="75FC8492" w14:textId="3E9FDFC8" w:rsidR="00EB651C" w:rsidRPr="00491B89" w:rsidRDefault="00EB651C" w:rsidP="00491B89">
      <w:pPr>
        <w:numPr>
          <w:ilvl w:val="0"/>
          <w:numId w:val="1"/>
        </w:numPr>
        <w:spacing w:before="60"/>
        <w:ind w:left="568" w:hanging="284"/>
        <w:rPr>
          <w:rFonts w:cs="Arial"/>
          <w:szCs w:val="22"/>
        </w:rPr>
      </w:pPr>
      <w:r w:rsidRPr="00491B89">
        <w:rPr>
          <w:rFonts w:cs="Arial"/>
          <w:szCs w:val="22"/>
        </w:rPr>
        <w:t>στην προοδευτική αναβάθμιση της παραγωγικής βάσης μέσω των διαρθρωτικών μεταρρυθμίσεων.</w:t>
      </w:r>
    </w:p>
    <w:p w14:paraId="08581CD1" w14:textId="6E3B1A73" w:rsidR="003903AA" w:rsidRPr="0025392F" w:rsidRDefault="00805234" w:rsidP="000E7EB0">
      <w:r>
        <w:t>Λαμβ</w:t>
      </w:r>
      <w:r w:rsidR="000E7EB0">
        <w:t xml:space="preserve">ανομένων </w:t>
      </w:r>
      <w:r>
        <w:t xml:space="preserve">υπόψη τόσο </w:t>
      </w:r>
      <w:r w:rsidR="000E7EB0">
        <w:t xml:space="preserve">της </w:t>
      </w:r>
      <w:r>
        <w:t>δυναμική</w:t>
      </w:r>
      <w:r w:rsidR="000E7EB0">
        <w:t>ς</w:t>
      </w:r>
      <w:r>
        <w:t xml:space="preserve"> των ιδιωτικών επενδύσεων όσο και τ</w:t>
      </w:r>
      <w:r w:rsidR="000E7EB0">
        <w:t xml:space="preserve">ων </w:t>
      </w:r>
      <w:r>
        <w:t>αυξημέν</w:t>
      </w:r>
      <w:r w:rsidR="000E7EB0">
        <w:t>ων</w:t>
      </w:r>
      <w:r>
        <w:t xml:space="preserve"> πόρ</w:t>
      </w:r>
      <w:r w:rsidR="000E7EB0">
        <w:t>ων</w:t>
      </w:r>
      <w:r>
        <w:t xml:space="preserve"> του</w:t>
      </w:r>
      <w:r w:rsidRPr="0025392F">
        <w:t xml:space="preserve"> Τ</w:t>
      </w:r>
      <w:r>
        <w:t xml:space="preserve">ΑΑ, </w:t>
      </w:r>
      <w:r w:rsidR="00581F39">
        <w:t>καθώς</w:t>
      </w:r>
      <w:r w:rsidR="000E7EB0">
        <w:t xml:space="preserve"> </w:t>
      </w:r>
      <w:r w:rsidRPr="0025392F">
        <w:t xml:space="preserve">το Πρόγραμμα </w:t>
      </w:r>
      <w:r>
        <w:t>«</w:t>
      </w:r>
      <w:r w:rsidRPr="0025392F">
        <w:t>Ελλάδα 2.0</w:t>
      </w:r>
      <w:r>
        <w:t>»</w:t>
      </w:r>
      <w:r w:rsidRPr="0025392F">
        <w:t xml:space="preserve"> προσεγγίζει τον ορίζοντα υλοποίησής του</w:t>
      </w:r>
      <w:r>
        <w:t xml:space="preserve">, ο ρυθμός αύξησης του ακαθάριστου σχηματισμού παγίου κεφαλαίου αναμένεται να διαμορφωθεί </w:t>
      </w:r>
      <w:r w:rsidR="003903AA" w:rsidRPr="0025392F">
        <w:t xml:space="preserve">το 2026 σε 10,2% έναντι 5,7% το 2025. Η διψήφια αύξηση των συνολικών επενδύσεων </w:t>
      </w:r>
      <w:r w:rsidR="0058370F">
        <w:t xml:space="preserve">καταδεικνύει τις </w:t>
      </w:r>
      <w:r w:rsidR="003903AA" w:rsidRPr="0025392F">
        <w:t xml:space="preserve">θετικές εξελίξεις σε όλες τις κατηγορίες επενδύσεων, </w:t>
      </w:r>
      <w:r w:rsidR="0058370F">
        <w:t>επισημαίνεται δε ότι</w:t>
      </w:r>
      <w:r w:rsidR="009F148B">
        <w:t xml:space="preserve"> </w:t>
      </w:r>
      <w:r w:rsidR="0058370F">
        <w:t>το 50</w:t>
      </w:r>
      <w:r w:rsidR="009F148B">
        <w:t xml:space="preserve">% </w:t>
      </w:r>
      <w:r w:rsidR="003903AA" w:rsidRPr="0025392F">
        <w:t xml:space="preserve">περίπου της αύξησης </w:t>
      </w:r>
      <w:r w:rsidR="000E7EB0">
        <w:t>προέρχεται από τ</w:t>
      </w:r>
      <w:r w:rsidR="003903AA" w:rsidRPr="0025392F">
        <w:t xml:space="preserve">ις επενδύσεις σε κατασκευές (μεταβολή 13,8% σε ετήσια βάση) και το </w:t>
      </w:r>
      <w:r w:rsidR="009F148B">
        <w:t>υπόλοιπο 50%</w:t>
      </w:r>
      <w:r w:rsidR="003903AA" w:rsidRPr="0025392F">
        <w:t xml:space="preserve"> </w:t>
      </w:r>
      <w:r w:rsidR="000E7EB0">
        <w:t xml:space="preserve">από </w:t>
      </w:r>
      <w:r w:rsidR="004627BB">
        <w:t xml:space="preserve">τις </w:t>
      </w:r>
      <w:r w:rsidR="003903AA" w:rsidRPr="0025392F">
        <w:t xml:space="preserve">επενδύσεις σε εξοπλισμό (μεταβολή 10,1% σε ετήσια βάση) και </w:t>
      </w:r>
      <w:r w:rsidR="000E7EB0">
        <w:t>από</w:t>
      </w:r>
      <w:r w:rsidR="003903AA" w:rsidRPr="0025392F">
        <w:t xml:space="preserve"> </w:t>
      </w:r>
      <w:r w:rsidR="004627BB">
        <w:t xml:space="preserve">τις </w:t>
      </w:r>
      <w:r w:rsidR="003903AA" w:rsidRPr="0025392F">
        <w:t>επενδύσεις σε αγροτικά και λοιπά αγαθά (μεταβολή 2,7% σε ετήσια βάση).</w:t>
      </w:r>
    </w:p>
    <w:p w14:paraId="37562EC8" w14:textId="2D85BCBB" w:rsidR="003903AA" w:rsidRDefault="003903AA" w:rsidP="00EA48D3">
      <w:pPr>
        <w:spacing w:after="240"/>
      </w:pPr>
      <w:r w:rsidRPr="0025392F">
        <w:t>Ως εκ τούτου, οι επενδύσεις προβλέπεται να αποτελέσουν τον κύριο μοχλό ανάπτυξης για το 2026</w:t>
      </w:r>
      <w:r w:rsidR="000E0CCA">
        <w:t>,</w:t>
      </w:r>
      <w:r w:rsidRPr="0025392F">
        <w:t xml:space="preserve"> συμβάλλοντας στην ετήσια πραγματική ανάπτυξη κατά 1,7 ποσοστιαίες μονάδες. Το αρνητικό επενδυτικό κενό της Ελλάδας απέναντι στην Ευρωζώνη, το οποίο βαίνει συνεχώς βελτιούμενο από το 2019, αναμένεται στο τέλος του 2026 να έχει συρρικνωθεί</w:t>
      </w:r>
      <w:r w:rsidR="00970DEE">
        <w:t xml:space="preserve"> σ</w:t>
      </w:r>
      <w:r w:rsidRPr="0025392F">
        <w:t>το μικρότερο μέγεθος για όλη την περίοδο από την έναρξη της οικονομικής προσαρμογής.</w:t>
      </w:r>
      <w:r>
        <w:t xml:space="preserve"> </w:t>
      </w:r>
      <w:r w:rsidR="009F148B">
        <w:t xml:space="preserve">Οι εν λόγω εξελίξεις αντανακλούν </w:t>
      </w:r>
      <w:r w:rsidRPr="0025392F">
        <w:t>την άνοδο των πραγματικών επενδύσεων στην Ελλάδα σε ποσοστό 18,0% του ΑΕΠ το 2026</w:t>
      </w:r>
      <w:r w:rsidR="008E180B">
        <w:t>, σε ονομαστικούς δε όρους σε ποσοστό 16,8% του ΑΕΠ το 2026 έναντι 15,7% το 2025</w:t>
      </w:r>
      <w:r w:rsidRPr="0025392F">
        <w:t xml:space="preserve">, </w:t>
      </w:r>
      <w:r w:rsidR="00CE64AC">
        <w:t xml:space="preserve">που αποτελεί </w:t>
      </w:r>
      <w:r w:rsidRPr="0025392F">
        <w:t xml:space="preserve">το υψηλότερο ποσοστό </w:t>
      </w:r>
      <w:r w:rsidR="008E180B">
        <w:t xml:space="preserve">από </w:t>
      </w:r>
      <w:r w:rsidRPr="0025392F">
        <w:t>το 20</w:t>
      </w:r>
      <w:r w:rsidR="008E180B">
        <w:t>1</w:t>
      </w:r>
      <w:r w:rsidRPr="0025392F">
        <w:t>0.</w:t>
      </w:r>
    </w:p>
    <w:p w14:paraId="004D729F" w14:textId="26A67682" w:rsidR="00A27F80" w:rsidRPr="0025392F" w:rsidRDefault="00A27F80" w:rsidP="00A27F80">
      <w:pPr>
        <w:keepNext/>
        <w:keepLines/>
        <w:spacing w:after="0" w:line="276" w:lineRule="auto"/>
        <w:jc w:val="center"/>
        <w:rPr>
          <w:rFonts w:cs="Arial"/>
          <w:b/>
          <w:bCs/>
          <w:sz w:val="18"/>
          <w:szCs w:val="18"/>
        </w:rPr>
      </w:pPr>
      <w:bookmarkStart w:id="28" w:name="_Toc210570706"/>
      <w:r w:rsidRPr="00A27F80">
        <w:rPr>
          <w:b/>
          <w:sz w:val="18"/>
          <w:szCs w:val="18"/>
        </w:rPr>
        <w:t>Διάγραμμα 1.</w:t>
      </w:r>
      <w:r w:rsidR="00CC4105">
        <w:rPr>
          <w:b/>
          <w:sz w:val="18"/>
          <w:szCs w:val="18"/>
        </w:rPr>
        <w:fldChar w:fldCharType="begin"/>
      </w:r>
      <w:r w:rsidR="00CC4105">
        <w:rPr>
          <w:b/>
          <w:sz w:val="18"/>
          <w:szCs w:val="18"/>
        </w:rPr>
        <w:instrText xml:space="preserve"> SEQ Διάγραμμα_1. \* ARABIC </w:instrText>
      </w:r>
      <w:r w:rsidR="00CC4105">
        <w:rPr>
          <w:b/>
          <w:sz w:val="18"/>
          <w:szCs w:val="18"/>
        </w:rPr>
        <w:fldChar w:fldCharType="separate"/>
      </w:r>
      <w:r w:rsidR="00C42930">
        <w:rPr>
          <w:b/>
          <w:noProof/>
          <w:sz w:val="18"/>
          <w:szCs w:val="18"/>
        </w:rPr>
        <w:t>8</w:t>
      </w:r>
      <w:r w:rsidR="00CC4105">
        <w:rPr>
          <w:b/>
          <w:sz w:val="18"/>
          <w:szCs w:val="18"/>
        </w:rPr>
        <w:fldChar w:fldCharType="end"/>
      </w:r>
      <w:r w:rsidRPr="00A27F80">
        <w:rPr>
          <w:b/>
          <w:sz w:val="18"/>
          <w:szCs w:val="18"/>
        </w:rPr>
        <w:t>.:</w:t>
      </w:r>
      <w:r w:rsidRPr="00A27F80">
        <w:rPr>
          <w:b/>
          <w:bCs/>
          <w:sz w:val="18"/>
          <w:szCs w:val="18"/>
        </w:rPr>
        <w:t xml:space="preserve"> Το ε</w:t>
      </w:r>
      <w:r w:rsidRPr="00A27F80">
        <w:rPr>
          <w:rFonts w:cs="Arial"/>
          <w:b/>
          <w:bCs/>
          <w:sz w:val="18"/>
          <w:szCs w:val="18"/>
        </w:rPr>
        <w:t>πενδυτικό</w:t>
      </w:r>
      <w:r w:rsidRPr="0025392F">
        <w:rPr>
          <w:rFonts w:cs="Arial"/>
          <w:b/>
          <w:bCs/>
          <w:sz w:val="18"/>
          <w:szCs w:val="18"/>
        </w:rPr>
        <w:t xml:space="preserve"> κενό της Ελλάδας έναντι της Ευρωζώνης</w:t>
      </w:r>
      <w:bookmarkEnd w:id="28"/>
    </w:p>
    <w:p w14:paraId="3632E793" w14:textId="77777777" w:rsidR="00A27F80" w:rsidRPr="0025392F" w:rsidRDefault="00A27F80" w:rsidP="00A27F80">
      <w:pPr>
        <w:keepNext/>
        <w:keepLines/>
        <w:spacing w:after="60" w:line="276" w:lineRule="auto"/>
        <w:jc w:val="center"/>
        <w:rPr>
          <w:sz w:val="18"/>
          <w:szCs w:val="18"/>
          <w:highlight w:val="yellow"/>
        </w:rPr>
      </w:pPr>
      <w:r w:rsidRPr="0025392F">
        <w:rPr>
          <w:rFonts w:cs="Arial"/>
          <w:b/>
          <w:sz w:val="18"/>
          <w:szCs w:val="18"/>
        </w:rPr>
        <w:t>(σταθερές τιμές, μη εποχικά διορθωμένα στοιχεία)</w:t>
      </w:r>
    </w:p>
    <w:p w14:paraId="59EAB384" w14:textId="77777777" w:rsidR="003903AA" w:rsidRDefault="003903AA" w:rsidP="00EA48D3">
      <w:pPr>
        <w:spacing w:after="0" w:line="276" w:lineRule="auto"/>
        <w:jc w:val="center"/>
      </w:pPr>
      <w:r w:rsidRPr="0054135F">
        <w:rPr>
          <w:rFonts w:eastAsia="Calibri" w:cs="Arial"/>
          <w:noProof/>
          <w:sz w:val="16"/>
        </w:rPr>
        <w:drawing>
          <wp:inline distT="0" distB="0" distL="0" distR="0" wp14:anchorId="452F5363" wp14:editId="439EC5F2">
            <wp:extent cx="5759450" cy="2568271"/>
            <wp:effectExtent l="0" t="0" r="12700" b="3810"/>
            <wp:docPr id="16" name="Γράφημα 16">
              <a:extLst xmlns:a="http://schemas.openxmlformats.org/drawingml/2006/main">
                <a:ext uri="{FF2B5EF4-FFF2-40B4-BE49-F238E27FC236}">
                  <a16:creationId xmlns:a16="http://schemas.microsoft.com/office/drawing/2014/main" id="{A2422374-E712-438B-9351-8435FF844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F5B143" w14:textId="77777777" w:rsidR="003903AA" w:rsidRPr="0025392F" w:rsidRDefault="003903AA" w:rsidP="00A05C43">
      <w:pPr>
        <w:spacing w:before="60" w:after="0" w:line="276" w:lineRule="auto"/>
        <w:rPr>
          <w:rFonts w:cs="Arial"/>
          <w:sz w:val="16"/>
          <w:szCs w:val="16"/>
        </w:rPr>
      </w:pPr>
      <w:r w:rsidRPr="0025392F">
        <w:rPr>
          <w:rFonts w:cs="Arial"/>
          <w:sz w:val="16"/>
          <w:szCs w:val="16"/>
        </w:rPr>
        <w:t>Πηγή:</w:t>
      </w:r>
      <w:r w:rsidR="00A27F80">
        <w:rPr>
          <w:rFonts w:cs="Arial"/>
          <w:sz w:val="16"/>
          <w:szCs w:val="16"/>
        </w:rPr>
        <w:t xml:space="preserve"> </w:t>
      </w:r>
      <w:r w:rsidRPr="0025392F">
        <w:rPr>
          <w:rFonts w:cs="Arial"/>
          <w:sz w:val="16"/>
          <w:szCs w:val="16"/>
        </w:rPr>
        <w:t>Ετήσιοι Εθνικοί Λογαριασμοί (ΕΛΣΤΑΤ/</w:t>
      </w:r>
      <w:r w:rsidRPr="0025392F">
        <w:rPr>
          <w:rFonts w:cs="Arial"/>
          <w:sz w:val="16"/>
          <w:szCs w:val="16"/>
          <w:lang w:val="en-US"/>
        </w:rPr>
        <w:t>Eurostat</w:t>
      </w:r>
      <w:r w:rsidRPr="0025392F">
        <w:rPr>
          <w:rFonts w:cs="Arial"/>
          <w:sz w:val="16"/>
          <w:szCs w:val="16"/>
        </w:rPr>
        <w:t>), Εαρινές Οικονομικές Προβλέψεις Ευρωπαϊκής Επιτροπής, Προβλέψεις Υπουργείου Εθνικής Οικονομίας και Οικονομικών</w:t>
      </w:r>
    </w:p>
    <w:p w14:paraId="3B9E16CE" w14:textId="7D51D5A0" w:rsidR="003903AA" w:rsidRPr="0025392F" w:rsidRDefault="00B0076A" w:rsidP="00786DE8">
      <w:pPr>
        <w:spacing w:before="240"/>
      </w:pPr>
      <w:r>
        <w:t>Ο</w:t>
      </w:r>
      <w:r w:rsidR="005C3A06">
        <w:t xml:space="preserve">ι </w:t>
      </w:r>
      <w:r w:rsidR="003903AA" w:rsidRPr="0025392F">
        <w:t xml:space="preserve">νέες κυβερνητικές παρεμβάσεις, οι οποίες ανακοινώθηκαν στη Διεθνή Έκθεση Θεσσαλονίκης </w:t>
      </w:r>
      <w:r w:rsidR="005C3A06">
        <w:t xml:space="preserve">(ΔΕΘ) </w:t>
      </w:r>
      <w:r w:rsidR="003903AA" w:rsidRPr="0025392F">
        <w:t>2025,</w:t>
      </w:r>
      <w:r w:rsidR="003903AA">
        <w:t xml:space="preserve"> αποτελούν μόνιμα μέτρα στήριξης με έναρξη εφαρμογής το 2026 και ύψος 1,7</w:t>
      </w:r>
      <w:r>
        <w:t>6</w:t>
      </w:r>
      <w:r w:rsidR="003903AA">
        <w:t xml:space="preserve"> δισ. ευρώ για το πρώτο έτος</w:t>
      </w:r>
      <w:r w:rsidR="00125DC3">
        <w:t>,</w:t>
      </w:r>
      <w:r w:rsidR="003903AA">
        <w:t xml:space="preserve"> </w:t>
      </w:r>
      <w:r w:rsidR="005C3A06">
        <w:t>αποσκοπ</w:t>
      </w:r>
      <w:r w:rsidR="00142D44">
        <w:t>ώντας</w:t>
      </w:r>
      <w:r w:rsidR="005C3A06">
        <w:t xml:space="preserve"> </w:t>
      </w:r>
      <w:r w:rsidR="003903AA" w:rsidRPr="0025392F">
        <w:t>πρωτίστως στην ενίσχυση του εισοδήματος και στη μείωση των φορολογικών βαρών για το μεγαλύτερο μέρος του πληθυσμού. Στο επίκεντρ</w:t>
      </w:r>
      <w:r w:rsidR="005C3A06">
        <w:t>ό</w:t>
      </w:r>
      <w:r w:rsidR="003903AA" w:rsidRPr="0025392F">
        <w:t xml:space="preserve"> τους βρίσκεται η σημαντική αναμόρφωση της κλίμακας του φόρου εισοδήματος μισθωτών, συνταξιούχων, αγροτών και ελε</w:t>
      </w:r>
      <w:r w:rsidR="005C3A06">
        <w:t>ύθερων ε</w:t>
      </w:r>
      <w:r w:rsidR="003903AA" w:rsidRPr="0025392F">
        <w:t>παγγελματιών</w:t>
      </w:r>
      <w:r>
        <w:t>.</w:t>
      </w:r>
      <w:r w:rsidR="00C16BA7">
        <w:t xml:space="preserve"> Ειδικές ρυθμίσεις για την επιπ</w:t>
      </w:r>
      <w:r w:rsidR="005B2E72">
        <w:t>λέον</w:t>
      </w:r>
      <w:r w:rsidR="00C16BA7">
        <w:t xml:space="preserve"> φορολογική ελάφρυνση προβλέπονται </w:t>
      </w:r>
      <w:r w:rsidR="00C16BA7">
        <w:lastRenderedPageBreak/>
        <w:t xml:space="preserve">για τις οικογένειες με παιδιά και </w:t>
      </w:r>
      <w:r w:rsidR="00D62849">
        <w:t xml:space="preserve">για </w:t>
      </w:r>
      <w:r w:rsidR="00C16BA7">
        <w:t xml:space="preserve">νέους ηλικίας έως 30 ετών. </w:t>
      </w:r>
      <w:r w:rsidR="003903AA" w:rsidRPr="0025392F">
        <w:t>Η εν λόγω</w:t>
      </w:r>
      <w:r w:rsidR="00D62849">
        <w:t xml:space="preserve"> διαρθρωτική</w:t>
      </w:r>
      <w:r w:rsidR="00C16BA7">
        <w:t xml:space="preserve"> αναμόρφωση της φορολογικής κλίμακας εισοδήματος</w:t>
      </w:r>
      <w:r w:rsidR="003903AA" w:rsidRPr="0025392F">
        <w:t xml:space="preserve"> αναμένεται να </w:t>
      </w:r>
      <w:r w:rsidR="005C3A06">
        <w:t>επι</w:t>
      </w:r>
      <w:r w:rsidR="003903AA" w:rsidRPr="0025392F">
        <w:t xml:space="preserve">φέρει στους οικογενειακούς προϋπολογισμούς ελάφρυνση ύψους 1,2 δισ. ευρώ το 2026 και </w:t>
      </w:r>
      <w:r w:rsidR="00C16BA7">
        <w:t xml:space="preserve">επιπλέον 400 εκατ. ευρώ το </w:t>
      </w:r>
      <w:r w:rsidR="003903AA" w:rsidRPr="0025392F">
        <w:t xml:space="preserve">2027, </w:t>
      </w:r>
      <w:r w:rsidR="00C16BA7">
        <w:t xml:space="preserve">στοχεύοντας στην </w:t>
      </w:r>
      <w:r w:rsidR="00D62849">
        <w:t>ουσιαστική ενίσχυση των μεσαίων εισοδημάτων, των οικογενειών με παιδιά και των νέων</w:t>
      </w:r>
      <w:r w:rsidR="003903AA" w:rsidRPr="0025392F">
        <w:t>.</w:t>
      </w:r>
    </w:p>
    <w:p w14:paraId="3ADDB0E8" w14:textId="69C68D4B" w:rsidR="0084395F" w:rsidRDefault="003903AA" w:rsidP="003903AA">
      <w:pPr>
        <w:rPr>
          <w:rFonts w:cs="Arial"/>
        </w:rPr>
      </w:pPr>
      <w:r w:rsidRPr="0025392F">
        <w:t xml:space="preserve">Περαιτέρω ενίσχυση των εισοδημάτων αναμένεται το 2026 από τις υπόλοιπες νέες παρεμβάσεις, όπως η σταδιακή κατάργηση του συμψηφισμού της προσωπικής διαφοράς των συνταξιούχων, η μείωση </w:t>
      </w:r>
      <w:r w:rsidR="00F0472B">
        <w:t xml:space="preserve">του </w:t>
      </w:r>
      <w:r w:rsidRPr="0025392F">
        <w:t xml:space="preserve">φόρου </w:t>
      </w:r>
      <w:r w:rsidR="005B2E72">
        <w:t>εισοδήματος</w:t>
      </w:r>
      <w:r w:rsidRPr="0025392F">
        <w:t xml:space="preserve"> για ιδιοκτήτες ακινήτων, η μείωση κατά 30% μεσοσταθμικά των τεκμηρίων διαβίωσης, οι παρεμβάσεις στα ειδικά μισθολόγια </w:t>
      </w:r>
      <w:r w:rsidR="00F0472B">
        <w:t>Ε</w:t>
      </w:r>
      <w:r w:rsidRPr="0025392F">
        <w:t xml:space="preserve">νόπλων </w:t>
      </w:r>
      <w:r w:rsidR="00F0472B">
        <w:t>Δ</w:t>
      </w:r>
      <w:r w:rsidRPr="0025392F">
        <w:t xml:space="preserve">υνάμεων και </w:t>
      </w:r>
      <w:r w:rsidR="00F0472B">
        <w:t>Σ</w:t>
      </w:r>
      <w:r w:rsidRPr="0025392F">
        <w:t xml:space="preserve">ωμάτων </w:t>
      </w:r>
      <w:r w:rsidR="00F0472B">
        <w:t>Α</w:t>
      </w:r>
      <w:r w:rsidRPr="0025392F">
        <w:t>σφαλείας, η μείωση κατά 30% του Φ</w:t>
      </w:r>
      <w:r w:rsidR="00DA278C">
        <w:t xml:space="preserve">όρου </w:t>
      </w:r>
      <w:r w:rsidR="00DA278C" w:rsidRPr="003C225E">
        <w:t>Προστιθέμενης Αξίας (Φ</w:t>
      </w:r>
      <w:r w:rsidRPr="003C225E">
        <w:t>ΠΑ</w:t>
      </w:r>
      <w:r w:rsidR="00DA278C" w:rsidRPr="003C225E">
        <w:t>)</w:t>
      </w:r>
      <w:r w:rsidRPr="003C225E">
        <w:t xml:space="preserve"> στα ακριτικά νησιά με πληθυσμό έως 20.000 κατοίκους, η </w:t>
      </w:r>
      <w:r w:rsidR="00885A35" w:rsidRPr="003C225E">
        <w:t>τρι</w:t>
      </w:r>
      <w:r w:rsidRPr="003C225E">
        <w:t xml:space="preserve">ετής κατάργηση του </w:t>
      </w:r>
      <w:r w:rsidR="00885A35" w:rsidRPr="003C225E">
        <w:t xml:space="preserve">ελάχιστου </w:t>
      </w:r>
      <w:r w:rsidRPr="003C225E">
        <w:t>εισοδήματος για νέες μητέρες</w:t>
      </w:r>
      <w:r w:rsidRPr="0084395F">
        <w:t xml:space="preserve"> καθώς</w:t>
      </w:r>
      <w:r w:rsidR="00757B4E" w:rsidRPr="0084395F">
        <w:t xml:space="preserve"> </w:t>
      </w:r>
      <w:r w:rsidRPr="0084395F">
        <w:t>και οι ελαφρύνσεις σε οικισμούς με πληθυσμό έως 1.500 κατοίκους</w:t>
      </w:r>
      <w:r w:rsidR="00F0472B" w:rsidRPr="0084395F">
        <w:t>,</w:t>
      </w:r>
      <w:r w:rsidRPr="0084395F">
        <w:t xml:space="preserve"> όπως η σταδιακή κατάργηση του </w:t>
      </w:r>
      <w:r w:rsidR="00DA278C">
        <w:t>Ενιαίου Φόρου Ιδιοκτησίας Ακινήτων (</w:t>
      </w:r>
      <w:r w:rsidRPr="0084395F">
        <w:t>ΕΝΦΙΑ</w:t>
      </w:r>
      <w:r w:rsidR="00DA278C">
        <w:t>)</w:t>
      </w:r>
      <w:r w:rsidRPr="0084395F">
        <w:t xml:space="preserve"> για κύριες κατοικίες και η μείωση κατά 50%</w:t>
      </w:r>
      <w:r w:rsidR="00A239F2" w:rsidRPr="0084395F">
        <w:t xml:space="preserve"> του </w:t>
      </w:r>
      <w:r w:rsidR="00FF0488">
        <w:rPr>
          <w:rFonts w:cs="Arial"/>
        </w:rPr>
        <w:t>ελάχιστου</w:t>
      </w:r>
      <w:r w:rsidR="0084395F" w:rsidRPr="0084395F">
        <w:rPr>
          <w:rFonts w:cs="Arial"/>
        </w:rPr>
        <w:t xml:space="preserve"> εισοδήματος για τους ελεύθερους επαγγελματίες</w:t>
      </w:r>
      <w:r w:rsidR="0084395F">
        <w:rPr>
          <w:rFonts w:cs="Arial"/>
        </w:rPr>
        <w:t>.</w:t>
      </w:r>
    </w:p>
    <w:p w14:paraId="65D8867A" w14:textId="618AE356" w:rsidR="003903AA" w:rsidRDefault="003903AA" w:rsidP="00B77A67">
      <w:pPr>
        <w:spacing w:after="240"/>
      </w:pPr>
      <w:r w:rsidRPr="0025392F">
        <w:t>Η υλοποίηση αυτών των μ</w:t>
      </w:r>
      <w:r w:rsidR="00FA4B77">
        <w:t xml:space="preserve">όνιμων </w:t>
      </w:r>
      <w:r w:rsidRPr="0025392F">
        <w:t>πολιτικών ενίσχυσης εισοδημάτων,</w:t>
      </w:r>
      <w:r w:rsidR="006919C8">
        <w:t xml:space="preserve"> η οποία συντελείται </w:t>
      </w:r>
      <w:r w:rsidRPr="0025392F">
        <w:t>εντός των δημοσιονομικών στόχων</w:t>
      </w:r>
      <w:r w:rsidR="00885A35">
        <w:t xml:space="preserve">, αφορά στη μεγάλη πλειοψηφία των πολιτών και αποσκοπεί στη </w:t>
      </w:r>
      <w:r w:rsidRPr="0025392F">
        <w:t>βελτίωση της αγοραστικής δύναμης των νοικοκυριών και στη στήριξη της εγχώριας ζήτησης με μόνιμο αποτύπωμα στο διαθέσιμο εισόδημα.</w:t>
      </w:r>
      <w:r w:rsidR="00885A35">
        <w:t xml:space="preserve"> Επιπλέον, η μείωση των φορολογικών συντελεστών σ</w:t>
      </w:r>
      <w:r w:rsidR="004A09E6">
        <w:t xml:space="preserve">υνεπάγεται </w:t>
      </w:r>
      <w:r w:rsidR="00885A35">
        <w:t xml:space="preserve">ότι οι αυξήσεις </w:t>
      </w:r>
      <w:r w:rsidR="000C54E9">
        <w:t xml:space="preserve">των </w:t>
      </w:r>
      <w:r w:rsidR="00885A35">
        <w:t>αποδοχών κατά τα μελλοντικά έτη θα ενισχύουν περισσότερο το καθαρό εισόδημα τ</w:t>
      </w:r>
      <w:r w:rsidR="000C54E9">
        <w:t xml:space="preserve">ων </w:t>
      </w:r>
      <w:r w:rsidR="00885A35">
        <w:t>εργαζόμεν</w:t>
      </w:r>
      <w:r w:rsidR="000C54E9">
        <w:t>ων</w:t>
      </w:r>
      <w:r w:rsidR="00885A35">
        <w:t xml:space="preserve">. </w:t>
      </w:r>
      <w:r w:rsidRPr="0025392F">
        <w:t xml:space="preserve">Για το 2026 η θετική </w:t>
      </w:r>
      <w:r w:rsidR="006919C8">
        <w:t xml:space="preserve">επίδραση </w:t>
      </w:r>
      <w:r w:rsidRPr="0025392F">
        <w:t>από το σύνολο των νέων κυβερνητικών παρεμβάσεων στην πραγματική ανάπτυξη προβλέπεται σε 0,</w:t>
      </w:r>
      <w:r w:rsidR="00536734">
        <w:t>6</w:t>
      </w:r>
      <w:r w:rsidRPr="0025392F">
        <w:t xml:space="preserve"> ποσοστιαίες μονάδες του ΑΕΠ. Ως αποτέλεσμα</w:t>
      </w:r>
      <w:r w:rsidR="00ED5434">
        <w:t>,</w:t>
      </w:r>
      <w:r w:rsidRPr="0025392F">
        <w:t xml:space="preserve"> η ελληνική οικονομία προβλέπεται να συνεχίσει για έκτο συναπτό έτος να καταγράφει υψηλότερο ρυθμό πραγματικής ανάπτυξης</w:t>
      </w:r>
      <w:r w:rsidR="0082525D">
        <w:t xml:space="preserve"> </w:t>
      </w:r>
      <w:r w:rsidR="00477861">
        <w:t xml:space="preserve">σύμφωνα με τις προβλέψεις του Υπουργείου Εθνικής Οικονομίας και Οικονομικών </w:t>
      </w:r>
      <w:r w:rsidR="0082525D">
        <w:t>(</w:t>
      </w:r>
      <w:r w:rsidR="005F775B">
        <w:t xml:space="preserve">συνολικά </w:t>
      </w:r>
      <w:r w:rsidR="00AD2EE6">
        <w:t>2,4%</w:t>
      </w:r>
      <w:r w:rsidR="00DB6B81">
        <w:t xml:space="preserve"> και </w:t>
      </w:r>
      <w:r w:rsidR="005F775B">
        <w:t xml:space="preserve">ανά κάτοικο </w:t>
      </w:r>
      <w:r w:rsidR="00DB6B81">
        <w:t>2,6%</w:t>
      </w:r>
      <w:r w:rsidR="00477861">
        <w:t>)</w:t>
      </w:r>
      <w:r w:rsidRPr="0025392F">
        <w:t xml:space="preserve"> σε σχέση με τον μέσο όρο της Ευρωζώνης και της ΕΕ</w:t>
      </w:r>
      <w:r w:rsidR="002E48AD">
        <w:t>,</w:t>
      </w:r>
      <w:r w:rsidR="00477861" w:rsidRPr="00477861">
        <w:t xml:space="preserve"> </w:t>
      </w:r>
      <w:r w:rsidR="000F5DA2">
        <w:t xml:space="preserve">όπως </w:t>
      </w:r>
      <w:r w:rsidR="000F5DA2" w:rsidRPr="009253FF">
        <w:t xml:space="preserve">αποτυπώνεται </w:t>
      </w:r>
      <w:r w:rsidR="00066B9B" w:rsidRPr="009253FF">
        <w:t xml:space="preserve">στις </w:t>
      </w:r>
      <w:r w:rsidR="00477861" w:rsidRPr="009253FF">
        <w:t>εαριν</w:t>
      </w:r>
      <w:r w:rsidR="00066B9B" w:rsidRPr="009253FF">
        <w:t>ές</w:t>
      </w:r>
      <w:r w:rsidR="009253FF" w:rsidRPr="009253FF">
        <w:t xml:space="preserve"> </w:t>
      </w:r>
      <w:r w:rsidR="00477861" w:rsidRPr="009253FF">
        <w:t>οικονομικ</w:t>
      </w:r>
      <w:r w:rsidR="00066B9B" w:rsidRPr="009253FF">
        <w:t>ές</w:t>
      </w:r>
      <w:r w:rsidR="009253FF" w:rsidRPr="009253FF">
        <w:t xml:space="preserve"> </w:t>
      </w:r>
      <w:r w:rsidR="00477861" w:rsidRPr="009253FF">
        <w:t>προβλέψε</w:t>
      </w:r>
      <w:r w:rsidR="00066B9B" w:rsidRPr="009253FF">
        <w:t>ις</w:t>
      </w:r>
      <w:r w:rsidR="00477861" w:rsidRPr="009253FF">
        <w:t xml:space="preserve"> της Ευρωπαϊκής Επιτροπής (</w:t>
      </w:r>
      <w:r w:rsidRPr="009253FF">
        <w:t>1,4% για την</w:t>
      </w:r>
      <w:r w:rsidRPr="0025392F">
        <w:t xml:space="preserve"> Ευρωζώνη και 1,5% για την ΕΕ</w:t>
      </w:r>
      <w:r w:rsidR="00477861">
        <w:t xml:space="preserve"> και </w:t>
      </w:r>
      <w:r w:rsidRPr="0025392F">
        <w:t>ανά κάτοικο 1,1% και 1,3%</w:t>
      </w:r>
      <w:r w:rsidR="00477861">
        <w:t>,</w:t>
      </w:r>
      <w:r w:rsidRPr="0025392F">
        <w:t xml:space="preserve"> αντίστοιχα)</w:t>
      </w:r>
      <w:r>
        <w:t xml:space="preserve">. </w:t>
      </w:r>
      <w:r w:rsidRPr="0025392F">
        <w:t>Με αυτόν τον τρόπο ενισχύεται η μεσοπρόθεσμη προοπτική σύγκλισης με την Ευρωζώνη, βελτιώνοντας σταδιακά τη θέση της χώρας στο ευρωπαϊκό πλαίσιο.</w:t>
      </w:r>
    </w:p>
    <w:p w14:paraId="3EABDA20" w14:textId="7F7EDEDE" w:rsidR="007442AB" w:rsidRPr="00CC4105" w:rsidRDefault="00CC4105" w:rsidP="00CC4105">
      <w:pPr>
        <w:pStyle w:val="afc"/>
        <w:spacing w:after="0" w:line="276" w:lineRule="auto"/>
        <w:jc w:val="center"/>
        <w:rPr>
          <w:sz w:val="18"/>
          <w:szCs w:val="18"/>
        </w:rPr>
      </w:pPr>
      <w:bookmarkStart w:id="29" w:name="_Toc210570707"/>
      <w:r w:rsidRPr="00CC4105">
        <w:rPr>
          <w:sz w:val="18"/>
          <w:szCs w:val="18"/>
        </w:rPr>
        <w:t>Διάγραμμα 1.</w:t>
      </w:r>
      <w:r w:rsidRPr="00CC4105">
        <w:rPr>
          <w:sz w:val="18"/>
          <w:szCs w:val="18"/>
        </w:rPr>
        <w:fldChar w:fldCharType="begin"/>
      </w:r>
      <w:r w:rsidRPr="00CC4105">
        <w:rPr>
          <w:sz w:val="18"/>
          <w:szCs w:val="18"/>
        </w:rPr>
        <w:instrText xml:space="preserve"> SEQ Διάγραμμα_1. \* ARABIC </w:instrText>
      </w:r>
      <w:r w:rsidRPr="00CC4105">
        <w:rPr>
          <w:sz w:val="18"/>
          <w:szCs w:val="18"/>
        </w:rPr>
        <w:fldChar w:fldCharType="separate"/>
      </w:r>
      <w:r w:rsidR="00C42930">
        <w:rPr>
          <w:noProof/>
          <w:sz w:val="18"/>
          <w:szCs w:val="18"/>
        </w:rPr>
        <w:t>9</w:t>
      </w:r>
      <w:r w:rsidRPr="00CC4105">
        <w:rPr>
          <w:sz w:val="18"/>
          <w:szCs w:val="18"/>
        </w:rPr>
        <w:fldChar w:fldCharType="end"/>
      </w:r>
      <w:r w:rsidRPr="00CC4105">
        <w:rPr>
          <w:sz w:val="18"/>
          <w:szCs w:val="18"/>
        </w:rPr>
        <w:t xml:space="preserve">.: </w:t>
      </w:r>
      <w:r w:rsidR="007442AB" w:rsidRPr="00CC4105">
        <w:rPr>
          <w:sz w:val="18"/>
          <w:szCs w:val="18"/>
        </w:rPr>
        <w:t>Ρυθμός μεταβολής κατά κεφαλήν ΑΕΠ</w:t>
      </w:r>
      <w:bookmarkEnd w:id="29"/>
    </w:p>
    <w:p w14:paraId="61DBD55D" w14:textId="77777777" w:rsidR="00CC4105" w:rsidRPr="00CC4105" w:rsidRDefault="007442AB" w:rsidP="00CC4105">
      <w:pPr>
        <w:keepNext/>
        <w:keepLines/>
        <w:spacing w:after="60" w:line="276" w:lineRule="auto"/>
        <w:jc w:val="center"/>
        <w:rPr>
          <w:b/>
          <w:sz w:val="18"/>
          <w:szCs w:val="18"/>
        </w:rPr>
      </w:pPr>
      <w:r w:rsidRPr="00CC4105">
        <w:rPr>
          <w:b/>
          <w:sz w:val="18"/>
          <w:szCs w:val="18"/>
        </w:rPr>
        <w:t>(σταθερές τιμές, ετήσιες μεταβολές %)</w:t>
      </w:r>
    </w:p>
    <w:p w14:paraId="49954586" w14:textId="77777777" w:rsidR="00CC4105" w:rsidRPr="007442AB" w:rsidRDefault="00CC4105" w:rsidP="007B11B4">
      <w:pPr>
        <w:keepNext/>
        <w:keepLines/>
        <w:spacing w:after="0" w:line="276" w:lineRule="auto"/>
        <w:jc w:val="center"/>
        <w:rPr>
          <w:b/>
          <w:sz w:val="18"/>
          <w:szCs w:val="18"/>
        </w:rPr>
      </w:pPr>
      <w:r w:rsidRPr="007442AB">
        <w:rPr>
          <w:b/>
          <w:noProof/>
          <w:sz w:val="18"/>
          <w:szCs w:val="18"/>
        </w:rPr>
        <mc:AlternateContent>
          <mc:Choice Requires="wpg">
            <w:drawing>
              <wp:inline distT="0" distB="0" distL="0" distR="0" wp14:anchorId="3D1CAB9B" wp14:editId="0FF03938">
                <wp:extent cx="5759450" cy="2249805"/>
                <wp:effectExtent l="0" t="0" r="12700" b="17145"/>
                <wp:docPr id="17" name="Ομάδα 5"/>
                <wp:cNvGraphicFramePr xmlns:a="http://schemas.openxmlformats.org/drawingml/2006/main"/>
                <a:graphic xmlns:a="http://schemas.openxmlformats.org/drawingml/2006/main">
                  <a:graphicData uri="http://schemas.microsoft.com/office/word/2010/wordprocessingGroup">
                    <wpg:wgp>
                      <wpg:cNvGrpSpPr/>
                      <wpg:grpSpPr>
                        <a:xfrm>
                          <a:off x="0" y="0"/>
                          <a:ext cx="5759450" cy="2249805"/>
                          <a:chOff x="0" y="-1"/>
                          <a:chExt cx="4572000" cy="2795588"/>
                        </a:xfrm>
                      </wpg:grpSpPr>
                      <wpg:graphicFrame>
                        <wpg:cNvPr id="18" name="Γράφημα 18"/>
                        <wpg:cNvFrPr/>
                        <wpg:xfrm>
                          <a:off x="0" y="-1"/>
                          <a:ext cx="4572000" cy="2795588"/>
                        </wpg:xfrm>
                        <a:graphic>
                          <a:graphicData uri="http://schemas.openxmlformats.org/drawingml/2006/chart">
                            <c:chart xmlns:c="http://schemas.openxmlformats.org/drawingml/2006/chart" xmlns:r="http://schemas.openxmlformats.org/officeDocument/2006/relationships" r:id="rId20"/>
                          </a:graphicData>
                        </a:graphic>
                      </wpg:graphicFrame>
                      <wps:wsp>
                        <wps:cNvPr id="19" name="Ορθογώνιο 19"/>
                        <wps:cNvSpPr/>
                        <wps:spPr>
                          <a:xfrm>
                            <a:off x="3860998" y="80963"/>
                            <a:ext cx="581025" cy="2395819"/>
                          </a:xfrm>
                          <a:prstGeom prst="rect">
                            <a:avLst/>
                          </a:prstGeom>
                          <a:solidFill>
                            <a:srgbClr val="4472C4">
                              <a:alpha val="37000"/>
                            </a:srgbClr>
                          </a:solidFill>
                          <a:ln w="6350" cap="flat" cmpd="sng" algn="ctr">
                            <a:solidFill>
                              <a:schemeClr val="bg1">
                                <a:lumMod val="85000"/>
                              </a:schemeClr>
                            </a:solidFill>
                            <a:prstDash val="solid"/>
                            <a:miter lim="800000"/>
                          </a:ln>
                          <a:effectLst/>
                        </wps:spPr>
                        <wps:bodyPr rtlCol="0" anchor="t"/>
                      </wps:wsp>
                    </wpg:wgp>
                  </a:graphicData>
                </a:graphic>
              </wp:inline>
            </w:drawing>
          </mc:Choice>
          <mc:Fallback>
            <w:pict>
              <v:group w14:anchorId="153C77C3" id="Ομάδα 5" o:spid="_x0000_s1026" style="width:453.5pt;height:177.15pt;mso-position-horizontal-relative:char;mso-position-vertical-relative:line" coordorigin="" coordsize="45720,27955"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aXmkHQMAAEUHAAAOAAAAZHJzL2Uyb0RvYy54bWycVUlu&#10;2zAU3RfoHQjtE8mDYkmInUVcBwU6BEh7AJqiBoASBZIesuymy256gFwgm6AF2gItcgPlSv0kJTmO&#10;XSSNF7I4fb3/33ufxyfrgqElFTLn5djpHXoOoiXhcV6mY+fjh9lB4CCpcBljxks6di6pdE4mL18c&#10;r6qI9nnGWUwFgiCljFbV2MmUqiLXlSSjBZaHvKIlLCZcFFjBUKRuLPAKohfM7XvekbviIq4EJ1RK&#10;mJ3aRWdi4icJJep9kkiqEBs7gE2ZpzDPuX66k2McpQJXWU4aGPgZKAqcl/DRLtQUK4wWIt8JVeRE&#10;cMkTdUh44fIkyQk1OUA2Pe9BNmeCLyqTSxqt0qorE5T2QZ2eHZa8W54LlMfA3chBJS6Ao/qq/l1f&#10;19/rG+SbpOhavZEKSuWuqjQyR3SBzeuZqC6qcwGLeiK1I12JdSIK/Q85orUp+GVXcAiICEz6Iz8c&#10;+sALgbV+fxgGnm8pIRnwtjl30GunXzVHh/4I+G+PjkLfDwK9x22/bLB2eCw4Q/NMQJYd/jZ70GmT&#10;/de7T/X13ef6B1ThBvWCR0swE13+e5NuwbdZ/xO6BtlGaDT5FE09bhKSYaEgDxKZt0ZIZEdGT43U&#10;BAAfPdDhngBW41NOFgUtlTWtoAwr6BgyyyvpIBFpAYrXsWEZGGyS1y4yjHbFaEjd5hE6h9yYQ+6A&#10;+i9zXGS4osZz0irdmiPs5HEF8vhZ39bf7r7Uf+pf9S3qhTsSac5qlZnXziIykuCWPf4YBEdeGIIK&#10;wQmBFx4NrOBbzfhBz+v7jVEGIQzDLbXjqBJSnVFeIP0C1YTWZ2DhZePdzRb9eclZHs9yxsxApPNT&#10;JtASQ5scDkf906E9y6oM29nBSLvNGkza7YaarTisRKuxczQwlsbQzhPgGUAXFfAry9RBmKVwTxAl&#10;TPytw6bn0w7GPO2ZPWxRvOWxBRH490DoK0Jv34WhKzDFMrOHzEdsNYtcwW3D8kLXWP+ahFipq0DN&#10;fdF1upYqTeGcx5fQKYRip9zeJLgkGQcDKBNC7wERAhTtYejV92W7V8ab22/yFwAA//8DAFBLAwQU&#10;AAYACAAAACEAnLReK4QBAAA5AwAAIAAAAGRycy9jaGFydHMvX3JlbHMvY2hhcnQxLnhtbC5yZWxz&#10;rFJNS8NAEL0L/oew4NFsU7VIadpDq9CDFLS95bJuJmlsshN2t9LeFPSXeBUEwYOg9B8kf8mpRWyl&#10;HxdZGHbesO+9ZV6jNclS5xa0SVD5zHMrzAElMUxU7LNB//zwlDnGChWKFBX4bAqGtZr7e41LSIWl&#10;R2aY5MYhFmV8NrQ2r3Nu5BAyYVzMQdEkQp0JS62OeS7kSMTAq5VKjetlDtZc4XS6oc90NzxiTn+a&#10;k/JuboyiREIH5TgDZddIcEu+oEff1UkIRCx0DNZnrruYrM49l7wzvt5WdYOtLJEaDUbWlZjxhSNy&#10;4nmrn+VyKLRtY4r6yk7TJS9yjpmt2t5/aP+RNXMXW1WPN6iuWfLuRWAKvesbkPZ3CVGSAmWHt+vB&#10;wFAgg8yldSHBYoTjoANmZDEPiqfirfgsnsv74r2YHVQrc6C8Kx8I/iheCX4pZuUjDeicBJ1ExFpk&#10;hnqKIVXipGpImsJLN4yo0Km5k9RMfuxcYEiRO5tY0Ep8h4CvBL75B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KEfV9LkGAABjHwAAHAAAAGRycy90aGVtZS90aGVtZU92ZXJyaWRlMS54&#10;bWzsWUtvGzcQvhfof1jsvbFk6xEbkQPrFTexbCNSUuRIa6ldRtylQFJ2dCuSUy8FCqRFDw3QWw9F&#10;0QAN0KCX/hgDDtr0R3TIXe2SEhU/4AJBYQswdrnfDD/ODGdmuXfuPoupd4y5ICxp+OVbJd/DyZAF&#10;JAkb/qNB97PbvickSgJEWYIb/gwL/+72p5/cQVsywjE+AFlOAuyBnkRsoYYfSTnZWlsTQ3iMxC02&#10;wQk8GzEeIwm3PFwLODoB/TFdWy+VamsxIom/DQqHlPeVFPYSFMNcB6MRGWL9KBiXFULMRIty7xjR&#10;hg8qAnYywM+k71EkJDxo+CX9569t31lDW5kQlStkDbmu/svkMoFgvK7n5OFRPmmlUq3UdnL9GkDl&#10;Mq5T79Q6tVyfBqDhECcZF1tnfb1VybAGKL106G7X2xtlC2/o31jivFNVPwuvQan+yhK+222BFS28&#10;BqX46hK+2txstm39GpTia0v4emmnXalb+jUooiQZL6FL1dpGa77aHDJidNcJ36xWuvX1THmBgmjI&#10;o0tNMWKJXBVrMXrKeBcACkiRJIknZxM8QkOIyRai5IgTb4+EEQTeBCVMwHBpvdQtbcB/9avoK+1R&#10;tIWRIa14AROxNKT4eGLIyUQ2/Pug1TcgZ2/fnj5/c/r899MXL06f/5rNrVVZcrsoCU259z9988+r&#10;L72/f/vx/ctv06kX8cLEv/vlq3d//Pkh9bDiwhRn371+9+b12fdf//XzS4f2HY6OTPiAxFh4+/jE&#10;e8hiWKCDPz7il5MYRIiYEjtJKFCC1CwO/R0ZWej9GaLIgWti246POaQaF/De9KlFuB/xqSQOjQ+i&#10;2AL2GKNNxp1WeKDmMsw8mCahe3I+NXEPETp2zd1CieXlznQCOZa4VLYibNE8pCiRKMQJlp56xsYY&#10;O1b3hBDLrj0y5EywkfSeEK+JiNMkA3JkRVMhtEti8MvMRRD8bdmm99hrMupadRsf20jYG4g6yA8w&#10;tcx4D00lil0qByimpsH3kIxcJPszPjRxHSHB0yGmzOsEWAiXzAGH9RpOfwBpxu32Hp3FNpJLMnbp&#10;3EOMmcg2G7ciFE9c2D5JIhP7uRhDiCLvkEkXvMfsHaLuwQ8oWenuxwRb7j4/GzyCDGtSKgJEPZly&#10;hy/vYWbFb39GRwi7Us0Oj60Uu8OJMzqa09AK7T2MKTpBAcbeo88dDJpsYtm8IH0/gqyyi12BdR/Z&#10;saruEyywp5ub5Ty5R4QVsn0cshV8erOFxDNDSYz4Ks374HXT5h0odbErAA7ocGwC9wm0dxAvTqMc&#10;CNBhBPdKrYcRsgqYuhfueJ1xy38X2WOwL59aNC6wL0EGX1oGErsp80HbDBC1JigCZoCgy3ClWxCx&#10;3F+IqOKqxaZOuZG9aQs3QHdkNT0xSc7tgBZ6n+p/1/tAh3H2wyvHZruefset2EpWl+x0ViWT3YX+&#10;ZhVusatpMR6Qj7+paaNpcoihjixnrJue5qan8f/3Pc2q/XzTyazqN246GR86jJtOJjtcuZ5Opmhe&#10;oK9RBx7pQY8+9olXnvqMCKV9OaN4T+iDHwHvM0EXBpWcPszE+SngJIJLVeZgAgsXcqRlPM7kF0RG&#10;/QhN4HSo7CslochUh8KbMAGHRnrYqVvh6TTusSA97CyX1cFmWlkFksV4qZqPw0GVTNG1enGAl6vX&#10;bEORMkkJKNnLkDAms0lsOEjU54PKSPpYF4zmIKFXdi0sNh0sbiv1c1ctsQBquVfghduD1/SGX62A&#10;CAjBeRw054HyU+rquXe1Ca/T06uMaUUANNjzCCg8vam4rlyeWt2FPW2RMMLNJqEtoxs8EcFrcBad&#10;avQiNC7r683CpRY9ZQo9H4RWQaN++0MsruprkFvMDTQxMwVNvJOGX9uoQsgM0aThj+DQGC7jCcSO&#10;UO9ciIbwcWUoebrhr5JZJlzINhJRanCddNJsEBOJuUdJ3PDV8nM30ETnEM2tvA4J4aMltwlp5WMj&#10;B063nYxHIzyUptuNEWXp9BYyfJornE+1+NXBSpJNwd39KDjxjuiUP0QQYtV6WRkwIAK+HZRTawYE&#10;PobliayIv4XClKVd82uUjqF0HNFJhLKKYibzFK5TeU5H3+U2MO6yNYNBDZNkhfAoVAXWNKpVTfOq&#10;kXJYWXXPF1KWM5JmUTOtrKKqpjuLWTPMy8CCLa9W5A1WcxNDTjMrfFqkF1Pu5jzXLfQJeZUAg+f2&#10;c1TdC5R+g1oxmUVNMV5OwypnZ6N27Zgv8BxqFykSRtavzdUu2C2vEc7pYPBKlR/kFqMWhkbzvlJb&#10;2vowvv0vAA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KIIB5H8&#10;BAAAhyYAABUAAABkcnMvY2hhcnRzL3N0eWxlMS54bWzsWuFu4jgQfpXID9AAPVpalUrdViudRG+r&#10;vZXut0kc8K5j52yzlD79jZ3ExAlp2KWwhb1/eBI5nm9mvhnPcBOp62iOpf5brxgJnlPGQaDGaK51&#10;dh2GKpqTFKuzlEZSKJHos0ikoUgSGpEwlnhJ+Swc9PqDcL0LKrbBjV1ERjh8IhEyxVqdCTkr90gZ&#10;7NK7CFNMOQpoPEaDwSW6vYHj4WeqvlDNiF0x/pkk8MLzGPVQaEUJZawhJElCIt0QJ4KvhSnlQsJH&#10;8LVVk9wzGXzHbIz0c9+K2SJ9FHEuuxj2evaL+BrEn5IkF5+X4rCyy+1NCAcvvmXPGJPk85MM1MsY&#10;9c0+wTciOfwGpY0W5nVfzwhrMhNydQfaH7PiKnuSBmHGg+UYXQ0HQxREOBujhGENP9MMbK34DAWY&#10;zQCRSBcWEYzGH8GyW5qnX9rBN8+oFNfMA8aqfkCKBY+NHcxBc3PkBwe7VEx3tdlyDVvZWLiTBAep&#10;iCGYMGNi+Zcw6nz6TqSkMQF1rWxCOSllub8fzMMLv6u6aWktD5xacExnfeuyNQhPwsBtsekMmgcz&#10;1niCpwR8E/zjYPayYVRhpMvSt32XH5Timsu3M1KLW8eemm51bzx3oQ+ne/ztrdl4GzdnusXNLSFV&#10;yaMWH5uO62zim8pZsGYqL7R+nJPA0lMRryDfSKFNngxUFn2kUukJVvoJS8jMfRQAE2lDPQkQERAv&#10;oxkK5kK+1GXmPUjl8AQFS2m4W/27wJKggP3Jgd3OL4aXFyjQdtEfDUYjFMjqk2n1CeYRbJUTfZAv&#10;7jWscxur7G6hgSh1QU65Hjkjb/RAI3wSlG/nj+YjgI4yxY7L9hi+WCbhopawb+1cQvwkwWZzOFqT&#10;Yk2NkDuu+eXr7VbnD1vF5QniUGjukDCJtYlFh/ktl9t3vKLSMgGAvk+PyPPnYDS8LCskyWNbhb6W&#10;jFt8BV+3VjSe8ziQHGyPWEJp+nbAdQD+juPNlIKuZu0i/RY7NLjbQ7+CdQ3/CV5Big3UKp0KuI9E&#10;VEYM+FbRFzJGQ8MNVQr4h0qSSJweob9XLgQHcHcfKIP5Fzw97otlWcpwe7sAx/Dc9uSuWr7NYrHk&#10;H/AGtsoDxOPwsluwE4eb2u4ns/qmsvAHewpeWejZuYue3qCh4X18M69VrBFLkbnkcrAb0iumqXD5&#10;XoLC9YH8Ct9Z+LUKvytbV7GE7oGQB/V54zu/EFiHoA+sw3sHYD0s4RYkDsgkHah6dG6i2wk2ht76&#10;8DNoLjEofR/x13ekzr6jb0/dP1OtNQF1EtM+blbK+8o9HR6zb4jLrpIfhleleIcwbOI5pxPxW2UP&#10;1wjy0XVtox3Q9bEkOCbyt4LWJQofWpdWdoCW1dAkM8LjwxKCrfcrPWGnlq+tA6GmLfBbtf3fPepg&#10;ax0zJvTRzTgMo5cHt5YqF+cPRzWrqepRdL4UkZSoY58XdrtgTc98+T+ljZGL/VqQeze3jrtGDU19&#10;SnP3P8z0dmrnIZXpu5mNWNkUK2Iq5+KPBSbC1uprCdRunjbp3UraJwotLeU3aUdsVRL2r3pDUNwO&#10;3XfqsWUwQHrAap7/8UGt1IPQxZjCH5pb6DzAHHzvYGzqwmRPKXKDrovsoDf2HbpUrVPPrTvhxifr&#10;Vcku1zMgs6Z3rQGF/+ssyOknPV/NJYzgm0T0iy6erjORG6qrVZGf3VDE+h9jt/8BAAD//wMAUEsD&#10;BBQABgAIAAAAIQAApeZKOgsAAEIwAAAVAAAAZHJzL2NoYXJ0cy9jaGFydDEueG1s7Fpbb+PGFX4v&#10;0P+gchcI0FYS7xdh5cCWrE1Qb2zsOnno24gcyawpUktStrVBgBZFgbYPfeu/KAoEKFqgRf6C/Jf6&#10;zY2kZFPr3WzaJLAN2OTMmeGcy5z55pzz7OObRdK5onkRZ+lQM3q61qFpmEVxOh9qn59Pur7WKUqS&#10;RiTJUjrU1rTQPj746U+ehYPwguTlqyUJaQeTpMUgHGoXZbkc9PtFeEEXpOhlS5qib5blC1LiNZ/3&#10;o5xcY/JF0jd13e3zSTQ5AXmPCRYkTtX4/CHjs9ksDuk4C1cLmpZiFTlNSAkJFBfxslCzhYabm3dm&#10;XMRhnhXZrOyF2aIvJlNMYTLD6VdcHUBIESmpEeh254okQ03X+qwxIelcNNCk+/ylaMyzVRrRaJTl&#10;KdTRoF+Eg8OkpHmKqUZZWmLVUl6LB0l8QfLL1bKL5S7B5DRO4nLN2dYOnmHu0UUGeXRe0terOKfF&#10;UAsNuxaB/a4C0L2+3zelXsGsYQ+Kcp1QwZChm4zbfvVdvoQJSZIpCS+ZbBrEFWndzwbuCoONCpP8&#10;BVmeXuWd6dwYaklpaJ3yBk/RJZ6mc+gxKU3WhqfoEk8kDCFIUMgH1YJ+0VLRWKrFUjQQiqCBoMSD&#10;o1oc1eKqFlfrXCRxeglBsn9aZ5Yln4gG9SQMgG8FxgxZldl5XCZ0TBNa0kiKTlAtk6w8zClhhAlZ&#10;Z6uSPS1IuiLJSfUues5JPqelGB6nMCsxxc2LLJL6oNGcisb1fY03YqzbCzzTNT0nsF3b9wLbP+5y&#10;5YSDtaCwe0HgeaZv6Y5lOJ7ruBXFtaDQe4Hu6oYXWI5n61ZgBIb48IXq9xzHcnzHcC1H9y3H4f39&#10;Xd7QULMNMdIRc0NMBnPsoCVci5hPOK08Eh+5Ivl6lCXZ1saCsdGcjYwjyajcn1ke0VwuS4wvbxhd&#10;UeYv6Yw9zQ4+ej4+61wVvc7x4Uc/e3r41PKfYWm8E2QjAg/ICJflCPta6kByvCw7+CLzBozi6mDz&#10;19s/3P7u9k+3v918ffvnzb83f+9s/rj5Bg2/3/yLzXqFHcOm4v/q2dGmVoRHucTlGVgigyTtXMOf&#10;B7oDjx6S5VDL0wjfI4MiS+JoEicJf2GOmo4Sya3aC2yL7lBy9yTak5QNpbMZDcuTomSNWAn/MNNW&#10;fimkWqwX0wyHC3N8YZyHibS0In4jrc8RwhVDd77Hj5AHrUywGjim8/78gds9XIG9mq2QcGtTkr9r&#10;C0dPLXfw9BR/H2ARthDBrkngILG2Nc/0L8zGkGYDGruNxqxpnDYaq6bhK62trP6WXdN4bfMwsTMb&#10;xXr4HrhvHremCdrm8SoaU2+j8Wsao40mqGnMNhpD7T1TN9sFXUvabJW0UYvadH7e+r1a2Ka7QyW2&#10;sfQY4oV7GTxKW8MWYiJOV4sW9wOT87nJ1U4IxJUTEvhrBK9/8OSXT57ovSfVD1two/uOx2qxz67e&#10;a5W/kprRazW9SmY9gMDmT6vClPyMXqsdVrbaTqJM1ei1WqGy1D0fUobadXqtZqEM1W0nqey0fTEw&#10;U8AFBp6Z8oaa0J6y3b1KUFrQ26VRmS7O5rcartHb2ScwnNrGxIsyW2mvxSLLSnW8Cz9Hb9iJwYwZ&#10;T51VHg+1L0eW5eujkd11xkANth6MukfHltk99syxGXiWY41GX9WIFMBq55bxNkhuN9CoO1il8esV&#10;/VSiqi+V9XWPJuNx1zZtr3vkm37XMo3JkW5ZY9M8/ootHixizeo/5wJNEkHsAgl50jeAhGx5AJDg&#10;uvhWQGLzz9u/bL75zrFDPp9WyMGe+MbRGJ4XB+lqASwpzn2HiZdLD8e7oP8eQIt1Ua0bd9Eouz6H&#10;ZrVOQooSHQBm/Ectu4mX9mKNpjyMiR14d+XhMYGoie+XxyMUaQLeRyjCrwqGcufAK61nTuXPQfT/&#10;hCIBhyK1G6uPiS2s8eGgyM7JVNuMktqdw6smUVBkDySosUcroKmxR6t2auzRirZr7NE6S4U93HYA&#10;9iDssQdXWO1TV7gZ2KMVq1XGqrcjwMpW9V6rOIxa8IZwyervDvb8cUER48NCERmoaUAR2fJ2KGLz&#10;e9h7QpHNf/D7t80/Nl9vY0sGmqoAiXhRuPHDhTAsdcY2D+/vRQjj3pXthRX3hWjumeURNzziBmwn&#10;FiWsT7fKFf8AcIOtM9zQ8DnfMW4w9pw8MoT0gBCG3n7BV8fXHhKFG/ZEGxRuMHtmsPXz9mBb+9K8&#10;vXGF1miAQhZBz9haStCKwFSQY08cpMIU5h6FKCRntvMESLEFanQkM2Vksmfrjm96nq5bhm3ZdmsM&#10;CZCjdQ7H9V1b1zGLYRi2sTPHjwuDmN8Og0Qn06Rgsi8ususTOqdp9CsqU0Uyx8J6viAyPdBoG5Hy&#10;M7KQCYJG+yua39t+RnOWyNvK1rC5j1bTaUJfVbkGcetGQlYtTUT0xTgZnLknYEVuVKQosDzPtV2T&#10;H71I0lUdnmvapuVafBKYwVZSChHcQ547qul3JipCghFzJq0sj8EKz0SLdS3i9AW54VgGsqwJI54Y&#10;3OKZ3JxlMms8ZQN4dG6yKLfM+TlFEpAkSOlnK4jtBPlIGiFNJAYsyG+y/DwOL18ghyMmT5H0l51x&#10;2t5ZYhDkWq0gRTzlPBMDVXYnzVjSCStTySmesRG5qRnS70hTLZZYTJHOkUNN5ihHCMucR5T2payQ&#10;5b0TdTJUlIUHo05nM8GMr5pZbkuhqvcPR5U3ItU2zaL1Wd7Js3KodV15RYGIl+EkzovyBFGlM5IT&#10;JmZWaVGe4s8syZCeo0mCeoMYFQesHXHNLH+jda5zlq4rXq9ITiGJNESzkIV8GZV45zoDf0X5iqXX&#10;uVyXTLgyARjR2Uusqngz1HyEnDpTlm/sIN6Kv6uhxhWLyo48vkRcOc1e8Setg9wdqwNBWB5DSEGZ&#10;MYtM5f783H1qcJW8t9WA9G4dA2tXA6vISDvleklnKDEZaod5zCx3SdKsYEsy9SMklG38V7/Ixi/j&#10;MryYkEWcrIeahQaWVC8oZMv3P7KWpDHlLxZplxJmpmQQFo2OD/EtGJnQAbcwqRU4QmYLTDOsCISZ&#10;gCwAATnUB/chzAq5H5SZFIcyMb3lY2QfldudlQv8muZyu7E3Ye5yVyfT5BC7SbSxHcWdA1qxLyAZ&#10;SSs0AqeRvVglZXxylWA/iz7lOStXhvD+rk/bWV/DVe3xaSyrKvkDBsCywH1j5H4nlwg+uM96nscR&#10;M1Rx5GxlwFkxgUyAv5OTuRMiboSHJ/znjtfZci98/Pv6FsjhLl9Aw7vuXKWDdtw5l6Wc4n/jztkG&#10;qvz7/ouoMnAyePSbKIx49Ju7PvqD+s0drMV96v1+k3cd0fKaUukrp+JFOqbK6bXiGdPB7YB7hQdu&#10;BWzzrWoujpMZckv4U4WmJJ6ry552q73euaALwVvTtU3PDTzdDwzL8DzhThVG7/m+Yzu6a+qu4ZiG&#10;78qYYVXM5dieYds2sqSBrQMVB2K8zPYGPcuyHTewAsu28AXdkOVg3LM1S9XQUPOVAQbhrXHs4ECQ&#10;7rySKYOP39rf4Ex4xGeP+Ixj5PfCZ8xuq/3KdvEXcXGaJtJ2JfSK4mJ5BJx3WRxKrDYnS7FRcEG6&#10;UwjhuEfB8cgYdy3fQSGEYftd7JxJ1/PHgPAIX3gjvVkIkaMy9R1LIby+bjWrIXKLVSiTMRaKjXe6&#10;5EXQhgsnhOJn9KH9M3JYcCYkUhT+UHTfOxSi2S2UEIGAMSBlwW4/uNM29jjoq9JXtdv33fhQ4cvX&#10;sHMhETH0HyTe28VE/ELylpsdg8vVZe8drhVQDSslT8bQXSdH6SsqQz+NRByS3R0+X7KS9W31NMdw&#10;lM71xUv/D/4LAAD//wMAUEsDBBQABgAIAAAAIQC5wkXn3QAAAAUBAAAPAAAAZHJzL2Rvd25yZXYu&#10;eG1sTI9PS8NAEMXvgt9hGcGb3cRY/8RsSinqqRRsBfE2TaZJaHY2ZLdJ+u0dvejlweMN7/0mW0y2&#10;VQP1vnFsIJ5FoIgLVzZcGfjYvd48gvIBucTWMRk4k4dFfnmRYVq6kd9p2IZKSQn7FA3UIXSp1r6o&#10;yaKfuY5YsoPrLQaxfaXLHkcpt62+jaJ7bbFhWaixo1VNxXF7sgbeRhyXSfwyrI+H1flrN998rmMy&#10;5vpqWj6DCjSFv2P4wRd0yIVp705cetUakEfCr0r2FD2I3RtI5ncJ6DzT/+nzbwAAAP//AwBQSwEC&#10;LQAUAAYACAAAACEAgEX0XkwBAACuAwAAEwAAAAAAAAAAAAAAAAAAAAAAW0NvbnRlbnRfVHlwZXNd&#10;LnhtbFBLAQItABQABgAIAAAAIQA4/SH/1gAAAJQBAAALAAAAAAAAAAAAAAAAAH0BAABfcmVscy8u&#10;cmVsc1BLAQItABQABgAIAAAAIQDOaXmkHQMAAEUHAAAOAAAAAAAAAAAAAAAAAHwCAABkcnMvZTJv&#10;RG9jLnhtbFBLAQItABQABgAIAAAAIQCctF4rhAEAADkDAAAgAAAAAAAAAAAAAAAAAMUFAABkcnMv&#10;Y2hhcnRzL19yZWxzL2NoYXJ0MS54bWwucmVsc1BLAQItABQABgAIAAAAIQCrFs1GuQAAACIBAAAZ&#10;AAAAAAAAAAAAAAAAAIcHAABkcnMvX3JlbHMvZTJvRG9jLnhtbC5yZWxzUEsBAi0AFAAGAAgAAAAh&#10;AChH1fS5BgAAYx8AABwAAAAAAAAAAAAAAAAAdwgAAGRycy90aGVtZS90aGVtZU92ZXJyaWRlMS54&#10;bWxQSwECLQAUAAYACAAAACEAHBSnqAIBAABuAwAAFgAAAAAAAAAAAAAAAABqDwAAZHJzL2NoYXJ0&#10;cy9jb2xvcnMxLnhtbFBLAQItABQABgAIAAAAIQCiCAeR/AQAAIcmAAAVAAAAAAAAAAAAAAAAAKAQ&#10;AABkcnMvY2hhcnRzL3N0eWxlMS54bWxQSwECLQAUAAYACAAAACEAAKXmSjoLAABCMAAAFQAAAAAA&#10;AAAAAAAAAADPFQAAZHJzL2NoYXJ0cy9jaGFydDEueG1sUEsBAi0AFAAGAAgAAAAhALnCRefdAAAA&#10;BQEAAA8AAAAAAAAAAAAAAAAAPCEAAGRycy9kb3ducmV2LnhtbFBLBQYAAAAACgAKAJwCAABGI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άφημα 18" o:spid="_x0000_s1027" type="#_x0000_t75" style="position:absolute;width:45730;height:28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FwxAAAANsAAAAPAAAAZHJzL2Rvd25yZXYueG1sRI9BS8NA&#10;EIXvQv/DMgUv0m4iohK7LUVRBEVobe9DdsyGZmfD7jZJ/71zELzN8N68981qM/lODRRTG9hAuSxA&#10;EdfBttwYOHy/Lh5BpYxssQtMBi6UYLOeXa2wsmHkHQ373CgJ4VShAZdzX2mdakce0zL0xKL9hOgx&#10;yxobbSOOEu47fVsU99pjy9LgsKdnR/Vpf/YGzvZuHHZfx/TyVqZPd/iIl/LmwZjr+bR9ApVpyv/m&#10;v+t3K/gCK7/IAHr9CwAA//8DAFBLAQItABQABgAIAAAAIQDb4fbL7gAAAIUBAAATAAAAAAAAAAAA&#10;AAAAAAAAAABbQ29udGVudF9UeXBlc10ueG1sUEsBAi0AFAAGAAgAAAAhAFr0LFu/AAAAFQEAAAsA&#10;AAAAAAAAAAAAAAAAHwEAAF9yZWxzLy5yZWxzUEsBAi0AFAAGAAgAAAAhABRzgXDEAAAA2wAAAA8A&#10;AAAAAAAAAAAAAAAABwIAAGRycy9kb3ducmV2LnhtbFBLBQYAAAAAAwADALcAAAD4AgAAAAA=&#10;">
                  <v:imagedata r:id="rId21" o:title=""/>
                  <o:lock v:ext="edit" aspectratio="f"/>
                </v:shape>
                <v:rect id="Ορθογώνιο 19" o:spid="_x0000_s1028" style="position:absolute;left:38609;top:809;width:5811;height:2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85wgAAANsAAAAPAAAAZHJzL2Rvd25yZXYueG1sRE9NawIx&#10;EL0L/ocwQm+a6EHs1ijFVhAPoqsHj8Nmurt1Mwmb1F3/vSkUepvH+5zlureNuFMbascaphMFgrhw&#10;puZSw+W8HS9AhIhssHFMGh4UYL0aDpaYGdfxie55LEUK4ZChhipGn0kZiooshonzxIn7cq3FmGBb&#10;StNil8JtI2dKzaXFmlNDhZ42FRW3/MdqaE4f82P9rY7d1Xfn/e6gDjf/qfXLqH9/AxGpj//iP/fO&#10;pPmv8PtLOkCungAAAP//AwBQSwECLQAUAAYACAAAACEA2+H2y+4AAACFAQAAEwAAAAAAAAAAAAAA&#10;AAAAAAAAW0NvbnRlbnRfVHlwZXNdLnhtbFBLAQItABQABgAIAAAAIQBa9CxbvwAAABUBAAALAAAA&#10;AAAAAAAAAAAAAB8BAABfcmVscy8ucmVsc1BLAQItABQABgAIAAAAIQDjUD85wgAAANsAAAAPAAAA&#10;AAAAAAAAAAAAAAcCAABkcnMvZG93bnJldi54bWxQSwUGAAAAAAMAAwC3AAAA9gIAAAAA&#10;" fillcolor="#4472c4" strokecolor="#d8d8d8 [2732]" strokeweight=".5pt">
                  <v:fill opacity="24158f"/>
                </v:rect>
                <w10:anchorlock/>
              </v:group>
            </w:pict>
          </mc:Fallback>
        </mc:AlternateContent>
      </w:r>
    </w:p>
    <w:p w14:paraId="7E98FF5E" w14:textId="77777777" w:rsidR="00BF2234" w:rsidRDefault="00BF2234" w:rsidP="007B11B4">
      <w:pPr>
        <w:spacing w:before="60" w:after="60" w:line="276" w:lineRule="auto"/>
        <w:rPr>
          <w:rFonts w:cs="Arial"/>
          <w:sz w:val="16"/>
          <w:szCs w:val="16"/>
        </w:rPr>
      </w:pPr>
      <w:r>
        <w:rPr>
          <w:rFonts w:cs="Arial"/>
          <w:sz w:val="16"/>
          <w:szCs w:val="16"/>
        </w:rPr>
        <w:t>* έτη προβλέψεων</w:t>
      </w:r>
    </w:p>
    <w:p w14:paraId="4E89A33F" w14:textId="77777777" w:rsidR="00757180" w:rsidRDefault="00757180" w:rsidP="00786DE8">
      <w:pPr>
        <w:spacing w:before="60" w:after="0" w:line="276" w:lineRule="auto"/>
        <w:rPr>
          <w:rFonts w:cs="Arial"/>
          <w:sz w:val="16"/>
          <w:szCs w:val="16"/>
        </w:rPr>
      </w:pPr>
      <w:r w:rsidRPr="0025392F">
        <w:rPr>
          <w:rFonts w:cs="Arial"/>
          <w:sz w:val="16"/>
          <w:szCs w:val="16"/>
        </w:rPr>
        <w:t>Πηγή: Εθνικοί Λογαριασμοί (Eurostat/ΕΛΣΤΑΤ), προβλέψεις ΥΠΕΘΟΟ, Εαρινές Ευρωπαϊκές Οικονομικές Προβλέψεις 2025 της Ευρωπαϊκής Επιτροπής</w:t>
      </w:r>
    </w:p>
    <w:p w14:paraId="11488985" w14:textId="0DE077B8" w:rsidR="000A4F47" w:rsidRPr="0025392F" w:rsidRDefault="003A48C7" w:rsidP="00786DE8">
      <w:pPr>
        <w:spacing w:before="240"/>
      </w:pPr>
      <w:r>
        <w:t>Βασιζόμενη σ</w:t>
      </w:r>
      <w:r w:rsidR="000A4F47" w:rsidRPr="0025392F">
        <w:t xml:space="preserve">τα ενισχυμένα εισοδήματα, η πραγματική καταναλωτική δαπάνη προβλέπεται να αυξηθεί κατά 1,5% το 2026 σε ετήσια βάση, </w:t>
      </w:r>
      <w:r w:rsidR="004B7DAB">
        <w:t xml:space="preserve">δεδομένου ότι </w:t>
      </w:r>
      <w:r w:rsidR="000A4F47" w:rsidRPr="0025392F">
        <w:t xml:space="preserve">η ιδιωτική κατανάλωση αναμένεται να αυξηθεί κατά </w:t>
      </w:r>
      <w:r w:rsidR="000A4F47" w:rsidRPr="0025392F">
        <w:lastRenderedPageBreak/>
        <w:t xml:space="preserve">1,7% και η δημόσια κατανάλωση κατά 0,7%, </w:t>
      </w:r>
      <w:r w:rsidR="004B7DAB">
        <w:t xml:space="preserve">με εφαλτήριο </w:t>
      </w:r>
      <w:r w:rsidR="000A4F47" w:rsidRPr="0025392F">
        <w:t>τις παρεμβάσεις εισοδηματικής πολιτικής για τον ιδιωτικό και τον δημόσιο τομέα</w:t>
      </w:r>
      <w:r>
        <w:t xml:space="preserve">, </w:t>
      </w:r>
      <w:r w:rsidR="000A4F47" w:rsidRPr="0025392F">
        <w:t>τις θετικές εξελίξεις στην αγορά εργασίας,</w:t>
      </w:r>
      <w:r w:rsidR="000A4F47">
        <w:t xml:space="preserve"> </w:t>
      </w:r>
      <w:r w:rsidR="000A4F47" w:rsidRPr="0025392F">
        <w:t>την επιβράδυνση του ρυθμού πληθωρισμού</w:t>
      </w:r>
      <w:r>
        <w:t xml:space="preserve"> καθώς </w:t>
      </w:r>
      <w:r w:rsidR="000A4F47" w:rsidRPr="0025392F">
        <w:t>και την ενίσχυση του καταναλωτικού κλίματος.</w:t>
      </w:r>
    </w:p>
    <w:p w14:paraId="26D080CB" w14:textId="76BE1196" w:rsidR="000A4F47" w:rsidRDefault="000A4F47" w:rsidP="000A4F47">
      <w:r w:rsidRPr="0025392F">
        <w:t>Η απασχόληση εκτιμάται ότι θα συνεχίσει να κινείται ανοδικά το 2026 κατά 0,4% σε ετήσια εθνικολογιστική βάση, αντικατοπτρίζοντας συγκριτικά μεγαλύτερη αύξηση του αριθμού των μισθωτών κατά 0,6%</w:t>
      </w:r>
      <w:r w:rsidR="00AD1A99">
        <w:t>.</w:t>
      </w:r>
      <w:r w:rsidRPr="0025392F">
        <w:t xml:space="preserve"> Σε εθνικολογιστικά μεγέθη ο αριθμός των μισθωτών το 2026 αναμένεται να ανέλθει σε 3,9 εκατομμύρια</w:t>
      </w:r>
      <w:r w:rsidR="00453FF5">
        <w:t xml:space="preserve"> </w:t>
      </w:r>
      <w:r w:rsidR="00453FF5" w:rsidRPr="0025392F">
        <w:t>περίπου</w:t>
      </w:r>
      <w:r w:rsidRPr="0025392F">
        <w:t>, επίπεδο υψηλότερο κατά 659 χιλιάδες άτομα από το αντίστοιχο επίπεδο του 2008, πριν την οικονομική κρίση χρέους στην Ελλάδα. Αντίστοιχα, ο αριθμός των συνολικά απασχολούμενων αναμένεται να ανέλθει σε 5,2 εκατομμύρια, επίπεδο υψηλότερο από εκείνο του 2008 κατά 297 χιλιάδες άτομα, το οποίο αποδίδεται εξ ολοκλήρου σ</w:t>
      </w:r>
      <w:r w:rsidR="006F7127">
        <w:t>την</w:t>
      </w:r>
      <w:r w:rsidRPr="0025392F">
        <w:t xml:space="preserve"> προοδευτική βελτίωση από το 2022 και </w:t>
      </w:r>
      <w:r w:rsidR="003A48C7">
        <w:t>εφεξής</w:t>
      </w:r>
      <w:r w:rsidRPr="0025392F">
        <w:t>.</w:t>
      </w:r>
    </w:p>
    <w:p w14:paraId="27E9BE8B" w14:textId="754D6688" w:rsidR="000A4F47" w:rsidRPr="0025392F" w:rsidRDefault="000A4F47" w:rsidP="000A4F47">
      <w:pPr>
        <w:spacing w:before="120"/>
      </w:pPr>
      <w:r w:rsidRPr="0025392F">
        <w:t xml:space="preserve">Το ποσοστό ανεργίας, έχοντας υποχωρήσει σε μονοψήφιο αριθμό ήδη από το 2025, προβλέπεται να </w:t>
      </w:r>
      <w:r w:rsidR="003A48C7">
        <w:t>μειωθεί</w:t>
      </w:r>
      <w:r w:rsidRPr="0025392F">
        <w:t xml:space="preserve"> περαιτέρω το 2026 κατά μισή ποσοστιαία μονάδα του εργατικού δυναμικού, διαμορφούμενο σε</w:t>
      </w:r>
      <w:r w:rsidR="003A48C7">
        <w:t xml:space="preserve"> </w:t>
      </w:r>
      <w:r w:rsidRPr="0025392F">
        <w:t xml:space="preserve">8,6% βάσει της Έρευνας Εργατικού Δυναμικού, </w:t>
      </w:r>
      <w:r w:rsidR="003A48C7">
        <w:t xml:space="preserve">το </w:t>
      </w:r>
      <w:r w:rsidRPr="0025392F">
        <w:t xml:space="preserve">χαμηλότερο ποσοστό ανεργίας στην Ελλάδα </w:t>
      </w:r>
      <w:r w:rsidR="008F2EF5">
        <w:t xml:space="preserve">μετά </w:t>
      </w:r>
      <w:r w:rsidRPr="0025392F">
        <w:t>το 2008.</w:t>
      </w:r>
    </w:p>
    <w:p w14:paraId="4D3FA952" w14:textId="6340A329" w:rsidR="000A4F47" w:rsidRPr="0025392F" w:rsidRDefault="000A4F47" w:rsidP="000A4F47">
      <w:r w:rsidRPr="0025392F">
        <w:t>Λαμβ</w:t>
      </w:r>
      <w:r w:rsidR="003A48C7">
        <w:t xml:space="preserve">ανομένης </w:t>
      </w:r>
      <w:r w:rsidRPr="0025392F">
        <w:t>υπόψη τη</w:t>
      </w:r>
      <w:r w:rsidR="003A48C7">
        <w:t>ς</w:t>
      </w:r>
      <w:r w:rsidRPr="0025392F">
        <w:t xml:space="preserve"> νέα</w:t>
      </w:r>
      <w:r w:rsidR="003A48C7">
        <w:t>ς</w:t>
      </w:r>
      <w:r w:rsidRPr="0025392F">
        <w:t xml:space="preserve"> </w:t>
      </w:r>
      <w:r w:rsidR="0006775F">
        <w:t>αναπροσαρμογής</w:t>
      </w:r>
      <w:r w:rsidRPr="0025392F">
        <w:t xml:space="preserve"> του κατώτατου μισθού</w:t>
      </w:r>
      <w:r w:rsidR="0006775F">
        <w:t xml:space="preserve"> από την </w:t>
      </w:r>
      <w:r w:rsidR="00E712E9">
        <w:t>01η.4.2026</w:t>
      </w:r>
      <w:r w:rsidR="00E712E9" w:rsidRPr="0025392F">
        <w:t xml:space="preserve"> </w:t>
      </w:r>
      <w:r w:rsidRPr="0025392F">
        <w:t xml:space="preserve">και εν μέσω </w:t>
      </w:r>
      <w:r w:rsidR="00E712E9">
        <w:t>αυξημένης απασχόλησης</w:t>
      </w:r>
      <w:r w:rsidRPr="0025392F">
        <w:t xml:space="preserve">, ο ονομαστικός μέσος μισθός αναμένεται να αυξηθεί το 2026 κατά 3,7%, όσο και το 2025. </w:t>
      </w:r>
      <w:r w:rsidR="006D01A7">
        <w:t xml:space="preserve">Η εξέλιξη αυτή </w:t>
      </w:r>
      <w:r w:rsidRPr="0025392F">
        <w:t xml:space="preserve">διαμορφώνει </w:t>
      </w:r>
      <w:r w:rsidR="00E712E9">
        <w:t>το επίπεδο των κατά κεφαλήν αμοιβών εξαρτημένης εργασίας</w:t>
      </w:r>
      <w:r w:rsidR="00F61CD0">
        <w:t xml:space="preserve"> για το έτος</w:t>
      </w:r>
      <w:r w:rsidRPr="0025392F">
        <w:t xml:space="preserve"> 2026</w:t>
      </w:r>
      <w:r w:rsidR="003B138C">
        <w:t>,</w:t>
      </w:r>
      <w:r w:rsidRPr="0025392F">
        <w:t xml:space="preserve"> 21,6% υψηλότερα από το επίπεδο του </w:t>
      </w:r>
      <w:r w:rsidR="005D7BE1">
        <w:t xml:space="preserve">έτους </w:t>
      </w:r>
      <w:r w:rsidRPr="0025392F">
        <w:t>2019</w:t>
      </w:r>
      <w:r w:rsidR="00E712E9">
        <w:t xml:space="preserve">. </w:t>
      </w:r>
      <w:r w:rsidR="009E2830">
        <w:t xml:space="preserve">Σημειώνεται ότι οι κατά κεφαλήν αμοιβές εξαρτημένης εργασίας αποτελούν μικτές αμοιβές. Εάν ληφθούν υπόψη οι </w:t>
      </w:r>
      <w:r w:rsidR="008F2EF5">
        <w:t xml:space="preserve">διαδοχικές </w:t>
      </w:r>
      <w:r w:rsidR="009E2830">
        <w:t>μειώσεις της φορολογίας εισοδήματος και των ασφαλιστικών εισφορών, εκτιμάται ότι οι καθαρές κατά κεφαλήν αμοιβές το 2026 θα έχουν αυξηθεί περισσότερο από 30% σε σχέση με το 2019</w:t>
      </w:r>
      <w:r w:rsidRPr="0025392F">
        <w:t>.</w:t>
      </w:r>
    </w:p>
    <w:p w14:paraId="1E4F8BED" w14:textId="6033E14A" w:rsidR="000A4F47" w:rsidRPr="0025392F" w:rsidRDefault="000A4F47" w:rsidP="000A4F47">
      <w:r w:rsidRPr="0025392F">
        <w:t>Ο πραγματικός μέσος μισθός προβλέπεται να κινηθεί ανοδικά για τρίτη διαδοχική χρονιά το 2026, με τον ρυθμό αύξησ</w:t>
      </w:r>
      <w:r w:rsidR="00610FEE">
        <w:t>ή</w:t>
      </w:r>
      <w:r w:rsidRPr="0025392F">
        <w:t xml:space="preserve">ς του να επιταχύνεται σε 1,5% από 0,5% το 2025. Η παραγωγικότητα εργασίας προβλέπεται επίσης </w:t>
      </w:r>
      <w:r w:rsidR="00C60DDA">
        <w:t xml:space="preserve">να εισέλθει </w:t>
      </w:r>
      <w:r w:rsidRPr="0025392F">
        <w:t>σε τροχιά επιτάχυνσης, με τον ρυθμό ετήσιας αύξησ</w:t>
      </w:r>
      <w:r w:rsidR="00610FEE">
        <w:t>ή</w:t>
      </w:r>
      <w:r w:rsidRPr="0025392F">
        <w:t>ς της να διαμορφώνεται σε 1,9% από 1,5% το 2025</w:t>
      </w:r>
      <w:r w:rsidR="00932881">
        <w:t xml:space="preserve">, </w:t>
      </w:r>
      <w:r w:rsidRPr="0025392F">
        <w:t>γεγονός που συμβάλλει στη διατήρηση της διεθνούς ανταγωνιστικότητας της ελληνικής οικονομίας.</w:t>
      </w:r>
    </w:p>
    <w:p w14:paraId="6CB7D478" w14:textId="40D770FF" w:rsidR="000A4F47" w:rsidRPr="00CA3C82" w:rsidRDefault="000A4F47" w:rsidP="000A4F47">
      <w:r w:rsidRPr="00BB7CCC">
        <w:t xml:space="preserve">Τα οφέλη για τον πραγματικό μέσο μισθό στηρίζονται στην εκτιμώμενη άμβλυνση των πληθωριστικών πιέσεων </w:t>
      </w:r>
      <w:r w:rsidR="00C60DDA" w:rsidRPr="00BB7CCC">
        <w:t>εντός του</w:t>
      </w:r>
      <w:r w:rsidRPr="00BB7CCC">
        <w:t xml:space="preserve"> 2026. </w:t>
      </w:r>
      <w:r w:rsidR="00BB7CCC" w:rsidRPr="00BB7CCC">
        <w:t>Ο ρυθμός αύξησης του Εν.ΔΤΚ το 2026 προβλέπεται να διαμορφωθεί σε 2,2%</w:t>
      </w:r>
      <w:r w:rsidR="00BB7CCC">
        <w:t xml:space="preserve">, </w:t>
      </w:r>
      <w:r w:rsidR="00BB7CCC" w:rsidRPr="00BB7CCC">
        <w:t>προσεγγίζοντας τον μεσοπρόθεσμο στόχο της ΕΚΤ</w:t>
      </w:r>
      <w:r w:rsidRPr="00BB7CCC">
        <w:t>. Η εξέλιξη αυτή υποδηλώνει την εξομάλυνση των υποκείμενων πιέσεων τόσο στον τομέα των τροφίμων όσο και στον δομικό πυρήνα του πληθωρισμού</w:t>
      </w:r>
      <w:r w:rsidRPr="0025392F">
        <w:t xml:space="preserve"> </w:t>
      </w:r>
      <w:r w:rsidR="00C60DDA">
        <w:t xml:space="preserve">καθώς </w:t>
      </w:r>
      <w:r w:rsidRPr="0025392F">
        <w:t xml:space="preserve">και την αρνητική </w:t>
      </w:r>
      <w:r w:rsidR="00C60DDA">
        <w:t xml:space="preserve">επίδραση </w:t>
      </w:r>
      <w:r w:rsidRPr="0025392F">
        <w:t>της συνιστώσας της ενέργειας, της τάξεως των 0,2 ποσοστιαίων μονάδων, στον ετήσιο ρυθμό μεταβολής του εναρμονισμένου δείκτη.</w:t>
      </w:r>
    </w:p>
    <w:p w14:paraId="635EE379" w14:textId="370A075E" w:rsidR="000A4F47" w:rsidRPr="0025392F" w:rsidRDefault="000A4F47" w:rsidP="000A4F47">
      <w:r w:rsidRPr="0025392F">
        <w:t>Στον εξωτερικό τομέα της οικονομίας οι συνθήκες διεθνούς εμπορίου το 2026 αναμένεται να εξομαλυνθούν μετά την επίτευξη δασμολογικής συμφωνίας μεταξύ ΗΠΑ και Ε</w:t>
      </w:r>
      <w:r w:rsidR="000D214E">
        <w:t>Ε</w:t>
      </w:r>
      <w:r w:rsidRPr="0025392F">
        <w:t xml:space="preserve"> τον Ιούλιο 2025. Ως εκ τούτου, η αβεβαιότητα στο διεθνές περιβάλλον προβλέπεται να είναι μεν υψηλή αλλά μετριασμένη σε σχέση με το </w:t>
      </w:r>
      <w:r w:rsidR="000D214E">
        <w:t>1ο</w:t>
      </w:r>
      <w:r w:rsidRPr="0025392F">
        <w:t xml:space="preserve"> εξάμηνο του 2025. Το γεγονός αυτό</w:t>
      </w:r>
      <w:r w:rsidR="000D214E">
        <w:t>,</w:t>
      </w:r>
      <w:r w:rsidRPr="0025392F">
        <w:t xml:space="preserve"> σε συνδυασμό με τους σχετικά ασθενείς εμπορικούς δεσμούς της Ελλάδας με τις ΗΠΑ, αναμένεται να διατηρήσει συγκρατημένη την επίδραση των αυξημένων δασμών στην ελληνική οικονομία και το 2026.</w:t>
      </w:r>
    </w:p>
    <w:p w14:paraId="4A4977BE" w14:textId="300E7905" w:rsidR="000A4F47" w:rsidRDefault="000A4F47" w:rsidP="00EB4E92">
      <w:pPr>
        <w:spacing w:after="240"/>
      </w:pPr>
      <w:r w:rsidRPr="0025392F">
        <w:t xml:space="preserve">Σε αυτό το πλαίσιο, </w:t>
      </w:r>
      <w:r w:rsidR="000D214E">
        <w:t xml:space="preserve">προβλέπεται </w:t>
      </w:r>
      <w:r w:rsidRPr="0025392F">
        <w:t>θετική πορεία το 2026 για το εξωτερικό ισοζύγιο υπηρεσιών</w:t>
      </w:r>
      <w:r w:rsidR="00FA2BEC">
        <w:t>,</w:t>
      </w:r>
      <w:r w:rsidRPr="0025392F">
        <w:t xml:space="preserve"> με τη συμβολή του στην αύξηση του πραγματικού ΑΕΠ </w:t>
      </w:r>
      <w:r w:rsidR="009033E7">
        <w:t xml:space="preserve">να ανέρχεται </w:t>
      </w:r>
      <w:r w:rsidRPr="0025392F">
        <w:t>σε 0,6 ποσοστιαίες μονάδες λόγω της ταχύτερης αύξησης των πραγματικών εξαγωγών υπηρεσιών (5,0%) έναντι των πραγματικών εισαγωγών υπηρεσιών (2,7%). Η δυναμική αύξηση των ονομαστικών τουριστικών εισπράξεων</w:t>
      </w:r>
      <w:r w:rsidR="009A670A">
        <w:t>,</w:t>
      </w:r>
      <w:r w:rsidRPr="0025392F">
        <w:t xml:space="preserve"> </w:t>
      </w:r>
      <w:r w:rsidR="009A670A">
        <w:t>που εκτιμάται σε</w:t>
      </w:r>
      <w:r w:rsidRPr="0025392F">
        <w:t xml:space="preserve"> 6,5% σε ετήσια βάση</w:t>
      </w:r>
      <w:r w:rsidR="009A670A">
        <w:t>,</w:t>
      </w:r>
      <w:r w:rsidRPr="0025392F">
        <w:t xml:space="preserve"> εκτιμάται ότι θα συμβάλει </w:t>
      </w:r>
      <w:r w:rsidR="009033E7">
        <w:t>προς αυτή την κατεύθυνση</w:t>
      </w:r>
      <w:r w:rsidRPr="0025392F">
        <w:t>.</w:t>
      </w:r>
      <w:r>
        <w:t xml:space="preserve"> </w:t>
      </w:r>
      <w:r w:rsidR="009A670A">
        <w:t>Οι εξαγωγές αγαθών σε σταθερές τιμές αναμένεται να αυξηθούν κατά 3,9%</w:t>
      </w:r>
      <w:r w:rsidR="00605450">
        <w:t xml:space="preserve">, ενώ αύξηση κατά 4,5% προβλέπεται να παρουσιάσουν και οι </w:t>
      </w:r>
      <w:r w:rsidR="009A670A" w:rsidRPr="003A59C0">
        <w:t>εξαγωγές αγαθών και υπηρεσιών</w:t>
      </w:r>
      <w:r w:rsidR="00605450">
        <w:t xml:space="preserve"> συνολικά</w:t>
      </w:r>
      <w:r w:rsidR="009A670A">
        <w:t xml:space="preserve">. Οι εισαγωγές αγαθών και υπηρεσιών </w:t>
      </w:r>
      <w:r w:rsidR="009A670A">
        <w:lastRenderedPageBreak/>
        <w:t>αναμένεται επίσης να αυξηθούν σε ανάλογα επίπεδα (4,6%), ενισχυόμενες από την αύξηση των εισαγωγών αγαθών</w:t>
      </w:r>
      <w:r w:rsidR="00AE53DD">
        <w:t xml:space="preserve"> που </w:t>
      </w:r>
      <w:r w:rsidR="009A670A">
        <w:t>εκτιμάται σε 5,3%</w:t>
      </w:r>
      <w:r w:rsidR="00D43AE8">
        <w:t xml:space="preserve"> </w:t>
      </w:r>
      <w:r w:rsidRPr="0025392F">
        <w:t>λόγω της εύρωστης εγχώριας ζήτησης για επενδύσεις και κατανάλωση.</w:t>
      </w:r>
    </w:p>
    <w:tbl>
      <w:tblPr>
        <w:tblW w:w="0" w:type="auto"/>
        <w:jc w:val="center"/>
        <w:tblBorders>
          <w:top w:val="single" w:sz="8" w:space="0" w:color="7F7F7F"/>
          <w:left w:val="single" w:sz="8" w:space="0" w:color="7F7F7F"/>
          <w:bottom w:val="single" w:sz="8" w:space="0" w:color="7F7F7F"/>
          <w:right w:val="single" w:sz="8" w:space="0" w:color="7F7F7F"/>
        </w:tblBorders>
        <w:tblLook w:val="00A0" w:firstRow="1" w:lastRow="0" w:firstColumn="1" w:lastColumn="0" w:noHBand="0" w:noVBand="0"/>
      </w:tblPr>
      <w:tblGrid>
        <w:gridCol w:w="5302"/>
        <w:gridCol w:w="1012"/>
        <w:gridCol w:w="1079"/>
        <w:gridCol w:w="1028"/>
      </w:tblGrid>
      <w:tr w:rsidR="00927660" w:rsidRPr="0025392F" w14:paraId="331C870B" w14:textId="77777777" w:rsidTr="0042132E">
        <w:trPr>
          <w:cantSplit/>
          <w:trHeight w:val="567"/>
          <w:jc w:val="center"/>
        </w:trPr>
        <w:tc>
          <w:tcPr>
            <w:tcW w:w="8421" w:type="dxa"/>
            <w:gridSpan w:val="4"/>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D5DCE4"/>
            <w:vAlign w:val="center"/>
          </w:tcPr>
          <w:p w14:paraId="7F83853E" w14:textId="61D7E472" w:rsidR="00927660" w:rsidRPr="00EB4E92" w:rsidRDefault="00EB4E92" w:rsidP="00EB4E92">
            <w:pPr>
              <w:spacing w:after="0" w:line="276" w:lineRule="auto"/>
              <w:jc w:val="center"/>
              <w:rPr>
                <w:rFonts w:cs="Arial"/>
                <w:b/>
                <w:sz w:val="18"/>
                <w:szCs w:val="18"/>
              </w:rPr>
            </w:pPr>
            <w:bookmarkStart w:id="30" w:name="_Toc210570893"/>
            <w:r w:rsidRPr="00EB4E92">
              <w:rPr>
                <w:b/>
                <w:sz w:val="18"/>
                <w:szCs w:val="18"/>
              </w:rPr>
              <w:t>Πίνακας 1.</w:t>
            </w:r>
            <w:r w:rsidRPr="00EB4E92">
              <w:rPr>
                <w:b/>
                <w:sz w:val="18"/>
                <w:szCs w:val="18"/>
              </w:rPr>
              <w:fldChar w:fldCharType="begin"/>
            </w:r>
            <w:r w:rsidRPr="00EB4E92">
              <w:rPr>
                <w:b/>
                <w:sz w:val="18"/>
                <w:szCs w:val="18"/>
              </w:rPr>
              <w:instrText xml:space="preserve"> SEQ Πίνακας_1. \* ARABIC </w:instrText>
            </w:r>
            <w:r w:rsidRPr="00EB4E92">
              <w:rPr>
                <w:b/>
                <w:sz w:val="18"/>
                <w:szCs w:val="18"/>
              </w:rPr>
              <w:fldChar w:fldCharType="separate"/>
            </w:r>
            <w:r w:rsidR="00C42930">
              <w:rPr>
                <w:b/>
                <w:noProof/>
                <w:sz w:val="18"/>
                <w:szCs w:val="18"/>
              </w:rPr>
              <w:t>2</w:t>
            </w:r>
            <w:r w:rsidRPr="00EB4E92">
              <w:rPr>
                <w:b/>
                <w:sz w:val="18"/>
                <w:szCs w:val="18"/>
              </w:rPr>
              <w:fldChar w:fldCharType="end"/>
            </w:r>
            <w:r w:rsidRPr="00EB4E92">
              <w:rPr>
                <w:b/>
                <w:sz w:val="18"/>
                <w:szCs w:val="18"/>
              </w:rPr>
              <w:t xml:space="preserve">.: </w:t>
            </w:r>
            <w:r w:rsidR="00927660" w:rsidRPr="00EB4E92">
              <w:rPr>
                <w:rFonts w:cs="Arial"/>
                <w:b/>
                <w:sz w:val="18"/>
                <w:szCs w:val="18"/>
              </w:rPr>
              <w:t>Βασικά μεγέθη της ελληνικής οικονομίας</w:t>
            </w:r>
            <w:bookmarkEnd w:id="30"/>
          </w:p>
          <w:p w14:paraId="739B97D4" w14:textId="77777777" w:rsidR="00927660" w:rsidRPr="0025392F" w:rsidRDefault="00927660" w:rsidP="00EB4E92">
            <w:pPr>
              <w:spacing w:after="0" w:line="276" w:lineRule="auto"/>
              <w:jc w:val="center"/>
              <w:rPr>
                <w:rFonts w:ascii="Calibri" w:hAnsi="Calibri"/>
                <w:b/>
                <w:sz w:val="18"/>
                <w:szCs w:val="18"/>
              </w:rPr>
            </w:pPr>
            <w:r w:rsidRPr="00EB4E92">
              <w:rPr>
                <w:rFonts w:cs="Arial"/>
                <w:b/>
                <w:sz w:val="18"/>
                <w:szCs w:val="18"/>
              </w:rPr>
              <w:t>(% ετήσιες μεταβολές, σταθερές τιμές)</w:t>
            </w:r>
          </w:p>
        </w:tc>
      </w:tr>
      <w:tr w:rsidR="00927660" w:rsidRPr="0025392F" w14:paraId="53014F99" w14:textId="77777777" w:rsidTr="0042132E">
        <w:trPr>
          <w:cantSplit/>
          <w:trHeight w:val="340"/>
          <w:jc w:val="center"/>
        </w:trPr>
        <w:tc>
          <w:tcPr>
            <w:tcW w:w="5302" w:type="dxa"/>
            <w:tcBorders>
              <w:top w:val="nil"/>
              <w:left w:val="single" w:sz="2" w:space="0" w:color="808080" w:themeColor="background1" w:themeShade="80"/>
              <w:bottom w:val="nil"/>
            </w:tcBorders>
            <w:shd w:val="clear" w:color="auto" w:fill="F2F2F2" w:themeFill="background1" w:themeFillShade="F2"/>
            <w:vAlign w:val="center"/>
          </w:tcPr>
          <w:p w14:paraId="6875818B" w14:textId="77777777" w:rsidR="00927660" w:rsidRPr="0025392F" w:rsidRDefault="00927660" w:rsidP="009B5C19">
            <w:pPr>
              <w:spacing w:after="0" w:line="240" w:lineRule="auto"/>
              <w:jc w:val="center"/>
              <w:rPr>
                <w:rFonts w:ascii="Arial Narrow" w:hAnsi="Arial Narrow"/>
                <w:b/>
                <w:sz w:val="16"/>
                <w:szCs w:val="16"/>
              </w:rPr>
            </w:pPr>
          </w:p>
        </w:tc>
        <w:tc>
          <w:tcPr>
            <w:tcW w:w="1012" w:type="dxa"/>
            <w:tcBorders>
              <w:top w:val="nil"/>
              <w:bottom w:val="nil"/>
            </w:tcBorders>
            <w:shd w:val="clear" w:color="auto" w:fill="F2F2F2" w:themeFill="background1" w:themeFillShade="F2"/>
            <w:vAlign w:val="center"/>
          </w:tcPr>
          <w:p w14:paraId="7EF79572" w14:textId="77777777" w:rsidR="00927660" w:rsidRPr="0025392F" w:rsidRDefault="00927660" w:rsidP="009B5C19">
            <w:pPr>
              <w:spacing w:after="0" w:line="240" w:lineRule="auto"/>
              <w:jc w:val="center"/>
              <w:rPr>
                <w:rFonts w:cs="Arial"/>
                <w:b/>
                <w:sz w:val="18"/>
                <w:szCs w:val="16"/>
              </w:rPr>
            </w:pPr>
            <w:r w:rsidRPr="0025392F">
              <w:rPr>
                <w:rFonts w:cs="Arial"/>
                <w:b/>
                <w:sz w:val="18"/>
                <w:szCs w:val="16"/>
              </w:rPr>
              <w:t>2024</w:t>
            </w:r>
          </w:p>
        </w:tc>
        <w:tc>
          <w:tcPr>
            <w:tcW w:w="1079" w:type="dxa"/>
            <w:tcBorders>
              <w:top w:val="nil"/>
              <w:bottom w:val="nil"/>
            </w:tcBorders>
            <w:shd w:val="clear" w:color="auto" w:fill="F2F2F2" w:themeFill="background1" w:themeFillShade="F2"/>
            <w:vAlign w:val="center"/>
          </w:tcPr>
          <w:p w14:paraId="7B2D4274" w14:textId="77777777" w:rsidR="00927660" w:rsidRPr="0025392F" w:rsidRDefault="00927660" w:rsidP="009B5C19">
            <w:pPr>
              <w:spacing w:after="0" w:line="240" w:lineRule="auto"/>
              <w:jc w:val="center"/>
              <w:rPr>
                <w:rFonts w:cs="Arial"/>
                <w:b/>
                <w:sz w:val="18"/>
                <w:szCs w:val="16"/>
              </w:rPr>
            </w:pPr>
            <w:r w:rsidRPr="0025392F">
              <w:rPr>
                <w:rFonts w:cs="Arial"/>
                <w:b/>
                <w:sz w:val="18"/>
                <w:szCs w:val="16"/>
              </w:rPr>
              <w:t>2025**</w:t>
            </w:r>
          </w:p>
        </w:tc>
        <w:tc>
          <w:tcPr>
            <w:tcW w:w="1028" w:type="dxa"/>
            <w:tcBorders>
              <w:top w:val="nil"/>
              <w:bottom w:val="nil"/>
              <w:right w:val="single" w:sz="2" w:space="0" w:color="808080" w:themeColor="background1" w:themeShade="80"/>
            </w:tcBorders>
            <w:shd w:val="clear" w:color="auto" w:fill="F2F2F2" w:themeFill="background1" w:themeFillShade="F2"/>
            <w:vAlign w:val="center"/>
          </w:tcPr>
          <w:p w14:paraId="125B48B7" w14:textId="77777777" w:rsidR="00927660" w:rsidRPr="0025392F" w:rsidRDefault="00927660" w:rsidP="009B5C19">
            <w:pPr>
              <w:spacing w:after="0" w:line="240" w:lineRule="auto"/>
              <w:jc w:val="center"/>
              <w:rPr>
                <w:rFonts w:cs="Arial"/>
                <w:b/>
                <w:sz w:val="18"/>
                <w:szCs w:val="16"/>
              </w:rPr>
            </w:pPr>
            <w:r w:rsidRPr="0025392F">
              <w:rPr>
                <w:rFonts w:cs="Arial"/>
                <w:b/>
                <w:sz w:val="18"/>
                <w:szCs w:val="16"/>
              </w:rPr>
              <w:t>2026**</w:t>
            </w:r>
          </w:p>
        </w:tc>
      </w:tr>
      <w:tr w:rsidR="00927660" w:rsidRPr="00EB4E92" w14:paraId="0AEE912C" w14:textId="77777777" w:rsidTr="0042132E">
        <w:trPr>
          <w:cantSplit/>
          <w:trHeight w:val="283"/>
          <w:jc w:val="center"/>
        </w:trPr>
        <w:tc>
          <w:tcPr>
            <w:tcW w:w="5302" w:type="dxa"/>
            <w:tcBorders>
              <w:top w:val="nil"/>
              <w:left w:val="single" w:sz="2" w:space="0" w:color="808080" w:themeColor="background1" w:themeShade="80"/>
              <w:bottom w:val="nil"/>
            </w:tcBorders>
            <w:vAlign w:val="center"/>
          </w:tcPr>
          <w:p w14:paraId="7457867B" w14:textId="77777777" w:rsidR="00927660" w:rsidRPr="00EB4E92" w:rsidRDefault="00927660" w:rsidP="008511B2">
            <w:pPr>
              <w:spacing w:after="0" w:line="276" w:lineRule="auto"/>
              <w:jc w:val="left"/>
              <w:rPr>
                <w:rFonts w:cs="Arial"/>
                <w:sz w:val="16"/>
                <w:szCs w:val="16"/>
              </w:rPr>
            </w:pPr>
            <w:r w:rsidRPr="00EB4E92">
              <w:rPr>
                <w:rFonts w:cs="Arial"/>
                <w:sz w:val="16"/>
                <w:szCs w:val="16"/>
              </w:rPr>
              <w:t>ΑΕΠ</w:t>
            </w:r>
          </w:p>
        </w:tc>
        <w:tc>
          <w:tcPr>
            <w:tcW w:w="1012" w:type="dxa"/>
            <w:tcBorders>
              <w:top w:val="nil"/>
              <w:bottom w:val="nil"/>
            </w:tcBorders>
            <w:vAlign w:val="center"/>
          </w:tcPr>
          <w:p w14:paraId="5CCF1E15" w14:textId="77777777" w:rsidR="00927660" w:rsidRPr="00EB4E92" w:rsidRDefault="00927660" w:rsidP="008511B2">
            <w:pPr>
              <w:spacing w:after="0" w:line="276" w:lineRule="auto"/>
              <w:jc w:val="right"/>
              <w:rPr>
                <w:rFonts w:cs="Arial"/>
                <w:sz w:val="16"/>
                <w:szCs w:val="16"/>
              </w:rPr>
            </w:pPr>
            <w:r w:rsidRPr="00EB4E92">
              <w:rPr>
                <w:rFonts w:cs="Arial"/>
                <w:sz w:val="16"/>
                <w:szCs w:val="16"/>
              </w:rPr>
              <w:t>2,3</w:t>
            </w:r>
          </w:p>
        </w:tc>
        <w:tc>
          <w:tcPr>
            <w:tcW w:w="1079" w:type="dxa"/>
            <w:tcBorders>
              <w:top w:val="nil"/>
              <w:bottom w:val="nil"/>
            </w:tcBorders>
            <w:vAlign w:val="center"/>
          </w:tcPr>
          <w:p w14:paraId="10C20025" w14:textId="77777777" w:rsidR="00927660" w:rsidRPr="00EB4E92" w:rsidRDefault="00927660" w:rsidP="008511B2">
            <w:pPr>
              <w:spacing w:after="0" w:line="276" w:lineRule="auto"/>
              <w:jc w:val="right"/>
              <w:rPr>
                <w:rFonts w:cs="Arial"/>
                <w:sz w:val="16"/>
                <w:szCs w:val="16"/>
              </w:rPr>
            </w:pPr>
            <w:r w:rsidRPr="00EB4E92">
              <w:rPr>
                <w:rFonts w:cs="Arial"/>
                <w:sz w:val="16"/>
                <w:szCs w:val="16"/>
              </w:rPr>
              <w:t>2,2</w:t>
            </w:r>
          </w:p>
        </w:tc>
        <w:tc>
          <w:tcPr>
            <w:tcW w:w="1028" w:type="dxa"/>
            <w:tcBorders>
              <w:top w:val="nil"/>
              <w:bottom w:val="nil"/>
              <w:right w:val="single" w:sz="2" w:space="0" w:color="808080" w:themeColor="background1" w:themeShade="80"/>
            </w:tcBorders>
            <w:vAlign w:val="center"/>
          </w:tcPr>
          <w:p w14:paraId="7D8C5039" w14:textId="77777777" w:rsidR="00927660" w:rsidRPr="00EB4E92" w:rsidRDefault="00927660" w:rsidP="008511B2">
            <w:pPr>
              <w:spacing w:after="0" w:line="276" w:lineRule="auto"/>
              <w:jc w:val="right"/>
              <w:rPr>
                <w:rFonts w:cs="Arial"/>
                <w:sz w:val="16"/>
                <w:szCs w:val="16"/>
              </w:rPr>
            </w:pPr>
            <w:r w:rsidRPr="00EB4E92">
              <w:rPr>
                <w:rFonts w:cs="Arial"/>
                <w:sz w:val="16"/>
                <w:szCs w:val="16"/>
              </w:rPr>
              <w:t>2,4</w:t>
            </w:r>
          </w:p>
        </w:tc>
      </w:tr>
      <w:tr w:rsidR="00927660" w:rsidRPr="00EB4E92" w14:paraId="6C15583E"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7D43FF33" w14:textId="77777777" w:rsidR="00927660" w:rsidRPr="00EB4E92" w:rsidRDefault="00927660" w:rsidP="008511B2">
            <w:pPr>
              <w:spacing w:after="0" w:line="276" w:lineRule="auto"/>
              <w:jc w:val="left"/>
              <w:rPr>
                <w:rFonts w:cs="Arial"/>
                <w:sz w:val="16"/>
                <w:szCs w:val="16"/>
              </w:rPr>
            </w:pPr>
            <w:r w:rsidRPr="00EB4E92">
              <w:rPr>
                <w:rFonts w:cs="Arial"/>
                <w:sz w:val="16"/>
                <w:szCs w:val="16"/>
              </w:rPr>
              <w:t>Ιδιωτική κατανάλωση</w:t>
            </w:r>
          </w:p>
        </w:tc>
        <w:tc>
          <w:tcPr>
            <w:tcW w:w="1012" w:type="dxa"/>
            <w:tcBorders>
              <w:top w:val="nil"/>
              <w:bottom w:val="nil"/>
            </w:tcBorders>
            <w:vAlign w:val="center"/>
          </w:tcPr>
          <w:p w14:paraId="34A24CE7" w14:textId="77777777" w:rsidR="00927660" w:rsidRPr="00EB4E92" w:rsidRDefault="00927660" w:rsidP="008511B2">
            <w:pPr>
              <w:spacing w:after="0" w:line="276" w:lineRule="auto"/>
              <w:jc w:val="right"/>
              <w:rPr>
                <w:rFonts w:cs="Arial"/>
                <w:sz w:val="16"/>
                <w:szCs w:val="16"/>
              </w:rPr>
            </w:pPr>
            <w:r w:rsidRPr="00EB4E92">
              <w:rPr>
                <w:rFonts w:cs="Arial"/>
                <w:sz w:val="16"/>
                <w:szCs w:val="16"/>
              </w:rPr>
              <w:t>2,1</w:t>
            </w:r>
          </w:p>
        </w:tc>
        <w:tc>
          <w:tcPr>
            <w:tcW w:w="1079" w:type="dxa"/>
            <w:tcBorders>
              <w:top w:val="nil"/>
              <w:bottom w:val="nil"/>
            </w:tcBorders>
            <w:vAlign w:val="center"/>
          </w:tcPr>
          <w:p w14:paraId="516CF9AE" w14:textId="77777777" w:rsidR="00927660" w:rsidRPr="00EB4E92" w:rsidRDefault="00927660" w:rsidP="008511B2">
            <w:pPr>
              <w:spacing w:after="0" w:line="276" w:lineRule="auto"/>
              <w:jc w:val="right"/>
              <w:rPr>
                <w:rFonts w:cs="Arial"/>
                <w:sz w:val="16"/>
                <w:szCs w:val="16"/>
              </w:rPr>
            </w:pPr>
            <w:r w:rsidRPr="00EB4E92">
              <w:rPr>
                <w:rFonts w:cs="Arial"/>
                <w:sz w:val="16"/>
                <w:szCs w:val="16"/>
              </w:rPr>
              <w:t>1,9</w:t>
            </w:r>
          </w:p>
        </w:tc>
        <w:tc>
          <w:tcPr>
            <w:tcW w:w="1028" w:type="dxa"/>
            <w:tcBorders>
              <w:top w:val="nil"/>
              <w:bottom w:val="nil"/>
              <w:right w:val="single" w:sz="2" w:space="0" w:color="808080" w:themeColor="background1" w:themeShade="80"/>
            </w:tcBorders>
            <w:vAlign w:val="center"/>
          </w:tcPr>
          <w:p w14:paraId="5CB37827" w14:textId="77777777" w:rsidR="00927660" w:rsidRPr="00EB4E92" w:rsidRDefault="00927660" w:rsidP="008511B2">
            <w:pPr>
              <w:spacing w:after="0" w:line="276" w:lineRule="auto"/>
              <w:jc w:val="right"/>
              <w:rPr>
                <w:rFonts w:cs="Arial"/>
                <w:sz w:val="16"/>
                <w:szCs w:val="16"/>
              </w:rPr>
            </w:pPr>
            <w:r w:rsidRPr="00EB4E92">
              <w:rPr>
                <w:rFonts w:cs="Arial"/>
                <w:sz w:val="16"/>
                <w:szCs w:val="16"/>
              </w:rPr>
              <w:t>1,7</w:t>
            </w:r>
          </w:p>
        </w:tc>
      </w:tr>
      <w:tr w:rsidR="00927660" w:rsidRPr="00EB4E92" w14:paraId="1AAC9915"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09E727D5" w14:textId="77777777" w:rsidR="00927660" w:rsidRPr="00EB4E92" w:rsidRDefault="00927660" w:rsidP="008511B2">
            <w:pPr>
              <w:spacing w:after="0" w:line="276" w:lineRule="auto"/>
              <w:jc w:val="left"/>
              <w:rPr>
                <w:rFonts w:cs="Arial"/>
                <w:sz w:val="16"/>
                <w:szCs w:val="16"/>
              </w:rPr>
            </w:pPr>
            <w:r w:rsidRPr="00EB4E92">
              <w:rPr>
                <w:rFonts w:cs="Arial"/>
                <w:sz w:val="16"/>
                <w:szCs w:val="16"/>
              </w:rPr>
              <w:t>Δημόσια κατανάλωση</w:t>
            </w:r>
          </w:p>
        </w:tc>
        <w:tc>
          <w:tcPr>
            <w:tcW w:w="1012" w:type="dxa"/>
            <w:tcBorders>
              <w:top w:val="nil"/>
              <w:bottom w:val="nil"/>
            </w:tcBorders>
            <w:vAlign w:val="center"/>
          </w:tcPr>
          <w:p w14:paraId="03EFB9AD" w14:textId="77777777" w:rsidR="00927660" w:rsidRPr="00EB4E92" w:rsidRDefault="00927660" w:rsidP="008511B2">
            <w:pPr>
              <w:spacing w:after="0" w:line="276" w:lineRule="auto"/>
              <w:jc w:val="right"/>
              <w:rPr>
                <w:rFonts w:cs="Arial"/>
                <w:sz w:val="16"/>
                <w:szCs w:val="16"/>
              </w:rPr>
            </w:pPr>
            <w:r w:rsidRPr="00EB4E92">
              <w:rPr>
                <w:rFonts w:cs="Arial"/>
                <w:sz w:val="16"/>
                <w:szCs w:val="16"/>
              </w:rPr>
              <w:t>-4,1</w:t>
            </w:r>
          </w:p>
        </w:tc>
        <w:tc>
          <w:tcPr>
            <w:tcW w:w="1079" w:type="dxa"/>
            <w:tcBorders>
              <w:top w:val="nil"/>
              <w:bottom w:val="nil"/>
            </w:tcBorders>
            <w:vAlign w:val="center"/>
          </w:tcPr>
          <w:p w14:paraId="1EB2C42B" w14:textId="77777777" w:rsidR="00927660" w:rsidRPr="00EB4E92" w:rsidRDefault="00927660" w:rsidP="008511B2">
            <w:pPr>
              <w:spacing w:after="0" w:line="276" w:lineRule="auto"/>
              <w:jc w:val="right"/>
              <w:rPr>
                <w:rFonts w:cs="Arial"/>
                <w:sz w:val="16"/>
                <w:szCs w:val="16"/>
              </w:rPr>
            </w:pPr>
            <w:r w:rsidRPr="00EB4E92">
              <w:rPr>
                <w:rFonts w:cs="Arial"/>
                <w:sz w:val="16"/>
                <w:szCs w:val="16"/>
              </w:rPr>
              <w:t>1,4</w:t>
            </w:r>
          </w:p>
        </w:tc>
        <w:tc>
          <w:tcPr>
            <w:tcW w:w="1028" w:type="dxa"/>
            <w:tcBorders>
              <w:top w:val="nil"/>
              <w:bottom w:val="nil"/>
              <w:right w:val="single" w:sz="2" w:space="0" w:color="808080" w:themeColor="background1" w:themeShade="80"/>
            </w:tcBorders>
            <w:vAlign w:val="center"/>
          </w:tcPr>
          <w:p w14:paraId="4B1C6071" w14:textId="77777777" w:rsidR="00927660" w:rsidRPr="00EB4E92" w:rsidRDefault="00927660" w:rsidP="008511B2">
            <w:pPr>
              <w:spacing w:after="0" w:line="276" w:lineRule="auto"/>
              <w:jc w:val="right"/>
              <w:rPr>
                <w:rFonts w:cs="Arial"/>
                <w:sz w:val="16"/>
                <w:szCs w:val="16"/>
              </w:rPr>
            </w:pPr>
            <w:r w:rsidRPr="00EB4E92">
              <w:rPr>
                <w:rFonts w:cs="Arial"/>
                <w:sz w:val="16"/>
                <w:szCs w:val="16"/>
              </w:rPr>
              <w:t>0,7</w:t>
            </w:r>
          </w:p>
        </w:tc>
      </w:tr>
      <w:tr w:rsidR="00927660" w:rsidRPr="00EB4E92" w14:paraId="5DEA9AD2"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6A797FC9" w14:textId="77777777" w:rsidR="00927660" w:rsidRPr="00EB4E92" w:rsidRDefault="00927660" w:rsidP="008511B2">
            <w:pPr>
              <w:spacing w:after="0" w:line="276" w:lineRule="auto"/>
              <w:jc w:val="left"/>
              <w:rPr>
                <w:rFonts w:cs="Arial"/>
                <w:sz w:val="16"/>
                <w:szCs w:val="16"/>
              </w:rPr>
            </w:pPr>
            <w:r w:rsidRPr="00EB4E92">
              <w:rPr>
                <w:rFonts w:cs="Arial"/>
                <w:sz w:val="16"/>
                <w:szCs w:val="16"/>
              </w:rPr>
              <w:t>Ακαθάριστος σχηματισμός παγίου κεφαλαίου</w:t>
            </w:r>
          </w:p>
        </w:tc>
        <w:tc>
          <w:tcPr>
            <w:tcW w:w="1012" w:type="dxa"/>
            <w:tcBorders>
              <w:top w:val="nil"/>
              <w:bottom w:val="nil"/>
            </w:tcBorders>
            <w:vAlign w:val="center"/>
          </w:tcPr>
          <w:p w14:paraId="522834F5" w14:textId="77777777" w:rsidR="00927660" w:rsidRPr="00EB4E92" w:rsidRDefault="00927660" w:rsidP="008511B2">
            <w:pPr>
              <w:spacing w:after="0" w:line="276" w:lineRule="auto"/>
              <w:jc w:val="right"/>
              <w:rPr>
                <w:rFonts w:cs="Arial"/>
                <w:sz w:val="16"/>
                <w:szCs w:val="16"/>
              </w:rPr>
            </w:pPr>
            <w:r w:rsidRPr="00EB4E92">
              <w:rPr>
                <w:rFonts w:cs="Arial"/>
                <w:sz w:val="16"/>
                <w:szCs w:val="16"/>
              </w:rPr>
              <w:t>4,5</w:t>
            </w:r>
          </w:p>
        </w:tc>
        <w:tc>
          <w:tcPr>
            <w:tcW w:w="1079" w:type="dxa"/>
            <w:tcBorders>
              <w:top w:val="nil"/>
              <w:bottom w:val="nil"/>
            </w:tcBorders>
            <w:vAlign w:val="center"/>
          </w:tcPr>
          <w:p w14:paraId="6B848D44" w14:textId="77777777" w:rsidR="00927660" w:rsidRPr="00EB4E92" w:rsidRDefault="00927660" w:rsidP="008511B2">
            <w:pPr>
              <w:spacing w:after="0" w:line="276" w:lineRule="auto"/>
              <w:jc w:val="right"/>
              <w:rPr>
                <w:rFonts w:cs="Arial"/>
                <w:sz w:val="16"/>
                <w:szCs w:val="16"/>
              </w:rPr>
            </w:pPr>
            <w:r w:rsidRPr="00EB4E92">
              <w:rPr>
                <w:rFonts w:cs="Arial"/>
                <w:sz w:val="16"/>
                <w:szCs w:val="16"/>
              </w:rPr>
              <w:t>5,7</w:t>
            </w:r>
          </w:p>
        </w:tc>
        <w:tc>
          <w:tcPr>
            <w:tcW w:w="1028" w:type="dxa"/>
            <w:tcBorders>
              <w:top w:val="nil"/>
              <w:bottom w:val="nil"/>
              <w:right w:val="single" w:sz="2" w:space="0" w:color="808080" w:themeColor="background1" w:themeShade="80"/>
            </w:tcBorders>
            <w:vAlign w:val="center"/>
          </w:tcPr>
          <w:p w14:paraId="572C69FB" w14:textId="77777777" w:rsidR="00927660" w:rsidRPr="00EB4E92" w:rsidRDefault="00927660" w:rsidP="008511B2">
            <w:pPr>
              <w:spacing w:after="0" w:line="276" w:lineRule="auto"/>
              <w:jc w:val="right"/>
              <w:rPr>
                <w:rFonts w:cs="Arial"/>
                <w:sz w:val="16"/>
                <w:szCs w:val="16"/>
              </w:rPr>
            </w:pPr>
            <w:r w:rsidRPr="00EB4E92">
              <w:rPr>
                <w:rFonts w:cs="Arial"/>
                <w:sz w:val="16"/>
                <w:szCs w:val="16"/>
              </w:rPr>
              <w:t>10,2</w:t>
            </w:r>
          </w:p>
        </w:tc>
      </w:tr>
      <w:tr w:rsidR="00927660" w:rsidRPr="00EB4E92" w14:paraId="25D2A00F"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0C4265ED" w14:textId="77777777" w:rsidR="00927660" w:rsidRPr="00EB4E92" w:rsidRDefault="00927660" w:rsidP="008511B2">
            <w:pPr>
              <w:spacing w:after="0" w:line="276" w:lineRule="auto"/>
              <w:jc w:val="left"/>
              <w:rPr>
                <w:rFonts w:cs="Arial"/>
                <w:sz w:val="16"/>
                <w:szCs w:val="16"/>
              </w:rPr>
            </w:pPr>
            <w:r w:rsidRPr="00EB4E92">
              <w:rPr>
                <w:rFonts w:cs="Arial"/>
                <w:sz w:val="16"/>
                <w:szCs w:val="16"/>
              </w:rPr>
              <w:t>Εξαγωγές αγαθών και υπηρεσιών</w:t>
            </w:r>
          </w:p>
        </w:tc>
        <w:tc>
          <w:tcPr>
            <w:tcW w:w="1012" w:type="dxa"/>
            <w:tcBorders>
              <w:top w:val="nil"/>
              <w:bottom w:val="nil"/>
            </w:tcBorders>
            <w:vAlign w:val="center"/>
          </w:tcPr>
          <w:p w14:paraId="6A4CDD55" w14:textId="77777777" w:rsidR="00927660" w:rsidRPr="00EB4E92" w:rsidRDefault="00927660" w:rsidP="008511B2">
            <w:pPr>
              <w:spacing w:after="0" w:line="276" w:lineRule="auto"/>
              <w:jc w:val="right"/>
              <w:rPr>
                <w:rFonts w:cs="Arial"/>
                <w:sz w:val="16"/>
                <w:szCs w:val="16"/>
              </w:rPr>
            </w:pPr>
            <w:r w:rsidRPr="00EB4E92">
              <w:rPr>
                <w:rFonts w:cs="Arial"/>
                <w:sz w:val="16"/>
                <w:szCs w:val="16"/>
              </w:rPr>
              <w:t>1,0</w:t>
            </w:r>
          </w:p>
        </w:tc>
        <w:tc>
          <w:tcPr>
            <w:tcW w:w="1079" w:type="dxa"/>
            <w:tcBorders>
              <w:top w:val="nil"/>
              <w:bottom w:val="nil"/>
            </w:tcBorders>
            <w:vAlign w:val="center"/>
          </w:tcPr>
          <w:p w14:paraId="21D3F47A" w14:textId="77777777" w:rsidR="00927660" w:rsidRPr="00EB4E92" w:rsidRDefault="00927660" w:rsidP="008511B2">
            <w:pPr>
              <w:spacing w:after="0" w:line="276" w:lineRule="auto"/>
              <w:jc w:val="right"/>
              <w:rPr>
                <w:rFonts w:cs="Arial"/>
                <w:sz w:val="16"/>
                <w:szCs w:val="16"/>
              </w:rPr>
            </w:pPr>
            <w:r w:rsidRPr="00EB4E92">
              <w:rPr>
                <w:rFonts w:cs="Arial"/>
                <w:sz w:val="16"/>
                <w:szCs w:val="16"/>
              </w:rPr>
              <w:t>2,2</w:t>
            </w:r>
          </w:p>
        </w:tc>
        <w:tc>
          <w:tcPr>
            <w:tcW w:w="1028" w:type="dxa"/>
            <w:tcBorders>
              <w:top w:val="nil"/>
              <w:bottom w:val="nil"/>
              <w:right w:val="single" w:sz="2" w:space="0" w:color="808080" w:themeColor="background1" w:themeShade="80"/>
            </w:tcBorders>
            <w:vAlign w:val="center"/>
          </w:tcPr>
          <w:p w14:paraId="5B56A3B1" w14:textId="77777777" w:rsidR="00927660" w:rsidRPr="00EB4E92" w:rsidRDefault="00927660" w:rsidP="008511B2">
            <w:pPr>
              <w:spacing w:after="0" w:line="276" w:lineRule="auto"/>
              <w:jc w:val="right"/>
              <w:rPr>
                <w:rFonts w:cs="Arial"/>
                <w:sz w:val="16"/>
                <w:szCs w:val="16"/>
              </w:rPr>
            </w:pPr>
            <w:r w:rsidRPr="00EB4E92">
              <w:rPr>
                <w:rFonts w:cs="Arial"/>
                <w:sz w:val="16"/>
                <w:szCs w:val="16"/>
              </w:rPr>
              <w:t>4,5</w:t>
            </w:r>
          </w:p>
        </w:tc>
      </w:tr>
      <w:tr w:rsidR="00927660" w:rsidRPr="00EB4E92" w14:paraId="0E516B34"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1C53225D" w14:textId="77777777" w:rsidR="00927660" w:rsidRPr="00EB4E92" w:rsidRDefault="00927660" w:rsidP="008511B2">
            <w:pPr>
              <w:spacing w:after="0" w:line="276" w:lineRule="auto"/>
              <w:jc w:val="left"/>
              <w:rPr>
                <w:rFonts w:cs="Arial"/>
                <w:sz w:val="16"/>
                <w:szCs w:val="16"/>
              </w:rPr>
            </w:pPr>
            <w:r w:rsidRPr="00EB4E92">
              <w:rPr>
                <w:rFonts w:cs="Arial"/>
                <w:sz w:val="16"/>
                <w:szCs w:val="16"/>
              </w:rPr>
              <w:t>Εισαγωγές αγαθών και υπηρεσιών</w:t>
            </w:r>
          </w:p>
        </w:tc>
        <w:tc>
          <w:tcPr>
            <w:tcW w:w="1012" w:type="dxa"/>
            <w:tcBorders>
              <w:top w:val="nil"/>
              <w:bottom w:val="nil"/>
            </w:tcBorders>
            <w:vAlign w:val="center"/>
          </w:tcPr>
          <w:p w14:paraId="3C5A0521" w14:textId="77777777" w:rsidR="00927660" w:rsidRPr="00EB4E92" w:rsidRDefault="00927660" w:rsidP="008511B2">
            <w:pPr>
              <w:spacing w:after="0" w:line="276" w:lineRule="auto"/>
              <w:jc w:val="right"/>
              <w:rPr>
                <w:rFonts w:cs="Arial"/>
                <w:sz w:val="16"/>
                <w:szCs w:val="16"/>
              </w:rPr>
            </w:pPr>
            <w:r w:rsidRPr="00EB4E92">
              <w:rPr>
                <w:rFonts w:cs="Arial"/>
                <w:sz w:val="16"/>
                <w:szCs w:val="16"/>
              </w:rPr>
              <w:t>5,5</w:t>
            </w:r>
          </w:p>
        </w:tc>
        <w:tc>
          <w:tcPr>
            <w:tcW w:w="1079" w:type="dxa"/>
            <w:tcBorders>
              <w:top w:val="nil"/>
              <w:bottom w:val="nil"/>
            </w:tcBorders>
            <w:vAlign w:val="center"/>
          </w:tcPr>
          <w:p w14:paraId="6483976E" w14:textId="77777777" w:rsidR="00927660" w:rsidRPr="00EB4E92" w:rsidRDefault="00927660" w:rsidP="008511B2">
            <w:pPr>
              <w:spacing w:after="0" w:line="276" w:lineRule="auto"/>
              <w:jc w:val="right"/>
              <w:rPr>
                <w:rFonts w:cs="Arial"/>
                <w:sz w:val="16"/>
                <w:szCs w:val="16"/>
              </w:rPr>
            </w:pPr>
            <w:r w:rsidRPr="00EB4E92">
              <w:rPr>
                <w:rFonts w:cs="Arial"/>
                <w:sz w:val="16"/>
                <w:szCs w:val="16"/>
              </w:rPr>
              <w:t>0,9</w:t>
            </w:r>
          </w:p>
        </w:tc>
        <w:tc>
          <w:tcPr>
            <w:tcW w:w="1028" w:type="dxa"/>
            <w:tcBorders>
              <w:top w:val="nil"/>
              <w:bottom w:val="nil"/>
              <w:right w:val="single" w:sz="2" w:space="0" w:color="808080" w:themeColor="background1" w:themeShade="80"/>
            </w:tcBorders>
            <w:vAlign w:val="center"/>
          </w:tcPr>
          <w:p w14:paraId="27554C00" w14:textId="77777777" w:rsidR="00927660" w:rsidRPr="00EB4E92" w:rsidRDefault="00927660" w:rsidP="008511B2">
            <w:pPr>
              <w:spacing w:after="0" w:line="276" w:lineRule="auto"/>
              <w:jc w:val="right"/>
              <w:rPr>
                <w:rFonts w:cs="Arial"/>
                <w:sz w:val="16"/>
                <w:szCs w:val="16"/>
              </w:rPr>
            </w:pPr>
            <w:r w:rsidRPr="00EB4E92">
              <w:rPr>
                <w:rFonts w:cs="Arial"/>
                <w:sz w:val="16"/>
                <w:szCs w:val="16"/>
              </w:rPr>
              <w:t>4,6</w:t>
            </w:r>
          </w:p>
        </w:tc>
      </w:tr>
      <w:tr w:rsidR="00927660" w:rsidRPr="00EB4E92" w14:paraId="77B8D454"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648A5D24" w14:textId="77777777" w:rsidR="00927660" w:rsidRPr="00EB4E92" w:rsidRDefault="00927660" w:rsidP="008511B2">
            <w:pPr>
              <w:spacing w:after="0" w:line="276" w:lineRule="auto"/>
              <w:jc w:val="left"/>
              <w:rPr>
                <w:rFonts w:cs="Arial"/>
                <w:sz w:val="16"/>
                <w:szCs w:val="16"/>
              </w:rPr>
            </w:pPr>
            <w:r w:rsidRPr="00EB4E92">
              <w:rPr>
                <w:rFonts w:cs="Arial"/>
                <w:sz w:val="16"/>
                <w:szCs w:val="16"/>
              </w:rPr>
              <w:t>Αποπληθωριστής ΑΕΠ</w:t>
            </w:r>
          </w:p>
        </w:tc>
        <w:tc>
          <w:tcPr>
            <w:tcW w:w="1012" w:type="dxa"/>
            <w:tcBorders>
              <w:top w:val="nil"/>
              <w:bottom w:val="nil"/>
            </w:tcBorders>
            <w:vAlign w:val="center"/>
          </w:tcPr>
          <w:p w14:paraId="2B241136" w14:textId="77777777" w:rsidR="00927660" w:rsidRPr="00EB4E92" w:rsidRDefault="00927660" w:rsidP="008511B2">
            <w:pPr>
              <w:spacing w:after="0" w:line="276" w:lineRule="auto"/>
              <w:jc w:val="right"/>
              <w:rPr>
                <w:rFonts w:cs="Arial"/>
                <w:sz w:val="16"/>
                <w:szCs w:val="16"/>
              </w:rPr>
            </w:pPr>
            <w:r w:rsidRPr="00EB4E92">
              <w:rPr>
                <w:rFonts w:cs="Arial"/>
                <w:sz w:val="16"/>
                <w:szCs w:val="16"/>
              </w:rPr>
              <w:t>3,2</w:t>
            </w:r>
          </w:p>
        </w:tc>
        <w:tc>
          <w:tcPr>
            <w:tcW w:w="1079" w:type="dxa"/>
            <w:tcBorders>
              <w:top w:val="nil"/>
              <w:bottom w:val="nil"/>
            </w:tcBorders>
            <w:vAlign w:val="center"/>
          </w:tcPr>
          <w:p w14:paraId="21B50402" w14:textId="77777777" w:rsidR="00927660" w:rsidRPr="00EB4E92" w:rsidRDefault="00927660" w:rsidP="008511B2">
            <w:pPr>
              <w:spacing w:after="0" w:line="276" w:lineRule="auto"/>
              <w:jc w:val="right"/>
              <w:rPr>
                <w:rFonts w:cs="Arial"/>
                <w:sz w:val="16"/>
                <w:szCs w:val="16"/>
              </w:rPr>
            </w:pPr>
            <w:r w:rsidRPr="00EB4E92">
              <w:rPr>
                <w:rFonts w:cs="Arial"/>
                <w:sz w:val="16"/>
                <w:szCs w:val="16"/>
              </w:rPr>
              <w:t>2,8</w:t>
            </w:r>
          </w:p>
        </w:tc>
        <w:tc>
          <w:tcPr>
            <w:tcW w:w="1028" w:type="dxa"/>
            <w:tcBorders>
              <w:top w:val="nil"/>
              <w:bottom w:val="nil"/>
              <w:right w:val="single" w:sz="2" w:space="0" w:color="808080" w:themeColor="background1" w:themeShade="80"/>
            </w:tcBorders>
            <w:vAlign w:val="center"/>
          </w:tcPr>
          <w:p w14:paraId="38678DD4" w14:textId="77777777" w:rsidR="00927660" w:rsidRPr="00EB4E92" w:rsidRDefault="00927660" w:rsidP="008511B2">
            <w:pPr>
              <w:spacing w:after="0" w:line="276" w:lineRule="auto"/>
              <w:jc w:val="right"/>
              <w:rPr>
                <w:rFonts w:cs="Arial"/>
                <w:sz w:val="16"/>
                <w:szCs w:val="16"/>
              </w:rPr>
            </w:pPr>
            <w:r w:rsidRPr="00EB4E92">
              <w:rPr>
                <w:rFonts w:cs="Arial"/>
                <w:sz w:val="16"/>
                <w:szCs w:val="16"/>
              </w:rPr>
              <w:t>2,1</w:t>
            </w:r>
          </w:p>
        </w:tc>
      </w:tr>
      <w:tr w:rsidR="00927660" w:rsidRPr="00EB4E92" w14:paraId="7C60A659"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08B6A450" w14:textId="77777777" w:rsidR="00927660" w:rsidRPr="00EB4E92" w:rsidRDefault="00927660" w:rsidP="008511B2">
            <w:pPr>
              <w:spacing w:after="0" w:line="276" w:lineRule="auto"/>
              <w:jc w:val="left"/>
              <w:rPr>
                <w:rFonts w:cs="Arial"/>
                <w:sz w:val="16"/>
                <w:szCs w:val="16"/>
              </w:rPr>
            </w:pPr>
            <w:r w:rsidRPr="00EB4E92">
              <w:rPr>
                <w:rFonts w:cs="Arial"/>
                <w:sz w:val="16"/>
                <w:szCs w:val="16"/>
              </w:rPr>
              <w:t>Εναρμονισμένος Δείκτης Τιμών Καταναλωτή</w:t>
            </w:r>
          </w:p>
        </w:tc>
        <w:tc>
          <w:tcPr>
            <w:tcW w:w="1012" w:type="dxa"/>
            <w:tcBorders>
              <w:top w:val="nil"/>
              <w:bottom w:val="nil"/>
            </w:tcBorders>
            <w:vAlign w:val="center"/>
          </w:tcPr>
          <w:p w14:paraId="61CA4609" w14:textId="77777777" w:rsidR="00927660" w:rsidRPr="00EB4E92" w:rsidRDefault="00927660" w:rsidP="008511B2">
            <w:pPr>
              <w:spacing w:after="0" w:line="276" w:lineRule="auto"/>
              <w:jc w:val="right"/>
              <w:rPr>
                <w:rFonts w:cs="Arial"/>
                <w:sz w:val="16"/>
                <w:szCs w:val="16"/>
              </w:rPr>
            </w:pPr>
            <w:r w:rsidRPr="00EB4E92">
              <w:rPr>
                <w:rFonts w:cs="Arial"/>
                <w:sz w:val="16"/>
                <w:szCs w:val="16"/>
              </w:rPr>
              <w:t>3,0</w:t>
            </w:r>
          </w:p>
        </w:tc>
        <w:tc>
          <w:tcPr>
            <w:tcW w:w="1079" w:type="dxa"/>
            <w:tcBorders>
              <w:top w:val="nil"/>
              <w:bottom w:val="nil"/>
            </w:tcBorders>
            <w:vAlign w:val="center"/>
          </w:tcPr>
          <w:p w14:paraId="27EDB138" w14:textId="77777777" w:rsidR="00927660" w:rsidRPr="00EB4E92" w:rsidRDefault="00927660" w:rsidP="008511B2">
            <w:pPr>
              <w:spacing w:after="0" w:line="276" w:lineRule="auto"/>
              <w:jc w:val="right"/>
              <w:rPr>
                <w:rFonts w:cs="Arial"/>
                <w:sz w:val="16"/>
                <w:szCs w:val="16"/>
              </w:rPr>
            </w:pPr>
            <w:r w:rsidRPr="00EB4E92">
              <w:rPr>
                <w:rFonts w:cs="Arial"/>
                <w:sz w:val="16"/>
                <w:szCs w:val="16"/>
              </w:rPr>
              <w:t>3,0</w:t>
            </w:r>
          </w:p>
        </w:tc>
        <w:tc>
          <w:tcPr>
            <w:tcW w:w="1028" w:type="dxa"/>
            <w:tcBorders>
              <w:top w:val="nil"/>
              <w:bottom w:val="nil"/>
              <w:right w:val="single" w:sz="2" w:space="0" w:color="808080" w:themeColor="background1" w:themeShade="80"/>
            </w:tcBorders>
            <w:vAlign w:val="center"/>
          </w:tcPr>
          <w:p w14:paraId="64B48509" w14:textId="77777777" w:rsidR="00927660" w:rsidRPr="00EB4E92" w:rsidRDefault="00927660" w:rsidP="008511B2">
            <w:pPr>
              <w:spacing w:after="0" w:line="276" w:lineRule="auto"/>
              <w:jc w:val="right"/>
              <w:rPr>
                <w:rFonts w:cs="Arial"/>
                <w:sz w:val="16"/>
                <w:szCs w:val="16"/>
              </w:rPr>
            </w:pPr>
            <w:r w:rsidRPr="00EB4E92">
              <w:rPr>
                <w:rFonts w:cs="Arial"/>
                <w:sz w:val="16"/>
                <w:szCs w:val="16"/>
              </w:rPr>
              <w:t>2,2</w:t>
            </w:r>
          </w:p>
        </w:tc>
      </w:tr>
      <w:tr w:rsidR="00927660" w:rsidRPr="00EB4E92" w14:paraId="0C9C9360"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22DA9CBE" w14:textId="77777777" w:rsidR="00927660" w:rsidRPr="00EB4E92" w:rsidRDefault="00927660" w:rsidP="008511B2">
            <w:pPr>
              <w:spacing w:after="0" w:line="276" w:lineRule="auto"/>
              <w:jc w:val="left"/>
              <w:rPr>
                <w:rFonts w:cs="Arial"/>
                <w:sz w:val="16"/>
                <w:szCs w:val="16"/>
              </w:rPr>
            </w:pPr>
            <w:r w:rsidRPr="00EB4E92">
              <w:rPr>
                <w:rFonts w:cs="Arial"/>
                <w:sz w:val="16"/>
                <w:szCs w:val="16"/>
              </w:rPr>
              <w:t>Δείκτης Τιμών Καταναλωτή</w:t>
            </w:r>
          </w:p>
        </w:tc>
        <w:tc>
          <w:tcPr>
            <w:tcW w:w="1012" w:type="dxa"/>
            <w:tcBorders>
              <w:top w:val="nil"/>
              <w:bottom w:val="nil"/>
            </w:tcBorders>
            <w:vAlign w:val="center"/>
          </w:tcPr>
          <w:p w14:paraId="37BBFAF8" w14:textId="77777777" w:rsidR="00927660" w:rsidRPr="00EB4E92" w:rsidRDefault="00927660" w:rsidP="008511B2">
            <w:pPr>
              <w:spacing w:after="0" w:line="276" w:lineRule="auto"/>
              <w:jc w:val="right"/>
              <w:rPr>
                <w:rFonts w:cs="Arial"/>
                <w:sz w:val="16"/>
                <w:szCs w:val="16"/>
              </w:rPr>
            </w:pPr>
            <w:r w:rsidRPr="00EB4E92">
              <w:rPr>
                <w:rFonts w:cs="Arial"/>
                <w:sz w:val="16"/>
                <w:szCs w:val="16"/>
              </w:rPr>
              <w:t>2,7</w:t>
            </w:r>
          </w:p>
        </w:tc>
        <w:tc>
          <w:tcPr>
            <w:tcW w:w="1079" w:type="dxa"/>
            <w:tcBorders>
              <w:top w:val="nil"/>
              <w:bottom w:val="nil"/>
            </w:tcBorders>
            <w:vAlign w:val="center"/>
          </w:tcPr>
          <w:p w14:paraId="4197BCAF" w14:textId="77777777" w:rsidR="00927660" w:rsidRPr="00EB4E92" w:rsidRDefault="00927660" w:rsidP="008511B2">
            <w:pPr>
              <w:spacing w:after="0" w:line="276" w:lineRule="auto"/>
              <w:jc w:val="right"/>
              <w:rPr>
                <w:rFonts w:cs="Arial"/>
                <w:sz w:val="16"/>
                <w:szCs w:val="16"/>
              </w:rPr>
            </w:pPr>
            <w:r w:rsidRPr="00EB4E92">
              <w:rPr>
                <w:rFonts w:cs="Arial"/>
                <w:sz w:val="16"/>
                <w:szCs w:val="16"/>
              </w:rPr>
              <w:t>2,6</w:t>
            </w:r>
          </w:p>
        </w:tc>
        <w:tc>
          <w:tcPr>
            <w:tcW w:w="1028" w:type="dxa"/>
            <w:tcBorders>
              <w:top w:val="nil"/>
              <w:bottom w:val="nil"/>
              <w:right w:val="single" w:sz="2" w:space="0" w:color="808080" w:themeColor="background1" w:themeShade="80"/>
            </w:tcBorders>
            <w:vAlign w:val="center"/>
          </w:tcPr>
          <w:p w14:paraId="752E4F13" w14:textId="77777777" w:rsidR="00927660" w:rsidRPr="00EB4E92" w:rsidRDefault="00927660" w:rsidP="008511B2">
            <w:pPr>
              <w:spacing w:after="0" w:line="276" w:lineRule="auto"/>
              <w:jc w:val="right"/>
              <w:rPr>
                <w:rFonts w:cs="Arial"/>
                <w:sz w:val="16"/>
                <w:szCs w:val="16"/>
              </w:rPr>
            </w:pPr>
            <w:r w:rsidRPr="00EB4E92">
              <w:rPr>
                <w:rFonts w:cs="Arial"/>
                <w:sz w:val="16"/>
                <w:szCs w:val="16"/>
              </w:rPr>
              <w:t>2,2</w:t>
            </w:r>
          </w:p>
        </w:tc>
      </w:tr>
      <w:tr w:rsidR="00927660" w:rsidRPr="00EB4E92" w14:paraId="61D3ABB4"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6DCE8CEF" w14:textId="77777777" w:rsidR="00927660" w:rsidRPr="00EB4E92" w:rsidRDefault="00927660" w:rsidP="008511B2">
            <w:pPr>
              <w:spacing w:after="0" w:line="276" w:lineRule="auto"/>
              <w:jc w:val="left"/>
              <w:rPr>
                <w:rFonts w:cs="Arial"/>
                <w:sz w:val="16"/>
                <w:szCs w:val="16"/>
              </w:rPr>
            </w:pPr>
            <w:r w:rsidRPr="00EB4E92">
              <w:rPr>
                <w:rFonts w:cs="Arial"/>
                <w:sz w:val="16"/>
                <w:szCs w:val="16"/>
              </w:rPr>
              <w:t>Απασχόληση*</w:t>
            </w:r>
          </w:p>
        </w:tc>
        <w:tc>
          <w:tcPr>
            <w:tcW w:w="1012" w:type="dxa"/>
            <w:tcBorders>
              <w:top w:val="nil"/>
              <w:bottom w:val="nil"/>
            </w:tcBorders>
            <w:vAlign w:val="center"/>
          </w:tcPr>
          <w:p w14:paraId="28019C78" w14:textId="77777777" w:rsidR="00927660" w:rsidRPr="00EB4E92" w:rsidRDefault="00927660" w:rsidP="008511B2">
            <w:pPr>
              <w:spacing w:after="0" w:line="276" w:lineRule="auto"/>
              <w:jc w:val="right"/>
              <w:rPr>
                <w:rFonts w:cs="Arial"/>
                <w:sz w:val="16"/>
                <w:szCs w:val="16"/>
              </w:rPr>
            </w:pPr>
            <w:r w:rsidRPr="00EB4E92">
              <w:rPr>
                <w:rFonts w:cs="Arial"/>
                <w:sz w:val="16"/>
                <w:szCs w:val="16"/>
              </w:rPr>
              <w:t>1,2</w:t>
            </w:r>
          </w:p>
        </w:tc>
        <w:tc>
          <w:tcPr>
            <w:tcW w:w="1079" w:type="dxa"/>
            <w:tcBorders>
              <w:top w:val="nil"/>
              <w:bottom w:val="nil"/>
            </w:tcBorders>
            <w:vAlign w:val="center"/>
          </w:tcPr>
          <w:p w14:paraId="60DC73F2" w14:textId="77777777" w:rsidR="00927660" w:rsidRPr="00EB4E92" w:rsidRDefault="00927660" w:rsidP="008511B2">
            <w:pPr>
              <w:spacing w:after="0" w:line="276" w:lineRule="auto"/>
              <w:jc w:val="right"/>
              <w:rPr>
                <w:rFonts w:cs="Arial"/>
                <w:sz w:val="16"/>
                <w:szCs w:val="16"/>
              </w:rPr>
            </w:pPr>
            <w:r w:rsidRPr="00EB4E92">
              <w:rPr>
                <w:rFonts w:cs="Arial"/>
                <w:sz w:val="16"/>
                <w:szCs w:val="16"/>
              </w:rPr>
              <w:t>0,7</w:t>
            </w:r>
          </w:p>
        </w:tc>
        <w:tc>
          <w:tcPr>
            <w:tcW w:w="1028" w:type="dxa"/>
            <w:tcBorders>
              <w:top w:val="nil"/>
              <w:bottom w:val="nil"/>
              <w:right w:val="single" w:sz="2" w:space="0" w:color="808080" w:themeColor="background1" w:themeShade="80"/>
            </w:tcBorders>
            <w:vAlign w:val="center"/>
          </w:tcPr>
          <w:p w14:paraId="0458E847" w14:textId="77777777" w:rsidR="00927660" w:rsidRPr="00EB4E92" w:rsidRDefault="00927660" w:rsidP="008511B2">
            <w:pPr>
              <w:spacing w:after="0" w:line="276" w:lineRule="auto"/>
              <w:jc w:val="right"/>
              <w:rPr>
                <w:rFonts w:cs="Arial"/>
                <w:sz w:val="16"/>
                <w:szCs w:val="16"/>
              </w:rPr>
            </w:pPr>
            <w:r w:rsidRPr="00EB4E92">
              <w:rPr>
                <w:rFonts w:cs="Arial"/>
                <w:sz w:val="16"/>
                <w:szCs w:val="16"/>
              </w:rPr>
              <w:t>0,4</w:t>
            </w:r>
          </w:p>
        </w:tc>
      </w:tr>
      <w:tr w:rsidR="00927660" w:rsidRPr="00EB4E92" w14:paraId="0F72765B" w14:textId="77777777" w:rsidTr="00E80843">
        <w:trPr>
          <w:cantSplit/>
          <w:trHeight w:val="283"/>
          <w:jc w:val="center"/>
        </w:trPr>
        <w:tc>
          <w:tcPr>
            <w:tcW w:w="5302" w:type="dxa"/>
            <w:tcBorders>
              <w:top w:val="nil"/>
              <w:left w:val="single" w:sz="2" w:space="0" w:color="808080" w:themeColor="background1" w:themeShade="80"/>
              <w:bottom w:val="nil"/>
            </w:tcBorders>
            <w:vAlign w:val="center"/>
          </w:tcPr>
          <w:p w14:paraId="106F1646" w14:textId="77777777" w:rsidR="00927660" w:rsidRPr="00EB4E92" w:rsidRDefault="00927660" w:rsidP="008511B2">
            <w:pPr>
              <w:spacing w:after="0" w:line="276" w:lineRule="auto"/>
              <w:jc w:val="left"/>
              <w:rPr>
                <w:rFonts w:cs="Arial"/>
                <w:sz w:val="16"/>
                <w:szCs w:val="16"/>
              </w:rPr>
            </w:pPr>
            <w:r w:rsidRPr="00EB4E92">
              <w:rPr>
                <w:rFonts w:cs="Arial"/>
                <w:sz w:val="16"/>
                <w:szCs w:val="16"/>
              </w:rPr>
              <w:t>Ποσοστό ανεργίας*</w:t>
            </w:r>
          </w:p>
        </w:tc>
        <w:tc>
          <w:tcPr>
            <w:tcW w:w="1012" w:type="dxa"/>
            <w:tcBorders>
              <w:top w:val="nil"/>
              <w:bottom w:val="nil"/>
            </w:tcBorders>
            <w:vAlign w:val="center"/>
          </w:tcPr>
          <w:p w14:paraId="10B634E7" w14:textId="77777777" w:rsidR="00927660" w:rsidRPr="00EB4E92" w:rsidRDefault="00927660" w:rsidP="008511B2">
            <w:pPr>
              <w:spacing w:after="0" w:line="276" w:lineRule="auto"/>
              <w:jc w:val="right"/>
              <w:rPr>
                <w:rFonts w:cs="Arial"/>
                <w:sz w:val="16"/>
                <w:szCs w:val="16"/>
              </w:rPr>
            </w:pPr>
            <w:r w:rsidRPr="00EB4E92">
              <w:rPr>
                <w:rFonts w:cs="Arial"/>
                <w:sz w:val="16"/>
                <w:szCs w:val="16"/>
              </w:rPr>
              <w:t>8,6</w:t>
            </w:r>
          </w:p>
        </w:tc>
        <w:tc>
          <w:tcPr>
            <w:tcW w:w="1079" w:type="dxa"/>
            <w:tcBorders>
              <w:top w:val="nil"/>
              <w:bottom w:val="nil"/>
            </w:tcBorders>
            <w:vAlign w:val="center"/>
          </w:tcPr>
          <w:p w14:paraId="3918419C" w14:textId="77777777" w:rsidR="00927660" w:rsidRPr="00EB4E92" w:rsidRDefault="00927660" w:rsidP="008511B2">
            <w:pPr>
              <w:spacing w:after="0" w:line="276" w:lineRule="auto"/>
              <w:jc w:val="right"/>
              <w:rPr>
                <w:rFonts w:cs="Arial"/>
                <w:sz w:val="16"/>
                <w:szCs w:val="16"/>
              </w:rPr>
            </w:pPr>
            <w:r w:rsidRPr="00EB4E92">
              <w:rPr>
                <w:rFonts w:cs="Arial"/>
                <w:sz w:val="16"/>
                <w:szCs w:val="16"/>
              </w:rPr>
              <w:t>7,8</w:t>
            </w:r>
          </w:p>
        </w:tc>
        <w:tc>
          <w:tcPr>
            <w:tcW w:w="1028" w:type="dxa"/>
            <w:tcBorders>
              <w:top w:val="nil"/>
              <w:bottom w:val="nil"/>
              <w:right w:val="single" w:sz="2" w:space="0" w:color="808080" w:themeColor="background1" w:themeShade="80"/>
            </w:tcBorders>
            <w:vAlign w:val="center"/>
          </w:tcPr>
          <w:p w14:paraId="7299C048" w14:textId="77777777" w:rsidR="00927660" w:rsidRPr="00EB4E92" w:rsidRDefault="00927660" w:rsidP="008511B2">
            <w:pPr>
              <w:spacing w:after="0" w:line="276" w:lineRule="auto"/>
              <w:jc w:val="right"/>
              <w:rPr>
                <w:rFonts w:cs="Arial"/>
                <w:sz w:val="16"/>
                <w:szCs w:val="16"/>
              </w:rPr>
            </w:pPr>
            <w:r w:rsidRPr="00EB4E92">
              <w:rPr>
                <w:rFonts w:cs="Arial"/>
                <w:sz w:val="16"/>
                <w:szCs w:val="16"/>
              </w:rPr>
              <w:t>7,4</w:t>
            </w:r>
          </w:p>
        </w:tc>
      </w:tr>
      <w:tr w:rsidR="00927660" w:rsidRPr="00EB4E92" w14:paraId="2BE1D429" w14:textId="77777777" w:rsidTr="00503C79">
        <w:trPr>
          <w:cantSplit/>
          <w:trHeight w:val="283"/>
          <w:jc w:val="center"/>
        </w:trPr>
        <w:tc>
          <w:tcPr>
            <w:tcW w:w="5302" w:type="dxa"/>
            <w:tcBorders>
              <w:top w:val="nil"/>
              <w:left w:val="single" w:sz="2" w:space="0" w:color="808080" w:themeColor="background1" w:themeShade="80"/>
              <w:bottom w:val="single" w:sz="2" w:space="0" w:color="808080" w:themeColor="background1" w:themeShade="80"/>
            </w:tcBorders>
            <w:vAlign w:val="center"/>
          </w:tcPr>
          <w:p w14:paraId="35333FA0" w14:textId="77777777" w:rsidR="00927660" w:rsidRPr="00EB4E92" w:rsidRDefault="00927660" w:rsidP="008511B2">
            <w:pPr>
              <w:spacing w:after="0" w:line="276" w:lineRule="auto"/>
              <w:jc w:val="left"/>
              <w:rPr>
                <w:rFonts w:cs="Arial"/>
                <w:sz w:val="16"/>
                <w:szCs w:val="16"/>
              </w:rPr>
            </w:pPr>
            <w:r w:rsidRPr="00EB4E92">
              <w:rPr>
                <w:rFonts w:cs="Arial"/>
                <w:sz w:val="16"/>
                <w:szCs w:val="16"/>
              </w:rPr>
              <w:t>Ποσοστό ανεργίας (Έρευνα Εργατικού Δυναμικού)</w:t>
            </w:r>
          </w:p>
        </w:tc>
        <w:tc>
          <w:tcPr>
            <w:tcW w:w="1012" w:type="dxa"/>
            <w:tcBorders>
              <w:top w:val="nil"/>
              <w:bottom w:val="single" w:sz="2" w:space="0" w:color="808080" w:themeColor="background1" w:themeShade="80"/>
            </w:tcBorders>
            <w:vAlign w:val="center"/>
          </w:tcPr>
          <w:p w14:paraId="0A1CAA4E" w14:textId="77777777" w:rsidR="00927660" w:rsidRPr="00EB4E92" w:rsidRDefault="00927660" w:rsidP="008511B2">
            <w:pPr>
              <w:spacing w:after="0" w:line="276" w:lineRule="auto"/>
              <w:jc w:val="right"/>
              <w:rPr>
                <w:rFonts w:cs="Arial"/>
                <w:sz w:val="16"/>
                <w:szCs w:val="16"/>
              </w:rPr>
            </w:pPr>
            <w:r w:rsidRPr="00EB4E92">
              <w:rPr>
                <w:rFonts w:cs="Arial"/>
                <w:sz w:val="16"/>
                <w:szCs w:val="16"/>
              </w:rPr>
              <w:t>10,1</w:t>
            </w:r>
          </w:p>
        </w:tc>
        <w:tc>
          <w:tcPr>
            <w:tcW w:w="1079" w:type="dxa"/>
            <w:tcBorders>
              <w:top w:val="nil"/>
              <w:bottom w:val="single" w:sz="2" w:space="0" w:color="808080" w:themeColor="background1" w:themeShade="80"/>
            </w:tcBorders>
            <w:vAlign w:val="center"/>
          </w:tcPr>
          <w:p w14:paraId="08BE2943" w14:textId="77777777" w:rsidR="00927660" w:rsidRPr="00EB4E92" w:rsidRDefault="00927660" w:rsidP="008511B2">
            <w:pPr>
              <w:spacing w:after="0" w:line="276" w:lineRule="auto"/>
              <w:jc w:val="right"/>
              <w:rPr>
                <w:rFonts w:cs="Arial"/>
                <w:sz w:val="16"/>
                <w:szCs w:val="16"/>
              </w:rPr>
            </w:pPr>
            <w:r w:rsidRPr="00EB4E92">
              <w:rPr>
                <w:rFonts w:cs="Arial"/>
                <w:sz w:val="16"/>
                <w:szCs w:val="16"/>
              </w:rPr>
              <w:t>9,1</w:t>
            </w:r>
          </w:p>
        </w:tc>
        <w:tc>
          <w:tcPr>
            <w:tcW w:w="1028" w:type="dxa"/>
            <w:tcBorders>
              <w:top w:val="nil"/>
              <w:bottom w:val="single" w:sz="2" w:space="0" w:color="808080" w:themeColor="background1" w:themeShade="80"/>
              <w:right w:val="single" w:sz="2" w:space="0" w:color="808080" w:themeColor="background1" w:themeShade="80"/>
            </w:tcBorders>
            <w:vAlign w:val="center"/>
          </w:tcPr>
          <w:p w14:paraId="0241A84A" w14:textId="77777777" w:rsidR="00927660" w:rsidRPr="00EB4E92" w:rsidRDefault="00927660" w:rsidP="008511B2">
            <w:pPr>
              <w:spacing w:after="0" w:line="276" w:lineRule="auto"/>
              <w:jc w:val="right"/>
              <w:rPr>
                <w:rFonts w:cs="Arial"/>
                <w:sz w:val="16"/>
                <w:szCs w:val="16"/>
              </w:rPr>
            </w:pPr>
            <w:r w:rsidRPr="00EB4E92">
              <w:rPr>
                <w:rFonts w:cs="Arial"/>
                <w:sz w:val="16"/>
                <w:szCs w:val="16"/>
              </w:rPr>
              <w:t>8,6</w:t>
            </w:r>
          </w:p>
        </w:tc>
      </w:tr>
      <w:tr w:rsidR="00927660" w:rsidRPr="00EB4E92" w14:paraId="17AEA77D" w14:textId="77777777" w:rsidTr="00503C79">
        <w:trPr>
          <w:cantSplit/>
          <w:jc w:val="center"/>
        </w:trPr>
        <w:tc>
          <w:tcPr>
            <w:tcW w:w="8421" w:type="dxa"/>
            <w:gridSpan w:val="4"/>
            <w:tcBorders>
              <w:top w:val="single" w:sz="2" w:space="0" w:color="808080" w:themeColor="background1" w:themeShade="80"/>
              <w:left w:val="nil"/>
              <w:bottom w:val="nil"/>
              <w:right w:val="nil"/>
            </w:tcBorders>
            <w:vAlign w:val="center"/>
          </w:tcPr>
          <w:p w14:paraId="1194E1FF" w14:textId="77777777" w:rsidR="00927660" w:rsidRPr="00EB4E92" w:rsidRDefault="00927660" w:rsidP="009B5C19">
            <w:pPr>
              <w:tabs>
                <w:tab w:val="left" w:pos="170"/>
              </w:tabs>
              <w:spacing w:before="60" w:after="0" w:line="276" w:lineRule="auto"/>
              <w:rPr>
                <w:rFonts w:cs="Arial"/>
                <w:sz w:val="16"/>
                <w:szCs w:val="16"/>
              </w:rPr>
            </w:pPr>
            <w:r w:rsidRPr="00EB4E92">
              <w:rPr>
                <w:rFonts w:cs="Arial"/>
                <w:sz w:val="16"/>
                <w:szCs w:val="16"/>
              </w:rPr>
              <w:t>*</w:t>
            </w:r>
            <w:r w:rsidR="003D3DF2">
              <w:rPr>
                <w:rFonts w:cs="Arial"/>
                <w:sz w:val="16"/>
                <w:szCs w:val="16"/>
              </w:rPr>
              <w:tab/>
            </w:r>
            <w:r w:rsidRPr="00EB4E92">
              <w:rPr>
                <w:rFonts w:cs="Arial"/>
                <w:sz w:val="16"/>
                <w:szCs w:val="16"/>
              </w:rPr>
              <w:t>Σε εθνικολογιστική βάση</w:t>
            </w:r>
          </w:p>
        </w:tc>
      </w:tr>
      <w:tr w:rsidR="00927660" w:rsidRPr="00EB4E92" w14:paraId="46593D19" w14:textId="77777777" w:rsidTr="00503C79">
        <w:trPr>
          <w:cantSplit/>
          <w:jc w:val="center"/>
        </w:trPr>
        <w:tc>
          <w:tcPr>
            <w:tcW w:w="8421" w:type="dxa"/>
            <w:gridSpan w:val="4"/>
            <w:tcBorders>
              <w:top w:val="nil"/>
              <w:left w:val="nil"/>
              <w:bottom w:val="nil"/>
              <w:right w:val="nil"/>
            </w:tcBorders>
            <w:vAlign w:val="center"/>
          </w:tcPr>
          <w:p w14:paraId="225C3490" w14:textId="77777777" w:rsidR="00927660" w:rsidRPr="00EB4E92" w:rsidRDefault="00927660" w:rsidP="003D3DF2">
            <w:pPr>
              <w:tabs>
                <w:tab w:val="left" w:pos="170"/>
              </w:tabs>
              <w:spacing w:after="0" w:line="276" w:lineRule="auto"/>
              <w:rPr>
                <w:rFonts w:cs="Arial"/>
                <w:sz w:val="16"/>
                <w:szCs w:val="16"/>
              </w:rPr>
            </w:pPr>
            <w:r w:rsidRPr="00EB4E92">
              <w:rPr>
                <w:rFonts w:cs="Arial"/>
                <w:sz w:val="16"/>
                <w:szCs w:val="16"/>
              </w:rPr>
              <w:t>**</w:t>
            </w:r>
            <w:r w:rsidR="003D3DF2">
              <w:rPr>
                <w:rFonts w:cs="Arial"/>
                <w:sz w:val="16"/>
                <w:szCs w:val="16"/>
              </w:rPr>
              <w:tab/>
            </w:r>
            <w:r w:rsidRPr="00EB4E92">
              <w:rPr>
                <w:rFonts w:cs="Arial"/>
                <w:sz w:val="16"/>
                <w:szCs w:val="16"/>
              </w:rPr>
              <w:t>Εκτιμήσεις/προβλέψεις</w:t>
            </w:r>
          </w:p>
        </w:tc>
      </w:tr>
      <w:tr w:rsidR="00927660" w:rsidRPr="00EB4E92" w14:paraId="066B9D39" w14:textId="77777777" w:rsidTr="00503C79">
        <w:trPr>
          <w:cantSplit/>
          <w:jc w:val="center"/>
        </w:trPr>
        <w:tc>
          <w:tcPr>
            <w:tcW w:w="8421" w:type="dxa"/>
            <w:gridSpan w:val="4"/>
            <w:tcBorders>
              <w:top w:val="nil"/>
              <w:left w:val="nil"/>
              <w:bottom w:val="nil"/>
              <w:right w:val="nil"/>
            </w:tcBorders>
            <w:vAlign w:val="center"/>
          </w:tcPr>
          <w:p w14:paraId="6889B82E" w14:textId="77777777" w:rsidR="00927660" w:rsidRPr="00EB4E92" w:rsidRDefault="00927660" w:rsidP="003D3DF2">
            <w:pPr>
              <w:spacing w:after="0" w:line="276" w:lineRule="auto"/>
              <w:rPr>
                <w:rFonts w:cs="Arial"/>
                <w:sz w:val="16"/>
                <w:szCs w:val="16"/>
              </w:rPr>
            </w:pPr>
            <w:r w:rsidRPr="00EB4E92">
              <w:rPr>
                <w:rFonts w:cs="Arial"/>
                <w:sz w:val="16"/>
                <w:szCs w:val="16"/>
              </w:rPr>
              <w:t>Πηγή:</w:t>
            </w:r>
            <w:r w:rsidR="003D3DF2">
              <w:rPr>
                <w:rFonts w:cs="Arial"/>
                <w:sz w:val="16"/>
                <w:szCs w:val="16"/>
              </w:rPr>
              <w:t xml:space="preserve"> </w:t>
            </w:r>
            <w:r w:rsidRPr="00EB4E92">
              <w:rPr>
                <w:rFonts w:cs="Arial"/>
                <w:sz w:val="16"/>
                <w:szCs w:val="16"/>
              </w:rPr>
              <w:t>Ετήσιοι Εθνικοί Λογαριασμοί (ΕΛΣΤΑΤ), εκτιμήσεις/προβλέψεις Υπουργείου Εθνικής Οικονομίας και Οικονομικών</w:t>
            </w:r>
          </w:p>
        </w:tc>
      </w:tr>
    </w:tbl>
    <w:p w14:paraId="697B4562" w14:textId="3407B2DF" w:rsidR="00927660" w:rsidRPr="0025392F" w:rsidRDefault="00927660" w:rsidP="00EB4E92">
      <w:pPr>
        <w:spacing w:before="240"/>
      </w:pPr>
      <w:r w:rsidRPr="0025392F">
        <w:t xml:space="preserve">Οι κυριότεροι βραχυπρόθεσμοι κίνδυνοι για τη διαμόρφωση του ρυθμού ανάπτυξης το 2025 και το 2026 συνοψίζονται σε </w:t>
      </w:r>
      <w:r w:rsidR="00605450" w:rsidRPr="007A3CCB">
        <w:t>όξυνση των γεωπολιτικών αναταραχών</w:t>
      </w:r>
      <w:r w:rsidR="00605450">
        <w:t>, σε</w:t>
      </w:r>
      <w:r w:rsidR="00605450" w:rsidRPr="007A3CCB">
        <w:t xml:space="preserve"> </w:t>
      </w:r>
      <w:r w:rsidR="00707DD7">
        <w:t>πιθανή</w:t>
      </w:r>
      <w:r w:rsidRPr="0025392F">
        <w:t xml:space="preserve"> παρέκκλιση από τη δασμολογική συμφωνία μεταξύ ΗΠΑ και ΕΕ (ή άλλη αποσταθεροποίηση των όρων του διεθνούς εμπορίου), σε μεγαλύτερη του αναμενόμενου επίπτωση των δασμών στην παγκόσμια και </w:t>
      </w:r>
      <w:r w:rsidR="00F85085">
        <w:t xml:space="preserve">την </w:t>
      </w:r>
      <w:r w:rsidRPr="0025392F">
        <w:t>ευρωπαϊκή οικονομία,</w:t>
      </w:r>
      <w:r w:rsidR="00605450">
        <w:t xml:space="preserve"> </w:t>
      </w:r>
      <w:r w:rsidRPr="0025392F">
        <w:t xml:space="preserve">σε </w:t>
      </w:r>
      <w:r w:rsidR="00A76B1A">
        <w:t>εντονότερη</w:t>
      </w:r>
      <w:r w:rsidR="00F85085">
        <w:t xml:space="preserve"> εκδήλωση </w:t>
      </w:r>
      <w:r w:rsidRPr="0025392F">
        <w:t xml:space="preserve">των φαινομένων κλιματικής </w:t>
      </w:r>
      <w:r w:rsidRPr="005A3880">
        <w:t>αλλαγής και σ</w:t>
      </w:r>
      <w:r w:rsidR="005A3880" w:rsidRPr="005A3880">
        <w:t xml:space="preserve">την περίπτωση </w:t>
      </w:r>
      <w:r w:rsidR="00213BFB" w:rsidRPr="005A3880">
        <w:t>καθυστέρηση</w:t>
      </w:r>
      <w:r w:rsidR="00A0235A" w:rsidRPr="005A3880">
        <w:t>ς</w:t>
      </w:r>
      <w:r w:rsidR="00213BFB" w:rsidRPr="005A3880">
        <w:t xml:space="preserve"> τη</w:t>
      </w:r>
      <w:r w:rsidR="004360BE">
        <w:t>ς</w:t>
      </w:r>
      <w:r w:rsidR="00213BFB">
        <w:t xml:space="preserve"> πραγματοποίηση</w:t>
      </w:r>
      <w:r w:rsidR="004360BE">
        <w:t>ς</w:t>
      </w:r>
      <w:r w:rsidR="00213BFB">
        <w:t xml:space="preserve"> προγραμματιζόμενων επενδύσεων</w:t>
      </w:r>
      <w:r w:rsidRPr="0025392F">
        <w:t>. Παράλληλα, η ανατίμηση του ευρώ ενέχει κινδύνους για το εξωτερικό ισοζύγιο και την ανταγωνιστικότητα στην Ευρωζώνη, ενώ η εφαρμογή συσταλτικής δημοσιονομικής πολιτικής σε μεγάλες οικονομίες της ΕΕ ενδέχεται να επιδράσει αρνητικά στην εξωτερική ζήτηση.</w:t>
      </w:r>
    </w:p>
    <w:p w14:paraId="3921AADA" w14:textId="37C6B97C" w:rsidR="00441D15" w:rsidRDefault="00F85085" w:rsidP="003349A6">
      <w:r>
        <w:t xml:space="preserve">Στην αύξηση του </w:t>
      </w:r>
      <w:r w:rsidR="00927660" w:rsidRPr="0025392F">
        <w:t>ρυθμ</w:t>
      </w:r>
      <w:r>
        <w:t>ού</w:t>
      </w:r>
      <w:r w:rsidR="00927660" w:rsidRPr="0025392F">
        <w:t xml:space="preserve"> ανάπτυξης της ελληνικής οικονομίας θα μπορούσ</w:t>
      </w:r>
      <w:r>
        <w:t>αν</w:t>
      </w:r>
      <w:r w:rsidR="00927660" w:rsidRPr="0025392F">
        <w:t xml:space="preserve"> να επιδράσ</w:t>
      </w:r>
      <w:r w:rsidR="00927660">
        <w:t>ουν</w:t>
      </w:r>
      <w:r w:rsidR="00927660" w:rsidRPr="0025392F">
        <w:t xml:space="preserve"> μία ακόμα πιο ενισχυμένη δυναμική στον εξωτερικό τουρισμό και τη ναυτιλία, μία ταχύτερη αποκλιμάκωση του πληθωρισμού</w:t>
      </w:r>
      <w:r w:rsidR="000E0CCA">
        <w:t>,</w:t>
      </w:r>
      <w:r w:rsidR="00927660" w:rsidRPr="0025392F">
        <w:t xml:space="preserve"> </w:t>
      </w:r>
      <w:r w:rsidR="00EC5B37">
        <w:t>συνδεόμενη και με τις διεθνείς εξελίξεις στον τομέα της ενέργειας,</w:t>
      </w:r>
      <w:r w:rsidR="00BB0601">
        <w:t xml:space="preserve"> </w:t>
      </w:r>
      <w:r w:rsidR="00927660">
        <w:t xml:space="preserve">καθώς </w:t>
      </w:r>
      <w:r w:rsidR="00927660" w:rsidRPr="0025392F">
        <w:t xml:space="preserve">και μία μεγαλύτερη του αναμενόμενου επενδυτική και αναπτυξιακή ώθηση, ως </w:t>
      </w:r>
      <w:r>
        <w:t xml:space="preserve">επακόλουθο </w:t>
      </w:r>
      <w:r w:rsidR="00927660" w:rsidRPr="0025392F">
        <w:t xml:space="preserve">των συνεργειών που </w:t>
      </w:r>
      <w:r>
        <w:t xml:space="preserve">απορρέουν </w:t>
      </w:r>
      <w:r w:rsidR="00927660" w:rsidRPr="0025392F">
        <w:t>από τις υλοποιούμενες διαρθρωτικές μεταρρυθμίσεις.</w:t>
      </w:r>
    </w:p>
    <w:p w14:paraId="5BA43666" w14:textId="43DDF4C0" w:rsidR="008F4469" w:rsidRDefault="008F4469">
      <w:pPr>
        <w:spacing w:after="0" w:line="240" w:lineRule="auto"/>
        <w:jc w:val="left"/>
        <w:rPr>
          <w:highlight w:val="yellow"/>
        </w:rPr>
      </w:pPr>
      <w:r>
        <w:rPr>
          <w:highlight w:val="yellow"/>
        </w:rPr>
        <w:br w:type="page"/>
      </w:r>
    </w:p>
    <w:p w14:paraId="45C7D2A7" w14:textId="77777777" w:rsidR="00927660" w:rsidRPr="002E7E6D" w:rsidRDefault="00927660" w:rsidP="003349A6">
      <w:pPr>
        <w:rPr>
          <w:highlight w:val="yellow"/>
        </w:rPr>
      </w:pPr>
    </w:p>
    <w:p w14:paraId="1DE92437" w14:textId="77777777" w:rsidR="00235BCA" w:rsidRPr="002E7E6D" w:rsidRDefault="00235BCA" w:rsidP="003349A6">
      <w:pPr>
        <w:rPr>
          <w:highlight w:val="yellow"/>
        </w:rPr>
        <w:sectPr w:rsidR="00235BCA" w:rsidRPr="002E7E6D" w:rsidSect="00B87393">
          <w:headerReference w:type="even" r:id="rId22"/>
          <w:headerReference w:type="default" r:id="rId23"/>
          <w:footerReference w:type="even" r:id="rId24"/>
          <w:footerReference w:type="default" r:id="rId25"/>
          <w:pgSz w:w="11906" w:h="16838" w:code="9"/>
          <w:pgMar w:top="1310" w:right="1418" w:bottom="1310" w:left="1418" w:header="709" w:footer="567" w:gutter="0"/>
          <w:cols w:space="708"/>
          <w:docGrid w:linePitch="360"/>
        </w:sectPr>
      </w:pPr>
    </w:p>
    <w:p w14:paraId="141F19C4" w14:textId="77777777" w:rsidR="00C46AAB" w:rsidRPr="002A7D30" w:rsidRDefault="00C46AAB" w:rsidP="00685673">
      <w:pPr>
        <w:pStyle w:val="1"/>
        <w:keepNext w:val="0"/>
        <w:numPr>
          <w:ilvl w:val="0"/>
          <w:numId w:val="4"/>
        </w:numPr>
      </w:pPr>
      <w:bookmarkStart w:id="31" w:name="_Toc210570662"/>
      <w:bookmarkEnd w:id="31"/>
    </w:p>
    <w:p w14:paraId="082C2822" w14:textId="77777777" w:rsidR="003377C3" w:rsidRPr="002A7D30" w:rsidRDefault="003377C3" w:rsidP="00685673">
      <w:pPr>
        <w:pStyle w:val="2"/>
        <w:keepNext w:val="0"/>
      </w:pPr>
      <w:bookmarkStart w:id="32" w:name="_Toc210570663"/>
      <w:r w:rsidRPr="009C2FB2">
        <w:t>ΠΡΟΫΠΟΛΟΓΙΣΜΟΣ</w:t>
      </w:r>
      <w:r w:rsidRPr="002A7D30">
        <w:t xml:space="preserve"> ΓΕΝΙΚΗΣ ΚΥΒΕΡΝΗΣΗΣ</w:t>
      </w:r>
      <w:bookmarkEnd w:id="32"/>
    </w:p>
    <w:p w14:paraId="210C4F1C" w14:textId="77777777" w:rsidR="00E30C8C" w:rsidRPr="00133C15" w:rsidRDefault="00880906" w:rsidP="00685673">
      <w:pPr>
        <w:pStyle w:val="3"/>
        <w:keepNext w:val="0"/>
      </w:pPr>
      <w:bookmarkStart w:id="33" w:name="_Toc114142021"/>
      <w:bookmarkStart w:id="34" w:name="_Toc114142275"/>
      <w:bookmarkStart w:id="35" w:name="_Toc114142358"/>
      <w:bookmarkStart w:id="36" w:name="_Toc114142407"/>
      <w:bookmarkStart w:id="37" w:name="_Toc114149864"/>
      <w:bookmarkStart w:id="38" w:name="_Toc114219134"/>
      <w:bookmarkStart w:id="39" w:name="_Toc114219152"/>
      <w:bookmarkStart w:id="40" w:name="_Toc114219328"/>
      <w:bookmarkStart w:id="41" w:name="_Toc114219377"/>
      <w:bookmarkStart w:id="42" w:name="_Toc114219845"/>
      <w:bookmarkStart w:id="43" w:name="_Toc114234838"/>
      <w:bookmarkStart w:id="44" w:name="_Toc114489508"/>
      <w:bookmarkStart w:id="45" w:name="_Toc114489586"/>
      <w:bookmarkStart w:id="46" w:name="_Toc114489673"/>
      <w:bookmarkStart w:id="47" w:name="_Toc115338143"/>
      <w:bookmarkStart w:id="48" w:name="_Toc115358120"/>
      <w:bookmarkStart w:id="49" w:name="_Toc115424348"/>
      <w:bookmarkStart w:id="50" w:name="_Toc115435215"/>
      <w:bookmarkStart w:id="51" w:name="_Toc115437949"/>
      <w:bookmarkStart w:id="52" w:name="_Toc115526126"/>
      <w:bookmarkStart w:id="53" w:name="_Toc146645044"/>
      <w:bookmarkStart w:id="54" w:name="_Toc146819072"/>
      <w:bookmarkStart w:id="55" w:name="_Toc147015711"/>
      <w:bookmarkStart w:id="56" w:name="_Toc178751199"/>
      <w:bookmarkStart w:id="57" w:name="_Toc21057066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744E41">
        <w:t>Εκτιμήσεις</w:t>
      </w:r>
      <w:r w:rsidRPr="00133C15">
        <w:t xml:space="preserve"> 202</w:t>
      </w:r>
      <w:r w:rsidR="007D26B9">
        <w:rPr>
          <w:lang w:val="el-GR"/>
        </w:rPr>
        <w:t>5</w:t>
      </w:r>
      <w:bookmarkEnd w:id="57"/>
    </w:p>
    <w:p w14:paraId="08A18C58" w14:textId="10332D04" w:rsidR="00757AAC" w:rsidRPr="00D1257B" w:rsidRDefault="00757AAC" w:rsidP="00757AAC">
      <w:r w:rsidRPr="00D1257B">
        <w:t xml:space="preserve">Το πρωτογενές αποτέλεσμα της Γενικής Κυβέρνησης το 2024, σύμφωνα με τη μεθοδολογία του Ευρωπαϊκού Συστήματος Λογαριασμών (European System of Accounts - ESA), διαμορφώθηκε σε πλεόνασμα ύψους 11.400 εκατ. ευρώ ή 4,8% του ΑΕΠ, </w:t>
      </w:r>
      <w:r w:rsidR="00477D95">
        <w:t xml:space="preserve">σημαντικά </w:t>
      </w:r>
      <w:r w:rsidRPr="00D1257B">
        <w:t xml:space="preserve">υψηλότερο </w:t>
      </w:r>
      <w:r w:rsidR="00477D95">
        <w:t>της περιόδου 2020 -</w:t>
      </w:r>
      <w:r w:rsidR="00C200AF">
        <w:t xml:space="preserve"> </w:t>
      </w:r>
      <w:r w:rsidRPr="00D1257B">
        <w:t>2023</w:t>
      </w:r>
      <w:r w:rsidR="00C200AF">
        <w:t xml:space="preserve">, </w:t>
      </w:r>
      <w:r w:rsidR="00477D95">
        <w:t xml:space="preserve">η </w:t>
      </w:r>
      <w:r w:rsidR="00C200AF">
        <w:t>οποί</w:t>
      </w:r>
      <w:r w:rsidR="00477D95">
        <w:t>α</w:t>
      </w:r>
      <w:r w:rsidR="00C200AF">
        <w:t xml:space="preserve"> </w:t>
      </w:r>
      <w:r w:rsidRPr="00D1257B">
        <w:t xml:space="preserve">επηρεάστηκε έντονα από την </w:t>
      </w:r>
      <w:r w:rsidR="00477D95">
        <w:t xml:space="preserve">πανδημία </w:t>
      </w:r>
      <w:r w:rsidR="00477D95">
        <w:rPr>
          <w:lang w:val="en-US"/>
        </w:rPr>
        <w:t>Covid</w:t>
      </w:r>
      <w:r w:rsidR="00477D95" w:rsidRPr="00477D95">
        <w:t xml:space="preserve">-19, </w:t>
      </w:r>
      <w:r w:rsidR="00477D95">
        <w:t xml:space="preserve">την </w:t>
      </w:r>
      <w:r w:rsidR="00C200AF">
        <w:t xml:space="preserve">κλιματική κρίση </w:t>
      </w:r>
      <w:r w:rsidRPr="00D1257B">
        <w:t>καθώς και από την ενεργειακή κρίση εξαιτίας του πολέμου Ρωσίας - Ουκρανίας.</w:t>
      </w:r>
    </w:p>
    <w:p w14:paraId="3891C990" w14:textId="7D278020" w:rsidR="00757AAC" w:rsidRPr="00D1257B" w:rsidRDefault="00757AAC" w:rsidP="00757AAC">
      <w:pPr>
        <w:rPr>
          <w:rFonts w:eastAsia="Calibri"/>
        </w:rPr>
      </w:pPr>
      <w:r w:rsidRPr="00D1257B">
        <w:t>Το πρωτογενές αποτέλεσμα της Γενικής Κυβέρνησης του έτους 2025, με βάση τη μεθοδολογία ESA, είχε προβλεφθεί στην εισηγητική έκθεση του προϋπολογισμού 2025 ότι θα διαμορφωθεί σε πλεόνασμα ύψους 5.967 εκατ. ευρώ ή 2,4% του ΑΕΠ</w:t>
      </w:r>
      <w:r w:rsidR="00D1130A">
        <w:t>, ενώ στην Ετήσια Έκθεση Προόδου 2025 για το Μεσοπρόθεσμο Δημοσιονομικό - Διαρθρωτικό Σχέδιο (ΜΔΣ) που υποβλήθηκε τον Απρίλιο 2025 και λαμβανομένων υπόψη των απολογιστικών στοιχείων της καλύτερης εκτέλεσης του προϋπολογισμού 2024, η εκτίμηση του πρωτογενούς αποτελέσματος για το έτος 2025 αναθεωρήθηκε σε 3,2</w:t>
      </w:r>
      <w:r w:rsidR="00D1130A" w:rsidRPr="00D1257B">
        <w:t>% του ΑΕΠ</w:t>
      </w:r>
      <w:r w:rsidRPr="00D1257B">
        <w:t>.</w:t>
      </w:r>
      <w:r w:rsidR="00D1130A">
        <w:t xml:space="preserve"> </w:t>
      </w:r>
      <w:r w:rsidRPr="00D1257B">
        <w:t>Σύμφωνα με τα τελευταία στοιχεία της εκτέλεσης του προϋπολογισμού, το πρωτογενές αποτέλεσμα της Γενικής Κυβέρνησης εκτιμάται ότι θα διαμορφωθεί σε πλεόνασμα ύψους 9.105 εκατ. ευρώ ή 3,6% του ΑΕΠ.</w:t>
      </w:r>
    </w:p>
    <w:p w14:paraId="4BEE58A0" w14:textId="78817652" w:rsidR="00757AAC" w:rsidRPr="00D1257B" w:rsidRDefault="00757AAC" w:rsidP="00757AAC">
      <w:r w:rsidRPr="00D1257B">
        <w:t>Σε σχέση με τις προβλέψεις του προϋπολογισμού 2025 παρατηρείται αύξηση τόσο των καθαρών εσόδων του κρατικού προϋπολογισμού (κατά 2,3 δισ. ευρώ) όσο και των δαπανών (κατά 1,0 δισ. ευρώ)</w:t>
      </w:r>
      <w:r w:rsidR="002D450F">
        <w:t xml:space="preserve">, δεδομένου ότι περιλαμβάνονται </w:t>
      </w:r>
      <w:r w:rsidR="00486F0A">
        <w:t>επιπλέον δαπάνες</w:t>
      </w:r>
      <w:r w:rsidR="002D450F">
        <w:t xml:space="preserve"> για την ενίσχυση του διαθέσιμου εισοδήματος και</w:t>
      </w:r>
      <w:r w:rsidR="00486F0A">
        <w:t xml:space="preserve"> των επενδύσεων</w:t>
      </w:r>
      <w:r w:rsidRPr="00D1257B">
        <w:t>. Το συνολικό ισοζύγιο</w:t>
      </w:r>
      <w:r w:rsidR="00CD2FB7" w:rsidRPr="00CD2FB7">
        <w:t xml:space="preserve"> </w:t>
      </w:r>
      <w:r w:rsidR="00CD2FB7">
        <w:t>της</w:t>
      </w:r>
      <w:r w:rsidRPr="00D1257B">
        <w:t xml:space="preserve"> Γενικής Κυβέρνησης εκτιμάται ότι θα διαμορφωθεί σε πλεόνασμα 0,6% του ΑΕΠ, βελτιωμένο έναντι </w:t>
      </w:r>
      <w:r w:rsidR="00913834">
        <w:t xml:space="preserve">της πρόβλεψης για έλλειμμα </w:t>
      </w:r>
      <w:r w:rsidRPr="00D1257B">
        <w:t xml:space="preserve">0,6%, </w:t>
      </w:r>
      <w:r w:rsidR="00913834">
        <w:t xml:space="preserve">η οποία είχε περιληφθεί </w:t>
      </w:r>
      <w:r w:rsidRPr="00D1257B">
        <w:t>στην εισηγητική έκθεση του προϋπολογισμού 2025.</w:t>
      </w:r>
    </w:p>
    <w:p w14:paraId="11CADEA0" w14:textId="069BEE0D" w:rsidR="00757AAC" w:rsidRPr="00D1257B" w:rsidRDefault="00757AAC" w:rsidP="00757AAC">
      <w:r w:rsidRPr="00D1257B">
        <w:t>Επισημαίνεται ότι το έτος 2025 συνεχίστηκε η επιβεβαίωση της διεθν</w:t>
      </w:r>
      <w:r w:rsidR="00CD2FB7">
        <w:t>ού</w:t>
      </w:r>
      <w:r w:rsidRPr="00D1257B">
        <w:t>ς εμπιστοσύνης στην οικονομία της χώρας, με την αν</w:t>
      </w:r>
      <w:r w:rsidR="00F9604C">
        <w:t xml:space="preserve">αβάθμιση των προοπτικών της </w:t>
      </w:r>
      <w:r w:rsidRPr="00D1257B">
        <w:t>από το σύνολο των τεσσάρων μεγάλων επενδυτικών οίκων που αναγνωρίζει η ΕΚΤ (Standard &amp; Poor's, Moody's, Fitch Ratings και DBRS Morningstar).</w:t>
      </w:r>
    </w:p>
    <w:p w14:paraId="2ECB5434" w14:textId="4228151A" w:rsidR="00757AAC" w:rsidRPr="00D1257B" w:rsidRDefault="00757AAC" w:rsidP="00757AAC">
      <w:pPr>
        <w:spacing w:after="240"/>
      </w:pPr>
      <w:r w:rsidRPr="00375D22">
        <w:t xml:space="preserve">Παρακάτω </w:t>
      </w:r>
      <w:r w:rsidR="00DE6891" w:rsidRPr="00375D22">
        <w:t>(</w:t>
      </w:r>
      <w:r w:rsidR="00DE6891" w:rsidRPr="00375D22">
        <w:fldChar w:fldCharType="begin"/>
      </w:r>
      <w:r w:rsidR="00DE6891" w:rsidRPr="00375D22">
        <w:instrText xml:space="preserve"> REF _Ref210384636 \h  \* MERGEFORMAT </w:instrText>
      </w:r>
      <w:r w:rsidR="00DE6891" w:rsidRPr="00375D22">
        <w:fldChar w:fldCharType="separate"/>
      </w:r>
      <w:r w:rsidR="00C42930" w:rsidRPr="00C42930">
        <w:t>Πίνακας 2.1</w:t>
      </w:r>
      <w:r w:rsidR="00DE6891" w:rsidRPr="00375D22">
        <w:fldChar w:fldCharType="end"/>
      </w:r>
      <w:r w:rsidR="00DE6891" w:rsidRPr="00375D22">
        <w:t>.)</w:t>
      </w:r>
      <w:r w:rsidRPr="00375D22">
        <w:t xml:space="preserve"> αποτυπώνονται</w:t>
      </w:r>
      <w:r w:rsidRPr="00D1257B">
        <w:t xml:space="preserve"> το ισοζύγιο και το πρωτογενές αποτέλεσμα της Γενικής Κυβέρνησης </w:t>
      </w:r>
      <w:r w:rsidR="00CD2FB7">
        <w:t xml:space="preserve">κατά </w:t>
      </w:r>
      <w:r w:rsidRPr="00D1257B">
        <w:t>ESA, με ανάλυση ανά κατηγορία εσόδων και δαπανών για την Κεντρική Διοίκηση, τα νομικά πρόσωπα, τα νοσοκομεία και τους λοιπούς υποτομείς των Οργανισμών Τοπικής Αυτοδιοίκησης (ΟΤΑ) και των Οργανισμών Κοινωνικής Ασφάλισης (ΟΚΑ).</w:t>
      </w:r>
    </w:p>
    <w:p w14:paraId="5383EA95" w14:textId="77777777" w:rsidR="006530AF" w:rsidRDefault="006530AF" w:rsidP="00685673">
      <w:pPr>
        <w:rPr>
          <w:highlight w:val="yellow"/>
        </w:rPr>
      </w:pPr>
    </w:p>
    <w:p w14:paraId="06CB2CAD" w14:textId="77777777" w:rsidR="001F3AF2" w:rsidRDefault="001F3AF2" w:rsidP="00685673">
      <w:pPr>
        <w:rPr>
          <w:highlight w:val="yellow"/>
        </w:rPr>
      </w:pPr>
    </w:p>
    <w:p w14:paraId="3B7D9475" w14:textId="1CE0E5A7" w:rsidR="001F3AF2" w:rsidRDefault="001F3AF2" w:rsidP="00685673">
      <w:pPr>
        <w:rPr>
          <w:highlight w:val="yellow"/>
        </w:rPr>
      </w:pPr>
    </w:p>
    <w:p w14:paraId="7AD70B0F" w14:textId="26D04506" w:rsidR="00B848B5" w:rsidRDefault="00B848B5" w:rsidP="00685673">
      <w:pPr>
        <w:rPr>
          <w:highlight w:val="yellow"/>
        </w:rPr>
      </w:pPr>
    </w:p>
    <w:p w14:paraId="1EF4B359" w14:textId="2DD925BB" w:rsidR="00375D22" w:rsidRDefault="00375D22">
      <w:pPr>
        <w:spacing w:after="0" w:line="240" w:lineRule="auto"/>
        <w:jc w:val="left"/>
        <w:rPr>
          <w:highlight w:val="yellow"/>
        </w:rPr>
      </w:pPr>
      <w:r>
        <w:rPr>
          <w:highlight w:val="yellow"/>
        </w:rPr>
        <w:br w:type="page"/>
      </w:r>
    </w:p>
    <w:tbl>
      <w:tblPr>
        <w:tblW w:w="10394"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ook w:val="04A0" w:firstRow="1" w:lastRow="0" w:firstColumn="1" w:lastColumn="0" w:noHBand="0" w:noVBand="1"/>
      </w:tblPr>
      <w:tblGrid>
        <w:gridCol w:w="6017"/>
        <w:gridCol w:w="1068"/>
        <w:gridCol w:w="1177"/>
        <w:gridCol w:w="1066"/>
        <w:gridCol w:w="1066"/>
      </w:tblGrid>
      <w:tr w:rsidR="00EE405C" w:rsidRPr="00372745" w14:paraId="5BA12477" w14:textId="77777777" w:rsidTr="00BF6CBB">
        <w:trPr>
          <w:cantSplit/>
          <w:tblHeader/>
          <w:jc w:val="center"/>
        </w:trPr>
        <w:tc>
          <w:tcPr>
            <w:tcW w:w="10394" w:type="dxa"/>
            <w:gridSpan w:val="5"/>
            <w:tcBorders>
              <w:top w:val="single" w:sz="2" w:space="0" w:color="808080" w:themeColor="background1" w:themeShade="80"/>
              <w:bottom w:val="nil"/>
            </w:tcBorders>
            <w:shd w:val="clear" w:color="auto" w:fill="D5DCE4"/>
            <w:vAlign w:val="center"/>
            <w:hideMark/>
          </w:tcPr>
          <w:p w14:paraId="20B7A8F5" w14:textId="03EEC223" w:rsidR="00372745" w:rsidRDefault="00810EEB" w:rsidP="00810EEB">
            <w:pPr>
              <w:spacing w:after="0" w:line="276" w:lineRule="auto"/>
              <w:jc w:val="center"/>
              <w:rPr>
                <w:rFonts w:cs="Arial"/>
                <w:b/>
                <w:bCs/>
                <w:sz w:val="18"/>
                <w:szCs w:val="16"/>
              </w:rPr>
            </w:pPr>
            <w:bookmarkStart w:id="58" w:name="_Ref210384636"/>
            <w:bookmarkStart w:id="59" w:name="_Toc210570897"/>
            <w:bookmarkStart w:id="60" w:name="RANGE!A1:E223"/>
            <w:r w:rsidRPr="00810EEB">
              <w:rPr>
                <w:b/>
                <w:sz w:val="18"/>
                <w:szCs w:val="18"/>
              </w:rPr>
              <w:lastRenderedPageBreak/>
              <w:t>Πίνακας 2.</w:t>
            </w:r>
            <w:r w:rsidRPr="00810EEB">
              <w:rPr>
                <w:b/>
                <w:sz w:val="18"/>
                <w:szCs w:val="18"/>
              </w:rPr>
              <w:fldChar w:fldCharType="begin"/>
            </w:r>
            <w:r w:rsidRPr="00810EEB">
              <w:rPr>
                <w:b/>
                <w:sz w:val="18"/>
                <w:szCs w:val="18"/>
              </w:rPr>
              <w:instrText xml:space="preserve"> SEQ Πίνακας_2. \* ARABIC </w:instrText>
            </w:r>
            <w:r w:rsidRPr="00810EEB">
              <w:rPr>
                <w:b/>
                <w:sz w:val="18"/>
                <w:szCs w:val="18"/>
              </w:rPr>
              <w:fldChar w:fldCharType="separate"/>
            </w:r>
            <w:r w:rsidR="00C42930">
              <w:rPr>
                <w:b/>
                <w:noProof/>
                <w:sz w:val="18"/>
                <w:szCs w:val="18"/>
              </w:rPr>
              <w:t>1</w:t>
            </w:r>
            <w:r w:rsidRPr="00810EEB">
              <w:rPr>
                <w:b/>
                <w:sz w:val="18"/>
                <w:szCs w:val="18"/>
              </w:rPr>
              <w:fldChar w:fldCharType="end"/>
            </w:r>
            <w:bookmarkEnd w:id="58"/>
            <w:r w:rsidRPr="00810EEB">
              <w:rPr>
                <w:b/>
                <w:sz w:val="18"/>
                <w:szCs w:val="18"/>
              </w:rPr>
              <w:t>.:</w:t>
            </w:r>
            <w:r w:rsidR="00EE405C" w:rsidRPr="00810EEB">
              <w:rPr>
                <w:rFonts w:cs="Arial"/>
                <w:b/>
                <w:bCs/>
                <w:sz w:val="18"/>
                <w:szCs w:val="18"/>
              </w:rPr>
              <w:t xml:space="preserve"> Ισοζύγιο</w:t>
            </w:r>
            <w:r w:rsidR="00EE405C" w:rsidRPr="00372745">
              <w:rPr>
                <w:rFonts w:cs="Arial"/>
                <w:b/>
                <w:bCs/>
                <w:sz w:val="18"/>
                <w:szCs w:val="16"/>
              </w:rPr>
              <w:t xml:space="preserve"> Γενικής Κυβέρνησης σύμφωνα με τη μεθοδολογία European System of Accounts (ESA)</w:t>
            </w:r>
            <w:bookmarkEnd w:id="59"/>
          </w:p>
          <w:p w14:paraId="4BAD8A58" w14:textId="232D3198" w:rsidR="00EE405C" w:rsidRPr="00372745" w:rsidRDefault="00EE405C" w:rsidP="00372745">
            <w:pPr>
              <w:spacing w:after="0" w:line="276" w:lineRule="auto"/>
              <w:jc w:val="center"/>
              <w:rPr>
                <w:rFonts w:cs="Arial"/>
                <w:b/>
                <w:bCs/>
                <w:sz w:val="18"/>
                <w:szCs w:val="16"/>
              </w:rPr>
            </w:pPr>
            <w:r w:rsidRPr="00372745">
              <w:rPr>
                <w:rFonts w:cs="Arial"/>
                <w:b/>
                <w:bCs/>
                <w:sz w:val="18"/>
                <w:szCs w:val="16"/>
              </w:rPr>
              <w:t>(σε εκατ. ευρώ)</w:t>
            </w:r>
            <w:bookmarkEnd w:id="60"/>
          </w:p>
        </w:tc>
      </w:tr>
      <w:tr w:rsidR="00EE405C" w:rsidRPr="00372745" w14:paraId="2C49EAD0" w14:textId="77777777" w:rsidTr="00BF6CBB">
        <w:trPr>
          <w:cantSplit/>
          <w:trHeight w:val="227"/>
          <w:tblHeader/>
          <w:jc w:val="center"/>
        </w:trPr>
        <w:tc>
          <w:tcPr>
            <w:tcW w:w="6017" w:type="dxa"/>
            <w:tcBorders>
              <w:top w:val="nil"/>
              <w:bottom w:val="nil"/>
            </w:tcBorders>
            <w:shd w:val="clear" w:color="auto" w:fill="F2F2F2" w:themeFill="background1" w:themeFillShade="F2"/>
            <w:vAlign w:val="center"/>
            <w:hideMark/>
          </w:tcPr>
          <w:p w14:paraId="5000C28B" w14:textId="77777777" w:rsidR="00EE405C" w:rsidRPr="00372745" w:rsidRDefault="00EE405C" w:rsidP="00EE405C">
            <w:pPr>
              <w:spacing w:after="0" w:line="240" w:lineRule="auto"/>
              <w:jc w:val="center"/>
              <w:rPr>
                <w:rFonts w:cs="Arial"/>
                <w:color w:val="000000"/>
                <w:sz w:val="16"/>
                <w:szCs w:val="16"/>
              </w:rPr>
            </w:pPr>
            <w:r w:rsidRPr="00372745">
              <w:rPr>
                <w:rFonts w:cs="Arial"/>
                <w:color w:val="000000"/>
                <w:sz w:val="16"/>
                <w:szCs w:val="16"/>
              </w:rPr>
              <w:t> </w:t>
            </w:r>
          </w:p>
        </w:tc>
        <w:tc>
          <w:tcPr>
            <w:tcW w:w="1068" w:type="dxa"/>
            <w:tcBorders>
              <w:top w:val="nil"/>
              <w:bottom w:val="nil"/>
            </w:tcBorders>
            <w:shd w:val="clear" w:color="auto" w:fill="F2F2F2" w:themeFill="background1" w:themeFillShade="F2"/>
            <w:vAlign w:val="center"/>
            <w:hideMark/>
          </w:tcPr>
          <w:p w14:paraId="48343C1E" w14:textId="77777777" w:rsidR="00EE405C" w:rsidRPr="00372745" w:rsidRDefault="00EE405C" w:rsidP="00BC1535">
            <w:pPr>
              <w:spacing w:after="0" w:line="240" w:lineRule="auto"/>
              <w:jc w:val="center"/>
              <w:rPr>
                <w:rFonts w:cs="Arial"/>
                <w:b/>
                <w:bCs/>
                <w:color w:val="000000"/>
                <w:sz w:val="16"/>
                <w:szCs w:val="16"/>
              </w:rPr>
            </w:pPr>
            <w:r w:rsidRPr="00372745">
              <w:rPr>
                <w:rFonts w:cs="Arial"/>
                <w:b/>
                <w:bCs/>
                <w:color w:val="000000"/>
                <w:sz w:val="16"/>
                <w:szCs w:val="16"/>
              </w:rPr>
              <w:t>2024</w:t>
            </w:r>
          </w:p>
        </w:tc>
        <w:tc>
          <w:tcPr>
            <w:tcW w:w="2243" w:type="dxa"/>
            <w:gridSpan w:val="2"/>
            <w:tcBorders>
              <w:top w:val="nil"/>
              <w:bottom w:val="nil"/>
            </w:tcBorders>
            <w:shd w:val="clear" w:color="auto" w:fill="F2F2F2" w:themeFill="background1" w:themeFillShade="F2"/>
            <w:vAlign w:val="center"/>
            <w:hideMark/>
          </w:tcPr>
          <w:p w14:paraId="16F31AC6" w14:textId="77777777" w:rsidR="00EE405C" w:rsidRPr="00372745" w:rsidRDefault="00EE405C" w:rsidP="00BC1535">
            <w:pPr>
              <w:spacing w:after="0" w:line="240" w:lineRule="auto"/>
              <w:jc w:val="center"/>
              <w:rPr>
                <w:rFonts w:cs="Arial"/>
                <w:b/>
                <w:bCs/>
                <w:color w:val="000000"/>
                <w:sz w:val="16"/>
                <w:szCs w:val="16"/>
              </w:rPr>
            </w:pPr>
            <w:r w:rsidRPr="00372745">
              <w:rPr>
                <w:rFonts w:cs="Arial"/>
                <w:b/>
                <w:bCs/>
                <w:color w:val="000000"/>
                <w:sz w:val="16"/>
                <w:szCs w:val="16"/>
              </w:rPr>
              <w:t>2025</w:t>
            </w:r>
          </w:p>
        </w:tc>
        <w:tc>
          <w:tcPr>
            <w:tcW w:w="1066" w:type="dxa"/>
            <w:tcBorders>
              <w:top w:val="nil"/>
              <w:bottom w:val="nil"/>
            </w:tcBorders>
            <w:shd w:val="clear" w:color="auto" w:fill="F2F2F2" w:themeFill="background1" w:themeFillShade="F2"/>
            <w:vAlign w:val="center"/>
            <w:hideMark/>
          </w:tcPr>
          <w:p w14:paraId="0756E989" w14:textId="77777777" w:rsidR="00EE405C" w:rsidRPr="00372745" w:rsidRDefault="00EE405C" w:rsidP="00BC1535">
            <w:pPr>
              <w:spacing w:after="0" w:line="240" w:lineRule="auto"/>
              <w:jc w:val="center"/>
              <w:rPr>
                <w:rFonts w:cs="Arial"/>
                <w:b/>
                <w:bCs/>
                <w:color w:val="000000"/>
                <w:sz w:val="16"/>
                <w:szCs w:val="16"/>
              </w:rPr>
            </w:pPr>
            <w:r w:rsidRPr="00372745">
              <w:rPr>
                <w:rFonts w:cs="Arial"/>
                <w:b/>
                <w:bCs/>
                <w:color w:val="000000"/>
                <w:sz w:val="16"/>
                <w:szCs w:val="16"/>
              </w:rPr>
              <w:t>2026</w:t>
            </w:r>
          </w:p>
        </w:tc>
      </w:tr>
      <w:tr w:rsidR="00EE405C" w:rsidRPr="00372745" w14:paraId="72AC5E10" w14:textId="77777777" w:rsidTr="00BF6CBB">
        <w:trPr>
          <w:cantSplit/>
          <w:tblHeader/>
          <w:jc w:val="center"/>
        </w:trPr>
        <w:tc>
          <w:tcPr>
            <w:tcW w:w="6017" w:type="dxa"/>
            <w:tcBorders>
              <w:top w:val="nil"/>
              <w:bottom w:val="nil"/>
            </w:tcBorders>
            <w:shd w:val="clear" w:color="auto" w:fill="F2F2F2" w:themeFill="background1" w:themeFillShade="F2"/>
            <w:vAlign w:val="center"/>
            <w:hideMark/>
          </w:tcPr>
          <w:p w14:paraId="2AC1F053" w14:textId="77777777" w:rsidR="00EE405C" w:rsidRPr="00372745" w:rsidRDefault="00EE405C" w:rsidP="00EE405C">
            <w:pPr>
              <w:spacing w:after="0" w:line="240" w:lineRule="auto"/>
              <w:jc w:val="left"/>
              <w:rPr>
                <w:rFonts w:cs="Arial"/>
                <w:color w:val="000000"/>
                <w:sz w:val="16"/>
                <w:szCs w:val="16"/>
              </w:rPr>
            </w:pPr>
            <w:r w:rsidRPr="00372745">
              <w:rPr>
                <w:rFonts w:cs="Arial"/>
                <w:color w:val="000000"/>
                <w:sz w:val="16"/>
                <w:szCs w:val="16"/>
              </w:rPr>
              <w:t> </w:t>
            </w:r>
          </w:p>
        </w:tc>
        <w:tc>
          <w:tcPr>
            <w:tcW w:w="1068" w:type="dxa"/>
            <w:tcBorders>
              <w:top w:val="nil"/>
              <w:bottom w:val="nil"/>
            </w:tcBorders>
            <w:shd w:val="clear" w:color="auto" w:fill="F2F2F2" w:themeFill="background1" w:themeFillShade="F2"/>
            <w:vAlign w:val="center"/>
            <w:hideMark/>
          </w:tcPr>
          <w:p w14:paraId="6D2D73EB" w14:textId="1F629DF0" w:rsidR="00EE405C" w:rsidRPr="00372745" w:rsidRDefault="00EE405C" w:rsidP="00BC1535">
            <w:pPr>
              <w:spacing w:after="0" w:line="240" w:lineRule="auto"/>
              <w:jc w:val="center"/>
              <w:rPr>
                <w:rFonts w:cs="Arial"/>
                <w:b/>
                <w:bCs/>
                <w:color w:val="000000"/>
                <w:sz w:val="16"/>
                <w:szCs w:val="16"/>
              </w:rPr>
            </w:pPr>
            <w:r w:rsidRPr="00372745">
              <w:rPr>
                <w:rFonts w:cs="Arial"/>
                <w:b/>
                <w:bCs/>
                <w:color w:val="000000"/>
                <w:sz w:val="16"/>
                <w:szCs w:val="16"/>
              </w:rPr>
              <w:t>ΔΥΕ Απριλίου 2025</w:t>
            </w:r>
            <w:r w:rsidRPr="00606317">
              <w:rPr>
                <w:rFonts w:cs="Arial"/>
                <w:b/>
                <w:bCs/>
                <w:color w:val="000000"/>
                <w:sz w:val="16"/>
                <w:szCs w:val="16"/>
                <w:vertAlign w:val="superscript"/>
              </w:rPr>
              <w:t>4</w:t>
            </w:r>
          </w:p>
        </w:tc>
        <w:tc>
          <w:tcPr>
            <w:tcW w:w="1177" w:type="dxa"/>
            <w:tcBorders>
              <w:top w:val="nil"/>
              <w:bottom w:val="nil"/>
            </w:tcBorders>
            <w:shd w:val="clear" w:color="auto" w:fill="F2F2F2" w:themeFill="background1" w:themeFillShade="F2"/>
            <w:vAlign w:val="center"/>
            <w:hideMark/>
          </w:tcPr>
          <w:p w14:paraId="03C5016D" w14:textId="77777777" w:rsidR="00EE405C" w:rsidRPr="00372745" w:rsidRDefault="00EE405C" w:rsidP="00BC1535">
            <w:pPr>
              <w:spacing w:after="0" w:line="240" w:lineRule="auto"/>
              <w:jc w:val="center"/>
              <w:rPr>
                <w:rFonts w:cs="Arial"/>
                <w:b/>
                <w:bCs/>
                <w:color w:val="000000"/>
                <w:sz w:val="16"/>
                <w:szCs w:val="16"/>
              </w:rPr>
            </w:pPr>
            <w:r w:rsidRPr="00372745">
              <w:rPr>
                <w:rFonts w:cs="Arial"/>
                <w:b/>
                <w:bCs/>
                <w:color w:val="000000"/>
                <w:sz w:val="16"/>
                <w:szCs w:val="16"/>
              </w:rPr>
              <w:t>Προϋπ/σμός</w:t>
            </w:r>
          </w:p>
        </w:tc>
        <w:tc>
          <w:tcPr>
            <w:tcW w:w="1066" w:type="dxa"/>
            <w:tcBorders>
              <w:top w:val="nil"/>
              <w:bottom w:val="nil"/>
            </w:tcBorders>
            <w:shd w:val="clear" w:color="auto" w:fill="F2F2F2" w:themeFill="background1" w:themeFillShade="F2"/>
            <w:vAlign w:val="center"/>
            <w:hideMark/>
          </w:tcPr>
          <w:p w14:paraId="37D45A3C" w14:textId="6D693D39" w:rsidR="00EE405C" w:rsidRPr="00372745" w:rsidRDefault="00EE405C" w:rsidP="00BC1535">
            <w:pPr>
              <w:spacing w:after="0" w:line="240" w:lineRule="auto"/>
              <w:jc w:val="center"/>
              <w:rPr>
                <w:rFonts w:cs="Arial"/>
                <w:b/>
                <w:bCs/>
                <w:color w:val="000000"/>
                <w:sz w:val="16"/>
                <w:szCs w:val="16"/>
              </w:rPr>
            </w:pPr>
            <w:r w:rsidRPr="00372745">
              <w:rPr>
                <w:rFonts w:cs="Arial"/>
                <w:b/>
                <w:bCs/>
                <w:color w:val="000000"/>
                <w:sz w:val="16"/>
                <w:szCs w:val="16"/>
              </w:rPr>
              <w:t>Εκτίμηση</w:t>
            </w:r>
          </w:p>
        </w:tc>
        <w:tc>
          <w:tcPr>
            <w:tcW w:w="1066" w:type="dxa"/>
            <w:tcBorders>
              <w:top w:val="nil"/>
              <w:bottom w:val="nil"/>
            </w:tcBorders>
            <w:shd w:val="clear" w:color="auto" w:fill="F2F2F2" w:themeFill="background1" w:themeFillShade="F2"/>
            <w:vAlign w:val="center"/>
            <w:hideMark/>
          </w:tcPr>
          <w:p w14:paraId="68968D01" w14:textId="77777777" w:rsidR="00EE405C" w:rsidRPr="00372745" w:rsidRDefault="00EE405C" w:rsidP="00BC1535">
            <w:pPr>
              <w:spacing w:after="0" w:line="240" w:lineRule="auto"/>
              <w:jc w:val="center"/>
              <w:rPr>
                <w:rFonts w:cs="Arial"/>
                <w:b/>
                <w:bCs/>
                <w:color w:val="000000"/>
                <w:sz w:val="16"/>
                <w:szCs w:val="16"/>
              </w:rPr>
            </w:pPr>
            <w:r w:rsidRPr="00372745">
              <w:rPr>
                <w:rFonts w:cs="Arial"/>
                <w:b/>
                <w:bCs/>
                <w:color w:val="000000"/>
                <w:sz w:val="16"/>
                <w:szCs w:val="16"/>
              </w:rPr>
              <w:t>Πρόβλεψη</w:t>
            </w:r>
          </w:p>
        </w:tc>
      </w:tr>
      <w:tr w:rsidR="00EE405C" w:rsidRPr="00372745" w14:paraId="0E45D90F" w14:textId="77777777" w:rsidTr="00BF6CBB">
        <w:trPr>
          <w:cantSplit/>
          <w:jc w:val="center"/>
        </w:trPr>
        <w:tc>
          <w:tcPr>
            <w:tcW w:w="6017" w:type="dxa"/>
            <w:tcBorders>
              <w:top w:val="nil"/>
              <w:bottom w:val="nil"/>
            </w:tcBorders>
            <w:noWrap/>
            <w:vAlign w:val="center"/>
            <w:hideMark/>
          </w:tcPr>
          <w:p w14:paraId="59A191EF" w14:textId="77777777" w:rsidR="00EE405C" w:rsidRPr="00372745" w:rsidRDefault="00EE405C" w:rsidP="00EE405C">
            <w:pPr>
              <w:spacing w:after="0" w:line="240" w:lineRule="auto"/>
              <w:jc w:val="center"/>
              <w:rPr>
                <w:rFonts w:cs="Arial"/>
                <w:b/>
                <w:bCs/>
                <w:color w:val="000000"/>
                <w:sz w:val="16"/>
                <w:szCs w:val="16"/>
              </w:rPr>
            </w:pPr>
          </w:p>
        </w:tc>
        <w:tc>
          <w:tcPr>
            <w:tcW w:w="1068" w:type="dxa"/>
            <w:tcBorders>
              <w:top w:val="nil"/>
              <w:bottom w:val="nil"/>
            </w:tcBorders>
            <w:noWrap/>
            <w:vAlign w:val="center"/>
            <w:hideMark/>
          </w:tcPr>
          <w:p w14:paraId="26685D0F" w14:textId="77777777" w:rsidR="00EE405C" w:rsidRPr="00372745" w:rsidRDefault="00EE405C" w:rsidP="00EE405C">
            <w:pPr>
              <w:spacing w:after="0" w:line="240" w:lineRule="auto"/>
              <w:jc w:val="center"/>
              <w:rPr>
                <w:rFonts w:cs="Arial"/>
                <w:sz w:val="16"/>
                <w:szCs w:val="16"/>
              </w:rPr>
            </w:pPr>
          </w:p>
        </w:tc>
        <w:tc>
          <w:tcPr>
            <w:tcW w:w="1177" w:type="dxa"/>
            <w:tcBorders>
              <w:top w:val="nil"/>
              <w:bottom w:val="nil"/>
            </w:tcBorders>
            <w:noWrap/>
            <w:vAlign w:val="center"/>
            <w:hideMark/>
          </w:tcPr>
          <w:p w14:paraId="0CC6DD1F" w14:textId="77777777" w:rsidR="00EE405C" w:rsidRPr="00372745" w:rsidRDefault="00EE405C" w:rsidP="00EE405C">
            <w:pPr>
              <w:spacing w:after="0" w:line="240" w:lineRule="auto"/>
              <w:jc w:val="center"/>
              <w:rPr>
                <w:rFonts w:cs="Arial"/>
                <w:sz w:val="16"/>
                <w:szCs w:val="16"/>
              </w:rPr>
            </w:pPr>
          </w:p>
        </w:tc>
        <w:tc>
          <w:tcPr>
            <w:tcW w:w="1066" w:type="dxa"/>
            <w:tcBorders>
              <w:top w:val="nil"/>
              <w:bottom w:val="nil"/>
            </w:tcBorders>
            <w:noWrap/>
            <w:vAlign w:val="center"/>
            <w:hideMark/>
          </w:tcPr>
          <w:p w14:paraId="441DAB7A" w14:textId="77777777" w:rsidR="00EE405C" w:rsidRPr="00372745" w:rsidRDefault="00EE405C" w:rsidP="00EE405C">
            <w:pPr>
              <w:spacing w:after="0" w:line="240" w:lineRule="auto"/>
              <w:jc w:val="center"/>
              <w:rPr>
                <w:rFonts w:cs="Arial"/>
                <w:sz w:val="16"/>
                <w:szCs w:val="16"/>
              </w:rPr>
            </w:pPr>
          </w:p>
        </w:tc>
        <w:tc>
          <w:tcPr>
            <w:tcW w:w="1066" w:type="dxa"/>
            <w:tcBorders>
              <w:top w:val="nil"/>
              <w:bottom w:val="nil"/>
            </w:tcBorders>
            <w:noWrap/>
            <w:vAlign w:val="bottom"/>
            <w:hideMark/>
          </w:tcPr>
          <w:p w14:paraId="41485085" w14:textId="77777777" w:rsidR="00EE405C" w:rsidRPr="00372745" w:rsidRDefault="00EE405C" w:rsidP="00EE405C">
            <w:pPr>
              <w:spacing w:after="0" w:line="240" w:lineRule="auto"/>
              <w:jc w:val="center"/>
              <w:rPr>
                <w:rFonts w:cs="Arial"/>
                <w:sz w:val="16"/>
                <w:szCs w:val="16"/>
              </w:rPr>
            </w:pPr>
          </w:p>
        </w:tc>
      </w:tr>
      <w:tr w:rsidR="00EE405C" w:rsidRPr="00372745" w14:paraId="4206A601" w14:textId="77777777" w:rsidTr="00BF6CBB">
        <w:trPr>
          <w:cantSplit/>
          <w:trHeight w:val="227"/>
          <w:jc w:val="center"/>
        </w:trPr>
        <w:tc>
          <w:tcPr>
            <w:tcW w:w="6017" w:type="dxa"/>
            <w:tcBorders>
              <w:top w:val="nil"/>
              <w:bottom w:val="nil"/>
            </w:tcBorders>
            <w:shd w:val="clear" w:color="auto" w:fill="D5DCE4"/>
            <w:vAlign w:val="center"/>
            <w:hideMark/>
          </w:tcPr>
          <w:p w14:paraId="28A4C6A7" w14:textId="257A6405"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I.</w:t>
            </w:r>
            <w:r w:rsidR="00DA3C08">
              <w:rPr>
                <w:rFonts w:cs="Arial"/>
                <w:b/>
                <w:bCs/>
                <w:sz w:val="16"/>
                <w:szCs w:val="16"/>
              </w:rPr>
              <w:tab/>
            </w:r>
            <w:r w:rsidRPr="00372745">
              <w:rPr>
                <w:rFonts w:cs="Arial"/>
                <w:b/>
                <w:bCs/>
                <w:sz w:val="16"/>
                <w:szCs w:val="16"/>
              </w:rPr>
              <w:t>Καθαρά έσοδα κρατικού προϋπολογισμού κατά ESA (α+β+γ+δ+ε+στ-ζ)</w:t>
            </w:r>
          </w:p>
        </w:tc>
        <w:tc>
          <w:tcPr>
            <w:tcW w:w="1068" w:type="dxa"/>
            <w:tcBorders>
              <w:top w:val="nil"/>
              <w:bottom w:val="nil"/>
            </w:tcBorders>
            <w:shd w:val="clear" w:color="auto" w:fill="D5DCE4"/>
            <w:vAlign w:val="center"/>
            <w:hideMark/>
          </w:tcPr>
          <w:p w14:paraId="5465C2F8"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72.255</w:t>
            </w:r>
          </w:p>
        </w:tc>
        <w:tc>
          <w:tcPr>
            <w:tcW w:w="1177" w:type="dxa"/>
            <w:tcBorders>
              <w:top w:val="nil"/>
              <w:bottom w:val="nil"/>
            </w:tcBorders>
            <w:shd w:val="clear" w:color="auto" w:fill="D5DCE4"/>
            <w:vAlign w:val="center"/>
            <w:hideMark/>
          </w:tcPr>
          <w:p w14:paraId="5EF576D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74.573</w:t>
            </w:r>
          </w:p>
        </w:tc>
        <w:tc>
          <w:tcPr>
            <w:tcW w:w="1066" w:type="dxa"/>
            <w:tcBorders>
              <w:top w:val="nil"/>
              <w:bottom w:val="nil"/>
            </w:tcBorders>
            <w:shd w:val="clear" w:color="auto" w:fill="D5DCE4"/>
            <w:vAlign w:val="center"/>
            <w:hideMark/>
          </w:tcPr>
          <w:p w14:paraId="09DBF7C9"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76.826</w:t>
            </w:r>
          </w:p>
        </w:tc>
        <w:tc>
          <w:tcPr>
            <w:tcW w:w="1066" w:type="dxa"/>
            <w:tcBorders>
              <w:top w:val="nil"/>
              <w:bottom w:val="nil"/>
            </w:tcBorders>
            <w:shd w:val="clear" w:color="auto" w:fill="D5DCE4"/>
            <w:vAlign w:val="center"/>
            <w:hideMark/>
          </w:tcPr>
          <w:p w14:paraId="56BD94E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79.947</w:t>
            </w:r>
          </w:p>
        </w:tc>
      </w:tr>
      <w:tr w:rsidR="00EE405C" w:rsidRPr="00372745" w14:paraId="7043ACFD" w14:textId="77777777" w:rsidTr="00BF6CBB">
        <w:trPr>
          <w:cantSplit/>
          <w:jc w:val="center"/>
        </w:trPr>
        <w:tc>
          <w:tcPr>
            <w:tcW w:w="6017" w:type="dxa"/>
            <w:tcBorders>
              <w:top w:val="nil"/>
              <w:bottom w:val="nil"/>
            </w:tcBorders>
            <w:vAlign w:val="center"/>
            <w:hideMark/>
          </w:tcPr>
          <w:p w14:paraId="141B5BC4" w14:textId="36AA6A81"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α.</w:t>
            </w:r>
            <w:r w:rsidR="00C517E6">
              <w:rPr>
                <w:rFonts w:cs="Arial"/>
                <w:b/>
                <w:bCs/>
                <w:sz w:val="16"/>
                <w:szCs w:val="16"/>
              </w:rPr>
              <w:tab/>
            </w:r>
            <w:r w:rsidRPr="00372745">
              <w:rPr>
                <w:rFonts w:cs="Arial"/>
                <w:b/>
                <w:bCs/>
                <w:sz w:val="16"/>
                <w:szCs w:val="16"/>
              </w:rPr>
              <w:t>Φόροι (1+2+3+4+5+6+7)</w:t>
            </w:r>
          </w:p>
        </w:tc>
        <w:tc>
          <w:tcPr>
            <w:tcW w:w="1068" w:type="dxa"/>
            <w:tcBorders>
              <w:top w:val="nil"/>
              <w:bottom w:val="nil"/>
            </w:tcBorders>
            <w:vAlign w:val="center"/>
            <w:hideMark/>
          </w:tcPr>
          <w:p w14:paraId="789C3B2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68.297</w:t>
            </w:r>
          </w:p>
        </w:tc>
        <w:tc>
          <w:tcPr>
            <w:tcW w:w="1177" w:type="dxa"/>
            <w:tcBorders>
              <w:top w:val="nil"/>
              <w:bottom w:val="nil"/>
            </w:tcBorders>
            <w:vAlign w:val="center"/>
            <w:hideMark/>
          </w:tcPr>
          <w:p w14:paraId="1C9635E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69.203</w:t>
            </w:r>
          </w:p>
        </w:tc>
        <w:tc>
          <w:tcPr>
            <w:tcW w:w="1066" w:type="dxa"/>
            <w:tcBorders>
              <w:top w:val="nil"/>
              <w:bottom w:val="nil"/>
            </w:tcBorders>
            <w:vAlign w:val="center"/>
            <w:hideMark/>
          </w:tcPr>
          <w:p w14:paraId="499F177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70.878</w:t>
            </w:r>
          </w:p>
        </w:tc>
        <w:tc>
          <w:tcPr>
            <w:tcW w:w="1066" w:type="dxa"/>
            <w:tcBorders>
              <w:top w:val="nil"/>
              <w:bottom w:val="nil"/>
            </w:tcBorders>
            <w:vAlign w:val="center"/>
            <w:hideMark/>
          </w:tcPr>
          <w:p w14:paraId="775418AD"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73.527</w:t>
            </w:r>
          </w:p>
        </w:tc>
      </w:tr>
      <w:tr w:rsidR="00EE405C" w:rsidRPr="00372745" w14:paraId="6B7B1B41" w14:textId="77777777" w:rsidTr="00BF6CBB">
        <w:trPr>
          <w:cantSplit/>
          <w:jc w:val="center"/>
        </w:trPr>
        <w:tc>
          <w:tcPr>
            <w:tcW w:w="6017" w:type="dxa"/>
            <w:tcBorders>
              <w:top w:val="nil"/>
              <w:bottom w:val="nil"/>
            </w:tcBorders>
            <w:vAlign w:val="center"/>
            <w:hideMark/>
          </w:tcPr>
          <w:p w14:paraId="6F5067C2" w14:textId="46DE7DF6"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1.</w:t>
            </w:r>
            <w:r w:rsidR="00C517E6">
              <w:rPr>
                <w:rFonts w:cs="Arial"/>
                <w:sz w:val="16"/>
                <w:szCs w:val="16"/>
              </w:rPr>
              <w:tab/>
            </w:r>
            <w:r w:rsidRPr="00372745">
              <w:rPr>
                <w:rFonts w:cs="Arial"/>
                <w:sz w:val="16"/>
                <w:szCs w:val="16"/>
              </w:rPr>
              <w:t>Φόροι επί αγαθών και υπηρεσιών</w:t>
            </w:r>
          </w:p>
        </w:tc>
        <w:tc>
          <w:tcPr>
            <w:tcW w:w="1068" w:type="dxa"/>
            <w:tcBorders>
              <w:top w:val="nil"/>
              <w:bottom w:val="nil"/>
            </w:tcBorders>
            <w:vAlign w:val="center"/>
            <w:hideMark/>
          </w:tcPr>
          <w:p w14:paraId="7AA9756F" w14:textId="77777777" w:rsidR="00EE405C" w:rsidRPr="00372745" w:rsidRDefault="00EE405C" w:rsidP="00450A3E">
            <w:pPr>
              <w:spacing w:after="0" w:line="240" w:lineRule="auto"/>
              <w:jc w:val="right"/>
              <w:rPr>
                <w:rFonts w:cs="Arial"/>
                <w:sz w:val="16"/>
                <w:szCs w:val="16"/>
              </w:rPr>
            </w:pPr>
            <w:r w:rsidRPr="00372745">
              <w:rPr>
                <w:rFonts w:cs="Arial"/>
                <w:sz w:val="16"/>
                <w:szCs w:val="16"/>
              </w:rPr>
              <w:t>36.907</w:t>
            </w:r>
          </w:p>
        </w:tc>
        <w:tc>
          <w:tcPr>
            <w:tcW w:w="1177" w:type="dxa"/>
            <w:tcBorders>
              <w:top w:val="nil"/>
              <w:bottom w:val="nil"/>
            </w:tcBorders>
            <w:vAlign w:val="center"/>
            <w:hideMark/>
          </w:tcPr>
          <w:p w14:paraId="520B1C2F" w14:textId="77777777" w:rsidR="00EE405C" w:rsidRPr="00372745" w:rsidRDefault="00EE405C" w:rsidP="00450A3E">
            <w:pPr>
              <w:spacing w:after="0" w:line="240" w:lineRule="auto"/>
              <w:jc w:val="right"/>
              <w:rPr>
                <w:rFonts w:cs="Arial"/>
                <w:sz w:val="16"/>
                <w:szCs w:val="16"/>
              </w:rPr>
            </w:pPr>
            <w:r w:rsidRPr="00372745">
              <w:rPr>
                <w:rFonts w:cs="Arial"/>
                <w:sz w:val="16"/>
                <w:szCs w:val="16"/>
              </w:rPr>
              <w:t>38.019</w:t>
            </w:r>
          </w:p>
        </w:tc>
        <w:tc>
          <w:tcPr>
            <w:tcW w:w="1066" w:type="dxa"/>
            <w:tcBorders>
              <w:top w:val="nil"/>
              <w:bottom w:val="nil"/>
            </w:tcBorders>
            <w:vAlign w:val="center"/>
            <w:hideMark/>
          </w:tcPr>
          <w:p w14:paraId="0F451078" w14:textId="77777777" w:rsidR="00EE405C" w:rsidRPr="00372745" w:rsidRDefault="00EE405C" w:rsidP="00450A3E">
            <w:pPr>
              <w:spacing w:after="0" w:line="240" w:lineRule="auto"/>
              <w:jc w:val="right"/>
              <w:rPr>
                <w:rFonts w:cs="Arial"/>
                <w:sz w:val="16"/>
                <w:szCs w:val="16"/>
              </w:rPr>
            </w:pPr>
            <w:r w:rsidRPr="00372745">
              <w:rPr>
                <w:rFonts w:cs="Arial"/>
                <w:sz w:val="16"/>
                <w:szCs w:val="16"/>
              </w:rPr>
              <w:t>39.071</w:t>
            </w:r>
          </w:p>
        </w:tc>
        <w:tc>
          <w:tcPr>
            <w:tcW w:w="1066" w:type="dxa"/>
            <w:tcBorders>
              <w:top w:val="nil"/>
              <w:bottom w:val="nil"/>
            </w:tcBorders>
            <w:vAlign w:val="center"/>
            <w:hideMark/>
          </w:tcPr>
          <w:p w14:paraId="67957374" w14:textId="77777777" w:rsidR="00EE405C" w:rsidRPr="00372745" w:rsidRDefault="00EE405C" w:rsidP="00450A3E">
            <w:pPr>
              <w:spacing w:after="0" w:line="240" w:lineRule="auto"/>
              <w:jc w:val="right"/>
              <w:rPr>
                <w:rFonts w:cs="Arial"/>
                <w:sz w:val="16"/>
                <w:szCs w:val="16"/>
              </w:rPr>
            </w:pPr>
            <w:r w:rsidRPr="00372745">
              <w:rPr>
                <w:rFonts w:cs="Arial"/>
                <w:sz w:val="16"/>
                <w:szCs w:val="16"/>
              </w:rPr>
              <w:t>40.818</w:t>
            </w:r>
          </w:p>
        </w:tc>
      </w:tr>
      <w:tr w:rsidR="00EE405C" w:rsidRPr="00372745" w14:paraId="0480337D" w14:textId="77777777" w:rsidTr="00BF6CBB">
        <w:trPr>
          <w:cantSplit/>
          <w:jc w:val="center"/>
        </w:trPr>
        <w:tc>
          <w:tcPr>
            <w:tcW w:w="6017" w:type="dxa"/>
            <w:tcBorders>
              <w:top w:val="nil"/>
              <w:bottom w:val="nil"/>
            </w:tcBorders>
            <w:vAlign w:val="center"/>
            <w:hideMark/>
          </w:tcPr>
          <w:p w14:paraId="6CD17EF4" w14:textId="60931617"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εκ των οποίων:</w:t>
            </w:r>
            <w:r w:rsidR="00DA3C08">
              <w:rPr>
                <w:rFonts w:cs="Arial"/>
                <w:sz w:val="16"/>
                <w:szCs w:val="16"/>
              </w:rPr>
              <w:tab/>
            </w:r>
            <w:r w:rsidRPr="00372745">
              <w:rPr>
                <w:rFonts w:cs="Arial"/>
                <w:sz w:val="16"/>
                <w:szCs w:val="16"/>
              </w:rPr>
              <w:t>Φόροι προστιθέμενης αξίας</w:t>
            </w:r>
          </w:p>
        </w:tc>
        <w:tc>
          <w:tcPr>
            <w:tcW w:w="1068" w:type="dxa"/>
            <w:tcBorders>
              <w:top w:val="nil"/>
              <w:bottom w:val="nil"/>
            </w:tcBorders>
            <w:vAlign w:val="center"/>
            <w:hideMark/>
          </w:tcPr>
          <w:p w14:paraId="3C0037AC" w14:textId="77777777" w:rsidR="00EE405C" w:rsidRPr="00372745" w:rsidRDefault="00EE405C" w:rsidP="00450A3E">
            <w:pPr>
              <w:spacing w:after="0" w:line="240" w:lineRule="auto"/>
              <w:jc w:val="right"/>
              <w:rPr>
                <w:rFonts w:cs="Arial"/>
                <w:sz w:val="16"/>
                <w:szCs w:val="16"/>
              </w:rPr>
            </w:pPr>
            <w:r w:rsidRPr="00372745">
              <w:rPr>
                <w:rFonts w:cs="Arial"/>
                <w:sz w:val="16"/>
                <w:szCs w:val="16"/>
              </w:rPr>
              <w:t>25.683</w:t>
            </w:r>
          </w:p>
        </w:tc>
        <w:tc>
          <w:tcPr>
            <w:tcW w:w="1177" w:type="dxa"/>
            <w:tcBorders>
              <w:top w:val="nil"/>
              <w:bottom w:val="nil"/>
            </w:tcBorders>
            <w:vAlign w:val="center"/>
            <w:hideMark/>
          </w:tcPr>
          <w:p w14:paraId="6F64A403" w14:textId="77777777" w:rsidR="00EE405C" w:rsidRPr="00372745" w:rsidRDefault="00EE405C" w:rsidP="00450A3E">
            <w:pPr>
              <w:spacing w:after="0" w:line="240" w:lineRule="auto"/>
              <w:jc w:val="right"/>
              <w:rPr>
                <w:rFonts w:cs="Arial"/>
                <w:sz w:val="16"/>
                <w:szCs w:val="16"/>
              </w:rPr>
            </w:pPr>
            <w:r w:rsidRPr="00372745">
              <w:rPr>
                <w:rFonts w:cs="Arial"/>
                <w:sz w:val="16"/>
                <w:szCs w:val="16"/>
              </w:rPr>
              <w:t>26.673</w:t>
            </w:r>
          </w:p>
        </w:tc>
        <w:tc>
          <w:tcPr>
            <w:tcW w:w="1066" w:type="dxa"/>
            <w:tcBorders>
              <w:top w:val="nil"/>
              <w:bottom w:val="nil"/>
            </w:tcBorders>
            <w:vAlign w:val="center"/>
            <w:hideMark/>
          </w:tcPr>
          <w:p w14:paraId="02F501D4" w14:textId="77777777" w:rsidR="00EE405C" w:rsidRPr="00372745" w:rsidRDefault="00EE405C" w:rsidP="00450A3E">
            <w:pPr>
              <w:spacing w:after="0" w:line="240" w:lineRule="auto"/>
              <w:jc w:val="right"/>
              <w:rPr>
                <w:rFonts w:cs="Arial"/>
                <w:sz w:val="16"/>
                <w:szCs w:val="16"/>
              </w:rPr>
            </w:pPr>
            <w:r w:rsidRPr="00372745">
              <w:rPr>
                <w:rFonts w:cs="Arial"/>
                <w:sz w:val="16"/>
                <w:szCs w:val="16"/>
              </w:rPr>
              <w:t>27.530</w:t>
            </w:r>
          </w:p>
        </w:tc>
        <w:tc>
          <w:tcPr>
            <w:tcW w:w="1066" w:type="dxa"/>
            <w:tcBorders>
              <w:top w:val="nil"/>
              <w:bottom w:val="nil"/>
            </w:tcBorders>
            <w:vAlign w:val="center"/>
            <w:hideMark/>
          </w:tcPr>
          <w:p w14:paraId="0C53C383" w14:textId="77777777" w:rsidR="00EE405C" w:rsidRPr="00372745" w:rsidRDefault="00EE405C" w:rsidP="00450A3E">
            <w:pPr>
              <w:spacing w:after="0" w:line="240" w:lineRule="auto"/>
              <w:jc w:val="right"/>
              <w:rPr>
                <w:rFonts w:cs="Arial"/>
                <w:sz w:val="16"/>
                <w:szCs w:val="16"/>
              </w:rPr>
            </w:pPr>
            <w:r w:rsidRPr="00372745">
              <w:rPr>
                <w:rFonts w:cs="Arial"/>
                <w:sz w:val="16"/>
                <w:szCs w:val="16"/>
              </w:rPr>
              <w:t>29.129</w:t>
            </w:r>
          </w:p>
        </w:tc>
      </w:tr>
      <w:tr w:rsidR="00EE405C" w:rsidRPr="00372745" w14:paraId="43FF7323" w14:textId="77777777" w:rsidTr="00BF6CBB">
        <w:trPr>
          <w:cantSplit/>
          <w:jc w:val="center"/>
        </w:trPr>
        <w:tc>
          <w:tcPr>
            <w:tcW w:w="6017" w:type="dxa"/>
            <w:tcBorders>
              <w:top w:val="nil"/>
              <w:bottom w:val="nil"/>
            </w:tcBorders>
            <w:vAlign w:val="center"/>
            <w:hideMark/>
          </w:tcPr>
          <w:p w14:paraId="4544040A" w14:textId="05C35463" w:rsidR="00EE405C" w:rsidRPr="00372745" w:rsidRDefault="00DA3C08" w:rsidP="00450A3E">
            <w:pPr>
              <w:tabs>
                <w:tab w:val="left" w:pos="1457"/>
              </w:tabs>
              <w:spacing w:after="0" w:line="240" w:lineRule="auto"/>
              <w:jc w:val="left"/>
              <w:rPr>
                <w:rFonts w:cs="Arial"/>
                <w:sz w:val="16"/>
                <w:szCs w:val="16"/>
              </w:rPr>
            </w:pPr>
            <w:r>
              <w:rPr>
                <w:rFonts w:cs="Arial"/>
                <w:sz w:val="16"/>
                <w:szCs w:val="16"/>
              </w:rPr>
              <w:tab/>
            </w:r>
            <w:r w:rsidR="00EE405C" w:rsidRPr="00372745">
              <w:rPr>
                <w:rFonts w:cs="Arial"/>
                <w:sz w:val="16"/>
                <w:szCs w:val="16"/>
              </w:rPr>
              <w:t>Ειδικοί φόροι κατανάλωσης</w:t>
            </w:r>
          </w:p>
        </w:tc>
        <w:tc>
          <w:tcPr>
            <w:tcW w:w="1068" w:type="dxa"/>
            <w:tcBorders>
              <w:top w:val="nil"/>
              <w:bottom w:val="nil"/>
            </w:tcBorders>
            <w:vAlign w:val="center"/>
            <w:hideMark/>
          </w:tcPr>
          <w:p w14:paraId="5D5BC2B5" w14:textId="77777777" w:rsidR="00EE405C" w:rsidRPr="00372745" w:rsidRDefault="00EE405C" w:rsidP="00450A3E">
            <w:pPr>
              <w:spacing w:after="0" w:line="240" w:lineRule="auto"/>
              <w:jc w:val="right"/>
              <w:rPr>
                <w:rFonts w:cs="Arial"/>
                <w:sz w:val="16"/>
                <w:szCs w:val="16"/>
              </w:rPr>
            </w:pPr>
            <w:r w:rsidRPr="00372745">
              <w:rPr>
                <w:rFonts w:cs="Arial"/>
                <w:sz w:val="16"/>
                <w:szCs w:val="16"/>
              </w:rPr>
              <w:t>7.258</w:t>
            </w:r>
          </w:p>
        </w:tc>
        <w:tc>
          <w:tcPr>
            <w:tcW w:w="1177" w:type="dxa"/>
            <w:tcBorders>
              <w:top w:val="nil"/>
              <w:bottom w:val="nil"/>
            </w:tcBorders>
            <w:vAlign w:val="center"/>
            <w:hideMark/>
          </w:tcPr>
          <w:p w14:paraId="24499337" w14:textId="77777777" w:rsidR="00EE405C" w:rsidRPr="00372745" w:rsidRDefault="00EE405C" w:rsidP="00450A3E">
            <w:pPr>
              <w:spacing w:after="0" w:line="240" w:lineRule="auto"/>
              <w:jc w:val="right"/>
              <w:rPr>
                <w:rFonts w:cs="Arial"/>
                <w:sz w:val="16"/>
                <w:szCs w:val="16"/>
              </w:rPr>
            </w:pPr>
            <w:r w:rsidRPr="00372745">
              <w:rPr>
                <w:rFonts w:cs="Arial"/>
                <w:sz w:val="16"/>
                <w:szCs w:val="16"/>
              </w:rPr>
              <w:t>7.276</w:t>
            </w:r>
          </w:p>
        </w:tc>
        <w:tc>
          <w:tcPr>
            <w:tcW w:w="1066" w:type="dxa"/>
            <w:tcBorders>
              <w:top w:val="nil"/>
              <w:bottom w:val="nil"/>
            </w:tcBorders>
            <w:vAlign w:val="center"/>
            <w:hideMark/>
          </w:tcPr>
          <w:p w14:paraId="35A16951" w14:textId="77777777" w:rsidR="00EE405C" w:rsidRPr="00372745" w:rsidRDefault="00EE405C" w:rsidP="00450A3E">
            <w:pPr>
              <w:spacing w:after="0" w:line="240" w:lineRule="auto"/>
              <w:jc w:val="right"/>
              <w:rPr>
                <w:rFonts w:cs="Arial"/>
                <w:sz w:val="16"/>
                <w:szCs w:val="16"/>
              </w:rPr>
            </w:pPr>
            <w:r w:rsidRPr="00372745">
              <w:rPr>
                <w:rFonts w:cs="Arial"/>
                <w:sz w:val="16"/>
                <w:szCs w:val="16"/>
              </w:rPr>
              <w:t>7.394</w:t>
            </w:r>
          </w:p>
        </w:tc>
        <w:tc>
          <w:tcPr>
            <w:tcW w:w="1066" w:type="dxa"/>
            <w:tcBorders>
              <w:top w:val="nil"/>
              <w:bottom w:val="nil"/>
            </w:tcBorders>
            <w:vAlign w:val="center"/>
            <w:hideMark/>
          </w:tcPr>
          <w:p w14:paraId="0C521515" w14:textId="77777777" w:rsidR="00EE405C" w:rsidRPr="00372745" w:rsidRDefault="00EE405C" w:rsidP="00450A3E">
            <w:pPr>
              <w:spacing w:after="0" w:line="240" w:lineRule="auto"/>
              <w:jc w:val="right"/>
              <w:rPr>
                <w:rFonts w:cs="Arial"/>
                <w:sz w:val="16"/>
                <w:szCs w:val="16"/>
              </w:rPr>
            </w:pPr>
            <w:r w:rsidRPr="00372745">
              <w:rPr>
                <w:rFonts w:cs="Arial"/>
                <w:sz w:val="16"/>
                <w:szCs w:val="16"/>
              </w:rPr>
              <w:t>7.447</w:t>
            </w:r>
          </w:p>
        </w:tc>
      </w:tr>
      <w:tr w:rsidR="00EE405C" w:rsidRPr="00372745" w14:paraId="207ED643" w14:textId="77777777" w:rsidTr="00BF6CBB">
        <w:trPr>
          <w:cantSplit/>
          <w:jc w:val="center"/>
        </w:trPr>
        <w:tc>
          <w:tcPr>
            <w:tcW w:w="6017" w:type="dxa"/>
            <w:tcBorders>
              <w:top w:val="nil"/>
              <w:bottom w:val="nil"/>
            </w:tcBorders>
            <w:vAlign w:val="center"/>
            <w:hideMark/>
          </w:tcPr>
          <w:p w14:paraId="39F0DB82" w14:textId="31892040"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2.</w:t>
            </w:r>
            <w:r w:rsidR="00E11857">
              <w:rPr>
                <w:rFonts w:cs="Arial"/>
                <w:sz w:val="16"/>
                <w:szCs w:val="16"/>
              </w:rPr>
              <w:tab/>
            </w:r>
            <w:r w:rsidRPr="00372745">
              <w:rPr>
                <w:rFonts w:cs="Arial"/>
                <w:sz w:val="16"/>
                <w:szCs w:val="16"/>
              </w:rPr>
              <w:t>Φόροι και δασμοί επί εισαγωγών</w:t>
            </w:r>
          </w:p>
        </w:tc>
        <w:tc>
          <w:tcPr>
            <w:tcW w:w="1068" w:type="dxa"/>
            <w:tcBorders>
              <w:top w:val="nil"/>
              <w:bottom w:val="nil"/>
            </w:tcBorders>
            <w:vAlign w:val="center"/>
            <w:hideMark/>
          </w:tcPr>
          <w:p w14:paraId="6821E33D" w14:textId="77777777" w:rsidR="00EE405C" w:rsidRPr="00372745" w:rsidRDefault="00EE405C" w:rsidP="00450A3E">
            <w:pPr>
              <w:spacing w:after="0" w:line="240" w:lineRule="auto"/>
              <w:jc w:val="right"/>
              <w:rPr>
                <w:rFonts w:cs="Arial"/>
                <w:sz w:val="16"/>
                <w:szCs w:val="16"/>
              </w:rPr>
            </w:pPr>
            <w:r w:rsidRPr="00372745">
              <w:rPr>
                <w:rFonts w:cs="Arial"/>
                <w:sz w:val="16"/>
                <w:szCs w:val="16"/>
              </w:rPr>
              <w:t>366</w:t>
            </w:r>
          </w:p>
        </w:tc>
        <w:tc>
          <w:tcPr>
            <w:tcW w:w="1177" w:type="dxa"/>
            <w:tcBorders>
              <w:top w:val="nil"/>
              <w:bottom w:val="nil"/>
            </w:tcBorders>
            <w:vAlign w:val="center"/>
            <w:hideMark/>
          </w:tcPr>
          <w:p w14:paraId="77179344" w14:textId="77777777" w:rsidR="00EE405C" w:rsidRPr="00372745" w:rsidRDefault="00EE405C" w:rsidP="00450A3E">
            <w:pPr>
              <w:spacing w:after="0" w:line="240" w:lineRule="auto"/>
              <w:jc w:val="right"/>
              <w:rPr>
                <w:rFonts w:cs="Arial"/>
                <w:sz w:val="16"/>
                <w:szCs w:val="16"/>
              </w:rPr>
            </w:pPr>
            <w:r w:rsidRPr="00372745">
              <w:rPr>
                <w:rFonts w:cs="Arial"/>
                <w:sz w:val="16"/>
                <w:szCs w:val="16"/>
              </w:rPr>
              <w:t>362</w:t>
            </w:r>
          </w:p>
        </w:tc>
        <w:tc>
          <w:tcPr>
            <w:tcW w:w="1066" w:type="dxa"/>
            <w:tcBorders>
              <w:top w:val="nil"/>
              <w:bottom w:val="nil"/>
            </w:tcBorders>
            <w:vAlign w:val="center"/>
            <w:hideMark/>
          </w:tcPr>
          <w:p w14:paraId="5E799E6C" w14:textId="77777777" w:rsidR="00EE405C" w:rsidRPr="00372745" w:rsidRDefault="00EE405C" w:rsidP="00450A3E">
            <w:pPr>
              <w:spacing w:after="0" w:line="240" w:lineRule="auto"/>
              <w:jc w:val="right"/>
              <w:rPr>
                <w:rFonts w:cs="Arial"/>
                <w:sz w:val="16"/>
                <w:szCs w:val="16"/>
              </w:rPr>
            </w:pPr>
            <w:r w:rsidRPr="00372745">
              <w:rPr>
                <w:rFonts w:cs="Arial"/>
                <w:sz w:val="16"/>
                <w:szCs w:val="16"/>
              </w:rPr>
              <w:t>400</w:t>
            </w:r>
          </w:p>
        </w:tc>
        <w:tc>
          <w:tcPr>
            <w:tcW w:w="1066" w:type="dxa"/>
            <w:tcBorders>
              <w:top w:val="nil"/>
              <w:bottom w:val="nil"/>
            </w:tcBorders>
            <w:vAlign w:val="center"/>
            <w:hideMark/>
          </w:tcPr>
          <w:p w14:paraId="7ABF85D9" w14:textId="77777777" w:rsidR="00EE405C" w:rsidRPr="00372745" w:rsidRDefault="00EE405C" w:rsidP="00450A3E">
            <w:pPr>
              <w:spacing w:after="0" w:line="240" w:lineRule="auto"/>
              <w:jc w:val="right"/>
              <w:rPr>
                <w:rFonts w:cs="Arial"/>
                <w:sz w:val="16"/>
                <w:szCs w:val="16"/>
              </w:rPr>
            </w:pPr>
            <w:r w:rsidRPr="00372745">
              <w:rPr>
                <w:rFonts w:cs="Arial"/>
                <w:sz w:val="16"/>
                <w:szCs w:val="16"/>
              </w:rPr>
              <w:t>427</w:t>
            </w:r>
          </w:p>
        </w:tc>
      </w:tr>
      <w:tr w:rsidR="00EE405C" w:rsidRPr="00372745" w14:paraId="46D50567" w14:textId="77777777" w:rsidTr="00BF6CBB">
        <w:trPr>
          <w:cantSplit/>
          <w:jc w:val="center"/>
        </w:trPr>
        <w:tc>
          <w:tcPr>
            <w:tcW w:w="6017" w:type="dxa"/>
            <w:tcBorders>
              <w:top w:val="nil"/>
              <w:bottom w:val="nil"/>
            </w:tcBorders>
            <w:vAlign w:val="center"/>
            <w:hideMark/>
          </w:tcPr>
          <w:p w14:paraId="3CEE88B4" w14:textId="74A6F942"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3.</w:t>
            </w:r>
            <w:r w:rsidR="00E11857">
              <w:rPr>
                <w:rFonts w:cs="Arial"/>
                <w:sz w:val="16"/>
                <w:szCs w:val="16"/>
              </w:rPr>
              <w:tab/>
            </w:r>
            <w:r w:rsidRPr="00372745">
              <w:rPr>
                <w:rFonts w:cs="Arial"/>
                <w:sz w:val="16"/>
                <w:szCs w:val="16"/>
              </w:rPr>
              <w:t>Τακτικοί φόροι ακίνητης περιουσίας</w:t>
            </w:r>
          </w:p>
        </w:tc>
        <w:tc>
          <w:tcPr>
            <w:tcW w:w="1068" w:type="dxa"/>
            <w:tcBorders>
              <w:top w:val="nil"/>
              <w:bottom w:val="nil"/>
            </w:tcBorders>
            <w:vAlign w:val="center"/>
            <w:hideMark/>
          </w:tcPr>
          <w:p w14:paraId="25FF3C5B" w14:textId="77777777" w:rsidR="00EE405C" w:rsidRPr="00372745" w:rsidRDefault="00EE405C" w:rsidP="00450A3E">
            <w:pPr>
              <w:spacing w:after="0" w:line="240" w:lineRule="auto"/>
              <w:jc w:val="right"/>
              <w:rPr>
                <w:rFonts w:cs="Arial"/>
                <w:sz w:val="16"/>
                <w:szCs w:val="16"/>
              </w:rPr>
            </w:pPr>
            <w:r w:rsidRPr="00372745">
              <w:rPr>
                <w:rFonts w:cs="Arial"/>
                <w:sz w:val="16"/>
                <w:szCs w:val="16"/>
              </w:rPr>
              <w:t>2.430</w:t>
            </w:r>
          </w:p>
        </w:tc>
        <w:tc>
          <w:tcPr>
            <w:tcW w:w="1177" w:type="dxa"/>
            <w:tcBorders>
              <w:top w:val="nil"/>
              <w:bottom w:val="nil"/>
            </w:tcBorders>
            <w:vAlign w:val="center"/>
            <w:hideMark/>
          </w:tcPr>
          <w:p w14:paraId="4BBB362A" w14:textId="77777777" w:rsidR="00EE405C" w:rsidRPr="00372745" w:rsidRDefault="00EE405C" w:rsidP="00450A3E">
            <w:pPr>
              <w:spacing w:after="0" w:line="240" w:lineRule="auto"/>
              <w:jc w:val="right"/>
              <w:rPr>
                <w:rFonts w:cs="Arial"/>
                <w:sz w:val="16"/>
                <w:szCs w:val="16"/>
              </w:rPr>
            </w:pPr>
            <w:r w:rsidRPr="00372745">
              <w:rPr>
                <w:rFonts w:cs="Arial"/>
                <w:sz w:val="16"/>
                <w:szCs w:val="16"/>
              </w:rPr>
              <w:t>2.394</w:t>
            </w:r>
          </w:p>
        </w:tc>
        <w:tc>
          <w:tcPr>
            <w:tcW w:w="1066" w:type="dxa"/>
            <w:tcBorders>
              <w:top w:val="nil"/>
              <w:bottom w:val="nil"/>
            </w:tcBorders>
            <w:vAlign w:val="center"/>
            <w:hideMark/>
          </w:tcPr>
          <w:p w14:paraId="6819D18E" w14:textId="77777777" w:rsidR="00EE405C" w:rsidRPr="00372745" w:rsidRDefault="00EE405C" w:rsidP="00450A3E">
            <w:pPr>
              <w:spacing w:after="0" w:line="240" w:lineRule="auto"/>
              <w:jc w:val="right"/>
              <w:rPr>
                <w:rFonts w:cs="Arial"/>
                <w:sz w:val="16"/>
                <w:szCs w:val="16"/>
              </w:rPr>
            </w:pPr>
            <w:r w:rsidRPr="00372745">
              <w:rPr>
                <w:rFonts w:cs="Arial"/>
                <w:sz w:val="16"/>
                <w:szCs w:val="16"/>
              </w:rPr>
              <w:t>2.411</w:t>
            </w:r>
          </w:p>
        </w:tc>
        <w:tc>
          <w:tcPr>
            <w:tcW w:w="1066" w:type="dxa"/>
            <w:tcBorders>
              <w:top w:val="nil"/>
              <w:bottom w:val="nil"/>
            </w:tcBorders>
            <w:vAlign w:val="center"/>
            <w:hideMark/>
          </w:tcPr>
          <w:p w14:paraId="41892ECB" w14:textId="77777777" w:rsidR="00EE405C" w:rsidRPr="00372745" w:rsidRDefault="00EE405C" w:rsidP="00450A3E">
            <w:pPr>
              <w:spacing w:after="0" w:line="240" w:lineRule="auto"/>
              <w:jc w:val="right"/>
              <w:rPr>
                <w:rFonts w:cs="Arial"/>
                <w:sz w:val="16"/>
                <w:szCs w:val="16"/>
              </w:rPr>
            </w:pPr>
            <w:r w:rsidRPr="00372745">
              <w:rPr>
                <w:rFonts w:cs="Arial"/>
                <w:sz w:val="16"/>
                <w:szCs w:val="16"/>
              </w:rPr>
              <w:t>2.328</w:t>
            </w:r>
          </w:p>
        </w:tc>
      </w:tr>
      <w:tr w:rsidR="00EE405C" w:rsidRPr="00372745" w14:paraId="5B95CE20" w14:textId="77777777" w:rsidTr="00BF6CBB">
        <w:trPr>
          <w:cantSplit/>
          <w:jc w:val="center"/>
        </w:trPr>
        <w:tc>
          <w:tcPr>
            <w:tcW w:w="6017" w:type="dxa"/>
            <w:tcBorders>
              <w:top w:val="nil"/>
              <w:bottom w:val="nil"/>
            </w:tcBorders>
            <w:vAlign w:val="center"/>
            <w:hideMark/>
          </w:tcPr>
          <w:p w14:paraId="753D0A38" w14:textId="12563E55"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4.</w:t>
            </w:r>
            <w:r w:rsidR="00E11857">
              <w:rPr>
                <w:rFonts w:cs="Arial"/>
                <w:sz w:val="16"/>
                <w:szCs w:val="16"/>
              </w:rPr>
              <w:tab/>
            </w:r>
            <w:r w:rsidRPr="00372745">
              <w:rPr>
                <w:rFonts w:cs="Arial"/>
                <w:sz w:val="16"/>
                <w:szCs w:val="16"/>
              </w:rPr>
              <w:t>Λοιποί φόροι επί παραγωγής</w:t>
            </w:r>
          </w:p>
        </w:tc>
        <w:tc>
          <w:tcPr>
            <w:tcW w:w="1068" w:type="dxa"/>
            <w:tcBorders>
              <w:top w:val="nil"/>
              <w:bottom w:val="nil"/>
            </w:tcBorders>
            <w:vAlign w:val="center"/>
            <w:hideMark/>
          </w:tcPr>
          <w:p w14:paraId="41BE0353" w14:textId="77777777" w:rsidR="00EE405C" w:rsidRPr="00372745" w:rsidRDefault="00EE405C" w:rsidP="00450A3E">
            <w:pPr>
              <w:spacing w:after="0" w:line="240" w:lineRule="auto"/>
              <w:jc w:val="right"/>
              <w:rPr>
                <w:rFonts w:cs="Arial"/>
                <w:sz w:val="16"/>
                <w:szCs w:val="16"/>
              </w:rPr>
            </w:pPr>
            <w:r w:rsidRPr="00372745">
              <w:rPr>
                <w:rFonts w:cs="Arial"/>
                <w:sz w:val="16"/>
                <w:szCs w:val="16"/>
              </w:rPr>
              <w:t>643</w:t>
            </w:r>
          </w:p>
        </w:tc>
        <w:tc>
          <w:tcPr>
            <w:tcW w:w="1177" w:type="dxa"/>
            <w:tcBorders>
              <w:top w:val="nil"/>
              <w:bottom w:val="nil"/>
            </w:tcBorders>
            <w:vAlign w:val="center"/>
            <w:hideMark/>
          </w:tcPr>
          <w:p w14:paraId="31926018" w14:textId="77777777" w:rsidR="00EE405C" w:rsidRPr="00372745" w:rsidRDefault="00EE405C" w:rsidP="00450A3E">
            <w:pPr>
              <w:spacing w:after="0" w:line="240" w:lineRule="auto"/>
              <w:jc w:val="right"/>
              <w:rPr>
                <w:rFonts w:cs="Arial"/>
                <w:sz w:val="16"/>
                <w:szCs w:val="16"/>
              </w:rPr>
            </w:pPr>
            <w:r w:rsidRPr="00372745">
              <w:rPr>
                <w:rFonts w:cs="Arial"/>
                <w:sz w:val="16"/>
                <w:szCs w:val="16"/>
              </w:rPr>
              <w:t>460</w:t>
            </w:r>
          </w:p>
        </w:tc>
        <w:tc>
          <w:tcPr>
            <w:tcW w:w="1066" w:type="dxa"/>
            <w:tcBorders>
              <w:top w:val="nil"/>
              <w:bottom w:val="nil"/>
            </w:tcBorders>
            <w:vAlign w:val="center"/>
            <w:hideMark/>
          </w:tcPr>
          <w:p w14:paraId="577D437F" w14:textId="77777777" w:rsidR="00EE405C" w:rsidRPr="00372745" w:rsidRDefault="00EE405C" w:rsidP="00450A3E">
            <w:pPr>
              <w:spacing w:after="0" w:line="240" w:lineRule="auto"/>
              <w:jc w:val="right"/>
              <w:rPr>
                <w:rFonts w:cs="Arial"/>
                <w:sz w:val="16"/>
                <w:szCs w:val="16"/>
              </w:rPr>
            </w:pPr>
            <w:r w:rsidRPr="00372745">
              <w:rPr>
                <w:rFonts w:cs="Arial"/>
                <w:sz w:val="16"/>
                <w:szCs w:val="16"/>
              </w:rPr>
              <w:t>495</w:t>
            </w:r>
          </w:p>
        </w:tc>
        <w:tc>
          <w:tcPr>
            <w:tcW w:w="1066" w:type="dxa"/>
            <w:tcBorders>
              <w:top w:val="nil"/>
              <w:bottom w:val="nil"/>
            </w:tcBorders>
            <w:vAlign w:val="center"/>
            <w:hideMark/>
          </w:tcPr>
          <w:p w14:paraId="7B93439D" w14:textId="77777777" w:rsidR="00EE405C" w:rsidRPr="00372745" w:rsidRDefault="00EE405C" w:rsidP="00450A3E">
            <w:pPr>
              <w:spacing w:after="0" w:line="240" w:lineRule="auto"/>
              <w:jc w:val="right"/>
              <w:rPr>
                <w:rFonts w:cs="Arial"/>
                <w:sz w:val="16"/>
                <w:szCs w:val="16"/>
              </w:rPr>
            </w:pPr>
            <w:r w:rsidRPr="00372745">
              <w:rPr>
                <w:rFonts w:cs="Arial"/>
                <w:sz w:val="16"/>
                <w:szCs w:val="16"/>
              </w:rPr>
              <w:t>659</w:t>
            </w:r>
          </w:p>
        </w:tc>
      </w:tr>
      <w:tr w:rsidR="00EE405C" w:rsidRPr="00372745" w14:paraId="154AEAFF" w14:textId="77777777" w:rsidTr="00BF6CBB">
        <w:trPr>
          <w:cantSplit/>
          <w:jc w:val="center"/>
        </w:trPr>
        <w:tc>
          <w:tcPr>
            <w:tcW w:w="6017" w:type="dxa"/>
            <w:tcBorders>
              <w:top w:val="nil"/>
              <w:bottom w:val="nil"/>
            </w:tcBorders>
            <w:vAlign w:val="center"/>
            <w:hideMark/>
          </w:tcPr>
          <w:p w14:paraId="1D1197A4" w14:textId="44B55A27"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5.</w:t>
            </w:r>
            <w:r w:rsidR="00E11857">
              <w:rPr>
                <w:rFonts w:cs="Arial"/>
                <w:sz w:val="16"/>
                <w:szCs w:val="16"/>
              </w:rPr>
              <w:tab/>
            </w:r>
            <w:r w:rsidRPr="00372745">
              <w:rPr>
                <w:rFonts w:cs="Arial"/>
                <w:sz w:val="16"/>
                <w:szCs w:val="16"/>
              </w:rPr>
              <w:t>Φόρος εισοδήματος</w:t>
            </w:r>
          </w:p>
        </w:tc>
        <w:tc>
          <w:tcPr>
            <w:tcW w:w="1068" w:type="dxa"/>
            <w:tcBorders>
              <w:top w:val="nil"/>
              <w:bottom w:val="nil"/>
            </w:tcBorders>
            <w:vAlign w:val="center"/>
            <w:hideMark/>
          </w:tcPr>
          <w:p w14:paraId="46F32547" w14:textId="77777777" w:rsidR="00EE405C" w:rsidRPr="00372745" w:rsidRDefault="00EE405C" w:rsidP="00450A3E">
            <w:pPr>
              <w:spacing w:after="0" w:line="240" w:lineRule="auto"/>
              <w:jc w:val="right"/>
              <w:rPr>
                <w:rFonts w:cs="Arial"/>
                <w:sz w:val="16"/>
                <w:szCs w:val="16"/>
              </w:rPr>
            </w:pPr>
            <w:r w:rsidRPr="00372745">
              <w:rPr>
                <w:rFonts w:cs="Arial"/>
                <w:sz w:val="16"/>
                <w:szCs w:val="16"/>
              </w:rPr>
              <w:t>24.723</w:t>
            </w:r>
          </w:p>
        </w:tc>
        <w:tc>
          <w:tcPr>
            <w:tcW w:w="1177" w:type="dxa"/>
            <w:tcBorders>
              <w:top w:val="nil"/>
              <w:bottom w:val="nil"/>
            </w:tcBorders>
            <w:vAlign w:val="center"/>
            <w:hideMark/>
          </w:tcPr>
          <w:p w14:paraId="78E9DF32" w14:textId="77777777" w:rsidR="00EE405C" w:rsidRPr="00372745" w:rsidRDefault="00EE405C" w:rsidP="00450A3E">
            <w:pPr>
              <w:spacing w:after="0" w:line="240" w:lineRule="auto"/>
              <w:jc w:val="right"/>
              <w:rPr>
                <w:rFonts w:cs="Arial"/>
                <w:sz w:val="16"/>
                <w:szCs w:val="16"/>
              </w:rPr>
            </w:pPr>
            <w:r w:rsidRPr="00372745">
              <w:rPr>
                <w:rFonts w:cs="Arial"/>
                <w:sz w:val="16"/>
                <w:szCs w:val="16"/>
              </w:rPr>
              <w:t>25.212</w:t>
            </w:r>
          </w:p>
        </w:tc>
        <w:tc>
          <w:tcPr>
            <w:tcW w:w="1066" w:type="dxa"/>
            <w:tcBorders>
              <w:top w:val="nil"/>
              <w:bottom w:val="nil"/>
            </w:tcBorders>
            <w:vAlign w:val="center"/>
            <w:hideMark/>
          </w:tcPr>
          <w:p w14:paraId="3F24692A" w14:textId="77777777" w:rsidR="00EE405C" w:rsidRPr="00372745" w:rsidRDefault="00EE405C" w:rsidP="00450A3E">
            <w:pPr>
              <w:spacing w:after="0" w:line="240" w:lineRule="auto"/>
              <w:jc w:val="right"/>
              <w:rPr>
                <w:rFonts w:cs="Arial"/>
                <w:sz w:val="16"/>
                <w:szCs w:val="16"/>
              </w:rPr>
            </w:pPr>
            <w:r w:rsidRPr="00372745">
              <w:rPr>
                <w:rFonts w:cs="Arial"/>
                <w:sz w:val="16"/>
                <w:szCs w:val="16"/>
              </w:rPr>
              <w:t>25.969</w:t>
            </w:r>
          </w:p>
        </w:tc>
        <w:tc>
          <w:tcPr>
            <w:tcW w:w="1066" w:type="dxa"/>
            <w:tcBorders>
              <w:top w:val="nil"/>
              <w:bottom w:val="nil"/>
            </w:tcBorders>
            <w:vAlign w:val="center"/>
            <w:hideMark/>
          </w:tcPr>
          <w:p w14:paraId="72E34E97" w14:textId="77777777" w:rsidR="00EE405C" w:rsidRPr="00372745" w:rsidRDefault="00EE405C" w:rsidP="00450A3E">
            <w:pPr>
              <w:spacing w:after="0" w:line="240" w:lineRule="auto"/>
              <w:jc w:val="right"/>
              <w:rPr>
                <w:rFonts w:cs="Arial"/>
                <w:sz w:val="16"/>
                <w:szCs w:val="16"/>
              </w:rPr>
            </w:pPr>
            <w:r w:rsidRPr="00372745">
              <w:rPr>
                <w:rFonts w:cs="Arial"/>
                <w:sz w:val="16"/>
                <w:szCs w:val="16"/>
              </w:rPr>
              <w:t>26.710</w:t>
            </w:r>
          </w:p>
        </w:tc>
      </w:tr>
      <w:tr w:rsidR="00EE405C" w:rsidRPr="00372745" w14:paraId="270A65CE" w14:textId="77777777" w:rsidTr="00BF6CBB">
        <w:trPr>
          <w:cantSplit/>
          <w:trHeight w:val="181"/>
          <w:jc w:val="center"/>
        </w:trPr>
        <w:tc>
          <w:tcPr>
            <w:tcW w:w="6017" w:type="dxa"/>
            <w:tcBorders>
              <w:top w:val="nil"/>
              <w:bottom w:val="nil"/>
            </w:tcBorders>
            <w:vAlign w:val="center"/>
            <w:hideMark/>
          </w:tcPr>
          <w:p w14:paraId="76260117" w14:textId="7C5069B3"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εκ των οποίων:</w:t>
            </w:r>
            <w:r w:rsidR="00E11857">
              <w:rPr>
                <w:rFonts w:cs="Arial"/>
                <w:sz w:val="16"/>
                <w:szCs w:val="16"/>
              </w:rPr>
              <w:tab/>
            </w:r>
            <w:r w:rsidRPr="00372745">
              <w:rPr>
                <w:rFonts w:cs="Arial"/>
                <w:sz w:val="16"/>
                <w:szCs w:val="16"/>
              </w:rPr>
              <w:t>Φόρος εισοδήματος πληρωτέος από Φυσικά Πρόσωπα</w:t>
            </w:r>
            <w:r w:rsidR="00E11857">
              <w:rPr>
                <w:rFonts w:cs="Arial"/>
                <w:sz w:val="16"/>
                <w:szCs w:val="16"/>
              </w:rPr>
              <w:t xml:space="preserve"> </w:t>
            </w:r>
            <w:r w:rsidRPr="00372745">
              <w:rPr>
                <w:rFonts w:cs="Arial"/>
                <w:sz w:val="16"/>
                <w:szCs w:val="16"/>
              </w:rPr>
              <w:t>(ΦΠ)</w:t>
            </w:r>
          </w:p>
        </w:tc>
        <w:tc>
          <w:tcPr>
            <w:tcW w:w="1068" w:type="dxa"/>
            <w:tcBorders>
              <w:top w:val="nil"/>
              <w:bottom w:val="nil"/>
            </w:tcBorders>
            <w:vAlign w:val="center"/>
            <w:hideMark/>
          </w:tcPr>
          <w:p w14:paraId="2B04C1FF" w14:textId="77777777" w:rsidR="00EE405C" w:rsidRPr="00372745" w:rsidRDefault="00EE405C" w:rsidP="00450A3E">
            <w:pPr>
              <w:spacing w:after="0" w:line="240" w:lineRule="auto"/>
              <w:jc w:val="right"/>
              <w:rPr>
                <w:rFonts w:cs="Arial"/>
                <w:sz w:val="16"/>
                <w:szCs w:val="16"/>
              </w:rPr>
            </w:pPr>
            <w:r w:rsidRPr="00372745">
              <w:rPr>
                <w:rFonts w:cs="Arial"/>
                <w:sz w:val="16"/>
                <w:szCs w:val="16"/>
              </w:rPr>
              <w:t>14.563</w:t>
            </w:r>
          </w:p>
        </w:tc>
        <w:tc>
          <w:tcPr>
            <w:tcW w:w="1177" w:type="dxa"/>
            <w:tcBorders>
              <w:top w:val="nil"/>
              <w:bottom w:val="nil"/>
            </w:tcBorders>
            <w:vAlign w:val="center"/>
            <w:hideMark/>
          </w:tcPr>
          <w:p w14:paraId="70932A2D" w14:textId="77777777" w:rsidR="00EE405C" w:rsidRPr="00372745" w:rsidRDefault="00EE405C" w:rsidP="00450A3E">
            <w:pPr>
              <w:spacing w:after="0" w:line="240" w:lineRule="auto"/>
              <w:jc w:val="right"/>
              <w:rPr>
                <w:rFonts w:cs="Arial"/>
                <w:sz w:val="16"/>
                <w:szCs w:val="16"/>
              </w:rPr>
            </w:pPr>
            <w:r w:rsidRPr="00372745">
              <w:rPr>
                <w:rFonts w:cs="Arial"/>
                <w:sz w:val="16"/>
                <w:szCs w:val="16"/>
              </w:rPr>
              <w:t>15.244</w:t>
            </w:r>
          </w:p>
        </w:tc>
        <w:tc>
          <w:tcPr>
            <w:tcW w:w="1066" w:type="dxa"/>
            <w:tcBorders>
              <w:top w:val="nil"/>
              <w:bottom w:val="nil"/>
            </w:tcBorders>
            <w:vAlign w:val="center"/>
            <w:hideMark/>
          </w:tcPr>
          <w:p w14:paraId="58C5F8AE" w14:textId="77777777" w:rsidR="00EE405C" w:rsidRPr="00372745" w:rsidRDefault="00EE405C" w:rsidP="00450A3E">
            <w:pPr>
              <w:spacing w:after="0" w:line="240" w:lineRule="auto"/>
              <w:jc w:val="right"/>
              <w:rPr>
                <w:rFonts w:cs="Arial"/>
                <w:sz w:val="16"/>
                <w:szCs w:val="16"/>
              </w:rPr>
            </w:pPr>
            <w:r w:rsidRPr="00372745">
              <w:rPr>
                <w:rFonts w:cs="Arial"/>
                <w:sz w:val="16"/>
                <w:szCs w:val="16"/>
              </w:rPr>
              <w:t>15.878</w:t>
            </w:r>
          </w:p>
        </w:tc>
        <w:tc>
          <w:tcPr>
            <w:tcW w:w="1066" w:type="dxa"/>
            <w:tcBorders>
              <w:top w:val="nil"/>
              <w:bottom w:val="nil"/>
            </w:tcBorders>
            <w:vAlign w:val="center"/>
            <w:hideMark/>
          </w:tcPr>
          <w:p w14:paraId="3DE220A0" w14:textId="77777777" w:rsidR="00EE405C" w:rsidRPr="00372745" w:rsidRDefault="00EE405C" w:rsidP="00450A3E">
            <w:pPr>
              <w:spacing w:after="0" w:line="240" w:lineRule="auto"/>
              <w:jc w:val="right"/>
              <w:rPr>
                <w:rFonts w:cs="Arial"/>
                <w:sz w:val="16"/>
                <w:szCs w:val="16"/>
              </w:rPr>
            </w:pPr>
            <w:r w:rsidRPr="00372745">
              <w:rPr>
                <w:rFonts w:cs="Arial"/>
                <w:sz w:val="16"/>
                <w:szCs w:val="16"/>
              </w:rPr>
              <w:t>15.785</w:t>
            </w:r>
          </w:p>
        </w:tc>
      </w:tr>
      <w:tr w:rsidR="00EE405C" w:rsidRPr="00372745" w14:paraId="2F17EDFE" w14:textId="77777777" w:rsidTr="00BF6CBB">
        <w:trPr>
          <w:cantSplit/>
          <w:jc w:val="center"/>
        </w:trPr>
        <w:tc>
          <w:tcPr>
            <w:tcW w:w="6017" w:type="dxa"/>
            <w:tcBorders>
              <w:top w:val="nil"/>
              <w:bottom w:val="nil"/>
            </w:tcBorders>
            <w:vAlign w:val="center"/>
            <w:hideMark/>
          </w:tcPr>
          <w:p w14:paraId="54F054D8" w14:textId="33F3E892" w:rsidR="00EE405C" w:rsidRPr="00372745" w:rsidRDefault="00E11857" w:rsidP="00450A3E">
            <w:pPr>
              <w:tabs>
                <w:tab w:val="left" w:pos="340"/>
                <w:tab w:val="left" w:pos="1455"/>
              </w:tabs>
              <w:spacing w:after="0" w:line="240" w:lineRule="auto"/>
              <w:jc w:val="left"/>
              <w:rPr>
                <w:rFonts w:cs="Arial"/>
                <w:sz w:val="16"/>
                <w:szCs w:val="16"/>
              </w:rPr>
            </w:pPr>
            <w:r>
              <w:rPr>
                <w:rFonts w:cs="Arial"/>
                <w:sz w:val="16"/>
                <w:szCs w:val="16"/>
              </w:rPr>
              <w:tab/>
            </w:r>
            <w:r>
              <w:rPr>
                <w:rFonts w:cs="Arial"/>
                <w:sz w:val="16"/>
                <w:szCs w:val="16"/>
              </w:rPr>
              <w:tab/>
            </w:r>
            <w:r w:rsidR="00EE405C" w:rsidRPr="00372745">
              <w:rPr>
                <w:rFonts w:cs="Arial"/>
                <w:sz w:val="16"/>
                <w:szCs w:val="16"/>
              </w:rPr>
              <w:t>Φόρος εισοδήματος πληρωτέος από εταιρείες (ΝΠ)</w:t>
            </w:r>
          </w:p>
        </w:tc>
        <w:tc>
          <w:tcPr>
            <w:tcW w:w="1068" w:type="dxa"/>
            <w:tcBorders>
              <w:top w:val="nil"/>
              <w:bottom w:val="nil"/>
            </w:tcBorders>
            <w:vAlign w:val="center"/>
            <w:hideMark/>
          </w:tcPr>
          <w:p w14:paraId="22F3C779" w14:textId="77777777" w:rsidR="00EE405C" w:rsidRPr="00372745" w:rsidRDefault="00EE405C" w:rsidP="00450A3E">
            <w:pPr>
              <w:spacing w:after="0" w:line="240" w:lineRule="auto"/>
              <w:jc w:val="right"/>
              <w:rPr>
                <w:rFonts w:cs="Arial"/>
                <w:sz w:val="16"/>
                <w:szCs w:val="16"/>
              </w:rPr>
            </w:pPr>
            <w:r w:rsidRPr="00372745">
              <w:rPr>
                <w:rFonts w:cs="Arial"/>
                <w:sz w:val="16"/>
                <w:szCs w:val="16"/>
              </w:rPr>
              <w:t>7.984</w:t>
            </w:r>
          </w:p>
        </w:tc>
        <w:tc>
          <w:tcPr>
            <w:tcW w:w="1177" w:type="dxa"/>
            <w:tcBorders>
              <w:top w:val="nil"/>
              <w:bottom w:val="nil"/>
            </w:tcBorders>
            <w:vAlign w:val="center"/>
            <w:hideMark/>
          </w:tcPr>
          <w:p w14:paraId="7D384119" w14:textId="77777777" w:rsidR="00EE405C" w:rsidRPr="00372745" w:rsidRDefault="00EE405C" w:rsidP="00450A3E">
            <w:pPr>
              <w:spacing w:after="0" w:line="240" w:lineRule="auto"/>
              <w:jc w:val="right"/>
              <w:rPr>
                <w:rFonts w:cs="Arial"/>
                <w:sz w:val="16"/>
                <w:szCs w:val="16"/>
              </w:rPr>
            </w:pPr>
            <w:r w:rsidRPr="00372745">
              <w:rPr>
                <w:rFonts w:cs="Arial"/>
                <w:sz w:val="16"/>
                <w:szCs w:val="16"/>
              </w:rPr>
              <w:t>7.972</w:t>
            </w:r>
          </w:p>
        </w:tc>
        <w:tc>
          <w:tcPr>
            <w:tcW w:w="1066" w:type="dxa"/>
            <w:tcBorders>
              <w:top w:val="nil"/>
              <w:bottom w:val="nil"/>
            </w:tcBorders>
            <w:vAlign w:val="center"/>
            <w:hideMark/>
          </w:tcPr>
          <w:p w14:paraId="72265B9B" w14:textId="77777777" w:rsidR="00EE405C" w:rsidRPr="00372745" w:rsidRDefault="00EE405C" w:rsidP="00450A3E">
            <w:pPr>
              <w:spacing w:after="0" w:line="240" w:lineRule="auto"/>
              <w:jc w:val="right"/>
              <w:rPr>
                <w:rFonts w:cs="Arial"/>
                <w:sz w:val="16"/>
                <w:szCs w:val="16"/>
              </w:rPr>
            </w:pPr>
            <w:r w:rsidRPr="00372745">
              <w:rPr>
                <w:rFonts w:cs="Arial"/>
                <w:sz w:val="16"/>
                <w:szCs w:val="16"/>
              </w:rPr>
              <w:t>7.800</w:t>
            </w:r>
          </w:p>
        </w:tc>
        <w:tc>
          <w:tcPr>
            <w:tcW w:w="1066" w:type="dxa"/>
            <w:tcBorders>
              <w:top w:val="nil"/>
              <w:bottom w:val="nil"/>
            </w:tcBorders>
            <w:vAlign w:val="center"/>
            <w:hideMark/>
          </w:tcPr>
          <w:p w14:paraId="44954F81" w14:textId="77777777" w:rsidR="00EE405C" w:rsidRPr="00372745" w:rsidRDefault="00EE405C" w:rsidP="00450A3E">
            <w:pPr>
              <w:spacing w:after="0" w:line="240" w:lineRule="auto"/>
              <w:jc w:val="right"/>
              <w:rPr>
                <w:rFonts w:cs="Arial"/>
                <w:sz w:val="16"/>
                <w:szCs w:val="16"/>
              </w:rPr>
            </w:pPr>
            <w:r w:rsidRPr="00372745">
              <w:rPr>
                <w:rFonts w:cs="Arial"/>
                <w:sz w:val="16"/>
                <w:szCs w:val="16"/>
              </w:rPr>
              <w:t>8.659</w:t>
            </w:r>
          </w:p>
        </w:tc>
      </w:tr>
      <w:tr w:rsidR="00EE405C" w:rsidRPr="00372745" w14:paraId="385C4C07" w14:textId="77777777" w:rsidTr="00BF6CBB">
        <w:trPr>
          <w:cantSplit/>
          <w:jc w:val="center"/>
        </w:trPr>
        <w:tc>
          <w:tcPr>
            <w:tcW w:w="6017" w:type="dxa"/>
            <w:tcBorders>
              <w:top w:val="nil"/>
              <w:bottom w:val="nil"/>
            </w:tcBorders>
            <w:vAlign w:val="center"/>
            <w:hideMark/>
          </w:tcPr>
          <w:p w14:paraId="4411F2DA" w14:textId="2F2DFC49"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6.</w:t>
            </w:r>
            <w:r w:rsidR="00E11857">
              <w:rPr>
                <w:rFonts w:cs="Arial"/>
                <w:sz w:val="16"/>
                <w:szCs w:val="16"/>
              </w:rPr>
              <w:tab/>
            </w:r>
            <w:r w:rsidRPr="00372745">
              <w:rPr>
                <w:rFonts w:cs="Arial"/>
                <w:sz w:val="16"/>
                <w:szCs w:val="16"/>
              </w:rPr>
              <w:t>Φόροι κεφαλαίου</w:t>
            </w:r>
          </w:p>
        </w:tc>
        <w:tc>
          <w:tcPr>
            <w:tcW w:w="1068" w:type="dxa"/>
            <w:tcBorders>
              <w:top w:val="nil"/>
              <w:bottom w:val="nil"/>
            </w:tcBorders>
            <w:vAlign w:val="center"/>
            <w:hideMark/>
          </w:tcPr>
          <w:p w14:paraId="7F9E7D44" w14:textId="77777777" w:rsidR="00EE405C" w:rsidRPr="00372745" w:rsidRDefault="00EE405C" w:rsidP="00450A3E">
            <w:pPr>
              <w:spacing w:after="0" w:line="240" w:lineRule="auto"/>
              <w:jc w:val="right"/>
              <w:rPr>
                <w:rFonts w:cs="Arial"/>
                <w:sz w:val="16"/>
                <w:szCs w:val="16"/>
              </w:rPr>
            </w:pPr>
            <w:r w:rsidRPr="00372745">
              <w:rPr>
                <w:rFonts w:cs="Arial"/>
                <w:sz w:val="16"/>
                <w:szCs w:val="16"/>
              </w:rPr>
              <w:t>239</w:t>
            </w:r>
          </w:p>
        </w:tc>
        <w:tc>
          <w:tcPr>
            <w:tcW w:w="1177" w:type="dxa"/>
            <w:tcBorders>
              <w:top w:val="nil"/>
              <w:bottom w:val="nil"/>
            </w:tcBorders>
            <w:vAlign w:val="center"/>
            <w:hideMark/>
          </w:tcPr>
          <w:p w14:paraId="7E38A55E" w14:textId="77777777" w:rsidR="00EE405C" w:rsidRPr="00372745" w:rsidRDefault="00EE405C" w:rsidP="00450A3E">
            <w:pPr>
              <w:spacing w:after="0" w:line="240" w:lineRule="auto"/>
              <w:jc w:val="right"/>
              <w:rPr>
                <w:rFonts w:cs="Arial"/>
                <w:sz w:val="16"/>
                <w:szCs w:val="16"/>
              </w:rPr>
            </w:pPr>
            <w:r w:rsidRPr="00372745">
              <w:rPr>
                <w:rFonts w:cs="Arial"/>
                <w:sz w:val="16"/>
                <w:szCs w:val="16"/>
              </w:rPr>
              <w:t>235</w:t>
            </w:r>
          </w:p>
        </w:tc>
        <w:tc>
          <w:tcPr>
            <w:tcW w:w="1066" w:type="dxa"/>
            <w:tcBorders>
              <w:top w:val="nil"/>
              <w:bottom w:val="nil"/>
            </w:tcBorders>
            <w:vAlign w:val="center"/>
            <w:hideMark/>
          </w:tcPr>
          <w:p w14:paraId="5E2CF72A" w14:textId="77777777" w:rsidR="00EE405C" w:rsidRPr="00372745" w:rsidRDefault="00EE405C" w:rsidP="00450A3E">
            <w:pPr>
              <w:spacing w:after="0" w:line="240" w:lineRule="auto"/>
              <w:jc w:val="right"/>
              <w:rPr>
                <w:rFonts w:cs="Arial"/>
                <w:sz w:val="16"/>
                <w:szCs w:val="16"/>
              </w:rPr>
            </w:pPr>
            <w:r w:rsidRPr="00372745">
              <w:rPr>
                <w:rFonts w:cs="Arial"/>
                <w:sz w:val="16"/>
                <w:szCs w:val="16"/>
              </w:rPr>
              <w:t>250</w:t>
            </w:r>
          </w:p>
        </w:tc>
        <w:tc>
          <w:tcPr>
            <w:tcW w:w="1066" w:type="dxa"/>
            <w:tcBorders>
              <w:top w:val="nil"/>
              <w:bottom w:val="nil"/>
            </w:tcBorders>
            <w:vAlign w:val="center"/>
            <w:hideMark/>
          </w:tcPr>
          <w:p w14:paraId="7E12F55F" w14:textId="77777777" w:rsidR="00EE405C" w:rsidRPr="00372745" w:rsidRDefault="00EE405C" w:rsidP="00450A3E">
            <w:pPr>
              <w:spacing w:after="0" w:line="240" w:lineRule="auto"/>
              <w:jc w:val="right"/>
              <w:rPr>
                <w:rFonts w:cs="Arial"/>
                <w:sz w:val="16"/>
                <w:szCs w:val="16"/>
              </w:rPr>
            </w:pPr>
            <w:r w:rsidRPr="00372745">
              <w:rPr>
                <w:rFonts w:cs="Arial"/>
                <w:sz w:val="16"/>
                <w:szCs w:val="16"/>
              </w:rPr>
              <w:t>250</w:t>
            </w:r>
          </w:p>
        </w:tc>
      </w:tr>
      <w:tr w:rsidR="00EE405C" w:rsidRPr="00372745" w14:paraId="6854A281" w14:textId="77777777" w:rsidTr="00BF6CBB">
        <w:trPr>
          <w:cantSplit/>
          <w:jc w:val="center"/>
        </w:trPr>
        <w:tc>
          <w:tcPr>
            <w:tcW w:w="6017" w:type="dxa"/>
            <w:tcBorders>
              <w:top w:val="nil"/>
              <w:bottom w:val="nil"/>
            </w:tcBorders>
            <w:vAlign w:val="center"/>
            <w:hideMark/>
          </w:tcPr>
          <w:p w14:paraId="47DD6E9A" w14:textId="12344ECB" w:rsidR="00EE405C" w:rsidRPr="00372745" w:rsidRDefault="00EE405C" w:rsidP="00450A3E">
            <w:pPr>
              <w:tabs>
                <w:tab w:val="left" w:pos="462"/>
              </w:tabs>
              <w:spacing w:after="0" w:line="240" w:lineRule="auto"/>
              <w:ind w:left="284"/>
              <w:jc w:val="left"/>
              <w:rPr>
                <w:rFonts w:cs="Arial"/>
                <w:sz w:val="16"/>
                <w:szCs w:val="16"/>
              </w:rPr>
            </w:pPr>
            <w:r w:rsidRPr="00372745">
              <w:rPr>
                <w:rFonts w:cs="Arial"/>
                <w:sz w:val="16"/>
                <w:szCs w:val="16"/>
              </w:rPr>
              <w:t>7.</w:t>
            </w:r>
            <w:r w:rsidR="00E11857">
              <w:rPr>
                <w:rFonts w:cs="Arial"/>
                <w:sz w:val="16"/>
                <w:szCs w:val="16"/>
              </w:rPr>
              <w:tab/>
            </w:r>
            <w:r w:rsidRPr="00372745">
              <w:rPr>
                <w:rFonts w:cs="Arial"/>
                <w:sz w:val="16"/>
                <w:szCs w:val="16"/>
              </w:rPr>
              <w:t>Λοιποί τρέχοντες φόροι</w:t>
            </w:r>
          </w:p>
        </w:tc>
        <w:tc>
          <w:tcPr>
            <w:tcW w:w="1068" w:type="dxa"/>
            <w:tcBorders>
              <w:top w:val="nil"/>
              <w:bottom w:val="nil"/>
            </w:tcBorders>
            <w:vAlign w:val="center"/>
            <w:hideMark/>
          </w:tcPr>
          <w:p w14:paraId="14E8DD6B" w14:textId="77777777" w:rsidR="00EE405C" w:rsidRPr="00372745" w:rsidRDefault="00EE405C" w:rsidP="00450A3E">
            <w:pPr>
              <w:spacing w:after="0" w:line="240" w:lineRule="auto"/>
              <w:jc w:val="right"/>
              <w:rPr>
                <w:rFonts w:cs="Arial"/>
                <w:sz w:val="16"/>
                <w:szCs w:val="16"/>
              </w:rPr>
            </w:pPr>
            <w:r w:rsidRPr="00372745">
              <w:rPr>
                <w:rFonts w:cs="Arial"/>
                <w:sz w:val="16"/>
                <w:szCs w:val="16"/>
              </w:rPr>
              <w:t>2.989</w:t>
            </w:r>
          </w:p>
        </w:tc>
        <w:tc>
          <w:tcPr>
            <w:tcW w:w="1177" w:type="dxa"/>
            <w:tcBorders>
              <w:top w:val="nil"/>
              <w:bottom w:val="nil"/>
            </w:tcBorders>
            <w:vAlign w:val="center"/>
            <w:hideMark/>
          </w:tcPr>
          <w:p w14:paraId="448312AF" w14:textId="77777777" w:rsidR="00EE405C" w:rsidRPr="00372745" w:rsidRDefault="00EE405C" w:rsidP="00450A3E">
            <w:pPr>
              <w:spacing w:after="0" w:line="240" w:lineRule="auto"/>
              <w:jc w:val="right"/>
              <w:rPr>
                <w:rFonts w:cs="Arial"/>
                <w:sz w:val="16"/>
                <w:szCs w:val="16"/>
              </w:rPr>
            </w:pPr>
            <w:r w:rsidRPr="00372745">
              <w:rPr>
                <w:rFonts w:cs="Arial"/>
                <w:sz w:val="16"/>
                <w:szCs w:val="16"/>
              </w:rPr>
              <w:t>2.523</w:t>
            </w:r>
          </w:p>
        </w:tc>
        <w:tc>
          <w:tcPr>
            <w:tcW w:w="1066" w:type="dxa"/>
            <w:tcBorders>
              <w:top w:val="nil"/>
              <w:bottom w:val="nil"/>
            </w:tcBorders>
            <w:vAlign w:val="center"/>
            <w:hideMark/>
          </w:tcPr>
          <w:p w14:paraId="7370A1FB" w14:textId="77777777" w:rsidR="00EE405C" w:rsidRPr="00372745" w:rsidRDefault="00EE405C" w:rsidP="00450A3E">
            <w:pPr>
              <w:spacing w:after="0" w:line="240" w:lineRule="auto"/>
              <w:jc w:val="right"/>
              <w:rPr>
                <w:rFonts w:cs="Arial"/>
                <w:sz w:val="16"/>
                <w:szCs w:val="16"/>
              </w:rPr>
            </w:pPr>
            <w:r w:rsidRPr="00372745">
              <w:rPr>
                <w:rFonts w:cs="Arial"/>
                <w:sz w:val="16"/>
                <w:szCs w:val="16"/>
              </w:rPr>
              <w:t>2.282</w:t>
            </w:r>
          </w:p>
        </w:tc>
        <w:tc>
          <w:tcPr>
            <w:tcW w:w="1066" w:type="dxa"/>
            <w:tcBorders>
              <w:top w:val="nil"/>
              <w:bottom w:val="nil"/>
            </w:tcBorders>
            <w:vAlign w:val="center"/>
            <w:hideMark/>
          </w:tcPr>
          <w:p w14:paraId="4303154A" w14:textId="77777777" w:rsidR="00EE405C" w:rsidRPr="00372745" w:rsidRDefault="00EE405C" w:rsidP="00450A3E">
            <w:pPr>
              <w:spacing w:after="0" w:line="240" w:lineRule="auto"/>
              <w:jc w:val="right"/>
              <w:rPr>
                <w:rFonts w:cs="Arial"/>
                <w:sz w:val="16"/>
                <w:szCs w:val="16"/>
              </w:rPr>
            </w:pPr>
            <w:r w:rsidRPr="00372745">
              <w:rPr>
                <w:rFonts w:cs="Arial"/>
                <w:sz w:val="16"/>
                <w:szCs w:val="16"/>
              </w:rPr>
              <w:t>2.334</w:t>
            </w:r>
          </w:p>
        </w:tc>
      </w:tr>
      <w:tr w:rsidR="00EE405C" w:rsidRPr="00372745" w14:paraId="65C0B5E9" w14:textId="77777777" w:rsidTr="00BF6CBB">
        <w:trPr>
          <w:cantSplit/>
          <w:trHeight w:val="181"/>
          <w:jc w:val="center"/>
        </w:trPr>
        <w:tc>
          <w:tcPr>
            <w:tcW w:w="6017" w:type="dxa"/>
            <w:tcBorders>
              <w:top w:val="nil"/>
              <w:bottom w:val="nil"/>
            </w:tcBorders>
            <w:vAlign w:val="center"/>
            <w:hideMark/>
          </w:tcPr>
          <w:p w14:paraId="11EB1AEA" w14:textId="7BBF8627"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β.</w:t>
            </w:r>
            <w:r w:rsidR="00E11857">
              <w:rPr>
                <w:rFonts w:cs="Arial"/>
                <w:b/>
                <w:bCs/>
                <w:sz w:val="16"/>
                <w:szCs w:val="16"/>
              </w:rPr>
              <w:tab/>
            </w:r>
            <w:r w:rsidRPr="00372745">
              <w:rPr>
                <w:rFonts w:cs="Arial"/>
                <w:b/>
                <w:bCs/>
                <w:sz w:val="16"/>
                <w:szCs w:val="16"/>
              </w:rPr>
              <w:t>Κοινωνικές εισφορές</w:t>
            </w:r>
          </w:p>
        </w:tc>
        <w:tc>
          <w:tcPr>
            <w:tcW w:w="1068" w:type="dxa"/>
            <w:tcBorders>
              <w:top w:val="nil"/>
              <w:bottom w:val="nil"/>
            </w:tcBorders>
            <w:vAlign w:val="center"/>
            <w:hideMark/>
          </w:tcPr>
          <w:p w14:paraId="037433A4" w14:textId="77777777" w:rsidR="00EE405C" w:rsidRPr="00372745" w:rsidRDefault="00EE405C" w:rsidP="00450A3E">
            <w:pPr>
              <w:spacing w:after="0" w:line="240" w:lineRule="auto"/>
              <w:jc w:val="right"/>
              <w:rPr>
                <w:rFonts w:cs="Arial"/>
                <w:sz w:val="16"/>
                <w:szCs w:val="16"/>
              </w:rPr>
            </w:pPr>
            <w:r w:rsidRPr="00372745">
              <w:rPr>
                <w:rFonts w:cs="Arial"/>
                <w:sz w:val="16"/>
                <w:szCs w:val="16"/>
              </w:rPr>
              <w:t>61</w:t>
            </w:r>
          </w:p>
        </w:tc>
        <w:tc>
          <w:tcPr>
            <w:tcW w:w="1177" w:type="dxa"/>
            <w:tcBorders>
              <w:top w:val="nil"/>
              <w:bottom w:val="nil"/>
            </w:tcBorders>
            <w:vAlign w:val="center"/>
            <w:hideMark/>
          </w:tcPr>
          <w:p w14:paraId="1BEDC9A3" w14:textId="77777777" w:rsidR="00EE405C" w:rsidRPr="00372745" w:rsidRDefault="00EE405C" w:rsidP="00450A3E">
            <w:pPr>
              <w:spacing w:after="0" w:line="240" w:lineRule="auto"/>
              <w:jc w:val="right"/>
              <w:rPr>
                <w:rFonts w:cs="Arial"/>
                <w:sz w:val="16"/>
                <w:szCs w:val="16"/>
              </w:rPr>
            </w:pPr>
            <w:r w:rsidRPr="00372745">
              <w:rPr>
                <w:rFonts w:cs="Arial"/>
                <w:sz w:val="16"/>
                <w:szCs w:val="16"/>
              </w:rPr>
              <w:t>60</w:t>
            </w:r>
          </w:p>
        </w:tc>
        <w:tc>
          <w:tcPr>
            <w:tcW w:w="1066" w:type="dxa"/>
            <w:tcBorders>
              <w:top w:val="nil"/>
              <w:bottom w:val="nil"/>
            </w:tcBorders>
            <w:vAlign w:val="center"/>
            <w:hideMark/>
          </w:tcPr>
          <w:p w14:paraId="0C5D2864" w14:textId="77777777" w:rsidR="00EE405C" w:rsidRPr="00372745" w:rsidRDefault="00EE405C" w:rsidP="00450A3E">
            <w:pPr>
              <w:spacing w:after="0" w:line="240" w:lineRule="auto"/>
              <w:jc w:val="right"/>
              <w:rPr>
                <w:rFonts w:cs="Arial"/>
                <w:sz w:val="16"/>
                <w:szCs w:val="16"/>
              </w:rPr>
            </w:pPr>
            <w:r w:rsidRPr="00372745">
              <w:rPr>
                <w:rFonts w:cs="Arial"/>
                <w:sz w:val="16"/>
                <w:szCs w:val="16"/>
              </w:rPr>
              <w:t>61</w:t>
            </w:r>
          </w:p>
        </w:tc>
        <w:tc>
          <w:tcPr>
            <w:tcW w:w="1066" w:type="dxa"/>
            <w:tcBorders>
              <w:top w:val="nil"/>
              <w:bottom w:val="nil"/>
            </w:tcBorders>
            <w:vAlign w:val="center"/>
            <w:hideMark/>
          </w:tcPr>
          <w:p w14:paraId="6CE34451" w14:textId="77777777" w:rsidR="00EE405C" w:rsidRPr="00372745" w:rsidRDefault="00EE405C" w:rsidP="00450A3E">
            <w:pPr>
              <w:spacing w:after="0" w:line="240" w:lineRule="auto"/>
              <w:jc w:val="right"/>
              <w:rPr>
                <w:rFonts w:cs="Arial"/>
                <w:sz w:val="16"/>
                <w:szCs w:val="16"/>
              </w:rPr>
            </w:pPr>
            <w:r w:rsidRPr="00372745">
              <w:rPr>
                <w:rFonts w:cs="Arial"/>
                <w:sz w:val="16"/>
                <w:szCs w:val="16"/>
              </w:rPr>
              <w:t>61</w:t>
            </w:r>
          </w:p>
        </w:tc>
      </w:tr>
      <w:tr w:rsidR="00EE405C" w:rsidRPr="00372745" w14:paraId="0B6C6460" w14:textId="77777777" w:rsidTr="00BF6CBB">
        <w:trPr>
          <w:cantSplit/>
          <w:jc w:val="center"/>
        </w:trPr>
        <w:tc>
          <w:tcPr>
            <w:tcW w:w="6017" w:type="dxa"/>
            <w:tcBorders>
              <w:top w:val="nil"/>
              <w:bottom w:val="nil"/>
            </w:tcBorders>
            <w:vAlign w:val="center"/>
            <w:hideMark/>
          </w:tcPr>
          <w:p w14:paraId="2D0F876F" w14:textId="7D8A8026"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γ.</w:t>
            </w:r>
            <w:r w:rsidR="00E11857">
              <w:rPr>
                <w:rFonts w:cs="Arial"/>
                <w:b/>
                <w:bCs/>
                <w:sz w:val="16"/>
                <w:szCs w:val="16"/>
              </w:rPr>
              <w:tab/>
            </w:r>
            <w:r w:rsidRPr="00372745">
              <w:rPr>
                <w:rFonts w:cs="Arial"/>
                <w:b/>
                <w:bCs/>
                <w:sz w:val="16"/>
                <w:szCs w:val="16"/>
              </w:rPr>
              <w:t>Μεταβιβάσεις</w:t>
            </w:r>
          </w:p>
        </w:tc>
        <w:tc>
          <w:tcPr>
            <w:tcW w:w="1068" w:type="dxa"/>
            <w:tcBorders>
              <w:top w:val="nil"/>
              <w:bottom w:val="nil"/>
            </w:tcBorders>
            <w:vAlign w:val="center"/>
            <w:hideMark/>
          </w:tcPr>
          <w:p w14:paraId="47CB745B" w14:textId="77777777" w:rsidR="00EE405C" w:rsidRPr="00372745" w:rsidRDefault="00EE405C" w:rsidP="00450A3E">
            <w:pPr>
              <w:spacing w:after="0" w:line="240" w:lineRule="auto"/>
              <w:jc w:val="right"/>
              <w:rPr>
                <w:rFonts w:cs="Arial"/>
                <w:sz w:val="16"/>
                <w:szCs w:val="16"/>
              </w:rPr>
            </w:pPr>
            <w:r w:rsidRPr="00372745">
              <w:rPr>
                <w:rFonts w:cs="Arial"/>
                <w:sz w:val="16"/>
                <w:szCs w:val="16"/>
              </w:rPr>
              <w:t>7.420</w:t>
            </w:r>
          </w:p>
        </w:tc>
        <w:tc>
          <w:tcPr>
            <w:tcW w:w="1177" w:type="dxa"/>
            <w:tcBorders>
              <w:top w:val="nil"/>
              <w:bottom w:val="nil"/>
            </w:tcBorders>
            <w:vAlign w:val="center"/>
            <w:hideMark/>
          </w:tcPr>
          <w:p w14:paraId="633BA863" w14:textId="77777777" w:rsidR="00EE405C" w:rsidRPr="00372745" w:rsidRDefault="00EE405C" w:rsidP="00450A3E">
            <w:pPr>
              <w:spacing w:after="0" w:line="240" w:lineRule="auto"/>
              <w:jc w:val="right"/>
              <w:rPr>
                <w:rFonts w:cs="Arial"/>
                <w:sz w:val="16"/>
                <w:szCs w:val="16"/>
              </w:rPr>
            </w:pPr>
            <w:r w:rsidRPr="00372745">
              <w:rPr>
                <w:rFonts w:cs="Arial"/>
                <w:sz w:val="16"/>
                <w:szCs w:val="16"/>
              </w:rPr>
              <w:t>8.794</w:t>
            </w:r>
          </w:p>
        </w:tc>
        <w:tc>
          <w:tcPr>
            <w:tcW w:w="1066" w:type="dxa"/>
            <w:tcBorders>
              <w:top w:val="nil"/>
              <w:bottom w:val="nil"/>
            </w:tcBorders>
            <w:vAlign w:val="center"/>
            <w:hideMark/>
          </w:tcPr>
          <w:p w14:paraId="02B7DC4C" w14:textId="77777777" w:rsidR="00EE405C" w:rsidRPr="00372745" w:rsidRDefault="00EE405C" w:rsidP="00450A3E">
            <w:pPr>
              <w:spacing w:after="0" w:line="240" w:lineRule="auto"/>
              <w:jc w:val="right"/>
              <w:rPr>
                <w:rFonts w:cs="Arial"/>
                <w:sz w:val="16"/>
                <w:szCs w:val="16"/>
              </w:rPr>
            </w:pPr>
            <w:r w:rsidRPr="00372745">
              <w:rPr>
                <w:rFonts w:cs="Arial"/>
                <w:sz w:val="16"/>
                <w:szCs w:val="16"/>
              </w:rPr>
              <w:t>9.245</w:t>
            </w:r>
          </w:p>
        </w:tc>
        <w:tc>
          <w:tcPr>
            <w:tcW w:w="1066" w:type="dxa"/>
            <w:tcBorders>
              <w:top w:val="nil"/>
              <w:bottom w:val="nil"/>
            </w:tcBorders>
            <w:vAlign w:val="center"/>
            <w:hideMark/>
          </w:tcPr>
          <w:p w14:paraId="628B0C86" w14:textId="77777777" w:rsidR="00EE405C" w:rsidRPr="00372745" w:rsidRDefault="00EE405C" w:rsidP="00450A3E">
            <w:pPr>
              <w:spacing w:after="0" w:line="240" w:lineRule="auto"/>
              <w:jc w:val="right"/>
              <w:rPr>
                <w:rFonts w:cs="Arial"/>
                <w:sz w:val="16"/>
                <w:szCs w:val="16"/>
              </w:rPr>
            </w:pPr>
            <w:r w:rsidRPr="00372745">
              <w:rPr>
                <w:rFonts w:cs="Arial"/>
                <w:sz w:val="16"/>
                <w:szCs w:val="16"/>
              </w:rPr>
              <w:t>10.941</w:t>
            </w:r>
          </w:p>
        </w:tc>
      </w:tr>
      <w:tr w:rsidR="00EE405C" w:rsidRPr="00372745" w14:paraId="2AA49C57" w14:textId="77777777" w:rsidTr="00BF6CBB">
        <w:trPr>
          <w:cantSplit/>
          <w:jc w:val="center"/>
        </w:trPr>
        <w:tc>
          <w:tcPr>
            <w:tcW w:w="6017" w:type="dxa"/>
            <w:tcBorders>
              <w:top w:val="nil"/>
              <w:bottom w:val="nil"/>
            </w:tcBorders>
            <w:vAlign w:val="center"/>
            <w:hideMark/>
          </w:tcPr>
          <w:p w14:paraId="58536C5F" w14:textId="456326EB"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δ.</w:t>
            </w:r>
            <w:r w:rsidR="00E11857">
              <w:rPr>
                <w:rFonts w:cs="Arial"/>
                <w:b/>
                <w:bCs/>
                <w:sz w:val="16"/>
                <w:szCs w:val="16"/>
              </w:rPr>
              <w:tab/>
            </w:r>
            <w:r w:rsidRPr="00372745">
              <w:rPr>
                <w:rFonts w:cs="Arial"/>
                <w:b/>
                <w:bCs/>
                <w:sz w:val="16"/>
                <w:szCs w:val="16"/>
              </w:rPr>
              <w:t>Πωλήσεις αγαθών και υπηρεσιών</w:t>
            </w:r>
          </w:p>
        </w:tc>
        <w:tc>
          <w:tcPr>
            <w:tcW w:w="1068" w:type="dxa"/>
            <w:tcBorders>
              <w:top w:val="nil"/>
              <w:bottom w:val="nil"/>
            </w:tcBorders>
            <w:vAlign w:val="center"/>
            <w:hideMark/>
          </w:tcPr>
          <w:p w14:paraId="13716CE1" w14:textId="77777777" w:rsidR="00EE405C" w:rsidRPr="00372745" w:rsidRDefault="00EE405C" w:rsidP="00450A3E">
            <w:pPr>
              <w:spacing w:after="0" w:line="240" w:lineRule="auto"/>
              <w:jc w:val="right"/>
              <w:rPr>
                <w:rFonts w:cs="Arial"/>
                <w:sz w:val="16"/>
                <w:szCs w:val="16"/>
              </w:rPr>
            </w:pPr>
            <w:r w:rsidRPr="00372745">
              <w:rPr>
                <w:rFonts w:cs="Arial"/>
                <w:sz w:val="16"/>
                <w:szCs w:val="16"/>
              </w:rPr>
              <w:t>844</w:t>
            </w:r>
          </w:p>
        </w:tc>
        <w:tc>
          <w:tcPr>
            <w:tcW w:w="1177" w:type="dxa"/>
            <w:tcBorders>
              <w:top w:val="nil"/>
              <w:bottom w:val="nil"/>
            </w:tcBorders>
            <w:vAlign w:val="center"/>
            <w:hideMark/>
          </w:tcPr>
          <w:p w14:paraId="016AAA97" w14:textId="77777777" w:rsidR="00EE405C" w:rsidRPr="00372745" w:rsidRDefault="00EE405C" w:rsidP="00450A3E">
            <w:pPr>
              <w:spacing w:after="0" w:line="240" w:lineRule="auto"/>
              <w:jc w:val="right"/>
              <w:rPr>
                <w:rFonts w:cs="Arial"/>
                <w:sz w:val="16"/>
                <w:szCs w:val="16"/>
              </w:rPr>
            </w:pPr>
            <w:r w:rsidRPr="00372745">
              <w:rPr>
                <w:rFonts w:cs="Arial"/>
                <w:sz w:val="16"/>
                <w:szCs w:val="16"/>
              </w:rPr>
              <w:t>965</w:t>
            </w:r>
          </w:p>
        </w:tc>
        <w:tc>
          <w:tcPr>
            <w:tcW w:w="1066" w:type="dxa"/>
            <w:tcBorders>
              <w:top w:val="nil"/>
              <w:bottom w:val="nil"/>
            </w:tcBorders>
            <w:vAlign w:val="center"/>
            <w:hideMark/>
          </w:tcPr>
          <w:p w14:paraId="741F14D4" w14:textId="77777777" w:rsidR="00EE405C" w:rsidRPr="00372745" w:rsidRDefault="00EE405C" w:rsidP="00450A3E">
            <w:pPr>
              <w:spacing w:after="0" w:line="240" w:lineRule="auto"/>
              <w:jc w:val="right"/>
              <w:rPr>
                <w:rFonts w:cs="Arial"/>
                <w:sz w:val="16"/>
                <w:szCs w:val="16"/>
              </w:rPr>
            </w:pPr>
            <w:r w:rsidRPr="00372745">
              <w:rPr>
                <w:rFonts w:cs="Arial"/>
                <w:sz w:val="16"/>
                <w:szCs w:val="16"/>
              </w:rPr>
              <w:t>1.213</w:t>
            </w:r>
          </w:p>
        </w:tc>
        <w:tc>
          <w:tcPr>
            <w:tcW w:w="1066" w:type="dxa"/>
            <w:tcBorders>
              <w:top w:val="nil"/>
              <w:bottom w:val="nil"/>
            </w:tcBorders>
            <w:vAlign w:val="center"/>
            <w:hideMark/>
          </w:tcPr>
          <w:p w14:paraId="676F0F23" w14:textId="77777777" w:rsidR="00EE405C" w:rsidRPr="00372745" w:rsidRDefault="00EE405C" w:rsidP="00450A3E">
            <w:pPr>
              <w:spacing w:after="0" w:line="240" w:lineRule="auto"/>
              <w:jc w:val="right"/>
              <w:rPr>
                <w:rFonts w:cs="Arial"/>
                <w:sz w:val="16"/>
                <w:szCs w:val="16"/>
              </w:rPr>
            </w:pPr>
            <w:r w:rsidRPr="00372745">
              <w:rPr>
                <w:rFonts w:cs="Arial"/>
                <w:sz w:val="16"/>
                <w:szCs w:val="16"/>
              </w:rPr>
              <w:t>1.097</w:t>
            </w:r>
          </w:p>
        </w:tc>
      </w:tr>
      <w:tr w:rsidR="00EE405C" w:rsidRPr="00372745" w14:paraId="62362BDC" w14:textId="77777777" w:rsidTr="00BF6CBB">
        <w:trPr>
          <w:cantSplit/>
          <w:jc w:val="center"/>
        </w:trPr>
        <w:tc>
          <w:tcPr>
            <w:tcW w:w="6017" w:type="dxa"/>
            <w:tcBorders>
              <w:top w:val="nil"/>
              <w:bottom w:val="nil"/>
            </w:tcBorders>
            <w:vAlign w:val="center"/>
            <w:hideMark/>
          </w:tcPr>
          <w:p w14:paraId="080E7B4B" w14:textId="07D8DB9E"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ε.</w:t>
            </w:r>
            <w:r w:rsidR="00E11857">
              <w:rPr>
                <w:rFonts w:cs="Arial"/>
                <w:b/>
                <w:bCs/>
                <w:sz w:val="16"/>
                <w:szCs w:val="16"/>
              </w:rPr>
              <w:tab/>
            </w:r>
            <w:r w:rsidRPr="00372745">
              <w:rPr>
                <w:rFonts w:cs="Arial"/>
                <w:b/>
                <w:bCs/>
                <w:sz w:val="16"/>
                <w:szCs w:val="16"/>
              </w:rPr>
              <w:t>Λοιπά τρέχοντα έσοδα</w:t>
            </w:r>
          </w:p>
        </w:tc>
        <w:tc>
          <w:tcPr>
            <w:tcW w:w="1068" w:type="dxa"/>
            <w:tcBorders>
              <w:top w:val="nil"/>
              <w:bottom w:val="nil"/>
            </w:tcBorders>
            <w:vAlign w:val="center"/>
            <w:hideMark/>
          </w:tcPr>
          <w:p w14:paraId="2E9C9CE0" w14:textId="77777777" w:rsidR="00EE405C" w:rsidRPr="00372745" w:rsidRDefault="00EE405C" w:rsidP="00450A3E">
            <w:pPr>
              <w:spacing w:after="0" w:line="240" w:lineRule="auto"/>
              <w:jc w:val="right"/>
              <w:rPr>
                <w:rFonts w:cs="Arial"/>
                <w:sz w:val="16"/>
                <w:szCs w:val="16"/>
              </w:rPr>
            </w:pPr>
            <w:r w:rsidRPr="00372745">
              <w:rPr>
                <w:rFonts w:cs="Arial"/>
                <w:sz w:val="16"/>
                <w:szCs w:val="16"/>
              </w:rPr>
              <w:t>3.793</w:t>
            </w:r>
          </w:p>
        </w:tc>
        <w:tc>
          <w:tcPr>
            <w:tcW w:w="1177" w:type="dxa"/>
            <w:tcBorders>
              <w:top w:val="nil"/>
              <w:bottom w:val="nil"/>
            </w:tcBorders>
            <w:vAlign w:val="center"/>
            <w:hideMark/>
          </w:tcPr>
          <w:p w14:paraId="493B12CB" w14:textId="77777777" w:rsidR="00EE405C" w:rsidRPr="00372745" w:rsidRDefault="00EE405C" w:rsidP="00450A3E">
            <w:pPr>
              <w:spacing w:after="0" w:line="240" w:lineRule="auto"/>
              <w:jc w:val="right"/>
              <w:rPr>
                <w:rFonts w:cs="Arial"/>
                <w:sz w:val="16"/>
                <w:szCs w:val="16"/>
              </w:rPr>
            </w:pPr>
            <w:r w:rsidRPr="00372745">
              <w:rPr>
                <w:rFonts w:cs="Arial"/>
                <w:sz w:val="16"/>
                <w:szCs w:val="16"/>
              </w:rPr>
              <w:t>3.043</w:t>
            </w:r>
          </w:p>
        </w:tc>
        <w:tc>
          <w:tcPr>
            <w:tcW w:w="1066" w:type="dxa"/>
            <w:tcBorders>
              <w:top w:val="nil"/>
              <w:bottom w:val="nil"/>
            </w:tcBorders>
            <w:vAlign w:val="center"/>
            <w:hideMark/>
          </w:tcPr>
          <w:p w14:paraId="7A4CD248" w14:textId="77777777" w:rsidR="00EE405C" w:rsidRPr="00372745" w:rsidRDefault="00EE405C" w:rsidP="00450A3E">
            <w:pPr>
              <w:spacing w:after="0" w:line="240" w:lineRule="auto"/>
              <w:jc w:val="right"/>
              <w:rPr>
                <w:rFonts w:cs="Arial"/>
                <w:sz w:val="16"/>
                <w:szCs w:val="16"/>
              </w:rPr>
            </w:pPr>
            <w:r w:rsidRPr="00372745">
              <w:rPr>
                <w:rFonts w:cs="Arial"/>
                <w:sz w:val="16"/>
                <w:szCs w:val="16"/>
              </w:rPr>
              <w:t>2.991</w:t>
            </w:r>
          </w:p>
        </w:tc>
        <w:tc>
          <w:tcPr>
            <w:tcW w:w="1066" w:type="dxa"/>
            <w:tcBorders>
              <w:top w:val="nil"/>
              <w:bottom w:val="nil"/>
            </w:tcBorders>
            <w:vAlign w:val="center"/>
            <w:hideMark/>
          </w:tcPr>
          <w:p w14:paraId="702BFA81" w14:textId="77777777" w:rsidR="00EE405C" w:rsidRPr="00372745" w:rsidRDefault="00EE405C" w:rsidP="00450A3E">
            <w:pPr>
              <w:spacing w:after="0" w:line="240" w:lineRule="auto"/>
              <w:jc w:val="right"/>
              <w:rPr>
                <w:rFonts w:cs="Arial"/>
                <w:sz w:val="16"/>
                <w:szCs w:val="16"/>
              </w:rPr>
            </w:pPr>
            <w:r w:rsidRPr="00372745">
              <w:rPr>
                <w:rFonts w:cs="Arial"/>
                <w:sz w:val="16"/>
                <w:szCs w:val="16"/>
              </w:rPr>
              <w:t>2.222</w:t>
            </w:r>
          </w:p>
        </w:tc>
      </w:tr>
      <w:tr w:rsidR="00EE405C" w:rsidRPr="00056014" w14:paraId="168C5F97" w14:textId="77777777" w:rsidTr="00BF6CBB">
        <w:trPr>
          <w:cantSplit/>
          <w:jc w:val="center"/>
        </w:trPr>
        <w:tc>
          <w:tcPr>
            <w:tcW w:w="6017" w:type="dxa"/>
            <w:tcBorders>
              <w:top w:val="nil"/>
              <w:bottom w:val="nil"/>
            </w:tcBorders>
            <w:vAlign w:val="center"/>
            <w:hideMark/>
          </w:tcPr>
          <w:p w14:paraId="533D80A5" w14:textId="6B11CFE8" w:rsidR="00EE405C" w:rsidRPr="00056014" w:rsidRDefault="00E11857" w:rsidP="00450A3E">
            <w:pPr>
              <w:tabs>
                <w:tab w:val="left" w:pos="284"/>
              </w:tabs>
              <w:spacing w:after="0" w:line="240" w:lineRule="auto"/>
              <w:jc w:val="left"/>
              <w:rPr>
                <w:rFonts w:cs="Arial"/>
                <w:bCs/>
                <w:sz w:val="16"/>
                <w:szCs w:val="16"/>
              </w:rPr>
            </w:pPr>
            <w:r w:rsidRPr="00056014">
              <w:rPr>
                <w:rFonts w:cs="Arial"/>
                <w:bCs/>
                <w:sz w:val="16"/>
                <w:szCs w:val="16"/>
              </w:rPr>
              <w:tab/>
            </w:r>
            <w:r w:rsidR="00EE405C" w:rsidRPr="00056014">
              <w:rPr>
                <w:rFonts w:cs="Arial"/>
                <w:bCs/>
                <w:sz w:val="16"/>
                <w:szCs w:val="16"/>
              </w:rPr>
              <w:t>εκ των οποίων: ε1. Επιστροφές δαπανών για τόκους</w:t>
            </w:r>
          </w:p>
        </w:tc>
        <w:tc>
          <w:tcPr>
            <w:tcW w:w="1068" w:type="dxa"/>
            <w:tcBorders>
              <w:top w:val="nil"/>
              <w:bottom w:val="nil"/>
            </w:tcBorders>
            <w:vAlign w:val="center"/>
            <w:hideMark/>
          </w:tcPr>
          <w:p w14:paraId="797D1F17" w14:textId="77777777" w:rsidR="00EE405C" w:rsidRPr="00056014" w:rsidRDefault="00EE405C" w:rsidP="00450A3E">
            <w:pPr>
              <w:spacing w:after="0" w:line="240" w:lineRule="auto"/>
              <w:jc w:val="right"/>
              <w:rPr>
                <w:rFonts w:cs="Arial"/>
                <w:sz w:val="16"/>
                <w:szCs w:val="16"/>
              </w:rPr>
            </w:pPr>
            <w:r w:rsidRPr="00056014">
              <w:rPr>
                <w:rFonts w:cs="Arial"/>
                <w:sz w:val="16"/>
                <w:szCs w:val="16"/>
              </w:rPr>
              <w:t>44</w:t>
            </w:r>
          </w:p>
        </w:tc>
        <w:tc>
          <w:tcPr>
            <w:tcW w:w="1177" w:type="dxa"/>
            <w:tcBorders>
              <w:top w:val="nil"/>
              <w:bottom w:val="nil"/>
            </w:tcBorders>
            <w:vAlign w:val="center"/>
            <w:hideMark/>
          </w:tcPr>
          <w:p w14:paraId="501EBDCD" w14:textId="77777777" w:rsidR="00EE405C" w:rsidRPr="00056014" w:rsidRDefault="00EE405C" w:rsidP="00450A3E">
            <w:pPr>
              <w:spacing w:after="0" w:line="240" w:lineRule="auto"/>
              <w:jc w:val="right"/>
              <w:rPr>
                <w:rFonts w:cs="Arial"/>
                <w:sz w:val="16"/>
                <w:szCs w:val="16"/>
              </w:rPr>
            </w:pPr>
            <w:r w:rsidRPr="00056014">
              <w:rPr>
                <w:rFonts w:cs="Arial"/>
                <w:sz w:val="16"/>
                <w:szCs w:val="16"/>
              </w:rPr>
              <w:t>0</w:t>
            </w:r>
          </w:p>
        </w:tc>
        <w:tc>
          <w:tcPr>
            <w:tcW w:w="1066" w:type="dxa"/>
            <w:tcBorders>
              <w:top w:val="nil"/>
              <w:bottom w:val="nil"/>
            </w:tcBorders>
            <w:vAlign w:val="center"/>
            <w:hideMark/>
          </w:tcPr>
          <w:p w14:paraId="46643278" w14:textId="77777777" w:rsidR="00EE405C" w:rsidRPr="00056014" w:rsidRDefault="00EE405C" w:rsidP="00450A3E">
            <w:pPr>
              <w:spacing w:after="0" w:line="240" w:lineRule="auto"/>
              <w:jc w:val="right"/>
              <w:rPr>
                <w:rFonts w:cs="Arial"/>
                <w:sz w:val="16"/>
                <w:szCs w:val="16"/>
              </w:rPr>
            </w:pPr>
            <w:r w:rsidRPr="00056014">
              <w:rPr>
                <w:rFonts w:cs="Arial"/>
                <w:sz w:val="16"/>
                <w:szCs w:val="16"/>
              </w:rPr>
              <w:t>92</w:t>
            </w:r>
          </w:p>
        </w:tc>
        <w:tc>
          <w:tcPr>
            <w:tcW w:w="1066" w:type="dxa"/>
            <w:tcBorders>
              <w:top w:val="nil"/>
              <w:bottom w:val="nil"/>
            </w:tcBorders>
            <w:vAlign w:val="center"/>
            <w:hideMark/>
          </w:tcPr>
          <w:p w14:paraId="0CF10D00" w14:textId="77777777" w:rsidR="00EE405C" w:rsidRPr="00056014" w:rsidRDefault="00EE405C" w:rsidP="00450A3E">
            <w:pPr>
              <w:spacing w:after="0" w:line="240" w:lineRule="auto"/>
              <w:jc w:val="right"/>
              <w:rPr>
                <w:rFonts w:cs="Arial"/>
                <w:sz w:val="16"/>
                <w:szCs w:val="16"/>
              </w:rPr>
            </w:pPr>
            <w:r w:rsidRPr="00056014">
              <w:rPr>
                <w:rFonts w:cs="Arial"/>
                <w:sz w:val="16"/>
                <w:szCs w:val="16"/>
              </w:rPr>
              <w:t>0</w:t>
            </w:r>
          </w:p>
        </w:tc>
      </w:tr>
      <w:tr w:rsidR="00EE405C" w:rsidRPr="00372745" w14:paraId="591DA598" w14:textId="77777777" w:rsidTr="00BF6CBB">
        <w:trPr>
          <w:cantSplit/>
          <w:jc w:val="center"/>
        </w:trPr>
        <w:tc>
          <w:tcPr>
            <w:tcW w:w="6017" w:type="dxa"/>
            <w:tcBorders>
              <w:top w:val="nil"/>
              <w:bottom w:val="nil"/>
            </w:tcBorders>
            <w:vAlign w:val="center"/>
            <w:hideMark/>
          </w:tcPr>
          <w:p w14:paraId="223BEC3D" w14:textId="7F9D2C37"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στ.</w:t>
            </w:r>
            <w:r w:rsidR="00C517E6">
              <w:rPr>
                <w:rFonts w:cs="Arial"/>
                <w:b/>
                <w:bCs/>
                <w:sz w:val="16"/>
                <w:szCs w:val="16"/>
              </w:rPr>
              <w:tab/>
            </w:r>
            <w:r w:rsidRPr="00372745">
              <w:rPr>
                <w:rFonts w:cs="Arial"/>
                <w:b/>
                <w:bCs/>
                <w:sz w:val="16"/>
                <w:szCs w:val="16"/>
              </w:rPr>
              <w:t>Πωλήσεις παγίων περιουσιακών στοιχείων</w:t>
            </w:r>
          </w:p>
        </w:tc>
        <w:tc>
          <w:tcPr>
            <w:tcW w:w="1068" w:type="dxa"/>
            <w:tcBorders>
              <w:top w:val="nil"/>
              <w:bottom w:val="nil"/>
            </w:tcBorders>
            <w:vAlign w:val="center"/>
            <w:hideMark/>
          </w:tcPr>
          <w:p w14:paraId="6FE2A577" w14:textId="77777777" w:rsidR="00EE405C" w:rsidRPr="00372745" w:rsidRDefault="00EE405C" w:rsidP="00450A3E">
            <w:pPr>
              <w:spacing w:after="0" w:line="240" w:lineRule="auto"/>
              <w:jc w:val="right"/>
              <w:rPr>
                <w:rFonts w:cs="Arial"/>
                <w:sz w:val="16"/>
                <w:szCs w:val="16"/>
              </w:rPr>
            </w:pPr>
            <w:r w:rsidRPr="00372745">
              <w:rPr>
                <w:rFonts w:cs="Arial"/>
                <w:sz w:val="16"/>
                <w:szCs w:val="16"/>
              </w:rPr>
              <w:t>29</w:t>
            </w:r>
          </w:p>
        </w:tc>
        <w:tc>
          <w:tcPr>
            <w:tcW w:w="1177" w:type="dxa"/>
            <w:tcBorders>
              <w:top w:val="nil"/>
              <w:bottom w:val="nil"/>
            </w:tcBorders>
            <w:vAlign w:val="center"/>
            <w:hideMark/>
          </w:tcPr>
          <w:p w14:paraId="64F2C71B" w14:textId="77777777" w:rsidR="00EE405C" w:rsidRPr="00372745" w:rsidRDefault="00EE405C" w:rsidP="00450A3E">
            <w:pPr>
              <w:spacing w:after="0" w:line="240" w:lineRule="auto"/>
              <w:jc w:val="right"/>
              <w:rPr>
                <w:rFonts w:cs="Arial"/>
                <w:sz w:val="16"/>
                <w:szCs w:val="16"/>
              </w:rPr>
            </w:pPr>
            <w:r w:rsidRPr="00372745">
              <w:rPr>
                <w:rFonts w:cs="Arial"/>
                <w:sz w:val="16"/>
                <w:szCs w:val="16"/>
              </w:rPr>
              <w:t>37</w:t>
            </w:r>
          </w:p>
        </w:tc>
        <w:tc>
          <w:tcPr>
            <w:tcW w:w="1066" w:type="dxa"/>
            <w:tcBorders>
              <w:top w:val="nil"/>
              <w:bottom w:val="nil"/>
            </w:tcBorders>
            <w:vAlign w:val="center"/>
            <w:hideMark/>
          </w:tcPr>
          <w:p w14:paraId="50CD40D5" w14:textId="77777777" w:rsidR="00EE405C" w:rsidRPr="00372745" w:rsidRDefault="00EE405C" w:rsidP="00450A3E">
            <w:pPr>
              <w:spacing w:after="0" w:line="240" w:lineRule="auto"/>
              <w:jc w:val="right"/>
              <w:rPr>
                <w:rFonts w:cs="Arial"/>
                <w:sz w:val="16"/>
                <w:szCs w:val="16"/>
              </w:rPr>
            </w:pPr>
            <w:r w:rsidRPr="00372745">
              <w:rPr>
                <w:rFonts w:cs="Arial"/>
                <w:sz w:val="16"/>
                <w:szCs w:val="16"/>
              </w:rPr>
              <w:t>32</w:t>
            </w:r>
          </w:p>
        </w:tc>
        <w:tc>
          <w:tcPr>
            <w:tcW w:w="1066" w:type="dxa"/>
            <w:tcBorders>
              <w:top w:val="nil"/>
              <w:bottom w:val="nil"/>
            </w:tcBorders>
            <w:vAlign w:val="center"/>
            <w:hideMark/>
          </w:tcPr>
          <w:p w14:paraId="6D3D060A" w14:textId="77777777" w:rsidR="00EE405C" w:rsidRPr="00372745" w:rsidRDefault="00EE405C" w:rsidP="00450A3E">
            <w:pPr>
              <w:spacing w:after="0" w:line="240" w:lineRule="auto"/>
              <w:jc w:val="right"/>
              <w:rPr>
                <w:rFonts w:cs="Arial"/>
                <w:sz w:val="16"/>
                <w:szCs w:val="16"/>
              </w:rPr>
            </w:pPr>
            <w:r w:rsidRPr="00372745">
              <w:rPr>
                <w:rFonts w:cs="Arial"/>
                <w:sz w:val="16"/>
                <w:szCs w:val="16"/>
              </w:rPr>
              <w:t>55</w:t>
            </w:r>
          </w:p>
        </w:tc>
      </w:tr>
      <w:tr w:rsidR="00EE405C" w:rsidRPr="00372745" w14:paraId="3AA09410" w14:textId="77777777" w:rsidTr="00BF6CBB">
        <w:trPr>
          <w:cantSplit/>
          <w:jc w:val="center"/>
        </w:trPr>
        <w:tc>
          <w:tcPr>
            <w:tcW w:w="6017" w:type="dxa"/>
            <w:tcBorders>
              <w:top w:val="nil"/>
              <w:bottom w:val="nil"/>
            </w:tcBorders>
            <w:vAlign w:val="center"/>
            <w:hideMark/>
          </w:tcPr>
          <w:p w14:paraId="61668AB7" w14:textId="5F73D2FF"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ζ.</w:t>
            </w:r>
            <w:r w:rsidR="00C517E6">
              <w:rPr>
                <w:rFonts w:cs="Arial"/>
                <w:b/>
                <w:bCs/>
                <w:sz w:val="16"/>
                <w:szCs w:val="16"/>
              </w:rPr>
              <w:tab/>
            </w:r>
            <w:r w:rsidRPr="00372745">
              <w:rPr>
                <w:rFonts w:cs="Arial"/>
                <w:b/>
                <w:bCs/>
                <w:sz w:val="16"/>
                <w:szCs w:val="16"/>
              </w:rPr>
              <w:t>Επιστροφές εσόδων</w:t>
            </w:r>
          </w:p>
        </w:tc>
        <w:tc>
          <w:tcPr>
            <w:tcW w:w="1068" w:type="dxa"/>
            <w:tcBorders>
              <w:top w:val="nil"/>
              <w:bottom w:val="nil"/>
            </w:tcBorders>
            <w:vAlign w:val="center"/>
            <w:hideMark/>
          </w:tcPr>
          <w:p w14:paraId="35E467CC" w14:textId="77777777" w:rsidR="00EE405C" w:rsidRPr="00372745" w:rsidRDefault="00EE405C" w:rsidP="00450A3E">
            <w:pPr>
              <w:spacing w:after="0" w:line="240" w:lineRule="auto"/>
              <w:jc w:val="right"/>
              <w:rPr>
                <w:rFonts w:cs="Arial"/>
                <w:sz w:val="16"/>
                <w:szCs w:val="16"/>
              </w:rPr>
            </w:pPr>
            <w:r w:rsidRPr="00372745">
              <w:rPr>
                <w:rFonts w:cs="Arial"/>
                <w:sz w:val="16"/>
                <w:szCs w:val="16"/>
              </w:rPr>
              <w:t>8.188</w:t>
            </w:r>
          </w:p>
        </w:tc>
        <w:tc>
          <w:tcPr>
            <w:tcW w:w="1177" w:type="dxa"/>
            <w:tcBorders>
              <w:top w:val="nil"/>
              <w:bottom w:val="nil"/>
            </w:tcBorders>
            <w:vAlign w:val="center"/>
            <w:hideMark/>
          </w:tcPr>
          <w:p w14:paraId="166EC45E" w14:textId="77777777" w:rsidR="00EE405C" w:rsidRPr="00372745" w:rsidRDefault="00EE405C" w:rsidP="00450A3E">
            <w:pPr>
              <w:spacing w:after="0" w:line="240" w:lineRule="auto"/>
              <w:jc w:val="right"/>
              <w:rPr>
                <w:rFonts w:cs="Arial"/>
                <w:sz w:val="16"/>
                <w:szCs w:val="16"/>
              </w:rPr>
            </w:pPr>
            <w:r w:rsidRPr="00372745">
              <w:rPr>
                <w:rFonts w:cs="Arial"/>
                <w:sz w:val="16"/>
                <w:szCs w:val="16"/>
              </w:rPr>
              <w:t>7.529</w:t>
            </w:r>
          </w:p>
        </w:tc>
        <w:tc>
          <w:tcPr>
            <w:tcW w:w="1066" w:type="dxa"/>
            <w:tcBorders>
              <w:top w:val="nil"/>
              <w:bottom w:val="nil"/>
            </w:tcBorders>
            <w:vAlign w:val="center"/>
            <w:hideMark/>
          </w:tcPr>
          <w:p w14:paraId="32701A06" w14:textId="77777777" w:rsidR="00EE405C" w:rsidRPr="00372745" w:rsidRDefault="00EE405C" w:rsidP="00450A3E">
            <w:pPr>
              <w:spacing w:after="0" w:line="240" w:lineRule="auto"/>
              <w:jc w:val="right"/>
              <w:rPr>
                <w:rFonts w:cs="Arial"/>
                <w:sz w:val="16"/>
                <w:szCs w:val="16"/>
              </w:rPr>
            </w:pPr>
            <w:r w:rsidRPr="00372745">
              <w:rPr>
                <w:rFonts w:cs="Arial"/>
                <w:sz w:val="16"/>
                <w:szCs w:val="16"/>
              </w:rPr>
              <w:t>7.594</w:t>
            </w:r>
          </w:p>
        </w:tc>
        <w:tc>
          <w:tcPr>
            <w:tcW w:w="1066" w:type="dxa"/>
            <w:tcBorders>
              <w:top w:val="nil"/>
              <w:bottom w:val="nil"/>
            </w:tcBorders>
            <w:vAlign w:val="center"/>
            <w:hideMark/>
          </w:tcPr>
          <w:p w14:paraId="11A323C9" w14:textId="77777777" w:rsidR="00EE405C" w:rsidRPr="00372745" w:rsidRDefault="00EE405C" w:rsidP="00450A3E">
            <w:pPr>
              <w:spacing w:after="0" w:line="240" w:lineRule="auto"/>
              <w:jc w:val="right"/>
              <w:rPr>
                <w:rFonts w:cs="Arial"/>
                <w:sz w:val="16"/>
                <w:szCs w:val="16"/>
              </w:rPr>
            </w:pPr>
            <w:r w:rsidRPr="00372745">
              <w:rPr>
                <w:rFonts w:cs="Arial"/>
                <w:sz w:val="16"/>
                <w:szCs w:val="16"/>
              </w:rPr>
              <w:t>7.955</w:t>
            </w:r>
          </w:p>
        </w:tc>
      </w:tr>
      <w:tr w:rsidR="00EE405C" w:rsidRPr="00372745" w14:paraId="4E8279C5" w14:textId="77777777" w:rsidTr="00BF6CBB">
        <w:trPr>
          <w:cantSplit/>
          <w:jc w:val="center"/>
        </w:trPr>
        <w:tc>
          <w:tcPr>
            <w:tcW w:w="6017" w:type="dxa"/>
            <w:tcBorders>
              <w:top w:val="nil"/>
              <w:bottom w:val="nil"/>
            </w:tcBorders>
            <w:vAlign w:val="center"/>
            <w:hideMark/>
          </w:tcPr>
          <w:p w14:paraId="21ABE3FC" w14:textId="77777777" w:rsidR="00EE405C" w:rsidRPr="00372745" w:rsidRDefault="00EE405C" w:rsidP="00040EDC">
            <w:pPr>
              <w:spacing w:before="60" w:after="0" w:line="240" w:lineRule="auto"/>
              <w:jc w:val="left"/>
              <w:rPr>
                <w:rFonts w:cs="Arial"/>
                <w:sz w:val="16"/>
                <w:szCs w:val="16"/>
              </w:rPr>
            </w:pPr>
            <w:r w:rsidRPr="00372745">
              <w:rPr>
                <w:rFonts w:cs="Arial"/>
                <w:sz w:val="16"/>
                <w:szCs w:val="16"/>
              </w:rPr>
              <w:t>Πληροφοριακά στοιχεία:</w:t>
            </w:r>
          </w:p>
        </w:tc>
        <w:tc>
          <w:tcPr>
            <w:tcW w:w="1068" w:type="dxa"/>
            <w:tcBorders>
              <w:top w:val="nil"/>
              <w:bottom w:val="nil"/>
            </w:tcBorders>
            <w:vAlign w:val="center"/>
            <w:hideMark/>
          </w:tcPr>
          <w:p w14:paraId="5A55F6CA" w14:textId="77777777" w:rsidR="00EE405C" w:rsidRPr="00372745" w:rsidRDefault="00EE405C" w:rsidP="00450A3E">
            <w:pPr>
              <w:spacing w:after="0" w:line="240" w:lineRule="auto"/>
              <w:jc w:val="right"/>
              <w:rPr>
                <w:rFonts w:cs="Arial"/>
                <w:sz w:val="16"/>
                <w:szCs w:val="16"/>
              </w:rPr>
            </w:pPr>
          </w:p>
        </w:tc>
        <w:tc>
          <w:tcPr>
            <w:tcW w:w="1177" w:type="dxa"/>
            <w:tcBorders>
              <w:top w:val="nil"/>
              <w:bottom w:val="nil"/>
            </w:tcBorders>
            <w:vAlign w:val="center"/>
            <w:hideMark/>
          </w:tcPr>
          <w:p w14:paraId="2EE97EB9" w14:textId="77777777" w:rsidR="00EE405C" w:rsidRPr="00372745" w:rsidRDefault="00EE405C" w:rsidP="00450A3E">
            <w:pPr>
              <w:spacing w:after="0" w:line="240" w:lineRule="auto"/>
              <w:jc w:val="right"/>
              <w:rPr>
                <w:rFonts w:cs="Arial"/>
                <w:sz w:val="16"/>
                <w:szCs w:val="16"/>
              </w:rPr>
            </w:pPr>
          </w:p>
        </w:tc>
        <w:tc>
          <w:tcPr>
            <w:tcW w:w="1066" w:type="dxa"/>
            <w:tcBorders>
              <w:top w:val="nil"/>
              <w:bottom w:val="nil"/>
            </w:tcBorders>
            <w:vAlign w:val="center"/>
            <w:hideMark/>
          </w:tcPr>
          <w:p w14:paraId="4EAF42CB" w14:textId="77777777" w:rsidR="00EE405C" w:rsidRPr="00372745" w:rsidRDefault="00EE405C" w:rsidP="00450A3E">
            <w:pPr>
              <w:spacing w:after="0" w:line="240" w:lineRule="auto"/>
              <w:jc w:val="right"/>
              <w:rPr>
                <w:rFonts w:cs="Arial"/>
                <w:sz w:val="16"/>
                <w:szCs w:val="16"/>
              </w:rPr>
            </w:pPr>
          </w:p>
        </w:tc>
        <w:tc>
          <w:tcPr>
            <w:tcW w:w="1066" w:type="dxa"/>
            <w:tcBorders>
              <w:top w:val="nil"/>
              <w:bottom w:val="nil"/>
            </w:tcBorders>
            <w:vAlign w:val="center"/>
            <w:hideMark/>
          </w:tcPr>
          <w:p w14:paraId="34A23971" w14:textId="77777777" w:rsidR="00EE405C" w:rsidRPr="00372745" w:rsidRDefault="00EE405C" w:rsidP="00450A3E">
            <w:pPr>
              <w:spacing w:after="0" w:line="240" w:lineRule="auto"/>
              <w:jc w:val="right"/>
              <w:rPr>
                <w:rFonts w:cs="Arial"/>
                <w:sz w:val="16"/>
                <w:szCs w:val="16"/>
              </w:rPr>
            </w:pPr>
          </w:p>
        </w:tc>
      </w:tr>
      <w:tr w:rsidR="00EE405C" w:rsidRPr="00372745" w14:paraId="0B2B279C" w14:textId="77777777" w:rsidTr="00BF6CBB">
        <w:trPr>
          <w:cantSplit/>
          <w:jc w:val="center"/>
        </w:trPr>
        <w:tc>
          <w:tcPr>
            <w:tcW w:w="6017" w:type="dxa"/>
            <w:tcBorders>
              <w:top w:val="nil"/>
              <w:bottom w:val="nil"/>
            </w:tcBorders>
            <w:vAlign w:val="center"/>
            <w:hideMark/>
          </w:tcPr>
          <w:p w14:paraId="7E864C9C" w14:textId="6F5B81AE" w:rsidR="00EE405C" w:rsidRPr="00372745" w:rsidRDefault="00EE405C" w:rsidP="00450A3E">
            <w:pPr>
              <w:spacing w:after="0" w:line="240" w:lineRule="auto"/>
              <w:jc w:val="left"/>
              <w:rPr>
                <w:rFonts w:cs="Arial"/>
                <w:i/>
                <w:iCs/>
                <w:sz w:val="16"/>
                <w:szCs w:val="16"/>
              </w:rPr>
            </w:pPr>
            <w:r w:rsidRPr="00372745">
              <w:rPr>
                <w:rFonts w:cs="Arial"/>
                <w:i/>
                <w:iCs/>
                <w:sz w:val="16"/>
                <w:szCs w:val="16"/>
              </w:rPr>
              <w:t>Πρ</w:t>
            </w:r>
            <w:r w:rsidR="00B61750">
              <w:rPr>
                <w:rFonts w:cs="Arial"/>
                <w:i/>
                <w:iCs/>
                <w:sz w:val="16"/>
                <w:szCs w:val="16"/>
              </w:rPr>
              <w:t>οϋπολογισμός δ</w:t>
            </w:r>
            <w:r w:rsidRPr="00372745">
              <w:rPr>
                <w:rFonts w:cs="Arial"/>
                <w:i/>
                <w:iCs/>
                <w:sz w:val="16"/>
                <w:szCs w:val="16"/>
              </w:rPr>
              <w:t xml:space="preserve">ημοσίων </w:t>
            </w:r>
            <w:r w:rsidR="00B61750">
              <w:rPr>
                <w:rFonts w:cs="Arial"/>
                <w:i/>
                <w:iCs/>
                <w:sz w:val="16"/>
                <w:szCs w:val="16"/>
              </w:rPr>
              <w:t>ε</w:t>
            </w:r>
            <w:r w:rsidRPr="00372745">
              <w:rPr>
                <w:rFonts w:cs="Arial"/>
                <w:i/>
                <w:iCs/>
                <w:sz w:val="16"/>
                <w:szCs w:val="16"/>
              </w:rPr>
              <w:t>πενδύσεων</w:t>
            </w:r>
            <w:r w:rsidRPr="00606317">
              <w:rPr>
                <w:rFonts w:cs="Arial"/>
                <w:i/>
                <w:iCs/>
                <w:sz w:val="16"/>
                <w:szCs w:val="16"/>
                <w:vertAlign w:val="superscript"/>
              </w:rPr>
              <w:t>1</w:t>
            </w:r>
          </w:p>
        </w:tc>
        <w:tc>
          <w:tcPr>
            <w:tcW w:w="1068" w:type="dxa"/>
            <w:tcBorders>
              <w:top w:val="nil"/>
              <w:bottom w:val="nil"/>
            </w:tcBorders>
            <w:vAlign w:val="center"/>
            <w:hideMark/>
          </w:tcPr>
          <w:p w14:paraId="0135F8E8"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3.685</w:t>
            </w:r>
          </w:p>
        </w:tc>
        <w:tc>
          <w:tcPr>
            <w:tcW w:w="1177" w:type="dxa"/>
            <w:tcBorders>
              <w:top w:val="nil"/>
              <w:bottom w:val="nil"/>
            </w:tcBorders>
            <w:vAlign w:val="center"/>
            <w:hideMark/>
          </w:tcPr>
          <w:p w14:paraId="0E9A960E"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4.300</w:t>
            </w:r>
          </w:p>
        </w:tc>
        <w:tc>
          <w:tcPr>
            <w:tcW w:w="1066" w:type="dxa"/>
            <w:tcBorders>
              <w:top w:val="nil"/>
              <w:bottom w:val="nil"/>
            </w:tcBorders>
            <w:vAlign w:val="center"/>
            <w:hideMark/>
          </w:tcPr>
          <w:p w14:paraId="5B7B4C49"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4.300</w:t>
            </w:r>
          </w:p>
        </w:tc>
        <w:tc>
          <w:tcPr>
            <w:tcW w:w="1066" w:type="dxa"/>
            <w:tcBorders>
              <w:top w:val="nil"/>
              <w:bottom w:val="nil"/>
            </w:tcBorders>
            <w:vAlign w:val="center"/>
            <w:hideMark/>
          </w:tcPr>
          <w:p w14:paraId="242A7083"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4.350</w:t>
            </w:r>
          </w:p>
        </w:tc>
      </w:tr>
      <w:tr w:rsidR="00EE405C" w:rsidRPr="00372745" w14:paraId="09575E1D" w14:textId="77777777" w:rsidTr="00BF6CBB">
        <w:trPr>
          <w:cantSplit/>
          <w:jc w:val="center"/>
        </w:trPr>
        <w:tc>
          <w:tcPr>
            <w:tcW w:w="6017" w:type="dxa"/>
            <w:tcBorders>
              <w:top w:val="nil"/>
              <w:bottom w:val="nil"/>
            </w:tcBorders>
            <w:vAlign w:val="center"/>
            <w:hideMark/>
          </w:tcPr>
          <w:p w14:paraId="119B533B" w14:textId="7D2323EE" w:rsidR="00EE405C" w:rsidRPr="00372745" w:rsidRDefault="00EE405C" w:rsidP="00450A3E">
            <w:pPr>
              <w:spacing w:after="0" w:line="240" w:lineRule="auto"/>
              <w:jc w:val="left"/>
              <w:rPr>
                <w:rFonts w:cs="Arial"/>
                <w:i/>
                <w:iCs/>
                <w:sz w:val="16"/>
                <w:szCs w:val="16"/>
              </w:rPr>
            </w:pPr>
            <w:r w:rsidRPr="00372745">
              <w:rPr>
                <w:rFonts w:cs="Arial"/>
                <w:i/>
                <w:iCs/>
                <w:sz w:val="16"/>
                <w:szCs w:val="16"/>
              </w:rPr>
              <w:t>Τ</w:t>
            </w:r>
            <w:r w:rsidR="00D4411E">
              <w:rPr>
                <w:rFonts w:cs="Arial"/>
                <w:i/>
                <w:iCs/>
                <w:sz w:val="16"/>
                <w:szCs w:val="16"/>
              </w:rPr>
              <w:t>ΑΑ</w:t>
            </w:r>
            <w:r w:rsidRPr="00606317">
              <w:rPr>
                <w:rFonts w:cs="Arial"/>
                <w:i/>
                <w:iCs/>
                <w:sz w:val="16"/>
                <w:szCs w:val="16"/>
                <w:vertAlign w:val="superscript"/>
              </w:rPr>
              <w:t>2</w:t>
            </w:r>
          </w:p>
        </w:tc>
        <w:tc>
          <w:tcPr>
            <w:tcW w:w="1068" w:type="dxa"/>
            <w:tcBorders>
              <w:top w:val="nil"/>
              <w:bottom w:val="nil"/>
            </w:tcBorders>
            <w:vAlign w:val="center"/>
            <w:hideMark/>
          </w:tcPr>
          <w:p w14:paraId="0ED4C3D2"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3.145</w:t>
            </w:r>
          </w:p>
        </w:tc>
        <w:tc>
          <w:tcPr>
            <w:tcW w:w="1177" w:type="dxa"/>
            <w:tcBorders>
              <w:top w:val="nil"/>
              <w:bottom w:val="nil"/>
            </w:tcBorders>
            <w:vAlign w:val="center"/>
            <w:hideMark/>
          </w:tcPr>
          <w:p w14:paraId="13690A69"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4.237</w:t>
            </w:r>
          </w:p>
        </w:tc>
        <w:tc>
          <w:tcPr>
            <w:tcW w:w="1066" w:type="dxa"/>
            <w:tcBorders>
              <w:top w:val="nil"/>
              <w:bottom w:val="nil"/>
            </w:tcBorders>
            <w:vAlign w:val="center"/>
            <w:hideMark/>
          </w:tcPr>
          <w:p w14:paraId="3FC11DAF"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4.293</w:t>
            </w:r>
          </w:p>
        </w:tc>
        <w:tc>
          <w:tcPr>
            <w:tcW w:w="1066" w:type="dxa"/>
            <w:tcBorders>
              <w:top w:val="nil"/>
              <w:bottom w:val="nil"/>
            </w:tcBorders>
            <w:vAlign w:val="center"/>
            <w:hideMark/>
          </w:tcPr>
          <w:p w14:paraId="6E9C9D9C"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5.950</w:t>
            </w:r>
          </w:p>
        </w:tc>
      </w:tr>
      <w:tr w:rsidR="00EE405C" w:rsidRPr="00372745" w14:paraId="367AEDE6" w14:textId="77777777" w:rsidTr="00BF6CBB">
        <w:trPr>
          <w:cantSplit/>
          <w:trHeight w:val="227"/>
          <w:jc w:val="center"/>
        </w:trPr>
        <w:tc>
          <w:tcPr>
            <w:tcW w:w="6017" w:type="dxa"/>
            <w:tcBorders>
              <w:top w:val="nil"/>
              <w:bottom w:val="nil"/>
            </w:tcBorders>
            <w:shd w:val="clear" w:color="auto" w:fill="D5DCE4"/>
            <w:vAlign w:val="center"/>
            <w:hideMark/>
          </w:tcPr>
          <w:p w14:paraId="65E26F1A" w14:textId="256DF280" w:rsidR="00EE405C" w:rsidRPr="00372745" w:rsidRDefault="00EE405C" w:rsidP="00450A3E">
            <w:pPr>
              <w:spacing w:after="0" w:line="240" w:lineRule="auto"/>
              <w:jc w:val="left"/>
              <w:rPr>
                <w:rFonts w:cs="Arial"/>
                <w:b/>
                <w:bCs/>
                <w:sz w:val="16"/>
                <w:szCs w:val="16"/>
              </w:rPr>
            </w:pPr>
            <w:r w:rsidRPr="00372745">
              <w:rPr>
                <w:rFonts w:cs="Arial"/>
                <w:b/>
                <w:bCs/>
                <w:sz w:val="16"/>
                <w:szCs w:val="16"/>
              </w:rPr>
              <w:t>II. Δαπάνες κρατικού προϋπολογισμού κατά ESA</w:t>
            </w:r>
            <w:r w:rsidR="00BC1535" w:rsidRPr="00606317">
              <w:rPr>
                <w:rFonts w:cs="Arial"/>
                <w:b/>
                <w:bCs/>
                <w:sz w:val="16"/>
                <w:szCs w:val="16"/>
                <w:vertAlign w:val="superscript"/>
              </w:rPr>
              <w:t>3</w:t>
            </w:r>
            <w:r w:rsidRPr="00372745">
              <w:rPr>
                <w:rFonts w:cs="Arial"/>
                <w:b/>
                <w:bCs/>
                <w:sz w:val="16"/>
                <w:szCs w:val="16"/>
              </w:rPr>
              <w:t xml:space="preserve"> (α+β+γ+δ+ε+στ+ζ+η+θ+ι)</w:t>
            </w:r>
          </w:p>
        </w:tc>
        <w:tc>
          <w:tcPr>
            <w:tcW w:w="1068" w:type="dxa"/>
            <w:tcBorders>
              <w:top w:val="nil"/>
              <w:bottom w:val="nil"/>
            </w:tcBorders>
            <w:shd w:val="clear" w:color="auto" w:fill="D5DCE4"/>
            <w:vAlign w:val="center"/>
            <w:hideMark/>
          </w:tcPr>
          <w:p w14:paraId="3ACD2312"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74.931</w:t>
            </w:r>
          </w:p>
        </w:tc>
        <w:tc>
          <w:tcPr>
            <w:tcW w:w="1177" w:type="dxa"/>
            <w:tcBorders>
              <w:top w:val="nil"/>
              <w:bottom w:val="nil"/>
            </w:tcBorders>
            <w:shd w:val="clear" w:color="auto" w:fill="D5DCE4"/>
            <w:vAlign w:val="center"/>
            <w:hideMark/>
          </w:tcPr>
          <w:p w14:paraId="6AC72F38"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80.502</w:t>
            </w:r>
          </w:p>
        </w:tc>
        <w:tc>
          <w:tcPr>
            <w:tcW w:w="1066" w:type="dxa"/>
            <w:tcBorders>
              <w:top w:val="nil"/>
              <w:bottom w:val="nil"/>
            </w:tcBorders>
            <w:shd w:val="clear" w:color="auto" w:fill="D5DCE4"/>
            <w:vAlign w:val="center"/>
            <w:hideMark/>
          </w:tcPr>
          <w:p w14:paraId="766B74B2"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81.456</w:t>
            </w:r>
          </w:p>
        </w:tc>
        <w:tc>
          <w:tcPr>
            <w:tcW w:w="1066" w:type="dxa"/>
            <w:tcBorders>
              <w:top w:val="nil"/>
              <w:bottom w:val="nil"/>
            </w:tcBorders>
            <w:shd w:val="clear" w:color="auto" w:fill="D5DCE4"/>
            <w:vAlign w:val="center"/>
            <w:hideMark/>
          </w:tcPr>
          <w:p w14:paraId="1368CC86"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86.529</w:t>
            </w:r>
          </w:p>
        </w:tc>
      </w:tr>
      <w:tr w:rsidR="00EE405C" w:rsidRPr="00372745" w14:paraId="40857B3C" w14:textId="77777777" w:rsidTr="00BF6CBB">
        <w:trPr>
          <w:cantSplit/>
          <w:jc w:val="center"/>
        </w:trPr>
        <w:tc>
          <w:tcPr>
            <w:tcW w:w="6017" w:type="dxa"/>
            <w:tcBorders>
              <w:top w:val="nil"/>
              <w:bottom w:val="nil"/>
            </w:tcBorders>
            <w:vAlign w:val="center"/>
            <w:hideMark/>
          </w:tcPr>
          <w:p w14:paraId="25055365" w14:textId="76943752"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α.</w:t>
            </w:r>
            <w:r w:rsidR="00F0663E">
              <w:rPr>
                <w:rFonts w:cs="Arial"/>
                <w:b/>
                <w:bCs/>
                <w:sz w:val="16"/>
                <w:szCs w:val="16"/>
              </w:rPr>
              <w:tab/>
            </w:r>
            <w:r w:rsidRPr="00372745">
              <w:rPr>
                <w:rFonts w:cs="Arial"/>
                <w:b/>
                <w:bCs/>
                <w:sz w:val="16"/>
                <w:szCs w:val="16"/>
              </w:rPr>
              <w:t xml:space="preserve">Παροχές σε </w:t>
            </w:r>
            <w:r w:rsidR="004530F4">
              <w:rPr>
                <w:rFonts w:cs="Arial"/>
                <w:b/>
                <w:bCs/>
                <w:sz w:val="16"/>
                <w:szCs w:val="16"/>
              </w:rPr>
              <w:t>ε</w:t>
            </w:r>
            <w:r w:rsidRPr="00372745">
              <w:rPr>
                <w:rFonts w:cs="Arial"/>
                <w:b/>
                <w:bCs/>
                <w:sz w:val="16"/>
                <w:szCs w:val="16"/>
              </w:rPr>
              <w:t>ργαζόμενους</w:t>
            </w:r>
          </w:p>
        </w:tc>
        <w:tc>
          <w:tcPr>
            <w:tcW w:w="1068" w:type="dxa"/>
            <w:tcBorders>
              <w:top w:val="nil"/>
              <w:bottom w:val="nil"/>
            </w:tcBorders>
            <w:vAlign w:val="center"/>
            <w:hideMark/>
          </w:tcPr>
          <w:p w14:paraId="585CFE1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14.869</w:t>
            </w:r>
          </w:p>
        </w:tc>
        <w:tc>
          <w:tcPr>
            <w:tcW w:w="1177" w:type="dxa"/>
            <w:tcBorders>
              <w:top w:val="nil"/>
              <w:bottom w:val="nil"/>
            </w:tcBorders>
            <w:vAlign w:val="center"/>
            <w:hideMark/>
          </w:tcPr>
          <w:p w14:paraId="028BAABF"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14.790</w:t>
            </w:r>
          </w:p>
        </w:tc>
        <w:tc>
          <w:tcPr>
            <w:tcW w:w="1066" w:type="dxa"/>
            <w:tcBorders>
              <w:top w:val="nil"/>
              <w:bottom w:val="nil"/>
            </w:tcBorders>
            <w:vAlign w:val="center"/>
            <w:hideMark/>
          </w:tcPr>
          <w:p w14:paraId="4322095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15.285</w:t>
            </w:r>
          </w:p>
        </w:tc>
        <w:tc>
          <w:tcPr>
            <w:tcW w:w="1066" w:type="dxa"/>
            <w:tcBorders>
              <w:top w:val="nil"/>
              <w:bottom w:val="nil"/>
            </w:tcBorders>
            <w:vAlign w:val="center"/>
            <w:hideMark/>
          </w:tcPr>
          <w:p w14:paraId="0BCC87E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15.253</w:t>
            </w:r>
          </w:p>
        </w:tc>
      </w:tr>
      <w:tr w:rsidR="00EE405C" w:rsidRPr="00372745" w14:paraId="5DE98DF7" w14:textId="77777777" w:rsidTr="00BF6CBB">
        <w:trPr>
          <w:cantSplit/>
          <w:trHeight w:val="181"/>
          <w:jc w:val="center"/>
        </w:trPr>
        <w:tc>
          <w:tcPr>
            <w:tcW w:w="6017" w:type="dxa"/>
            <w:tcBorders>
              <w:top w:val="nil"/>
              <w:bottom w:val="nil"/>
            </w:tcBorders>
            <w:vAlign w:val="center"/>
            <w:hideMark/>
          </w:tcPr>
          <w:p w14:paraId="5BD584FC" w14:textId="445234AC"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β.</w:t>
            </w:r>
            <w:r w:rsidR="00F0663E">
              <w:rPr>
                <w:rFonts w:cs="Arial"/>
                <w:b/>
                <w:bCs/>
                <w:sz w:val="16"/>
                <w:szCs w:val="16"/>
              </w:rPr>
              <w:tab/>
            </w:r>
            <w:r w:rsidRPr="00372745">
              <w:rPr>
                <w:rFonts w:cs="Arial"/>
                <w:b/>
                <w:bCs/>
                <w:sz w:val="16"/>
                <w:szCs w:val="16"/>
              </w:rPr>
              <w:t xml:space="preserve">Κοινωνικές </w:t>
            </w:r>
            <w:r w:rsidR="004530F4">
              <w:rPr>
                <w:rFonts w:cs="Arial"/>
                <w:b/>
                <w:bCs/>
                <w:sz w:val="16"/>
                <w:szCs w:val="16"/>
              </w:rPr>
              <w:t>π</w:t>
            </w:r>
            <w:r w:rsidRPr="00372745">
              <w:rPr>
                <w:rFonts w:cs="Arial"/>
                <w:b/>
                <w:bCs/>
                <w:sz w:val="16"/>
                <w:szCs w:val="16"/>
              </w:rPr>
              <w:t>αροχές</w:t>
            </w:r>
          </w:p>
        </w:tc>
        <w:tc>
          <w:tcPr>
            <w:tcW w:w="1068" w:type="dxa"/>
            <w:tcBorders>
              <w:top w:val="nil"/>
              <w:bottom w:val="nil"/>
            </w:tcBorders>
            <w:vAlign w:val="center"/>
            <w:hideMark/>
          </w:tcPr>
          <w:p w14:paraId="295BAFBC"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340</w:t>
            </w:r>
          </w:p>
        </w:tc>
        <w:tc>
          <w:tcPr>
            <w:tcW w:w="1177" w:type="dxa"/>
            <w:tcBorders>
              <w:top w:val="nil"/>
              <w:bottom w:val="nil"/>
            </w:tcBorders>
            <w:vAlign w:val="center"/>
            <w:hideMark/>
          </w:tcPr>
          <w:p w14:paraId="3D71804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425</w:t>
            </w:r>
          </w:p>
        </w:tc>
        <w:tc>
          <w:tcPr>
            <w:tcW w:w="1066" w:type="dxa"/>
            <w:tcBorders>
              <w:top w:val="nil"/>
              <w:bottom w:val="nil"/>
            </w:tcBorders>
            <w:vAlign w:val="center"/>
            <w:hideMark/>
          </w:tcPr>
          <w:p w14:paraId="4652505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566</w:t>
            </w:r>
          </w:p>
        </w:tc>
        <w:tc>
          <w:tcPr>
            <w:tcW w:w="1066" w:type="dxa"/>
            <w:tcBorders>
              <w:top w:val="nil"/>
              <w:bottom w:val="nil"/>
            </w:tcBorders>
            <w:vAlign w:val="center"/>
            <w:hideMark/>
          </w:tcPr>
          <w:p w14:paraId="5EE04CA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642</w:t>
            </w:r>
          </w:p>
        </w:tc>
      </w:tr>
      <w:tr w:rsidR="00EE405C" w:rsidRPr="00372745" w14:paraId="5A36B4EE" w14:textId="77777777" w:rsidTr="00BF6CBB">
        <w:trPr>
          <w:cantSplit/>
          <w:jc w:val="center"/>
        </w:trPr>
        <w:tc>
          <w:tcPr>
            <w:tcW w:w="6017" w:type="dxa"/>
            <w:tcBorders>
              <w:top w:val="nil"/>
              <w:bottom w:val="nil"/>
            </w:tcBorders>
            <w:vAlign w:val="center"/>
            <w:hideMark/>
          </w:tcPr>
          <w:p w14:paraId="63F81AC3" w14:textId="1DC8E213"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γ.</w:t>
            </w:r>
            <w:r w:rsidR="00F0663E">
              <w:rPr>
                <w:rFonts w:cs="Arial"/>
                <w:b/>
                <w:bCs/>
                <w:sz w:val="16"/>
                <w:szCs w:val="16"/>
              </w:rPr>
              <w:tab/>
            </w:r>
            <w:r w:rsidRPr="00372745">
              <w:rPr>
                <w:rFonts w:cs="Arial"/>
                <w:b/>
                <w:bCs/>
                <w:sz w:val="16"/>
                <w:szCs w:val="16"/>
              </w:rPr>
              <w:t>Μεταβιβάσεις</w:t>
            </w:r>
          </w:p>
        </w:tc>
        <w:tc>
          <w:tcPr>
            <w:tcW w:w="1068" w:type="dxa"/>
            <w:tcBorders>
              <w:top w:val="nil"/>
              <w:bottom w:val="nil"/>
            </w:tcBorders>
            <w:vAlign w:val="center"/>
            <w:hideMark/>
          </w:tcPr>
          <w:p w14:paraId="4027A978"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32.319</w:t>
            </w:r>
          </w:p>
        </w:tc>
        <w:tc>
          <w:tcPr>
            <w:tcW w:w="1177" w:type="dxa"/>
            <w:tcBorders>
              <w:top w:val="nil"/>
              <w:bottom w:val="nil"/>
            </w:tcBorders>
            <w:vAlign w:val="center"/>
            <w:hideMark/>
          </w:tcPr>
          <w:p w14:paraId="4C9D3962"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34.436</w:t>
            </w:r>
          </w:p>
        </w:tc>
        <w:tc>
          <w:tcPr>
            <w:tcW w:w="1066" w:type="dxa"/>
            <w:tcBorders>
              <w:top w:val="nil"/>
              <w:bottom w:val="nil"/>
            </w:tcBorders>
            <w:vAlign w:val="center"/>
            <w:hideMark/>
          </w:tcPr>
          <w:p w14:paraId="46AF47C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34.664</w:t>
            </w:r>
          </w:p>
        </w:tc>
        <w:tc>
          <w:tcPr>
            <w:tcW w:w="1066" w:type="dxa"/>
            <w:tcBorders>
              <w:top w:val="nil"/>
              <w:bottom w:val="nil"/>
            </w:tcBorders>
            <w:vAlign w:val="center"/>
            <w:hideMark/>
          </w:tcPr>
          <w:p w14:paraId="4D62968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35.086</w:t>
            </w:r>
          </w:p>
        </w:tc>
      </w:tr>
      <w:tr w:rsidR="00EE405C" w:rsidRPr="00372745" w14:paraId="089B55F7" w14:textId="77777777" w:rsidTr="00BF6CBB">
        <w:trPr>
          <w:cantSplit/>
          <w:jc w:val="center"/>
        </w:trPr>
        <w:tc>
          <w:tcPr>
            <w:tcW w:w="6017" w:type="dxa"/>
            <w:tcBorders>
              <w:top w:val="nil"/>
              <w:bottom w:val="nil"/>
            </w:tcBorders>
            <w:vAlign w:val="center"/>
            <w:hideMark/>
          </w:tcPr>
          <w:p w14:paraId="7FC7E526" w14:textId="3E95B67D"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δ.</w:t>
            </w:r>
            <w:r w:rsidR="00F0663E">
              <w:rPr>
                <w:rFonts w:cs="Arial"/>
                <w:b/>
                <w:bCs/>
                <w:sz w:val="16"/>
                <w:szCs w:val="16"/>
              </w:rPr>
              <w:tab/>
            </w:r>
            <w:r w:rsidRPr="00372745">
              <w:rPr>
                <w:rFonts w:cs="Arial"/>
                <w:b/>
                <w:bCs/>
                <w:sz w:val="16"/>
                <w:szCs w:val="16"/>
              </w:rPr>
              <w:t>Αγορές αγαθών και υπηρεσιών</w:t>
            </w:r>
          </w:p>
        </w:tc>
        <w:tc>
          <w:tcPr>
            <w:tcW w:w="1068" w:type="dxa"/>
            <w:tcBorders>
              <w:top w:val="nil"/>
              <w:bottom w:val="nil"/>
            </w:tcBorders>
            <w:vAlign w:val="center"/>
            <w:hideMark/>
          </w:tcPr>
          <w:p w14:paraId="32AEE914"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2.192</w:t>
            </w:r>
          </w:p>
        </w:tc>
        <w:tc>
          <w:tcPr>
            <w:tcW w:w="1177" w:type="dxa"/>
            <w:tcBorders>
              <w:top w:val="nil"/>
              <w:bottom w:val="nil"/>
            </w:tcBorders>
            <w:vAlign w:val="center"/>
            <w:hideMark/>
          </w:tcPr>
          <w:p w14:paraId="7B306AE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1.910</w:t>
            </w:r>
          </w:p>
        </w:tc>
        <w:tc>
          <w:tcPr>
            <w:tcW w:w="1066" w:type="dxa"/>
            <w:tcBorders>
              <w:top w:val="nil"/>
              <w:bottom w:val="nil"/>
            </w:tcBorders>
            <w:vAlign w:val="center"/>
            <w:hideMark/>
          </w:tcPr>
          <w:p w14:paraId="0B82C49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2.281</w:t>
            </w:r>
          </w:p>
        </w:tc>
        <w:tc>
          <w:tcPr>
            <w:tcW w:w="1066" w:type="dxa"/>
            <w:tcBorders>
              <w:top w:val="nil"/>
              <w:bottom w:val="nil"/>
            </w:tcBorders>
            <w:vAlign w:val="center"/>
            <w:hideMark/>
          </w:tcPr>
          <w:p w14:paraId="32BC9B3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2.022</w:t>
            </w:r>
          </w:p>
        </w:tc>
      </w:tr>
      <w:tr w:rsidR="00EE405C" w:rsidRPr="00372745" w14:paraId="5C67D000" w14:textId="77777777" w:rsidTr="00BF6CBB">
        <w:trPr>
          <w:cantSplit/>
          <w:jc w:val="center"/>
        </w:trPr>
        <w:tc>
          <w:tcPr>
            <w:tcW w:w="6017" w:type="dxa"/>
            <w:tcBorders>
              <w:top w:val="nil"/>
              <w:bottom w:val="nil"/>
            </w:tcBorders>
            <w:vAlign w:val="center"/>
            <w:hideMark/>
          </w:tcPr>
          <w:p w14:paraId="4A3D950F" w14:textId="1086AD1C"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ε.</w:t>
            </w:r>
            <w:r w:rsidR="00F0663E">
              <w:rPr>
                <w:rFonts w:cs="Arial"/>
                <w:b/>
                <w:bCs/>
                <w:sz w:val="16"/>
                <w:szCs w:val="16"/>
              </w:rPr>
              <w:tab/>
            </w:r>
            <w:r w:rsidRPr="00372745">
              <w:rPr>
                <w:rFonts w:cs="Arial"/>
                <w:b/>
                <w:bCs/>
                <w:sz w:val="16"/>
                <w:szCs w:val="16"/>
              </w:rPr>
              <w:t>Επιδοτήσεις</w:t>
            </w:r>
          </w:p>
        </w:tc>
        <w:tc>
          <w:tcPr>
            <w:tcW w:w="1068" w:type="dxa"/>
            <w:tcBorders>
              <w:top w:val="nil"/>
              <w:bottom w:val="nil"/>
            </w:tcBorders>
            <w:vAlign w:val="center"/>
            <w:hideMark/>
          </w:tcPr>
          <w:p w14:paraId="378C405C"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73</w:t>
            </w:r>
          </w:p>
        </w:tc>
        <w:tc>
          <w:tcPr>
            <w:tcW w:w="1177" w:type="dxa"/>
            <w:tcBorders>
              <w:top w:val="nil"/>
              <w:bottom w:val="nil"/>
            </w:tcBorders>
            <w:vAlign w:val="center"/>
            <w:hideMark/>
          </w:tcPr>
          <w:p w14:paraId="1A8DD01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81</w:t>
            </w:r>
          </w:p>
        </w:tc>
        <w:tc>
          <w:tcPr>
            <w:tcW w:w="1066" w:type="dxa"/>
            <w:tcBorders>
              <w:top w:val="nil"/>
              <w:bottom w:val="nil"/>
            </w:tcBorders>
            <w:vAlign w:val="center"/>
            <w:hideMark/>
          </w:tcPr>
          <w:p w14:paraId="4D74741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78</w:t>
            </w:r>
          </w:p>
        </w:tc>
        <w:tc>
          <w:tcPr>
            <w:tcW w:w="1066" w:type="dxa"/>
            <w:tcBorders>
              <w:top w:val="nil"/>
              <w:bottom w:val="nil"/>
            </w:tcBorders>
            <w:vAlign w:val="center"/>
            <w:hideMark/>
          </w:tcPr>
          <w:p w14:paraId="07978F79"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80</w:t>
            </w:r>
          </w:p>
        </w:tc>
      </w:tr>
      <w:tr w:rsidR="00EE405C" w:rsidRPr="00372745" w14:paraId="29AA9AB0" w14:textId="77777777" w:rsidTr="00BF6CBB">
        <w:trPr>
          <w:cantSplit/>
          <w:jc w:val="center"/>
        </w:trPr>
        <w:tc>
          <w:tcPr>
            <w:tcW w:w="6017" w:type="dxa"/>
            <w:tcBorders>
              <w:top w:val="nil"/>
              <w:bottom w:val="nil"/>
            </w:tcBorders>
            <w:vAlign w:val="center"/>
            <w:hideMark/>
          </w:tcPr>
          <w:p w14:paraId="15A36EF0" w14:textId="138E61D6"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στ.</w:t>
            </w:r>
            <w:r w:rsidR="00F0663E">
              <w:rPr>
                <w:rFonts w:cs="Arial"/>
                <w:b/>
                <w:bCs/>
                <w:sz w:val="16"/>
                <w:szCs w:val="16"/>
              </w:rPr>
              <w:tab/>
            </w:r>
            <w:r w:rsidRPr="00372745">
              <w:rPr>
                <w:rFonts w:cs="Arial"/>
                <w:b/>
                <w:bCs/>
                <w:sz w:val="16"/>
                <w:szCs w:val="16"/>
              </w:rPr>
              <w:t>Τόκοι</w:t>
            </w:r>
          </w:p>
        </w:tc>
        <w:tc>
          <w:tcPr>
            <w:tcW w:w="1068" w:type="dxa"/>
            <w:tcBorders>
              <w:top w:val="nil"/>
              <w:bottom w:val="nil"/>
            </w:tcBorders>
            <w:vAlign w:val="center"/>
            <w:hideMark/>
          </w:tcPr>
          <w:p w14:paraId="39E3A5FC"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10.203</w:t>
            </w:r>
          </w:p>
        </w:tc>
        <w:tc>
          <w:tcPr>
            <w:tcW w:w="1177" w:type="dxa"/>
            <w:tcBorders>
              <w:top w:val="nil"/>
              <w:bottom w:val="nil"/>
            </w:tcBorders>
            <w:vAlign w:val="center"/>
            <w:hideMark/>
          </w:tcPr>
          <w:p w14:paraId="6D63823F"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9.400</w:t>
            </w:r>
          </w:p>
        </w:tc>
        <w:tc>
          <w:tcPr>
            <w:tcW w:w="1066" w:type="dxa"/>
            <w:tcBorders>
              <w:top w:val="nil"/>
              <w:bottom w:val="nil"/>
            </w:tcBorders>
            <w:vAlign w:val="center"/>
            <w:hideMark/>
          </w:tcPr>
          <w:p w14:paraId="1D88929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9.841</w:t>
            </w:r>
          </w:p>
        </w:tc>
        <w:tc>
          <w:tcPr>
            <w:tcW w:w="1066" w:type="dxa"/>
            <w:tcBorders>
              <w:top w:val="nil"/>
              <w:bottom w:val="nil"/>
            </w:tcBorders>
            <w:vAlign w:val="center"/>
            <w:hideMark/>
          </w:tcPr>
          <w:p w14:paraId="1B6C6D52"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9.746</w:t>
            </w:r>
          </w:p>
        </w:tc>
      </w:tr>
      <w:tr w:rsidR="00EE405C" w:rsidRPr="00372745" w14:paraId="76AF3DFF" w14:textId="77777777" w:rsidTr="00BF6CBB">
        <w:trPr>
          <w:cantSplit/>
          <w:jc w:val="center"/>
        </w:trPr>
        <w:tc>
          <w:tcPr>
            <w:tcW w:w="6017" w:type="dxa"/>
            <w:tcBorders>
              <w:top w:val="nil"/>
              <w:bottom w:val="nil"/>
            </w:tcBorders>
            <w:vAlign w:val="center"/>
            <w:hideMark/>
          </w:tcPr>
          <w:p w14:paraId="10FD18BF" w14:textId="55CA4A92"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ζ.</w:t>
            </w:r>
            <w:r w:rsidR="00F0663E">
              <w:rPr>
                <w:rFonts w:cs="Arial"/>
                <w:b/>
                <w:bCs/>
                <w:sz w:val="16"/>
                <w:szCs w:val="16"/>
              </w:rPr>
              <w:tab/>
            </w:r>
            <w:r w:rsidRPr="00372745">
              <w:rPr>
                <w:rFonts w:cs="Arial"/>
                <w:b/>
                <w:bCs/>
                <w:sz w:val="16"/>
                <w:szCs w:val="16"/>
              </w:rPr>
              <w:t xml:space="preserve">Λοιπές </w:t>
            </w:r>
            <w:r w:rsidR="004530F4">
              <w:rPr>
                <w:rFonts w:cs="Arial"/>
                <w:b/>
                <w:bCs/>
                <w:sz w:val="16"/>
                <w:szCs w:val="16"/>
              </w:rPr>
              <w:t>δ</w:t>
            </w:r>
            <w:r w:rsidRPr="00372745">
              <w:rPr>
                <w:rFonts w:cs="Arial"/>
                <w:b/>
                <w:bCs/>
                <w:sz w:val="16"/>
                <w:szCs w:val="16"/>
              </w:rPr>
              <w:t>απάνες</w:t>
            </w:r>
          </w:p>
        </w:tc>
        <w:tc>
          <w:tcPr>
            <w:tcW w:w="1068" w:type="dxa"/>
            <w:tcBorders>
              <w:top w:val="nil"/>
              <w:bottom w:val="nil"/>
            </w:tcBorders>
            <w:vAlign w:val="center"/>
            <w:hideMark/>
          </w:tcPr>
          <w:p w14:paraId="58AB23D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117</w:t>
            </w:r>
          </w:p>
        </w:tc>
        <w:tc>
          <w:tcPr>
            <w:tcW w:w="1177" w:type="dxa"/>
            <w:tcBorders>
              <w:top w:val="nil"/>
              <w:bottom w:val="nil"/>
            </w:tcBorders>
            <w:vAlign w:val="center"/>
            <w:hideMark/>
          </w:tcPr>
          <w:p w14:paraId="3889C6E4"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102</w:t>
            </w:r>
          </w:p>
        </w:tc>
        <w:tc>
          <w:tcPr>
            <w:tcW w:w="1066" w:type="dxa"/>
            <w:tcBorders>
              <w:top w:val="nil"/>
              <w:bottom w:val="nil"/>
            </w:tcBorders>
            <w:vAlign w:val="center"/>
            <w:hideMark/>
          </w:tcPr>
          <w:p w14:paraId="189FFAFD"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121</w:t>
            </w:r>
          </w:p>
        </w:tc>
        <w:tc>
          <w:tcPr>
            <w:tcW w:w="1066" w:type="dxa"/>
            <w:tcBorders>
              <w:top w:val="nil"/>
              <w:bottom w:val="nil"/>
            </w:tcBorders>
            <w:vAlign w:val="center"/>
            <w:hideMark/>
          </w:tcPr>
          <w:p w14:paraId="4C6C6D7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101</w:t>
            </w:r>
          </w:p>
        </w:tc>
      </w:tr>
      <w:tr w:rsidR="00EE405C" w:rsidRPr="00372745" w14:paraId="08BE24E6" w14:textId="77777777" w:rsidTr="00BF6CBB">
        <w:trPr>
          <w:cantSplit/>
          <w:jc w:val="center"/>
        </w:trPr>
        <w:tc>
          <w:tcPr>
            <w:tcW w:w="6017" w:type="dxa"/>
            <w:tcBorders>
              <w:top w:val="nil"/>
              <w:bottom w:val="nil"/>
            </w:tcBorders>
            <w:vAlign w:val="center"/>
            <w:hideMark/>
          </w:tcPr>
          <w:p w14:paraId="3BEA5773" w14:textId="6C1F9F16"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η.</w:t>
            </w:r>
            <w:r w:rsidR="00F0663E">
              <w:rPr>
                <w:rFonts w:cs="Arial"/>
                <w:b/>
                <w:bCs/>
                <w:sz w:val="16"/>
                <w:szCs w:val="16"/>
              </w:rPr>
              <w:tab/>
            </w:r>
            <w:r w:rsidRPr="00372745">
              <w:rPr>
                <w:rFonts w:cs="Arial"/>
                <w:b/>
                <w:bCs/>
                <w:sz w:val="16"/>
                <w:szCs w:val="16"/>
              </w:rPr>
              <w:t>Πιστώσεις υπό κατανομή</w:t>
            </w:r>
          </w:p>
        </w:tc>
        <w:tc>
          <w:tcPr>
            <w:tcW w:w="1068" w:type="dxa"/>
            <w:tcBorders>
              <w:top w:val="nil"/>
              <w:bottom w:val="nil"/>
            </w:tcBorders>
            <w:vAlign w:val="center"/>
            <w:hideMark/>
          </w:tcPr>
          <w:p w14:paraId="28299B5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13.437</w:t>
            </w:r>
          </w:p>
        </w:tc>
        <w:tc>
          <w:tcPr>
            <w:tcW w:w="1177" w:type="dxa"/>
            <w:tcBorders>
              <w:top w:val="nil"/>
              <w:bottom w:val="nil"/>
            </w:tcBorders>
            <w:vAlign w:val="center"/>
            <w:hideMark/>
          </w:tcPr>
          <w:p w14:paraId="5F3913CC"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17.602</w:t>
            </w:r>
          </w:p>
        </w:tc>
        <w:tc>
          <w:tcPr>
            <w:tcW w:w="1066" w:type="dxa"/>
            <w:tcBorders>
              <w:top w:val="nil"/>
              <w:bottom w:val="nil"/>
            </w:tcBorders>
            <w:vAlign w:val="center"/>
            <w:hideMark/>
          </w:tcPr>
          <w:p w14:paraId="2BB965F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16.740</w:t>
            </w:r>
          </w:p>
        </w:tc>
        <w:tc>
          <w:tcPr>
            <w:tcW w:w="1066" w:type="dxa"/>
            <w:tcBorders>
              <w:top w:val="nil"/>
              <w:bottom w:val="nil"/>
            </w:tcBorders>
            <w:vAlign w:val="center"/>
            <w:hideMark/>
          </w:tcPr>
          <w:p w14:paraId="028A251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21.201</w:t>
            </w:r>
          </w:p>
        </w:tc>
      </w:tr>
      <w:tr w:rsidR="00EE405C" w:rsidRPr="00372745" w14:paraId="5EB91C45" w14:textId="77777777" w:rsidTr="00BF6CBB">
        <w:trPr>
          <w:cantSplit/>
          <w:jc w:val="center"/>
        </w:trPr>
        <w:tc>
          <w:tcPr>
            <w:tcW w:w="6017" w:type="dxa"/>
            <w:tcBorders>
              <w:top w:val="nil"/>
              <w:bottom w:val="nil"/>
            </w:tcBorders>
            <w:vAlign w:val="center"/>
            <w:hideMark/>
          </w:tcPr>
          <w:p w14:paraId="019A45DB" w14:textId="11B043CE"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θ.</w:t>
            </w:r>
            <w:r w:rsidR="00F0663E">
              <w:rPr>
                <w:rFonts w:cs="Arial"/>
                <w:b/>
                <w:bCs/>
                <w:sz w:val="16"/>
                <w:szCs w:val="16"/>
              </w:rPr>
              <w:tab/>
            </w:r>
            <w:r w:rsidRPr="00372745">
              <w:rPr>
                <w:rFonts w:cs="Arial"/>
                <w:b/>
                <w:bCs/>
                <w:sz w:val="16"/>
                <w:szCs w:val="16"/>
              </w:rPr>
              <w:t>Αγορές παγίων περιουσιακών στοιχείων</w:t>
            </w:r>
          </w:p>
        </w:tc>
        <w:tc>
          <w:tcPr>
            <w:tcW w:w="1068" w:type="dxa"/>
            <w:tcBorders>
              <w:top w:val="nil"/>
              <w:bottom w:val="nil"/>
            </w:tcBorders>
            <w:vAlign w:val="center"/>
            <w:hideMark/>
          </w:tcPr>
          <w:p w14:paraId="167692C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1.379</w:t>
            </w:r>
          </w:p>
        </w:tc>
        <w:tc>
          <w:tcPr>
            <w:tcW w:w="1177" w:type="dxa"/>
            <w:tcBorders>
              <w:top w:val="nil"/>
              <w:bottom w:val="nil"/>
            </w:tcBorders>
            <w:vAlign w:val="center"/>
            <w:hideMark/>
          </w:tcPr>
          <w:p w14:paraId="5DEAB28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1.757</w:t>
            </w:r>
          </w:p>
        </w:tc>
        <w:tc>
          <w:tcPr>
            <w:tcW w:w="1066" w:type="dxa"/>
            <w:tcBorders>
              <w:top w:val="nil"/>
              <w:bottom w:val="nil"/>
            </w:tcBorders>
            <w:vAlign w:val="center"/>
            <w:hideMark/>
          </w:tcPr>
          <w:p w14:paraId="0FCF73E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1.882</w:t>
            </w:r>
          </w:p>
        </w:tc>
        <w:tc>
          <w:tcPr>
            <w:tcW w:w="1066" w:type="dxa"/>
            <w:tcBorders>
              <w:top w:val="nil"/>
              <w:bottom w:val="nil"/>
            </w:tcBorders>
            <w:vAlign w:val="center"/>
            <w:hideMark/>
          </w:tcPr>
          <w:p w14:paraId="249E0F2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2.397</w:t>
            </w:r>
          </w:p>
        </w:tc>
      </w:tr>
      <w:tr w:rsidR="00EE405C" w:rsidRPr="00372745" w14:paraId="76B39359" w14:textId="77777777" w:rsidTr="00BF6CBB">
        <w:trPr>
          <w:cantSplit/>
          <w:jc w:val="center"/>
        </w:trPr>
        <w:tc>
          <w:tcPr>
            <w:tcW w:w="6017" w:type="dxa"/>
            <w:tcBorders>
              <w:top w:val="nil"/>
              <w:bottom w:val="nil"/>
            </w:tcBorders>
            <w:vAlign w:val="center"/>
            <w:hideMark/>
          </w:tcPr>
          <w:p w14:paraId="7E7E649F" w14:textId="21E0DE72" w:rsidR="00EE405C" w:rsidRPr="00372745" w:rsidRDefault="00EE405C" w:rsidP="00450A3E">
            <w:pPr>
              <w:tabs>
                <w:tab w:val="left" w:pos="284"/>
              </w:tabs>
              <w:spacing w:after="0" w:line="240" w:lineRule="auto"/>
              <w:jc w:val="left"/>
              <w:rPr>
                <w:rFonts w:cs="Arial"/>
                <w:b/>
                <w:bCs/>
                <w:sz w:val="16"/>
                <w:szCs w:val="16"/>
              </w:rPr>
            </w:pPr>
            <w:r w:rsidRPr="00372745">
              <w:rPr>
                <w:rFonts w:cs="Arial"/>
                <w:b/>
                <w:bCs/>
                <w:sz w:val="16"/>
                <w:szCs w:val="16"/>
              </w:rPr>
              <w:t>ι.</w:t>
            </w:r>
            <w:r w:rsidR="00F0663E">
              <w:rPr>
                <w:rFonts w:cs="Arial"/>
                <w:b/>
                <w:bCs/>
                <w:sz w:val="16"/>
                <w:szCs w:val="16"/>
              </w:rPr>
              <w:tab/>
            </w:r>
            <w:r w:rsidRPr="00372745">
              <w:rPr>
                <w:rFonts w:cs="Arial"/>
                <w:b/>
                <w:bCs/>
                <w:sz w:val="16"/>
                <w:szCs w:val="16"/>
              </w:rPr>
              <w:t>Τιμαλφή</w:t>
            </w:r>
          </w:p>
        </w:tc>
        <w:tc>
          <w:tcPr>
            <w:tcW w:w="1068" w:type="dxa"/>
            <w:tcBorders>
              <w:top w:val="nil"/>
              <w:bottom w:val="nil"/>
            </w:tcBorders>
            <w:vAlign w:val="center"/>
            <w:hideMark/>
          </w:tcPr>
          <w:p w14:paraId="51E714A2"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0</w:t>
            </w:r>
          </w:p>
        </w:tc>
        <w:tc>
          <w:tcPr>
            <w:tcW w:w="1177" w:type="dxa"/>
            <w:tcBorders>
              <w:top w:val="nil"/>
              <w:bottom w:val="nil"/>
            </w:tcBorders>
            <w:vAlign w:val="center"/>
            <w:hideMark/>
          </w:tcPr>
          <w:p w14:paraId="290F61D8"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0</w:t>
            </w:r>
          </w:p>
        </w:tc>
        <w:tc>
          <w:tcPr>
            <w:tcW w:w="1066" w:type="dxa"/>
            <w:tcBorders>
              <w:top w:val="nil"/>
              <w:bottom w:val="nil"/>
            </w:tcBorders>
            <w:vAlign w:val="center"/>
            <w:hideMark/>
          </w:tcPr>
          <w:p w14:paraId="4E2970E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0</w:t>
            </w:r>
          </w:p>
        </w:tc>
        <w:tc>
          <w:tcPr>
            <w:tcW w:w="1066" w:type="dxa"/>
            <w:tcBorders>
              <w:top w:val="nil"/>
              <w:bottom w:val="nil"/>
            </w:tcBorders>
            <w:vAlign w:val="center"/>
            <w:hideMark/>
          </w:tcPr>
          <w:p w14:paraId="26DC910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0</w:t>
            </w:r>
          </w:p>
        </w:tc>
      </w:tr>
      <w:tr w:rsidR="00EE405C" w:rsidRPr="00372745" w14:paraId="23DEDE4A" w14:textId="77777777" w:rsidTr="00BF6CBB">
        <w:trPr>
          <w:cantSplit/>
          <w:jc w:val="center"/>
        </w:trPr>
        <w:tc>
          <w:tcPr>
            <w:tcW w:w="6017" w:type="dxa"/>
            <w:tcBorders>
              <w:top w:val="nil"/>
              <w:bottom w:val="nil"/>
            </w:tcBorders>
            <w:vAlign w:val="center"/>
            <w:hideMark/>
          </w:tcPr>
          <w:p w14:paraId="176C66DA" w14:textId="77777777" w:rsidR="00EE405C" w:rsidRPr="00372745" w:rsidRDefault="00EE405C" w:rsidP="00040EDC">
            <w:pPr>
              <w:spacing w:before="60" w:after="0" w:line="240" w:lineRule="auto"/>
              <w:jc w:val="left"/>
              <w:rPr>
                <w:rFonts w:cs="Arial"/>
                <w:sz w:val="16"/>
                <w:szCs w:val="16"/>
              </w:rPr>
            </w:pPr>
            <w:r w:rsidRPr="00372745">
              <w:rPr>
                <w:rFonts w:cs="Arial"/>
                <w:sz w:val="16"/>
                <w:szCs w:val="16"/>
              </w:rPr>
              <w:t>Πληροφοριακά στοιχεία:</w:t>
            </w:r>
          </w:p>
        </w:tc>
        <w:tc>
          <w:tcPr>
            <w:tcW w:w="1068" w:type="dxa"/>
            <w:tcBorders>
              <w:top w:val="nil"/>
              <w:bottom w:val="nil"/>
            </w:tcBorders>
            <w:vAlign w:val="center"/>
            <w:hideMark/>
          </w:tcPr>
          <w:p w14:paraId="34B275D0" w14:textId="77777777" w:rsidR="00EE405C" w:rsidRPr="00372745" w:rsidRDefault="00EE405C" w:rsidP="00450A3E">
            <w:pPr>
              <w:spacing w:after="0" w:line="240" w:lineRule="auto"/>
              <w:jc w:val="right"/>
              <w:rPr>
                <w:rFonts w:cs="Arial"/>
                <w:sz w:val="16"/>
                <w:szCs w:val="16"/>
              </w:rPr>
            </w:pPr>
          </w:p>
        </w:tc>
        <w:tc>
          <w:tcPr>
            <w:tcW w:w="1177" w:type="dxa"/>
            <w:tcBorders>
              <w:top w:val="nil"/>
              <w:bottom w:val="nil"/>
            </w:tcBorders>
            <w:vAlign w:val="center"/>
            <w:hideMark/>
          </w:tcPr>
          <w:p w14:paraId="3D5E8461" w14:textId="77777777" w:rsidR="00EE405C" w:rsidRPr="00372745" w:rsidRDefault="00EE405C" w:rsidP="00450A3E">
            <w:pPr>
              <w:spacing w:after="0" w:line="240" w:lineRule="auto"/>
              <w:jc w:val="right"/>
              <w:rPr>
                <w:rFonts w:cs="Arial"/>
                <w:sz w:val="16"/>
                <w:szCs w:val="16"/>
              </w:rPr>
            </w:pPr>
          </w:p>
        </w:tc>
        <w:tc>
          <w:tcPr>
            <w:tcW w:w="1066" w:type="dxa"/>
            <w:tcBorders>
              <w:top w:val="nil"/>
              <w:bottom w:val="nil"/>
            </w:tcBorders>
            <w:vAlign w:val="center"/>
            <w:hideMark/>
          </w:tcPr>
          <w:p w14:paraId="6E095294" w14:textId="77777777" w:rsidR="00EE405C" w:rsidRPr="00372745" w:rsidRDefault="00EE405C" w:rsidP="00450A3E">
            <w:pPr>
              <w:spacing w:after="0" w:line="240" w:lineRule="auto"/>
              <w:jc w:val="right"/>
              <w:rPr>
                <w:rFonts w:cs="Arial"/>
                <w:sz w:val="16"/>
                <w:szCs w:val="16"/>
              </w:rPr>
            </w:pPr>
          </w:p>
        </w:tc>
        <w:tc>
          <w:tcPr>
            <w:tcW w:w="1066" w:type="dxa"/>
            <w:tcBorders>
              <w:top w:val="nil"/>
              <w:bottom w:val="nil"/>
            </w:tcBorders>
            <w:vAlign w:val="center"/>
            <w:hideMark/>
          </w:tcPr>
          <w:p w14:paraId="76B1F3B2" w14:textId="77777777" w:rsidR="00EE405C" w:rsidRPr="00372745" w:rsidRDefault="00EE405C" w:rsidP="00450A3E">
            <w:pPr>
              <w:spacing w:after="0" w:line="240" w:lineRule="auto"/>
              <w:jc w:val="right"/>
              <w:rPr>
                <w:rFonts w:cs="Arial"/>
                <w:sz w:val="16"/>
                <w:szCs w:val="16"/>
              </w:rPr>
            </w:pPr>
          </w:p>
        </w:tc>
      </w:tr>
      <w:tr w:rsidR="00EE405C" w:rsidRPr="00372745" w14:paraId="3E214F59" w14:textId="77777777" w:rsidTr="00BF6CBB">
        <w:trPr>
          <w:cantSplit/>
          <w:jc w:val="center"/>
        </w:trPr>
        <w:tc>
          <w:tcPr>
            <w:tcW w:w="6017" w:type="dxa"/>
            <w:tcBorders>
              <w:top w:val="nil"/>
              <w:bottom w:val="nil"/>
            </w:tcBorders>
            <w:vAlign w:val="center"/>
            <w:hideMark/>
          </w:tcPr>
          <w:p w14:paraId="380282A4" w14:textId="42880DC3" w:rsidR="00EE405C" w:rsidRPr="00372745" w:rsidRDefault="00EE405C" w:rsidP="00450A3E">
            <w:pPr>
              <w:spacing w:after="0" w:line="240" w:lineRule="auto"/>
              <w:jc w:val="left"/>
              <w:rPr>
                <w:rFonts w:cs="Arial"/>
                <w:i/>
                <w:iCs/>
                <w:sz w:val="16"/>
                <w:szCs w:val="16"/>
              </w:rPr>
            </w:pPr>
            <w:r w:rsidRPr="00372745">
              <w:rPr>
                <w:rFonts w:cs="Arial"/>
                <w:i/>
                <w:iCs/>
                <w:sz w:val="16"/>
                <w:szCs w:val="16"/>
              </w:rPr>
              <w:t>Πρ</w:t>
            </w:r>
            <w:r w:rsidR="00D4411E">
              <w:rPr>
                <w:rFonts w:cs="Arial"/>
                <w:i/>
                <w:iCs/>
                <w:sz w:val="16"/>
                <w:szCs w:val="16"/>
              </w:rPr>
              <w:t>οϋπολογισμός δ</w:t>
            </w:r>
            <w:r w:rsidRPr="00372745">
              <w:rPr>
                <w:rFonts w:cs="Arial"/>
                <w:i/>
                <w:iCs/>
                <w:sz w:val="16"/>
                <w:szCs w:val="16"/>
              </w:rPr>
              <w:t xml:space="preserve">ημοσίων </w:t>
            </w:r>
            <w:r w:rsidR="00D4411E">
              <w:rPr>
                <w:rFonts w:cs="Arial"/>
                <w:i/>
                <w:iCs/>
                <w:sz w:val="16"/>
                <w:szCs w:val="16"/>
              </w:rPr>
              <w:t>ε</w:t>
            </w:r>
            <w:r w:rsidRPr="00372745">
              <w:rPr>
                <w:rFonts w:cs="Arial"/>
                <w:i/>
                <w:iCs/>
                <w:sz w:val="16"/>
                <w:szCs w:val="16"/>
              </w:rPr>
              <w:t>πενδύσεων</w:t>
            </w:r>
            <w:r w:rsidRPr="00AA0F2E">
              <w:rPr>
                <w:rFonts w:cs="Arial"/>
                <w:i/>
                <w:iCs/>
                <w:sz w:val="16"/>
                <w:szCs w:val="16"/>
                <w:vertAlign w:val="superscript"/>
              </w:rPr>
              <w:t>1</w:t>
            </w:r>
          </w:p>
        </w:tc>
        <w:tc>
          <w:tcPr>
            <w:tcW w:w="1068" w:type="dxa"/>
            <w:tcBorders>
              <w:top w:val="nil"/>
              <w:bottom w:val="nil"/>
            </w:tcBorders>
            <w:vAlign w:val="center"/>
            <w:hideMark/>
          </w:tcPr>
          <w:p w14:paraId="535AAB8A"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9.913</w:t>
            </w:r>
          </w:p>
        </w:tc>
        <w:tc>
          <w:tcPr>
            <w:tcW w:w="1177" w:type="dxa"/>
            <w:tcBorders>
              <w:top w:val="nil"/>
              <w:bottom w:val="nil"/>
            </w:tcBorders>
            <w:vAlign w:val="center"/>
            <w:hideMark/>
          </w:tcPr>
          <w:p w14:paraId="58739E6E"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9.200</w:t>
            </w:r>
          </w:p>
        </w:tc>
        <w:tc>
          <w:tcPr>
            <w:tcW w:w="1066" w:type="dxa"/>
            <w:tcBorders>
              <w:top w:val="nil"/>
              <w:bottom w:val="nil"/>
            </w:tcBorders>
            <w:vAlign w:val="center"/>
            <w:hideMark/>
          </w:tcPr>
          <w:p w14:paraId="6691BEDF"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9.700</w:t>
            </w:r>
          </w:p>
        </w:tc>
        <w:tc>
          <w:tcPr>
            <w:tcW w:w="1066" w:type="dxa"/>
            <w:tcBorders>
              <w:top w:val="nil"/>
              <w:bottom w:val="nil"/>
            </w:tcBorders>
            <w:vAlign w:val="center"/>
            <w:hideMark/>
          </w:tcPr>
          <w:p w14:paraId="005453D9"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9.500</w:t>
            </w:r>
          </w:p>
        </w:tc>
      </w:tr>
      <w:tr w:rsidR="00EE405C" w:rsidRPr="00372745" w14:paraId="62EE2CFB" w14:textId="77777777" w:rsidTr="00BF6CBB">
        <w:trPr>
          <w:cantSplit/>
          <w:jc w:val="center"/>
        </w:trPr>
        <w:tc>
          <w:tcPr>
            <w:tcW w:w="6017" w:type="dxa"/>
            <w:tcBorders>
              <w:top w:val="nil"/>
              <w:bottom w:val="nil"/>
            </w:tcBorders>
            <w:vAlign w:val="center"/>
            <w:hideMark/>
          </w:tcPr>
          <w:p w14:paraId="1EEDE6EC" w14:textId="664203CA" w:rsidR="00EE405C" w:rsidRPr="00372745" w:rsidRDefault="00EE405C" w:rsidP="00450A3E">
            <w:pPr>
              <w:spacing w:after="0" w:line="240" w:lineRule="auto"/>
              <w:jc w:val="left"/>
              <w:rPr>
                <w:rFonts w:cs="Arial"/>
                <w:i/>
                <w:iCs/>
                <w:sz w:val="16"/>
                <w:szCs w:val="16"/>
              </w:rPr>
            </w:pPr>
            <w:r w:rsidRPr="00372745">
              <w:rPr>
                <w:rFonts w:cs="Arial"/>
                <w:i/>
                <w:iCs/>
                <w:sz w:val="16"/>
                <w:szCs w:val="16"/>
              </w:rPr>
              <w:t>Τ</w:t>
            </w:r>
            <w:r w:rsidR="00D4411E">
              <w:rPr>
                <w:rFonts w:cs="Arial"/>
                <w:i/>
                <w:iCs/>
                <w:sz w:val="16"/>
                <w:szCs w:val="16"/>
              </w:rPr>
              <w:t>ΑΑ</w:t>
            </w:r>
            <w:r w:rsidRPr="00AA0F2E">
              <w:rPr>
                <w:rFonts w:cs="Arial"/>
                <w:i/>
                <w:iCs/>
                <w:sz w:val="16"/>
                <w:szCs w:val="16"/>
                <w:vertAlign w:val="superscript"/>
              </w:rPr>
              <w:t>2</w:t>
            </w:r>
          </w:p>
        </w:tc>
        <w:tc>
          <w:tcPr>
            <w:tcW w:w="1068" w:type="dxa"/>
            <w:tcBorders>
              <w:top w:val="nil"/>
              <w:bottom w:val="nil"/>
            </w:tcBorders>
            <w:vAlign w:val="center"/>
            <w:hideMark/>
          </w:tcPr>
          <w:p w14:paraId="27C0A894"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3.401</w:t>
            </w:r>
          </w:p>
        </w:tc>
        <w:tc>
          <w:tcPr>
            <w:tcW w:w="1177" w:type="dxa"/>
            <w:tcBorders>
              <w:top w:val="nil"/>
              <w:bottom w:val="nil"/>
            </w:tcBorders>
            <w:vAlign w:val="center"/>
            <w:hideMark/>
          </w:tcPr>
          <w:p w14:paraId="250FFC20"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4.900</w:t>
            </w:r>
          </w:p>
        </w:tc>
        <w:tc>
          <w:tcPr>
            <w:tcW w:w="1066" w:type="dxa"/>
            <w:tcBorders>
              <w:top w:val="nil"/>
              <w:bottom w:val="nil"/>
            </w:tcBorders>
            <w:vAlign w:val="center"/>
            <w:hideMark/>
          </w:tcPr>
          <w:p w14:paraId="7148209A"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4.900</w:t>
            </w:r>
          </w:p>
        </w:tc>
        <w:tc>
          <w:tcPr>
            <w:tcW w:w="1066" w:type="dxa"/>
            <w:tcBorders>
              <w:top w:val="nil"/>
              <w:bottom w:val="nil"/>
            </w:tcBorders>
            <w:vAlign w:val="center"/>
            <w:hideMark/>
          </w:tcPr>
          <w:p w14:paraId="7717B0FF" w14:textId="77777777" w:rsidR="00EE405C" w:rsidRPr="00372745" w:rsidRDefault="00EE405C" w:rsidP="00450A3E">
            <w:pPr>
              <w:spacing w:after="0" w:line="240" w:lineRule="auto"/>
              <w:jc w:val="right"/>
              <w:rPr>
                <w:rFonts w:cs="Arial"/>
                <w:i/>
                <w:iCs/>
                <w:sz w:val="16"/>
                <w:szCs w:val="16"/>
              </w:rPr>
            </w:pPr>
            <w:r w:rsidRPr="00372745">
              <w:rPr>
                <w:rFonts w:cs="Arial"/>
                <w:i/>
                <w:iCs/>
                <w:sz w:val="16"/>
                <w:szCs w:val="16"/>
              </w:rPr>
              <w:t>7.192</w:t>
            </w:r>
          </w:p>
        </w:tc>
      </w:tr>
      <w:tr w:rsidR="00EE405C" w:rsidRPr="00372745" w14:paraId="5D3D3256" w14:textId="77777777" w:rsidTr="00BF6CBB">
        <w:trPr>
          <w:cantSplit/>
          <w:trHeight w:val="227"/>
          <w:jc w:val="center"/>
        </w:trPr>
        <w:tc>
          <w:tcPr>
            <w:tcW w:w="6017" w:type="dxa"/>
            <w:tcBorders>
              <w:top w:val="nil"/>
              <w:bottom w:val="nil"/>
            </w:tcBorders>
            <w:shd w:val="clear" w:color="auto" w:fill="D5DCE4"/>
            <w:vAlign w:val="center"/>
            <w:hideMark/>
          </w:tcPr>
          <w:p w14:paraId="560FD9E4" w14:textId="4AC272DC" w:rsidR="00EE405C" w:rsidRPr="00372745" w:rsidRDefault="00EE405C" w:rsidP="00450A3E">
            <w:pPr>
              <w:spacing w:after="0" w:line="240" w:lineRule="auto"/>
              <w:jc w:val="left"/>
              <w:rPr>
                <w:rFonts w:cs="Arial"/>
                <w:b/>
                <w:bCs/>
                <w:sz w:val="16"/>
                <w:szCs w:val="16"/>
              </w:rPr>
            </w:pPr>
            <w:r w:rsidRPr="00372745">
              <w:rPr>
                <w:rFonts w:cs="Arial"/>
                <w:b/>
                <w:bCs/>
                <w:sz w:val="16"/>
                <w:szCs w:val="16"/>
              </w:rPr>
              <w:t>III. Ισοζύγιο κρατικού προϋπολογισμού κατά ESA (Ι-ΙI)</w:t>
            </w:r>
          </w:p>
        </w:tc>
        <w:tc>
          <w:tcPr>
            <w:tcW w:w="1068" w:type="dxa"/>
            <w:tcBorders>
              <w:top w:val="nil"/>
              <w:bottom w:val="nil"/>
            </w:tcBorders>
            <w:shd w:val="clear" w:color="auto" w:fill="D5DCE4"/>
            <w:vAlign w:val="center"/>
            <w:hideMark/>
          </w:tcPr>
          <w:p w14:paraId="3926E1FC"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-2.676</w:t>
            </w:r>
          </w:p>
        </w:tc>
        <w:tc>
          <w:tcPr>
            <w:tcW w:w="1177" w:type="dxa"/>
            <w:tcBorders>
              <w:top w:val="nil"/>
              <w:bottom w:val="nil"/>
            </w:tcBorders>
            <w:shd w:val="clear" w:color="auto" w:fill="D5DCE4"/>
            <w:vAlign w:val="center"/>
            <w:hideMark/>
          </w:tcPr>
          <w:p w14:paraId="23B8587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-5.930</w:t>
            </w:r>
          </w:p>
        </w:tc>
        <w:tc>
          <w:tcPr>
            <w:tcW w:w="1066" w:type="dxa"/>
            <w:tcBorders>
              <w:top w:val="nil"/>
              <w:bottom w:val="nil"/>
            </w:tcBorders>
            <w:shd w:val="clear" w:color="auto" w:fill="D5DCE4"/>
            <w:vAlign w:val="center"/>
            <w:hideMark/>
          </w:tcPr>
          <w:p w14:paraId="72259CFF"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-4.630</w:t>
            </w:r>
          </w:p>
        </w:tc>
        <w:tc>
          <w:tcPr>
            <w:tcW w:w="1066" w:type="dxa"/>
            <w:tcBorders>
              <w:top w:val="nil"/>
              <w:bottom w:val="nil"/>
            </w:tcBorders>
            <w:shd w:val="clear" w:color="auto" w:fill="D5DCE4"/>
            <w:vAlign w:val="center"/>
            <w:hideMark/>
          </w:tcPr>
          <w:p w14:paraId="2804DA7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-6.582</w:t>
            </w:r>
          </w:p>
        </w:tc>
      </w:tr>
      <w:tr w:rsidR="00EE405C" w:rsidRPr="00372745" w14:paraId="23103AD0" w14:textId="77777777" w:rsidTr="00BF6CBB">
        <w:trPr>
          <w:cantSplit/>
          <w:trHeight w:val="227"/>
          <w:jc w:val="center"/>
        </w:trPr>
        <w:tc>
          <w:tcPr>
            <w:tcW w:w="6017" w:type="dxa"/>
            <w:tcBorders>
              <w:top w:val="nil"/>
              <w:bottom w:val="nil"/>
            </w:tcBorders>
            <w:shd w:val="clear" w:color="auto" w:fill="D5DCE4"/>
            <w:vAlign w:val="center"/>
            <w:hideMark/>
          </w:tcPr>
          <w:p w14:paraId="0FC0EECD"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 ΑΕΠ</w:t>
            </w:r>
          </w:p>
        </w:tc>
        <w:tc>
          <w:tcPr>
            <w:tcW w:w="1068" w:type="dxa"/>
            <w:tcBorders>
              <w:top w:val="nil"/>
              <w:bottom w:val="nil"/>
            </w:tcBorders>
            <w:shd w:val="clear" w:color="auto" w:fill="D5DCE4"/>
            <w:vAlign w:val="center"/>
            <w:hideMark/>
          </w:tcPr>
          <w:p w14:paraId="7795F4F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-1,1%</w:t>
            </w:r>
          </w:p>
        </w:tc>
        <w:tc>
          <w:tcPr>
            <w:tcW w:w="1177" w:type="dxa"/>
            <w:tcBorders>
              <w:top w:val="nil"/>
              <w:bottom w:val="nil"/>
            </w:tcBorders>
            <w:shd w:val="clear" w:color="auto" w:fill="D5DCE4"/>
            <w:vAlign w:val="center"/>
            <w:hideMark/>
          </w:tcPr>
          <w:p w14:paraId="4EE4181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-2,4%</w:t>
            </w:r>
          </w:p>
        </w:tc>
        <w:tc>
          <w:tcPr>
            <w:tcW w:w="1066" w:type="dxa"/>
            <w:tcBorders>
              <w:top w:val="nil"/>
              <w:bottom w:val="nil"/>
            </w:tcBorders>
            <w:shd w:val="clear" w:color="auto" w:fill="D5DCE4"/>
            <w:vAlign w:val="center"/>
            <w:hideMark/>
          </w:tcPr>
          <w:p w14:paraId="1F7D6BE6"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-1,9%</w:t>
            </w:r>
          </w:p>
        </w:tc>
        <w:tc>
          <w:tcPr>
            <w:tcW w:w="1066" w:type="dxa"/>
            <w:tcBorders>
              <w:top w:val="nil"/>
              <w:bottom w:val="nil"/>
            </w:tcBorders>
            <w:shd w:val="clear" w:color="auto" w:fill="D5DCE4"/>
            <w:vAlign w:val="center"/>
            <w:hideMark/>
          </w:tcPr>
          <w:p w14:paraId="29A110D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-2,5%</w:t>
            </w:r>
          </w:p>
        </w:tc>
      </w:tr>
      <w:tr w:rsidR="00EE405C" w:rsidRPr="00372745" w14:paraId="70D0F010" w14:textId="77777777" w:rsidTr="00BF6CBB">
        <w:trPr>
          <w:cantSplit/>
          <w:jc w:val="center"/>
        </w:trPr>
        <w:tc>
          <w:tcPr>
            <w:tcW w:w="6017" w:type="dxa"/>
            <w:tcBorders>
              <w:top w:val="nil"/>
              <w:bottom w:val="nil"/>
            </w:tcBorders>
            <w:shd w:val="clear" w:color="auto" w:fill="D5DCE4"/>
            <w:vAlign w:val="center"/>
            <w:hideMark/>
          </w:tcPr>
          <w:p w14:paraId="04A2B0F0" w14:textId="706AAB4B" w:rsidR="00606317" w:rsidRDefault="00EE405C" w:rsidP="00450A3E">
            <w:pPr>
              <w:spacing w:after="0" w:line="240" w:lineRule="auto"/>
              <w:jc w:val="left"/>
              <w:rPr>
                <w:rFonts w:cs="Arial"/>
                <w:b/>
                <w:bCs/>
                <w:sz w:val="16"/>
                <w:szCs w:val="16"/>
              </w:rPr>
            </w:pPr>
            <w:r w:rsidRPr="00372745">
              <w:rPr>
                <w:rFonts w:cs="Arial"/>
                <w:b/>
                <w:bCs/>
                <w:sz w:val="16"/>
                <w:szCs w:val="16"/>
              </w:rPr>
              <w:t>IV. Πρωτογενές αποτέλεσμα κρατικού προϋπολογισμού κατά ESA</w:t>
            </w:r>
          </w:p>
          <w:p w14:paraId="40ACF935" w14:textId="326916F6" w:rsidR="00EE405C" w:rsidRPr="00372745" w:rsidRDefault="00EE405C" w:rsidP="00450A3E">
            <w:pPr>
              <w:spacing w:after="0" w:line="240" w:lineRule="auto"/>
              <w:jc w:val="left"/>
              <w:rPr>
                <w:rFonts w:cs="Arial"/>
                <w:b/>
                <w:bCs/>
                <w:sz w:val="16"/>
                <w:szCs w:val="16"/>
              </w:rPr>
            </w:pPr>
            <w:r w:rsidRPr="00372745">
              <w:rPr>
                <w:rFonts w:cs="Arial"/>
                <w:b/>
                <w:bCs/>
                <w:sz w:val="16"/>
                <w:szCs w:val="16"/>
              </w:rPr>
              <w:t>(III+II.στ-I.ε1)</w:t>
            </w:r>
          </w:p>
        </w:tc>
        <w:tc>
          <w:tcPr>
            <w:tcW w:w="1068" w:type="dxa"/>
            <w:tcBorders>
              <w:top w:val="nil"/>
              <w:bottom w:val="nil"/>
            </w:tcBorders>
            <w:shd w:val="clear" w:color="auto" w:fill="D5DCE4"/>
            <w:vAlign w:val="center"/>
            <w:hideMark/>
          </w:tcPr>
          <w:p w14:paraId="46E1303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7.483</w:t>
            </w:r>
          </w:p>
        </w:tc>
        <w:tc>
          <w:tcPr>
            <w:tcW w:w="1177" w:type="dxa"/>
            <w:tcBorders>
              <w:top w:val="nil"/>
              <w:bottom w:val="nil"/>
            </w:tcBorders>
            <w:shd w:val="clear" w:color="auto" w:fill="D5DCE4"/>
            <w:vAlign w:val="center"/>
            <w:hideMark/>
          </w:tcPr>
          <w:p w14:paraId="480345CF"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3.470</w:t>
            </w:r>
          </w:p>
        </w:tc>
        <w:tc>
          <w:tcPr>
            <w:tcW w:w="1066" w:type="dxa"/>
            <w:tcBorders>
              <w:top w:val="nil"/>
              <w:bottom w:val="nil"/>
            </w:tcBorders>
            <w:shd w:val="clear" w:color="auto" w:fill="D5DCE4"/>
            <w:vAlign w:val="center"/>
            <w:hideMark/>
          </w:tcPr>
          <w:p w14:paraId="4099E6E6"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5.119</w:t>
            </w:r>
          </w:p>
        </w:tc>
        <w:tc>
          <w:tcPr>
            <w:tcW w:w="1066" w:type="dxa"/>
            <w:tcBorders>
              <w:top w:val="nil"/>
              <w:bottom w:val="nil"/>
            </w:tcBorders>
            <w:shd w:val="clear" w:color="auto" w:fill="D5DCE4"/>
            <w:vAlign w:val="center"/>
            <w:hideMark/>
          </w:tcPr>
          <w:p w14:paraId="6B3BD11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3.164</w:t>
            </w:r>
          </w:p>
        </w:tc>
      </w:tr>
      <w:tr w:rsidR="00EE405C" w:rsidRPr="00372745" w14:paraId="4D9EC1A7" w14:textId="77777777" w:rsidTr="00BF6CBB">
        <w:trPr>
          <w:cantSplit/>
          <w:trHeight w:val="227"/>
          <w:jc w:val="center"/>
        </w:trPr>
        <w:tc>
          <w:tcPr>
            <w:tcW w:w="6017" w:type="dxa"/>
            <w:tcBorders>
              <w:top w:val="nil"/>
              <w:bottom w:val="nil"/>
            </w:tcBorders>
            <w:shd w:val="clear" w:color="auto" w:fill="D5DCE4"/>
            <w:vAlign w:val="center"/>
            <w:hideMark/>
          </w:tcPr>
          <w:p w14:paraId="1A968323"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 ΑΕΠ</w:t>
            </w:r>
          </w:p>
        </w:tc>
        <w:tc>
          <w:tcPr>
            <w:tcW w:w="1068" w:type="dxa"/>
            <w:tcBorders>
              <w:top w:val="nil"/>
              <w:bottom w:val="nil"/>
            </w:tcBorders>
            <w:shd w:val="clear" w:color="auto" w:fill="D5DCE4"/>
            <w:vAlign w:val="center"/>
            <w:hideMark/>
          </w:tcPr>
          <w:p w14:paraId="1B3189C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3,1%</w:t>
            </w:r>
          </w:p>
        </w:tc>
        <w:tc>
          <w:tcPr>
            <w:tcW w:w="1177" w:type="dxa"/>
            <w:tcBorders>
              <w:top w:val="nil"/>
              <w:bottom w:val="nil"/>
            </w:tcBorders>
            <w:shd w:val="clear" w:color="auto" w:fill="D5DCE4"/>
            <w:vAlign w:val="center"/>
            <w:hideMark/>
          </w:tcPr>
          <w:p w14:paraId="567FED7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1,4%</w:t>
            </w:r>
          </w:p>
        </w:tc>
        <w:tc>
          <w:tcPr>
            <w:tcW w:w="1066" w:type="dxa"/>
            <w:tcBorders>
              <w:top w:val="nil"/>
              <w:bottom w:val="nil"/>
            </w:tcBorders>
            <w:shd w:val="clear" w:color="auto" w:fill="D5DCE4"/>
            <w:vAlign w:val="center"/>
            <w:hideMark/>
          </w:tcPr>
          <w:p w14:paraId="04C4C07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2,1%</w:t>
            </w:r>
          </w:p>
        </w:tc>
        <w:tc>
          <w:tcPr>
            <w:tcW w:w="1066" w:type="dxa"/>
            <w:tcBorders>
              <w:top w:val="nil"/>
              <w:bottom w:val="nil"/>
            </w:tcBorders>
            <w:shd w:val="clear" w:color="auto" w:fill="D5DCE4"/>
            <w:vAlign w:val="center"/>
            <w:hideMark/>
          </w:tcPr>
          <w:p w14:paraId="0B18B32F"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1,2%</w:t>
            </w:r>
          </w:p>
        </w:tc>
      </w:tr>
      <w:tr w:rsidR="00EE405C" w:rsidRPr="00372745" w14:paraId="1AA553AA" w14:textId="77777777" w:rsidTr="00BF6CBB">
        <w:trPr>
          <w:cantSplit/>
          <w:trHeight w:val="227"/>
          <w:jc w:val="center"/>
        </w:trPr>
        <w:tc>
          <w:tcPr>
            <w:tcW w:w="6017" w:type="dxa"/>
            <w:tcBorders>
              <w:top w:val="nil"/>
              <w:bottom w:val="nil"/>
            </w:tcBorders>
            <w:shd w:val="clear" w:color="auto" w:fill="D5DCE4"/>
            <w:vAlign w:val="center"/>
            <w:hideMark/>
          </w:tcPr>
          <w:p w14:paraId="533DC4F8"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V. Ισοζύγιο νομικών προσώπων κατά ESA</w:t>
            </w:r>
          </w:p>
        </w:tc>
        <w:tc>
          <w:tcPr>
            <w:tcW w:w="1068" w:type="dxa"/>
            <w:tcBorders>
              <w:top w:val="nil"/>
              <w:bottom w:val="nil"/>
            </w:tcBorders>
            <w:shd w:val="clear" w:color="auto" w:fill="D5DCE4"/>
            <w:vAlign w:val="center"/>
            <w:hideMark/>
          </w:tcPr>
          <w:p w14:paraId="03BA4C9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4.697</w:t>
            </w:r>
          </w:p>
        </w:tc>
        <w:tc>
          <w:tcPr>
            <w:tcW w:w="1177" w:type="dxa"/>
            <w:tcBorders>
              <w:top w:val="nil"/>
              <w:bottom w:val="nil"/>
            </w:tcBorders>
            <w:shd w:val="clear" w:color="auto" w:fill="D5DCE4"/>
            <w:vAlign w:val="center"/>
            <w:hideMark/>
          </w:tcPr>
          <w:p w14:paraId="1D19F9C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3.535</w:t>
            </w:r>
          </w:p>
        </w:tc>
        <w:tc>
          <w:tcPr>
            <w:tcW w:w="1066" w:type="dxa"/>
            <w:tcBorders>
              <w:top w:val="nil"/>
              <w:bottom w:val="nil"/>
            </w:tcBorders>
            <w:shd w:val="clear" w:color="auto" w:fill="D5DCE4"/>
            <w:vAlign w:val="center"/>
            <w:hideMark/>
          </w:tcPr>
          <w:p w14:paraId="0891145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3.736</w:t>
            </w:r>
          </w:p>
        </w:tc>
        <w:tc>
          <w:tcPr>
            <w:tcW w:w="1066" w:type="dxa"/>
            <w:tcBorders>
              <w:top w:val="nil"/>
              <w:bottom w:val="nil"/>
            </w:tcBorders>
            <w:shd w:val="clear" w:color="auto" w:fill="D5DCE4"/>
            <w:vAlign w:val="center"/>
            <w:hideMark/>
          </w:tcPr>
          <w:p w14:paraId="40C6833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3.597</w:t>
            </w:r>
          </w:p>
        </w:tc>
      </w:tr>
      <w:tr w:rsidR="00EE405C" w:rsidRPr="00372745" w14:paraId="79600E8E" w14:textId="77777777" w:rsidTr="00BF6CBB">
        <w:trPr>
          <w:cantSplit/>
          <w:jc w:val="center"/>
        </w:trPr>
        <w:tc>
          <w:tcPr>
            <w:tcW w:w="6017" w:type="dxa"/>
            <w:tcBorders>
              <w:top w:val="nil"/>
              <w:bottom w:val="nil"/>
            </w:tcBorders>
            <w:vAlign w:val="center"/>
            <w:hideMark/>
          </w:tcPr>
          <w:p w14:paraId="53876371" w14:textId="20BD4BA6" w:rsidR="00EE405C" w:rsidRPr="00372745" w:rsidRDefault="00EE405C" w:rsidP="00450A3E">
            <w:pPr>
              <w:spacing w:after="0" w:line="240" w:lineRule="auto"/>
              <w:jc w:val="left"/>
              <w:rPr>
                <w:rFonts w:cs="Arial"/>
                <w:b/>
                <w:bCs/>
                <w:sz w:val="16"/>
                <w:szCs w:val="16"/>
              </w:rPr>
            </w:pPr>
            <w:r w:rsidRPr="00372745">
              <w:rPr>
                <w:rFonts w:cs="Arial"/>
                <w:b/>
                <w:bCs/>
                <w:sz w:val="16"/>
                <w:szCs w:val="16"/>
              </w:rPr>
              <w:t>Έσοδα</w:t>
            </w:r>
          </w:p>
        </w:tc>
        <w:tc>
          <w:tcPr>
            <w:tcW w:w="1068" w:type="dxa"/>
            <w:tcBorders>
              <w:top w:val="nil"/>
              <w:bottom w:val="nil"/>
            </w:tcBorders>
            <w:vAlign w:val="center"/>
            <w:hideMark/>
          </w:tcPr>
          <w:p w14:paraId="0BFED938"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15.791</w:t>
            </w:r>
          </w:p>
        </w:tc>
        <w:tc>
          <w:tcPr>
            <w:tcW w:w="1177" w:type="dxa"/>
            <w:tcBorders>
              <w:top w:val="nil"/>
              <w:bottom w:val="nil"/>
            </w:tcBorders>
            <w:vAlign w:val="center"/>
            <w:hideMark/>
          </w:tcPr>
          <w:p w14:paraId="4ADFF3C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15.233</w:t>
            </w:r>
          </w:p>
        </w:tc>
        <w:tc>
          <w:tcPr>
            <w:tcW w:w="1066" w:type="dxa"/>
            <w:tcBorders>
              <w:top w:val="nil"/>
              <w:bottom w:val="nil"/>
            </w:tcBorders>
            <w:vAlign w:val="center"/>
            <w:hideMark/>
          </w:tcPr>
          <w:p w14:paraId="0C9859F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15.744</w:t>
            </w:r>
          </w:p>
        </w:tc>
        <w:tc>
          <w:tcPr>
            <w:tcW w:w="1066" w:type="dxa"/>
            <w:tcBorders>
              <w:top w:val="nil"/>
              <w:bottom w:val="nil"/>
            </w:tcBorders>
            <w:vAlign w:val="center"/>
            <w:hideMark/>
          </w:tcPr>
          <w:p w14:paraId="4BBEFF9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15.729</w:t>
            </w:r>
          </w:p>
        </w:tc>
      </w:tr>
      <w:tr w:rsidR="00EE405C" w:rsidRPr="00372745" w14:paraId="48BD3FA1" w14:textId="77777777" w:rsidTr="00BF6CBB">
        <w:trPr>
          <w:cantSplit/>
          <w:jc w:val="center"/>
        </w:trPr>
        <w:tc>
          <w:tcPr>
            <w:tcW w:w="6017" w:type="dxa"/>
            <w:tcBorders>
              <w:top w:val="nil"/>
              <w:bottom w:val="nil"/>
            </w:tcBorders>
            <w:vAlign w:val="center"/>
            <w:hideMark/>
          </w:tcPr>
          <w:p w14:paraId="751B6175" w14:textId="1FAE412D" w:rsidR="00EE405C" w:rsidRPr="00372745" w:rsidRDefault="00EE405C" w:rsidP="00450A3E">
            <w:pPr>
              <w:spacing w:after="0" w:line="240" w:lineRule="auto"/>
              <w:jc w:val="left"/>
              <w:rPr>
                <w:rFonts w:cs="Arial"/>
                <w:sz w:val="16"/>
                <w:szCs w:val="16"/>
              </w:rPr>
            </w:pPr>
            <w:r w:rsidRPr="00372745">
              <w:rPr>
                <w:rFonts w:cs="Arial"/>
                <w:sz w:val="16"/>
                <w:szCs w:val="16"/>
              </w:rPr>
              <w:t xml:space="preserve">Τρέχουσες </w:t>
            </w:r>
            <w:r w:rsidR="009E4027">
              <w:rPr>
                <w:rFonts w:cs="Arial"/>
                <w:sz w:val="16"/>
                <w:szCs w:val="16"/>
              </w:rPr>
              <w:t>και</w:t>
            </w:r>
            <w:r w:rsidRPr="00372745">
              <w:rPr>
                <w:rFonts w:cs="Arial"/>
                <w:sz w:val="16"/>
                <w:szCs w:val="16"/>
              </w:rPr>
              <w:t xml:space="preserve"> λοιπές κεφαλαιακές μεταβιβάσεις</w:t>
            </w:r>
          </w:p>
        </w:tc>
        <w:tc>
          <w:tcPr>
            <w:tcW w:w="1068" w:type="dxa"/>
            <w:tcBorders>
              <w:top w:val="nil"/>
              <w:bottom w:val="nil"/>
            </w:tcBorders>
            <w:vAlign w:val="center"/>
            <w:hideMark/>
          </w:tcPr>
          <w:p w14:paraId="3676B9B8" w14:textId="77777777" w:rsidR="00EE405C" w:rsidRPr="00372745" w:rsidRDefault="00EE405C" w:rsidP="00450A3E">
            <w:pPr>
              <w:spacing w:after="0" w:line="240" w:lineRule="auto"/>
              <w:jc w:val="right"/>
              <w:rPr>
                <w:rFonts w:cs="Arial"/>
                <w:sz w:val="16"/>
                <w:szCs w:val="16"/>
              </w:rPr>
            </w:pPr>
            <w:r w:rsidRPr="00372745">
              <w:rPr>
                <w:rFonts w:cs="Arial"/>
                <w:sz w:val="16"/>
                <w:szCs w:val="16"/>
              </w:rPr>
              <w:t>5.887</w:t>
            </w:r>
          </w:p>
        </w:tc>
        <w:tc>
          <w:tcPr>
            <w:tcW w:w="1177" w:type="dxa"/>
            <w:tcBorders>
              <w:top w:val="nil"/>
              <w:bottom w:val="nil"/>
            </w:tcBorders>
            <w:vAlign w:val="center"/>
            <w:hideMark/>
          </w:tcPr>
          <w:p w14:paraId="03BF9732" w14:textId="77777777" w:rsidR="00EE405C" w:rsidRPr="00372745" w:rsidRDefault="00EE405C" w:rsidP="00450A3E">
            <w:pPr>
              <w:spacing w:after="0" w:line="240" w:lineRule="auto"/>
              <w:jc w:val="right"/>
              <w:rPr>
                <w:rFonts w:cs="Arial"/>
                <w:sz w:val="16"/>
                <w:szCs w:val="16"/>
              </w:rPr>
            </w:pPr>
            <w:r w:rsidRPr="00372745">
              <w:rPr>
                <w:rFonts w:cs="Arial"/>
                <w:sz w:val="16"/>
                <w:szCs w:val="16"/>
              </w:rPr>
              <w:t>6.343</w:t>
            </w:r>
          </w:p>
        </w:tc>
        <w:tc>
          <w:tcPr>
            <w:tcW w:w="1066" w:type="dxa"/>
            <w:tcBorders>
              <w:top w:val="nil"/>
              <w:bottom w:val="nil"/>
            </w:tcBorders>
            <w:vAlign w:val="center"/>
            <w:hideMark/>
          </w:tcPr>
          <w:p w14:paraId="68181A59" w14:textId="77777777" w:rsidR="00EE405C" w:rsidRPr="00372745" w:rsidRDefault="00EE405C" w:rsidP="00450A3E">
            <w:pPr>
              <w:spacing w:after="0" w:line="240" w:lineRule="auto"/>
              <w:jc w:val="right"/>
              <w:rPr>
                <w:rFonts w:cs="Arial"/>
                <w:sz w:val="16"/>
                <w:szCs w:val="16"/>
              </w:rPr>
            </w:pPr>
            <w:r w:rsidRPr="00372745">
              <w:rPr>
                <w:rFonts w:cs="Arial"/>
                <w:sz w:val="16"/>
                <w:szCs w:val="16"/>
              </w:rPr>
              <w:t>6.433</w:t>
            </w:r>
          </w:p>
        </w:tc>
        <w:tc>
          <w:tcPr>
            <w:tcW w:w="1066" w:type="dxa"/>
            <w:tcBorders>
              <w:top w:val="nil"/>
              <w:bottom w:val="nil"/>
            </w:tcBorders>
            <w:vAlign w:val="center"/>
            <w:hideMark/>
          </w:tcPr>
          <w:p w14:paraId="7FB7C994" w14:textId="77777777" w:rsidR="00EE405C" w:rsidRPr="00372745" w:rsidRDefault="00EE405C" w:rsidP="00450A3E">
            <w:pPr>
              <w:spacing w:after="0" w:line="240" w:lineRule="auto"/>
              <w:jc w:val="right"/>
              <w:rPr>
                <w:rFonts w:cs="Arial"/>
                <w:sz w:val="16"/>
                <w:szCs w:val="16"/>
              </w:rPr>
            </w:pPr>
            <w:r w:rsidRPr="00372745">
              <w:rPr>
                <w:rFonts w:cs="Arial"/>
                <w:sz w:val="16"/>
                <w:szCs w:val="16"/>
              </w:rPr>
              <w:t>6.324</w:t>
            </w:r>
          </w:p>
        </w:tc>
      </w:tr>
      <w:tr w:rsidR="00EE405C" w:rsidRPr="00372745" w14:paraId="5B415C91" w14:textId="77777777" w:rsidTr="00BF6CBB">
        <w:trPr>
          <w:cantSplit/>
          <w:jc w:val="center"/>
        </w:trPr>
        <w:tc>
          <w:tcPr>
            <w:tcW w:w="6017" w:type="dxa"/>
            <w:tcBorders>
              <w:top w:val="nil"/>
              <w:bottom w:val="nil"/>
            </w:tcBorders>
            <w:vAlign w:val="center"/>
            <w:hideMark/>
          </w:tcPr>
          <w:p w14:paraId="1F3EEFE9" w14:textId="77777777" w:rsidR="00EE405C" w:rsidRPr="00372745" w:rsidRDefault="00EE405C" w:rsidP="00450A3E">
            <w:pPr>
              <w:spacing w:after="0" w:line="240" w:lineRule="auto"/>
              <w:jc w:val="left"/>
              <w:rPr>
                <w:rFonts w:cs="Arial"/>
                <w:sz w:val="16"/>
                <w:szCs w:val="16"/>
              </w:rPr>
            </w:pPr>
            <w:r w:rsidRPr="00372745">
              <w:rPr>
                <w:rFonts w:cs="Arial"/>
                <w:sz w:val="16"/>
                <w:szCs w:val="16"/>
              </w:rPr>
              <w:t>Τόκοι πιστωτικοί</w:t>
            </w:r>
          </w:p>
        </w:tc>
        <w:tc>
          <w:tcPr>
            <w:tcW w:w="1068" w:type="dxa"/>
            <w:tcBorders>
              <w:top w:val="nil"/>
              <w:bottom w:val="nil"/>
            </w:tcBorders>
            <w:vAlign w:val="center"/>
            <w:hideMark/>
          </w:tcPr>
          <w:p w14:paraId="4C86911D" w14:textId="77777777" w:rsidR="00EE405C" w:rsidRPr="00372745" w:rsidRDefault="00EE405C" w:rsidP="00450A3E">
            <w:pPr>
              <w:spacing w:after="0" w:line="240" w:lineRule="auto"/>
              <w:jc w:val="right"/>
              <w:rPr>
                <w:rFonts w:cs="Arial"/>
                <w:sz w:val="16"/>
                <w:szCs w:val="16"/>
              </w:rPr>
            </w:pPr>
            <w:r w:rsidRPr="00372745">
              <w:rPr>
                <w:rFonts w:cs="Arial"/>
                <w:sz w:val="16"/>
                <w:szCs w:val="16"/>
              </w:rPr>
              <w:t>1.721</w:t>
            </w:r>
          </w:p>
        </w:tc>
        <w:tc>
          <w:tcPr>
            <w:tcW w:w="1177" w:type="dxa"/>
            <w:tcBorders>
              <w:top w:val="nil"/>
              <w:bottom w:val="nil"/>
            </w:tcBorders>
            <w:vAlign w:val="center"/>
            <w:hideMark/>
          </w:tcPr>
          <w:p w14:paraId="6179ECB6" w14:textId="77777777" w:rsidR="00EE405C" w:rsidRPr="00372745" w:rsidRDefault="00EE405C" w:rsidP="00450A3E">
            <w:pPr>
              <w:spacing w:after="0" w:line="240" w:lineRule="auto"/>
              <w:jc w:val="right"/>
              <w:rPr>
                <w:rFonts w:cs="Arial"/>
                <w:sz w:val="16"/>
                <w:szCs w:val="16"/>
              </w:rPr>
            </w:pPr>
            <w:r w:rsidRPr="00372745">
              <w:rPr>
                <w:rFonts w:cs="Arial"/>
                <w:sz w:val="16"/>
                <w:szCs w:val="16"/>
              </w:rPr>
              <w:t>1.431</w:t>
            </w:r>
          </w:p>
        </w:tc>
        <w:tc>
          <w:tcPr>
            <w:tcW w:w="1066" w:type="dxa"/>
            <w:tcBorders>
              <w:top w:val="nil"/>
              <w:bottom w:val="nil"/>
            </w:tcBorders>
            <w:vAlign w:val="center"/>
            <w:hideMark/>
          </w:tcPr>
          <w:p w14:paraId="1D7AE087" w14:textId="77777777" w:rsidR="00EE405C" w:rsidRPr="00372745" w:rsidRDefault="00EE405C" w:rsidP="00450A3E">
            <w:pPr>
              <w:spacing w:after="0" w:line="240" w:lineRule="auto"/>
              <w:jc w:val="right"/>
              <w:rPr>
                <w:rFonts w:cs="Arial"/>
                <w:sz w:val="16"/>
                <w:szCs w:val="16"/>
              </w:rPr>
            </w:pPr>
            <w:r w:rsidRPr="00372745">
              <w:rPr>
                <w:rFonts w:cs="Arial"/>
                <w:sz w:val="16"/>
                <w:szCs w:val="16"/>
              </w:rPr>
              <w:t>1.559</w:t>
            </w:r>
          </w:p>
        </w:tc>
        <w:tc>
          <w:tcPr>
            <w:tcW w:w="1066" w:type="dxa"/>
            <w:tcBorders>
              <w:top w:val="nil"/>
              <w:bottom w:val="nil"/>
            </w:tcBorders>
            <w:vAlign w:val="center"/>
            <w:hideMark/>
          </w:tcPr>
          <w:p w14:paraId="0E046FCA" w14:textId="77777777" w:rsidR="00EE405C" w:rsidRPr="00372745" w:rsidRDefault="00EE405C" w:rsidP="00450A3E">
            <w:pPr>
              <w:spacing w:after="0" w:line="240" w:lineRule="auto"/>
              <w:jc w:val="right"/>
              <w:rPr>
                <w:rFonts w:cs="Arial"/>
                <w:sz w:val="16"/>
                <w:szCs w:val="16"/>
              </w:rPr>
            </w:pPr>
            <w:r w:rsidRPr="00372745">
              <w:rPr>
                <w:rFonts w:cs="Arial"/>
                <w:sz w:val="16"/>
                <w:szCs w:val="16"/>
              </w:rPr>
              <w:t>1.535</w:t>
            </w:r>
          </w:p>
        </w:tc>
      </w:tr>
      <w:tr w:rsidR="00EE405C" w:rsidRPr="00372745" w14:paraId="1335932D" w14:textId="77777777" w:rsidTr="00BF6CBB">
        <w:trPr>
          <w:cantSplit/>
          <w:jc w:val="center"/>
        </w:trPr>
        <w:tc>
          <w:tcPr>
            <w:tcW w:w="6017" w:type="dxa"/>
            <w:tcBorders>
              <w:top w:val="nil"/>
              <w:bottom w:val="nil"/>
            </w:tcBorders>
            <w:vAlign w:val="center"/>
            <w:hideMark/>
          </w:tcPr>
          <w:p w14:paraId="75890BC0" w14:textId="77777777" w:rsidR="00EE405C" w:rsidRPr="00372745" w:rsidRDefault="00EE405C" w:rsidP="00450A3E">
            <w:pPr>
              <w:spacing w:after="0" w:line="240" w:lineRule="auto"/>
              <w:jc w:val="left"/>
              <w:rPr>
                <w:rFonts w:cs="Arial"/>
                <w:sz w:val="16"/>
                <w:szCs w:val="16"/>
              </w:rPr>
            </w:pPr>
            <w:r w:rsidRPr="00372745">
              <w:rPr>
                <w:rFonts w:cs="Arial"/>
                <w:sz w:val="16"/>
                <w:szCs w:val="16"/>
              </w:rPr>
              <w:t>Φόροι</w:t>
            </w:r>
          </w:p>
        </w:tc>
        <w:tc>
          <w:tcPr>
            <w:tcW w:w="1068" w:type="dxa"/>
            <w:tcBorders>
              <w:top w:val="nil"/>
              <w:bottom w:val="nil"/>
            </w:tcBorders>
            <w:vAlign w:val="center"/>
            <w:hideMark/>
          </w:tcPr>
          <w:p w14:paraId="2594C63A" w14:textId="77777777" w:rsidR="00EE405C" w:rsidRPr="00372745" w:rsidRDefault="00EE405C" w:rsidP="00450A3E">
            <w:pPr>
              <w:spacing w:after="0" w:line="240" w:lineRule="auto"/>
              <w:jc w:val="right"/>
              <w:rPr>
                <w:rFonts w:cs="Arial"/>
                <w:sz w:val="16"/>
                <w:szCs w:val="16"/>
              </w:rPr>
            </w:pPr>
            <w:r w:rsidRPr="00372745">
              <w:rPr>
                <w:rFonts w:cs="Arial"/>
                <w:sz w:val="16"/>
                <w:szCs w:val="16"/>
              </w:rPr>
              <w:t>3.616</w:t>
            </w:r>
          </w:p>
        </w:tc>
        <w:tc>
          <w:tcPr>
            <w:tcW w:w="1177" w:type="dxa"/>
            <w:tcBorders>
              <w:top w:val="nil"/>
              <w:bottom w:val="nil"/>
            </w:tcBorders>
            <w:vAlign w:val="center"/>
            <w:hideMark/>
          </w:tcPr>
          <w:p w14:paraId="5785741D" w14:textId="77777777" w:rsidR="00EE405C" w:rsidRPr="00372745" w:rsidRDefault="00EE405C" w:rsidP="00450A3E">
            <w:pPr>
              <w:spacing w:after="0" w:line="240" w:lineRule="auto"/>
              <w:jc w:val="right"/>
              <w:rPr>
                <w:rFonts w:cs="Arial"/>
                <w:sz w:val="16"/>
                <w:szCs w:val="16"/>
              </w:rPr>
            </w:pPr>
            <w:r w:rsidRPr="00372745">
              <w:rPr>
                <w:rFonts w:cs="Arial"/>
                <w:sz w:val="16"/>
                <w:szCs w:val="16"/>
              </w:rPr>
              <w:t>3.147</w:t>
            </w:r>
          </w:p>
        </w:tc>
        <w:tc>
          <w:tcPr>
            <w:tcW w:w="1066" w:type="dxa"/>
            <w:tcBorders>
              <w:top w:val="nil"/>
              <w:bottom w:val="nil"/>
            </w:tcBorders>
            <w:vAlign w:val="center"/>
            <w:hideMark/>
          </w:tcPr>
          <w:p w14:paraId="35C45C98" w14:textId="77777777" w:rsidR="00EE405C" w:rsidRPr="00372745" w:rsidRDefault="00EE405C" w:rsidP="00450A3E">
            <w:pPr>
              <w:spacing w:after="0" w:line="240" w:lineRule="auto"/>
              <w:jc w:val="right"/>
              <w:rPr>
                <w:rFonts w:cs="Arial"/>
                <w:sz w:val="16"/>
                <w:szCs w:val="16"/>
              </w:rPr>
            </w:pPr>
            <w:r w:rsidRPr="00372745">
              <w:rPr>
                <w:rFonts w:cs="Arial"/>
                <w:sz w:val="16"/>
                <w:szCs w:val="16"/>
              </w:rPr>
              <w:t>3.253</w:t>
            </w:r>
          </w:p>
        </w:tc>
        <w:tc>
          <w:tcPr>
            <w:tcW w:w="1066" w:type="dxa"/>
            <w:tcBorders>
              <w:top w:val="nil"/>
              <w:bottom w:val="nil"/>
            </w:tcBorders>
            <w:vAlign w:val="center"/>
            <w:hideMark/>
          </w:tcPr>
          <w:p w14:paraId="492107D0" w14:textId="77777777" w:rsidR="00EE405C" w:rsidRPr="00372745" w:rsidRDefault="00EE405C" w:rsidP="00450A3E">
            <w:pPr>
              <w:spacing w:after="0" w:line="240" w:lineRule="auto"/>
              <w:jc w:val="right"/>
              <w:rPr>
                <w:rFonts w:cs="Arial"/>
                <w:sz w:val="16"/>
                <w:szCs w:val="16"/>
              </w:rPr>
            </w:pPr>
            <w:r w:rsidRPr="00372745">
              <w:rPr>
                <w:rFonts w:cs="Arial"/>
                <w:sz w:val="16"/>
                <w:szCs w:val="16"/>
              </w:rPr>
              <w:t>3.331</w:t>
            </w:r>
          </w:p>
        </w:tc>
      </w:tr>
      <w:tr w:rsidR="00EE405C" w:rsidRPr="00372745" w14:paraId="74E49804" w14:textId="77777777" w:rsidTr="00BF6CBB">
        <w:trPr>
          <w:cantSplit/>
          <w:jc w:val="center"/>
        </w:trPr>
        <w:tc>
          <w:tcPr>
            <w:tcW w:w="6017" w:type="dxa"/>
            <w:tcBorders>
              <w:top w:val="nil"/>
              <w:bottom w:val="nil"/>
            </w:tcBorders>
            <w:vAlign w:val="center"/>
            <w:hideMark/>
          </w:tcPr>
          <w:p w14:paraId="095BEC4F" w14:textId="77777777" w:rsidR="00EE405C" w:rsidRPr="00372745" w:rsidRDefault="00EE405C" w:rsidP="00450A3E">
            <w:pPr>
              <w:spacing w:after="0" w:line="240" w:lineRule="auto"/>
              <w:jc w:val="left"/>
              <w:rPr>
                <w:rFonts w:cs="Arial"/>
                <w:sz w:val="16"/>
                <w:szCs w:val="16"/>
              </w:rPr>
            </w:pPr>
            <w:r w:rsidRPr="00372745">
              <w:rPr>
                <w:rFonts w:cs="Arial"/>
                <w:sz w:val="16"/>
                <w:szCs w:val="16"/>
              </w:rPr>
              <w:t>Αντικριζόμενα έσοδα (καθαρά)</w:t>
            </w:r>
          </w:p>
        </w:tc>
        <w:tc>
          <w:tcPr>
            <w:tcW w:w="1068" w:type="dxa"/>
            <w:tcBorders>
              <w:top w:val="nil"/>
              <w:bottom w:val="nil"/>
            </w:tcBorders>
            <w:vAlign w:val="center"/>
            <w:hideMark/>
          </w:tcPr>
          <w:p w14:paraId="268546B4"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177" w:type="dxa"/>
            <w:tcBorders>
              <w:top w:val="nil"/>
              <w:bottom w:val="nil"/>
            </w:tcBorders>
            <w:vAlign w:val="center"/>
            <w:hideMark/>
          </w:tcPr>
          <w:p w14:paraId="61F61D1D"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066" w:type="dxa"/>
            <w:tcBorders>
              <w:top w:val="nil"/>
              <w:bottom w:val="nil"/>
            </w:tcBorders>
            <w:vAlign w:val="center"/>
            <w:hideMark/>
          </w:tcPr>
          <w:p w14:paraId="39C7C471" w14:textId="77777777" w:rsidR="00EE405C" w:rsidRPr="00372745" w:rsidRDefault="00EE405C" w:rsidP="00450A3E">
            <w:pPr>
              <w:spacing w:after="0" w:line="240" w:lineRule="auto"/>
              <w:jc w:val="right"/>
              <w:rPr>
                <w:rFonts w:cs="Arial"/>
                <w:sz w:val="16"/>
                <w:szCs w:val="16"/>
              </w:rPr>
            </w:pPr>
            <w:r w:rsidRPr="00372745">
              <w:rPr>
                <w:rFonts w:cs="Arial"/>
                <w:sz w:val="16"/>
                <w:szCs w:val="16"/>
              </w:rPr>
              <w:t>-3</w:t>
            </w:r>
          </w:p>
        </w:tc>
        <w:tc>
          <w:tcPr>
            <w:tcW w:w="1066" w:type="dxa"/>
            <w:tcBorders>
              <w:top w:val="nil"/>
              <w:bottom w:val="nil"/>
            </w:tcBorders>
            <w:vAlign w:val="center"/>
            <w:hideMark/>
          </w:tcPr>
          <w:p w14:paraId="3FC7F3E6" w14:textId="77777777" w:rsidR="00EE405C" w:rsidRPr="00372745" w:rsidRDefault="00EE405C" w:rsidP="00450A3E">
            <w:pPr>
              <w:spacing w:after="0" w:line="240" w:lineRule="auto"/>
              <w:jc w:val="right"/>
              <w:rPr>
                <w:rFonts w:cs="Arial"/>
                <w:sz w:val="16"/>
                <w:szCs w:val="16"/>
              </w:rPr>
            </w:pPr>
            <w:r w:rsidRPr="00372745">
              <w:rPr>
                <w:rFonts w:cs="Arial"/>
                <w:sz w:val="16"/>
                <w:szCs w:val="16"/>
              </w:rPr>
              <w:t>-3</w:t>
            </w:r>
          </w:p>
        </w:tc>
      </w:tr>
      <w:tr w:rsidR="00EE405C" w:rsidRPr="00372745" w14:paraId="01BF59FB" w14:textId="77777777" w:rsidTr="00BF6CBB">
        <w:trPr>
          <w:cantSplit/>
          <w:jc w:val="center"/>
        </w:trPr>
        <w:tc>
          <w:tcPr>
            <w:tcW w:w="6017" w:type="dxa"/>
            <w:tcBorders>
              <w:top w:val="nil"/>
              <w:bottom w:val="nil"/>
            </w:tcBorders>
            <w:vAlign w:val="center"/>
            <w:hideMark/>
          </w:tcPr>
          <w:p w14:paraId="00A8CD04"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Λοιπά έσοδα</w:t>
            </w:r>
          </w:p>
        </w:tc>
        <w:tc>
          <w:tcPr>
            <w:tcW w:w="1068" w:type="dxa"/>
            <w:tcBorders>
              <w:top w:val="nil"/>
              <w:bottom w:val="nil"/>
            </w:tcBorders>
            <w:vAlign w:val="center"/>
            <w:hideMark/>
          </w:tcPr>
          <w:p w14:paraId="66CDB3CB" w14:textId="77777777" w:rsidR="00EE405C" w:rsidRPr="00372745" w:rsidRDefault="00EE405C" w:rsidP="00450A3E">
            <w:pPr>
              <w:spacing w:after="0" w:line="240" w:lineRule="auto"/>
              <w:jc w:val="right"/>
              <w:rPr>
                <w:rFonts w:cs="Arial"/>
                <w:sz w:val="16"/>
                <w:szCs w:val="16"/>
              </w:rPr>
            </w:pPr>
            <w:r w:rsidRPr="00372745">
              <w:rPr>
                <w:rFonts w:cs="Arial"/>
                <w:sz w:val="16"/>
                <w:szCs w:val="16"/>
              </w:rPr>
              <w:t>4.568</w:t>
            </w:r>
          </w:p>
        </w:tc>
        <w:tc>
          <w:tcPr>
            <w:tcW w:w="1177" w:type="dxa"/>
            <w:tcBorders>
              <w:top w:val="nil"/>
              <w:bottom w:val="nil"/>
            </w:tcBorders>
            <w:vAlign w:val="center"/>
            <w:hideMark/>
          </w:tcPr>
          <w:p w14:paraId="7C776C6D" w14:textId="77777777" w:rsidR="00EE405C" w:rsidRPr="00372745" w:rsidRDefault="00EE405C" w:rsidP="00450A3E">
            <w:pPr>
              <w:spacing w:after="0" w:line="240" w:lineRule="auto"/>
              <w:jc w:val="right"/>
              <w:rPr>
                <w:rFonts w:cs="Arial"/>
                <w:sz w:val="16"/>
                <w:szCs w:val="16"/>
              </w:rPr>
            </w:pPr>
            <w:r w:rsidRPr="00372745">
              <w:rPr>
                <w:rFonts w:cs="Arial"/>
                <w:sz w:val="16"/>
                <w:szCs w:val="16"/>
              </w:rPr>
              <w:t>4.312</w:t>
            </w:r>
          </w:p>
        </w:tc>
        <w:tc>
          <w:tcPr>
            <w:tcW w:w="1066" w:type="dxa"/>
            <w:tcBorders>
              <w:top w:val="nil"/>
              <w:bottom w:val="nil"/>
            </w:tcBorders>
            <w:vAlign w:val="center"/>
            <w:hideMark/>
          </w:tcPr>
          <w:p w14:paraId="0C879CAB" w14:textId="77777777" w:rsidR="00EE405C" w:rsidRPr="00372745" w:rsidRDefault="00EE405C" w:rsidP="00450A3E">
            <w:pPr>
              <w:spacing w:after="0" w:line="240" w:lineRule="auto"/>
              <w:jc w:val="right"/>
              <w:rPr>
                <w:rFonts w:cs="Arial"/>
                <w:sz w:val="16"/>
                <w:szCs w:val="16"/>
              </w:rPr>
            </w:pPr>
            <w:r w:rsidRPr="00372745">
              <w:rPr>
                <w:rFonts w:cs="Arial"/>
                <w:sz w:val="16"/>
                <w:szCs w:val="16"/>
              </w:rPr>
              <w:t>4.502</w:t>
            </w:r>
          </w:p>
        </w:tc>
        <w:tc>
          <w:tcPr>
            <w:tcW w:w="1066" w:type="dxa"/>
            <w:tcBorders>
              <w:top w:val="nil"/>
              <w:bottom w:val="nil"/>
            </w:tcBorders>
            <w:vAlign w:val="center"/>
            <w:hideMark/>
          </w:tcPr>
          <w:p w14:paraId="49920464" w14:textId="77777777" w:rsidR="00EE405C" w:rsidRPr="00372745" w:rsidRDefault="00EE405C" w:rsidP="00450A3E">
            <w:pPr>
              <w:spacing w:after="0" w:line="240" w:lineRule="auto"/>
              <w:jc w:val="right"/>
              <w:rPr>
                <w:rFonts w:cs="Arial"/>
                <w:sz w:val="16"/>
                <w:szCs w:val="16"/>
              </w:rPr>
            </w:pPr>
            <w:r w:rsidRPr="00372745">
              <w:rPr>
                <w:rFonts w:cs="Arial"/>
                <w:sz w:val="16"/>
                <w:szCs w:val="16"/>
              </w:rPr>
              <w:t>4.542</w:t>
            </w:r>
          </w:p>
        </w:tc>
      </w:tr>
      <w:tr w:rsidR="00EE405C" w:rsidRPr="00372745" w14:paraId="53469911" w14:textId="77777777" w:rsidTr="00BF6CBB">
        <w:trPr>
          <w:cantSplit/>
          <w:jc w:val="center"/>
        </w:trPr>
        <w:tc>
          <w:tcPr>
            <w:tcW w:w="6017" w:type="dxa"/>
            <w:tcBorders>
              <w:top w:val="nil"/>
              <w:bottom w:val="nil"/>
            </w:tcBorders>
            <w:vAlign w:val="center"/>
            <w:hideMark/>
          </w:tcPr>
          <w:p w14:paraId="24EBAA02"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Έξοδα</w:t>
            </w:r>
          </w:p>
        </w:tc>
        <w:tc>
          <w:tcPr>
            <w:tcW w:w="1068" w:type="dxa"/>
            <w:tcBorders>
              <w:top w:val="nil"/>
              <w:bottom w:val="nil"/>
            </w:tcBorders>
            <w:vAlign w:val="center"/>
            <w:hideMark/>
          </w:tcPr>
          <w:p w14:paraId="7FE5CE9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11.095</w:t>
            </w:r>
          </w:p>
        </w:tc>
        <w:tc>
          <w:tcPr>
            <w:tcW w:w="1177" w:type="dxa"/>
            <w:tcBorders>
              <w:top w:val="nil"/>
              <w:bottom w:val="nil"/>
            </w:tcBorders>
            <w:vAlign w:val="center"/>
            <w:hideMark/>
          </w:tcPr>
          <w:p w14:paraId="2E32783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11.698</w:t>
            </w:r>
          </w:p>
        </w:tc>
        <w:tc>
          <w:tcPr>
            <w:tcW w:w="1066" w:type="dxa"/>
            <w:tcBorders>
              <w:top w:val="nil"/>
              <w:bottom w:val="nil"/>
            </w:tcBorders>
            <w:vAlign w:val="center"/>
            <w:hideMark/>
          </w:tcPr>
          <w:p w14:paraId="613B241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12.008</w:t>
            </w:r>
          </w:p>
        </w:tc>
        <w:tc>
          <w:tcPr>
            <w:tcW w:w="1066" w:type="dxa"/>
            <w:tcBorders>
              <w:top w:val="nil"/>
              <w:bottom w:val="nil"/>
            </w:tcBorders>
            <w:vAlign w:val="center"/>
            <w:hideMark/>
          </w:tcPr>
          <w:p w14:paraId="34E5144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12.132</w:t>
            </w:r>
          </w:p>
        </w:tc>
      </w:tr>
      <w:tr w:rsidR="00EE405C" w:rsidRPr="00372745" w14:paraId="597FADB9" w14:textId="77777777" w:rsidTr="00BF6CBB">
        <w:trPr>
          <w:cantSplit/>
          <w:trHeight w:val="181"/>
          <w:jc w:val="center"/>
        </w:trPr>
        <w:tc>
          <w:tcPr>
            <w:tcW w:w="6017" w:type="dxa"/>
            <w:tcBorders>
              <w:top w:val="nil"/>
              <w:bottom w:val="nil"/>
            </w:tcBorders>
            <w:vAlign w:val="center"/>
            <w:hideMark/>
          </w:tcPr>
          <w:p w14:paraId="566AF565" w14:textId="7C704038" w:rsidR="00EE405C" w:rsidRPr="00372745" w:rsidRDefault="00EE405C" w:rsidP="00450A3E">
            <w:pPr>
              <w:spacing w:after="0" w:line="240" w:lineRule="auto"/>
              <w:jc w:val="left"/>
              <w:rPr>
                <w:rFonts w:cs="Arial"/>
                <w:sz w:val="16"/>
                <w:szCs w:val="16"/>
              </w:rPr>
            </w:pPr>
            <w:r w:rsidRPr="00372745">
              <w:rPr>
                <w:rFonts w:cs="Arial"/>
                <w:sz w:val="16"/>
                <w:szCs w:val="16"/>
              </w:rPr>
              <w:t>Παροχ</w:t>
            </w:r>
            <w:r w:rsidR="00104B20">
              <w:rPr>
                <w:rFonts w:cs="Arial"/>
                <w:sz w:val="16"/>
                <w:szCs w:val="16"/>
              </w:rPr>
              <w:t>έ</w:t>
            </w:r>
            <w:r w:rsidRPr="00372745">
              <w:rPr>
                <w:rFonts w:cs="Arial"/>
                <w:sz w:val="16"/>
                <w:szCs w:val="16"/>
              </w:rPr>
              <w:t xml:space="preserve">ς σε </w:t>
            </w:r>
            <w:r w:rsidR="00104B20">
              <w:rPr>
                <w:rFonts w:cs="Arial"/>
                <w:sz w:val="16"/>
                <w:szCs w:val="16"/>
              </w:rPr>
              <w:t>ε</w:t>
            </w:r>
            <w:r w:rsidRPr="00372745">
              <w:rPr>
                <w:rFonts w:cs="Arial"/>
                <w:sz w:val="16"/>
                <w:szCs w:val="16"/>
              </w:rPr>
              <w:t>ργαζ</w:t>
            </w:r>
            <w:r w:rsidR="00104B20">
              <w:rPr>
                <w:rFonts w:cs="Arial"/>
                <w:sz w:val="16"/>
                <w:szCs w:val="16"/>
              </w:rPr>
              <w:t>ό</w:t>
            </w:r>
            <w:r w:rsidRPr="00372745">
              <w:rPr>
                <w:rFonts w:cs="Arial"/>
                <w:sz w:val="16"/>
                <w:szCs w:val="16"/>
              </w:rPr>
              <w:t>μενους</w:t>
            </w:r>
          </w:p>
        </w:tc>
        <w:tc>
          <w:tcPr>
            <w:tcW w:w="1068" w:type="dxa"/>
            <w:tcBorders>
              <w:top w:val="nil"/>
              <w:bottom w:val="nil"/>
            </w:tcBorders>
            <w:vAlign w:val="center"/>
            <w:hideMark/>
          </w:tcPr>
          <w:p w14:paraId="605503D3" w14:textId="77777777" w:rsidR="00EE405C" w:rsidRPr="00372745" w:rsidRDefault="00EE405C" w:rsidP="00450A3E">
            <w:pPr>
              <w:spacing w:after="0" w:line="240" w:lineRule="auto"/>
              <w:jc w:val="right"/>
              <w:rPr>
                <w:rFonts w:cs="Arial"/>
                <w:sz w:val="16"/>
                <w:szCs w:val="16"/>
              </w:rPr>
            </w:pPr>
            <w:r w:rsidRPr="00372745">
              <w:rPr>
                <w:rFonts w:cs="Arial"/>
                <w:sz w:val="16"/>
                <w:szCs w:val="16"/>
              </w:rPr>
              <w:t>1.533</w:t>
            </w:r>
          </w:p>
        </w:tc>
        <w:tc>
          <w:tcPr>
            <w:tcW w:w="1177" w:type="dxa"/>
            <w:tcBorders>
              <w:top w:val="nil"/>
              <w:bottom w:val="nil"/>
            </w:tcBorders>
            <w:vAlign w:val="center"/>
            <w:hideMark/>
          </w:tcPr>
          <w:p w14:paraId="38809137" w14:textId="77777777" w:rsidR="00EE405C" w:rsidRPr="00372745" w:rsidRDefault="00EE405C" w:rsidP="00450A3E">
            <w:pPr>
              <w:spacing w:after="0" w:line="240" w:lineRule="auto"/>
              <w:jc w:val="right"/>
              <w:rPr>
                <w:rFonts w:cs="Arial"/>
                <w:sz w:val="16"/>
                <w:szCs w:val="16"/>
              </w:rPr>
            </w:pPr>
            <w:r w:rsidRPr="00372745">
              <w:rPr>
                <w:rFonts w:cs="Arial"/>
                <w:sz w:val="16"/>
                <w:szCs w:val="16"/>
              </w:rPr>
              <w:t>1.518</w:t>
            </w:r>
          </w:p>
        </w:tc>
        <w:tc>
          <w:tcPr>
            <w:tcW w:w="1066" w:type="dxa"/>
            <w:tcBorders>
              <w:top w:val="nil"/>
              <w:bottom w:val="nil"/>
            </w:tcBorders>
            <w:vAlign w:val="center"/>
            <w:hideMark/>
          </w:tcPr>
          <w:p w14:paraId="374FC379" w14:textId="77777777" w:rsidR="00EE405C" w:rsidRPr="00372745" w:rsidRDefault="00EE405C" w:rsidP="00450A3E">
            <w:pPr>
              <w:spacing w:after="0" w:line="240" w:lineRule="auto"/>
              <w:jc w:val="right"/>
              <w:rPr>
                <w:rFonts w:cs="Arial"/>
                <w:sz w:val="16"/>
                <w:szCs w:val="16"/>
              </w:rPr>
            </w:pPr>
            <w:r w:rsidRPr="00372745">
              <w:rPr>
                <w:rFonts w:cs="Arial"/>
                <w:sz w:val="16"/>
                <w:szCs w:val="16"/>
              </w:rPr>
              <w:t>1.611</w:t>
            </w:r>
          </w:p>
        </w:tc>
        <w:tc>
          <w:tcPr>
            <w:tcW w:w="1066" w:type="dxa"/>
            <w:tcBorders>
              <w:top w:val="nil"/>
              <w:bottom w:val="nil"/>
            </w:tcBorders>
            <w:vAlign w:val="center"/>
            <w:hideMark/>
          </w:tcPr>
          <w:p w14:paraId="0A0AC04B" w14:textId="77777777" w:rsidR="00EE405C" w:rsidRPr="00372745" w:rsidRDefault="00EE405C" w:rsidP="00450A3E">
            <w:pPr>
              <w:spacing w:after="0" w:line="240" w:lineRule="auto"/>
              <w:jc w:val="right"/>
              <w:rPr>
                <w:rFonts w:cs="Arial"/>
                <w:sz w:val="16"/>
                <w:szCs w:val="16"/>
              </w:rPr>
            </w:pPr>
            <w:r w:rsidRPr="00372745">
              <w:rPr>
                <w:rFonts w:cs="Arial"/>
                <w:sz w:val="16"/>
                <w:szCs w:val="16"/>
              </w:rPr>
              <w:t>1.649</w:t>
            </w:r>
          </w:p>
        </w:tc>
      </w:tr>
      <w:tr w:rsidR="00EE405C" w:rsidRPr="00372745" w14:paraId="29C09423" w14:textId="77777777" w:rsidTr="00BF6CBB">
        <w:trPr>
          <w:cantSplit/>
          <w:jc w:val="center"/>
        </w:trPr>
        <w:tc>
          <w:tcPr>
            <w:tcW w:w="6017" w:type="dxa"/>
            <w:tcBorders>
              <w:top w:val="nil"/>
              <w:bottom w:val="nil"/>
            </w:tcBorders>
            <w:vAlign w:val="center"/>
            <w:hideMark/>
          </w:tcPr>
          <w:p w14:paraId="1238800E" w14:textId="77777777" w:rsidR="00EE405C" w:rsidRPr="00372745" w:rsidRDefault="00EE405C" w:rsidP="00450A3E">
            <w:pPr>
              <w:spacing w:after="0" w:line="240" w:lineRule="auto"/>
              <w:jc w:val="left"/>
              <w:rPr>
                <w:rFonts w:cs="Arial"/>
                <w:sz w:val="16"/>
                <w:szCs w:val="16"/>
              </w:rPr>
            </w:pPr>
            <w:r w:rsidRPr="00372745">
              <w:rPr>
                <w:rFonts w:cs="Arial"/>
                <w:sz w:val="16"/>
                <w:szCs w:val="16"/>
              </w:rPr>
              <w:t>Τόκοι χρεωστικοί</w:t>
            </w:r>
          </w:p>
        </w:tc>
        <w:tc>
          <w:tcPr>
            <w:tcW w:w="1068" w:type="dxa"/>
            <w:tcBorders>
              <w:top w:val="nil"/>
              <w:bottom w:val="nil"/>
            </w:tcBorders>
            <w:vAlign w:val="center"/>
            <w:hideMark/>
          </w:tcPr>
          <w:p w14:paraId="1C955781" w14:textId="77777777" w:rsidR="00EE405C" w:rsidRPr="00372745" w:rsidRDefault="00EE405C" w:rsidP="00450A3E">
            <w:pPr>
              <w:spacing w:after="0" w:line="240" w:lineRule="auto"/>
              <w:jc w:val="right"/>
              <w:rPr>
                <w:rFonts w:cs="Arial"/>
                <w:sz w:val="16"/>
                <w:szCs w:val="16"/>
              </w:rPr>
            </w:pPr>
            <w:r w:rsidRPr="00372745">
              <w:rPr>
                <w:rFonts w:cs="Arial"/>
                <w:sz w:val="16"/>
                <w:szCs w:val="16"/>
              </w:rPr>
              <w:t>393</w:t>
            </w:r>
          </w:p>
        </w:tc>
        <w:tc>
          <w:tcPr>
            <w:tcW w:w="1177" w:type="dxa"/>
            <w:tcBorders>
              <w:top w:val="nil"/>
              <w:bottom w:val="nil"/>
            </w:tcBorders>
            <w:vAlign w:val="center"/>
            <w:hideMark/>
          </w:tcPr>
          <w:p w14:paraId="284AAF1B" w14:textId="77777777" w:rsidR="00EE405C" w:rsidRPr="00372745" w:rsidRDefault="00EE405C" w:rsidP="00450A3E">
            <w:pPr>
              <w:spacing w:after="0" w:line="240" w:lineRule="auto"/>
              <w:jc w:val="right"/>
              <w:rPr>
                <w:rFonts w:cs="Arial"/>
                <w:sz w:val="16"/>
                <w:szCs w:val="16"/>
              </w:rPr>
            </w:pPr>
            <w:r w:rsidRPr="00372745">
              <w:rPr>
                <w:rFonts w:cs="Arial"/>
                <w:sz w:val="16"/>
                <w:szCs w:val="16"/>
              </w:rPr>
              <w:t>396</w:t>
            </w:r>
          </w:p>
        </w:tc>
        <w:tc>
          <w:tcPr>
            <w:tcW w:w="1066" w:type="dxa"/>
            <w:tcBorders>
              <w:top w:val="nil"/>
              <w:bottom w:val="nil"/>
            </w:tcBorders>
            <w:vAlign w:val="center"/>
            <w:hideMark/>
          </w:tcPr>
          <w:p w14:paraId="542C5DF9" w14:textId="77777777" w:rsidR="00EE405C" w:rsidRPr="00372745" w:rsidRDefault="00EE405C" w:rsidP="00450A3E">
            <w:pPr>
              <w:spacing w:after="0" w:line="240" w:lineRule="auto"/>
              <w:jc w:val="right"/>
              <w:rPr>
                <w:rFonts w:cs="Arial"/>
                <w:sz w:val="16"/>
                <w:szCs w:val="16"/>
              </w:rPr>
            </w:pPr>
            <w:r w:rsidRPr="00372745">
              <w:rPr>
                <w:rFonts w:cs="Arial"/>
                <w:sz w:val="16"/>
                <w:szCs w:val="16"/>
              </w:rPr>
              <w:t>386</w:t>
            </w:r>
          </w:p>
        </w:tc>
        <w:tc>
          <w:tcPr>
            <w:tcW w:w="1066" w:type="dxa"/>
            <w:tcBorders>
              <w:top w:val="nil"/>
              <w:bottom w:val="nil"/>
            </w:tcBorders>
            <w:vAlign w:val="center"/>
            <w:hideMark/>
          </w:tcPr>
          <w:p w14:paraId="451DF804" w14:textId="77777777" w:rsidR="00EE405C" w:rsidRPr="00372745" w:rsidRDefault="00EE405C" w:rsidP="00450A3E">
            <w:pPr>
              <w:spacing w:after="0" w:line="240" w:lineRule="auto"/>
              <w:jc w:val="right"/>
              <w:rPr>
                <w:rFonts w:cs="Arial"/>
                <w:sz w:val="16"/>
                <w:szCs w:val="16"/>
              </w:rPr>
            </w:pPr>
            <w:r w:rsidRPr="00372745">
              <w:rPr>
                <w:rFonts w:cs="Arial"/>
                <w:sz w:val="16"/>
                <w:szCs w:val="16"/>
              </w:rPr>
              <w:t>399</w:t>
            </w:r>
          </w:p>
        </w:tc>
      </w:tr>
      <w:tr w:rsidR="00EE405C" w:rsidRPr="00372745" w14:paraId="6AE4D872" w14:textId="77777777" w:rsidTr="00BF6CBB">
        <w:trPr>
          <w:cantSplit/>
          <w:jc w:val="center"/>
        </w:trPr>
        <w:tc>
          <w:tcPr>
            <w:tcW w:w="6017" w:type="dxa"/>
            <w:tcBorders>
              <w:top w:val="nil"/>
              <w:bottom w:val="nil"/>
            </w:tcBorders>
            <w:vAlign w:val="center"/>
            <w:hideMark/>
          </w:tcPr>
          <w:p w14:paraId="5BFFBEA8"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Λοιπά έξοδα</w:t>
            </w:r>
          </w:p>
        </w:tc>
        <w:tc>
          <w:tcPr>
            <w:tcW w:w="1068" w:type="dxa"/>
            <w:tcBorders>
              <w:top w:val="nil"/>
              <w:bottom w:val="nil"/>
            </w:tcBorders>
            <w:vAlign w:val="center"/>
            <w:hideMark/>
          </w:tcPr>
          <w:p w14:paraId="7D4218DB" w14:textId="77777777" w:rsidR="00EE405C" w:rsidRPr="00372745" w:rsidRDefault="00EE405C" w:rsidP="00450A3E">
            <w:pPr>
              <w:spacing w:after="0" w:line="240" w:lineRule="auto"/>
              <w:jc w:val="right"/>
              <w:rPr>
                <w:rFonts w:cs="Arial"/>
                <w:sz w:val="16"/>
                <w:szCs w:val="16"/>
              </w:rPr>
            </w:pPr>
            <w:r w:rsidRPr="00372745">
              <w:rPr>
                <w:rFonts w:cs="Arial"/>
                <w:sz w:val="16"/>
                <w:szCs w:val="16"/>
              </w:rPr>
              <w:t>3.285</w:t>
            </w:r>
          </w:p>
        </w:tc>
        <w:tc>
          <w:tcPr>
            <w:tcW w:w="1177" w:type="dxa"/>
            <w:tcBorders>
              <w:top w:val="nil"/>
              <w:bottom w:val="nil"/>
            </w:tcBorders>
            <w:vAlign w:val="center"/>
            <w:hideMark/>
          </w:tcPr>
          <w:p w14:paraId="6BC083FD" w14:textId="77777777" w:rsidR="00EE405C" w:rsidRPr="00372745" w:rsidRDefault="00EE405C" w:rsidP="00450A3E">
            <w:pPr>
              <w:spacing w:after="0" w:line="240" w:lineRule="auto"/>
              <w:jc w:val="right"/>
              <w:rPr>
                <w:rFonts w:cs="Arial"/>
                <w:sz w:val="16"/>
                <w:szCs w:val="16"/>
              </w:rPr>
            </w:pPr>
            <w:r w:rsidRPr="00372745">
              <w:rPr>
                <w:rFonts w:cs="Arial"/>
                <w:sz w:val="16"/>
                <w:szCs w:val="16"/>
              </w:rPr>
              <w:t>3.815</w:t>
            </w:r>
          </w:p>
        </w:tc>
        <w:tc>
          <w:tcPr>
            <w:tcW w:w="1066" w:type="dxa"/>
            <w:tcBorders>
              <w:top w:val="nil"/>
              <w:bottom w:val="nil"/>
            </w:tcBorders>
            <w:vAlign w:val="center"/>
            <w:hideMark/>
          </w:tcPr>
          <w:p w14:paraId="5394799E" w14:textId="77777777" w:rsidR="00EE405C" w:rsidRPr="00372745" w:rsidRDefault="00EE405C" w:rsidP="00450A3E">
            <w:pPr>
              <w:spacing w:after="0" w:line="240" w:lineRule="auto"/>
              <w:jc w:val="right"/>
              <w:rPr>
                <w:rFonts w:cs="Arial"/>
                <w:sz w:val="16"/>
                <w:szCs w:val="16"/>
              </w:rPr>
            </w:pPr>
            <w:r w:rsidRPr="00372745">
              <w:rPr>
                <w:rFonts w:cs="Arial"/>
                <w:sz w:val="16"/>
                <w:szCs w:val="16"/>
              </w:rPr>
              <w:t>3.741</w:t>
            </w:r>
          </w:p>
        </w:tc>
        <w:tc>
          <w:tcPr>
            <w:tcW w:w="1066" w:type="dxa"/>
            <w:tcBorders>
              <w:top w:val="nil"/>
              <w:bottom w:val="nil"/>
            </w:tcBorders>
            <w:vAlign w:val="center"/>
            <w:hideMark/>
          </w:tcPr>
          <w:p w14:paraId="020A9438" w14:textId="77777777" w:rsidR="00EE405C" w:rsidRPr="00372745" w:rsidRDefault="00EE405C" w:rsidP="00450A3E">
            <w:pPr>
              <w:spacing w:after="0" w:line="240" w:lineRule="auto"/>
              <w:jc w:val="right"/>
              <w:rPr>
                <w:rFonts w:cs="Arial"/>
                <w:sz w:val="16"/>
                <w:szCs w:val="16"/>
              </w:rPr>
            </w:pPr>
            <w:r w:rsidRPr="00372745">
              <w:rPr>
                <w:rFonts w:cs="Arial"/>
                <w:sz w:val="16"/>
                <w:szCs w:val="16"/>
              </w:rPr>
              <w:t>4.021</w:t>
            </w:r>
          </w:p>
        </w:tc>
      </w:tr>
      <w:tr w:rsidR="00EE405C" w:rsidRPr="00372745" w14:paraId="47AA72DE" w14:textId="77777777" w:rsidTr="00BF6CBB">
        <w:trPr>
          <w:cantSplit/>
          <w:jc w:val="center"/>
        </w:trPr>
        <w:tc>
          <w:tcPr>
            <w:tcW w:w="6017" w:type="dxa"/>
            <w:tcBorders>
              <w:top w:val="nil"/>
              <w:bottom w:val="nil"/>
            </w:tcBorders>
            <w:vAlign w:val="center"/>
            <w:hideMark/>
          </w:tcPr>
          <w:p w14:paraId="68507EC8" w14:textId="77777777" w:rsidR="00EE405C" w:rsidRPr="00372745" w:rsidRDefault="00EE405C" w:rsidP="00450A3E">
            <w:pPr>
              <w:spacing w:after="0" w:line="240" w:lineRule="auto"/>
              <w:jc w:val="left"/>
              <w:rPr>
                <w:rFonts w:cs="Arial"/>
                <w:sz w:val="16"/>
                <w:szCs w:val="16"/>
              </w:rPr>
            </w:pPr>
            <w:r w:rsidRPr="00372745">
              <w:rPr>
                <w:rFonts w:cs="Arial"/>
                <w:sz w:val="16"/>
                <w:szCs w:val="16"/>
              </w:rPr>
              <w:t>Επενδυτικές δαπάνες</w:t>
            </w:r>
          </w:p>
        </w:tc>
        <w:tc>
          <w:tcPr>
            <w:tcW w:w="1068" w:type="dxa"/>
            <w:tcBorders>
              <w:top w:val="nil"/>
              <w:bottom w:val="nil"/>
            </w:tcBorders>
            <w:vAlign w:val="center"/>
            <w:hideMark/>
          </w:tcPr>
          <w:p w14:paraId="731CA8AD" w14:textId="77777777" w:rsidR="00EE405C" w:rsidRPr="00372745" w:rsidRDefault="00EE405C" w:rsidP="00450A3E">
            <w:pPr>
              <w:spacing w:after="0" w:line="240" w:lineRule="auto"/>
              <w:jc w:val="right"/>
              <w:rPr>
                <w:rFonts w:cs="Arial"/>
                <w:sz w:val="16"/>
                <w:szCs w:val="16"/>
              </w:rPr>
            </w:pPr>
            <w:r w:rsidRPr="00372745">
              <w:rPr>
                <w:rFonts w:cs="Arial"/>
                <w:sz w:val="16"/>
                <w:szCs w:val="16"/>
              </w:rPr>
              <w:t>1.527</w:t>
            </w:r>
          </w:p>
        </w:tc>
        <w:tc>
          <w:tcPr>
            <w:tcW w:w="1177" w:type="dxa"/>
            <w:tcBorders>
              <w:top w:val="nil"/>
              <w:bottom w:val="nil"/>
            </w:tcBorders>
            <w:vAlign w:val="center"/>
            <w:hideMark/>
          </w:tcPr>
          <w:p w14:paraId="2D7FF5E0" w14:textId="77777777" w:rsidR="00EE405C" w:rsidRPr="00372745" w:rsidRDefault="00EE405C" w:rsidP="00450A3E">
            <w:pPr>
              <w:spacing w:after="0" w:line="240" w:lineRule="auto"/>
              <w:jc w:val="right"/>
              <w:rPr>
                <w:rFonts w:cs="Arial"/>
                <w:sz w:val="16"/>
                <w:szCs w:val="16"/>
              </w:rPr>
            </w:pPr>
            <w:r w:rsidRPr="00372745">
              <w:rPr>
                <w:rFonts w:cs="Arial"/>
                <w:sz w:val="16"/>
                <w:szCs w:val="16"/>
              </w:rPr>
              <w:t>2.571</w:t>
            </w:r>
          </w:p>
        </w:tc>
        <w:tc>
          <w:tcPr>
            <w:tcW w:w="1066" w:type="dxa"/>
            <w:tcBorders>
              <w:top w:val="nil"/>
              <w:bottom w:val="nil"/>
            </w:tcBorders>
            <w:vAlign w:val="center"/>
            <w:hideMark/>
          </w:tcPr>
          <w:p w14:paraId="21086420" w14:textId="77777777" w:rsidR="00EE405C" w:rsidRPr="00372745" w:rsidRDefault="00EE405C" w:rsidP="00450A3E">
            <w:pPr>
              <w:spacing w:after="0" w:line="240" w:lineRule="auto"/>
              <w:jc w:val="right"/>
              <w:rPr>
                <w:rFonts w:cs="Arial"/>
                <w:sz w:val="16"/>
                <w:szCs w:val="16"/>
              </w:rPr>
            </w:pPr>
            <w:r w:rsidRPr="00372745">
              <w:rPr>
                <w:rFonts w:cs="Arial"/>
                <w:sz w:val="16"/>
                <w:szCs w:val="16"/>
              </w:rPr>
              <w:t>2.213</w:t>
            </w:r>
          </w:p>
        </w:tc>
        <w:tc>
          <w:tcPr>
            <w:tcW w:w="1066" w:type="dxa"/>
            <w:tcBorders>
              <w:top w:val="nil"/>
              <w:bottom w:val="nil"/>
            </w:tcBorders>
            <w:vAlign w:val="center"/>
            <w:hideMark/>
          </w:tcPr>
          <w:p w14:paraId="59F5D99E" w14:textId="77777777" w:rsidR="00EE405C" w:rsidRPr="00372745" w:rsidRDefault="00EE405C" w:rsidP="00450A3E">
            <w:pPr>
              <w:spacing w:after="0" w:line="240" w:lineRule="auto"/>
              <w:jc w:val="right"/>
              <w:rPr>
                <w:rFonts w:cs="Arial"/>
                <w:sz w:val="16"/>
                <w:szCs w:val="16"/>
              </w:rPr>
            </w:pPr>
            <w:r w:rsidRPr="00372745">
              <w:rPr>
                <w:rFonts w:cs="Arial"/>
                <w:sz w:val="16"/>
                <w:szCs w:val="16"/>
              </w:rPr>
              <w:t>2.421</w:t>
            </w:r>
          </w:p>
        </w:tc>
      </w:tr>
      <w:tr w:rsidR="00EE405C" w:rsidRPr="00372745" w14:paraId="422602F1" w14:textId="77777777" w:rsidTr="00BF6CBB">
        <w:trPr>
          <w:cantSplit/>
          <w:jc w:val="center"/>
        </w:trPr>
        <w:tc>
          <w:tcPr>
            <w:tcW w:w="6017" w:type="dxa"/>
            <w:tcBorders>
              <w:top w:val="nil"/>
              <w:bottom w:val="nil"/>
            </w:tcBorders>
            <w:vAlign w:val="center"/>
            <w:hideMark/>
          </w:tcPr>
          <w:p w14:paraId="71057AC6"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Λοιπές μεταβιβάσεις</w:t>
            </w:r>
          </w:p>
        </w:tc>
        <w:tc>
          <w:tcPr>
            <w:tcW w:w="1068" w:type="dxa"/>
            <w:tcBorders>
              <w:top w:val="nil"/>
              <w:bottom w:val="nil"/>
            </w:tcBorders>
            <w:vAlign w:val="center"/>
            <w:hideMark/>
          </w:tcPr>
          <w:p w14:paraId="7A43ECBF" w14:textId="77777777" w:rsidR="00EE405C" w:rsidRPr="00372745" w:rsidRDefault="00EE405C" w:rsidP="00450A3E">
            <w:pPr>
              <w:spacing w:after="0" w:line="240" w:lineRule="auto"/>
              <w:jc w:val="right"/>
              <w:rPr>
                <w:rFonts w:cs="Arial"/>
                <w:sz w:val="16"/>
                <w:szCs w:val="16"/>
              </w:rPr>
            </w:pPr>
            <w:r w:rsidRPr="00372745">
              <w:rPr>
                <w:rFonts w:cs="Arial"/>
                <w:sz w:val="16"/>
                <w:szCs w:val="16"/>
              </w:rPr>
              <w:t>1.379</w:t>
            </w:r>
          </w:p>
        </w:tc>
        <w:tc>
          <w:tcPr>
            <w:tcW w:w="1177" w:type="dxa"/>
            <w:tcBorders>
              <w:top w:val="nil"/>
              <w:bottom w:val="nil"/>
            </w:tcBorders>
            <w:vAlign w:val="center"/>
            <w:hideMark/>
          </w:tcPr>
          <w:p w14:paraId="1ADE4E1B" w14:textId="77777777" w:rsidR="00EE405C" w:rsidRPr="00372745" w:rsidRDefault="00EE405C" w:rsidP="00450A3E">
            <w:pPr>
              <w:spacing w:after="0" w:line="240" w:lineRule="auto"/>
              <w:jc w:val="right"/>
              <w:rPr>
                <w:rFonts w:cs="Arial"/>
                <w:sz w:val="16"/>
                <w:szCs w:val="16"/>
              </w:rPr>
            </w:pPr>
            <w:r w:rsidRPr="00372745">
              <w:rPr>
                <w:rFonts w:cs="Arial"/>
                <w:sz w:val="16"/>
                <w:szCs w:val="16"/>
              </w:rPr>
              <w:t>685</w:t>
            </w:r>
          </w:p>
        </w:tc>
        <w:tc>
          <w:tcPr>
            <w:tcW w:w="1066" w:type="dxa"/>
            <w:tcBorders>
              <w:top w:val="nil"/>
              <w:bottom w:val="nil"/>
            </w:tcBorders>
            <w:vAlign w:val="center"/>
            <w:hideMark/>
          </w:tcPr>
          <w:p w14:paraId="5D6718E1" w14:textId="77777777" w:rsidR="00EE405C" w:rsidRPr="00372745" w:rsidRDefault="00EE405C" w:rsidP="00450A3E">
            <w:pPr>
              <w:spacing w:after="0" w:line="240" w:lineRule="auto"/>
              <w:jc w:val="right"/>
              <w:rPr>
                <w:rFonts w:cs="Arial"/>
                <w:sz w:val="16"/>
                <w:szCs w:val="16"/>
              </w:rPr>
            </w:pPr>
            <w:r w:rsidRPr="00372745">
              <w:rPr>
                <w:rFonts w:cs="Arial"/>
                <w:sz w:val="16"/>
                <w:szCs w:val="16"/>
              </w:rPr>
              <w:t>1.309</w:t>
            </w:r>
          </w:p>
        </w:tc>
        <w:tc>
          <w:tcPr>
            <w:tcW w:w="1066" w:type="dxa"/>
            <w:tcBorders>
              <w:top w:val="nil"/>
              <w:bottom w:val="nil"/>
            </w:tcBorders>
            <w:vAlign w:val="center"/>
            <w:hideMark/>
          </w:tcPr>
          <w:p w14:paraId="57325CFC" w14:textId="77777777" w:rsidR="00EE405C" w:rsidRPr="00372745" w:rsidRDefault="00EE405C" w:rsidP="00450A3E">
            <w:pPr>
              <w:spacing w:after="0" w:line="240" w:lineRule="auto"/>
              <w:jc w:val="right"/>
              <w:rPr>
                <w:rFonts w:cs="Arial"/>
                <w:sz w:val="16"/>
                <w:szCs w:val="16"/>
              </w:rPr>
            </w:pPr>
            <w:r w:rsidRPr="00372745">
              <w:rPr>
                <w:rFonts w:cs="Arial"/>
                <w:sz w:val="16"/>
                <w:szCs w:val="16"/>
              </w:rPr>
              <w:t>907</w:t>
            </w:r>
          </w:p>
        </w:tc>
      </w:tr>
      <w:tr w:rsidR="00EE405C" w:rsidRPr="00372745" w14:paraId="74A0D5A1" w14:textId="77777777" w:rsidTr="00BF6CBB">
        <w:trPr>
          <w:cantSplit/>
          <w:jc w:val="center"/>
        </w:trPr>
        <w:tc>
          <w:tcPr>
            <w:tcW w:w="6017" w:type="dxa"/>
            <w:tcBorders>
              <w:top w:val="nil"/>
              <w:bottom w:val="nil"/>
            </w:tcBorders>
            <w:vAlign w:val="center"/>
            <w:hideMark/>
          </w:tcPr>
          <w:p w14:paraId="474BB7C2" w14:textId="77777777" w:rsidR="00EE405C" w:rsidRPr="00372745" w:rsidRDefault="00EE405C" w:rsidP="00450A3E">
            <w:pPr>
              <w:spacing w:after="0" w:line="240" w:lineRule="auto"/>
              <w:jc w:val="left"/>
              <w:rPr>
                <w:rFonts w:cs="Arial"/>
                <w:sz w:val="16"/>
                <w:szCs w:val="16"/>
              </w:rPr>
            </w:pPr>
            <w:r w:rsidRPr="00372745">
              <w:rPr>
                <w:rFonts w:cs="Arial"/>
                <w:sz w:val="16"/>
                <w:szCs w:val="16"/>
              </w:rPr>
              <w:t>Επιδοτήσεις</w:t>
            </w:r>
          </w:p>
        </w:tc>
        <w:tc>
          <w:tcPr>
            <w:tcW w:w="1068" w:type="dxa"/>
            <w:tcBorders>
              <w:top w:val="nil"/>
              <w:bottom w:val="nil"/>
            </w:tcBorders>
            <w:vAlign w:val="center"/>
            <w:hideMark/>
          </w:tcPr>
          <w:p w14:paraId="3ED57002" w14:textId="77777777" w:rsidR="00EE405C" w:rsidRPr="00372745" w:rsidRDefault="00EE405C" w:rsidP="00450A3E">
            <w:pPr>
              <w:spacing w:after="0" w:line="240" w:lineRule="auto"/>
              <w:jc w:val="right"/>
              <w:rPr>
                <w:rFonts w:cs="Arial"/>
                <w:sz w:val="16"/>
                <w:szCs w:val="16"/>
              </w:rPr>
            </w:pPr>
            <w:r w:rsidRPr="00372745">
              <w:rPr>
                <w:rFonts w:cs="Arial"/>
                <w:sz w:val="16"/>
                <w:szCs w:val="16"/>
              </w:rPr>
              <w:t>2.978</w:t>
            </w:r>
          </w:p>
        </w:tc>
        <w:tc>
          <w:tcPr>
            <w:tcW w:w="1177" w:type="dxa"/>
            <w:tcBorders>
              <w:top w:val="nil"/>
              <w:bottom w:val="nil"/>
            </w:tcBorders>
            <w:vAlign w:val="center"/>
            <w:hideMark/>
          </w:tcPr>
          <w:p w14:paraId="1D36D119" w14:textId="77777777" w:rsidR="00EE405C" w:rsidRPr="00372745" w:rsidRDefault="00EE405C" w:rsidP="00450A3E">
            <w:pPr>
              <w:spacing w:after="0" w:line="240" w:lineRule="auto"/>
              <w:jc w:val="right"/>
              <w:rPr>
                <w:rFonts w:cs="Arial"/>
                <w:sz w:val="16"/>
                <w:szCs w:val="16"/>
              </w:rPr>
            </w:pPr>
            <w:r w:rsidRPr="00372745">
              <w:rPr>
                <w:rFonts w:cs="Arial"/>
                <w:sz w:val="16"/>
                <w:szCs w:val="16"/>
              </w:rPr>
              <w:t>2.713</w:t>
            </w:r>
          </w:p>
        </w:tc>
        <w:tc>
          <w:tcPr>
            <w:tcW w:w="1066" w:type="dxa"/>
            <w:tcBorders>
              <w:top w:val="nil"/>
              <w:bottom w:val="nil"/>
            </w:tcBorders>
            <w:vAlign w:val="center"/>
            <w:hideMark/>
          </w:tcPr>
          <w:p w14:paraId="5B0073C9" w14:textId="77777777" w:rsidR="00EE405C" w:rsidRPr="00372745" w:rsidRDefault="00EE405C" w:rsidP="00450A3E">
            <w:pPr>
              <w:spacing w:after="0" w:line="240" w:lineRule="auto"/>
              <w:jc w:val="right"/>
              <w:rPr>
                <w:rFonts w:cs="Arial"/>
                <w:sz w:val="16"/>
                <w:szCs w:val="16"/>
              </w:rPr>
            </w:pPr>
            <w:r w:rsidRPr="00372745">
              <w:rPr>
                <w:rFonts w:cs="Arial"/>
                <w:sz w:val="16"/>
                <w:szCs w:val="16"/>
              </w:rPr>
              <w:t>2.749</w:t>
            </w:r>
          </w:p>
        </w:tc>
        <w:tc>
          <w:tcPr>
            <w:tcW w:w="1066" w:type="dxa"/>
            <w:tcBorders>
              <w:top w:val="nil"/>
              <w:bottom w:val="nil"/>
            </w:tcBorders>
            <w:vAlign w:val="center"/>
            <w:hideMark/>
          </w:tcPr>
          <w:p w14:paraId="3B66DFB4" w14:textId="77777777" w:rsidR="00EE405C" w:rsidRPr="00372745" w:rsidRDefault="00EE405C" w:rsidP="00450A3E">
            <w:pPr>
              <w:spacing w:after="0" w:line="240" w:lineRule="auto"/>
              <w:jc w:val="right"/>
              <w:rPr>
                <w:rFonts w:cs="Arial"/>
                <w:sz w:val="16"/>
                <w:szCs w:val="16"/>
              </w:rPr>
            </w:pPr>
            <w:r w:rsidRPr="00372745">
              <w:rPr>
                <w:rFonts w:cs="Arial"/>
                <w:sz w:val="16"/>
                <w:szCs w:val="16"/>
              </w:rPr>
              <w:t>2.735</w:t>
            </w:r>
          </w:p>
        </w:tc>
      </w:tr>
      <w:tr w:rsidR="00EE405C" w:rsidRPr="00372745" w14:paraId="347D1F12" w14:textId="77777777" w:rsidTr="00BF6CBB">
        <w:trPr>
          <w:cantSplit/>
          <w:trHeight w:val="227"/>
          <w:jc w:val="center"/>
        </w:trPr>
        <w:tc>
          <w:tcPr>
            <w:tcW w:w="6017" w:type="dxa"/>
            <w:tcBorders>
              <w:top w:val="nil"/>
              <w:bottom w:val="nil"/>
            </w:tcBorders>
            <w:shd w:val="clear" w:color="auto" w:fill="D5DCE4"/>
            <w:vAlign w:val="center"/>
            <w:hideMark/>
          </w:tcPr>
          <w:p w14:paraId="57C64FDC"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VΙ. Ισοζύγιο Νοσοκομείων - ΠΦΥ κατά ESA</w:t>
            </w:r>
          </w:p>
        </w:tc>
        <w:tc>
          <w:tcPr>
            <w:tcW w:w="1068" w:type="dxa"/>
            <w:tcBorders>
              <w:top w:val="nil"/>
              <w:bottom w:val="nil"/>
            </w:tcBorders>
            <w:shd w:val="clear" w:color="auto" w:fill="D5DCE4"/>
            <w:vAlign w:val="center"/>
            <w:hideMark/>
          </w:tcPr>
          <w:p w14:paraId="6DF2879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80</w:t>
            </w:r>
          </w:p>
        </w:tc>
        <w:tc>
          <w:tcPr>
            <w:tcW w:w="1177" w:type="dxa"/>
            <w:tcBorders>
              <w:top w:val="nil"/>
              <w:bottom w:val="nil"/>
            </w:tcBorders>
            <w:shd w:val="clear" w:color="auto" w:fill="D5DCE4"/>
            <w:vAlign w:val="center"/>
            <w:hideMark/>
          </w:tcPr>
          <w:p w14:paraId="0C49399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273</w:t>
            </w:r>
          </w:p>
        </w:tc>
        <w:tc>
          <w:tcPr>
            <w:tcW w:w="1066" w:type="dxa"/>
            <w:tcBorders>
              <w:top w:val="nil"/>
              <w:bottom w:val="nil"/>
            </w:tcBorders>
            <w:shd w:val="clear" w:color="auto" w:fill="D5DCE4"/>
            <w:vAlign w:val="center"/>
            <w:hideMark/>
          </w:tcPr>
          <w:p w14:paraId="703378D2"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240</w:t>
            </w:r>
          </w:p>
        </w:tc>
        <w:tc>
          <w:tcPr>
            <w:tcW w:w="1066" w:type="dxa"/>
            <w:tcBorders>
              <w:top w:val="nil"/>
              <w:bottom w:val="nil"/>
            </w:tcBorders>
            <w:shd w:val="clear" w:color="auto" w:fill="D5DCE4"/>
            <w:vAlign w:val="center"/>
            <w:hideMark/>
          </w:tcPr>
          <w:p w14:paraId="01AF131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478</w:t>
            </w:r>
          </w:p>
        </w:tc>
      </w:tr>
      <w:tr w:rsidR="00EE405C" w:rsidRPr="00372745" w14:paraId="0ADA4A00" w14:textId="77777777" w:rsidTr="00BF6CBB">
        <w:trPr>
          <w:cantSplit/>
          <w:trHeight w:val="181"/>
          <w:jc w:val="center"/>
        </w:trPr>
        <w:tc>
          <w:tcPr>
            <w:tcW w:w="6017" w:type="dxa"/>
            <w:tcBorders>
              <w:top w:val="nil"/>
              <w:bottom w:val="nil"/>
            </w:tcBorders>
            <w:vAlign w:val="center"/>
            <w:hideMark/>
          </w:tcPr>
          <w:p w14:paraId="3F1DBFB9" w14:textId="190BDE19" w:rsidR="00EE405C" w:rsidRPr="00372745" w:rsidRDefault="00EE405C" w:rsidP="00450A3E">
            <w:pPr>
              <w:spacing w:after="0" w:line="240" w:lineRule="auto"/>
              <w:jc w:val="left"/>
              <w:rPr>
                <w:rFonts w:cs="Arial"/>
                <w:b/>
                <w:bCs/>
                <w:sz w:val="16"/>
                <w:szCs w:val="16"/>
              </w:rPr>
            </w:pPr>
            <w:r w:rsidRPr="00372745">
              <w:rPr>
                <w:rFonts w:cs="Arial"/>
                <w:b/>
                <w:bCs/>
                <w:sz w:val="16"/>
                <w:szCs w:val="16"/>
              </w:rPr>
              <w:t>Έσοδα</w:t>
            </w:r>
          </w:p>
        </w:tc>
        <w:tc>
          <w:tcPr>
            <w:tcW w:w="1068" w:type="dxa"/>
            <w:tcBorders>
              <w:top w:val="nil"/>
              <w:bottom w:val="nil"/>
            </w:tcBorders>
            <w:vAlign w:val="center"/>
            <w:hideMark/>
          </w:tcPr>
          <w:p w14:paraId="7350DFF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3.900</w:t>
            </w:r>
          </w:p>
        </w:tc>
        <w:tc>
          <w:tcPr>
            <w:tcW w:w="1177" w:type="dxa"/>
            <w:tcBorders>
              <w:top w:val="nil"/>
              <w:bottom w:val="nil"/>
            </w:tcBorders>
            <w:vAlign w:val="center"/>
            <w:hideMark/>
          </w:tcPr>
          <w:p w14:paraId="00AC023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4.254</w:t>
            </w:r>
          </w:p>
        </w:tc>
        <w:tc>
          <w:tcPr>
            <w:tcW w:w="1066" w:type="dxa"/>
            <w:tcBorders>
              <w:top w:val="nil"/>
              <w:bottom w:val="nil"/>
            </w:tcBorders>
            <w:vAlign w:val="center"/>
            <w:hideMark/>
          </w:tcPr>
          <w:p w14:paraId="61DC92A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4.518</w:t>
            </w:r>
          </w:p>
        </w:tc>
        <w:tc>
          <w:tcPr>
            <w:tcW w:w="1066" w:type="dxa"/>
            <w:tcBorders>
              <w:top w:val="nil"/>
              <w:bottom w:val="nil"/>
            </w:tcBorders>
            <w:vAlign w:val="center"/>
            <w:hideMark/>
          </w:tcPr>
          <w:p w14:paraId="65F1DDE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4.746</w:t>
            </w:r>
          </w:p>
        </w:tc>
      </w:tr>
      <w:tr w:rsidR="00EE405C" w:rsidRPr="00372745" w14:paraId="2923861F" w14:textId="77777777" w:rsidTr="00BF6CBB">
        <w:trPr>
          <w:cantSplit/>
          <w:jc w:val="center"/>
        </w:trPr>
        <w:tc>
          <w:tcPr>
            <w:tcW w:w="6017" w:type="dxa"/>
            <w:tcBorders>
              <w:top w:val="nil"/>
              <w:bottom w:val="nil"/>
            </w:tcBorders>
            <w:vAlign w:val="center"/>
            <w:hideMark/>
          </w:tcPr>
          <w:p w14:paraId="73559121" w14:textId="657FAA80" w:rsidR="00EE405C" w:rsidRPr="00372745" w:rsidRDefault="00EE405C" w:rsidP="00450A3E">
            <w:pPr>
              <w:spacing w:after="0" w:line="240" w:lineRule="auto"/>
              <w:jc w:val="left"/>
              <w:rPr>
                <w:rFonts w:cs="Arial"/>
                <w:sz w:val="16"/>
                <w:szCs w:val="16"/>
              </w:rPr>
            </w:pPr>
            <w:r w:rsidRPr="00372745">
              <w:rPr>
                <w:rFonts w:cs="Arial"/>
                <w:sz w:val="16"/>
                <w:szCs w:val="16"/>
              </w:rPr>
              <w:t xml:space="preserve">Τρέχουσες </w:t>
            </w:r>
            <w:r w:rsidR="00104B20">
              <w:rPr>
                <w:rFonts w:cs="Arial"/>
                <w:sz w:val="16"/>
                <w:szCs w:val="16"/>
              </w:rPr>
              <w:t>και</w:t>
            </w:r>
            <w:r w:rsidRPr="00372745">
              <w:rPr>
                <w:rFonts w:cs="Arial"/>
                <w:sz w:val="16"/>
                <w:szCs w:val="16"/>
              </w:rPr>
              <w:t xml:space="preserve"> λοιπές κεφαλαιακές μεταβιβάσεις</w:t>
            </w:r>
          </w:p>
        </w:tc>
        <w:tc>
          <w:tcPr>
            <w:tcW w:w="1068" w:type="dxa"/>
            <w:tcBorders>
              <w:top w:val="nil"/>
              <w:bottom w:val="nil"/>
            </w:tcBorders>
            <w:vAlign w:val="center"/>
            <w:hideMark/>
          </w:tcPr>
          <w:p w14:paraId="34AD827E" w14:textId="77777777" w:rsidR="00EE405C" w:rsidRPr="00372745" w:rsidRDefault="00EE405C" w:rsidP="00450A3E">
            <w:pPr>
              <w:spacing w:after="0" w:line="240" w:lineRule="auto"/>
              <w:jc w:val="right"/>
              <w:rPr>
                <w:rFonts w:cs="Arial"/>
                <w:sz w:val="16"/>
                <w:szCs w:val="16"/>
              </w:rPr>
            </w:pPr>
            <w:r w:rsidRPr="00372745">
              <w:rPr>
                <w:rFonts w:cs="Arial"/>
                <w:sz w:val="16"/>
                <w:szCs w:val="16"/>
              </w:rPr>
              <w:t>2.854</w:t>
            </w:r>
          </w:p>
        </w:tc>
        <w:tc>
          <w:tcPr>
            <w:tcW w:w="1177" w:type="dxa"/>
            <w:tcBorders>
              <w:top w:val="nil"/>
              <w:bottom w:val="nil"/>
            </w:tcBorders>
            <w:vAlign w:val="center"/>
            <w:hideMark/>
          </w:tcPr>
          <w:p w14:paraId="7F73FE00" w14:textId="77777777" w:rsidR="00EE405C" w:rsidRPr="00372745" w:rsidRDefault="00EE405C" w:rsidP="00450A3E">
            <w:pPr>
              <w:spacing w:after="0" w:line="240" w:lineRule="auto"/>
              <w:jc w:val="right"/>
              <w:rPr>
                <w:rFonts w:cs="Arial"/>
                <w:sz w:val="16"/>
                <w:szCs w:val="16"/>
              </w:rPr>
            </w:pPr>
            <w:r w:rsidRPr="00372745">
              <w:rPr>
                <w:rFonts w:cs="Arial"/>
                <w:sz w:val="16"/>
                <w:szCs w:val="16"/>
              </w:rPr>
              <w:t>3.191</w:t>
            </w:r>
          </w:p>
        </w:tc>
        <w:tc>
          <w:tcPr>
            <w:tcW w:w="1066" w:type="dxa"/>
            <w:tcBorders>
              <w:top w:val="nil"/>
              <w:bottom w:val="nil"/>
            </w:tcBorders>
            <w:vAlign w:val="center"/>
            <w:hideMark/>
          </w:tcPr>
          <w:p w14:paraId="1FE44B3A" w14:textId="77777777" w:rsidR="00EE405C" w:rsidRPr="00372745" w:rsidRDefault="00EE405C" w:rsidP="00450A3E">
            <w:pPr>
              <w:spacing w:after="0" w:line="240" w:lineRule="auto"/>
              <w:jc w:val="right"/>
              <w:rPr>
                <w:rFonts w:cs="Arial"/>
                <w:sz w:val="16"/>
                <w:szCs w:val="16"/>
              </w:rPr>
            </w:pPr>
            <w:r w:rsidRPr="00372745">
              <w:rPr>
                <w:rFonts w:cs="Arial"/>
                <w:sz w:val="16"/>
                <w:szCs w:val="16"/>
              </w:rPr>
              <w:t>2.515</w:t>
            </w:r>
          </w:p>
        </w:tc>
        <w:tc>
          <w:tcPr>
            <w:tcW w:w="1066" w:type="dxa"/>
            <w:tcBorders>
              <w:top w:val="nil"/>
              <w:bottom w:val="nil"/>
            </w:tcBorders>
            <w:vAlign w:val="center"/>
            <w:hideMark/>
          </w:tcPr>
          <w:p w14:paraId="1426A20D" w14:textId="77777777" w:rsidR="00EE405C" w:rsidRPr="00372745" w:rsidRDefault="00EE405C" w:rsidP="00450A3E">
            <w:pPr>
              <w:spacing w:after="0" w:line="240" w:lineRule="auto"/>
              <w:jc w:val="right"/>
              <w:rPr>
                <w:rFonts w:cs="Arial"/>
                <w:sz w:val="16"/>
                <w:szCs w:val="16"/>
              </w:rPr>
            </w:pPr>
            <w:r w:rsidRPr="00372745">
              <w:rPr>
                <w:rFonts w:cs="Arial"/>
                <w:sz w:val="16"/>
                <w:szCs w:val="16"/>
              </w:rPr>
              <w:t>2.738</w:t>
            </w:r>
          </w:p>
        </w:tc>
      </w:tr>
      <w:tr w:rsidR="00EE405C" w:rsidRPr="00372745" w14:paraId="4260093F" w14:textId="77777777" w:rsidTr="00BF6CBB">
        <w:trPr>
          <w:cantSplit/>
          <w:jc w:val="center"/>
        </w:trPr>
        <w:tc>
          <w:tcPr>
            <w:tcW w:w="6017" w:type="dxa"/>
            <w:tcBorders>
              <w:top w:val="nil"/>
              <w:bottom w:val="nil"/>
            </w:tcBorders>
            <w:vAlign w:val="center"/>
            <w:hideMark/>
          </w:tcPr>
          <w:p w14:paraId="52DD0BFB" w14:textId="77777777" w:rsidR="00EE405C" w:rsidRPr="00372745" w:rsidRDefault="00EE405C" w:rsidP="00450A3E">
            <w:pPr>
              <w:spacing w:after="0" w:line="240" w:lineRule="auto"/>
              <w:jc w:val="left"/>
              <w:rPr>
                <w:rFonts w:cs="Arial"/>
                <w:sz w:val="16"/>
                <w:szCs w:val="16"/>
              </w:rPr>
            </w:pPr>
            <w:r w:rsidRPr="00372745">
              <w:rPr>
                <w:rFonts w:cs="Arial"/>
                <w:sz w:val="16"/>
                <w:szCs w:val="16"/>
              </w:rPr>
              <w:t>Μεταβιβάσεις από ΕΟΠΥΥ</w:t>
            </w:r>
          </w:p>
        </w:tc>
        <w:tc>
          <w:tcPr>
            <w:tcW w:w="1068" w:type="dxa"/>
            <w:tcBorders>
              <w:top w:val="nil"/>
              <w:bottom w:val="nil"/>
            </w:tcBorders>
            <w:vAlign w:val="center"/>
            <w:hideMark/>
          </w:tcPr>
          <w:p w14:paraId="05218948" w14:textId="77777777" w:rsidR="00EE405C" w:rsidRPr="00372745" w:rsidRDefault="00EE405C" w:rsidP="00450A3E">
            <w:pPr>
              <w:spacing w:after="0" w:line="240" w:lineRule="auto"/>
              <w:jc w:val="right"/>
              <w:rPr>
                <w:rFonts w:cs="Arial"/>
                <w:sz w:val="16"/>
                <w:szCs w:val="16"/>
              </w:rPr>
            </w:pPr>
            <w:r w:rsidRPr="00372745">
              <w:rPr>
                <w:rFonts w:cs="Arial"/>
                <w:sz w:val="16"/>
                <w:szCs w:val="16"/>
              </w:rPr>
              <w:t>891</w:t>
            </w:r>
          </w:p>
        </w:tc>
        <w:tc>
          <w:tcPr>
            <w:tcW w:w="1177" w:type="dxa"/>
            <w:tcBorders>
              <w:top w:val="nil"/>
              <w:bottom w:val="nil"/>
            </w:tcBorders>
            <w:vAlign w:val="center"/>
            <w:hideMark/>
          </w:tcPr>
          <w:p w14:paraId="729C549D" w14:textId="77777777" w:rsidR="00EE405C" w:rsidRPr="00372745" w:rsidRDefault="00EE405C" w:rsidP="00450A3E">
            <w:pPr>
              <w:spacing w:after="0" w:line="240" w:lineRule="auto"/>
              <w:jc w:val="right"/>
              <w:rPr>
                <w:rFonts w:cs="Arial"/>
                <w:sz w:val="16"/>
                <w:szCs w:val="16"/>
              </w:rPr>
            </w:pPr>
            <w:r w:rsidRPr="00372745">
              <w:rPr>
                <w:rFonts w:cs="Arial"/>
                <w:sz w:val="16"/>
                <w:szCs w:val="16"/>
              </w:rPr>
              <w:t>911</w:t>
            </w:r>
          </w:p>
        </w:tc>
        <w:tc>
          <w:tcPr>
            <w:tcW w:w="1066" w:type="dxa"/>
            <w:tcBorders>
              <w:top w:val="nil"/>
              <w:bottom w:val="nil"/>
            </w:tcBorders>
            <w:vAlign w:val="center"/>
            <w:hideMark/>
          </w:tcPr>
          <w:p w14:paraId="7266F37C" w14:textId="77777777" w:rsidR="00EE405C" w:rsidRPr="00372745" w:rsidRDefault="00EE405C" w:rsidP="00450A3E">
            <w:pPr>
              <w:spacing w:after="0" w:line="240" w:lineRule="auto"/>
              <w:jc w:val="right"/>
              <w:rPr>
                <w:rFonts w:cs="Arial"/>
                <w:sz w:val="16"/>
                <w:szCs w:val="16"/>
              </w:rPr>
            </w:pPr>
            <w:r w:rsidRPr="00372745">
              <w:rPr>
                <w:rFonts w:cs="Arial"/>
                <w:sz w:val="16"/>
                <w:szCs w:val="16"/>
              </w:rPr>
              <w:t>1.823</w:t>
            </w:r>
          </w:p>
        </w:tc>
        <w:tc>
          <w:tcPr>
            <w:tcW w:w="1066" w:type="dxa"/>
            <w:tcBorders>
              <w:top w:val="nil"/>
              <w:bottom w:val="nil"/>
            </w:tcBorders>
            <w:vAlign w:val="center"/>
            <w:hideMark/>
          </w:tcPr>
          <w:p w14:paraId="7297BDFA" w14:textId="77777777" w:rsidR="00EE405C" w:rsidRPr="00372745" w:rsidRDefault="00EE405C" w:rsidP="00450A3E">
            <w:pPr>
              <w:spacing w:after="0" w:line="240" w:lineRule="auto"/>
              <w:jc w:val="right"/>
              <w:rPr>
                <w:rFonts w:cs="Arial"/>
                <w:sz w:val="16"/>
                <w:szCs w:val="16"/>
              </w:rPr>
            </w:pPr>
            <w:r w:rsidRPr="00372745">
              <w:rPr>
                <w:rFonts w:cs="Arial"/>
                <w:sz w:val="16"/>
                <w:szCs w:val="16"/>
              </w:rPr>
              <w:t>1.824</w:t>
            </w:r>
          </w:p>
        </w:tc>
      </w:tr>
      <w:tr w:rsidR="00EE405C" w:rsidRPr="00372745" w14:paraId="40FD06F3" w14:textId="77777777" w:rsidTr="00BF6CBB">
        <w:trPr>
          <w:cantSplit/>
          <w:jc w:val="center"/>
        </w:trPr>
        <w:tc>
          <w:tcPr>
            <w:tcW w:w="6017" w:type="dxa"/>
            <w:tcBorders>
              <w:top w:val="nil"/>
              <w:bottom w:val="nil"/>
            </w:tcBorders>
            <w:vAlign w:val="center"/>
            <w:hideMark/>
          </w:tcPr>
          <w:p w14:paraId="794F7F3D" w14:textId="77777777" w:rsidR="00EE405C" w:rsidRPr="00372745" w:rsidRDefault="00EE405C" w:rsidP="00450A3E">
            <w:pPr>
              <w:spacing w:after="0" w:line="240" w:lineRule="auto"/>
              <w:jc w:val="left"/>
              <w:rPr>
                <w:rFonts w:cs="Arial"/>
                <w:sz w:val="16"/>
                <w:szCs w:val="16"/>
              </w:rPr>
            </w:pPr>
            <w:r w:rsidRPr="00372745">
              <w:rPr>
                <w:rFonts w:cs="Arial"/>
                <w:sz w:val="16"/>
                <w:szCs w:val="16"/>
              </w:rPr>
              <w:t>Αντικριζόμενα έσοδα (καθαρά)</w:t>
            </w:r>
          </w:p>
        </w:tc>
        <w:tc>
          <w:tcPr>
            <w:tcW w:w="1068" w:type="dxa"/>
            <w:tcBorders>
              <w:top w:val="nil"/>
              <w:bottom w:val="nil"/>
            </w:tcBorders>
            <w:vAlign w:val="center"/>
            <w:hideMark/>
          </w:tcPr>
          <w:p w14:paraId="79D140B1" w14:textId="77777777" w:rsidR="00EE405C" w:rsidRPr="00372745" w:rsidRDefault="00EE405C" w:rsidP="00450A3E">
            <w:pPr>
              <w:spacing w:after="0" w:line="240" w:lineRule="auto"/>
              <w:jc w:val="right"/>
              <w:rPr>
                <w:rFonts w:cs="Arial"/>
                <w:sz w:val="16"/>
                <w:szCs w:val="16"/>
              </w:rPr>
            </w:pPr>
            <w:r w:rsidRPr="00372745">
              <w:rPr>
                <w:rFonts w:cs="Arial"/>
                <w:sz w:val="16"/>
                <w:szCs w:val="16"/>
              </w:rPr>
              <w:t>-27</w:t>
            </w:r>
          </w:p>
        </w:tc>
        <w:tc>
          <w:tcPr>
            <w:tcW w:w="1177" w:type="dxa"/>
            <w:tcBorders>
              <w:top w:val="nil"/>
              <w:bottom w:val="nil"/>
            </w:tcBorders>
            <w:vAlign w:val="center"/>
            <w:hideMark/>
          </w:tcPr>
          <w:p w14:paraId="6BABB81D"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066" w:type="dxa"/>
            <w:tcBorders>
              <w:top w:val="nil"/>
              <w:bottom w:val="nil"/>
            </w:tcBorders>
            <w:vAlign w:val="center"/>
            <w:hideMark/>
          </w:tcPr>
          <w:p w14:paraId="35C32D71"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066" w:type="dxa"/>
            <w:tcBorders>
              <w:top w:val="nil"/>
              <w:bottom w:val="nil"/>
            </w:tcBorders>
            <w:vAlign w:val="center"/>
            <w:hideMark/>
          </w:tcPr>
          <w:p w14:paraId="1BB31A1A"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r>
      <w:tr w:rsidR="00EE405C" w:rsidRPr="00372745" w14:paraId="5EB9111B" w14:textId="77777777" w:rsidTr="00BF6CBB">
        <w:trPr>
          <w:cantSplit/>
          <w:jc w:val="center"/>
        </w:trPr>
        <w:tc>
          <w:tcPr>
            <w:tcW w:w="6017" w:type="dxa"/>
            <w:tcBorders>
              <w:top w:val="nil"/>
              <w:bottom w:val="nil"/>
            </w:tcBorders>
            <w:vAlign w:val="center"/>
            <w:hideMark/>
          </w:tcPr>
          <w:p w14:paraId="46007843"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Λοιπά έσοδα</w:t>
            </w:r>
          </w:p>
        </w:tc>
        <w:tc>
          <w:tcPr>
            <w:tcW w:w="1068" w:type="dxa"/>
            <w:tcBorders>
              <w:top w:val="nil"/>
              <w:bottom w:val="nil"/>
            </w:tcBorders>
            <w:vAlign w:val="center"/>
            <w:hideMark/>
          </w:tcPr>
          <w:p w14:paraId="1B126FF8" w14:textId="77777777" w:rsidR="00EE405C" w:rsidRPr="00372745" w:rsidRDefault="00EE405C" w:rsidP="00450A3E">
            <w:pPr>
              <w:spacing w:after="0" w:line="240" w:lineRule="auto"/>
              <w:jc w:val="right"/>
              <w:rPr>
                <w:rFonts w:cs="Arial"/>
                <w:sz w:val="16"/>
                <w:szCs w:val="16"/>
              </w:rPr>
            </w:pPr>
            <w:r w:rsidRPr="00372745">
              <w:rPr>
                <w:rFonts w:cs="Arial"/>
                <w:sz w:val="16"/>
                <w:szCs w:val="16"/>
              </w:rPr>
              <w:t>181</w:t>
            </w:r>
          </w:p>
        </w:tc>
        <w:tc>
          <w:tcPr>
            <w:tcW w:w="1177" w:type="dxa"/>
            <w:tcBorders>
              <w:top w:val="nil"/>
              <w:bottom w:val="nil"/>
            </w:tcBorders>
            <w:vAlign w:val="center"/>
            <w:hideMark/>
          </w:tcPr>
          <w:p w14:paraId="2D5E3777" w14:textId="77777777" w:rsidR="00EE405C" w:rsidRPr="00372745" w:rsidRDefault="00EE405C" w:rsidP="00450A3E">
            <w:pPr>
              <w:spacing w:after="0" w:line="240" w:lineRule="auto"/>
              <w:jc w:val="right"/>
              <w:rPr>
                <w:rFonts w:cs="Arial"/>
                <w:sz w:val="16"/>
                <w:szCs w:val="16"/>
              </w:rPr>
            </w:pPr>
            <w:r w:rsidRPr="00372745">
              <w:rPr>
                <w:rFonts w:cs="Arial"/>
                <w:sz w:val="16"/>
                <w:szCs w:val="16"/>
              </w:rPr>
              <w:t>152</w:t>
            </w:r>
          </w:p>
        </w:tc>
        <w:tc>
          <w:tcPr>
            <w:tcW w:w="1066" w:type="dxa"/>
            <w:tcBorders>
              <w:top w:val="nil"/>
              <w:bottom w:val="nil"/>
            </w:tcBorders>
            <w:vAlign w:val="center"/>
            <w:hideMark/>
          </w:tcPr>
          <w:p w14:paraId="128296D1" w14:textId="77777777" w:rsidR="00EE405C" w:rsidRPr="00372745" w:rsidRDefault="00EE405C" w:rsidP="00450A3E">
            <w:pPr>
              <w:spacing w:after="0" w:line="240" w:lineRule="auto"/>
              <w:jc w:val="right"/>
              <w:rPr>
                <w:rFonts w:cs="Arial"/>
                <w:sz w:val="16"/>
                <w:szCs w:val="16"/>
              </w:rPr>
            </w:pPr>
            <w:r w:rsidRPr="00372745">
              <w:rPr>
                <w:rFonts w:cs="Arial"/>
                <w:sz w:val="16"/>
                <w:szCs w:val="16"/>
              </w:rPr>
              <w:t>180</w:t>
            </w:r>
          </w:p>
        </w:tc>
        <w:tc>
          <w:tcPr>
            <w:tcW w:w="1066" w:type="dxa"/>
            <w:tcBorders>
              <w:top w:val="nil"/>
              <w:bottom w:val="nil"/>
            </w:tcBorders>
            <w:vAlign w:val="center"/>
            <w:hideMark/>
          </w:tcPr>
          <w:p w14:paraId="36E08773" w14:textId="77777777" w:rsidR="00EE405C" w:rsidRPr="00372745" w:rsidRDefault="00EE405C" w:rsidP="00450A3E">
            <w:pPr>
              <w:spacing w:after="0" w:line="240" w:lineRule="auto"/>
              <w:jc w:val="right"/>
              <w:rPr>
                <w:rFonts w:cs="Arial"/>
                <w:sz w:val="16"/>
                <w:szCs w:val="16"/>
              </w:rPr>
            </w:pPr>
            <w:r w:rsidRPr="00372745">
              <w:rPr>
                <w:rFonts w:cs="Arial"/>
                <w:sz w:val="16"/>
                <w:szCs w:val="16"/>
              </w:rPr>
              <w:t>184</w:t>
            </w:r>
          </w:p>
        </w:tc>
      </w:tr>
      <w:tr w:rsidR="00EE405C" w:rsidRPr="00372745" w14:paraId="315497DA" w14:textId="77777777" w:rsidTr="00BF6CBB">
        <w:trPr>
          <w:cantSplit/>
          <w:trHeight w:val="181"/>
          <w:jc w:val="center"/>
        </w:trPr>
        <w:tc>
          <w:tcPr>
            <w:tcW w:w="6017" w:type="dxa"/>
            <w:tcBorders>
              <w:top w:val="nil"/>
              <w:bottom w:val="nil"/>
            </w:tcBorders>
            <w:vAlign w:val="center"/>
            <w:hideMark/>
          </w:tcPr>
          <w:p w14:paraId="7CD219D6"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Έξοδα</w:t>
            </w:r>
          </w:p>
        </w:tc>
        <w:tc>
          <w:tcPr>
            <w:tcW w:w="1068" w:type="dxa"/>
            <w:tcBorders>
              <w:top w:val="nil"/>
              <w:bottom w:val="nil"/>
            </w:tcBorders>
            <w:vAlign w:val="center"/>
            <w:hideMark/>
          </w:tcPr>
          <w:p w14:paraId="23362F9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3.819</w:t>
            </w:r>
          </w:p>
        </w:tc>
        <w:tc>
          <w:tcPr>
            <w:tcW w:w="1177" w:type="dxa"/>
            <w:tcBorders>
              <w:top w:val="nil"/>
              <w:bottom w:val="nil"/>
            </w:tcBorders>
            <w:vAlign w:val="center"/>
            <w:hideMark/>
          </w:tcPr>
          <w:p w14:paraId="70CB74DC"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3.981</w:t>
            </w:r>
          </w:p>
        </w:tc>
        <w:tc>
          <w:tcPr>
            <w:tcW w:w="1066" w:type="dxa"/>
            <w:tcBorders>
              <w:top w:val="nil"/>
              <w:bottom w:val="nil"/>
            </w:tcBorders>
            <w:vAlign w:val="center"/>
            <w:hideMark/>
          </w:tcPr>
          <w:p w14:paraId="484F1C0D"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4.278</w:t>
            </w:r>
          </w:p>
        </w:tc>
        <w:tc>
          <w:tcPr>
            <w:tcW w:w="1066" w:type="dxa"/>
            <w:tcBorders>
              <w:top w:val="nil"/>
              <w:bottom w:val="nil"/>
            </w:tcBorders>
            <w:vAlign w:val="center"/>
            <w:hideMark/>
          </w:tcPr>
          <w:p w14:paraId="1DF3E994"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4.268</w:t>
            </w:r>
          </w:p>
        </w:tc>
      </w:tr>
      <w:tr w:rsidR="00EE405C" w:rsidRPr="00372745" w14:paraId="4C68E899" w14:textId="77777777" w:rsidTr="00BF6CBB">
        <w:trPr>
          <w:cantSplit/>
          <w:jc w:val="center"/>
        </w:trPr>
        <w:tc>
          <w:tcPr>
            <w:tcW w:w="6017" w:type="dxa"/>
            <w:tcBorders>
              <w:top w:val="nil"/>
              <w:bottom w:val="nil"/>
            </w:tcBorders>
            <w:vAlign w:val="center"/>
            <w:hideMark/>
          </w:tcPr>
          <w:p w14:paraId="15524BCE" w14:textId="22A8DEFE" w:rsidR="00EE405C" w:rsidRPr="00372745" w:rsidRDefault="00EE405C" w:rsidP="00450A3E">
            <w:pPr>
              <w:spacing w:after="0" w:line="240" w:lineRule="auto"/>
              <w:jc w:val="left"/>
              <w:rPr>
                <w:rFonts w:cs="Arial"/>
                <w:sz w:val="16"/>
                <w:szCs w:val="16"/>
              </w:rPr>
            </w:pPr>
            <w:r w:rsidRPr="00372745">
              <w:rPr>
                <w:rFonts w:cs="Arial"/>
                <w:sz w:val="16"/>
                <w:szCs w:val="16"/>
              </w:rPr>
              <w:t xml:space="preserve">Παροχές σε </w:t>
            </w:r>
            <w:r w:rsidR="00AA0F2E">
              <w:rPr>
                <w:rFonts w:cs="Arial"/>
                <w:sz w:val="16"/>
                <w:szCs w:val="16"/>
              </w:rPr>
              <w:t>ε</w:t>
            </w:r>
            <w:r w:rsidRPr="00372745">
              <w:rPr>
                <w:rFonts w:cs="Arial"/>
                <w:sz w:val="16"/>
                <w:szCs w:val="16"/>
              </w:rPr>
              <w:t>ργαζόμενους</w:t>
            </w:r>
          </w:p>
        </w:tc>
        <w:tc>
          <w:tcPr>
            <w:tcW w:w="1068" w:type="dxa"/>
            <w:tcBorders>
              <w:top w:val="nil"/>
              <w:bottom w:val="nil"/>
            </w:tcBorders>
            <w:vAlign w:val="center"/>
            <w:hideMark/>
          </w:tcPr>
          <w:p w14:paraId="1132EDDD" w14:textId="77777777" w:rsidR="00EE405C" w:rsidRPr="00372745" w:rsidRDefault="00EE405C" w:rsidP="00450A3E">
            <w:pPr>
              <w:spacing w:after="0" w:line="240" w:lineRule="auto"/>
              <w:jc w:val="right"/>
              <w:rPr>
                <w:rFonts w:cs="Arial"/>
                <w:sz w:val="16"/>
                <w:szCs w:val="16"/>
              </w:rPr>
            </w:pPr>
            <w:r w:rsidRPr="00372745">
              <w:rPr>
                <w:rFonts w:cs="Arial"/>
                <w:sz w:val="16"/>
                <w:szCs w:val="16"/>
              </w:rPr>
              <w:t>834</w:t>
            </w:r>
          </w:p>
        </w:tc>
        <w:tc>
          <w:tcPr>
            <w:tcW w:w="1177" w:type="dxa"/>
            <w:tcBorders>
              <w:top w:val="nil"/>
              <w:bottom w:val="nil"/>
            </w:tcBorders>
            <w:vAlign w:val="center"/>
            <w:hideMark/>
          </w:tcPr>
          <w:p w14:paraId="69DBEA75" w14:textId="77777777" w:rsidR="00EE405C" w:rsidRPr="00372745" w:rsidRDefault="00EE405C" w:rsidP="00450A3E">
            <w:pPr>
              <w:spacing w:after="0" w:line="240" w:lineRule="auto"/>
              <w:jc w:val="right"/>
              <w:rPr>
                <w:rFonts w:cs="Arial"/>
                <w:sz w:val="16"/>
                <w:szCs w:val="16"/>
              </w:rPr>
            </w:pPr>
            <w:r w:rsidRPr="00372745">
              <w:rPr>
                <w:rFonts w:cs="Arial"/>
                <w:sz w:val="16"/>
                <w:szCs w:val="16"/>
              </w:rPr>
              <w:t>898</w:t>
            </w:r>
          </w:p>
        </w:tc>
        <w:tc>
          <w:tcPr>
            <w:tcW w:w="1066" w:type="dxa"/>
            <w:tcBorders>
              <w:top w:val="nil"/>
              <w:bottom w:val="nil"/>
            </w:tcBorders>
            <w:vAlign w:val="center"/>
            <w:hideMark/>
          </w:tcPr>
          <w:p w14:paraId="34BE8D08" w14:textId="77777777" w:rsidR="00EE405C" w:rsidRPr="00372745" w:rsidRDefault="00EE405C" w:rsidP="00450A3E">
            <w:pPr>
              <w:spacing w:after="0" w:line="240" w:lineRule="auto"/>
              <w:jc w:val="right"/>
              <w:rPr>
                <w:rFonts w:cs="Arial"/>
                <w:sz w:val="16"/>
                <w:szCs w:val="16"/>
              </w:rPr>
            </w:pPr>
            <w:r w:rsidRPr="00372745">
              <w:rPr>
                <w:rFonts w:cs="Arial"/>
                <w:sz w:val="16"/>
                <w:szCs w:val="16"/>
              </w:rPr>
              <w:t>850</w:t>
            </w:r>
          </w:p>
        </w:tc>
        <w:tc>
          <w:tcPr>
            <w:tcW w:w="1066" w:type="dxa"/>
            <w:tcBorders>
              <w:top w:val="nil"/>
              <w:bottom w:val="nil"/>
            </w:tcBorders>
            <w:vAlign w:val="center"/>
            <w:hideMark/>
          </w:tcPr>
          <w:p w14:paraId="0D352F6C" w14:textId="77777777" w:rsidR="00EE405C" w:rsidRPr="00372745" w:rsidRDefault="00EE405C" w:rsidP="00450A3E">
            <w:pPr>
              <w:spacing w:after="0" w:line="240" w:lineRule="auto"/>
              <w:jc w:val="right"/>
              <w:rPr>
                <w:rFonts w:cs="Arial"/>
                <w:sz w:val="16"/>
                <w:szCs w:val="16"/>
              </w:rPr>
            </w:pPr>
            <w:r w:rsidRPr="00372745">
              <w:rPr>
                <w:rFonts w:cs="Arial"/>
                <w:sz w:val="16"/>
                <w:szCs w:val="16"/>
              </w:rPr>
              <w:t>798</w:t>
            </w:r>
          </w:p>
        </w:tc>
      </w:tr>
      <w:tr w:rsidR="00EE405C" w:rsidRPr="00372745" w14:paraId="7CAE2C64" w14:textId="77777777" w:rsidTr="00BF6CBB">
        <w:trPr>
          <w:cantSplit/>
          <w:jc w:val="center"/>
        </w:trPr>
        <w:tc>
          <w:tcPr>
            <w:tcW w:w="6017" w:type="dxa"/>
            <w:tcBorders>
              <w:top w:val="nil"/>
              <w:bottom w:val="nil"/>
            </w:tcBorders>
            <w:vAlign w:val="center"/>
            <w:hideMark/>
          </w:tcPr>
          <w:p w14:paraId="6FB00F6B" w14:textId="77777777" w:rsidR="00EE405C" w:rsidRPr="00372745" w:rsidRDefault="00EE405C" w:rsidP="00450A3E">
            <w:pPr>
              <w:spacing w:after="0" w:line="240" w:lineRule="auto"/>
              <w:jc w:val="left"/>
              <w:rPr>
                <w:rFonts w:cs="Arial"/>
                <w:sz w:val="16"/>
                <w:szCs w:val="16"/>
              </w:rPr>
            </w:pPr>
            <w:r w:rsidRPr="00372745">
              <w:rPr>
                <w:rFonts w:cs="Arial"/>
                <w:sz w:val="16"/>
                <w:szCs w:val="16"/>
              </w:rPr>
              <w:t>Τόκοι χρεωστικοί</w:t>
            </w:r>
          </w:p>
        </w:tc>
        <w:tc>
          <w:tcPr>
            <w:tcW w:w="1068" w:type="dxa"/>
            <w:tcBorders>
              <w:top w:val="nil"/>
              <w:bottom w:val="nil"/>
            </w:tcBorders>
            <w:vAlign w:val="center"/>
            <w:hideMark/>
          </w:tcPr>
          <w:p w14:paraId="504C73E8"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177" w:type="dxa"/>
            <w:tcBorders>
              <w:top w:val="nil"/>
              <w:bottom w:val="nil"/>
            </w:tcBorders>
            <w:vAlign w:val="center"/>
            <w:hideMark/>
          </w:tcPr>
          <w:p w14:paraId="200764D3"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066" w:type="dxa"/>
            <w:tcBorders>
              <w:top w:val="nil"/>
              <w:bottom w:val="nil"/>
            </w:tcBorders>
            <w:vAlign w:val="center"/>
            <w:hideMark/>
          </w:tcPr>
          <w:p w14:paraId="56B3A873"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066" w:type="dxa"/>
            <w:tcBorders>
              <w:top w:val="nil"/>
              <w:bottom w:val="nil"/>
            </w:tcBorders>
            <w:vAlign w:val="center"/>
            <w:hideMark/>
          </w:tcPr>
          <w:p w14:paraId="45522DA7"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r>
      <w:tr w:rsidR="00EE405C" w:rsidRPr="00372745" w14:paraId="20189610" w14:textId="77777777" w:rsidTr="00A34538">
        <w:trPr>
          <w:cantSplit/>
          <w:jc w:val="center"/>
        </w:trPr>
        <w:tc>
          <w:tcPr>
            <w:tcW w:w="6017" w:type="dxa"/>
            <w:tcBorders>
              <w:top w:val="nil"/>
              <w:bottom w:val="nil"/>
            </w:tcBorders>
            <w:vAlign w:val="center"/>
            <w:hideMark/>
          </w:tcPr>
          <w:p w14:paraId="40E9F888"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Λοιπά έξοδα</w:t>
            </w:r>
          </w:p>
        </w:tc>
        <w:tc>
          <w:tcPr>
            <w:tcW w:w="1068" w:type="dxa"/>
            <w:tcBorders>
              <w:top w:val="nil"/>
              <w:bottom w:val="nil"/>
            </w:tcBorders>
            <w:vAlign w:val="center"/>
            <w:hideMark/>
          </w:tcPr>
          <w:p w14:paraId="6AF04B27" w14:textId="77777777" w:rsidR="00EE405C" w:rsidRPr="00372745" w:rsidRDefault="00EE405C" w:rsidP="00450A3E">
            <w:pPr>
              <w:spacing w:after="0" w:line="240" w:lineRule="auto"/>
              <w:jc w:val="right"/>
              <w:rPr>
                <w:rFonts w:cs="Arial"/>
                <w:sz w:val="16"/>
                <w:szCs w:val="16"/>
              </w:rPr>
            </w:pPr>
            <w:r w:rsidRPr="00372745">
              <w:rPr>
                <w:rFonts w:cs="Arial"/>
                <w:sz w:val="16"/>
                <w:szCs w:val="16"/>
              </w:rPr>
              <w:t>2.827</w:t>
            </w:r>
          </w:p>
        </w:tc>
        <w:tc>
          <w:tcPr>
            <w:tcW w:w="1177" w:type="dxa"/>
            <w:tcBorders>
              <w:top w:val="nil"/>
              <w:bottom w:val="nil"/>
            </w:tcBorders>
            <w:vAlign w:val="center"/>
            <w:hideMark/>
          </w:tcPr>
          <w:p w14:paraId="1F7FF787" w14:textId="77777777" w:rsidR="00EE405C" w:rsidRPr="00372745" w:rsidRDefault="00EE405C" w:rsidP="00450A3E">
            <w:pPr>
              <w:spacing w:after="0" w:line="240" w:lineRule="auto"/>
              <w:jc w:val="right"/>
              <w:rPr>
                <w:rFonts w:cs="Arial"/>
                <w:sz w:val="16"/>
                <w:szCs w:val="16"/>
              </w:rPr>
            </w:pPr>
            <w:r w:rsidRPr="00372745">
              <w:rPr>
                <w:rFonts w:cs="Arial"/>
                <w:sz w:val="16"/>
                <w:szCs w:val="16"/>
              </w:rPr>
              <w:t>2.784</w:t>
            </w:r>
          </w:p>
        </w:tc>
        <w:tc>
          <w:tcPr>
            <w:tcW w:w="1066" w:type="dxa"/>
            <w:tcBorders>
              <w:top w:val="nil"/>
              <w:bottom w:val="nil"/>
            </w:tcBorders>
            <w:vAlign w:val="center"/>
            <w:hideMark/>
          </w:tcPr>
          <w:p w14:paraId="0B47C04D" w14:textId="77777777" w:rsidR="00EE405C" w:rsidRPr="00372745" w:rsidRDefault="00EE405C" w:rsidP="00450A3E">
            <w:pPr>
              <w:spacing w:after="0" w:line="240" w:lineRule="auto"/>
              <w:jc w:val="right"/>
              <w:rPr>
                <w:rFonts w:cs="Arial"/>
                <w:sz w:val="16"/>
                <w:szCs w:val="16"/>
              </w:rPr>
            </w:pPr>
            <w:r w:rsidRPr="00372745">
              <w:rPr>
                <w:rFonts w:cs="Arial"/>
                <w:sz w:val="16"/>
                <w:szCs w:val="16"/>
              </w:rPr>
              <w:t>3.158</w:t>
            </w:r>
          </w:p>
        </w:tc>
        <w:tc>
          <w:tcPr>
            <w:tcW w:w="1066" w:type="dxa"/>
            <w:tcBorders>
              <w:top w:val="nil"/>
              <w:bottom w:val="nil"/>
            </w:tcBorders>
            <w:vAlign w:val="center"/>
            <w:hideMark/>
          </w:tcPr>
          <w:p w14:paraId="5AA8FDAC" w14:textId="77777777" w:rsidR="00EE405C" w:rsidRPr="00372745" w:rsidRDefault="00EE405C" w:rsidP="00450A3E">
            <w:pPr>
              <w:spacing w:after="0" w:line="240" w:lineRule="auto"/>
              <w:jc w:val="right"/>
              <w:rPr>
                <w:rFonts w:cs="Arial"/>
                <w:sz w:val="16"/>
                <w:szCs w:val="16"/>
              </w:rPr>
            </w:pPr>
            <w:r w:rsidRPr="00372745">
              <w:rPr>
                <w:rFonts w:cs="Arial"/>
                <w:sz w:val="16"/>
                <w:szCs w:val="16"/>
              </w:rPr>
              <w:t>3.120</w:t>
            </w:r>
          </w:p>
        </w:tc>
      </w:tr>
      <w:tr w:rsidR="00EE405C" w:rsidRPr="00372745" w14:paraId="523F4F64" w14:textId="77777777" w:rsidTr="00A34538">
        <w:trPr>
          <w:cantSplit/>
          <w:jc w:val="center"/>
        </w:trPr>
        <w:tc>
          <w:tcPr>
            <w:tcW w:w="6017" w:type="dxa"/>
            <w:tcBorders>
              <w:top w:val="nil"/>
              <w:bottom w:val="single" w:sz="2" w:space="0" w:color="808080" w:themeColor="background1" w:themeShade="80"/>
            </w:tcBorders>
            <w:vAlign w:val="center"/>
            <w:hideMark/>
          </w:tcPr>
          <w:p w14:paraId="6A41B0D6" w14:textId="77777777" w:rsidR="00EE405C" w:rsidRPr="00372745" w:rsidRDefault="00EE405C" w:rsidP="00450A3E">
            <w:pPr>
              <w:spacing w:after="0" w:line="240" w:lineRule="auto"/>
              <w:jc w:val="left"/>
              <w:rPr>
                <w:rFonts w:cs="Arial"/>
                <w:sz w:val="16"/>
                <w:szCs w:val="16"/>
              </w:rPr>
            </w:pPr>
            <w:r w:rsidRPr="00372745">
              <w:rPr>
                <w:rFonts w:cs="Arial"/>
                <w:sz w:val="16"/>
                <w:szCs w:val="16"/>
              </w:rPr>
              <w:t>Επενδυτικές δαπάνες</w:t>
            </w:r>
          </w:p>
        </w:tc>
        <w:tc>
          <w:tcPr>
            <w:tcW w:w="1068" w:type="dxa"/>
            <w:tcBorders>
              <w:top w:val="nil"/>
              <w:bottom w:val="single" w:sz="2" w:space="0" w:color="808080" w:themeColor="background1" w:themeShade="80"/>
            </w:tcBorders>
            <w:vAlign w:val="center"/>
            <w:hideMark/>
          </w:tcPr>
          <w:p w14:paraId="7529F774" w14:textId="77777777" w:rsidR="00EE405C" w:rsidRPr="00372745" w:rsidRDefault="00EE405C" w:rsidP="00450A3E">
            <w:pPr>
              <w:spacing w:after="0" w:line="240" w:lineRule="auto"/>
              <w:jc w:val="right"/>
              <w:rPr>
                <w:rFonts w:cs="Arial"/>
                <w:sz w:val="16"/>
                <w:szCs w:val="16"/>
              </w:rPr>
            </w:pPr>
            <w:r w:rsidRPr="00372745">
              <w:rPr>
                <w:rFonts w:cs="Arial"/>
                <w:sz w:val="16"/>
                <w:szCs w:val="16"/>
              </w:rPr>
              <w:t>158</w:t>
            </w:r>
          </w:p>
        </w:tc>
        <w:tc>
          <w:tcPr>
            <w:tcW w:w="1177" w:type="dxa"/>
            <w:tcBorders>
              <w:top w:val="nil"/>
              <w:bottom w:val="single" w:sz="2" w:space="0" w:color="808080" w:themeColor="background1" w:themeShade="80"/>
            </w:tcBorders>
            <w:vAlign w:val="center"/>
            <w:hideMark/>
          </w:tcPr>
          <w:p w14:paraId="660704B1" w14:textId="77777777" w:rsidR="00EE405C" w:rsidRPr="00372745" w:rsidRDefault="00EE405C" w:rsidP="00450A3E">
            <w:pPr>
              <w:spacing w:after="0" w:line="240" w:lineRule="auto"/>
              <w:jc w:val="right"/>
              <w:rPr>
                <w:rFonts w:cs="Arial"/>
                <w:sz w:val="16"/>
                <w:szCs w:val="16"/>
              </w:rPr>
            </w:pPr>
            <w:r w:rsidRPr="00372745">
              <w:rPr>
                <w:rFonts w:cs="Arial"/>
                <w:sz w:val="16"/>
                <w:szCs w:val="16"/>
              </w:rPr>
              <w:t>299</w:t>
            </w:r>
          </w:p>
        </w:tc>
        <w:tc>
          <w:tcPr>
            <w:tcW w:w="1066" w:type="dxa"/>
            <w:tcBorders>
              <w:top w:val="nil"/>
              <w:bottom w:val="single" w:sz="2" w:space="0" w:color="808080" w:themeColor="background1" w:themeShade="80"/>
            </w:tcBorders>
            <w:vAlign w:val="center"/>
            <w:hideMark/>
          </w:tcPr>
          <w:p w14:paraId="364BD557" w14:textId="77777777" w:rsidR="00EE405C" w:rsidRPr="00372745" w:rsidRDefault="00EE405C" w:rsidP="00450A3E">
            <w:pPr>
              <w:spacing w:after="0" w:line="240" w:lineRule="auto"/>
              <w:jc w:val="right"/>
              <w:rPr>
                <w:rFonts w:cs="Arial"/>
                <w:sz w:val="16"/>
                <w:szCs w:val="16"/>
              </w:rPr>
            </w:pPr>
            <w:r w:rsidRPr="00372745">
              <w:rPr>
                <w:rFonts w:cs="Arial"/>
                <w:sz w:val="16"/>
                <w:szCs w:val="16"/>
              </w:rPr>
              <w:t>270</w:t>
            </w:r>
          </w:p>
        </w:tc>
        <w:tc>
          <w:tcPr>
            <w:tcW w:w="1066" w:type="dxa"/>
            <w:tcBorders>
              <w:top w:val="nil"/>
              <w:bottom w:val="single" w:sz="2" w:space="0" w:color="808080" w:themeColor="background1" w:themeShade="80"/>
            </w:tcBorders>
            <w:vAlign w:val="center"/>
            <w:hideMark/>
          </w:tcPr>
          <w:p w14:paraId="164438AF" w14:textId="77777777" w:rsidR="00EE405C" w:rsidRPr="00372745" w:rsidRDefault="00EE405C" w:rsidP="00450A3E">
            <w:pPr>
              <w:spacing w:after="0" w:line="240" w:lineRule="auto"/>
              <w:jc w:val="right"/>
              <w:rPr>
                <w:rFonts w:cs="Arial"/>
                <w:sz w:val="16"/>
                <w:szCs w:val="16"/>
              </w:rPr>
            </w:pPr>
            <w:r w:rsidRPr="00372745">
              <w:rPr>
                <w:rFonts w:cs="Arial"/>
                <w:sz w:val="16"/>
                <w:szCs w:val="16"/>
              </w:rPr>
              <w:t>350</w:t>
            </w:r>
          </w:p>
        </w:tc>
      </w:tr>
      <w:tr w:rsidR="00EE405C" w:rsidRPr="00372745" w14:paraId="70EF94C5" w14:textId="77777777" w:rsidTr="00A34538">
        <w:trPr>
          <w:cantSplit/>
          <w:trHeight w:val="227"/>
          <w:jc w:val="center"/>
        </w:trPr>
        <w:tc>
          <w:tcPr>
            <w:tcW w:w="6017" w:type="dxa"/>
            <w:tcBorders>
              <w:top w:val="single" w:sz="2" w:space="0" w:color="808080" w:themeColor="background1" w:themeShade="80"/>
              <w:bottom w:val="nil"/>
            </w:tcBorders>
            <w:shd w:val="clear" w:color="auto" w:fill="D5DCE4"/>
            <w:vAlign w:val="center"/>
            <w:hideMark/>
          </w:tcPr>
          <w:p w14:paraId="316311DD"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lastRenderedPageBreak/>
              <w:t>VΙΙ. Ισοζύγιο Κεντρικής Κυβέρνησης κατά ESA (ΙII+V+VΙ)</w:t>
            </w:r>
          </w:p>
        </w:tc>
        <w:tc>
          <w:tcPr>
            <w:tcW w:w="1068" w:type="dxa"/>
            <w:tcBorders>
              <w:top w:val="single" w:sz="2" w:space="0" w:color="808080" w:themeColor="background1" w:themeShade="80"/>
              <w:bottom w:val="nil"/>
            </w:tcBorders>
            <w:shd w:val="clear" w:color="auto" w:fill="D5DCE4"/>
            <w:vAlign w:val="center"/>
            <w:hideMark/>
          </w:tcPr>
          <w:p w14:paraId="40B109B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2.101</w:t>
            </w:r>
          </w:p>
        </w:tc>
        <w:tc>
          <w:tcPr>
            <w:tcW w:w="1177" w:type="dxa"/>
            <w:tcBorders>
              <w:top w:val="single" w:sz="2" w:space="0" w:color="808080" w:themeColor="background1" w:themeShade="80"/>
              <w:bottom w:val="nil"/>
            </w:tcBorders>
            <w:shd w:val="clear" w:color="auto" w:fill="D5DCE4"/>
            <w:vAlign w:val="center"/>
            <w:hideMark/>
          </w:tcPr>
          <w:p w14:paraId="62CDFDA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-2.121</w:t>
            </w:r>
          </w:p>
        </w:tc>
        <w:tc>
          <w:tcPr>
            <w:tcW w:w="1066" w:type="dxa"/>
            <w:tcBorders>
              <w:top w:val="single" w:sz="2" w:space="0" w:color="808080" w:themeColor="background1" w:themeShade="80"/>
              <w:bottom w:val="nil"/>
            </w:tcBorders>
            <w:shd w:val="clear" w:color="auto" w:fill="D5DCE4"/>
            <w:vAlign w:val="center"/>
            <w:hideMark/>
          </w:tcPr>
          <w:p w14:paraId="1387EF0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-654</w:t>
            </w:r>
          </w:p>
        </w:tc>
        <w:tc>
          <w:tcPr>
            <w:tcW w:w="1066" w:type="dxa"/>
            <w:tcBorders>
              <w:top w:val="single" w:sz="2" w:space="0" w:color="808080" w:themeColor="background1" w:themeShade="80"/>
              <w:bottom w:val="nil"/>
            </w:tcBorders>
            <w:shd w:val="clear" w:color="auto" w:fill="D5DCE4"/>
            <w:vAlign w:val="center"/>
            <w:hideMark/>
          </w:tcPr>
          <w:p w14:paraId="60E94B0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-2.507</w:t>
            </w:r>
          </w:p>
        </w:tc>
      </w:tr>
      <w:tr w:rsidR="00EE405C" w:rsidRPr="00372745" w14:paraId="5A7FFCF8" w14:textId="77777777" w:rsidTr="00BF6CBB">
        <w:trPr>
          <w:cantSplit/>
          <w:trHeight w:val="227"/>
          <w:jc w:val="center"/>
        </w:trPr>
        <w:tc>
          <w:tcPr>
            <w:tcW w:w="6017" w:type="dxa"/>
            <w:tcBorders>
              <w:top w:val="nil"/>
              <w:bottom w:val="nil"/>
            </w:tcBorders>
            <w:shd w:val="clear" w:color="auto" w:fill="D5DCE4"/>
            <w:vAlign w:val="center"/>
            <w:hideMark/>
          </w:tcPr>
          <w:p w14:paraId="37FECEDB"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VIII. Ισοζύγιο OΤΑ κατά ESA</w:t>
            </w:r>
          </w:p>
        </w:tc>
        <w:tc>
          <w:tcPr>
            <w:tcW w:w="1068" w:type="dxa"/>
            <w:tcBorders>
              <w:top w:val="nil"/>
              <w:bottom w:val="nil"/>
            </w:tcBorders>
            <w:shd w:val="clear" w:color="auto" w:fill="D5DCE4"/>
            <w:vAlign w:val="center"/>
            <w:hideMark/>
          </w:tcPr>
          <w:p w14:paraId="45528166"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30</w:t>
            </w:r>
          </w:p>
        </w:tc>
        <w:tc>
          <w:tcPr>
            <w:tcW w:w="1177" w:type="dxa"/>
            <w:tcBorders>
              <w:top w:val="nil"/>
              <w:bottom w:val="nil"/>
            </w:tcBorders>
            <w:shd w:val="clear" w:color="auto" w:fill="D5DCE4"/>
            <w:vAlign w:val="center"/>
            <w:hideMark/>
          </w:tcPr>
          <w:p w14:paraId="093AF7B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-300</w:t>
            </w:r>
          </w:p>
        </w:tc>
        <w:tc>
          <w:tcPr>
            <w:tcW w:w="1066" w:type="dxa"/>
            <w:tcBorders>
              <w:top w:val="nil"/>
              <w:bottom w:val="nil"/>
            </w:tcBorders>
            <w:shd w:val="clear" w:color="auto" w:fill="D5DCE4"/>
            <w:vAlign w:val="center"/>
            <w:hideMark/>
          </w:tcPr>
          <w:p w14:paraId="363E73F6"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96</w:t>
            </w:r>
          </w:p>
        </w:tc>
        <w:tc>
          <w:tcPr>
            <w:tcW w:w="1066" w:type="dxa"/>
            <w:tcBorders>
              <w:top w:val="nil"/>
              <w:bottom w:val="nil"/>
            </w:tcBorders>
            <w:shd w:val="clear" w:color="auto" w:fill="D5DCE4"/>
            <w:vAlign w:val="center"/>
            <w:hideMark/>
          </w:tcPr>
          <w:p w14:paraId="14F37298"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112</w:t>
            </w:r>
          </w:p>
        </w:tc>
      </w:tr>
      <w:tr w:rsidR="00EE405C" w:rsidRPr="00372745" w14:paraId="4C70E9C4" w14:textId="77777777" w:rsidTr="00BF6CBB">
        <w:trPr>
          <w:cantSplit/>
          <w:jc w:val="center"/>
        </w:trPr>
        <w:tc>
          <w:tcPr>
            <w:tcW w:w="6017" w:type="dxa"/>
            <w:tcBorders>
              <w:top w:val="nil"/>
              <w:bottom w:val="nil"/>
            </w:tcBorders>
            <w:vAlign w:val="center"/>
            <w:hideMark/>
          </w:tcPr>
          <w:p w14:paraId="7B18A86E"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Έσοδα</w:t>
            </w:r>
          </w:p>
        </w:tc>
        <w:tc>
          <w:tcPr>
            <w:tcW w:w="1068" w:type="dxa"/>
            <w:tcBorders>
              <w:top w:val="nil"/>
              <w:bottom w:val="nil"/>
            </w:tcBorders>
            <w:vAlign w:val="center"/>
            <w:hideMark/>
          </w:tcPr>
          <w:p w14:paraId="7C028B34"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9.183</w:t>
            </w:r>
          </w:p>
        </w:tc>
        <w:tc>
          <w:tcPr>
            <w:tcW w:w="1177" w:type="dxa"/>
            <w:tcBorders>
              <w:top w:val="nil"/>
              <w:bottom w:val="nil"/>
            </w:tcBorders>
            <w:vAlign w:val="center"/>
            <w:hideMark/>
          </w:tcPr>
          <w:p w14:paraId="08A344D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9.217</w:t>
            </w:r>
          </w:p>
        </w:tc>
        <w:tc>
          <w:tcPr>
            <w:tcW w:w="1066" w:type="dxa"/>
            <w:tcBorders>
              <w:top w:val="nil"/>
              <w:bottom w:val="nil"/>
            </w:tcBorders>
            <w:vAlign w:val="center"/>
            <w:hideMark/>
          </w:tcPr>
          <w:p w14:paraId="7A951584"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9.597</w:t>
            </w:r>
          </w:p>
        </w:tc>
        <w:tc>
          <w:tcPr>
            <w:tcW w:w="1066" w:type="dxa"/>
            <w:tcBorders>
              <w:top w:val="nil"/>
              <w:bottom w:val="nil"/>
            </w:tcBorders>
            <w:vAlign w:val="center"/>
            <w:hideMark/>
          </w:tcPr>
          <w:p w14:paraId="44675D3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9.811</w:t>
            </w:r>
          </w:p>
        </w:tc>
      </w:tr>
      <w:tr w:rsidR="00EE405C" w:rsidRPr="00372745" w14:paraId="3D259EC9" w14:textId="77777777" w:rsidTr="00BF6CBB">
        <w:trPr>
          <w:cantSplit/>
          <w:jc w:val="center"/>
        </w:trPr>
        <w:tc>
          <w:tcPr>
            <w:tcW w:w="6017" w:type="dxa"/>
            <w:tcBorders>
              <w:top w:val="nil"/>
              <w:bottom w:val="nil"/>
            </w:tcBorders>
            <w:vAlign w:val="center"/>
            <w:hideMark/>
          </w:tcPr>
          <w:p w14:paraId="22C4E0AB" w14:textId="29560ACE" w:rsidR="00EE405C" w:rsidRPr="00372745" w:rsidRDefault="00EE405C" w:rsidP="00450A3E">
            <w:pPr>
              <w:spacing w:after="0" w:line="240" w:lineRule="auto"/>
              <w:jc w:val="left"/>
              <w:rPr>
                <w:rFonts w:cs="Arial"/>
                <w:sz w:val="16"/>
                <w:szCs w:val="16"/>
              </w:rPr>
            </w:pPr>
            <w:r w:rsidRPr="00372745">
              <w:rPr>
                <w:rFonts w:cs="Arial"/>
                <w:sz w:val="16"/>
                <w:szCs w:val="16"/>
              </w:rPr>
              <w:t xml:space="preserve">Τρέχουσες </w:t>
            </w:r>
            <w:r w:rsidR="00104B20">
              <w:rPr>
                <w:rFonts w:cs="Arial"/>
                <w:sz w:val="16"/>
                <w:szCs w:val="16"/>
              </w:rPr>
              <w:t>και</w:t>
            </w:r>
            <w:r w:rsidRPr="00372745">
              <w:rPr>
                <w:rFonts w:cs="Arial"/>
                <w:sz w:val="16"/>
                <w:szCs w:val="16"/>
              </w:rPr>
              <w:t xml:space="preserve"> λοιπές κεφαλαιακές μεταβιβάσεις</w:t>
            </w:r>
          </w:p>
        </w:tc>
        <w:tc>
          <w:tcPr>
            <w:tcW w:w="1068" w:type="dxa"/>
            <w:tcBorders>
              <w:top w:val="nil"/>
              <w:bottom w:val="nil"/>
            </w:tcBorders>
            <w:vAlign w:val="center"/>
            <w:hideMark/>
          </w:tcPr>
          <w:p w14:paraId="75EBB923" w14:textId="77777777" w:rsidR="00EE405C" w:rsidRPr="00372745" w:rsidRDefault="00EE405C" w:rsidP="00450A3E">
            <w:pPr>
              <w:spacing w:after="0" w:line="240" w:lineRule="auto"/>
              <w:jc w:val="right"/>
              <w:rPr>
                <w:rFonts w:cs="Arial"/>
                <w:sz w:val="16"/>
                <w:szCs w:val="16"/>
              </w:rPr>
            </w:pPr>
            <w:r w:rsidRPr="00372745">
              <w:rPr>
                <w:rFonts w:cs="Arial"/>
                <w:sz w:val="16"/>
                <w:szCs w:val="16"/>
              </w:rPr>
              <w:t>5.990</w:t>
            </w:r>
          </w:p>
        </w:tc>
        <w:tc>
          <w:tcPr>
            <w:tcW w:w="1177" w:type="dxa"/>
            <w:tcBorders>
              <w:top w:val="nil"/>
              <w:bottom w:val="nil"/>
            </w:tcBorders>
            <w:vAlign w:val="center"/>
            <w:hideMark/>
          </w:tcPr>
          <w:p w14:paraId="6F2A7CAE" w14:textId="77777777" w:rsidR="00EE405C" w:rsidRPr="00372745" w:rsidRDefault="00EE405C" w:rsidP="00450A3E">
            <w:pPr>
              <w:spacing w:after="0" w:line="240" w:lineRule="auto"/>
              <w:jc w:val="right"/>
              <w:rPr>
                <w:rFonts w:cs="Arial"/>
                <w:sz w:val="16"/>
                <w:szCs w:val="16"/>
              </w:rPr>
            </w:pPr>
            <w:r w:rsidRPr="00372745">
              <w:rPr>
                <w:rFonts w:cs="Arial"/>
                <w:sz w:val="16"/>
                <w:szCs w:val="16"/>
              </w:rPr>
              <w:t>6.015</w:t>
            </w:r>
          </w:p>
        </w:tc>
        <w:tc>
          <w:tcPr>
            <w:tcW w:w="1066" w:type="dxa"/>
            <w:tcBorders>
              <w:top w:val="nil"/>
              <w:bottom w:val="nil"/>
            </w:tcBorders>
            <w:vAlign w:val="center"/>
            <w:hideMark/>
          </w:tcPr>
          <w:p w14:paraId="4BFE20E9" w14:textId="77777777" w:rsidR="00EE405C" w:rsidRPr="00372745" w:rsidRDefault="00EE405C" w:rsidP="00450A3E">
            <w:pPr>
              <w:spacing w:after="0" w:line="240" w:lineRule="auto"/>
              <w:jc w:val="right"/>
              <w:rPr>
                <w:rFonts w:cs="Arial"/>
                <w:sz w:val="16"/>
                <w:szCs w:val="16"/>
              </w:rPr>
            </w:pPr>
            <w:r w:rsidRPr="00372745">
              <w:rPr>
                <w:rFonts w:cs="Arial"/>
                <w:sz w:val="16"/>
                <w:szCs w:val="16"/>
              </w:rPr>
              <w:t>6.189</w:t>
            </w:r>
          </w:p>
        </w:tc>
        <w:tc>
          <w:tcPr>
            <w:tcW w:w="1066" w:type="dxa"/>
            <w:tcBorders>
              <w:top w:val="nil"/>
              <w:bottom w:val="nil"/>
            </w:tcBorders>
            <w:vAlign w:val="center"/>
            <w:hideMark/>
          </w:tcPr>
          <w:p w14:paraId="6F4174AA" w14:textId="77777777" w:rsidR="00EE405C" w:rsidRPr="00372745" w:rsidRDefault="00EE405C" w:rsidP="00450A3E">
            <w:pPr>
              <w:spacing w:after="0" w:line="240" w:lineRule="auto"/>
              <w:jc w:val="right"/>
              <w:rPr>
                <w:rFonts w:cs="Arial"/>
                <w:sz w:val="16"/>
                <w:szCs w:val="16"/>
              </w:rPr>
            </w:pPr>
            <w:r w:rsidRPr="00372745">
              <w:rPr>
                <w:rFonts w:cs="Arial"/>
                <w:sz w:val="16"/>
                <w:szCs w:val="16"/>
              </w:rPr>
              <w:t>6.278</w:t>
            </w:r>
          </w:p>
        </w:tc>
      </w:tr>
      <w:tr w:rsidR="00EE405C" w:rsidRPr="00372745" w14:paraId="28561CC8" w14:textId="77777777" w:rsidTr="00BF6CBB">
        <w:trPr>
          <w:cantSplit/>
          <w:jc w:val="center"/>
        </w:trPr>
        <w:tc>
          <w:tcPr>
            <w:tcW w:w="6017" w:type="dxa"/>
            <w:tcBorders>
              <w:top w:val="nil"/>
              <w:bottom w:val="nil"/>
            </w:tcBorders>
            <w:vAlign w:val="center"/>
            <w:hideMark/>
          </w:tcPr>
          <w:p w14:paraId="674956C4" w14:textId="77777777" w:rsidR="00EE405C" w:rsidRPr="00372745" w:rsidRDefault="00EE405C" w:rsidP="00450A3E">
            <w:pPr>
              <w:spacing w:after="0" w:line="240" w:lineRule="auto"/>
              <w:jc w:val="left"/>
              <w:rPr>
                <w:rFonts w:cs="Arial"/>
                <w:sz w:val="16"/>
                <w:szCs w:val="16"/>
              </w:rPr>
            </w:pPr>
            <w:r w:rsidRPr="00372745">
              <w:rPr>
                <w:rFonts w:cs="Arial"/>
                <w:sz w:val="16"/>
                <w:szCs w:val="16"/>
              </w:rPr>
              <w:t>Τόκοι πιστωτικοί</w:t>
            </w:r>
          </w:p>
        </w:tc>
        <w:tc>
          <w:tcPr>
            <w:tcW w:w="1068" w:type="dxa"/>
            <w:tcBorders>
              <w:top w:val="nil"/>
              <w:bottom w:val="nil"/>
            </w:tcBorders>
            <w:vAlign w:val="center"/>
            <w:hideMark/>
          </w:tcPr>
          <w:p w14:paraId="03927D91" w14:textId="77777777" w:rsidR="00EE405C" w:rsidRPr="00372745" w:rsidRDefault="00EE405C" w:rsidP="00450A3E">
            <w:pPr>
              <w:spacing w:after="0" w:line="240" w:lineRule="auto"/>
              <w:jc w:val="right"/>
              <w:rPr>
                <w:rFonts w:cs="Arial"/>
                <w:sz w:val="16"/>
                <w:szCs w:val="16"/>
              </w:rPr>
            </w:pPr>
            <w:r w:rsidRPr="00372745">
              <w:rPr>
                <w:rFonts w:cs="Arial"/>
                <w:sz w:val="16"/>
                <w:szCs w:val="16"/>
              </w:rPr>
              <w:t>82</w:t>
            </w:r>
          </w:p>
        </w:tc>
        <w:tc>
          <w:tcPr>
            <w:tcW w:w="1177" w:type="dxa"/>
            <w:tcBorders>
              <w:top w:val="nil"/>
              <w:bottom w:val="nil"/>
            </w:tcBorders>
            <w:vAlign w:val="center"/>
            <w:hideMark/>
          </w:tcPr>
          <w:p w14:paraId="25E7C76B" w14:textId="77777777" w:rsidR="00EE405C" w:rsidRPr="00372745" w:rsidRDefault="00EE405C" w:rsidP="00450A3E">
            <w:pPr>
              <w:spacing w:after="0" w:line="240" w:lineRule="auto"/>
              <w:jc w:val="right"/>
              <w:rPr>
                <w:rFonts w:cs="Arial"/>
                <w:sz w:val="16"/>
                <w:szCs w:val="16"/>
              </w:rPr>
            </w:pPr>
            <w:r w:rsidRPr="00372745">
              <w:rPr>
                <w:rFonts w:cs="Arial"/>
                <w:sz w:val="16"/>
                <w:szCs w:val="16"/>
              </w:rPr>
              <w:t>76</w:t>
            </w:r>
          </w:p>
        </w:tc>
        <w:tc>
          <w:tcPr>
            <w:tcW w:w="1066" w:type="dxa"/>
            <w:tcBorders>
              <w:top w:val="nil"/>
              <w:bottom w:val="nil"/>
            </w:tcBorders>
            <w:vAlign w:val="center"/>
            <w:hideMark/>
          </w:tcPr>
          <w:p w14:paraId="47DA2000" w14:textId="77777777" w:rsidR="00EE405C" w:rsidRPr="00372745" w:rsidRDefault="00EE405C" w:rsidP="00450A3E">
            <w:pPr>
              <w:spacing w:after="0" w:line="240" w:lineRule="auto"/>
              <w:jc w:val="right"/>
              <w:rPr>
                <w:rFonts w:cs="Arial"/>
                <w:sz w:val="16"/>
                <w:szCs w:val="16"/>
              </w:rPr>
            </w:pPr>
            <w:r w:rsidRPr="00372745">
              <w:rPr>
                <w:rFonts w:cs="Arial"/>
                <w:sz w:val="16"/>
                <w:szCs w:val="16"/>
              </w:rPr>
              <w:t>80</w:t>
            </w:r>
          </w:p>
        </w:tc>
        <w:tc>
          <w:tcPr>
            <w:tcW w:w="1066" w:type="dxa"/>
            <w:tcBorders>
              <w:top w:val="nil"/>
              <w:bottom w:val="nil"/>
            </w:tcBorders>
            <w:vAlign w:val="center"/>
            <w:hideMark/>
          </w:tcPr>
          <w:p w14:paraId="160A6875" w14:textId="77777777" w:rsidR="00EE405C" w:rsidRPr="00372745" w:rsidRDefault="00EE405C" w:rsidP="00450A3E">
            <w:pPr>
              <w:spacing w:after="0" w:line="240" w:lineRule="auto"/>
              <w:jc w:val="right"/>
              <w:rPr>
                <w:rFonts w:cs="Arial"/>
                <w:sz w:val="16"/>
                <w:szCs w:val="16"/>
              </w:rPr>
            </w:pPr>
            <w:r w:rsidRPr="00372745">
              <w:rPr>
                <w:rFonts w:cs="Arial"/>
                <w:sz w:val="16"/>
                <w:szCs w:val="16"/>
              </w:rPr>
              <w:t>80</w:t>
            </w:r>
          </w:p>
        </w:tc>
      </w:tr>
      <w:tr w:rsidR="00EE405C" w:rsidRPr="00372745" w14:paraId="26F738C6" w14:textId="77777777" w:rsidTr="00BF6CBB">
        <w:trPr>
          <w:cantSplit/>
          <w:jc w:val="center"/>
        </w:trPr>
        <w:tc>
          <w:tcPr>
            <w:tcW w:w="6017" w:type="dxa"/>
            <w:tcBorders>
              <w:top w:val="nil"/>
              <w:bottom w:val="nil"/>
            </w:tcBorders>
            <w:vAlign w:val="center"/>
            <w:hideMark/>
          </w:tcPr>
          <w:p w14:paraId="0A9AFB0D" w14:textId="77777777" w:rsidR="00EE405C" w:rsidRPr="00372745" w:rsidRDefault="00EE405C" w:rsidP="00450A3E">
            <w:pPr>
              <w:spacing w:after="0" w:line="240" w:lineRule="auto"/>
              <w:jc w:val="left"/>
              <w:rPr>
                <w:rFonts w:cs="Arial"/>
                <w:sz w:val="16"/>
                <w:szCs w:val="16"/>
              </w:rPr>
            </w:pPr>
            <w:r w:rsidRPr="00372745">
              <w:rPr>
                <w:rFonts w:cs="Arial"/>
                <w:sz w:val="16"/>
                <w:szCs w:val="16"/>
              </w:rPr>
              <w:t>Αντικριζόμενα έσοδα (καθαρά)</w:t>
            </w:r>
          </w:p>
        </w:tc>
        <w:tc>
          <w:tcPr>
            <w:tcW w:w="1068" w:type="dxa"/>
            <w:tcBorders>
              <w:top w:val="nil"/>
              <w:bottom w:val="nil"/>
            </w:tcBorders>
            <w:vAlign w:val="center"/>
            <w:hideMark/>
          </w:tcPr>
          <w:p w14:paraId="769DE5C1"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177" w:type="dxa"/>
            <w:tcBorders>
              <w:top w:val="nil"/>
              <w:bottom w:val="nil"/>
            </w:tcBorders>
            <w:vAlign w:val="center"/>
            <w:hideMark/>
          </w:tcPr>
          <w:p w14:paraId="22841A9F" w14:textId="77777777" w:rsidR="00EE405C" w:rsidRPr="00372745" w:rsidRDefault="00EE405C" w:rsidP="00450A3E">
            <w:pPr>
              <w:spacing w:after="0" w:line="240" w:lineRule="auto"/>
              <w:jc w:val="right"/>
              <w:rPr>
                <w:rFonts w:cs="Arial"/>
                <w:sz w:val="16"/>
                <w:szCs w:val="16"/>
              </w:rPr>
            </w:pPr>
            <w:r w:rsidRPr="00372745">
              <w:rPr>
                <w:rFonts w:cs="Arial"/>
                <w:sz w:val="16"/>
                <w:szCs w:val="16"/>
              </w:rPr>
              <w:t>-18</w:t>
            </w:r>
          </w:p>
        </w:tc>
        <w:tc>
          <w:tcPr>
            <w:tcW w:w="1066" w:type="dxa"/>
            <w:tcBorders>
              <w:top w:val="nil"/>
              <w:bottom w:val="nil"/>
            </w:tcBorders>
            <w:vAlign w:val="center"/>
            <w:hideMark/>
          </w:tcPr>
          <w:p w14:paraId="40FE02D4"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066" w:type="dxa"/>
            <w:tcBorders>
              <w:top w:val="nil"/>
              <w:bottom w:val="nil"/>
            </w:tcBorders>
            <w:vAlign w:val="center"/>
            <w:hideMark/>
          </w:tcPr>
          <w:p w14:paraId="6BBF5A47"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r>
      <w:tr w:rsidR="00EE405C" w:rsidRPr="00372745" w14:paraId="181E24D2" w14:textId="77777777" w:rsidTr="00BF6CBB">
        <w:trPr>
          <w:cantSplit/>
          <w:jc w:val="center"/>
        </w:trPr>
        <w:tc>
          <w:tcPr>
            <w:tcW w:w="6017" w:type="dxa"/>
            <w:tcBorders>
              <w:top w:val="nil"/>
              <w:bottom w:val="nil"/>
            </w:tcBorders>
            <w:vAlign w:val="center"/>
            <w:hideMark/>
          </w:tcPr>
          <w:p w14:paraId="7549DBD1" w14:textId="630421A9" w:rsidR="00EE405C" w:rsidRPr="00372745" w:rsidRDefault="00EE405C" w:rsidP="00450A3E">
            <w:pPr>
              <w:spacing w:after="0" w:line="240" w:lineRule="auto"/>
              <w:jc w:val="left"/>
              <w:rPr>
                <w:rFonts w:cs="Arial"/>
                <w:sz w:val="16"/>
                <w:szCs w:val="16"/>
              </w:rPr>
            </w:pPr>
            <w:r w:rsidRPr="00372745">
              <w:rPr>
                <w:rFonts w:cs="Arial"/>
                <w:sz w:val="16"/>
                <w:szCs w:val="16"/>
              </w:rPr>
              <w:t>Φ</w:t>
            </w:r>
            <w:r w:rsidR="00104B20">
              <w:rPr>
                <w:rFonts w:cs="Arial"/>
                <w:sz w:val="16"/>
                <w:szCs w:val="16"/>
              </w:rPr>
              <w:t>ό</w:t>
            </w:r>
            <w:r w:rsidRPr="00372745">
              <w:rPr>
                <w:rFonts w:cs="Arial"/>
                <w:sz w:val="16"/>
                <w:szCs w:val="16"/>
              </w:rPr>
              <w:t>ροι</w:t>
            </w:r>
          </w:p>
        </w:tc>
        <w:tc>
          <w:tcPr>
            <w:tcW w:w="1068" w:type="dxa"/>
            <w:tcBorders>
              <w:top w:val="nil"/>
              <w:bottom w:val="nil"/>
            </w:tcBorders>
            <w:vAlign w:val="center"/>
            <w:hideMark/>
          </w:tcPr>
          <w:p w14:paraId="2D82E39A" w14:textId="77777777" w:rsidR="00EE405C" w:rsidRPr="00372745" w:rsidRDefault="00EE405C" w:rsidP="00450A3E">
            <w:pPr>
              <w:spacing w:after="0" w:line="240" w:lineRule="auto"/>
              <w:jc w:val="right"/>
              <w:rPr>
                <w:rFonts w:cs="Arial"/>
                <w:sz w:val="16"/>
                <w:szCs w:val="16"/>
              </w:rPr>
            </w:pPr>
            <w:r w:rsidRPr="00372745">
              <w:rPr>
                <w:rFonts w:cs="Arial"/>
                <w:sz w:val="16"/>
                <w:szCs w:val="16"/>
              </w:rPr>
              <w:t>2.019</w:t>
            </w:r>
          </w:p>
        </w:tc>
        <w:tc>
          <w:tcPr>
            <w:tcW w:w="1177" w:type="dxa"/>
            <w:tcBorders>
              <w:top w:val="nil"/>
              <w:bottom w:val="nil"/>
            </w:tcBorders>
            <w:vAlign w:val="center"/>
            <w:hideMark/>
          </w:tcPr>
          <w:p w14:paraId="11625C65" w14:textId="77777777" w:rsidR="00EE405C" w:rsidRPr="00372745" w:rsidRDefault="00EE405C" w:rsidP="00450A3E">
            <w:pPr>
              <w:spacing w:after="0" w:line="240" w:lineRule="auto"/>
              <w:jc w:val="right"/>
              <w:rPr>
                <w:rFonts w:cs="Arial"/>
                <w:sz w:val="16"/>
                <w:szCs w:val="16"/>
              </w:rPr>
            </w:pPr>
            <w:r w:rsidRPr="00372745">
              <w:rPr>
                <w:rFonts w:cs="Arial"/>
                <w:sz w:val="16"/>
                <w:szCs w:val="16"/>
              </w:rPr>
              <w:t>2.130</w:t>
            </w:r>
          </w:p>
        </w:tc>
        <w:tc>
          <w:tcPr>
            <w:tcW w:w="1066" w:type="dxa"/>
            <w:tcBorders>
              <w:top w:val="nil"/>
              <w:bottom w:val="nil"/>
            </w:tcBorders>
            <w:vAlign w:val="center"/>
            <w:hideMark/>
          </w:tcPr>
          <w:p w14:paraId="057F532E" w14:textId="77777777" w:rsidR="00EE405C" w:rsidRPr="00372745" w:rsidRDefault="00EE405C" w:rsidP="00450A3E">
            <w:pPr>
              <w:spacing w:after="0" w:line="240" w:lineRule="auto"/>
              <w:jc w:val="right"/>
              <w:rPr>
                <w:rFonts w:cs="Arial"/>
                <w:sz w:val="16"/>
                <w:szCs w:val="16"/>
              </w:rPr>
            </w:pPr>
            <w:r w:rsidRPr="00372745">
              <w:rPr>
                <w:rFonts w:cs="Arial"/>
                <w:sz w:val="16"/>
                <w:szCs w:val="16"/>
              </w:rPr>
              <w:t>2.159</w:t>
            </w:r>
          </w:p>
        </w:tc>
        <w:tc>
          <w:tcPr>
            <w:tcW w:w="1066" w:type="dxa"/>
            <w:tcBorders>
              <w:top w:val="nil"/>
              <w:bottom w:val="nil"/>
            </w:tcBorders>
            <w:vAlign w:val="center"/>
            <w:hideMark/>
          </w:tcPr>
          <w:p w14:paraId="00A6BFF1" w14:textId="77777777" w:rsidR="00EE405C" w:rsidRPr="00372745" w:rsidRDefault="00EE405C" w:rsidP="00450A3E">
            <w:pPr>
              <w:spacing w:after="0" w:line="240" w:lineRule="auto"/>
              <w:jc w:val="right"/>
              <w:rPr>
                <w:rFonts w:cs="Arial"/>
                <w:sz w:val="16"/>
                <w:szCs w:val="16"/>
              </w:rPr>
            </w:pPr>
            <w:r w:rsidRPr="00372745">
              <w:rPr>
                <w:rFonts w:cs="Arial"/>
                <w:sz w:val="16"/>
                <w:szCs w:val="16"/>
              </w:rPr>
              <w:t>2.261</w:t>
            </w:r>
          </w:p>
        </w:tc>
      </w:tr>
      <w:tr w:rsidR="00EE405C" w:rsidRPr="00372745" w14:paraId="4B05741D" w14:textId="77777777" w:rsidTr="00BF6CBB">
        <w:trPr>
          <w:cantSplit/>
          <w:jc w:val="center"/>
        </w:trPr>
        <w:tc>
          <w:tcPr>
            <w:tcW w:w="6017" w:type="dxa"/>
            <w:tcBorders>
              <w:top w:val="nil"/>
              <w:bottom w:val="nil"/>
            </w:tcBorders>
            <w:vAlign w:val="center"/>
            <w:hideMark/>
          </w:tcPr>
          <w:p w14:paraId="57773C78"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Λοιπά έσοδα</w:t>
            </w:r>
          </w:p>
        </w:tc>
        <w:tc>
          <w:tcPr>
            <w:tcW w:w="1068" w:type="dxa"/>
            <w:tcBorders>
              <w:top w:val="nil"/>
              <w:bottom w:val="nil"/>
            </w:tcBorders>
            <w:vAlign w:val="center"/>
            <w:hideMark/>
          </w:tcPr>
          <w:p w14:paraId="1457A512" w14:textId="77777777" w:rsidR="00EE405C" w:rsidRPr="00372745" w:rsidRDefault="00EE405C" w:rsidP="00450A3E">
            <w:pPr>
              <w:spacing w:after="0" w:line="240" w:lineRule="auto"/>
              <w:jc w:val="right"/>
              <w:rPr>
                <w:rFonts w:cs="Arial"/>
                <w:sz w:val="16"/>
                <w:szCs w:val="16"/>
              </w:rPr>
            </w:pPr>
            <w:r w:rsidRPr="00372745">
              <w:rPr>
                <w:rFonts w:cs="Arial"/>
                <w:sz w:val="16"/>
                <w:szCs w:val="16"/>
              </w:rPr>
              <w:t>1.092</w:t>
            </w:r>
          </w:p>
        </w:tc>
        <w:tc>
          <w:tcPr>
            <w:tcW w:w="1177" w:type="dxa"/>
            <w:tcBorders>
              <w:top w:val="nil"/>
              <w:bottom w:val="nil"/>
            </w:tcBorders>
            <w:vAlign w:val="center"/>
            <w:hideMark/>
          </w:tcPr>
          <w:p w14:paraId="01645AB1" w14:textId="77777777" w:rsidR="00EE405C" w:rsidRPr="00372745" w:rsidRDefault="00EE405C" w:rsidP="00450A3E">
            <w:pPr>
              <w:spacing w:after="0" w:line="240" w:lineRule="auto"/>
              <w:jc w:val="right"/>
              <w:rPr>
                <w:rFonts w:cs="Arial"/>
                <w:sz w:val="16"/>
                <w:szCs w:val="16"/>
              </w:rPr>
            </w:pPr>
            <w:r w:rsidRPr="00372745">
              <w:rPr>
                <w:rFonts w:cs="Arial"/>
                <w:sz w:val="16"/>
                <w:szCs w:val="16"/>
              </w:rPr>
              <w:t>1.015</w:t>
            </w:r>
          </w:p>
        </w:tc>
        <w:tc>
          <w:tcPr>
            <w:tcW w:w="1066" w:type="dxa"/>
            <w:tcBorders>
              <w:top w:val="nil"/>
              <w:bottom w:val="nil"/>
            </w:tcBorders>
            <w:vAlign w:val="center"/>
            <w:hideMark/>
          </w:tcPr>
          <w:p w14:paraId="01F7DFCB" w14:textId="77777777" w:rsidR="00EE405C" w:rsidRPr="00372745" w:rsidRDefault="00EE405C" w:rsidP="00450A3E">
            <w:pPr>
              <w:spacing w:after="0" w:line="240" w:lineRule="auto"/>
              <w:jc w:val="right"/>
              <w:rPr>
                <w:rFonts w:cs="Arial"/>
                <w:sz w:val="16"/>
                <w:szCs w:val="16"/>
              </w:rPr>
            </w:pPr>
            <w:r w:rsidRPr="00372745">
              <w:rPr>
                <w:rFonts w:cs="Arial"/>
                <w:sz w:val="16"/>
                <w:szCs w:val="16"/>
              </w:rPr>
              <w:t>1.168</w:t>
            </w:r>
          </w:p>
        </w:tc>
        <w:tc>
          <w:tcPr>
            <w:tcW w:w="1066" w:type="dxa"/>
            <w:tcBorders>
              <w:top w:val="nil"/>
              <w:bottom w:val="nil"/>
            </w:tcBorders>
            <w:vAlign w:val="center"/>
            <w:hideMark/>
          </w:tcPr>
          <w:p w14:paraId="1D5117A9" w14:textId="77777777" w:rsidR="00EE405C" w:rsidRPr="00372745" w:rsidRDefault="00EE405C" w:rsidP="00450A3E">
            <w:pPr>
              <w:spacing w:after="0" w:line="240" w:lineRule="auto"/>
              <w:jc w:val="right"/>
              <w:rPr>
                <w:rFonts w:cs="Arial"/>
                <w:sz w:val="16"/>
                <w:szCs w:val="16"/>
              </w:rPr>
            </w:pPr>
            <w:r w:rsidRPr="00372745">
              <w:rPr>
                <w:rFonts w:cs="Arial"/>
                <w:sz w:val="16"/>
                <w:szCs w:val="16"/>
              </w:rPr>
              <w:t>1.192</w:t>
            </w:r>
          </w:p>
        </w:tc>
      </w:tr>
      <w:tr w:rsidR="00EE405C" w:rsidRPr="00372745" w14:paraId="1CEB25EF" w14:textId="77777777" w:rsidTr="00BF6CBB">
        <w:trPr>
          <w:cantSplit/>
          <w:jc w:val="center"/>
        </w:trPr>
        <w:tc>
          <w:tcPr>
            <w:tcW w:w="6017" w:type="dxa"/>
            <w:tcBorders>
              <w:top w:val="nil"/>
              <w:bottom w:val="nil"/>
            </w:tcBorders>
            <w:vAlign w:val="center"/>
            <w:hideMark/>
          </w:tcPr>
          <w:p w14:paraId="2B445331"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Έξοδα</w:t>
            </w:r>
          </w:p>
        </w:tc>
        <w:tc>
          <w:tcPr>
            <w:tcW w:w="1068" w:type="dxa"/>
            <w:tcBorders>
              <w:top w:val="nil"/>
              <w:bottom w:val="nil"/>
            </w:tcBorders>
            <w:vAlign w:val="center"/>
            <w:hideMark/>
          </w:tcPr>
          <w:p w14:paraId="77384814"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9.154</w:t>
            </w:r>
          </w:p>
        </w:tc>
        <w:tc>
          <w:tcPr>
            <w:tcW w:w="1177" w:type="dxa"/>
            <w:tcBorders>
              <w:top w:val="nil"/>
              <w:bottom w:val="nil"/>
            </w:tcBorders>
            <w:vAlign w:val="center"/>
            <w:hideMark/>
          </w:tcPr>
          <w:p w14:paraId="453219D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9.517</w:t>
            </w:r>
          </w:p>
        </w:tc>
        <w:tc>
          <w:tcPr>
            <w:tcW w:w="1066" w:type="dxa"/>
            <w:tcBorders>
              <w:top w:val="nil"/>
              <w:bottom w:val="nil"/>
            </w:tcBorders>
            <w:vAlign w:val="center"/>
            <w:hideMark/>
          </w:tcPr>
          <w:p w14:paraId="2E15CFE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9.501</w:t>
            </w:r>
          </w:p>
        </w:tc>
        <w:tc>
          <w:tcPr>
            <w:tcW w:w="1066" w:type="dxa"/>
            <w:tcBorders>
              <w:top w:val="nil"/>
              <w:bottom w:val="nil"/>
            </w:tcBorders>
            <w:vAlign w:val="center"/>
            <w:hideMark/>
          </w:tcPr>
          <w:p w14:paraId="15D4B9D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9.700</w:t>
            </w:r>
          </w:p>
        </w:tc>
      </w:tr>
      <w:tr w:rsidR="00EE405C" w:rsidRPr="00372745" w14:paraId="5D4C618B" w14:textId="77777777" w:rsidTr="00BF6CBB">
        <w:trPr>
          <w:cantSplit/>
          <w:jc w:val="center"/>
        </w:trPr>
        <w:tc>
          <w:tcPr>
            <w:tcW w:w="6017" w:type="dxa"/>
            <w:tcBorders>
              <w:top w:val="nil"/>
              <w:bottom w:val="nil"/>
            </w:tcBorders>
            <w:vAlign w:val="center"/>
            <w:hideMark/>
          </w:tcPr>
          <w:p w14:paraId="041B02B7" w14:textId="10E31BEE" w:rsidR="00EE405C" w:rsidRPr="00372745" w:rsidRDefault="00EE405C" w:rsidP="00450A3E">
            <w:pPr>
              <w:spacing w:after="0" w:line="240" w:lineRule="auto"/>
              <w:jc w:val="left"/>
              <w:rPr>
                <w:rFonts w:cs="Arial"/>
                <w:sz w:val="16"/>
                <w:szCs w:val="16"/>
              </w:rPr>
            </w:pPr>
            <w:r w:rsidRPr="00372745">
              <w:rPr>
                <w:rFonts w:cs="Arial"/>
                <w:sz w:val="16"/>
                <w:szCs w:val="16"/>
              </w:rPr>
              <w:t xml:space="preserve">Παροχές σε </w:t>
            </w:r>
            <w:r w:rsidR="00104B20">
              <w:rPr>
                <w:rFonts w:cs="Arial"/>
                <w:sz w:val="16"/>
                <w:szCs w:val="16"/>
              </w:rPr>
              <w:t>ε</w:t>
            </w:r>
            <w:r w:rsidRPr="00372745">
              <w:rPr>
                <w:rFonts w:cs="Arial"/>
                <w:sz w:val="16"/>
                <w:szCs w:val="16"/>
              </w:rPr>
              <w:t>ργαζόμενους</w:t>
            </w:r>
          </w:p>
        </w:tc>
        <w:tc>
          <w:tcPr>
            <w:tcW w:w="1068" w:type="dxa"/>
            <w:tcBorders>
              <w:top w:val="nil"/>
              <w:bottom w:val="nil"/>
            </w:tcBorders>
            <w:vAlign w:val="center"/>
            <w:hideMark/>
          </w:tcPr>
          <w:p w14:paraId="1B43E57F" w14:textId="77777777" w:rsidR="00EE405C" w:rsidRPr="00372745" w:rsidRDefault="00EE405C" w:rsidP="00450A3E">
            <w:pPr>
              <w:spacing w:after="0" w:line="240" w:lineRule="auto"/>
              <w:jc w:val="right"/>
              <w:rPr>
                <w:rFonts w:cs="Arial"/>
                <w:sz w:val="16"/>
                <w:szCs w:val="16"/>
              </w:rPr>
            </w:pPr>
            <w:r w:rsidRPr="00372745">
              <w:rPr>
                <w:rFonts w:cs="Arial"/>
                <w:sz w:val="16"/>
                <w:szCs w:val="16"/>
              </w:rPr>
              <w:t>3.001</w:t>
            </w:r>
          </w:p>
        </w:tc>
        <w:tc>
          <w:tcPr>
            <w:tcW w:w="1177" w:type="dxa"/>
            <w:tcBorders>
              <w:top w:val="nil"/>
              <w:bottom w:val="nil"/>
            </w:tcBorders>
            <w:vAlign w:val="center"/>
            <w:hideMark/>
          </w:tcPr>
          <w:p w14:paraId="16C809C3" w14:textId="77777777" w:rsidR="00EE405C" w:rsidRPr="00372745" w:rsidRDefault="00EE405C" w:rsidP="00450A3E">
            <w:pPr>
              <w:spacing w:after="0" w:line="240" w:lineRule="auto"/>
              <w:jc w:val="right"/>
              <w:rPr>
                <w:rFonts w:cs="Arial"/>
                <w:sz w:val="16"/>
                <w:szCs w:val="16"/>
              </w:rPr>
            </w:pPr>
            <w:r w:rsidRPr="00372745">
              <w:rPr>
                <w:rFonts w:cs="Arial"/>
                <w:sz w:val="16"/>
                <w:szCs w:val="16"/>
              </w:rPr>
              <w:t>3.128</w:t>
            </w:r>
          </w:p>
        </w:tc>
        <w:tc>
          <w:tcPr>
            <w:tcW w:w="1066" w:type="dxa"/>
            <w:tcBorders>
              <w:top w:val="nil"/>
              <w:bottom w:val="nil"/>
            </w:tcBorders>
            <w:vAlign w:val="center"/>
            <w:hideMark/>
          </w:tcPr>
          <w:p w14:paraId="132B4267" w14:textId="77777777" w:rsidR="00EE405C" w:rsidRPr="00372745" w:rsidRDefault="00EE405C" w:rsidP="00450A3E">
            <w:pPr>
              <w:spacing w:after="0" w:line="240" w:lineRule="auto"/>
              <w:jc w:val="right"/>
              <w:rPr>
                <w:rFonts w:cs="Arial"/>
                <w:sz w:val="16"/>
                <w:szCs w:val="16"/>
              </w:rPr>
            </w:pPr>
            <w:r w:rsidRPr="00372745">
              <w:rPr>
                <w:rFonts w:cs="Arial"/>
                <w:sz w:val="16"/>
                <w:szCs w:val="16"/>
              </w:rPr>
              <w:t>3.098</w:t>
            </w:r>
          </w:p>
        </w:tc>
        <w:tc>
          <w:tcPr>
            <w:tcW w:w="1066" w:type="dxa"/>
            <w:tcBorders>
              <w:top w:val="nil"/>
              <w:bottom w:val="nil"/>
            </w:tcBorders>
            <w:vAlign w:val="center"/>
            <w:hideMark/>
          </w:tcPr>
          <w:p w14:paraId="7D9F249C" w14:textId="77777777" w:rsidR="00EE405C" w:rsidRPr="00372745" w:rsidRDefault="00EE405C" w:rsidP="00450A3E">
            <w:pPr>
              <w:spacing w:after="0" w:line="240" w:lineRule="auto"/>
              <w:jc w:val="right"/>
              <w:rPr>
                <w:rFonts w:cs="Arial"/>
                <w:sz w:val="16"/>
                <w:szCs w:val="16"/>
              </w:rPr>
            </w:pPr>
            <w:r w:rsidRPr="00372745">
              <w:rPr>
                <w:rFonts w:cs="Arial"/>
                <w:sz w:val="16"/>
                <w:szCs w:val="16"/>
              </w:rPr>
              <w:t>3.188</w:t>
            </w:r>
          </w:p>
        </w:tc>
      </w:tr>
      <w:tr w:rsidR="00EE405C" w:rsidRPr="00372745" w14:paraId="4B637738" w14:textId="77777777" w:rsidTr="00BF6CBB">
        <w:trPr>
          <w:cantSplit/>
          <w:jc w:val="center"/>
        </w:trPr>
        <w:tc>
          <w:tcPr>
            <w:tcW w:w="6017" w:type="dxa"/>
            <w:tcBorders>
              <w:top w:val="nil"/>
              <w:bottom w:val="nil"/>
            </w:tcBorders>
            <w:vAlign w:val="center"/>
            <w:hideMark/>
          </w:tcPr>
          <w:p w14:paraId="5646E87D" w14:textId="77777777" w:rsidR="00EE405C" w:rsidRPr="00372745" w:rsidRDefault="00EE405C" w:rsidP="00450A3E">
            <w:pPr>
              <w:spacing w:after="0" w:line="240" w:lineRule="auto"/>
              <w:jc w:val="left"/>
              <w:rPr>
                <w:rFonts w:cs="Arial"/>
                <w:sz w:val="16"/>
                <w:szCs w:val="16"/>
              </w:rPr>
            </w:pPr>
            <w:r w:rsidRPr="00372745">
              <w:rPr>
                <w:rFonts w:cs="Arial"/>
                <w:sz w:val="16"/>
                <w:szCs w:val="16"/>
              </w:rPr>
              <w:t>Τόκοι χρεωστικοί</w:t>
            </w:r>
          </w:p>
        </w:tc>
        <w:tc>
          <w:tcPr>
            <w:tcW w:w="1068" w:type="dxa"/>
            <w:tcBorders>
              <w:top w:val="nil"/>
              <w:bottom w:val="nil"/>
            </w:tcBorders>
            <w:vAlign w:val="center"/>
            <w:hideMark/>
          </w:tcPr>
          <w:p w14:paraId="7951D8D3" w14:textId="77777777" w:rsidR="00EE405C" w:rsidRPr="00372745" w:rsidRDefault="00EE405C" w:rsidP="00450A3E">
            <w:pPr>
              <w:spacing w:after="0" w:line="240" w:lineRule="auto"/>
              <w:jc w:val="right"/>
              <w:rPr>
                <w:rFonts w:cs="Arial"/>
                <w:sz w:val="16"/>
                <w:szCs w:val="16"/>
              </w:rPr>
            </w:pPr>
            <w:r w:rsidRPr="00372745">
              <w:rPr>
                <w:rFonts w:cs="Arial"/>
                <w:sz w:val="16"/>
                <w:szCs w:val="16"/>
              </w:rPr>
              <w:t>59</w:t>
            </w:r>
          </w:p>
        </w:tc>
        <w:tc>
          <w:tcPr>
            <w:tcW w:w="1177" w:type="dxa"/>
            <w:tcBorders>
              <w:top w:val="nil"/>
              <w:bottom w:val="nil"/>
            </w:tcBorders>
            <w:vAlign w:val="center"/>
            <w:hideMark/>
          </w:tcPr>
          <w:p w14:paraId="53F8198D" w14:textId="77777777" w:rsidR="00EE405C" w:rsidRPr="00372745" w:rsidRDefault="00EE405C" w:rsidP="00450A3E">
            <w:pPr>
              <w:spacing w:after="0" w:line="240" w:lineRule="auto"/>
              <w:jc w:val="right"/>
              <w:rPr>
                <w:rFonts w:cs="Arial"/>
                <w:sz w:val="16"/>
                <w:szCs w:val="16"/>
              </w:rPr>
            </w:pPr>
            <w:r w:rsidRPr="00372745">
              <w:rPr>
                <w:rFonts w:cs="Arial"/>
                <w:sz w:val="16"/>
                <w:szCs w:val="16"/>
              </w:rPr>
              <w:t>45</w:t>
            </w:r>
          </w:p>
        </w:tc>
        <w:tc>
          <w:tcPr>
            <w:tcW w:w="1066" w:type="dxa"/>
            <w:tcBorders>
              <w:top w:val="nil"/>
              <w:bottom w:val="nil"/>
            </w:tcBorders>
            <w:vAlign w:val="center"/>
            <w:hideMark/>
          </w:tcPr>
          <w:p w14:paraId="6FF91CA6" w14:textId="77777777" w:rsidR="00EE405C" w:rsidRPr="00372745" w:rsidRDefault="00EE405C" w:rsidP="00450A3E">
            <w:pPr>
              <w:spacing w:after="0" w:line="240" w:lineRule="auto"/>
              <w:jc w:val="right"/>
              <w:rPr>
                <w:rFonts w:cs="Arial"/>
                <w:sz w:val="16"/>
                <w:szCs w:val="16"/>
              </w:rPr>
            </w:pPr>
            <w:r w:rsidRPr="00372745">
              <w:rPr>
                <w:rFonts w:cs="Arial"/>
                <w:sz w:val="16"/>
                <w:szCs w:val="16"/>
              </w:rPr>
              <w:t>55</w:t>
            </w:r>
          </w:p>
        </w:tc>
        <w:tc>
          <w:tcPr>
            <w:tcW w:w="1066" w:type="dxa"/>
            <w:tcBorders>
              <w:top w:val="nil"/>
              <w:bottom w:val="nil"/>
            </w:tcBorders>
            <w:vAlign w:val="center"/>
            <w:hideMark/>
          </w:tcPr>
          <w:p w14:paraId="42CCF1C2" w14:textId="77777777" w:rsidR="00EE405C" w:rsidRPr="00372745" w:rsidRDefault="00EE405C" w:rsidP="00450A3E">
            <w:pPr>
              <w:spacing w:after="0" w:line="240" w:lineRule="auto"/>
              <w:jc w:val="right"/>
              <w:rPr>
                <w:rFonts w:cs="Arial"/>
                <w:sz w:val="16"/>
                <w:szCs w:val="16"/>
              </w:rPr>
            </w:pPr>
            <w:r w:rsidRPr="00372745">
              <w:rPr>
                <w:rFonts w:cs="Arial"/>
                <w:sz w:val="16"/>
                <w:szCs w:val="16"/>
              </w:rPr>
              <w:t>50</w:t>
            </w:r>
          </w:p>
        </w:tc>
      </w:tr>
      <w:tr w:rsidR="00EE405C" w:rsidRPr="00372745" w14:paraId="7A1673DE" w14:textId="77777777" w:rsidTr="00BF6CBB">
        <w:trPr>
          <w:cantSplit/>
          <w:jc w:val="center"/>
        </w:trPr>
        <w:tc>
          <w:tcPr>
            <w:tcW w:w="6017" w:type="dxa"/>
            <w:tcBorders>
              <w:top w:val="nil"/>
              <w:bottom w:val="nil"/>
            </w:tcBorders>
            <w:vAlign w:val="center"/>
            <w:hideMark/>
          </w:tcPr>
          <w:p w14:paraId="41E16DB8" w14:textId="77777777" w:rsidR="00EE405C" w:rsidRPr="00372745" w:rsidRDefault="00EE405C" w:rsidP="00450A3E">
            <w:pPr>
              <w:spacing w:after="0" w:line="240" w:lineRule="auto"/>
              <w:jc w:val="left"/>
              <w:rPr>
                <w:rFonts w:cs="Arial"/>
                <w:sz w:val="16"/>
                <w:szCs w:val="16"/>
              </w:rPr>
            </w:pPr>
            <w:r w:rsidRPr="00372745">
              <w:rPr>
                <w:rFonts w:cs="Arial"/>
                <w:sz w:val="16"/>
                <w:szCs w:val="16"/>
              </w:rPr>
              <w:t>Κοινωνικές παροχές</w:t>
            </w:r>
          </w:p>
        </w:tc>
        <w:tc>
          <w:tcPr>
            <w:tcW w:w="1068" w:type="dxa"/>
            <w:tcBorders>
              <w:top w:val="nil"/>
              <w:bottom w:val="nil"/>
            </w:tcBorders>
            <w:vAlign w:val="center"/>
            <w:hideMark/>
          </w:tcPr>
          <w:p w14:paraId="003B058A" w14:textId="77777777" w:rsidR="00EE405C" w:rsidRPr="00372745" w:rsidRDefault="00EE405C" w:rsidP="00450A3E">
            <w:pPr>
              <w:spacing w:after="0" w:line="240" w:lineRule="auto"/>
              <w:jc w:val="right"/>
              <w:rPr>
                <w:rFonts w:cs="Arial"/>
                <w:sz w:val="16"/>
                <w:szCs w:val="16"/>
              </w:rPr>
            </w:pPr>
            <w:r w:rsidRPr="00372745">
              <w:rPr>
                <w:rFonts w:cs="Arial"/>
                <w:sz w:val="16"/>
                <w:szCs w:val="16"/>
              </w:rPr>
              <w:t>221</w:t>
            </w:r>
          </w:p>
        </w:tc>
        <w:tc>
          <w:tcPr>
            <w:tcW w:w="1177" w:type="dxa"/>
            <w:tcBorders>
              <w:top w:val="nil"/>
              <w:bottom w:val="nil"/>
            </w:tcBorders>
            <w:vAlign w:val="center"/>
            <w:hideMark/>
          </w:tcPr>
          <w:p w14:paraId="73501C80" w14:textId="77777777" w:rsidR="00EE405C" w:rsidRPr="00372745" w:rsidRDefault="00EE405C" w:rsidP="00450A3E">
            <w:pPr>
              <w:spacing w:after="0" w:line="240" w:lineRule="auto"/>
              <w:jc w:val="right"/>
              <w:rPr>
                <w:rFonts w:cs="Arial"/>
                <w:sz w:val="16"/>
                <w:szCs w:val="16"/>
              </w:rPr>
            </w:pPr>
            <w:r w:rsidRPr="00372745">
              <w:rPr>
                <w:rFonts w:cs="Arial"/>
                <w:sz w:val="16"/>
                <w:szCs w:val="16"/>
              </w:rPr>
              <w:t>230</w:t>
            </w:r>
          </w:p>
        </w:tc>
        <w:tc>
          <w:tcPr>
            <w:tcW w:w="1066" w:type="dxa"/>
            <w:tcBorders>
              <w:top w:val="nil"/>
              <w:bottom w:val="nil"/>
            </w:tcBorders>
            <w:vAlign w:val="center"/>
            <w:hideMark/>
          </w:tcPr>
          <w:p w14:paraId="6362627F" w14:textId="77777777" w:rsidR="00EE405C" w:rsidRPr="00372745" w:rsidRDefault="00EE405C" w:rsidP="00450A3E">
            <w:pPr>
              <w:spacing w:after="0" w:line="240" w:lineRule="auto"/>
              <w:jc w:val="right"/>
              <w:rPr>
                <w:rFonts w:cs="Arial"/>
                <w:sz w:val="16"/>
                <w:szCs w:val="16"/>
              </w:rPr>
            </w:pPr>
            <w:r w:rsidRPr="00372745">
              <w:rPr>
                <w:rFonts w:cs="Arial"/>
                <w:sz w:val="16"/>
                <w:szCs w:val="16"/>
              </w:rPr>
              <w:t>237</w:t>
            </w:r>
          </w:p>
        </w:tc>
        <w:tc>
          <w:tcPr>
            <w:tcW w:w="1066" w:type="dxa"/>
            <w:tcBorders>
              <w:top w:val="nil"/>
              <w:bottom w:val="nil"/>
            </w:tcBorders>
            <w:vAlign w:val="center"/>
            <w:hideMark/>
          </w:tcPr>
          <w:p w14:paraId="50697E13" w14:textId="77777777" w:rsidR="00EE405C" w:rsidRPr="00372745" w:rsidRDefault="00EE405C" w:rsidP="00450A3E">
            <w:pPr>
              <w:spacing w:after="0" w:line="240" w:lineRule="auto"/>
              <w:jc w:val="right"/>
              <w:rPr>
                <w:rFonts w:cs="Arial"/>
                <w:sz w:val="16"/>
                <w:szCs w:val="16"/>
              </w:rPr>
            </w:pPr>
            <w:r w:rsidRPr="00372745">
              <w:rPr>
                <w:rFonts w:cs="Arial"/>
                <w:sz w:val="16"/>
                <w:szCs w:val="16"/>
              </w:rPr>
              <w:t>257</w:t>
            </w:r>
          </w:p>
        </w:tc>
      </w:tr>
      <w:tr w:rsidR="00EE405C" w:rsidRPr="00372745" w14:paraId="43314021" w14:textId="77777777" w:rsidTr="00BF6CBB">
        <w:trPr>
          <w:cantSplit/>
          <w:jc w:val="center"/>
        </w:trPr>
        <w:tc>
          <w:tcPr>
            <w:tcW w:w="6017" w:type="dxa"/>
            <w:tcBorders>
              <w:top w:val="nil"/>
              <w:bottom w:val="nil"/>
            </w:tcBorders>
            <w:vAlign w:val="center"/>
            <w:hideMark/>
          </w:tcPr>
          <w:p w14:paraId="4A680B1A"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Λοιπά έξοδα</w:t>
            </w:r>
          </w:p>
        </w:tc>
        <w:tc>
          <w:tcPr>
            <w:tcW w:w="1068" w:type="dxa"/>
            <w:tcBorders>
              <w:top w:val="nil"/>
              <w:bottom w:val="nil"/>
            </w:tcBorders>
            <w:vAlign w:val="center"/>
            <w:hideMark/>
          </w:tcPr>
          <w:p w14:paraId="147EBD3D" w14:textId="77777777" w:rsidR="00EE405C" w:rsidRPr="00372745" w:rsidRDefault="00EE405C" w:rsidP="00450A3E">
            <w:pPr>
              <w:spacing w:after="0" w:line="240" w:lineRule="auto"/>
              <w:jc w:val="right"/>
              <w:rPr>
                <w:rFonts w:cs="Arial"/>
                <w:sz w:val="16"/>
                <w:szCs w:val="16"/>
              </w:rPr>
            </w:pPr>
            <w:r w:rsidRPr="00372745">
              <w:rPr>
                <w:rFonts w:cs="Arial"/>
                <w:sz w:val="16"/>
                <w:szCs w:val="16"/>
              </w:rPr>
              <w:t>2.752</w:t>
            </w:r>
          </w:p>
        </w:tc>
        <w:tc>
          <w:tcPr>
            <w:tcW w:w="1177" w:type="dxa"/>
            <w:tcBorders>
              <w:top w:val="nil"/>
              <w:bottom w:val="nil"/>
            </w:tcBorders>
            <w:vAlign w:val="center"/>
            <w:hideMark/>
          </w:tcPr>
          <w:p w14:paraId="5D2E8A00" w14:textId="77777777" w:rsidR="00EE405C" w:rsidRPr="00372745" w:rsidRDefault="00EE405C" w:rsidP="00450A3E">
            <w:pPr>
              <w:spacing w:after="0" w:line="240" w:lineRule="auto"/>
              <w:jc w:val="right"/>
              <w:rPr>
                <w:rFonts w:cs="Arial"/>
                <w:sz w:val="16"/>
                <w:szCs w:val="16"/>
              </w:rPr>
            </w:pPr>
            <w:r w:rsidRPr="00372745">
              <w:rPr>
                <w:rFonts w:cs="Arial"/>
                <w:sz w:val="16"/>
                <w:szCs w:val="16"/>
              </w:rPr>
              <w:t>2.925</w:t>
            </w:r>
          </w:p>
        </w:tc>
        <w:tc>
          <w:tcPr>
            <w:tcW w:w="1066" w:type="dxa"/>
            <w:tcBorders>
              <w:top w:val="nil"/>
              <w:bottom w:val="nil"/>
            </w:tcBorders>
            <w:vAlign w:val="center"/>
            <w:hideMark/>
          </w:tcPr>
          <w:p w14:paraId="5D710EB8" w14:textId="77777777" w:rsidR="00EE405C" w:rsidRPr="00372745" w:rsidRDefault="00EE405C" w:rsidP="00450A3E">
            <w:pPr>
              <w:spacing w:after="0" w:line="240" w:lineRule="auto"/>
              <w:jc w:val="right"/>
              <w:rPr>
                <w:rFonts w:cs="Arial"/>
                <w:sz w:val="16"/>
                <w:szCs w:val="16"/>
              </w:rPr>
            </w:pPr>
            <w:r w:rsidRPr="00372745">
              <w:rPr>
                <w:rFonts w:cs="Arial"/>
                <w:sz w:val="16"/>
                <w:szCs w:val="16"/>
              </w:rPr>
              <w:t>2.977</w:t>
            </w:r>
          </w:p>
        </w:tc>
        <w:tc>
          <w:tcPr>
            <w:tcW w:w="1066" w:type="dxa"/>
            <w:tcBorders>
              <w:top w:val="nil"/>
              <w:bottom w:val="nil"/>
            </w:tcBorders>
            <w:vAlign w:val="center"/>
            <w:hideMark/>
          </w:tcPr>
          <w:p w14:paraId="554E9830" w14:textId="77777777" w:rsidR="00EE405C" w:rsidRPr="00372745" w:rsidRDefault="00EE405C" w:rsidP="00450A3E">
            <w:pPr>
              <w:spacing w:after="0" w:line="240" w:lineRule="auto"/>
              <w:jc w:val="right"/>
              <w:rPr>
                <w:rFonts w:cs="Arial"/>
                <w:sz w:val="16"/>
                <w:szCs w:val="16"/>
              </w:rPr>
            </w:pPr>
            <w:r w:rsidRPr="00372745">
              <w:rPr>
                <w:rFonts w:cs="Arial"/>
                <w:sz w:val="16"/>
                <w:szCs w:val="16"/>
              </w:rPr>
              <w:t>3.042</w:t>
            </w:r>
          </w:p>
        </w:tc>
      </w:tr>
      <w:tr w:rsidR="00EE405C" w:rsidRPr="00372745" w14:paraId="7554979F" w14:textId="77777777" w:rsidTr="00BF6CBB">
        <w:trPr>
          <w:cantSplit/>
          <w:jc w:val="center"/>
        </w:trPr>
        <w:tc>
          <w:tcPr>
            <w:tcW w:w="6017" w:type="dxa"/>
            <w:tcBorders>
              <w:top w:val="nil"/>
              <w:bottom w:val="nil"/>
            </w:tcBorders>
            <w:vAlign w:val="center"/>
            <w:hideMark/>
          </w:tcPr>
          <w:p w14:paraId="537611E5" w14:textId="77777777" w:rsidR="00EE405C" w:rsidRPr="00372745" w:rsidRDefault="00EE405C" w:rsidP="00450A3E">
            <w:pPr>
              <w:spacing w:after="0" w:line="240" w:lineRule="auto"/>
              <w:jc w:val="left"/>
              <w:rPr>
                <w:rFonts w:cs="Arial"/>
                <w:sz w:val="16"/>
                <w:szCs w:val="16"/>
              </w:rPr>
            </w:pPr>
            <w:r w:rsidRPr="00372745">
              <w:rPr>
                <w:rFonts w:cs="Arial"/>
                <w:sz w:val="16"/>
                <w:szCs w:val="16"/>
              </w:rPr>
              <w:t>Επενδυτικές δαπάνες</w:t>
            </w:r>
          </w:p>
        </w:tc>
        <w:tc>
          <w:tcPr>
            <w:tcW w:w="1068" w:type="dxa"/>
            <w:tcBorders>
              <w:top w:val="nil"/>
              <w:bottom w:val="nil"/>
            </w:tcBorders>
            <w:vAlign w:val="center"/>
            <w:hideMark/>
          </w:tcPr>
          <w:p w14:paraId="73996B36" w14:textId="77777777" w:rsidR="00EE405C" w:rsidRPr="00372745" w:rsidRDefault="00EE405C" w:rsidP="00450A3E">
            <w:pPr>
              <w:spacing w:after="0" w:line="240" w:lineRule="auto"/>
              <w:jc w:val="right"/>
              <w:rPr>
                <w:rFonts w:cs="Arial"/>
                <w:sz w:val="16"/>
                <w:szCs w:val="16"/>
              </w:rPr>
            </w:pPr>
            <w:r w:rsidRPr="00372745">
              <w:rPr>
                <w:rFonts w:cs="Arial"/>
                <w:sz w:val="16"/>
                <w:szCs w:val="16"/>
              </w:rPr>
              <w:t>3.121</w:t>
            </w:r>
          </w:p>
        </w:tc>
        <w:tc>
          <w:tcPr>
            <w:tcW w:w="1177" w:type="dxa"/>
            <w:tcBorders>
              <w:top w:val="nil"/>
              <w:bottom w:val="nil"/>
            </w:tcBorders>
            <w:vAlign w:val="center"/>
            <w:hideMark/>
          </w:tcPr>
          <w:p w14:paraId="5FB2DB78" w14:textId="77777777" w:rsidR="00EE405C" w:rsidRPr="00372745" w:rsidRDefault="00EE405C" w:rsidP="00450A3E">
            <w:pPr>
              <w:spacing w:after="0" w:line="240" w:lineRule="auto"/>
              <w:jc w:val="right"/>
              <w:rPr>
                <w:rFonts w:cs="Arial"/>
                <w:sz w:val="16"/>
                <w:szCs w:val="16"/>
              </w:rPr>
            </w:pPr>
            <w:r w:rsidRPr="00372745">
              <w:rPr>
                <w:rFonts w:cs="Arial"/>
                <w:sz w:val="16"/>
                <w:szCs w:val="16"/>
              </w:rPr>
              <w:t>3.189</w:t>
            </w:r>
          </w:p>
        </w:tc>
        <w:tc>
          <w:tcPr>
            <w:tcW w:w="1066" w:type="dxa"/>
            <w:tcBorders>
              <w:top w:val="nil"/>
              <w:bottom w:val="nil"/>
            </w:tcBorders>
            <w:vAlign w:val="center"/>
            <w:hideMark/>
          </w:tcPr>
          <w:p w14:paraId="6B9A7750" w14:textId="77777777" w:rsidR="00EE405C" w:rsidRPr="00372745" w:rsidRDefault="00EE405C" w:rsidP="00450A3E">
            <w:pPr>
              <w:spacing w:after="0" w:line="240" w:lineRule="auto"/>
              <w:jc w:val="right"/>
              <w:rPr>
                <w:rFonts w:cs="Arial"/>
                <w:sz w:val="16"/>
                <w:szCs w:val="16"/>
              </w:rPr>
            </w:pPr>
            <w:r w:rsidRPr="00372745">
              <w:rPr>
                <w:rFonts w:cs="Arial"/>
                <w:sz w:val="16"/>
                <w:szCs w:val="16"/>
              </w:rPr>
              <w:t>3.135</w:t>
            </w:r>
          </w:p>
        </w:tc>
        <w:tc>
          <w:tcPr>
            <w:tcW w:w="1066" w:type="dxa"/>
            <w:tcBorders>
              <w:top w:val="nil"/>
              <w:bottom w:val="nil"/>
            </w:tcBorders>
            <w:vAlign w:val="center"/>
            <w:hideMark/>
          </w:tcPr>
          <w:p w14:paraId="1FE02769" w14:textId="77777777" w:rsidR="00EE405C" w:rsidRPr="00372745" w:rsidRDefault="00EE405C" w:rsidP="00450A3E">
            <w:pPr>
              <w:spacing w:after="0" w:line="240" w:lineRule="auto"/>
              <w:jc w:val="right"/>
              <w:rPr>
                <w:rFonts w:cs="Arial"/>
                <w:sz w:val="16"/>
                <w:szCs w:val="16"/>
              </w:rPr>
            </w:pPr>
            <w:r w:rsidRPr="00372745">
              <w:rPr>
                <w:rFonts w:cs="Arial"/>
                <w:sz w:val="16"/>
                <w:szCs w:val="16"/>
              </w:rPr>
              <w:t>3.164</w:t>
            </w:r>
          </w:p>
        </w:tc>
      </w:tr>
      <w:tr w:rsidR="00EE405C" w:rsidRPr="00372745" w14:paraId="7446A154" w14:textId="77777777" w:rsidTr="00BF6CBB">
        <w:trPr>
          <w:cantSplit/>
          <w:trHeight w:val="227"/>
          <w:jc w:val="center"/>
        </w:trPr>
        <w:tc>
          <w:tcPr>
            <w:tcW w:w="6017" w:type="dxa"/>
            <w:tcBorders>
              <w:top w:val="nil"/>
              <w:bottom w:val="nil"/>
            </w:tcBorders>
            <w:shd w:val="clear" w:color="auto" w:fill="D5DCE4"/>
            <w:vAlign w:val="center"/>
            <w:hideMark/>
          </w:tcPr>
          <w:p w14:paraId="32716E57"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IΧ. Ισοζύγιο OKA κατά ESA</w:t>
            </w:r>
          </w:p>
        </w:tc>
        <w:tc>
          <w:tcPr>
            <w:tcW w:w="1068" w:type="dxa"/>
            <w:tcBorders>
              <w:top w:val="nil"/>
              <w:bottom w:val="nil"/>
            </w:tcBorders>
            <w:shd w:val="clear" w:color="auto" w:fill="D5DCE4"/>
            <w:vAlign w:val="center"/>
            <w:hideMark/>
          </w:tcPr>
          <w:p w14:paraId="44A2C2D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1.049</w:t>
            </w:r>
          </w:p>
        </w:tc>
        <w:tc>
          <w:tcPr>
            <w:tcW w:w="1177" w:type="dxa"/>
            <w:tcBorders>
              <w:top w:val="nil"/>
              <w:bottom w:val="nil"/>
            </w:tcBorders>
            <w:shd w:val="clear" w:color="auto" w:fill="D5DCE4"/>
            <w:vAlign w:val="center"/>
            <w:hideMark/>
          </w:tcPr>
          <w:p w14:paraId="3318A32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999</w:t>
            </w:r>
          </w:p>
        </w:tc>
        <w:tc>
          <w:tcPr>
            <w:tcW w:w="1066" w:type="dxa"/>
            <w:tcBorders>
              <w:top w:val="nil"/>
              <w:bottom w:val="nil"/>
            </w:tcBorders>
            <w:shd w:val="clear" w:color="auto" w:fill="D5DCE4"/>
            <w:vAlign w:val="center"/>
            <w:hideMark/>
          </w:tcPr>
          <w:p w14:paraId="5337866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2.087</w:t>
            </w:r>
          </w:p>
        </w:tc>
        <w:tc>
          <w:tcPr>
            <w:tcW w:w="1066" w:type="dxa"/>
            <w:tcBorders>
              <w:top w:val="nil"/>
              <w:bottom w:val="nil"/>
            </w:tcBorders>
            <w:shd w:val="clear" w:color="auto" w:fill="D5DCE4"/>
            <w:vAlign w:val="center"/>
            <w:hideMark/>
          </w:tcPr>
          <w:p w14:paraId="142BED98"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2.025</w:t>
            </w:r>
          </w:p>
        </w:tc>
      </w:tr>
      <w:tr w:rsidR="00EE405C" w:rsidRPr="00372745" w14:paraId="72F2B0BD" w14:textId="77777777" w:rsidTr="00BF6CBB">
        <w:trPr>
          <w:cantSplit/>
          <w:jc w:val="center"/>
        </w:trPr>
        <w:tc>
          <w:tcPr>
            <w:tcW w:w="6017" w:type="dxa"/>
            <w:tcBorders>
              <w:top w:val="nil"/>
              <w:bottom w:val="nil"/>
            </w:tcBorders>
            <w:vAlign w:val="center"/>
            <w:hideMark/>
          </w:tcPr>
          <w:p w14:paraId="54A80DCC"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Έσοδα</w:t>
            </w:r>
          </w:p>
        </w:tc>
        <w:tc>
          <w:tcPr>
            <w:tcW w:w="1068" w:type="dxa"/>
            <w:tcBorders>
              <w:top w:val="nil"/>
              <w:bottom w:val="nil"/>
            </w:tcBorders>
            <w:vAlign w:val="center"/>
            <w:hideMark/>
          </w:tcPr>
          <w:p w14:paraId="4E2635B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49.800</w:t>
            </w:r>
          </w:p>
        </w:tc>
        <w:tc>
          <w:tcPr>
            <w:tcW w:w="1177" w:type="dxa"/>
            <w:tcBorders>
              <w:top w:val="nil"/>
              <w:bottom w:val="nil"/>
            </w:tcBorders>
            <w:vAlign w:val="center"/>
            <w:hideMark/>
          </w:tcPr>
          <w:p w14:paraId="2AE832F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52.166</w:t>
            </w:r>
          </w:p>
        </w:tc>
        <w:tc>
          <w:tcPr>
            <w:tcW w:w="1066" w:type="dxa"/>
            <w:tcBorders>
              <w:top w:val="nil"/>
              <w:bottom w:val="nil"/>
            </w:tcBorders>
            <w:vAlign w:val="center"/>
            <w:hideMark/>
          </w:tcPr>
          <w:p w14:paraId="28F89E2D"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54.290</w:t>
            </w:r>
          </w:p>
        </w:tc>
        <w:tc>
          <w:tcPr>
            <w:tcW w:w="1066" w:type="dxa"/>
            <w:tcBorders>
              <w:top w:val="nil"/>
              <w:bottom w:val="nil"/>
            </w:tcBorders>
            <w:vAlign w:val="center"/>
            <w:hideMark/>
          </w:tcPr>
          <w:p w14:paraId="64D8F9C4"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55.595</w:t>
            </w:r>
          </w:p>
        </w:tc>
      </w:tr>
      <w:tr w:rsidR="00EE405C" w:rsidRPr="00372745" w14:paraId="1ED2AB9F" w14:textId="77777777" w:rsidTr="00BF6CBB">
        <w:trPr>
          <w:cantSplit/>
          <w:jc w:val="center"/>
        </w:trPr>
        <w:tc>
          <w:tcPr>
            <w:tcW w:w="6017" w:type="dxa"/>
            <w:tcBorders>
              <w:top w:val="nil"/>
              <w:bottom w:val="nil"/>
            </w:tcBorders>
            <w:vAlign w:val="center"/>
            <w:hideMark/>
          </w:tcPr>
          <w:p w14:paraId="63732903" w14:textId="17FB2728" w:rsidR="00EE405C" w:rsidRPr="00372745" w:rsidRDefault="00EE405C" w:rsidP="00450A3E">
            <w:pPr>
              <w:spacing w:after="0" w:line="240" w:lineRule="auto"/>
              <w:jc w:val="left"/>
              <w:rPr>
                <w:rFonts w:cs="Arial"/>
                <w:sz w:val="16"/>
                <w:szCs w:val="16"/>
              </w:rPr>
            </w:pPr>
            <w:r w:rsidRPr="00372745">
              <w:rPr>
                <w:rFonts w:cs="Arial"/>
                <w:sz w:val="16"/>
                <w:szCs w:val="16"/>
              </w:rPr>
              <w:t xml:space="preserve">Τρέχουσες </w:t>
            </w:r>
            <w:r w:rsidR="00AA0F2E">
              <w:rPr>
                <w:rFonts w:cs="Arial"/>
                <w:sz w:val="16"/>
                <w:szCs w:val="16"/>
              </w:rPr>
              <w:t>και</w:t>
            </w:r>
            <w:r w:rsidRPr="00372745">
              <w:rPr>
                <w:rFonts w:cs="Arial"/>
                <w:sz w:val="16"/>
                <w:szCs w:val="16"/>
              </w:rPr>
              <w:t xml:space="preserve"> λοιπές κεφαλαιακές μεταβιβάσεις</w:t>
            </w:r>
          </w:p>
        </w:tc>
        <w:tc>
          <w:tcPr>
            <w:tcW w:w="1068" w:type="dxa"/>
            <w:tcBorders>
              <w:top w:val="nil"/>
              <w:bottom w:val="nil"/>
            </w:tcBorders>
            <w:vAlign w:val="center"/>
            <w:hideMark/>
          </w:tcPr>
          <w:p w14:paraId="53F936B9" w14:textId="77777777" w:rsidR="00EE405C" w:rsidRPr="00372745" w:rsidRDefault="00EE405C" w:rsidP="00450A3E">
            <w:pPr>
              <w:spacing w:after="0" w:line="240" w:lineRule="auto"/>
              <w:jc w:val="right"/>
              <w:rPr>
                <w:rFonts w:cs="Arial"/>
                <w:sz w:val="16"/>
                <w:szCs w:val="16"/>
              </w:rPr>
            </w:pPr>
            <w:r w:rsidRPr="00372745">
              <w:rPr>
                <w:rFonts w:cs="Arial"/>
                <w:sz w:val="16"/>
                <w:szCs w:val="16"/>
              </w:rPr>
              <w:t>19.133</w:t>
            </w:r>
          </w:p>
        </w:tc>
        <w:tc>
          <w:tcPr>
            <w:tcW w:w="1177" w:type="dxa"/>
            <w:tcBorders>
              <w:top w:val="nil"/>
              <w:bottom w:val="nil"/>
            </w:tcBorders>
            <w:vAlign w:val="center"/>
            <w:hideMark/>
          </w:tcPr>
          <w:p w14:paraId="1AB540DC" w14:textId="77777777" w:rsidR="00EE405C" w:rsidRPr="00372745" w:rsidRDefault="00EE405C" w:rsidP="00450A3E">
            <w:pPr>
              <w:spacing w:after="0" w:line="240" w:lineRule="auto"/>
              <w:jc w:val="right"/>
              <w:rPr>
                <w:rFonts w:cs="Arial"/>
                <w:sz w:val="16"/>
                <w:szCs w:val="16"/>
              </w:rPr>
            </w:pPr>
            <w:r w:rsidRPr="00372745">
              <w:rPr>
                <w:rFonts w:cs="Arial"/>
                <w:sz w:val="16"/>
                <w:szCs w:val="16"/>
              </w:rPr>
              <w:t>22.315</w:t>
            </w:r>
          </w:p>
        </w:tc>
        <w:tc>
          <w:tcPr>
            <w:tcW w:w="1066" w:type="dxa"/>
            <w:tcBorders>
              <w:top w:val="nil"/>
              <w:bottom w:val="nil"/>
            </w:tcBorders>
            <w:vAlign w:val="center"/>
            <w:hideMark/>
          </w:tcPr>
          <w:p w14:paraId="3685EFBF" w14:textId="77777777" w:rsidR="00EE405C" w:rsidRPr="00372745" w:rsidRDefault="00EE405C" w:rsidP="00450A3E">
            <w:pPr>
              <w:spacing w:after="0" w:line="240" w:lineRule="auto"/>
              <w:jc w:val="right"/>
              <w:rPr>
                <w:rFonts w:cs="Arial"/>
                <w:sz w:val="16"/>
                <w:szCs w:val="16"/>
              </w:rPr>
            </w:pPr>
            <w:r w:rsidRPr="00372745">
              <w:rPr>
                <w:rFonts w:cs="Arial"/>
                <w:sz w:val="16"/>
                <w:szCs w:val="16"/>
              </w:rPr>
              <w:t>22.805</w:t>
            </w:r>
          </w:p>
        </w:tc>
        <w:tc>
          <w:tcPr>
            <w:tcW w:w="1066" w:type="dxa"/>
            <w:tcBorders>
              <w:top w:val="nil"/>
              <w:bottom w:val="nil"/>
            </w:tcBorders>
            <w:vAlign w:val="center"/>
            <w:hideMark/>
          </w:tcPr>
          <w:p w14:paraId="4B4B323A" w14:textId="77777777" w:rsidR="00EE405C" w:rsidRPr="00372745" w:rsidRDefault="00EE405C" w:rsidP="00450A3E">
            <w:pPr>
              <w:spacing w:after="0" w:line="240" w:lineRule="auto"/>
              <w:jc w:val="right"/>
              <w:rPr>
                <w:rFonts w:cs="Arial"/>
                <w:sz w:val="16"/>
                <w:szCs w:val="16"/>
              </w:rPr>
            </w:pPr>
            <w:r w:rsidRPr="00372745">
              <w:rPr>
                <w:rFonts w:cs="Arial"/>
                <w:sz w:val="16"/>
                <w:szCs w:val="16"/>
              </w:rPr>
              <w:t>22.894</w:t>
            </w:r>
          </w:p>
        </w:tc>
      </w:tr>
      <w:tr w:rsidR="00EE405C" w:rsidRPr="00372745" w14:paraId="6C66CFB7" w14:textId="77777777" w:rsidTr="00BF6CBB">
        <w:trPr>
          <w:cantSplit/>
          <w:jc w:val="center"/>
        </w:trPr>
        <w:tc>
          <w:tcPr>
            <w:tcW w:w="6017" w:type="dxa"/>
            <w:tcBorders>
              <w:top w:val="nil"/>
              <w:bottom w:val="nil"/>
            </w:tcBorders>
            <w:vAlign w:val="center"/>
            <w:hideMark/>
          </w:tcPr>
          <w:p w14:paraId="130EB05B" w14:textId="77777777" w:rsidR="00EE405C" w:rsidRPr="00372745" w:rsidRDefault="00EE405C" w:rsidP="00450A3E">
            <w:pPr>
              <w:spacing w:after="0" w:line="240" w:lineRule="auto"/>
              <w:jc w:val="left"/>
              <w:rPr>
                <w:rFonts w:cs="Arial"/>
                <w:sz w:val="16"/>
                <w:szCs w:val="16"/>
              </w:rPr>
            </w:pPr>
            <w:r w:rsidRPr="00372745">
              <w:rPr>
                <w:rFonts w:cs="Arial"/>
                <w:sz w:val="16"/>
                <w:szCs w:val="16"/>
              </w:rPr>
              <w:t>Αποδόσεις περιουσίας</w:t>
            </w:r>
          </w:p>
        </w:tc>
        <w:tc>
          <w:tcPr>
            <w:tcW w:w="1068" w:type="dxa"/>
            <w:tcBorders>
              <w:top w:val="nil"/>
              <w:bottom w:val="nil"/>
            </w:tcBorders>
            <w:vAlign w:val="center"/>
            <w:hideMark/>
          </w:tcPr>
          <w:p w14:paraId="35905260" w14:textId="77777777" w:rsidR="00EE405C" w:rsidRPr="00372745" w:rsidRDefault="00EE405C" w:rsidP="00450A3E">
            <w:pPr>
              <w:spacing w:after="0" w:line="240" w:lineRule="auto"/>
              <w:jc w:val="right"/>
              <w:rPr>
                <w:rFonts w:cs="Arial"/>
                <w:sz w:val="16"/>
                <w:szCs w:val="16"/>
              </w:rPr>
            </w:pPr>
            <w:r w:rsidRPr="00372745">
              <w:rPr>
                <w:rFonts w:cs="Arial"/>
                <w:sz w:val="16"/>
                <w:szCs w:val="16"/>
              </w:rPr>
              <w:t>1.854</w:t>
            </w:r>
          </w:p>
        </w:tc>
        <w:tc>
          <w:tcPr>
            <w:tcW w:w="1177" w:type="dxa"/>
            <w:tcBorders>
              <w:top w:val="nil"/>
              <w:bottom w:val="nil"/>
            </w:tcBorders>
            <w:vAlign w:val="center"/>
            <w:hideMark/>
          </w:tcPr>
          <w:p w14:paraId="7CB4F301" w14:textId="77777777" w:rsidR="00EE405C" w:rsidRPr="00372745" w:rsidRDefault="00EE405C" w:rsidP="00450A3E">
            <w:pPr>
              <w:spacing w:after="0" w:line="240" w:lineRule="auto"/>
              <w:jc w:val="right"/>
              <w:rPr>
                <w:rFonts w:cs="Arial"/>
                <w:sz w:val="16"/>
                <w:szCs w:val="16"/>
              </w:rPr>
            </w:pPr>
            <w:r w:rsidRPr="00372745">
              <w:rPr>
                <w:rFonts w:cs="Arial"/>
                <w:sz w:val="16"/>
                <w:szCs w:val="16"/>
              </w:rPr>
              <w:t>1.439</w:t>
            </w:r>
          </w:p>
        </w:tc>
        <w:tc>
          <w:tcPr>
            <w:tcW w:w="1066" w:type="dxa"/>
            <w:tcBorders>
              <w:top w:val="nil"/>
              <w:bottom w:val="nil"/>
            </w:tcBorders>
            <w:vAlign w:val="center"/>
            <w:hideMark/>
          </w:tcPr>
          <w:p w14:paraId="44DB6E2A" w14:textId="77777777" w:rsidR="00EE405C" w:rsidRPr="00372745" w:rsidRDefault="00EE405C" w:rsidP="00450A3E">
            <w:pPr>
              <w:spacing w:after="0" w:line="240" w:lineRule="auto"/>
              <w:jc w:val="right"/>
              <w:rPr>
                <w:rFonts w:cs="Arial"/>
                <w:sz w:val="16"/>
                <w:szCs w:val="16"/>
              </w:rPr>
            </w:pPr>
            <w:r w:rsidRPr="00372745">
              <w:rPr>
                <w:rFonts w:cs="Arial"/>
                <w:sz w:val="16"/>
                <w:szCs w:val="16"/>
              </w:rPr>
              <w:t>1.810</w:t>
            </w:r>
          </w:p>
        </w:tc>
        <w:tc>
          <w:tcPr>
            <w:tcW w:w="1066" w:type="dxa"/>
            <w:tcBorders>
              <w:top w:val="nil"/>
              <w:bottom w:val="nil"/>
            </w:tcBorders>
            <w:vAlign w:val="center"/>
            <w:hideMark/>
          </w:tcPr>
          <w:p w14:paraId="311E2464" w14:textId="77777777" w:rsidR="00EE405C" w:rsidRPr="00372745" w:rsidRDefault="00EE405C" w:rsidP="00450A3E">
            <w:pPr>
              <w:spacing w:after="0" w:line="240" w:lineRule="auto"/>
              <w:jc w:val="right"/>
              <w:rPr>
                <w:rFonts w:cs="Arial"/>
                <w:sz w:val="16"/>
                <w:szCs w:val="16"/>
              </w:rPr>
            </w:pPr>
            <w:r w:rsidRPr="00372745">
              <w:rPr>
                <w:rFonts w:cs="Arial"/>
                <w:sz w:val="16"/>
                <w:szCs w:val="16"/>
              </w:rPr>
              <w:t>1.852</w:t>
            </w:r>
          </w:p>
        </w:tc>
      </w:tr>
      <w:tr w:rsidR="00EE405C" w:rsidRPr="00372745" w14:paraId="1B7DB74B" w14:textId="77777777" w:rsidTr="00BF6CBB">
        <w:trPr>
          <w:cantSplit/>
          <w:jc w:val="center"/>
        </w:trPr>
        <w:tc>
          <w:tcPr>
            <w:tcW w:w="6017" w:type="dxa"/>
            <w:tcBorders>
              <w:top w:val="nil"/>
              <w:bottom w:val="nil"/>
            </w:tcBorders>
            <w:vAlign w:val="center"/>
            <w:hideMark/>
          </w:tcPr>
          <w:p w14:paraId="3F3B92F2" w14:textId="77777777" w:rsidR="00EE405C" w:rsidRPr="00372745" w:rsidRDefault="00EE405C" w:rsidP="00450A3E">
            <w:pPr>
              <w:spacing w:after="0" w:line="240" w:lineRule="auto"/>
              <w:jc w:val="left"/>
              <w:rPr>
                <w:rFonts w:cs="Arial"/>
                <w:sz w:val="16"/>
                <w:szCs w:val="16"/>
              </w:rPr>
            </w:pPr>
            <w:r w:rsidRPr="00372745">
              <w:rPr>
                <w:rFonts w:cs="Arial"/>
                <w:sz w:val="16"/>
                <w:szCs w:val="16"/>
              </w:rPr>
              <w:t>Ασφαλιστικές εισφορές (πραγματικές)</w:t>
            </w:r>
          </w:p>
        </w:tc>
        <w:tc>
          <w:tcPr>
            <w:tcW w:w="1068" w:type="dxa"/>
            <w:tcBorders>
              <w:top w:val="nil"/>
              <w:bottom w:val="nil"/>
            </w:tcBorders>
            <w:vAlign w:val="center"/>
            <w:hideMark/>
          </w:tcPr>
          <w:p w14:paraId="6B81244E" w14:textId="77777777" w:rsidR="00EE405C" w:rsidRPr="00372745" w:rsidRDefault="00EE405C" w:rsidP="00450A3E">
            <w:pPr>
              <w:spacing w:after="0" w:line="240" w:lineRule="auto"/>
              <w:jc w:val="right"/>
              <w:rPr>
                <w:rFonts w:cs="Arial"/>
                <w:sz w:val="16"/>
                <w:szCs w:val="16"/>
              </w:rPr>
            </w:pPr>
            <w:r w:rsidRPr="00372745">
              <w:rPr>
                <w:rFonts w:cs="Arial"/>
                <w:sz w:val="16"/>
                <w:szCs w:val="16"/>
              </w:rPr>
              <w:t>27.728</w:t>
            </w:r>
          </w:p>
        </w:tc>
        <w:tc>
          <w:tcPr>
            <w:tcW w:w="1177" w:type="dxa"/>
            <w:tcBorders>
              <w:top w:val="nil"/>
              <w:bottom w:val="nil"/>
            </w:tcBorders>
            <w:vAlign w:val="center"/>
            <w:hideMark/>
          </w:tcPr>
          <w:p w14:paraId="545AAEBC" w14:textId="77777777" w:rsidR="00EE405C" w:rsidRPr="00372745" w:rsidRDefault="00EE405C" w:rsidP="00450A3E">
            <w:pPr>
              <w:spacing w:after="0" w:line="240" w:lineRule="auto"/>
              <w:jc w:val="right"/>
              <w:rPr>
                <w:rFonts w:cs="Arial"/>
                <w:sz w:val="16"/>
                <w:szCs w:val="16"/>
              </w:rPr>
            </w:pPr>
            <w:r w:rsidRPr="00372745">
              <w:rPr>
                <w:rFonts w:cs="Arial"/>
                <w:sz w:val="16"/>
                <w:szCs w:val="16"/>
              </w:rPr>
              <w:t>27.382</w:t>
            </w:r>
          </w:p>
        </w:tc>
        <w:tc>
          <w:tcPr>
            <w:tcW w:w="1066" w:type="dxa"/>
            <w:tcBorders>
              <w:top w:val="nil"/>
              <w:bottom w:val="nil"/>
            </w:tcBorders>
            <w:vAlign w:val="center"/>
            <w:hideMark/>
          </w:tcPr>
          <w:p w14:paraId="35EE3970" w14:textId="77777777" w:rsidR="00EE405C" w:rsidRPr="00372745" w:rsidRDefault="00EE405C" w:rsidP="00450A3E">
            <w:pPr>
              <w:spacing w:after="0" w:line="240" w:lineRule="auto"/>
              <w:jc w:val="right"/>
              <w:rPr>
                <w:rFonts w:cs="Arial"/>
                <w:sz w:val="16"/>
                <w:szCs w:val="16"/>
              </w:rPr>
            </w:pPr>
            <w:r w:rsidRPr="00372745">
              <w:rPr>
                <w:rFonts w:cs="Arial"/>
                <w:sz w:val="16"/>
                <w:szCs w:val="16"/>
              </w:rPr>
              <w:t>28.452</w:t>
            </w:r>
          </w:p>
        </w:tc>
        <w:tc>
          <w:tcPr>
            <w:tcW w:w="1066" w:type="dxa"/>
            <w:tcBorders>
              <w:top w:val="nil"/>
              <w:bottom w:val="nil"/>
            </w:tcBorders>
            <w:vAlign w:val="center"/>
            <w:hideMark/>
          </w:tcPr>
          <w:p w14:paraId="0F1E610C" w14:textId="77777777" w:rsidR="00EE405C" w:rsidRPr="00372745" w:rsidRDefault="00EE405C" w:rsidP="00450A3E">
            <w:pPr>
              <w:spacing w:after="0" w:line="240" w:lineRule="auto"/>
              <w:jc w:val="right"/>
              <w:rPr>
                <w:rFonts w:cs="Arial"/>
                <w:sz w:val="16"/>
                <w:szCs w:val="16"/>
              </w:rPr>
            </w:pPr>
            <w:r w:rsidRPr="00372745">
              <w:rPr>
                <w:rFonts w:cs="Arial"/>
                <w:sz w:val="16"/>
                <w:szCs w:val="16"/>
              </w:rPr>
              <w:t>29.683</w:t>
            </w:r>
          </w:p>
        </w:tc>
      </w:tr>
      <w:tr w:rsidR="00EE405C" w:rsidRPr="00372745" w14:paraId="7043A17E" w14:textId="77777777" w:rsidTr="00BF6CBB">
        <w:trPr>
          <w:cantSplit/>
          <w:jc w:val="center"/>
        </w:trPr>
        <w:tc>
          <w:tcPr>
            <w:tcW w:w="6017" w:type="dxa"/>
            <w:tcBorders>
              <w:top w:val="nil"/>
              <w:bottom w:val="nil"/>
            </w:tcBorders>
            <w:vAlign w:val="center"/>
            <w:hideMark/>
          </w:tcPr>
          <w:p w14:paraId="40ED78FC" w14:textId="77777777" w:rsidR="00EE405C" w:rsidRPr="00372745" w:rsidRDefault="00EE405C" w:rsidP="00450A3E">
            <w:pPr>
              <w:spacing w:after="0" w:line="240" w:lineRule="auto"/>
              <w:jc w:val="left"/>
              <w:rPr>
                <w:rFonts w:cs="Arial"/>
                <w:sz w:val="16"/>
                <w:szCs w:val="16"/>
              </w:rPr>
            </w:pPr>
            <w:r w:rsidRPr="00372745">
              <w:rPr>
                <w:rFonts w:cs="Arial"/>
                <w:sz w:val="16"/>
                <w:szCs w:val="16"/>
              </w:rPr>
              <w:t>Κοινωνικοί πόροι</w:t>
            </w:r>
          </w:p>
        </w:tc>
        <w:tc>
          <w:tcPr>
            <w:tcW w:w="1068" w:type="dxa"/>
            <w:tcBorders>
              <w:top w:val="nil"/>
              <w:bottom w:val="nil"/>
            </w:tcBorders>
            <w:vAlign w:val="center"/>
            <w:hideMark/>
          </w:tcPr>
          <w:p w14:paraId="714732FC" w14:textId="77777777" w:rsidR="00EE405C" w:rsidRPr="00372745" w:rsidRDefault="00EE405C" w:rsidP="00450A3E">
            <w:pPr>
              <w:spacing w:after="0" w:line="240" w:lineRule="auto"/>
              <w:jc w:val="right"/>
              <w:rPr>
                <w:rFonts w:cs="Arial"/>
                <w:sz w:val="16"/>
                <w:szCs w:val="16"/>
              </w:rPr>
            </w:pPr>
            <w:r w:rsidRPr="00372745">
              <w:rPr>
                <w:rFonts w:cs="Arial"/>
                <w:sz w:val="16"/>
                <w:szCs w:val="16"/>
              </w:rPr>
              <w:t>765</w:t>
            </w:r>
          </w:p>
        </w:tc>
        <w:tc>
          <w:tcPr>
            <w:tcW w:w="1177" w:type="dxa"/>
            <w:tcBorders>
              <w:top w:val="nil"/>
              <w:bottom w:val="nil"/>
            </w:tcBorders>
            <w:vAlign w:val="center"/>
            <w:hideMark/>
          </w:tcPr>
          <w:p w14:paraId="537BECC6" w14:textId="77777777" w:rsidR="00EE405C" w:rsidRPr="00372745" w:rsidRDefault="00EE405C" w:rsidP="00450A3E">
            <w:pPr>
              <w:spacing w:after="0" w:line="240" w:lineRule="auto"/>
              <w:jc w:val="right"/>
              <w:rPr>
                <w:rFonts w:cs="Arial"/>
                <w:sz w:val="16"/>
                <w:szCs w:val="16"/>
              </w:rPr>
            </w:pPr>
            <w:r w:rsidRPr="00372745">
              <w:rPr>
                <w:rFonts w:cs="Arial"/>
                <w:sz w:val="16"/>
                <w:szCs w:val="16"/>
              </w:rPr>
              <w:t>717</w:t>
            </w:r>
          </w:p>
        </w:tc>
        <w:tc>
          <w:tcPr>
            <w:tcW w:w="1066" w:type="dxa"/>
            <w:tcBorders>
              <w:top w:val="nil"/>
              <w:bottom w:val="nil"/>
            </w:tcBorders>
            <w:vAlign w:val="center"/>
            <w:hideMark/>
          </w:tcPr>
          <w:p w14:paraId="54375241" w14:textId="77777777" w:rsidR="00EE405C" w:rsidRPr="00372745" w:rsidRDefault="00EE405C" w:rsidP="00450A3E">
            <w:pPr>
              <w:spacing w:after="0" w:line="240" w:lineRule="auto"/>
              <w:jc w:val="right"/>
              <w:rPr>
                <w:rFonts w:cs="Arial"/>
                <w:sz w:val="16"/>
                <w:szCs w:val="16"/>
              </w:rPr>
            </w:pPr>
            <w:r w:rsidRPr="00372745">
              <w:rPr>
                <w:rFonts w:cs="Arial"/>
                <w:sz w:val="16"/>
                <w:szCs w:val="16"/>
              </w:rPr>
              <w:t>742</w:t>
            </w:r>
          </w:p>
        </w:tc>
        <w:tc>
          <w:tcPr>
            <w:tcW w:w="1066" w:type="dxa"/>
            <w:tcBorders>
              <w:top w:val="nil"/>
              <w:bottom w:val="nil"/>
            </w:tcBorders>
            <w:vAlign w:val="center"/>
            <w:hideMark/>
          </w:tcPr>
          <w:p w14:paraId="695B57C9" w14:textId="77777777" w:rsidR="00EE405C" w:rsidRPr="00372745" w:rsidRDefault="00EE405C" w:rsidP="00450A3E">
            <w:pPr>
              <w:spacing w:after="0" w:line="240" w:lineRule="auto"/>
              <w:jc w:val="right"/>
              <w:rPr>
                <w:rFonts w:cs="Arial"/>
                <w:sz w:val="16"/>
                <w:szCs w:val="16"/>
              </w:rPr>
            </w:pPr>
            <w:r w:rsidRPr="00372745">
              <w:rPr>
                <w:rFonts w:cs="Arial"/>
                <w:sz w:val="16"/>
                <w:szCs w:val="16"/>
              </w:rPr>
              <w:t>761</w:t>
            </w:r>
          </w:p>
        </w:tc>
      </w:tr>
      <w:tr w:rsidR="00EE405C" w:rsidRPr="00372745" w14:paraId="2FE8250C" w14:textId="77777777" w:rsidTr="00BF6CBB">
        <w:trPr>
          <w:cantSplit/>
          <w:jc w:val="center"/>
        </w:trPr>
        <w:tc>
          <w:tcPr>
            <w:tcW w:w="6017" w:type="dxa"/>
            <w:tcBorders>
              <w:top w:val="nil"/>
              <w:bottom w:val="nil"/>
            </w:tcBorders>
            <w:vAlign w:val="center"/>
            <w:hideMark/>
          </w:tcPr>
          <w:p w14:paraId="6D97590E" w14:textId="77777777" w:rsidR="00EE405C" w:rsidRPr="00372745" w:rsidRDefault="00EE405C" w:rsidP="00450A3E">
            <w:pPr>
              <w:spacing w:after="0" w:line="240" w:lineRule="auto"/>
              <w:jc w:val="left"/>
              <w:rPr>
                <w:rFonts w:cs="Arial"/>
                <w:sz w:val="16"/>
                <w:szCs w:val="16"/>
              </w:rPr>
            </w:pPr>
            <w:r w:rsidRPr="00372745">
              <w:rPr>
                <w:rFonts w:cs="Arial"/>
                <w:sz w:val="16"/>
                <w:szCs w:val="16"/>
              </w:rPr>
              <w:t>Αντικριζόμενα έσοδα (καθαρά)</w:t>
            </w:r>
          </w:p>
        </w:tc>
        <w:tc>
          <w:tcPr>
            <w:tcW w:w="1068" w:type="dxa"/>
            <w:tcBorders>
              <w:top w:val="nil"/>
              <w:bottom w:val="nil"/>
            </w:tcBorders>
            <w:vAlign w:val="center"/>
            <w:hideMark/>
          </w:tcPr>
          <w:p w14:paraId="624058B5" w14:textId="77777777" w:rsidR="00EE405C" w:rsidRPr="00372745" w:rsidRDefault="00EE405C" w:rsidP="00450A3E">
            <w:pPr>
              <w:spacing w:after="0" w:line="240" w:lineRule="auto"/>
              <w:jc w:val="right"/>
              <w:rPr>
                <w:rFonts w:cs="Arial"/>
                <w:sz w:val="16"/>
                <w:szCs w:val="16"/>
              </w:rPr>
            </w:pPr>
            <w:r w:rsidRPr="00372745">
              <w:rPr>
                <w:rFonts w:cs="Arial"/>
                <w:sz w:val="16"/>
                <w:szCs w:val="16"/>
              </w:rPr>
              <w:t>29</w:t>
            </w:r>
          </w:p>
        </w:tc>
        <w:tc>
          <w:tcPr>
            <w:tcW w:w="1177" w:type="dxa"/>
            <w:tcBorders>
              <w:top w:val="nil"/>
              <w:bottom w:val="nil"/>
            </w:tcBorders>
            <w:vAlign w:val="center"/>
            <w:hideMark/>
          </w:tcPr>
          <w:p w14:paraId="599803E0"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066" w:type="dxa"/>
            <w:tcBorders>
              <w:top w:val="nil"/>
              <w:bottom w:val="nil"/>
            </w:tcBorders>
            <w:vAlign w:val="center"/>
            <w:hideMark/>
          </w:tcPr>
          <w:p w14:paraId="37D98656"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c>
          <w:tcPr>
            <w:tcW w:w="1066" w:type="dxa"/>
            <w:tcBorders>
              <w:top w:val="nil"/>
              <w:bottom w:val="nil"/>
            </w:tcBorders>
            <w:vAlign w:val="center"/>
            <w:hideMark/>
          </w:tcPr>
          <w:p w14:paraId="2F03628A" w14:textId="77777777" w:rsidR="00EE405C" w:rsidRPr="00372745" w:rsidRDefault="00EE405C" w:rsidP="00450A3E">
            <w:pPr>
              <w:spacing w:after="0" w:line="240" w:lineRule="auto"/>
              <w:jc w:val="right"/>
              <w:rPr>
                <w:rFonts w:cs="Arial"/>
                <w:sz w:val="16"/>
                <w:szCs w:val="16"/>
              </w:rPr>
            </w:pPr>
            <w:r w:rsidRPr="00372745">
              <w:rPr>
                <w:rFonts w:cs="Arial"/>
                <w:sz w:val="16"/>
                <w:szCs w:val="16"/>
              </w:rPr>
              <w:t>0</w:t>
            </w:r>
          </w:p>
        </w:tc>
      </w:tr>
      <w:tr w:rsidR="00EE405C" w:rsidRPr="00372745" w14:paraId="4461104D" w14:textId="77777777" w:rsidTr="00BF6CBB">
        <w:trPr>
          <w:cantSplit/>
          <w:jc w:val="center"/>
        </w:trPr>
        <w:tc>
          <w:tcPr>
            <w:tcW w:w="6017" w:type="dxa"/>
            <w:tcBorders>
              <w:top w:val="nil"/>
              <w:bottom w:val="nil"/>
            </w:tcBorders>
            <w:vAlign w:val="center"/>
            <w:hideMark/>
          </w:tcPr>
          <w:p w14:paraId="77E1F9D3"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Λοιπά έσοδα</w:t>
            </w:r>
          </w:p>
        </w:tc>
        <w:tc>
          <w:tcPr>
            <w:tcW w:w="1068" w:type="dxa"/>
            <w:tcBorders>
              <w:top w:val="nil"/>
              <w:bottom w:val="nil"/>
            </w:tcBorders>
            <w:vAlign w:val="center"/>
            <w:hideMark/>
          </w:tcPr>
          <w:p w14:paraId="333A03E5" w14:textId="77777777" w:rsidR="00EE405C" w:rsidRPr="00372745" w:rsidRDefault="00EE405C" w:rsidP="00450A3E">
            <w:pPr>
              <w:spacing w:after="0" w:line="240" w:lineRule="auto"/>
              <w:jc w:val="right"/>
              <w:rPr>
                <w:rFonts w:cs="Arial"/>
                <w:sz w:val="16"/>
                <w:szCs w:val="16"/>
              </w:rPr>
            </w:pPr>
            <w:r w:rsidRPr="00372745">
              <w:rPr>
                <w:rFonts w:cs="Arial"/>
                <w:sz w:val="16"/>
                <w:szCs w:val="16"/>
              </w:rPr>
              <w:t>291</w:t>
            </w:r>
          </w:p>
        </w:tc>
        <w:tc>
          <w:tcPr>
            <w:tcW w:w="1177" w:type="dxa"/>
            <w:tcBorders>
              <w:top w:val="nil"/>
              <w:bottom w:val="nil"/>
            </w:tcBorders>
            <w:vAlign w:val="center"/>
            <w:hideMark/>
          </w:tcPr>
          <w:p w14:paraId="53B445ED" w14:textId="77777777" w:rsidR="00EE405C" w:rsidRPr="00372745" w:rsidRDefault="00EE405C" w:rsidP="00450A3E">
            <w:pPr>
              <w:spacing w:after="0" w:line="240" w:lineRule="auto"/>
              <w:jc w:val="right"/>
              <w:rPr>
                <w:rFonts w:cs="Arial"/>
                <w:sz w:val="16"/>
                <w:szCs w:val="16"/>
              </w:rPr>
            </w:pPr>
            <w:r w:rsidRPr="00372745">
              <w:rPr>
                <w:rFonts w:cs="Arial"/>
                <w:sz w:val="16"/>
                <w:szCs w:val="16"/>
              </w:rPr>
              <w:t>312</w:t>
            </w:r>
          </w:p>
        </w:tc>
        <w:tc>
          <w:tcPr>
            <w:tcW w:w="1066" w:type="dxa"/>
            <w:tcBorders>
              <w:top w:val="nil"/>
              <w:bottom w:val="nil"/>
            </w:tcBorders>
            <w:vAlign w:val="center"/>
            <w:hideMark/>
          </w:tcPr>
          <w:p w14:paraId="45EB77DA" w14:textId="77777777" w:rsidR="00EE405C" w:rsidRPr="00372745" w:rsidRDefault="00EE405C" w:rsidP="00450A3E">
            <w:pPr>
              <w:spacing w:after="0" w:line="240" w:lineRule="auto"/>
              <w:jc w:val="right"/>
              <w:rPr>
                <w:rFonts w:cs="Arial"/>
                <w:sz w:val="16"/>
                <w:szCs w:val="16"/>
              </w:rPr>
            </w:pPr>
            <w:r w:rsidRPr="00372745">
              <w:rPr>
                <w:rFonts w:cs="Arial"/>
                <w:sz w:val="16"/>
                <w:szCs w:val="16"/>
              </w:rPr>
              <w:t>483</w:t>
            </w:r>
          </w:p>
        </w:tc>
        <w:tc>
          <w:tcPr>
            <w:tcW w:w="1066" w:type="dxa"/>
            <w:tcBorders>
              <w:top w:val="nil"/>
              <w:bottom w:val="nil"/>
            </w:tcBorders>
            <w:vAlign w:val="center"/>
            <w:hideMark/>
          </w:tcPr>
          <w:p w14:paraId="7561CF77" w14:textId="77777777" w:rsidR="00EE405C" w:rsidRPr="00372745" w:rsidRDefault="00EE405C" w:rsidP="00450A3E">
            <w:pPr>
              <w:spacing w:after="0" w:line="240" w:lineRule="auto"/>
              <w:jc w:val="right"/>
              <w:rPr>
                <w:rFonts w:cs="Arial"/>
                <w:sz w:val="16"/>
                <w:szCs w:val="16"/>
              </w:rPr>
            </w:pPr>
            <w:r w:rsidRPr="00372745">
              <w:rPr>
                <w:rFonts w:cs="Arial"/>
                <w:sz w:val="16"/>
                <w:szCs w:val="16"/>
              </w:rPr>
              <w:t>405</w:t>
            </w:r>
          </w:p>
        </w:tc>
      </w:tr>
      <w:tr w:rsidR="00EE405C" w:rsidRPr="00372745" w14:paraId="0154DB4F" w14:textId="77777777" w:rsidTr="00BF6CBB">
        <w:trPr>
          <w:cantSplit/>
          <w:jc w:val="center"/>
        </w:trPr>
        <w:tc>
          <w:tcPr>
            <w:tcW w:w="6017" w:type="dxa"/>
            <w:tcBorders>
              <w:top w:val="nil"/>
              <w:bottom w:val="nil"/>
            </w:tcBorders>
            <w:vAlign w:val="center"/>
            <w:hideMark/>
          </w:tcPr>
          <w:p w14:paraId="5ABB2E6A"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Έξοδα</w:t>
            </w:r>
          </w:p>
        </w:tc>
        <w:tc>
          <w:tcPr>
            <w:tcW w:w="1068" w:type="dxa"/>
            <w:tcBorders>
              <w:top w:val="nil"/>
              <w:bottom w:val="nil"/>
            </w:tcBorders>
            <w:vAlign w:val="center"/>
            <w:hideMark/>
          </w:tcPr>
          <w:p w14:paraId="59F08D8B"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48.751</w:t>
            </w:r>
          </w:p>
        </w:tc>
        <w:tc>
          <w:tcPr>
            <w:tcW w:w="1177" w:type="dxa"/>
            <w:tcBorders>
              <w:top w:val="nil"/>
              <w:bottom w:val="nil"/>
            </w:tcBorders>
            <w:vAlign w:val="center"/>
            <w:hideMark/>
          </w:tcPr>
          <w:p w14:paraId="7C73030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51.167</w:t>
            </w:r>
          </w:p>
        </w:tc>
        <w:tc>
          <w:tcPr>
            <w:tcW w:w="1066" w:type="dxa"/>
            <w:tcBorders>
              <w:top w:val="nil"/>
              <w:bottom w:val="nil"/>
            </w:tcBorders>
            <w:vAlign w:val="center"/>
            <w:hideMark/>
          </w:tcPr>
          <w:p w14:paraId="6349301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52.204</w:t>
            </w:r>
          </w:p>
        </w:tc>
        <w:tc>
          <w:tcPr>
            <w:tcW w:w="1066" w:type="dxa"/>
            <w:tcBorders>
              <w:top w:val="nil"/>
              <w:bottom w:val="nil"/>
            </w:tcBorders>
            <w:vAlign w:val="center"/>
            <w:hideMark/>
          </w:tcPr>
          <w:p w14:paraId="09C5B8F2"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53.569</w:t>
            </w:r>
          </w:p>
        </w:tc>
      </w:tr>
      <w:tr w:rsidR="00EE405C" w:rsidRPr="00372745" w14:paraId="50B488E9" w14:textId="77777777" w:rsidTr="00BF6CBB">
        <w:trPr>
          <w:cantSplit/>
          <w:jc w:val="center"/>
        </w:trPr>
        <w:tc>
          <w:tcPr>
            <w:tcW w:w="6017" w:type="dxa"/>
            <w:tcBorders>
              <w:top w:val="nil"/>
              <w:bottom w:val="nil"/>
            </w:tcBorders>
            <w:vAlign w:val="center"/>
            <w:hideMark/>
          </w:tcPr>
          <w:p w14:paraId="2F6E0C70" w14:textId="489AA6C3" w:rsidR="00EE405C" w:rsidRPr="00372745" w:rsidRDefault="00EE405C" w:rsidP="00450A3E">
            <w:pPr>
              <w:spacing w:after="0" w:line="240" w:lineRule="auto"/>
              <w:jc w:val="left"/>
              <w:rPr>
                <w:rFonts w:cs="Arial"/>
                <w:sz w:val="16"/>
                <w:szCs w:val="16"/>
              </w:rPr>
            </w:pPr>
            <w:r w:rsidRPr="00372745">
              <w:rPr>
                <w:rFonts w:cs="Arial"/>
                <w:sz w:val="16"/>
                <w:szCs w:val="16"/>
              </w:rPr>
              <w:t>Παροχ</w:t>
            </w:r>
            <w:r w:rsidR="009E4027">
              <w:rPr>
                <w:rFonts w:cs="Arial"/>
                <w:sz w:val="16"/>
                <w:szCs w:val="16"/>
              </w:rPr>
              <w:t>έ</w:t>
            </w:r>
            <w:r w:rsidRPr="00372745">
              <w:rPr>
                <w:rFonts w:cs="Arial"/>
                <w:sz w:val="16"/>
                <w:szCs w:val="16"/>
              </w:rPr>
              <w:t xml:space="preserve">ς σε </w:t>
            </w:r>
            <w:r w:rsidR="009E4027">
              <w:rPr>
                <w:rFonts w:cs="Arial"/>
                <w:sz w:val="16"/>
                <w:szCs w:val="16"/>
              </w:rPr>
              <w:t>ε</w:t>
            </w:r>
            <w:r w:rsidRPr="00372745">
              <w:rPr>
                <w:rFonts w:cs="Arial"/>
                <w:sz w:val="16"/>
                <w:szCs w:val="16"/>
              </w:rPr>
              <w:t>ργαζ</w:t>
            </w:r>
            <w:r w:rsidR="009E4027">
              <w:rPr>
                <w:rFonts w:cs="Arial"/>
                <w:sz w:val="16"/>
                <w:szCs w:val="16"/>
              </w:rPr>
              <w:t>ό</w:t>
            </w:r>
            <w:r w:rsidRPr="00372745">
              <w:rPr>
                <w:rFonts w:cs="Arial"/>
                <w:sz w:val="16"/>
                <w:szCs w:val="16"/>
              </w:rPr>
              <w:t>μενους</w:t>
            </w:r>
          </w:p>
        </w:tc>
        <w:tc>
          <w:tcPr>
            <w:tcW w:w="1068" w:type="dxa"/>
            <w:tcBorders>
              <w:top w:val="nil"/>
              <w:bottom w:val="nil"/>
            </w:tcBorders>
            <w:vAlign w:val="center"/>
            <w:hideMark/>
          </w:tcPr>
          <w:p w14:paraId="2BDFFB02" w14:textId="77777777" w:rsidR="00EE405C" w:rsidRPr="00372745" w:rsidRDefault="00EE405C" w:rsidP="00450A3E">
            <w:pPr>
              <w:spacing w:after="0" w:line="240" w:lineRule="auto"/>
              <w:jc w:val="right"/>
              <w:rPr>
                <w:rFonts w:cs="Arial"/>
                <w:sz w:val="16"/>
                <w:szCs w:val="16"/>
              </w:rPr>
            </w:pPr>
            <w:r w:rsidRPr="00372745">
              <w:rPr>
                <w:rFonts w:cs="Arial"/>
                <w:sz w:val="16"/>
                <w:szCs w:val="16"/>
              </w:rPr>
              <w:t>384</w:t>
            </w:r>
          </w:p>
        </w:tc>
        <w:tc>
          <w:tcPr>
            <w:tcW w:w="1177" w:type="dxa"/>
            <w:tcBorders>
              <w:top w:val="nil"/>
              <w:bottom w:val="nil"/>
            </w:tcBorders>
            <w:vAlign w:val="center"/>
            <w:hideMark/>
          </w:tcPr>
          <w:p w14:paraId="4AAD444B" w14:textId="77777777" w:rsidR="00EE405C" w:rsidRPr="00372745" w:rsidRDefault="00EE405C" w:rsidP="00450A3E">
            <w:pPr>
              <w:spacing w:after="0" w:line="240" w:lineRule="auto"/>
              <w:jc w:val="right"/>
              <w:rPr>
                <w:rFonts w:cs="Arial"/>
                <w:sz w:val="16"/>
                <w:szCs w:val="16"/>
              </w:rPr>
            </w:pPr>
            <w:r w:rsidRPr="00372745">
              <w:rPr>
                <w:rFonts w:cs="Arial"/>
                <w:sz w:val="16"/>
                <w:szCs w:val="16"/>
              </w:rPr>
              <w:t>395</w:t>
            </w:r>
          </w:p>
        </w:tc>
        <w:tc>
          <w:tcPr>
            <w:tcW w:w="1066" w:type="dxa"/>
            <w:tcBorders>
              <w:top w:val="nil"/>
              <w:bottom w:val="nil"/>
            </w:tcBorders>
            <w:vAlign w:val="center"/>
            <w:hideMark/>
          </w:tcPr>
          <w:p w14:paraId="7421DB28" w14:textId="77777777" w:rsidR="00EE405C" w:rsidRPr="00372745" w:rsidRDefault="00EE405C" w:rsidP="00450A3E">
            <w:pPr>
              <w:spacing w:after="0" w:line="240" w:lineRule="auto"/>
              <w:jc w:val="right"/>
              <w:rPr>
                <w:rFonts w:cs="Arial"/>
                <w:sz w:val="16"/>
                <w:szCs w:val="16"/>
              </w:rPr>
            </w:pPr>
            <w:r w:rsidRPr="00372745">
              <w:rPr>
                <w:rFonts w:cs="Arial"/>
                <w:sz w:val="16"/>
                <w:szCs w:val="16"/>
              </w:rPr>
              <w:t>393</w:t>
            </w:r>
          </w:p>
        </w:tc>
        <w:tc>
          <w:tcPr>
            <w:tcW w:w="1066" w:type="dxa"/>
            <w:tcBorders>
              <w:top w:val="nil"/>
              <w:bottom w:val="nil"/>
            </w:tcBorders>
            <w:vAlign w:val="center"/>
            <w:hideMark/>
          </w:tcPr>
          <w:p w14:paraId="51E170E3" w14:textId="77777777" w:rsidR="00EE405C" w:rsidRPr="00372745" w:rsidRDefault="00EE405C" w:rsidP="00450A3E">
            <w:pPr>
              <w:spacing w:after="0" w:line="240" w:lineRule="auto"/>
              <w:jc w:val="right"/>
              <w:rPr>
                <w:rFonts w:cs="Arial"/>
                <w:sz w:val="16"/>
                <w:szCs w:val="16"/>
              </w:rPr>
            </w:pPr>
            <w:r w:rsidRPr="00372745">
              <w:rPr>
                <w:rFonts w:cs="Arial"/>
                <w:sz w:val="16"/>
                <w:szCs w:val="16"/>
              </w:rPr>
              <w:t>401</w:t>
            </w:r>
          </w:p>
        </w:tc>
      </w:tr>
      <w:tr w:rsidR="00EE405C" w:rsidRPr="00372745" w14:paraId="39C7229D" w14:textId="77777777" w:rsidTr="00BF6CBB">
        <w:trPr>
          <w:cantSplit/>
          <w:jc w:val="center"/>
        </w:trPr>
        <w:tc>
          <w:tcPr>
            <w:tcW w:w="6017" w:type="dxa"/>
            <w:tcBorders>
              <w:top w:val="nil"/>
              <w:bottom w:val="nil"/>
            </w:tcBorders>
            <w:vAlign w:val="center"/>
            <w:hideMark/>
          </w:tcPr>
          <w:p w14:paraId="38F52152" w14:textId="1919DD9C" w:rsidR="00EE405C" w:rsidRPr="00372745" w:rsidRDefault="00EE405C" w:rsidP="00450A3E">
            <w:pPr>
              <w:spacing w:after="0" w:line="240" w:lineRule="auto"/>
              <w:jc w:val="left"/>
              <w:rPr>
                <w:rFonts w:cs="Arial"/>
                <w:sz w:val="16"/>
                <w:szCs w:val="16"/>
              </w:rPr>
            </w:pPr>
            <w:r w:rsidRPr="00372745">
              <w:rPr>
                <w:rFonts w:cs="Arial"/>
                <w:sz w:val="16"/>
                <w:szCs w:val="16"/>
              </w:rPr>
              <w:t>Κοινωνικές παροχές</w:t>
            </w:r>
          </w:p>
        </w:tc>
        <w:tc>
          <w:tcPr>
            <w:tcW w:w="1068" w:type="dxa"/>
            <w:tcBorders>
              <w:top w:val="nil"/>
              <w:bottom w:val="nil"/>
            </w:tcBorders>
            <w:vAlign w:val="center"/>
            <w:hideMark/>
          </w:tcPr>
          <w:p w14:paraId="2F0C15FD" w14:textId="77777777" w:rsidR="00EE405C" w:rsidRPr="00372745" w:rsidRDefault="00EE405C" w:rsidP="00450A3E">
            <w:pPr>
              <w:spacing w:after="0" w:line="240" w:lineRule="auto"/>
              <w:jc w:val="right"/>
              <w:rPr>
                <w:rFonts w:cs="Arial"/>
                <w:sz w:val="16"/>
                <w:szCs w:val="16"/>
              </w:rPr>
            </w:pPr>
            <w:r w:rsidRPr="00372745">
              <w:rPr>
                <w:rFonts w:cs="Arial"/>
                <w:sz w:val="16"/>
                <w:szCs w:val="16"/>
              </w:rPr>
              <w:t>40.335</w:t>
            </w:r>
          </w:p>
        </w:tc>
        <w:tc>
          <w:tcPr>
            <w:tcW w:w="1177" w:type="dxa"/>
            <w:tcBorders>
              <w:top w:val="nil"/>
              <w:bottom w:val="nil"/>
            </w:tcBorders>
            <w:vAlign w:val="center"/>
            <w:hideMark/>
          </w:tcPr>
          <w:p w14:paraId="7DB46485" w14:textId="77777777" w:rsidR="00EE405C" w:rsidRPr="00372745" w:rsidRDefault="00EE405C" w:rsidP="00450A3E">
            <w:pPr>
              <w:spacing w:after="0" w:line="240" w:lineRule="auto"/>
              <w:jc w:val="right"/>
              <w:rPr>
                <w:rFonts w:cs="Arial"/>
                <w:sz w:val="16"/>
                <w:szCs w:val="16"/>
              </w:rPr>
            </w:pPr>
            <w:r w:rsidRPr="00372745">
              <w:rPr>
                <w:rFonts w:cs="Arial"/>
                <w:sz w:val="16"/>
                <w:szCs w:val="16"/>
              </w:rPr>
              <w:t>42.129</w:t>
            </w:r>
          </w:p>
        </w:tc>
        <w:tc>
          <w:tcPr>
            <w:tcW w:w="1066" w:type="dxa"/>
            <w:tcBorders>
              <w:top w:val="nil"/>
              <w:bottom w:val="nil"/>
            </w:tcBorders>
            <w:vAlign w:val="center"/>
            <w:hideMark/>
          </w:tcPr>
          <w:p w14:paraId="0C814BD0" w14:textId="77777777" w:rsidR="00EE405C" w:rsidRPr="00372745" w:rsidRDefault="00EE405C" w:rsidP="00450A3E">
            <w:pPr>
              <w:spacing w:after="0" w:line="240" w:lineRule="auto"/>
              <w:jc w:val="right"/>
              <w:rPr>
                <w:rFonts w:cs="Arial"/>
                <w:sz w:val="16"/>
                <w:szCs w:val="16"/>
              </w:rPr>
            </w:pPr>
            <w:r w:rsidRPr="00372745">
              <w:rPr>
                <w:rFonts w:cs="Arial"/>
                <w:sz w:val="16"/>
                <w:szCs w:val="16"/>
              </w:rPr>
              <w:t>42.083</w:t>
            </w:r>
          </w:p>
        </w:tc>
        <w:tc>
          <w:tcPr>
            <w:tcW w:w="1066" w:type="dxa"/>
            <w:tcBorders>
              <w:top w:val="nil"/>
              <w:bottom w:val="nil"/>
            </w:tcBorders>
            <w:vAlign w:val="center"/>
            <w:hideMark/>
          </w:tcPr>
          <w:p w14:paraId="57462A07" w14:textId="77777777" w:rsidR="00EE405C" w:rsidRPr="00372745" w:rsidRDefault="00EE405C" w:rsidP="00450A3E">
            <w:pPr>
              <w:spacing w:after="0" w:line="240" w:lineRule="auto"/>
              <w:jc w:val="right"/>
              <w:rPr>
                <w:rFonts w:cs="Arial"/>
                <w:sz w:val="16"/>
                <w:szCs w:val="16"/>
              </w:rPr>
            </w:pPr>
            <w:r w:rsidRPr="00372745">
              <w:rPr>
                <w:rFonts w:cs="Arial"/>
                <w:sz w:val="16"/>
                <w:szCs w:val="16"/>
              </w:rPr>
              <w:t>43.441</w:t>
            </w:r>
          </w:p>
        </w:tc>
      </w:tr>
      <w:tr w:rsidR="00EE405C" w:rsidRPr="00372745" w14:paraId="2EC78DAA" w14:textId="77777777" w:rsidTr="00BF6CBB">
        <w:trPr>
          <w:cantSplit/>
          <w:jc w:val="center"/>
        </w:trPr>
        <w:tc>
          <w:tcPr>
            <w:tcW w:w="6017" w:type="dxa"/>
            <w:tcBorders>
              <w:top w:val="nil"/>
              <w:bottom w:val="nil"/>
            </w:tcBorders>
            <w:vAlign w:val="center"/>
            <w:hideMark/>
          </w:tcPr>
          <w:p w14:paraId="2787B33C" w14:textId="2EE6AF37" w:rsidR="00EE405C" w:rsidRPr="00372745" w:rsidRDefault="00EE405C" w:rsidP="00065CFC">
            <w:pPr>
              <w:tabs>
                <w:tab w:val="left" w:pos="1161"/>
              </w:tabs>
              <w:spacing w:after="0" w:line="240" w:lineRule="auto"/>
              <w:jc w:val="left"/>
              <w:rPr>
                <w:rFonts w:cs="Arial"/>
                <w:sz w:val="16"/>
                <w:szCs w:val="16"/>
              </w:rPr>
            </w:pPr>
            <w:r w:rsidRPr="00372745">
              <w:rPr>
                <w:rFonts w:cs="Arial"/>
                <w:sz w:val="16"/>
                <w:szCs w:val="16"/>
              </w:rPr>
              <w:t>εκ των οποίων</w:t>
            </w:r>
            <w:r w:rsidR="009E4027">
              <w:rPr>
                <w:rFonts w:cs="Arial"/>
                <w:sz w:val="16"/>
                <w:szCs w:val="16"/>
              </w:rPr>
              <w:t>:</w:t>
            </w:r>
            <w:r w:rsidR="00065CFC">
              <w:rPr>
                <w:rFonts w:cs="Arial"/>
                <w:sz w:val="16"/>
                <w:szCs w:val="16"/>
              </w:rPr>
              <w:tab/>
            </w:r>
            <w:r w:rsidRPr="00372745">
              <w:rPr>
                <w:rFonts w:cs="Arial"/>
                <w:sz w:val="16"/>
                <w:szCs w:val="16"/>
              </w:rPr>
              <w:t>συντάξεις</w:t>
            </w:r>
          </w:p>
        </w:tc>
        <w:tc>
          <w:tcPr>
            <w:tcW w:w="1068" w:type="dxa"/>
            <w:tcBorders>
              <w:top w:val="nil"/>
              <w:bottom w:val="nil"/>
            </w:tcBorders>
            <w:vAlign w:val="center"/>
            <w:hideMark/>
          </w:tcPr>
          <w:p w14:paraId="1BF3C23E" w14:textId="77777777" w:rsidR="00EE405C" w:rsidRPr="00372745" w:rsidRDefault="00EE405C" w:rsidP="00450A3E">
            <w:pPr>
              <w:spacing w:after="0" w:line="240" w:lineRule="auto"/>
              <w:jc w:val="right"/>
              <w:rPr>
                <w:rFonts w:cs="Arial"/>
                <w:sz w:val="16"/>
                <w:szCs w:val="16"/>
              </w:rPr>
            </w:pPr>
            <w:r w:rsidRPr="00372745">
              <w:rPr>
                <w:rFonts w:cs="Arial"/>
                <w:sz w:val="16"/>
                <w:szCs w:val="16"/>
              </w:rPr>
              <w:t>33.343</w:t>
            </w:r>
          </w:p>
        </w:tc>
        <w:tc>
          <w:tcPr>
            <w:tcW w:w="1177" w:type="dxa"/>
            <w:tcBorders>
              <w:top w:val="nil"/>
              <w:bottom w:val="nil"/>
            </w:tcBorders>
            <w:vAlign w:val="center"/>
            <w:hideMark/>
          </w:tcPr>
          <w:p w14:paraId="716F75E6" w14:textId="77777777" w:rsidR="00EE405C" w:rsidRPr="00372745" w:rsidRDefault="00EE405C" w:rsidP="00450A3E">
            <w:pPr>
              <w:spacing w:after="0" w:line="240" w:lineRule="auto"/>
              <w:jc w:val="right"/>
              <w:rPr>
                <w:rFonts w:cs="Arial"/>
                <w:sz w:val="16"/>
                <w:szCs w:val="16"/>
              </w:rPr>
            </w:pPr>
            <w:r w:rsidRPr="00372745">
              <w:rPr>
                <w:rFonts w:cs="Arial"/>
                <w:sz w:val="16"/>
                <w:szCs w:val="16"/>
              </w:rPr>
              <w:t>34.567</w:t>
            </w:r>
          </w:p>
        </w:tc>
        <w:tc>
          <w:tcPr>
            <w:tcW w:w="1066" w:type="dxa"/>
            <w:tcBorders>
              <w:top w:val="nil"/>
              <w:bottom w:val="nil"/>
            </w:tcBorders>
            <w:vAlign w:val="center"/>
            <w:hideMark/>
          </w:tcPr>
          <w:p w14:paraId="5C0AED4B" w14:textId="77777777" w:rsidR="00EE405C" w:rsidRPr="00372745" w:rsidRDefault="00EE405C" w:rsidP="00450A3E">
            <w:pPr>
              <w:spacing w:after="0" w:line="240" w:lineRule="auto"/>
              <w:jc w:val="right"/>
              <w:rPr>
                <w:rFonts w:cs="Arial"/>
                <w:sz w:val="16"/>
                <w:szCs w:val="16"/>
              </w:rPr>
            </w:pPr>
            <w:r w:rsidRPr="00372745">
              <w:rPr>
                <w:rFonts w:cs="Arial"/>
                <w:sz w:val="16"/>
                <w:szCs w:val="16"/>
              </w:rPr>
              <w:t>34.325</w:t>
            </w:r>
          </w:p>
        </w:tc>
        <w:tc>
          <w:tcPr>
            <w:tcW w:w="1066" w:type="dxa"/>
            <w:tcBorders>
              <w:top w:val="nil"/>
              <w:bottom w:val="nil"/>
            </w:tcBorders>
            <w:vAlign w:val="center"/>
            <w:hideMark/>
          </w:tcPr>
          <w:p w14:paraId="2A3E3016" w14:textId="77777777" w:rsidR="00EE405C" w:rsidRPr="00372745" w:rsidRDefault="00EE405C" w:rsidP="00450A3E">
            <w:pPr>
              <w:spacing w:after="0" w:line="240" w:lineRule="auto"/>
              <w:jc w:val="right"/>
              <w:rPr>
                <w:rFonts w:cs="Arial"/>
                <w:sz w:val="16"/>
                <w:szCs w:val="16"/>
              </w:rPr>
            </w:pPr>
            <w:r w:rsidRPr="00372745">
              <w:rPr>
                <w:rFonts w:cs="Arial"/>
                <w:sz w:val="16"/>
                <w:szCs w:val="16"/>
              </w:rPr>
              <w:t>35.656</w:t>
            </w:r>
          </w:p>
        </w:tc>
      </w:tr>
      <w:tr w:rsidR="00EE405C" w:rsidRPr="00372745" w14:paraId="12E0E937" w14:textId="77777777" w:rsidTr="00BF6CBB">
        <w:trPr>
          <w:cantSplit/>
          <w:jc w:val="center"/>
        </w:trPr>
        <w:tc>
          <w:tcPr>
            <w:tcW w:w="6017" w:type="dxa"/>
            <w:tcBorders>
              <w:top w:val="nil"/>
              <w:bottom w:val="nil"/>
            </w:tcBorders>
            <w:vAlign w:val="center"/>
            <w:hideMark/>
          </w:tcPr>
          <w:p w14:paraId="38928C26" w14:textId="77777777" w:rsidR="00EE405C" w:rsidRPr="00372745" w:rsidRDefault="00EE405C" w:rsidP="00450A3E">
            <w:pPr>
              <w:spacing w:after="0" w:line="240" w:lineRule="auto"/>
              <w:jc w:val="left"/>
              <w:rPr>
                <w:rFonts w:cs="Arial"/>
                <w:sz w:val="16"/>
                <w:szCs w:val="16"/>
              </w:rPr>
            </w:pPr>
            <w:r w:rsidRPr="00372745">
              <w:rPr>
                <w:rFonts w:cs="Arial"/>
                <w:sz w:val="16"/>
                <w:szCs w:val="16"/>
              </w:rPr>
              <w:t>Κοινωνικές παροχές σε είδος</w:t>
            </w:r>
          </w:p>
        </w:tc>
        <w:tc>
          <w:tcPr>
            <w:tcW w:w="1068" w:type="dxa"/>
            <w:tcBorders>
              <w:top w:val="nil"/>
              <w:bottom w:val="nil"/>
            </w:tcBorders>
            <w:vAlign w:val="center"/>
            <w:hideMark/>
          </w:tcPr>
          <w:p w14:paraId="69175C07" w14:textId="77777777" w:rsidR="00EE405C" w:rsidRPr="00372745" w:rsidRDefault="00EE405C" w:rsidP="00450A3E">
            <w:pPr>
              <w:spacing w:after="0" w:line="240" w:lineRule="auto"/>
              <w:jc w:val="right"/>
              <w:rPr>
                <w:rFonts w:cs="Arial"/>
                <w:sz w:val="16"/>
                <w:szCs w:val="16"/>
              </w:rPr>
            </w:pPr>
            <w:r w:rsidRPr="00372745">
              <w:rPr>
                <w:rFonts w:cs="Arial"/>
                <w:sz w:val="16"/>
                <w:szCs w:val="16"/>
              </w:rPr>
              <w:t>5.220</w:t>
            </w:r>
          </w:p>
        </w:tc>
        <w:tc>
          <w:tcPr>
            <w:tcW w:w="1177" w:type="dxa"/>
            <w:tcBorders>
              <w:top w:val="nil"/>
              <w:bottom w:val="nil"/>
            </w:tcBorders>
            <w:vAlign w:val="center"/>
            <w:hideMark/>
          </w:tcPr>
          <w:p w14:paraId="40326AA9" w14:textId="77777777" w:rsidR="00EE405C" w:rsidRPr="00372745" w:rsidRDefault="00EE405C" w:rsidP="00450A3E">
            <w:pPr>
              <w:spacing w:after="0" w:line="240" w:lineRule="auto"/>
              <w:jc w:val="right"/>
              <w:rPr>
                <w:rFonts w:cs="Arial"/>
                <w:sz w:val="16"/>
                <w:szCs w:val="16"/>
              </w:rPr>
            </w:pPr>
            <w:r w:rsidRPr="00372745">
              <w:rPr>
                <w:rFonts w:cs="Arial"/>
                <w:sz w:val="16"/>
                <w:szCs w:val="16"/>
              </w:rPr>
              <w:t>5.468</w:t>
            </w:r>
          </w:p>
        </w:tc>
        <w:tc>
          <w:tcPr>
            <w:tcW w:w="1066" w:type="dxa"/>
            <w:tcBorders>
              <w:top w:val="nil"/>
              <w:bottom w:val="nil"/>
            </w:tcBorders>
            <w:vAlign w:val="center"/>
            <w:hideMark/>
          </w:tcPr>
          <w:p w14:paraId="6932A15F" w14:textId="77777777" w:rsidR="00EE405C" w:rsidRPr="00372745" w:rsidRDefault="00EE405C" w:rsidP="00450A3E">
            <w:pPr>
              <w:spacing w:after="0" w:line="240" w:lineRule="auto"/>
              <w:jc w:val="right"/>
              <w:rPr>
                <w:rFonts w:cs="Arial"/>
                <w:sz w:val="16"/>
                <w:szCs w:val="16"/>
              </w:rPr>
            </w:pPr>
            <w:r w:rsidRPr="00372745">
              <w:rPr>
                <w:rFonts w:cs="Arial"/>
                <w:sz w:val="16"/>
                <w:szCs w:val="16"/>
              </w:rPr>
              <w:t>5.508</w:t>
            </w:r>
          </w:p>
        </w:tc>
        <w:tc>
          <w:tcPr>
            <w:tcW w:w="1066" w:type="dxa"/>
            <w:tcBorders>
              <w:top w:val="nil"/>
              <w:bottom w:val="nil"/>
            </w:tcBorders>
            <w:vAlign w:val="center"/>
            <w:hideMark/>
          </w:tcPr>
          <w:p w14:paraId="56659A65" w14:textId="77777777" w:rsidR="00EE405C" w:rsidRPr="00372745" w:rsidRDefault="00EE405C" w:rsidP="00450A3E">
            <w:pPr>
              <w:spacing w:after="0" w:line="240" w:lineRule="auto"/>
              <w:jc w:val="right"/>
              <w:rPr>
                <w:rFonts w:cs="Arial"/>
                <w:sz w:val="16"/>
                <w:szCs w:val="16"/>
              </w:rPr>
            </w:pPr>
            <w:r w:rsidRPr="00372745">
              <w:rPr>
                <w:rFonts w:cs="Arial"/>
                <w:sz w:val="16"/>
                <w:szCs w:val="16"/>
              </w:rPr>
              <w:t>5.691</w:t>
            </w:r>
          </w:p>
        </w:tc>
      </w:tr>
      <w:tr w:rsidR="00EE405C" w:rsidRPr="00372745" w14:paraId="6F7F888F" w14:textId="77777777" w:rsidTr="00BF6CBB">
        <w:trPr>
          <w:cantSplit/>
          <w:jc w:val="center"/>
        </w:trPr>
        <w:tc>
          <w:tcPr>
            <w:tcW w:w="6017" w:type="dxa"/>
            <w:tcBorders>
              <w:top w:val="nil"/>
              <w:bottom w:val="nil"/>
            </w:tcBorders>
            <w:vAlign w:val="center"/>
            <w:hideMark/>
          </w:tcPr>
          <w:p w14:paraId="595F9242" w14:textId="77777777" w:rsidR="00EE405C" w:rsidRPr="00372745" w:rsidRDefault="00EE405C" w:rsidP="00450A3E">
            <w:pPr>
              <w:spacing w:after="0" w:line="240" w:lineRule="auto"/>
              <w:jc w:val="left"/>
              <w:rPr>
                <w:rFonts w:cs="Arial"/>
                <w:sz w:val="16"/>
                <w:szCs w:val="16"/>
              </w:rPr>
            </w:pPr>
            <w:r w:rsidRPr="00372745">
              <w:rPr>
                <w:rFonts w:cs="Arial"/>
                <w:sz w:val="16"/>
                <w:szCs w:val="16"/>
              </w:rPr>
              <w:t>Λοιπά έξοδα</w:t>
            </w:r>
          </w:p>
        </w:tc>
        <w:tc>
          <w:tcPr>
            <w:tcW w:w="1068" w:type="dxa"/>
            <w:tcBorders>
              <w:top w:val="nil"/>
              <w:bottom w:val="nil"/>
            </w:tcBorders>
            <w:vAlign w:val="center"/>
            <w:hideMark/>
          </w:tcPr>
          <w:p w14:paraId="427ADF6B" w14:textId="77777777" w:rsidR="00EE405C" w:rsidRPr="00372745" w:rsidRDefault="00EE405C" w:rsidP="00450A3E">
            <w:pPr>
              <w:spacing w:after="0" w:line="240" w:lineRule="auto"/>
              <w:jc w:val="right"/>
              <w:rPr>
                <w:rFonts w:cs="Arial"/>
                <w:sz w:val="16"/>
                <w:szCs w:val="16"/>
              </w:rPr>
            </w:pPr>
            <w:r w:rsidRPr="00372745">
              <w:rPr>
                <w:rFonts w:cs="Arial"/>
                <w:sz w:val="16"/>
                <w:szCs w:val="16"/>
              </w:rPr>
              <w:t>635</w:t>
            </w:r>
          </w:p>
        </w:tc>
        <w:tc>
          <w:tcPr>
            <w:tcW w:w="1177" w:type="dxa"/>
            <w:tcBorders>
              <w:top w:val="nil"/>
              <w:bottom w:val="nil"/>
            </w:tcBorders>
            <w:vAlign w:val="center"/>
            <w:hideMark/>
          </w:tcPr>
          <w:p w14:paraId="7ED9E5DB" w14:textId="77777777" w:rsidR="00EE405C" w:rsidRPr="00372745" w:rsidRDefault="00EE405C" w:rsidP="00450A3E">
            <w:pPr>
              <w:spacing w:after="0" w:line="240" w:lineRule="auto"/>
              <w:jc w:val="right"/>
              <w:rPr>
                <w:rFonts w:cs="Arial"/>
                <w:sz w:val="16"/>
                <w:szCs w:val="16"/>
              </w:rPr>
            </w:pPr>
            <w:r w:rsidRPr="00372745">
              <w:rPr>
                <w:rFonts w:cs="Arial"/>
                <w:sz w:val="16"/>
                <w:szCs w:val="16"/>
              </w:rPr>
              <w:t>658</w:t>
            </w:r>
          </w:p>
        </w:tc>
        <w:tc>
          <w:tcPr>
            <w:tcW w:w="1066" w:type="dxa"/>
            <w:tcBorders>
              <w:top w:val="nil"/>
              <w:bottom w:val="nil"/>
            </w:tcBorders>
            <w:vAlign w:val="center"/>
            <w:hideMark/>
          </w:tcPr>
          <w:p w14:paraId="08540889" w14:textId="77777777" w:rsidR="00EE405C" w:rsidRPr="00372745" w:rsidRDefault="00EE405C" w:rsidP="00450A3E">
            <w:pPr>
              <w:spacing w:after="0" w:line="240" w:lineRule="auto"/>
              <w:jc w:val="right"/>
              <w:rPr>
                <w:rFonts w:cs="Arial"/>
                <w:sz w:val="16"/>
                <w:szCs w:val="16"/>
              </w:rPr>
            </w:pPr>
            <w:r w:rsidRPr="00372745">
              <w:rPr>
                <w:rFonts w:cs="Arial"/>
                <w:sz w:val="16"/>
                <w:szCs w:val="16"/>
              </w:rPr>
              <w:t>733</w:t>
            </w:r>
          </w:p>
        </w:tc>
        <w:tc>
          <w:tcPr>
            <w:tcW w:w="1066" w:type="dxa"/>
            <w:tcBorders>
              <w:top w:val="nil"/>
              <w:bottom w:val="nil"/>
            </w:tcBorders>
            <w:vAlign w:val="center"/>
            <w:hideMark/>
          </w:tcPr>
          <w:p w14:paraId="1AD81A8E" w14:textId="77777777" w:rsidR="00EE405C" w:rsidRPr="00372745" w:rsidRDefault="00EE405C" w:rsidP="00450A3E">
            <w:pPr>
              <w:spacing w:after="0" w:line="240" w:lineRule="auto"/>
              <w:jc w:val="right"/>
              <w:rPr>
                <w:rFonts w:cs="Arial"/>
                <w:sz w:val="16"/>
                <w:szCs w:val="16"/>
              </w:rPr>
            </w:pPr>
            <w:r w:rsidRPr="00372745">
              <w:rPr>
                <w:rFonts w:cs="Arial"/>
                <w:sz w:val="16"/>
                <w:szCs w:val="16"/>
              </w:rPr>
              <w:t>786</w:t>
            </w:r>
          </w:p>
        </w:tc>
      </w:tr>
      <w:tr w:rsidR="00EE405C" w:rsidRPr="00372745" w14:paraId="7A94DEBB" w14:textId="77777777" w:rsidTr="00BF6CBB">
        <w:trPr>
          <w:cantSplit/>
          <w:jc w:val="center"/>
        </w:trPr>
        <w:tc>
          <w:tcPr>
            <w:tcW w:w="6017" w:type="dxa"/>
            <w:tcBorders>
              <w:top w:val="nil"/>
              <w:bottom w:val="nil"/>
            </w:tcBorders>
            <w:vAlign w:val="center"/>
            <w:hideMark/>
          </w:tcPr>
          <w:p w14:paraId="0AA6C106" w14:textId="77777777" w:rsidR="00EE405C" w:rsidRPr="00372745" w:rsidRDefault="00EE405C" w:rsidP="00450A3E">
            <w:pPr>
              <w:spacing w:after="0" w:line="240" w:lineRule="auto"/>
              <w:jc w:val="left"/>
              <w:rPr>
                <w:rFonts w:cs="Arial"/>
                <w:sz w:val="16"/>
                <w:szCs w:val="16"/>
              </w:rPr>
            </w:pPr>
            <w:r w:rsidRPr="00372745">
              <w:rPr>
                <w:rFonts w:cs="Arial"/>
                <w:sz w:val="16"/>
                <w:szCs w:val="16"/>
              </w:rPr>
              <w:t>Επενδυτικές δαπάνες</w:t>
            </w:r>
          </w:p>
        </w:tc>
        <w:tc>
          <w:tcPr>
            <w:tcW w:w="1068" w:type="dxa"/>
            <w:tcBorders>
              <w:top w:val="nil"/>
              <w:bottom w:val="nil"/>
            </w:tcBorders>
            <w:vAlign w:val="center"/>
            <w:hideMark/>
          </w:tcPr>
          <w:p w14:paraId="3A47CC63" w14:textId="77777777" w:rsidR="00EE405C" w:rsidRPr="00372745" w:rsidRDefault="00EE405C" w:rsidP="00450A3E">
            <w:pPr>
              <w:spacing w:after="0" w:line="240" w:lineRule="auto"/>
              <w:jc w:val="right"/>
              <w:rPr>
                <w:rFonts w:cs="Arial"/>
                <w:sz w:val="16"/>
                <w:szCs w:val="16"/>
              </w:rPr>
            </w:pPr>
            <w:r w:rsidRPr="00372745">
              <w:rPr>
                <w:rFonts w:cs="Arial"/>
                <w:sz w:val="16"/>
                <w:szCs w:val="16"/>
              </w:rPr>
              <w:t>39</w:t>
            </w:r>
          </w:p>
        </w:tc>
        <w:tc>
          <w:tcPr>
            <w:tcW w:w="1177" w:type="dxa"/>
            <w:tcBorders>
              <w:top w:val="nil"/>
              <w:bottom w:val="nil"/>
            </w:tcBorders>
            <w:vAlign w:val="center"/>
            <w:hideMark/>
          </w:tcPr>
          <w:p w14:paraId="6F78B732" w14:textId="77777777" w:rsidR="00EE405C" w:rsidRPr="00372745" w:rsidRDefault="00EE405C" w:rsidP="00450A3E">
            <w:pPr>
              <w:spacing w:after="0" w:line="240" w:lineRule="auto"/>
              <w:jc w:val="right"/>
              <w:rPr>
                <w:rFonts w:cs="Arial"/>
                <w:sz w:val="16"/>
                <w:szCs w:val="16"/>
              </w:rPr>
            </w:pPr>
            <w:r w:rsidRPr="00372745">
              <w:rPr>
                <w:rFonts w:cs="Arial"/>
                <w:sz w:val="16"/>
                <w:szCs w:val="16"/>
              </w:rPr>
              <w:t>69</w:t>
            </w:r>
          </w:p>
        </w:tc>
        <w:tc>
          <w:tcPr>
            <w:tcW w:w="1066" w:type="dxa"/>
            <w:tcBorders>
              <w:top w:val="nil"/>
              <w:bottom w:val="nil"/>
            </w:tcBorders>
            <w:vAlign w:val="center"/>
            <w:hideMark/>
          </w:tcPr>
          <w:p w14:paraId="0518F314" w14:textId="77777777" w:rsidR="00EE405C" w:rsidRPr="00372745" w:rsidRDefault="00EE405C" w:rsidP="00450A3E">
            <w:pPr>
              <w:spacing w:after="0" w:line="240" w:lineRule="auto"/>
              <w:jc w:val="right"/>
              <w:rPr>
                <w:rFonts w:cs="Arial"/>
                <w:sz w:val="16"/>
                <w:szCs w:val="16"/>
              </w:rPr>
            </w:pPr>
            <w:r w:rsidRPr="00372745">
              <w:rPr>
                <w:rFonts w:cs="Arial"/>
                <w:sz w:val="16"/>
                <w:szCs w:val="16"/>
              </w:rPr>
              <w:t>46</w:t>
            </w:r>
          </w:p>
        </w:tc>
        <w:tc>
          <w:tcPr>
            <w:tcW w:w="1066" w:type="dxa"/>
            <w:tcBorders>
              <w:top w:val="nil"/>
              <w:bottom w:val="nil"/>
            </w:tcBorders>
            <w:vAlign w:val="center"/>
            <w:hideMark/>
          </w:tcPr>
          <w:p w14:paraId="2931E7C3" w14:textId="77777777" w:rsidR="00EE405C" w:rsidRPr="00372745" w:rsidRDefault="00EE405C" w:rsidP="00450A3E">
            <w:pPr>
              <w:spacing w:after="0" w:line="240" w:lineRule="auto"/>
              <w:jc w:val="right"/>
              <w:rPr>
                <w:rFonts w:cs="Arial"/>
                <w:sz w:val="16"/>
                <w:szCs w:val="16"/>
              </w:rPr>
            </w:pPr>
            <w:r w:rsidRPr="00372745">
              <w:rPr>
                <w:rFonts w:cs="Arial"/>
                <w:sz w:val="16"/>
                <w:szCs w:val="16"/>
              </w:rPr>
              <w:t>23</w:t>
            </w:r>
          </w:p>
        </w:tc>
      </w:tr>
      <w:tr w:rsidR="00EE405C" w:rsidRPr="00372745" w14:paraId="1C0A05D2" w14:textId="77777777" w:rsidTr="00BF6CBB">
        <w:trPr>
          <w:cantSplit/>
          <w:jc w:val="center"/>
        </w:trPr>
        <w:tc>
          <w:tcPr>
            <w:tcW w:w="6017" w:type="dxa"/>
            <w:tcBorders>
              <w:top w:val="nil"/>
              <w:bottom w:val="nil"/>
            </w:tcBorders>
            <w:vAlign w:val="center"/>
            <w:hideMark/>
          </w:tcPr>
          <w:p w14:paraId="3C31A34C" w14:textId="77777777" w:rsidR="00EE405C" w:rsidRPr="00372745" w:rsidRDefault="00EE405C" w:rsidP="00450A3E">
            <w:pPr>
              <w:spacing w:after="0" w:line="240" w:lineRule="auto"/>
              <w:jc w:val="left"/>
              <w:rPr>
                <w:rFonts w:cs="Arial"/>
                <w:sz w:val="16"/>
                <w:szCs w:val="16"/>
              </w:rPr>
            </w:pPr>
            <w:r w:rsidRPr="00372745">
              <w:rPr>
                <w:rFonts w:cs="Arial"/>
                <w:sz w:val="16"/>
                <w:szCs w:val="16"/>
              </w:rPr>
              <w:t>Μεταβιβάσεις</w:t>
            </w:r>
          </w:p>
        </w:tc>
        <w:tc>
          <w:tcPr>
            <w:tcW w:w="1068" w:type="dxa"/>
            <w:tcBorders>
              <w:top w:val="nil"/>
              <w:bottom w:val="nil"/>
            </w:tcBorders>
            <w:vAlign w:val="center"/>
            <w:hideMark/>
          </w:tcPr>
          <w:p w14:paraId="57525BB9" w14:textId="77777777" w:rsidR="00EE405C" w:rsidRPr="00372745" w:rsidRDefault="00EE405C" w:rsidP="00450A3E">
            <w:pPr>
              <w:spacing w:after="0" w:line="240" w:lineRule="auto"/>
              <w:jc w:val="right"/>
              <w:rPr>
                <w:rFonts w:cs="Arial"/>
                <w:sz w:val="16"/>
                <w:szCs w:val="16"/>
              </w:rPr>
            </w:pPr>
            <w:r w:rsidRPr="00372745">
              <w:rPr>
                <w:rFonts w:cs="Arial"/>
                <w:sz w:val="16"/>
                <w:szCs w:val="16"/>
              </w:rPr>
              <w:t>1.522</w:t>
            </w:r>
          </w:p>
        </w:tc>
        <w:tc>
          <w:tcPr>
            <w:tcW w:w="1177" w:type="dxa"/>
            <w:tcBorders>
              <w:top w:val="nil"/>
              <w:bottom w:val="nil"/>
            </w:tcBorders>
            <w:vAlign w:val="center"/>
            <w:hideMark/>
          </w:tcPr>
          <w:p w14:paraId="0D959C21" w14:textId="77777777" w:rsidR="00EE405C" w:rsidRPr="00372745" w:rsidRDefault="00EE405C" w:rsidP="00450A3E">
            <w:pPr>
              <w:spacing w:after="0" w:line="240" w:lineRule="auto"/>
              <w:jc w:val="right"/>
              <w:rPr>
                <w:rFonts w:cs="Arial"/>
                <w:sz w:val="16"/>
                <w:szCs w:val="16"/>
              </w:rPr>
            </w:pPr>
            <w:r w:rsidRPr="00372745">
              <w:rPr>
                <w:rFonts w:cs="Arial"/>
                <w:sz w:val="16"/>
                <w:szCs w:val="16"/>
              </w:rPr>
              <w:t>1.733</w:t>
            </w:r>
          </w:p>
        </w:tc>
        <w:tc>
          <w:tcPr>
            <w:tcW w:w="1066" w:type="dxa"/>
            <w:tcBorders>
              <w:top w:val="nil"/>
              <w:bottom w:val="nil"/>
            </w:tcBorders>
            <w:vAlign w:val="center"/>
            <w:hideMark/>
          </w:tcPr>
          <w:p w14:paraId="3F936240" w14:textId="77777777" w:rsidR="00EE405C" w:rsidRPr="00372745" w:rsidRDefault="00EE405C" w:rsidP="00450A3E">
            <w:pPr>
              <w:spacing w:after="0" w:line="240" w:lineRule="auto"/>
              <w:jc w:val="right"/>
              <w:rPr>
                <w:rFonts w:cs="Arial"/>
                <w:sz w:val="16"/>
                <w:szCs w:val="16"/>
              </w:rPr>
            </w:pPr>
            <w:r w:rsidRPr="00372745">
              <w:rPr>
                <w:rFonts w:cs="Arial"/>
                <w:sz w:val="16"/>
                <w:szCs w:val="16"/>
              </w:rPr>
              <w:t>2.645</w:t>
            </w:r>
          </w:p>
        </w:tc>
        <w:tc>
          <w:tcPr>
            <w:tcW w:w="1066" w:type="dxa"/>
            <w:tcBorders>
              <w:top w:val="nil"/>
              <w:bottom w:val="nil"/>
            </w:tcBorders>
            <w:vAlign w:val="center"/>
            <w:hideMark/>
          </w:tcPr>
          <w:p w14:paraId="142CF6F0" w14:textId="77777777" w:rsidR="00EE405C" w:rsidRPr="00372745" w:rsidRDefault="00EE405C" w:rsidP="00450A3E">
            <w:pPr>
              <w:spacing w:after="0" w:line="240" w:lineRule="auto"/>
              <w:jc w:val="right"/>
              <w:rPr>
                <w:rFonts w:cs="Arial"/>
                <w:sz w:val="16"/>
                <w:szCs w:val="16"/>
              </w:rPr>
            </w:pPr>
            <w:r w:rsidRPr="00372745">
              <w:rPr>
                <w:rFonts w:cs="Arial"/>
                <w:sz w:val="16"/>
                <w:szCs w:val="16"/>
              </w:rPr>
              <w:t>2.625</w:t>
            </w:r>
          </w:p>
        </w:tc>
      </w:tr>
      <w:tr w:rsidR="00EE405C" w:rsidRPr="00372745" w14:paraId="43157AFA" w14:textId="77777777" w:rsidTr="00BF6CBB">
        <w:trPr>
          <w:cantSplit/>
          <w:jc w:val="center"/>
        </w:trPr>
        <w:tc>
          <w:tcPr>
            <w:tcW w:w="6017" w:type="dxa"/>
            <w:tcBorders>
              <w:top w:val="nil"/>
              <w:bottom w:val="nil"/>
            </w:tcBorders>
            <w:vAlign w:val="center"/>
            <w:hideMark/>
          </w:tcPr>
          <w:p w14:paraId="478DF858" w14:textId="77777777" w:rsidR="00EE405C" w:rsidRPr="00372745" w:rsidRDefault="00EE405C" w:rsidP="00450A3E">
            <w:pPr>
              <w:spacing w:after="0" w:line="240" w:lineRule="auto"/>
              <w:jc w:val="left"/>
              <w:rPr>
                <w:rFonts w:cs="Arial"/>
                <w:sz w:val="16"/>
                <w:szCs w:val="16"/>
              </w:rPr>
            </w:pPr>
            <w:r w:rsidRPr="00372745">
              <w:rPr>
                <w:rFonts w:cs="Arial"/>
                <w:sz w:val="16"/>
                <w:szCs w:val="16"/>
              </w:rPr>
              <w:t>Επιδοτήσεις</w:t>
            </w:r>
          </w:p>
        </w:tc>
        <w:tc>
          <w:tcPr>
            <w:tcW w:w="1068" w:type="dxa"/>
            <w:tcBorders>
              <w:top w:val="nil"/>
              <w:bottom w:val="nil"/>
            </w:tcBorders>
            <w:vAlign w:val="center"/>
            <w:hideMark/>
          </w:tcPr>
          <w:p w14:paraId="2C7D2482" w14:textId="77777777" w:rsidR="00EE405C" w:rsidRPr="00372745" w:rsidRDefault="00EE405C" w:rsidP="00450A3E">
            <w:pPr>
              <w:spacing w:after="0" w:line="240" w:lineRule="auto"/>
              <w:jc w:val="right"/>
              <w:rPr>
                <w:rFonts w:cs="Arial"/>
                <w:sz w:val="16"/>
                <w:szCs w:val="16"/>
              </w:rPr>
            </w:pPr>
            <w:r w:rsidRPr="00372745">
              <w:rPr>
                <w:rFonts w:cs="Arial"/>
                <w:sz w:val="16"/>
                <w:szCs w:val="16"/>
              </w:rPr>
              <w:t>615</w:t>
            </w:r>
          </w:p>
        </w:tc>
        <w:tc>
          <w:tcPr>
            <w:tcW w:w="1177" w:type="dxa"/>
            <w:tcBorders>
              <w:top w:val="nil"/>
              <w:bottom w:val="nil"/>
            </w:tcBorders>
            <w:vAlign w:val="center"/>
            <w:hideMark/>
          </w:tcPr>
          <w:p w14:paraId="57EE4F37" w14:textId="77777777" w:rsidR="00EE405C" w:rsidRPr="00372745" w:rsidRDefault="00EE405C" w:rsidP="00450A3E">
            <w:pPr>
              <w:spacing w:after="0" w:line="240" w:lineRule="auto"/>
              <w:jc w:val="right"/>
              <w:rPr>
                <w:rFonts w:cs="Arial"/>
                <w:sz w:val="16"/>
                <w:szCs w:val="16"/>
              </w:rPr>
            </w:pPr>
            <w:r w:rsidRPr="00372745">
              <w:rPr>
                <w:rFonts w:cs="Arial"/>
                <w:sz w:val="16"/>
                <w:szCs w:val="16"/>
              </w:rPr>
              <w:t>715</w:t>
            </w:r>
          </w:p>
        </w:tc>
        <w:tc>
          <w:tcPr>
            <w:tcW w:w="1066" w:type="dxa"/>
            <w:tcBorders>
              <w:top w:val="nil"/>
              <w:bottom w:val="nil"/>
            </w:tcBorders>
            <w:vAlign w:val="center"/>
            <w:hideMark/>
          </w:tcPr>
          <w:p w14:paraId="6C61CF76" w14:textId="77777777" w:rsidR="00EE405C" w:rsidRPr="00372745" w:rsidRDefault="00EE405C" w:rsidP="00450A3E">
            <w:pPr>
              <w:spacing w:after="0" w:line="240" w:lineRule="auto"/>
              <w:jc w:val="right"/>
              <w:rPr>
                <w:rFonts w:cs="Arial"/>
                <w:sz w:val="16"/>
                <w:szCs w:val="16"/>
              </w:rPr>
            </w:pPr>
            <w:r w:rsidRPr="00372745">
              <w:rPr>
                <w:rFonts w:cs="Arial"/>
                <w:sz w:val="16"/>
                <w:szCs w:val="16"/>
              </w:rPr>
              <w:t>796</w:t>
            </w:r>
          </w:p>
        </w:tc>
        <w:tc>
          <w:tcPr>
            <w:tcW w:w="1066" w:type="dxa"/>
            <w:tcBorders>
              <w:top w:val="nil"/>
              <w:bottom w:val="nil"/>
            </w:tcBorders>
            <w:vAlign w:val="center"/>
            <w:hideMark/>
          </w:tcPr>
          <w:p w14:paraId="7F60E3F0" w14:textId="77777777" w:rsidR="00EE405C" w:rsidRPr="00372745" w:rsidRDefault="00EE405C" w:rsidP="00450A3E">
            <w:pPr>
              <w:spacing w:after="0" w:line="240" w:lineRule="auto"/>
              <w:jc w:val="right"/>
              <w:rPr>
                <w:rFonts w:cs="Arial"/>
                <w:sz w:val="16"/>
                <w:szCs w:val="16"/>
              </w:rPr>
            </w:pPr>
            <w:r w:rsidRPr="00372745">
              <w:rPr>
                <w:rFonts w:cs="Arial"/>
                <w:sz w:val="16"/>
                <w:szCs w:val="16"/>
              </w:rPr>
              <w:t>601</w:t>
            </w:r>
          </w:p>
        </w:tc>
      </w:tr>
      <w:tr w:rsidR="00EE405C" w:rsidRPr="00372745" w14:paraId="4F411198" w14:textId="77777777" w:rsidTr="00BF6CBB">
        <w:trPr>
          <w:cantSplit/>
          <w:trHeight w:val="227"/>
          <w:jc w:val="center"/>
        </w:trPr>
        <w:tc>
          <w:tcPr>
            <w:tcW w:w="6017" w:type="dxa"/>
            <w:tcBorders>
              <w:top w:val="nil"/>
              <w:bottom w:val="nil"/>
            </w:tcBorders>
            <w:shd w:val="clear" w:color="auto" w:fill="D5DCE4"/>
            <w:vAlign w:val="center"/>
            <w:hideMark/>
          </w:tcPr>
          <w:p w14:paraId="29924F48"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Χ. Ισοζύγιο Γενικής Κυβέρνησης κατά ESA (VΙΙ+VIII+IX)</w:t>
            </w:r>
          </w:p>
        </w:tc>
        <w:tc>
          <w:tcPr>
            <w:tcW w:w="1068" w:type="dxa"/>
            <w:tcBorders>
              <w:top w:val="nil"/>
              <w:bottom w:val="nil"/>
            </w:tcBorders>
            <w:shd w:val="clear" w:color="auto" w:fill="D5DCE4"/>
            <w:vAlign w:val="center"/>
            <w:hideMark/>
          </w:tcPr>
          <w:p w14:paraId="6CF83A8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3.180</w:t>
            </w:r>
          </w:p>
        </w:tc>
        <w:tc>
          <w:tcPr>
            <w:tcW w:w="1177" w:type="dxa"/>
            <w:tcBorders>
              <w:top w:val="nil"/>
              <w:bottom w:val="nil"/>
            </w:tcBorders>
            <w:shd w:val="clear" w:color="auto" w:fill="D5DCE4"/>
            <w:vAlign w:val="center"/>
            <w:hideMark/>
          </w:tcPr>
          <w:p w14:paraId="09E9F77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-1.423</w:t>
            </w:r>
          </w:p>
        </w:tc>
        <w:tc>
          <w:tcPr>
            <w:tcW w:w="1066" w:type="dxa"/>
            <w:tcBorders>
              <w:top w:val="nil"/>
              <w:bottom w:val="nil"/>
            </w:tcBorders>
            <w:shd w:val="clear" w:color="auto" w:fill="D5DCE4"/>
            <w:vAlign w:val="center"/>
            <w:hideMark/>
          </w:tcPr>
          <w:p w14:paraId="6FC6EFC9"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1.529</w:t>
            </w:r>
          </w:p>
        </w:tc>
        <w:tc>
          <w:tcPr>
            <w:tcW w:w="1066" w:type="dxa"/>
            <w:tcBorders>
              <w:top w:val="nil"/>
              <w:bottom w:val="nil"/>
            </w:tcBorders>
            <w:shd w:val="clear" w:color="auto" w:fill="D5DCE4"/>
            <w:vAlign w:val="center"/>
            <w:hideMark/>
          </w:tcPr>
          <w:p w14:paraId="3DE9D94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-370</w:t>
            </w:r>
          </w:p>
        </w:tc>
      </w:tr>
      <w:tr w:rsidR="00EE405C" w:rsidRPr="00372745" w14:paraId="302913F2" w14:textId="77777777" w:rsidTr="00BF6CBB">
        <w:trPr>
          <w:cantSplit/>
          <w:trHeight w:val="227"/>
          <w:jc w:val="center"/>
        </w:trPr>
        <w:tc>
          <w:tcPr>
            <w:tcW w:w="6017" w:type="dxa"/>
            <w:tcBorders>
              <w:top w:val="nil"/>
              <w:bottom w:val="nil"/>
            </w:tcBorders>
            <w:shd w:val="clear" w:color="auto" w:fill="D5DCE4"/>
            <w:vAlign w:val="center"/>
            <w:hideMark/>
          </w:tcPr>
          <w:p w14:paraId="0E4CD2C8"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 ΑΕΠ</w:t>
            </w:r>
          </w:p>
        </w:tc>
        <w:tc>
          <w:tcPr>
            <w:tcW w:w="1068" w:type="dxa"/>
            <w:tcBorders>
              <w:top w:val="nil"/>
              <w:bottom w:val="nil"/>
            </w:tcBorders>
            <w:shd w:val="clear" w:color="auto" w:fill="D5DCE4"/>
            <w:vAlign w:val="center"/>
            <w:hideMark/>
          </w:tcPr>
          <w:p w14:paraId="343EFEF9"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1,3%</w:t>
            </w:r>
          </w:p>
        </w:tc>
        <w:tc>
          <w:tcPr>
            <w:tcW w:w="1177" w:type="dxa"/>
            <w:tcBorders>
              <w:top w:val="nil"/>
              <w:bottom w:val="nil"/>
            </w:tcBorders>
            <w:shd w:val="clear" w:color="auto" w:fill="D5DCE4"/>
            <w:vAlign w:val="center"/>
            <w:hideMark/>
          </w:tcPr>
          <w:p w14:paraId="6FC878C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-0,6%</w:t>
            </w:r>
          </w:p>
        </w:tc>
        <w:tc>
          <w:tcPr>
            <w:tcW w:w="1066" w:type="dxa"/>
            <w:tcBorders>
              <w:top w:val="nil"/>
              <w:bottom w:val="nil"/>
            </w:tcBorders>
            <w:shd w:val="clear" w:color="auto" w:fill="D5DCE4"/>
            <w:vAlign w:val="center"/>
            <w:hideMark/>
          </w:tcPr>
          <w:p w14:paraId="78CDB6A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0,6%</w:t>
            </w:r>
          </w:p>
        </w:tc>
        <w:tc>
          <w:tcPr>
            <w:tcW w:w="1066" w:type="dxa"/>
            <w:tcBorders>
              <w:top w:val="nil"/>
              <w:bottom w:val="nil"/>
            </w:tcBorders>
            <w:shd w:val="clear" w:color="auto" w:fill="D5DCE4"/>
            <w:vAlign w:val="center"/>
            <w:hideMark/>
          </w:tcPr>
          <w:p w14:paraId="06E5924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-0,1%</w:t>
            </w:r>
          </w:p>
        </w:tc>
      </w:tr>
      <w:tr w:rsidR="00EE405C" w:rsidRPr="00372745" w14:paraId="5817F895" w14:textId="77777777" w:rsidTr="00BF6CBB">
        <w:trPr>
          <w:cantSplit/>
          <w:trHeight w:val="227"/>
          <w:jc w:val="center"/>
        </w:trPr>
        <w:tc>
          <w:tcPr>
            <w:tcW w:w="6017" w:type="dxa"/>
            <w:tcBorders>
              <w:top w:val="nil"/>
              <w:bottom w:val="nil"/>
            </w:tcBorders>
            <w:shd w:val="clear" w:color="auto" w:fill="D5DCE4"/>
            <w:vAlign w:val="center"/>
            <w:hideMark/>
          </w:tcPr>
          <w:p w14:paraId="32EEEB34"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ΧΙ. Ενοποιημένοι Τόκοι Γενικής Κυβέρνησης</w:t>
            </w:r>
          </w:p>
        </w:tc>
        <w:tc>
          <w:tcPr>
            <w:tcW w:w="1068" w:type="dxa"/>
            <w:tcBorders>
              <w:top w:val="nil"/>
              <w:bottom w:val="nil"/>
            </w:tcBorders>
            <w:shd w:val="clear" w:color="auto" w:fill="D5DCE4"/>
            <w:vAlign w:val="center"/>
            <w:hideMark/>
          </w:tcPr>
          <w:p w14:paraId="12C1FDE3"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8.221</w:t>
            </w:r>
          </w:p>
        </w:tc>
        <w:tc>
          <w:tcPr>
            <w:tcW w:w="1177" w:type="dxa"/>
            <w:tcBorders>
              <w:top w:val="nil"/>
              <w:bottom w:val="nil"/>
            </w:tcBorders>
            <w:shd w:val="clear" w:color="auto" w:fill="D5DCE4"/>
            <w:vAlign w:val="center"/>
            <w:hideMark/>
          </w:tcPr>
          <w:p w14:paraId="3735B8B2"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7.390</w:t>
            </w:r>
          </w:p>
        </w:tc>
        <w:tc>
          <w:tcPr>
            <w:tcW w:w="1066" w:type="dxa"/>
            <w:tcBorders>
              <w:top w:val="nil"/>
              <w:bottom w:val="nil"/>
            </w:tcBorders>
            <w:shd w:val="clear" w:color="auto" w:fill="D5DCE4"/>
            <w:vAlign w:val="center"/>
            <w:hideMark/>
          </w:tcPr>
          <w:p w14:paraId="22FB463A"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7.577</w:t>
            </w:r>
          </w:p>
        </w:tc>
        <w:tc>
          <w:tcPr>
            <w:tcW w:w="1066" w:type="dxa"/>
            <w:tcBorders>
              <w:top w:val="nil"/>
              <w:bottom w:val="nil"/>
            </w:tcBorders>
            <w:shd w:val="clear" w:color="auto" w:fill="D5DCE4"/>
            <w:vAlign w:val="center"/>
            <w:hideMark/>
          </w:tcPr>
          <w:p w14:paraId="1CC1F67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7.663</w:t>
            </w:r>
          </w:p>
        </w:tc>
      </w:tr>
      <w:tr w:rsidR="00EE405C" w:rsidRPr="00372745" w14:paraId="2A24350F" w14:textId="77777777" w:rsidTr="00BF6CBB">
        <w:trPr>
          <w:cantSplit/>
          <w:trHeight w:val="227"/>
          <w:jc w:val="center"/>
        </w:trPr>
        <w:tc>
          <w:tcPr>
            <w:tcW w:w="6017" w:type="dxa"/>
            <w:tcBorders>
              <w:top w:val="nil"/>
              <w:bottom w:val="nil"/>
            </w:tcBorders>
            <w:shd w:val="clear" w:color="auto" w:fill="D5DCE4"/>
            <w:vAlign w:val="center"/>
            <w:hideMark/>
          </w:tcPr>
          <w:p w14:paraId="2AA85A6D"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 ΑΕΠ</w:t>
            </w:r>
          </w:p>
        </w:tc>
        <w:tc>
          <w:tcPr>
            <w:tcW w:w="1068" w:type="dxa"/>
            <w:tcBorders>
              <w:top w:val="nil"/>
              <w:bottom w:val="nil"/>
            </w:tcBorders>
            <w:shd w:val="clear" w:color="auto" w:fill="D5DCE4"/>
            <w:vAlign w:val="center"/>
            <w:hideMark/>
          </w:tcPr>
          <w:p w14:paraId="17A1C976"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3,5%</w:t>
            </w:r>
          </w:p>
        </w:tc>
        <w:tc>
          <w:tcPr>
            <w:tcW w:w="1177" w:type="dxa"/>
            <w:tcBorders>
              <w:top w:val="nil"/>
              <w:bottom w:val="nil"/>
            </w:tcBorders>
            <w:shd w:val="clear" w:color="auto" w:fill="D5DCE4"/>
            <w:vAlign w:val="center"/>
            <w:hideMark/>
          </w:tcPr>
          <w:p w14:paraId="34BA80BF"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3,0%</w:t>
            </w:r>
          </w:p>
        </w:tc>
        <w:tc>
          <w:tcPr>
            <w:tcW w:w="1066" w:type="dxa"/>
            <w:tcBorders>
              <w:top w:val="nil"/>
              <w:bottom w:val="nil"/>
            </w:tcBorders>
            <w:shd w:val="clear" w:color="auto" w:fill="D5DCE4"/>
            <w:vAlign w:val="center"/>
            <w:hideMark/>
          </w:tcPr>
          <w:p w14:paraId="71E9E0CC"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3,0%</w:t>
            </w:r>
          </w:p>
        </w:tc>
        <w:tc>
          <w:tcPr>
            <w:tcW w:w="1066" w:type="dxa"/>
            <w:tcBorders>
              <w:top w:val="nil"/>
              <w:bottom w:val="nil"/>
            </w:tcBorders>
            <w:shd w:val="clear" w:color="auto" w:fill="D5DCE4"/>
            <w:vAlign w:val="center"/>
            <w:hideMark/>
          </w:tcPr>
          <w:p w14:paraId="3461E1E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2,9%</w:t>
            </w:r>
          </w:p>
        </w:tc>
      </w:tr>
      <w:tr w:rsidR="00EE405C" w:rsidRPr="00372745" w14:paraId="616C660B" w14:textId="77777777" w:rsidTr="00BF6CBB">
        <w:trPr>
          <w:cantSplit/>
          <w:trHeight w:val="227"/>
          <w:jc w:val="center"/>
        </w:trPr>
        <w:tc>
          <w:tcPr>
            <w:tcW w:w="6017" w:type="dxa"/>
            <w:tcBorders>
              <w:top w:val="nil"/>
              <w:bottom w:val="nil"/>
            </w:tcBorders>
            <w:shd w:val="clear" w:color="auto" w:fill="D5DCE4"/>
            <w:vAlign w:val="center"/>
            <w:hideMark/>
          </w:tcPr>
          <w:p w14:paraId="1A6F1304"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ΧΙΙ. Πρωτογενές αποτέλεσμα Γενικής Κυβέρνησης κατά ESA (Χ+ΧΙ)</w:t>
            </w:r>
          </w:p>
        </w:tc>
        <w:tc>
          <w:tcPr>
            <w:tcW w:w="1068" w:type="dxa"/>
            <w:tcBorders>
              <w:top w:val="nil"/>
              <w:bottom w:val="nil"/>
            </w:tcBorders>
            <w:shd w:val="clear" w:color="auto" w:fill="D5DCE4"/>
            <w:vAlign w:val="center"/>
            <w:hideMark/>
          </w:tcPr>
          <w:p w14:paraId="323939A0"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11.400</w:t>
            </w:r>
          </w:p>
        </w:tc>
        <w:tc>
          <w:tcPr>
            <w:tcW w:w="1177" w:type="dxa"/>
            <w:tcBorders>
              <w:top w:val="nil"/>
              <w:bottom w:val="nil"/>
            </w:tcBorders>
            <w:shd w:val="clear" w:color="auto" w:fill="D5DCE4"/>
            <w:vAlign w:val="center"/>
            <w:hideMark/>
          </w:tcPr>
          <w:p w14:paraId="5864794E"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5.967</w:t>
            </w:r>
          </w:p>
        </w:tc>
        <w:tc>
          <w:tcPr>
            <w:tcW w:w="1066" w:type="dxa"/>
            <w:tcBorders>
              <w:top w:val="nil"/>
              <w:bottom w:val="nil"/>
            </w:tcBorders>
            <w:shd w:val="clear" w:color="auto" w:fill="D5DCE4"/>
            <w:vAlign w:val="center"/>
            <w:hideMark/>
          </w:tcPr>
          <w:p w14:paraId="218E786F"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9.105</w:t>
            </w:r>
          </w:p>
        </w:tc>
        <w:tc>
          <w:tcPr>
            <w:tcW w:w="1066" w:type="dxa"/>
            <w:tcBorders>
              <w:top w:val="nil"/>
              <w:bottom w:val="nil"/>
            </w:tcBorders>
            <w:shd w:val="clear" w:color="auto" w:fill="D5DCE4"/>
            <w:vAlign w:val="center"/>
            <w:hideMark/>
          </w:tcPr>
          <w:p w14:paraId="71AEFEA8"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7.292</w:t>
            </w:r>
          </w:p>
        </w:tc>
      </w:tr>
      <w:tr w:rsidR="00EE405C" w:rsidRPr="00372745" w14:paraId="255930D4" w14:textId="77777777" w:rsidTr="00BF6CBB">
        <w:trPr>
          <w:cantSplit/>
          <w:trHeight w:val="227"/>
          <w:jc w:val="center"/>
        </w:trPr>
        <w:tc>
          <w:tcPr>
            <w:tcW w:w="6017" w:type="dxa"/>
            <w:tcBorders>
              <w:top w:val="nil"/>
              <w:bottom w:val="nil"/>
            </w:tcBorders>
            <w:shd w:val="clear" w:color="auto" w:fill="D5DCE4"/>
            <w:vAlign w:val="center"/>
            <w:hideMark/>
          </w:tcPr>
          <w:p w14:paraId="1693AD4F"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 ΑΕΠ</w:t>
            </w:r>
          </w:p>
        </w:tc>
        <w:tc>
          <w:tcPr>
            <w:tcW w:w="1068" w:type="dxa"/>
            <w:tcBorders>
              <w:top w:val="nil"/>
              <w:bottom w:val="nil"/>
            </w:tcBorders>
            <w:shd w:val="clear" w:color="auto" w:fill="D5DCE4"/>
            <w:vAlign w:val="center"/>
            <w:hideMark/>
          </w:tcPr>
          <w:p w14:paraId="3A6C6619"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4,8%</w:t>
            </w:r>
          </w:p>
        </w:tc>
        <w:tc>
          <w:tcPr>
            <w:tcW w:w="1177" w:type="dxa"/>
            <w:tcBorders>
              <w:top w:val="nil"/>
              <w:bottom w:val="nil"/>
            </w:tcBorders>
            <w:shd w:val="clear" w:color="auto" w:fill="D5DCE4"/>
            <w:vAlign w:val="center"/>
            <w:hideMark/>
          </w:tcPr>
          <w:p w14:paraId="6B95A1F9"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2,4%</w:t>
            </w:r>
          </w:p>
        </w:tc>
        <w:tc>
          <w:tcPr>
            <w:tcW w:w="1066" w:type="dxa"/>
            <w:tcBorders>
              <w:top w:val="nil"/>
              <w:bottom w:val="nil"/>
            </w:tcBorders>
            <w:shd w:val="clear" w:color="auto" w:fill="D5DCE4"/>
            <w:vAlign w:val="center"/>
            <w:hideMark/>
          </w:tcPr>
          <w:p w14:paraId="6673C5F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3,6%</w:t>
            </w:r>
          </w:p>
        </w:tc>
        <w:tc>
          <w:tcPr>
            <w:tcW w:w="1066" w:type="dxa"/>
            <w:tcBorders>
              <w:top w:val="nil"/>
              <w:bottom w:val="nil"/>
            </w:tcBorders>
            <w:shd w:val="clear" w:color="auto" w:fill="D5DCE4"/>
            <w:vAlign w:val="center"/>
            <w:hideMark/>
          </w:tcPr>
          <w:p w14:paraId="027D8B64"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2,8%</w:t>
            </w:r>
          </w:p>
        </w:tc>
      </w:tr>
      <w:tr w:rsidR="00EE405C" w:rsidRPr="00372745" w14:paraId="2EA884D2" w14:textId="77777777" w:rsidTr="00BF6CBB">
        <w:trPr>
          <w:cantSplit/>
          <w:trHeight w:val="227"/>
          <w:jc w:val="center"/>
        </w:trPr>
        <w:tc>
          <w:tcPr>
            <w:tcW w:w="6017" w:type="dxa"/>
            <w:tcBorders>
              <w:top w:val="nil"/>
              <w:bottom w:val="single" w:sz="2" w:space="0" w:color="808080" w:themeColor="background1" w:themeShade="80"/>
            </w:tcBorders>
            <w:shd w:val="clear" w:color="auto" w:fill="D5DCE4"/>
            <w:vAlign w:val="center"/>
            <w:hideMark/>
          </w:tcPr>
          <w:p w14:paraId="69B30304" w14:textId="77777777" w:rsidR="00EE405C" w:rsidRPr="00372745" w:rsidRDefault="00EE405C" w:rsidP="00450A3E">
            <w:pPr>
              <w:spacing w:after="0" w:line="240" w:lineRule="auto"/>
              <w:jc w:val="left"/>
              <w:rPr>
                <w:rFonts w:cs="Arial"/>
                <w:b/>
                <w:bCs/>
                <w:sz w:val="16"/>
                <w:szCs w:val="16"/>
              </w:rPr>
            </w:pPr>
            <w:r w:rsidRPr="00372745">
              <w:rPr>
                <w:rFonts w:cs="Arial"/>
                <w:b/>
                <w:bCs/>
                <w:sz w:val="16"/>
                <w:szCs w:val="16"/>
              </w:rPr>
              <w:t>ΑΕΠ</w:t>
            </w:r>
          </w:p>
        </w:tc>
        <w:tc>
          <w:tcPr>
            <w:tcW w:w="1068" w:type="dxa"/>
            <w:tcBorders>
              <w:top w:val="nil"/>
              <w:bottom w:val="single" w:sz="2" w:space="0" w:color="808080" w:themeColor="background1" w:themeShade="80"/>
            </w:tcBorders>
            <w:shd w:val="clear" w:color="auto" w:fill="D5DCE4"/>
            <w:vAlign w:val="center"/>
            <w:hideMark/>
          </w:tcPr>
          <w:p w14:paraId="1387A4AC"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237.573</w:t>
            </w:r>
          </w:p>
        </w:tc>
        <w:tc>
          <w:tcPr>
            <w:tcW w:w="1177" w:type="dxa"/>
            <w:tcBorders>
              <w:top w:val="nil"/>
              <w:bottom w:val="single" w:sz="2" w:space="0" w:color="808080" w:themeColor="background1" w:themeShade="80"/>
            </w:tcBorders>
            <w:shd w:val="clear" w:color="auto" w:fill="D5DCE4"/>
            <w:vAlign w:val="center"/>
            <w:hideMark/>
          </w:tcPr>
          <w:p w14:paraId="55C50365"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247.514</w:t>
            </w:r>
          </w:p>
        </w:tc>
        <w:tc>
          <w:tcPr>
            <w:tcW w:w="1066" w:type="dxa"/>
            <w:tcBorders>
              <w:top w:val="nil"/>
              <w:bottom w:val="single" w:sz="2" w:space="0" w:color="808080" w:themeColor="background1" w:themeShade="80"/>
            </w:tcBorders>
            <w:shd w:val="clear" w:color="auto" w:fill="D5DCE4"/>
            <w:vAlign w:val="center"/>
            <w:hideMark/>
          </w:tcPr>
          <w:p w14:paraId="02201A47"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249.576</w:t>
            </w:r>
          </w:p>
        </w:tc>
        <w:tc>
          <w:tcPr>
            <w:tcW w:w="1066" w:type="dxa"/>
            <w:tcBorders>
              <w:top w:val="nil"/>
              <w:bottom w:val="single" w:sz="2" w:space="0" w:color="808080" w:themeColor="background1" w:themeShade="80"/>
            </w:tcBorders>
            <w:shd w:val="clear" w:color="auto" w:fill="D5DCE4"/>
            <w:vAlign w:val="center"/>
            <w:hideMark/>
          </w:tcPr>
          <w:p w14:paraId="249CCE71" w14:textId="77777777" w:rsidR="00EE405C" w:rsidRPr="00372745" w:rsidRDefault="00EE405C" w:rsidP="00450A3E">
            <w:pPr>
              <w:spacing w:after="0" w:line="240" w:lineRule="auto"/>
              <w:jc w:val="right"/>
              <w:rPr>
                <w:rFonts w:cs="Arial"/>
                <w:b/>
                <w:bCs/>
                <w:sz w:val="16"/>
                <w:szCs w:val="16"/>
              </w:rPr>
            </w:pPr>
            <w:r w:rsidRPr="00372745">
              <w:rPr>
                <w:rFonts w:cs="Arial"/>
                <w:b/>
                <w:bCs/>
                <w:sz w:val="16"/>
                <w:szCs w:val="16"/>
              </w:rPr>
              <w:t>260.959</w:t>
            </w:r>
          </w:p>
        </w:tc>
      </w:tr>
      <w:tr w:rsidR="00EE405C" w:rsidRPr="00372745" w14:paraId="4AEF0FA3" w14:textId="77777777" w:rsidTr="00F12374">
        <w:trPr>
          <w:cantSplit/>
          <w:jc w:val="center"/>
        </w:trPr>
        <w:tc>
          <w:tcPr>
            <w:tcW w:w="10394" w:type="dxa"/>
            <w:gridSpan w:val="5"/>
            <w:tcBorders>
              <w:top w:val="single" w:sz="2" w:space="0" w:color="808080" w:themeColor="background1" w:themeShade="80"/>
              <w:left w:val="nil"/>
              <w:bottom w:val="nil"/>
              <w:right w:val="nil"/>
            </w:tcBorders>
            <w:vAlign w:val="center"/>
            <w:hideMark/>
          </w:tcPr>
          <w:p w14:paraId="3D60F04A" w14:textId="43095226" w:rsidR="00EE405C" w:rsidRPr="00372745" w:rsidRDefault="00040EDC" w:rsidP="00040EDC">
            <w:pPr>
              <w:tabs>
                <w:tab w:val="left" w:pos="170"/>
              </w:tabs>
              <w:spacing w:before="60" w:after="0" w:line="276" w:lineRule="auto"/>
              <w:jc w:val="left"/>
              <w:rPr>
                <w:rFonts w:cs="Arial"/>
                <w:sz w:val="16"/>
                <w:szCs w:val="16"/>
              </w:rPr>
            </w:pPr>
            <w:r w:rsidRPr="00040EDC">
              <w:rPr>
                <w:rFonts w:cs="Arial"/>
                <w:sz w:val="16"/>
                <w:szCs w:val="16"/>
                <w:vertAlign w:val="superscript"/>
              </w:rPr>
              <w:t>1</w:t>
            </w:r>
            <w:r>
              <w:rPr>
                <w:rFonts w:cs="Arial"/>
                <w:sz w:val="16"/>
                <w:szCs w:val="16"/>
                <w:vertAlign w:val="superscript"/>
              </w:rPr>
              <w:tab/>
            </w:r>
            <w:r w:rsidR="00EE405C" w:rsidRPr="00372745">
              <w:rPr>
                <w:rFonts w:cs="Arial"/>
                <w:sz w:val="16"/>
                <w:szCs w:val="16"/>
              </w:rPr>
              <w:t xml:space="preserve">Τα έσοδα </w:t>
            </w:r>
            <w:r w:rsidR="00EE405C" w:rsidRPr="00D4411E">
              <w:rPr>
                <w:rFonts w:cs="Arial"/>
                <w:sz w:val="16"/>
                <w:szCs w:val="16"/>
              </w:rPr>
              <w:t xml:space="preserve">του </w:t>
            </w:r>
            <w:r w:rsidR="00D4411E" w:rsidRPr="00D4411E">
              <w:rPr>
                <w:rFonts w:cs="Arial"/>
                <w:sz w:val="16"/>
                <w:szCs w:val="16"/>
              </w:rPr>
              <w:t>προϋπολογισμού δημοσίων επενδύσεων</w:t>
            </w:r>
            <w:r w:rsidR="00EE405C" w:rsidRPr="00D4411E">
              <w:rPr>
                <w:rFonts w:cs="Arial"/>
                <w:sz w:val="16"/>
                <w:szCs w:val="16"/>
              </w:rPr>
              <w:t xml:space="preserve"> περιέχονται στις μεταβιβάσεις και στα λοιπά τρέχοντα έσοδα, ενώ οι </w:t>
            </w:r>
            <w:r w:rsidR="009E4027" w:rsidRPr="00D4411E">
              <w:rPr>
                <w:rFonts w:cs="Arial"/>
                <w:sz w:val="16"/>
                <w:szCs w:val="16"/>
              </w:rPr>
              <w:t xml:space="preserve">αντίστοιχες </w:t>
            </w:r>
            <w:r>
              <w:rPr>
                <w:rFonts w:cs="Arial"/>
                <w:sz w:val="16"/>
                <w:szCs w:val="16"/>
              </w:rPr>
              <w:tab/>
            </w:r>
            <w:r w:rsidR="00EE405C" w:rsidRPr="00D4411E">
              <w:rPr>
                <w:rFonts w:cs="Arial"/>
                <w:sz w:val="16"/>
                <w:szCs w:val="16"/>
              </w:rPr>
              <w:t>δαπάνες περιέχονται στις πιστώσεις υπό κατανομή.</w:t>
            </w:r>
          </w:p>
        </w:tc>
      </w:tr>
      <w:tr w:rsidR="00EE405C" w:rsidRPr="00372745" w14:paraId="070E840F" w14:textId="77777777" w:rsidTr="00F12374">
        <w:trPr>
          <w:cantSplit/>
          <w:jc w:val="center"/>
        </w:trPr>
        <w:tc>
          <w:tcPr>
            <w:tcW w:w="10394" w:type="dxa"/>
            <w:gridSpan w:val="5"/>
            <w:tcBorders>
              <w:top w:val="nil"/>
              <w:left w:val="nil"/>
              <w:bottom w:val="nil"/>
              <w:right w:val="nil"/>
            </w:tcBorders>
            <w:vAlign w:val="center"/>
            <w:hideMark/>
          </w:tcPr>
          <w:p w14:paraId="5037C85D" w14:textId="57A15D6F" w:rsidR="00EE405C" w:rsidRPr="00372745" w:rsidRDefault="00EE405C" w:rsidP="00040EDC">
            <w:pPr>
              <w:tabs>
                <w:tab w:val="left" w:pos="170"/>
              </w:tabs>
              <w:spacing w:after="0" w:line="276" w:lineRule="auto"/>
              <w:jc w:val="left"/>
              <w:rPr>
                <w:rFonts w:cs="Arial"/>
                <w:sz w:val="16"/>
                <w:szCs w:val="16"/>
              </w:rPr>
            </w:pPr>
            <w:r w:rsidRPr="00040EDC">
              <w:rPr>
                <w:rFonts w:cs="Arial"/>
                <w:sz w:val="16"/>
                <w:szCs w:val="16"/>
                <w:vertAlign w:val="superscript"/>
              </w:rPr>
              <w:t>2</w:t>
            </w:r>
            <w:r w:rsidR="00040EDC">
              <w:rPr>
                <w:rFonts w:cs="Arial"/>
                <w:sz w:val="16"/>
                <w:szCs w:val="16"/>
                <w:vertAlign w:val="superscript"/>
              </w:rPr>
              <w:tab/>
            </w:r>
            <w:r w:rsidRPr="00372745">
              <w:rPr>
                <w:rFonts w:cs="Arial"/>
                <w:sz w:val="16"/>
                <w:szCs w:val="16"/>
              </w:rPr>
              <w:t>Τα έσοδα του Τ</w:t>
            </w:r>
            <w:r w:rsidR="009E4027">
              <w:rPr>
                <w:rFonts w:cs="Arial"/>
                <w:sz w:val="16"/>
                <w:szCs w:val="16"/>
              </w:rPr>
              <w:t xml:space="preserve">ΑΑ </w:t>
            </w:r>
            <w:r w:rsidRPr="00372745">
              <w:rPr>
                <w:rFonts w:cs="Arial"/>
                <w:sz w:val="16"/>
                <w:szCs w:val="16"/>
              </w:rPr>
              <w:t>περιέχονται στις μεταβιβάσεις, ενώ οι αντίστοιχες δαπάνες περιέχονται στις πιστώσεις υπό κατανομή.</w:t>
            </w:r>
          </w:p>
        </w:tc>
      </w:tr>
      <w:tr w:rsidR="00EE405C" w:rsidRPr="00040EDC" w14:paraId="6818A49A" w14:textId="77777777" w:rsidTr="00F12374">
        <w:trPr>
          <w:cantSplit/>
          <w:jc w:val="center"/>
        </w:trPr>
        <w:tc>
          <w:tcPr>
            <w:tcW w:w="10394" w:type="dxa"/>
            <w:gridSpan w:val="5"/>
            <w:tcBorders>
              <w:top w:val="nil"/>
              <w:left w:val="nil"/>
              <w:bottom w:val="nil"/>
              <w:right w:val="nil"/>
            </w:tcBorders>
            <w:vAlign w:val="center"/>
            <w:hideMark/>
          </w:tcPr>
          <w:p w14:paraId="52ECF8FB" w14:textId="510BD54E" w:rsidR="00EE405C" w:rsidRPr="00372745" w:rsidRDefault="00EE405C" w:rsidP="00486F0A">
            <w:pPr>
              <w:tabs>
                <w:tab w:val="left" w:pos="170"/>
              </w:tabs>
              <w:spacing w:after="0" w:line="276" w:lineRule="auto"/>
              <w:ind w:left="170" w:hanging="170"/>
              <w:jc w:val="left"/>
              <w:rPr>
                <w:rFonts w:cs="Arial"/>
                <w:sz w:val="16"/>
                <w:szCs w:val="16"/>
              </w:rPr>
            </w:pPr>
            <w:r w:rsidRPr="00040EDC">
              <w:rPr>
                <w:rFonts w:cs="Arial"/>
                <w:sz w:val="16"/>
                <w:szCs w:val="16"/>
                <w:vertAlign w:val="superscript"/>
              </w:rPr>
              <w:t>3</w:t>
            </w:r>
            <w:r w:rsidR="00040EDC">
              <w:rPr>
                <w:rFonts w:cs="Arial"/>
                <w:sz w:val="16"/>
                <w:szCs w:val="16"/>
              </w:rPr>
              <w:tab/>
            </w:r>
            <w:r w:rsidRPr="00372745">
              <w:rPr>
                <w:rFonts w:cs="Arial"/>
                <w:sz w:val="16"/>
                <w:szCs w:val="16"/>
              </w:rPr>
              <w:t xml:space="preserve">Οι δαπάνες της Κεντρικής Διοίκησης αναλύονται σύμφωνα με τις μείζονες κατηγορίες του </w:t>
            </w:r>
            <w:r w:rsidR="00BC1535">
              <w:rPr>
                <w:rFonts w:cs="Arial"/>
                <w:sz w:val="16"/>
                <w:szCs w:val="16"/>
              </w:rPr>
              <w:t xml:space="preserve">π.δ. </w:t>
            </w:r>
            <w:r w:rsidRPr="00372745">
              <w:rPr>
                <w:rFonts w:cs="Arial"/>
                <w:sz w:val="16"/>
                <w:szCs w:val="16"/>
              </w:rPr>
              <w:t>54/2018 (Α' 103).</w:t>
            </w:r>
            <w:r w:rsidR="00486F0A">
              <w:rPr>
                <w:rFonts w:cs="Arial"/>
                <w:sz w:val="16"/>
                <w:szCs w:val="16"/>
              </w:rPr>
              <w:t xml:space="preserve"> Οι πιστώσεις για νέες</w:t>
            </w:r>
            <w:r w:rsidR="008674F4">
              <w:rPr>
                <w:rFonts w:cs="Arial"/>
                <w:sz w:val="16"/>
                <w:szCs w:val="16"/>
              </w:rPr>
              <w:t xml:space="preserve"> </w:t>
            </w:r>
            <w:r w:rsidR="00486F0A">
              <w:rPr>
                <w:rFonts w:cs="Arial"/>
                <w:sz w:val="16"/>
                <w:szCs w:val="16"/>
              </w:rPr>
              <w:t>προσλήψεις το 2026 προβλέπονται στ</w:t>
            </w:r>
            <w:r w:rsidR="00111140">
              <w:rPr>
                <w:rFonts w:cs="Arial"/>
                <w:sz w:val="16"/>
                <w:szCs w:val="16"/>
              </w:rPr>
              <w:t>ην κατηγορία «Π</w:t>
            </w:r>
            <w:r w:rsidR="00486F0A">
              <w:rPr>
                <w:rFonts w:cs="Arial"/>
                <w:sz w:val="16"/>
                <w:szCs w:val="16"/>
              </w:rPr>
              <w:t>ιστώσεις υπό κατανομή</w:t>
            </w:r>
            <w:r w:rsidR="00111140">
              <w:rPr>
                <w:rFonts w:cs="Arial"/>
                <w:sz w:val="16"/>
                <w:szCs w:val="16"/>
              </w:rPr>
              <w:t>»</w:t>
            </w:r>
            <w:r w:rsidR="00486F0A">
              <w:rPr>
                <w:rFonts w:cs="Arial"/>
                <w:sz w:val="16"/>
                <w:szCs w:val="16"/>
              </w:rPr>
              <w:t>.</w:t>
            </w:r>
          </w:p>
        </w:tc>
      </w:tr>
      <w:tr w:rsidR="00EE405C" w:rsidRPr="00040EDC" w14:paraId="15656719" w14:textId="77777777" w:rsidTr="00F12374">
        <w:trPr>
          <w:cantSplit/>
          <w:jc w:val="center"/>
        </w:trPr>
        <w:tc>
          <w:tcPr>
            <w:tcW w:w="10394" w:type="dxa"/>
            <w:gridSpan w:val="5"/>
            <w:tcBorders>
              <w:top w:val="nil"/>
              <w:left w:val="nil"/>
              <w:bottom w:val="nil"/>
              <w:right w:val="nil"/>
            </w:tcBorders>
            <w:vAlign w:val="center"/>
            <w:hideMark/>
          </w:tcPr>
          <w:p w14:paraId="146F859C" w14:textId="4B51856C" w:rsidR="00EE405C" w:rsidRPr="00372745" w:rsidRDefault="00EE405C" w:rsidP="00040EDC">
            <w:pPr>
              <w:tabs>
                <w:tab w:val="left" w:pos="170"/>
              </w:tabs>
              <w:spacing w:after="0" w:line="276" w:lineRule="auto"/>
              <w:jc w:val="left"/>
              <w:rPr>
                <w:rFonts w:cs="Arial"/>
                <w:sz w:val="16"/>
                <w:szCs w:val="16"/>
              </w:rPr>
            </w:pPr>
            <w:r w:rsidRPr="00040EDC">
              <w:rPr>
                <w:rFonts w:cs="Arial"/>
                <w:sz w:val="16"/>
                <w:szCs w:val="16"/>
                <w:vertAlign w:val="superscript"/>
              </w:rPr>
              <w:t>4</w:t>
            </w:r>
            <w:r w:rsidR="00040EDC">
              <w:rPr>
                <w:rFonts w:cs="Arial"/>
                <w:sz w:val="16"/>
                <w:szCs w:val="16"/>
              </w:rPr>
              <w:tab/>
            </w:r>
            <w:r w:rsidRPr="00372745">
              <w:rPr>
                <w:rFonts w:cs="Arial"/>
                <w:sz w:val="16"/>
                <w:szCs w:val="16"/>
              </w:rPr>
              <w:t>Διαφορές των στοιχείων του πίνακα με τη ΔΥΕ Απριλίου οφείλονται σε στρογγυλοποιήσεις.</w:t>
            </w:r>
          </w:p>
        </w:tc>
      </w:tr>
    </w:tbl>
    <w:p w14:paraId="7338653F" w14:textId="77777777" w:rsidR="00013EFD" w:rsidRPr="000160CD" w:rsidRDefault="00013EFD" w:rsidP="00DC6F26">
      <w:pPr>
        <w:pStyle w:val="4"/>
        <w:keepNext w:val="0"/>
      </w:pPr>
      <w:bookmarkStart w:id="61" w:name="_Toc114142023"/>
      <w:bookmarkStart w:id="62" w:name="_Toc114142277"/>
      <w:bookmarkStart w:id="63" w:name="_Toc114142360"/>
      <w:bookmarkStart w:id="64" w:name="_Toc114142409"/>
      <w:bookmarkStart w:id="65" w:name="_Toc114149866"/>
      <w:bookmarkStart w:id="66" w:name="_Toc114219154"/>
      <w:bookmarkStart w:id="67" w:name="_Toc114219330"/>
      <w:bookmarkStart w:id="68" w:name="_Toc114219379"/>
      <w:bookmarkStart w:id="69" w:name="_Toc114219847"/>
      <w:bookmarkStart w:id="70" w:name="_Toc114234840"/>
      <w:bookmarkStart w:id="71" w:name="_Toc114489510"/>
      <w:bookmarkStart w:id="72" w:name="_Toc114489588"/>
      <w:bookmarkStart w:id="73" w:name="_Toc114489675"/>
      <w:bookmarkStart w:id="74" w:name="_Toc115338145"/>
      <w:bookmarkStart w:id="75" w:name="_Toc115358122"/>
      <w:bookmarkStart w:id="76" w:name="_Toc115424350"/>
      <w:bookmarkStart w:id="77" w:name="_Toc115435217"/>
      <w:bookmarkStart w:id="78" w:name="_Toc115437951"/>
      <w:bookmarkStart w:id="79" w:name="_Toc115526128"/>
      <w:bookmarkStart w:id="80" w:name="_Toc146645046"/>
      <w:bookmarkStart w:id="81" w:name="_Toc146819074"/>
      <w:bookmarkStart w:id="82" w:name="_Toc147015713"/>
      <w:bookmarkStart w:id="83" w:name="_Toc178751201"/>
      <w:bookmarkStart w:id="84" w:name="_Toc114142024"/>
      <w:bookmarkStart w:id="85" w:name="_Toc114142278"/>
      <w:bookmarkStart w:id="86" w:name="_Toc114142361"/>
      <w:bookmarkStart w:id="87" w:name="_Toc114142410"/>
      <w:bookmarkStart w:id="88" w:name="_Toc114149867"/>
      <w:bookmarkStart w:id="89" w:name="_Toc114219155"/>
      <w:bookmarkStart w:id="90" w:name="_Toc114219331"/>
      <w:bookmarkStart w:id="91" w:name="_Toc114219380"/>
      <w:bookmarkStart w:id="92" w:name="_Toc114219848"/>
      <w:bookmarkStart w:id="93" w:name="_Toc114234841"/>
      <w:bookmarkStart w:id="94" w:name="_Toc114489511"/>
      <w:bookmarkStart w:id="95" w:name="_Toc114489589"/>
      <w:bookmarkStart w:id="96" w:name="_Toc114489676"/>
      <w:bookmarkStart w:id="97" w:name="_Toc115338146"/>
      <w:bookmarkStart w:id="98" w:name="_Toc115358123"/>
      <w:bookmarkStart w:id="99" w:name="_Toc115424351"/>
      <w:bookmarkStart w:id="100" w:name="_Toc115435218"/>
      <w:bookmarkStart w:id="101" w:name="_Toc115437952"/>
      <w:bookmarkStart w:id="102" w:name="_Toc115526129"/>
      <w:bookmarkStart w:id="103" w:name="_Toc146645047"/>
      <w:bookmarkStart w:id="104" w:name="_Toc146819075"/>
      <w:bookmarkStart w:id="105" w:name="_Toc147015714"/>
      <w:bookmarkStart w:id="106" w:name="_Toc178751202"/>
      <w:bookmarkStart w:id="107" w:name="_Toc114142025"/>
      <w:bookmarkStart w:id="108" w:name="_Toc114142279"/>
      <w:bookmarkStart w:id="109" w:name="_Toc114142362"/>
      <w:bookmarkStart w:id="110" w:name="_Toc114142411"/>
      <w:bookmarkStart w:id="111" w:name="_Toc114149868"/>
      <w:bookmarkStart w:id="112" w:name="_Toc114219156"/>
      <w:bookmarkStart w:id="113" w:name="_Toc114219332"/>
      <w:bookmarkStart w:id="114" w:name="_Toc114219381"/>
      <w:bookmarkStart w:id="115" w:name="_Toc114219849"/>
      <w:bookmarkStart w:id="116" w:name="_Toc114234842"/>
      <w:bookmarkStart w:id="117" w:name="_Toc114489512"/>
      <w:bookmarkStart w:id="118" w:name="_Toc114489590"/>
      <w:bookmarkStart w:id="119" w:name="_Toc114489677"/>
      <w:bookmarkStart w:id="120" w:name="_Toc115338147"/>
      <w:bookmarkStart w:id="121" w:name="_Toc115358124"/>
      <w:bookmarkStart w:id="122" w:name="_Toc115424352"/>
      <w:bookmarkStart w:id="123" w:name="_Toc115435219"/>
      <w:bookmarkStart w:id="124" w:name="_Toc115437953"/>
      <w:bookmarkStart w:id="125" w:name="_Toc115526130"/>
      <w:bookmarkStart w:id="126" w:name="_Toc146645048"/>
      <w:bookmarkStart w:id="127" w:name="_Toc146819076"/>
      <w:bookmarkStart w:id="128" w:name="_Toc147015715"/>
      <w:bookmarkStart w:id="129" w:name="_Toc178751203"/>
      <w:bookmarkStart w:id="130" w:name="_Toc21057066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0160CD">
        <w:t>Κρατικός Προϋπολογισμός</w:t>
      </w:r>
      <w:bookmarkEnd w:id="130"/>
    </w:p>
    <w:p w14:paraId="55912409" w14:textId="77777777" w:rsidR="00476DAC" w:rsidRPr="009B5D05" w:rsidRDefault="00AF2EB7" w:rsidP="00DC6F26">
      <w:pPr>
        <w:pStyle w:val="5"/>
        <w:keepNext w:val="0"/>
        <w:numPr>
          <w:ilvl w:val="0"/>
          <w:numId w:val="0"/>
        </w:numPr>
        <w:spacing w:before="360" w:after="240"/>
        <w:rPr>
          <w:sz w:val="22"/>
        </w:rPr>
      </w:pPr>
      <w:bookmarkStart w:id="131" w:name="_Toc210570666"/>
      <w:r w:rsidRPr="009B5D05">
        <w:rPr>
          <w:bCs/>
          <w:sz w:val="22"/>
        </w:rPr>
        <w:t>Έσοδα</w:t>
      </w:r>
      <w:r w:rsidR="00476DAC" w:rsidRPr="009B5D05">
        <w:rPr>
          <w:bCs/>
          <w:sz w:val="22"/>
        </w:rPr>
        <w:t xml:space="preserve"> - </w:t>
      </w:r>
      <w:r w:rsidR="00476DAC" w:rsidRPr="009B5D05">
        <w:rPr>
          <w:sz w:val="22"/>
        </w:rPr>
        <w:t>Ανάλυση σε δημοσιονομική βάση</w:t>
      </w:r>
      <w:bookmarkEnd w:id="131"/>
    </w:p>
    <w:p w14:paraId="3C205ABE" w14:textId="631397A7" w:rsidR="009F0A47" w:rsidRPr="00544591" w:rsidRDefault="00325BBA" w:rsidP="00325BBA">
      <w:pPr>
        <w:rPr>
          <w:highlight w:val="yellow"/>
        </w:rPr>
      </w:pPr>
      <w:r w:rsidRPr="00732C87">
        <w:t xml:space="preserve">Τα καθαρά έσοδα του κρατικού προϋπολογισμού σε δημοσιονομική βάση, μετά την αφαίρεση των επιστροφών φόρων, εκτιμάται ότι θα διαμορφωθούν σε </w:t>
      </w:r>
      <w:r>
        <w:t>76.</w:t>
      </w:r>
      <w:r w:rsidRPr="001F7D95">
        <w:t>8</w:t>
      </w:r>
      <w:r w:rsidR="00444F00">
        <w:t>26</w:t>
      </w:r>
      <w:r w:rsidRPr="00732C87">
        <w:t xml:space="preserve"> εκατ. ευρώ, παρουσιάζοντας αύξηση κατά 2.</w:t>
      </w:r>
      <w:r w:rsidRPr="001F7D95">
        <w:t>2</w:t>
      </w:r>
      <w:r w:rsidR="00444F00">
        <w:t>53</w:t>
      </w:r>
      <w:r w:rsidRPr="00732C87">
        <w:t xml:space="preserve"> εκατ. ευρώ ή </w:t>
      </w:r>
      <w:r w:rsidRPr="001F7D95">
        <w:t>3</w:t>
      </w:r>
      <w:r w:rsidRPr="00732C87">
        <w:t>,</w:t>
      </w:r>
      <w:r w:rsidRPr="001F7D95">
        <w:t>0</w:t>
      </w:r>
      <w:r w:rsidRPr="00732C87">
        <w:t>% έναντι του στόχου του προϋπολογισμού 202</w:t>
      </w:r>
      <w:r>
        <w:t>5</w:t>
      </w:r>
      <w:r w:rsidRPr="00732C87">
        <w:t>. Αναλυτικότερα:</w:t>
      </w:r>
    </w:p>
    <w:p w14:paraId="4045ECF6" w14:textId="77777777" w:rsidR="00AF2EB7" w:rsidRPr="00325BBA" w:rsidRDefault="00AF2EB7" w:rsidP="00D96226">
      <w:pPr>
        <w:spacing w:before="240"/>
        <w:rPr>
          <w:rFonts w:cs="Arial"/>
          <w:b/>
          <w:szCs w:val="22"/>
        </w:rPr>
      </w:pPr>
      <w:r w:rsidRPr="00325BBA">
        <w:rPr>
          <w:rFonts w:cs="Arial"/>
          <w:b/>
          <w:szCs w:val="22"/>
        </w:rPr>
        <w:t>Φόροι</w:t>
      </w:r>
    </w:p>
    <w:p w14:paraId="55A06D36" w14:textId="0D35ECAE" w:rsidR="00836F3D" w:rsidRPr="00325BBA" w:rsidRDefault="00325BBA" w:rsidP="00325BBA">
      <w:pPr>
        <w:spacing w:before="120"/>
      </w:pPr>
      <w:r w:rsidRPr="00732C87">
        <w:t xml:space="preserve">Τα έσοδα από φόρους αναμένεται να ανέλθουν στο ύψος των </w:t>
      </w:r>
      <w:r>
        <w:t>70.</w:t>
      </w:r>
      <w:r w:rsidRPr="001F7D95">
        <w:t>8</w:t>
      </w:r>
      <w:r w:rsidR="00444F00">
        <w:t>78</w:t>
      </w:r>
      <w:r w:rsidRPr="00732C87">
        <w:t xml:space="preserve"> εκατ. ευρώ, αυξημένα κατά </w:t>
      </w:r>
      <w:r>
        <w:t>1.</w:t>
      </w:r>
      <w:r w:rsidRPr="001F7D95">
        <w:t>6</w:t>
      </w:r>
      <w:r w:rsidR="00444F00">
        <w:t>75</w:t>
      </w:r>
      <w:r w:rsidRPr="00732C87">
        <w:t xml:space="preserve"> εκατ. ευρώ ή </w:t>
      </w:r>
      <w:r>
        <w:t>2</w:t>
      </w:r>
      <w:r w:rsidRPr="00732C87">
        <w:t>,</w:t>
      </w:r>
      <w:r w:rsidRPr="001F7D95">
        <w:t>4</w:t>
      </w:r>
      <w:r w:rsidRPr="00732C87">
        <w:t>% έναντι του στόχου του προϋπολογισμού 202</w:t>
      </w:r>
      <w:r>
        <w:t>5</w:t>
      </w:r>
      <w:r w:rsidRPr="00732C87">
        <w:t>. Η αύξηση αυτή οφείλεται κυρίως: (α) στ</w:t>
      </w:r>
      <w:r w:rsidR="004E4B92">
        <w:t xml:space="preserve">ον περιορισμό </w:t>
      </w:r>
      <w:r w:rsidRPr="00732C87">
        <w:t xml:space="preserve">της φοροδιαφυγής σε συνδυασμό με την αύξηση των ηλεκτρονικών συναλλαγών </w:t>
      </w:r>
      <w:r>
        <w:t xml:space="preserve">που επηρεάζει κυρίως τα έσοδα από </w:t>
      </w:r>
      <w:r w:rsidR="00773947">
        <w:t xml:space="preserve">τον </w:t>
      </w:r>
      <w:r w:rsidR="00534476" w:rsidRPr="00732C87">
        <w:t>Φ</w:t>
      </w:r>
      <w:r>
        <w:t xml:space="preserve">ΠΑ (αύξηση κατά </w:t>
      </w:r>
      <w:r w:rsidRPr="001F7D95">
        <w:t>857</w:t>
      </w:r>
      <w:r>
        <w:t xml:space="preserve"> εκατ. ευρώ σε σχέση με τον </w:t>
      </w:r>
      <w:r>
        <w:lastRenderedPageBreak/>
        <w:t>προϋπολογισμό)</w:t>
      </w:r>
      <w:r w:rsidRPr="00570ACB">
        <w:t xml:space="preserve"> και</w:t>
      </w:r>
      <w:r w:rsidRPr="00732C87">
        <w:t xml:space="preserve"> (β) στην αύξηση των αμοιβών, γεγονός που επηρεάζει κυρίως τα έσοδα από τον φόρο εισοδήματος φυσικών προσώπων (αύξηση </w:t>
      </w:r>
      <w:r w:rsidRPr="006566C3">
        <w:t xml:space="preserve">κατά </w:t>
      </w:r>
      <w:r>
        <w:t>6</w:t>
      </w:r>
      <w:r w:rsidR="00444F00">
        <w:t>33</w:t>
      </w:r>
      <w:r>
        <w:t xml:space="preserve"> εκατ.</w:t>
      </w:r>
      <w:r w:rsidRPr="006566C3">
        <w:t xml:space="preserve"> ευρώ σε σχέση με τον προϋπολογισμό). Σημειώνεται ότι </w:t>
      </w:r>
      <w:r w:rsidR="00FA1D26">
        <w:t>σε σχέση με τις προβλέψεις του προϋπολογισμού παρατηρείται σημαντική αύξηση των αμοιβών εξαρτημένης εργασίας, η οποία εκτιμάται σε 6,3% το 2025 έναντι 3,4%</w:t>
      </w:r>
      <w:r w:rsidR="001515C2">
        <w:t>,</w:t>
      </w:r>
      <w:r w:rsidR="00FA1D26">
        <w:t xml:space="preserve"> που ήταν η σχετική πρόβλεψη. Επιπλέον, η πραγματική ιδιωτική κατανάλωση αναμένεται να αυξηθεί το 2025 κατά 1,9% έναντι 1,6%</w:t>
      </w:r>
      <w:r w:rsidR="001515C2">
        <w:t>,</w:t>
      </w:r>
      <w:r w:rsidR="00FA1D26">
        <w:t xml:space="preserve"> που ήταν η πρόβλεψη του προϋπολογισμού, ενώ οι τουριστικές εισπράξεις σημείωσαν σημαντική άνοδο κατά 12,5% το επτάμηνο του 2025 έναντι του 2024, </w:t>
      </w:r>
      <w:r w:rsidR="001515C2">
        <w:t xml:space="preserve">με αποτέλεσμα να </w:t>
      </w:r>
      <w:r w:rsidR="00FA1D26">
        <w:t>επηρεάζ</w:t>
      </w:r>
      <w:r w:rsidR="001515C2">
        <w:t>ονται</w:t>
      </w:r>
      <w:r w:rsidR="00FA1D26">
        <w:t xml:space="preserve"> θετικά τα φορολογικά έσοδα. </w:t>
      </w:r>
      <w:r w:rsidRPr="00732C87">
        <w:t>Πιο συγκεκριμένα:</w:t>
      </w:r>
    </w:p>
    <w:p w14:paraId="068A9447" w14:textId="77777777" w:rsidR="00F62516" w:rsidRPr="00325BBA" w:rsidRDefault="00F62516" w:rsidP="00D96226">
      <w:pPr>
        <w:ind w:left="284"/>
        <w:rPr>
          <w:rFonts w:eastAsia="Calibri" w:cs="Arial"/>
          <w:b/>
          <w:i/>
          <w:szCs w:val="20"/>
          <w:lang w:val="x-none"/>
        </w:rPr>
      </w:pPr>
      <w:r w:rsidRPr="00325BBA">
        <w:rPr>
          <w:rFonts w:eastAsia="Calibri" w:cs="Arial"/>
          <w:b/>
          <w:i/>
          <w:szCs w:val="20"/>
          <w:lang w:val="x-none"/>
        </w:rPr>
        <w:t>Φόροι επί αγαθών και υπηρεσιών</w:t>
      </w:r>
    </w:p>
    <w:p w14:paraId="0D670B3D" w14:textId="30AB02C8" w:rsidR="009F0A47" w:rsidRPr="00544591" w:rsidRDefault="00325BBA" w:rsidP="00325BBA">
      <w:pPr>
        <w:spacing w:before="120"/>
        <w:ind w:left="284"/>
        <w:rPr>
          <w:highlight w:val="yellow"/>
        </w:rPr>
      </w:pPr>
      <w:r w:rsidRPr="00732C87">
        <w:t xml:space="preserve">Στην κατηγορία αυτή περιλαμβάνονται κυρίως ο ΦΠΑ, οι Ειδικοί Φόροι Κατανάλωσης (ΕΦΚ), </w:t>
      </w:r>
      <w:r w:rsidR="001C64E1">
        <w:t xml:space="preserve">το ψηφιακό τέλος συναλλαγής </w:t>
      </w:r>
      <w:r w:rsidRPr="00732C87">
        <w:t xml:space="preserve">και οι φόροι επί χρηματοοικονομικών και κεφαλαιακών συναλλαγών. Οι φόροι επί αγαθών και υπηρεσιών εκτιμάται ότι θα διαμορφωθούν στο ύψος των </w:t>
      </w:r>
      <w:r w:rsidRPr="001F7D95">
        <w:t>39.</w:t>
      </w:r>
      <w:r w:rsidR="00D8386B">
        <w:t>071</w:t>
      </w:r>
      <w:r w:rsidRPr="00732C87">
        <w:t xml:space="preserve"> εκατ. ευρώ, αυξημένοι κατά </w:t>
      </w:r>
      <w:r w:rsidRPr="001F7D95">
        <w:t>1.05</w:t>
      </w:r>
      <w:r w:rsidR="00D8386B">
        <w:t>2</w:t>
      </w:r>
      <w:r w:rsidRPr="00732C87">
        <w:t xml:space="preserve"> εκατ. ευρώ ή </w:t>
      </w:r>
      <w:r>
        <w:t>2</w:t>
      </w:r>
      <w:r w:rsidRPr="00732C87">
        <w:t>,</w:t>
      </w:r>
      <w:r w:rsidRPr="001F7D95">
        <w:t>8</w:t>
      </w:r>
      <w:r w:rsidRPr="00732C87">
        <w:t xml:space="preserve">% έναντι του στόχου του </w:t>
      </w:r>
      <w:r w:rsidRPr="006566C3">
        <w:t>προϋπολογισμού 202</w:t>
      </w:r>
      <w:r>
        <w:t>5</w:t>
      </w:r>
      <w:r w:rsidRPr="006566C3">
        <w:t xml:space="preserve">. Ειδικότερα, τα έσοδα από τον ΦΠΑ αναμένεται να ανέλθουν στο ποσό των </w:t>
      </w:r>
      <w:r>
        <w:t>27.</w:t>
      </w:r>
      <w:r w:rsidRPr="001F7D95">
        <w:t>530</w:t>
      </w:r>
      <w:r w:rsidRPr="006566C3">
        <w:t xml:space="preserve"> εκατ. ευρώ, αυξημένα</w:t>
      </w:r>
      <w:r w:rsidRPr="00732C87">
        <w:t xml:space="preserve"> κατά </w:t>
      </w:r>
      <w:r w:rsidRPr="001F7D95">
        <w:t>857</w:t>
      </w:r>
      <w:r w:rsidRPr="00732C87">
        <w:t xml:space="preserve"> εκατ. ευρώ από τον στόχο, ενώ τα έσοδα από τους ΕΦΚ εκτιμώνται στο ποσό των 7.</w:t>
      </w:r>
      <w:r>
        <w:t>394</w:t>
      </w:r>
      <w:r w:rsidRPr="00732C87">
        <w:t xml:space="preserve"> εκατ. ευρώ, αυξημένα κατά 1</w:t>
      </w:r>
      <w:r>
        <w:t>19</w:t>
      </w:r>
      <w:r w:rsidRPr="00732C87">
        <w:t xml:space="preserve"> εκατ. ευρώ έναντι του στόχου.</w:t>
      </w:r>
    </w:p>
    <w:p w14:paraId="4526D36A" w14:textId="77777777" w:rsidR="00F62516" w:rsidRPr="00325BBA" w:rsidRDefault="00F62516" w:rsidP="00D96226">
      <w:pPr>
        <w:ind w:left="284"/>
        <w:rPr>
          <w:rFonts w:eastAsia="Calibri" w:cs="Arial"/>
          <w:b/>
          <w:i/>
          <w:szCs w:val="20"/>
          <w:lang w:val="x-none"/>
        </w:rPr>
      </w:pPr>
      <w:r w:rsidRPr="00325BBA">
        <w:rPr>
          <w:rFonts w:eastAsia="Calibri" w:cs="Arial"/>
          <w:b/>
          <w:i/>
          <w:szCs w:val="20"/>
          <w:lang w:val="x-none"/>
        </w:rPr>
        <w:t>Φόροι και δασμοί επί εισαγωγών</w:t>
      </w:r>
    </w:p>
    <w:p w14:paraId="7D896272" w14:textId="77777777" w:rsidR="006202E7" w:rsidRPr="00325BBA" w:rsidRDefault="00325BBA" w:rsidP="00325BBA">
      <w:pPr>
        <w:spacing w:before="120"/>
        <w:ind w:left="284"/>
        <w:rPr>
          <w:highlight w:val="yellow"/>
        </w:rPr>
      </w:pPr>
      <w:r w:rsidRPr="00732C87">
        <w:t xml:space="preserve">Στην κατηγορία αυτή περιλαμβάνονται κυρίως οι δασμοί και τα λοιπά τέλη που επιβάλλονται στις εισαγωγές από κράτη μη μέλη της ΕΕ με βάση το κοινό τελωνειακό δασμολόγιο. Εκτιμώνται έσοδα </w:t>
      </w:r>
      <w:r>
        <w:t>400</w:t>
      </w:r>
      <w:r w:rsidRPr="00732C87">
        <w:t xml:space="preserve"> εκατ. ευρώ, </w:t>
      </w:r>
      <w:r>
        <w:t>αυξη</w:t>
      </w:r>
      <w:r w:rsidRPr="00732C87">
        <w:t xml:space="preserve">μένα κατά </w:t>
      </w:r>
      <w:r>
        <w:t>3</w:t>
      </w:r>
      <w:r w:rsidRPr="00732C87">
        <w:t>8 εκατ. ευρώ έναντι του στόχου του προϋπολογισμού 202</w:t>
      </w:r>
      <w:r>
        <w:t>5</w:t>
      </w:r>
      <w:r w:rsidRPr="00732C87">
        <w:t>.</w:t>
      </w:r>
    </w:p>
    <w:p w14:paraId="1A92A08F" w14:textId="77777777" w:rsidR="00F62516" w:rsidRPr="00325BBA" w:rsidRDefault="00F62516" w:rsidP="00D96226">
      <w:pPr>
        <w:ind w:left="284"/>
        <w:rPr>
          <w:rFonts w:eastAsia="Calibri" w:cs="Arial"/>
          <w:b/>
          <w:i/>
          <w:szCs w:val="20"/>
          <w:lang w:val="x-none"/>
        </w:rPr>
      </w:pPr>
      <w:r w:rsidRPr="00325BBA">
        <w:rPr>
          <w:rFonts w:eastAsia="Calibri" w:cs="Arial"/>
          <w:b/>
          <w:i/>
          <w:szCs w:val="20"/>
          <w:lang w:val="x-none"/>
        </w:rPr>
        <w:t>Τακτικοί φόροι ακίνητης περιουσίας</w:t>
      </w:r>
    </w:p>
    <w:p w14:paraId="06264C38" w14:textId="005B99F2" w:rsidR="006202E7" w:rsidRPr="00544591" w:rsidRDefault="00325BBA" w:rsidP="00D96226">
      <w:pPr>
        <w:ind w:left="284"/>
        <w:rPr>
          <w:highlight w:val="yellow"/>
          <w:lang w:val="x-none"/>
        </w:rPr>
      </w:pPr>
      <w:r w:rsidRPr="00F61F17">
        <w:t xml:space="preserve">Οι τακτικοί φόροι ακίνητης περιουσίας, </w:t>
      </w:r>
      <w:r w:rsidR="00534476">
        <w:t>οι οποίοι</w:t>
      </w:r>
      <w:r w:rsidRPr="00F61F17">
        <w:t xml:space="preserve"> περιλαμβάνουν κυρίως τον </w:t>
      </w:r>
      <w:r w:rsidRPr="00732C87">
        <w:t>ΕΝΦΙΑ</w:t>
      </w:r>
      <w:r>
        <w:t>,</w:t>
      </w:r>
      <w:r w:rsidRPr="00B02F7D">
        <w:t xml:space="preserve"> αναμένεται να διαμορφωθούν στο ύψος των 2.4</w:t>
      </w:r>
      <w:r>
        <w:t>11</w:t>
      </w:r>
      <w:r w:rsidRPr="00B02F7D">
        <w:t xml:space="preserve"> εκατ. ευρώ, </w:t>
      </w:r>
      <w:r w:rsidR="00534476">
        <w:t xml:space="preserve">παρουσιάζοντας αύξηση κατά </w:t>
      </w:r>
      <w:r>
        <w:t>18</w:t>
      </w:r>
      <w:r w:rsidRPr="00F61F17">
        <w:t xml:space="preserve"> εκατ. ευρώ έναντι του στόχου του προϋπολογισμού 202</w:t>
      </w:r>
      <w:r>
        <w:t>5</w:t>
      </w:r>
      <w:r w:rsidR="00534476">
        <w:t>. Η εν λόγω</w:t>
      </w:r>
      <w:r w:rsidR="002970B0">
        <w:t xml:space="preserve"> αύξηση </w:t>
      </w:r>
      <w:r>
        <w:t>οφείλεται κυρίως στη μικρή αύξηση (κατά 0,3%) στο ποσοστό εισπραξιμότητας του ΕΝΦΙΑ.</w:t>
      </w:r>
    </w:p>
    <w:p w14:paraId="0646B1A7" w14:textId="77777777" w:rsidR="00F62516" w:rsidRPr="00BF43B8" w:rsidRDefault="00F62516" w:rsidP="00D96226">
      <w:pPr>
        <w:ind w:left="284"/>
        <w:rPr>
          <w:rFonts w:eastAsia="Calibri" w:cs="Arial"/>
          <w:b/>
          <w:i/>
          <w:szCs w:val="20"/>
          <w:lang w:val="x-none"/>
        </w:rPr>
      </w:pPr>
      <w:r w:rsidRPr="00BF43B8">
        <w:rPr>
          <w:rFonts w:eastAsia="Calibri" w:cs="Arial"/>
          <w:b/>
          <w:i/>
          <w:szCs w:val="20"/>
          <w:lang w:val="x-none"/>
        </w:rPr>
        <w:t>Λοιποί φόροι επί παραγωγής</w:t>
      </w:r>
    </w:p>
    <w:p w14:paraId="6119F4B6" w14:textId="77777777" w:rsidR="006202E7" w:rsidRPr="00544591" w:rsidRDefault="00BF43B8" w:rsidP="00DC6F26">
      <w:pPr>
        <w:spacing w:before="120"/>
        <w:ind w:left="284"/>
        <w:rPr>
          <w:highlight w:val="yellow"/>
        </w:rPr>
      </w:pPr>
      <w:r w:rsidRPr="00F61F17">
        <w:t xml:space="preserve">Τα έσοδα της κατηγορίας αυτής προέρχονται </w:t>
      </w:r>
      <w:r>
        <w:t xml:space="preserve">κυρίως </w:t>
      </w:r>
      <w:r w:rsidRPr="00F61F17">
        <w:t>από το τέλος επιτηδεύματος</w:t>
      </w:r>
      <w:r>
        <w:t xml:space="preserve"> καθώς και από λοιπές επιχειρηματικές και επαγγελματικές άδειες</w:t>
      </w:r>
      <w:r w:rsidRPr="00F61F17">
        <w:t xml:space="preserve">. Οι λοιποί φόροι </w:t>
      </w:r>
      <w:r>
        <w:t xml:space="preserve">επί </w:t>
      </w:r>
      <w:r w:rsidRPr="00F61F17">
        <w:t xml:space="preserve">παραγωγής εκτιμάται ότι θα διαμορφωθούν σε </w:t>
      </w:r>
      <w:r w:rsidRPr="001F7D95">
        <w:t>495</w:t>
      </w:r>
      <w:r w:rsidRPr="00F61F17">
        <w:t xml:space="preserve"> εκατ. ευρώ, αυξημένοι κατά </w:t>
      </w:r>
      <w:r w:rsidRPr="001F7D95">
        <w:t>35</w:t>
      </w:r>
      <w:r w:rsidRPr="00F61F17">
        <w:t xml:space="preserve"> εκατ. ευρώ έναντι του στόχου</w:t>
      </w:r>
      <w:r w:rsidRPr="000F76C1">
        <w:t xml:space="preserve"> </w:t>
      </w:r>
      <w:r>
        <w:t>του προϋπολογισμού 202</w:t>
      </w:r>
      <w:r w:rsidRPr="005B3689">
        <w:t>5</w:t>
      </w:r>
      <w:r w:rsidRPr="001F7D95">
        <w:t>.</w:t>
      </w:r>
    </w:p>
    <w:p w14:paraId="3BCDC7EE" w14:textId="77777777" w:rsidR="00F62516" w:rsidRPr="006533C8" w:rsidRDefault="00F62516" w:rsidP="00DC6F26">
      <w:pPr>
        <w:ind w:left="284"/>
        <w:rPr>
          <w:rFonts w:eastAsia="Calibri" w:cs="Arial"/>
          <w:b/>
          <w:i/>
          <w:szCs w:val="20"/>
          <w:lang w:val="x-none"/>
        </w:rPr>
      </w:pPr>
      <w:r w:rsidRPr="006533C8">
        <w:rPr>
          <w:rFonts w:eastAsia="Calibri" w:cs="Arial"/>
          <w:b/>
          <w:i/>
          <w:szCs w:val="20"/>
          <w:lang w:val="x-none"/>
        </w:rPr>
        <w:t>Φόρος εισοδήματος</w:t>
      </w:r>
    </w:p>
    <w:p w14:paraId="607BB8D2" w14:textId="4C49DC58" w:rsidR="006202E7" w:rsidRPr="00544591" w:rsidRDefault="006533C8" w:rsidP="00DC6F26">
      <w:pPr>
        <w:spacing w:before="120"/>
        <w:ind w:left="284"/>
        <w:rPr>
          <w:highlight w:val="yellow"/>
        </w:rPr>
      </w:pPr>
      <w:r w:rsidRPr="00732C87">
        <w:t xml:space="preserve">Το ύψος του φόρου εισοδήματος (φυσικών προσώπων, νομικών προσώπων και λοιπών κατηγοριών) αναμένεται να διαμορφωθεί στο ποσό των </w:t>
      </w:r>
      <w:r>
        <w:t>25.</w:t>
      </w:r>
      <w:r w:rsidRPr="001F7D95">
        <w:t>9</w:t>
      </w:r>
      <w:r w:rsidR="00D8386B">
        <w:t>69</w:t>
      </w:r>
      <w:r w:rsidRPr="00732C87">
        <w:t xml:space="preserve"> εκατ. ευρώ, παρουσιάζοντας αύξηση κατά </w:t>
      </w:r>
      <w:r w:rsidRPr="001F7D95">
        <w:t>7</w:t>
      </w:r>
      <w:r w:rsidR="00D8386B">
        <w:t>56</w:t>
      </w:r>
      <w:r w:rsidRPr="00732C87">
        <w:t xml:space="preserve"> εκατ. ευρώ ή </w:t>
      </w:r>
      <w:r w:rsidR="00D8386B">
        <w:t>3</w:t>
      </w:r>
      <w:r w:rsidRPr="00732C87">
        <w:t>,</w:t>
      </w:r>
      <w:r w:rsidR="00D8386B">
        <w:t>0</w:t>
      </w:r>
      <w:r w:rsidRPr="00732C87">
        <w:t>% έναντι του στόχου του προϋπολογισμού 202</w:t>
      </w:r>
      <w:r>
        <w:t>5</w:t>
      </w:r>
      <w:r w:rsidRPr="00732C87">
        <w:t xml:space="preserve">. Ειδικότερα, εκτιμάται ότι τα έσοδα από τον φόρο εισοδήματος φυσικών προσώπων θα ανέλθουν σε </w:t>
      </w:r>
      <w:r>
        <w:t>15.8</w:t>
      </w:r>
      <w:r w:rsidR="00D8386B">
        <w:t>78</w:t>
      </w:r>
      <w:r w:rsidRPr="00732C87">
        <w:t xml:space="preserve"> εκατ. ευρώ, αυξημένα κατά </w:t>
      </w:r>
      <w:r>
        <w:t>6</w:t>
      </w:r>
      <w:r w:rsidR="00D8386B">
        <w:t>33</w:t>
      </w:r>
      <w:r w:rsidRPr="00732C87">
        <w:t xml:space="preserve"> εκατ. ευρώ από τον στόχο</w:t>
      </w:r>
      <w:r>
        <w:t xml:space="preserve"> ή 4,</w:t>
      </w:r>
      <w:r w:rsidR="00D8386B">
        <w:t>2</w:t>
      </w:r>
      <w:r>
        <w:t>%</w:t>
      </w:r>
      <w:r w:rsidRPr="00732C87">
        <w:t>, κυρίως λόγω της αύξησης των μισθών και των συντάξεων καθώς και της μείωσης της ανεργίας. Τα έσοδα από τον φόρο εισοδήματος νομικών προσώπων εκτιμώνται στο ποσό των 7.</w:t>
      </w:r>
      <w:r w:rsidRPr="001F7D95">
        <w:t>800</w:t>
      </w:r>
      <w:r w:rsidRPr="00732C87">
        <w:t xml:space="preserve"> εκατ. ευρώ, </w:t>
      </w:r>
      <w:r>
        <w:t>μειωμένα</w:t>
      </w:r>
      <w:r w:rsidRPr="00732C87">
        <w:t xml:space="preserve"> κατά </w:t>
      </w:r>
      <w:r w:rsidRPr="001F7D95">
        <w:t>171</w:t>
      </w:r>
      <w:r w:rsidRPr="00732C87">
        <w:t xml:space="preserve"> εκατ. ευρώ από τον στόχο ή </w:t>
      </w:r>
      <w:r w:rsidRPr="001F7D95">
        <w:t>2</w:t>
      </w:r>
      <w:r>
        <w:t>,</w:t>
      </w:r>
      <w:r w:rsidRPr="001F7D95">
        <w:t>1</w:t>
      </w:r>
      <w:r w:rsidRPr="00732C87">
        <w:t>%</w:t>
      </w:r>
      <w:r>
        <w:t>, λόγω χαμηλότερου ρυθμού αύξησης των κερδών των επιχειρήσεων κατά το φορολογικό έτος 2024</w:t>
      </w:r>
      <w:r w:rsidR="00E74377">
        <w:t xml:space="preserve">, τα οποία </w:t>
      </w:r>
      <w:r>
        <w:t>δηλώθηκαν στο τρέχον έτος.</w:t>
      </w:r>
    </w:p>
    <w:p w14:paraId="056E3572" w14:textId="77777777" w:rsidR="00F62516" w:rsidRPr="00BC3F59" w:rsidRDefault="00F62516" w:rsidP="00DC6F26">
      <w:pPr>
        <w:ind w:left="284"/>
        <w:rPr>
          <w:rFonts w:eastAsia="Calibri" w:cs="Arial"/>
          <w:b/>
          <w:i/>
          <w:szCs w:val="20"/>
          <w:lang w:val="x-none"/>
        </w:rPr>
      </w:pPr>
      <w:r w:rsidRPr="00BC3F59">
        <w:rPr>
          <w:rFonts w:eastAsia="Calibri" w:cs="Arial"/>
          <w:b/>
          <w:i/>
          <w:szCs w:val="20"/>
          <w:lang w:val="x-none"/>
        </w:rPr>
        <w:t>Φόροι κεφαλαίου</w:t>
      </w:r>
    </w:p>
    <w:p w14:paraId="70051221" w14:textId="77777777" w:rsidR="006202E7" w:rsidRPr="00BC3F59" w:rsidRDefault="00BC3F59" w:rsidP="00DC6F26">
      <w:pPr>
        <w:spacing w:before="120"/>
        <w:ind w:left="284"/>
      </w:pPr>
      <w:r w:rsidRPr="00732C87">
        <w:t xml:space="preserve">Στην κατηγορία αυτή περιλαμβάνονται οι φόροι και τα τέλη κληρονομιών, δωρεών, γονικών και λοιπών παροχών. Εκτιμώνται έσοδα </w:t>
      </w:r>
      <w:r>
        <w:t xml:space="preserve">ύψους </w:t>
      </w:r>
      <w:r w:rsidRPr="00732C87">
        <w:t>2</w:t>
      </w:r>
      <w:r>
        <w:t>50</w:t>
      </w:r>
      <w:r w:rsidRPr="00732C87">
        <w:t xml:space="preserve"> εκατ. ευρώ, </w:t>
      </w:r>
      <w:r>
        <w:t>αυξη</w:t>
      </w:r>
      <w:r w:rsidRPr="00732C87">
        <w:t xml:space="preserve">μένα κατά </w:t>
      </w:r>
      <w:r>
        <w:t>15</w:t>
      </w:r>
      <w:r w:rsidRPr="00732C87">
        <w:t xml:space="preserve"> εκατ. ευρώ έναντι του στόχου του προϋπολογισμού 202</w:t>
      </w:r>
      <w:r>
        <w:t>5</w:t>
      </w:r>
      <w:r w:rsidRPr="00732C87">
        <w:t>.</w:t>
      </w:r>
    </w:p>
    <w:p w14:paraId="0D957347" w14:textId="77777777" w:rsidR="00F62516" w:rsidRPr="001A22C7" w:rsidRDefault="00F62516" w:rsidP="00D96226">
      <w:pPr>
        <w:ind w:left="284"/>
        <w:rPr>
          <w:rFonts w:eastAsia="Calibri" w:cs="Arial"/>
          <w:b/>
          <w:i/>
          <w:szCs w:val="20"/>
          <w:lang w:val="x-none"/>
        </w:rPr>
      </w:pPr>
      <w:r w:rsidRPr="001A22C7">
        <w:rPr>
          <w:rFonts w:eastAsia="Calibri" w:cs="Arial"/>
          <w:b/>
          <w:i/>
          <w:szCs w:val="20"/>
          <w:lang w:val="x-none"/>
        </w:rPr>
        <w:lastRenderedPageBreak/>
        <w:t>Λοιποί τρέχοντες φόροι</w:t>
      </w:r>
    </w:p>
    <w:p w14:paraId="397424DD" w14:textId="77777777" w:rsidR="006202E7" w:rsidRPr="00544591" w:rsidRDefault="001A22C7" w:rsidP="00D13413">
      <w:pPr>
        <w:spacing w:before="120"/>
        <w:ind w:left="284"/>
        <w:rPr>
          <w:highlight w:val="yellow"/>
        </w:rPr>
      </w:pPr>
      <w:r w:rsidRPr="00732C87">
        <w:t>Η κατηγορία αυτή περιλαμβάνει κυρίως τα τέλη κυκλοφορίας οχημάτων και τα διάφορα μη ταξινομημένα φορολογικά έσοδα. Τα έσοδα από τους λοιπούς τρέχοντες φόρους αναμένεται να ανέλθουν στο ποσό των 2.</w:t>
      </w:r>
      <w:r>
        <w:t>282</w:t>
      </w:r>
      <w:r w:rsidRPr="00732C87">
        <w:t xml:space="preserve"> εκατ. ευρώ, </w:t>
      </w:r>
      <w:r>
        <w:t>μειω</w:t>
      </w:r>
      <w:r w:rsidRPr="00732C87">
        <w:t xml:space="preserve">μένα κατά </w:t>
      </w:r>
      <w:r>
        <w:t>240</w:t>
      </w:r>
      <w:r w:rsidRPr="00732C87">
        <w:t xml:space="preserve"> εκατ. ευρώ έναντι του στόχου</w:t>
      </w:r>
      <w:r>
        <w:t xml:space="preserve"> του προϋπολογισμού 2025, κυρίως λόγω της εκτιμώμενης μείωσης κατά 189 εκατ. ευρώ των εσόδων που καταχωρ</w:t>
      </w:r>
      <w:r w:rsidR="00E74377">
        <w:t xml:space="preserve">ίζονται </w:t>
      </w:r>
      <w:r>
        <w:t>στα μη ταξινομημένα φορολογικά έσοδα.</w:t>
      </w:r>
    </w:p>
    <w:p w14:paraId="37B7035C" w14:textId="77777777" w:rsidR="00AF2EB7" w:rsidRPr="003B7BEC" w:rsidRDefault="00AF2EB7" w:rsidP="00D96226">
      <w:pPr>
        <w:spacing w:before="240"/>
        <w:rPr>
          <w:rFonts w:cs="Arial"/>
          <w:b/>
          <w:szCs w:val="22"/>
        </w:rPr>
      </w:pPr>
      <w:r w:rsidRPr="003B7BEC">
        <w:rPr>
          <w:rFonts w:cs="Arial"/>
          <w:b/>
          <w:szCs w:val="22"/>
        </w:rPr>
        <w:t>Κοινωνικές εισφορές</w:t>
      </w:r>
    </w:p>
    <w:p w14:paraId="0308A86F" w14:textId="77777777" w:rsidR="006202E7" w:rsidRPr="00544591" w:rsidRDefault="003B7BEC" w:rsidP="003B7BEC">
      <w:pPr>
        <w:spacing w:before="120"/>
        <w:rPr>
          <w:highlight w:val="yellow"/>
        </w:rPr>
      </w:pPr>
      <w:r w:rsidRPr="00732C87">
        <w:t xml:space="preserve">Η κατηγορία αυτή περιλαμβάνει κυρίως τις εισφορές των εργαζόμενων για παροχές υγείας από το Δημόσιο. Εκτιμώνται έσοδα </w:t>
      </w:r>
      <w:r>
        <w:t>61</w:t>
      </w:r>
      <w:r w:rsidRPr="00732C87">
        <w:t xml:space="preserve"> εκατ. ευρώ, </w:t>
      </w:r>
      <w:r>
        <w:t>χωρίς ιδιαίτερη απόκλιση από το</w:t>
      </w:r>
      <w:r w:rsidR="005A78BE">
        <w:t>ν</w:t>
      </w:r>
      <w:r>
        <w:t xml:space="preserve"> στόχο.</w:t>
      </w:r>
    </w:p>
    <w:p w14:paraId="7E324CCA" w14:textId="77777777" w:rsidR="00AF2EB7" w:rsidRPr="00982470" w:rsidRDefault="00AF2EB7" w:rsidP="00D96226">
      <w:pPr>
        <w:spacing w:before="240"/>
        <w:rPr>
          <w:rFonts w:cs="Arial"/>
          <w:b/>
          <w:szCs w:val="22"/>
        </w:rPr>
      </w:pPr>
      <w:r w:rsidRPr="00982470">
        <w:rPr>
          <w:rFonts w:cs="Arial"/>
          <w:b/>
          <w:szCs w:val="22"/>
        </w:rPr>
        <w:t>Μεταβιβάσεις</w:t>
      </w:r>
    </w:p>
    <w:p w14:paraId="6AB8D080" w14:textId="77777777" w:rsidR="00982470" w:rsidRPr="00732C87" w:rsidRDefault="00982470" w:rsidP="00982470">
      <w:pPr>
        <w:spacing w:before="120"/>
        <w:rPr>
          <w:highlight w:val="yellow"/>
        </w:rPr>
      </w:pPr>
      <w:r w:rsidRPr="00732C87">
        <w:t>Σε αυτή την κατηγορία περιλαμβάνονται κυρίως τα έσοδα από:</w:t>
      </w:r>
    </w:p>
    <w:p w14:paraId="4F23BDA7" w14:textId="77777777" w:rsidR="00982470" w:rsidRDefault="00982470" w:rsidP="00982470">
      <w:pPr>
        <w:numPr>
          <w:ilvl w:val="0"/>
          <w:numId w:val="1"/>
        </w:numPr>
        <w:spacing w:before="120" w:after="60"/>
        <w:ind w:left="568" w:hanging="284"/>
        <w:rPr>
          <w:rFonts w:cs="Arial"/>
        </w:rPr>
      </w:pPr>
      <w:r w:rsidRPr="00F61F17">
        <w:rPr>
          <w:rFonts w:cs="Arial"/>
        </w:rPr>
        <w:t>το συγχρηματοδοτούμενο</w:t>
      </w:r>
      <w:r>
        <w:rPr>
          <w:rFonts w:cs="Arial"/>
        </w:rPr>
        <w:t xml:space="preserve"> </w:t>
      </w:r>
      <w:r w:rsidRPr="00F61F17">
        <w:rPr>
          <w:rFonts w:cs="Arial"/>
        </w:rPr>
        <w:t xml:space="preserve">σκέλος </w:t>
      </w:r>
      <w:r>
        <w:rPr>
          <w:rFonts w:cs="Arial"/>
        </w:rPr>
        <w:t xml:space="preserve">του </w:t>
      </w:r>
      <w:r w:rsidR="005A78BE">
        <w:rPr>
          <w:rFonts w:cs="Arial"/>
        </w:rPr>
        <w:t xml:space="preserve">προϋπολογισμού δημοσίων επενδύσεων, τα οποία </w:t>
      </w:r>
      <w:r w:rsidRPr="00F61F17">
        <w:rPr>
          <w:rFonts w:cs="Arial"/>
        </w:rPr>
        <w:t>αναμένεται να ανέλθουν</w:t>
      </w:r>
      <w:r w:rsidR="005A78BE" w:rsidRPr="005A78BE">
        <w:rPr>
          <w:rFonts w:cs="Arial"/>
        </w:rPr>
        <w:t xml:space="preserve"> </w:t>
      </w:r>
      <w:r w:rsidR="005A78BE" w:rsidRPr="00F61F17">
        <w:rPr>
          <w:rFonts w:cs="Arial"/>
        </w:rPr>
        <w:t xml:space="preserve">σε </w:t>
      </w:r>
      <w:r w:rsidR="005A78BE" w:rsidRPr="008B0552">
        <w:rPr>
          <w:rFonts w:cs="Arial"/>
        </w:rPr>
        <w:t>4.125</w:t>
      </w:r>
      <w:r w:rsidR="005A78BE" w:rsidRPr="00F61F17">
        <w:rPr>
          <w:rFonts w:cs="Arial"/>
        </w:rPr>
        <w:t xml:space="preserve"> εκατ. ευρώ</w:t>
      </w:r>
      <w:r>
        <w:rPr>
          <w:rFonts w:cs="Arial"/>
        </w:rPr>
        <w:t xml:space="preserve">, </w:t>
      </w:r>
      <w:r w:rsidRPr="00F7510C">
        <w:rPr>
          <w:rFonts w:cs="Arial"/>
        </w:rPr>
        <w:t>προσαρμοσμένα κατά ESA</w:t>
      </w:r>
      <w:r w:rsidR="00F66D67">
        <w:rPr>
          <w:rFonts w:cs="Arial"/>
        </w:rPr>
        <w:t>,</w:t>
      </w:r>
      <w:r>
        <w:rPr>
          <w:rFonts w:cs="Arial"/>
        </w:rPr>
        <w:t xml:space="preserve"> καθώς και </w:t>
      </w:r>
      <w:r w:rsidR="00F66D67">
        <w:rPr>
          <w:rFonts w:cs="Arial"/>
        </w:rPr>
        <w:t xml:space="preserve">από </w:t>
      </w:r>
      <w:r>
        <w:rPr>
          <w:rFonts w:cs="Arial"/>
        </w:rPr>
        <w:t xml:space="preserve">μέρος του εθνικού σκέλους του </w:t>
      </w:r>
      <w:r w:rsidR="005A78BE">
        <w:rPr>
          <w:rFonts w:cs="Arial"/>
        </w:rPr>
        <w:t>προϋπολογισμού δημοσίων επενδύσεων</w:t>
      </w:r>
      <w:r>
        <w:rPr>
          <w:rFonts w:cs="Arial"/>
        </w:rPr>
        <w:t>, ύψους 35 εκατ. ευρώ</w:t>
      </w:r>
      <w:r w:rsidR="00F66D67">
        <w:rPr>
          <w:rFonts w:cs="Arial"/>
        </w:rPr>
        <w:t xml:space="preserve"> και</w:t>
      </w:r>
    </w:p>
    <w:p w14:paraId="292F92E0" w14:textId="77777777" w:rsidR="00982470" w:rsidRPr="00F61F17" w:rsidRDefault="00982470" w:rsidP="00982470">
      <w:pPr>
        <w:numPr>
          <w:ilvl w:val="0"/>
          <w:numId w:val="1"/>
        </w:numPr>
        <w:spacing w:before="60"/>
        <w:ind w:left="568" w:hanging="284"/>
        <w:rPr>
          <w:rFonts w:cs="Arial"/>
        </w:rPr>
      </w:pPr>
      <w:r w:rsidRPr="00F61F17">
        <w:rPr>
          <w:rFonts w:cs="Arial"/>
        </w:rPr>
        <w:t>το ΤΑΑ</w:t>
      </w:r>
      <w:r>
        <w:rPr>
          <w:rFonts w:cs="Arial"/>
        </w:rPr>
        <w:t>,</w:t>
      </w:r>
      <w:r w:rsidRPr="00F61F17">
        <w:rPr>
          <w:rFonts w:cs="Arial"/>
        </w:rPr>
        <w:t xml:space="preserve"> ύψους </w:t>
      </w:r>
      <w:r>
        <w:rPr>
          <w:rFonts w:cs="Arial"/>
        </w:rPr>
        <w:t>4.293</w:t>
      </w:r>
      <w:r w:rsidRPr="00F61F17">
        <w:rPr>
          <w:rFonts w:cs="Arial"/>
        </w:rPr>
        <w:t xml:space="preserve"> εκατ. ευρώ</w:t>
      </w:r>
      <w:r>
        <w:rPr>
          <w:rFonts w:cs="Arial"/>
        </w:rPr>
        <w:t xml:space="preserve">, </w:t>
      </w:r>
      <w:r w:rsidRPr="00F61F17">
        <w:rPr>
          <w:rFonts w:cs="Arial"/>
        </w:rPr>
        <w:t xml:space="preserve">προσαρμοσμένα κατά ESA (δαπάνες μείον </w:t>
      </w:r>
      <w:r>
        <w:rPr>
          <w:rFonts w:cs="Arial"/>
        </w:rPr>
        <w:t>έσοδα από ΦΠΑ</w:t>
      </w:r>
      <w:r w:rsidRPr="00F61F17">
        <w:rPr>
          <w:rFonts w:cs="Arial"/>
        </w:rPr>
        <w:t>).</w:t>
      </w:r>
    </w:p>
    <w:p w14:paraId="212261BC" w14:textId="77777777" w:rsidR="008671AE" w:rsidRPr="00982470" w:rsidRDefault="00982470" w:rsidP="00982470">
      <w:pPr>
        <w:spacing w:before="120"/>
        <w:rPr>
          <w:rFonts w:cs="Arial"/>
          <w:b/>
          <w:szCs w:val="22"/>
          <w:highlight w:val="yellow"/>
        </w:rPr>
      </w:pPr>
      <w:r w:rsidRPr="00732C87">
        <w:t xml:space="preserve">Το σύνολο των εσόδων από μεταβιβάσεις αναμένεται να ανέλθει στο ποσό των </w:t>
      </w:r>
      <w:r>
        <w:t>9.</w:t>
      </w:r>
      <w:r w:rsidRPr="008B0552">
        <w:t>245</w:t>
      </w:r>
      <w:r w:rsidRPr="00732C87">
        <w:t xml:space="preserve"> εκατ. ευρώ, </w:t>
      </w:r>
      <w:r>
        <w:t>αυξημένο</w:t>
      </w:r>
      <w:r w:rsidRPr="00732C87">
        <w:t xml:space="preserve"> κατά </w:t>
      </w:r>
      <w:r w:rsidRPr="00BD0D46">
        <w:t>451</w:t>
      </w:r>
      <w:r w:rsidRPr="00732C87">
        <w:t xml:space="preserve"> εκατ. ευρώ έναντι του στόχου του προϋπολογισμού 202</w:t>
      </w:r>
      <w:r>
        <w:t>5</w:t>
      </w:r>
      <w:r w:rsidRPr="00732C87">
        <w:t>.</w:t>
      </w:r>
    </w:p>
    <w:p w14:paraId="3F0C3247" w14:textId="77777777" w:rsidR="00AF2EB7" w:rsidRPr="0030059E" w:rsidRDefault="00AF2EB7" w:rsidP="00D96226">
      <w:pPr>
        <w:spacing w:before="240"/>
        <w:rPr>
          <w:rFonts w:cs="Arial"/>
          <w:b/>
          <w:szCs w:val="22"/>
        </w:rPr>
      </w:pPr>
      <w:r w:rsidRPr="0030059E">
        <w:rPr>
          <w:rFonts w:cs="Arial"/>
          <w:b/>
          <w:szCs w:val="22"/>
        </w:rPr>
        <w:t>Πωλήσεις αγαθών και υπηρεσιών</w:t>
      </w:r>
    </w:p>
    <w:p w14:paraId="51F1A47C" w14:textId="77777777" w:rsidR="008671AE" w:rsidRPr="00544591" w:rsidRDefault="0030059E" w:rsidP="003652CF">
      <w:pPr>
        <w:rPr>
          <w:highlight w:val="yellow"/>
        </w:rPr>
      </w:pPr>
      <w:r w:rsidRPr="00732C87">
        <w:t xml:space="preserve">Η κατηγορία αυτή περιλαμβάνει κυρίως τα έσοδα από παράβολα, μισθώματα κτηρίων και υποδομών καθώς και από προμήθειες λόγω παροχής εγγύησης του Ελληνικού Δημοσίου. Οι πωλήσεις αγαθών και υπηρεσιών αναμένεται να διαμορφωθούν στο ύψος των </w:t>
      </w:r>
      <w:r>
        <w:t>1.213</w:t>
      </w:r>
      <w:r w:rsidRPr="00732C87">
        <w:t xml:space="preserve"> εκατ. ευρώ, </w:t>
      </w:r>
      <w:r>
        <w:t>αυξη</w:t>
      </w:r>
      <w:r w:rsidRPr="00732C87">
        <w:t xml:space="preserve">μένες κατά </w:t>
      </w:r>
      <w:r>
        <w:t>248</w:t>
      </w:r>
      <w:r w:rsidRPr="00732C87">
        <w:t xml:space="preserve"> εκατ. ευρώ έναντι του στόχου του προϋπολογισμού 202</w:t>
      </w:r>
      <w:r>
        <w:t>5</w:t>
      </w:r>
      <w:r w:rsidRPr="00732C87">
        <w:t>.</w:t>
      </w:r>
    </w:p>
    <w:p w14:paraId="3E4008F5" w14:textId="77777777" w:rsidR="00AF2EB7" w:rsidRPr="005E1EAA" w:rsidRDefault="00AF2EB7" w:rsidP="00D96226">
      <w:pPr>
        <w:spacing w:before="240"/>
        <w:rPr>
          <w:rFonts w:cs="Arial"/>
          <w:b/>
          <w:szCs w:val="22"/>
        </w:rPr>
      </w:pPr>
      <w:r w:rsidRPr="005E1EAA">
        <w:rPr>
          <w:rFonts w:cs="Arial"/>
          <w:b/>
          <w:szCs w:val="22"/>
        </w:rPr>
        <w:t>Λοιπά τρέχοντα έσοδα</w:t>
      </w:r>
    </w:p>
    <w:p w14:paraId="39A465A9" w14:textId="013DDB2E" w:rsidR="003652CF" w:rsidRPr="005E1EAA" w:rsidRDefault="005E1EAA" w:rsidP="005E1EAA">
      <w:pPr>
        <w:spacing w:before="120"/>
      </w:pPr>
      <w:r w:rsidRPr="00732C87">
        <w:t>Η κατηγορία αυτή περιλαμβάνει διάφορες κατηγορίες εσόδων, με κυριότερες τους τόκους καταθέσεων του Ελληνικού Δημοσίου, τα μερίσματα από τη συμμετοχή του Ελληνικού Δημοσίου στο μετοχικό κεφάλαιο διαφόρων εταιρειών, τους τόκους από ομόλογα που κατέχει το Ελληνικ</w:t>
      </w:r>
      <w:r>
        <w:t>ό</w:t>
      </w:r>
      <w:r w:rsidRPr="00732C87">
        <w:t xml:space="preserve"> Δημ</w:t>
      </w:r>
      <w:r>
        <w:t>όσιο</w:t>
      </w:r>
      <w:r w:rsidRPr="00732C87">
        <w:t xml:space="preserve">, τις διάφορες κατηγορίες προστίμων και προσαυξήσεων, το μεγαλύτερο ποσοστό των εσόδων του εθνικού σκέλους </w:t>
      </w:r>
      <w:r w:rsidRPr="002B0101">
        <w:t>του προϋπολογισμού δημοσίων επενδύσεων</w:t>
      </w:r>
      <w:r w:rsidR="00913834">
        <w:t>,</w:t>
      </w:r>
      <w:r w:rsidRPr="002B0101">
        <w:t xml:space="preserve"> το οποίο προέρχεται κυρίως από επιστροφές ποσών</w:t>
      </w:r>
      <w:r w:rsidRPr="00732C87">
        <w:t xml:space="preserve"> από Νομικά Πρόσωπα Δημοσίου Δικαίου (ΝΠΔΔ) για εκτέλεση έργων επενδύσεων καθώς και τις επιστροφές ιδίων πόρων από την ΕΕ. Τα λοιπά τρέχοντα έσοδα αναμένεται να διαμορφωθούν σε </w:t>
      </w:r>
      <w:r w:rsidRPr="00BD0D46">
        <w:t>2.991</w:t>
      </w:r>
      <w:r w:rsidRPr="00732C87">
        <w:t xml:space="preserve"> εκατ. ευρώ, </w:t>
      </w:r>
      <w:r>
        <w:t>μειω</w:t>
      </w:r>
      <w:r w:rsidRPr="00732C87">
        <w:t xml:space="preserve">μένα κατά </w:t>
      </w:r>
      <w:r>
        <w:t>52</w:t>
      </w:r>
      <w:r w:rsidRPr="00732C87">
        <w:t xml:space="preserve"> εκατ. ευρώ έναντι του στόχου του προϋπολογισμού 202</w:t>
      </w:r>
      <w:r>
        <w:t>5.</w:t>
      </w:r>
    </w:p>
    <w:p w14:paraId="72DCE93F" w14:textId="77777777" w:rsidR="008766FB" w:rsidRPr="005E1EAA" w:rsidRDefault="008766FB" w:rsidP="00B06CA9">
      <w:pPr>
        <w:spacing w:before="240"/>
        <w:rPr>
          <w:rFonts w:cs="Arial"/>
          <w:b/>
          <w:szCs w:val="22"/>
        </w:rPr>
      </w:pPr>
      <w:r w:rsidRPr="005E1EAA">
        <w:rPr>
          <w:rFonts w:cs="Arial"/>
          <w:b/>
          <w:szCs w:val="22"/>
        </w:rPr>
        <w:t>Πωλήσεις παγίων περιουσιακών στοιχείων</w:t>
      </w:r>
    </w:p>
    <w:p w14:paraId="1FED0276" w14:textId="77777777" w:rsidR="00993A8B" w:rsidRPr="005E1EAA" w:rsidRDefault="005E1EAA" w:rsidP="005E1EAA">
      <w:pPr>
        <w:spacing w:before="120"/>
      </w:pPr>
      <w:r w:rsidRPr="00732C87">
        <w:t>Η κατηγορία αυτή αφορά κυρίως σε έσοδα από την αξιοποίηση της ακίνητης περιουσίας του Ελληνικού Δημοσίου, μέσω της διαδικασίας αποκρατικοποιήσεων από τ</w:t>
      </w:r>
      <w:r>
        <w:t>ην Ελληνική Εταιρεία</w:t>
      </w:r>
      <w:r w:rsidRPr="00732C87">
        <w:t xml:space="preserve"> </w:t>
      </w:r>
      <w:r>
        <w:t>Συμμετοχών και</w:t>
      </w:r>
      <w:r w:rsidRPr="00732C87">
        <w:t xml:space="preserve"> Περιουσίας (</w:t>
      </w:r>
      <w:r>
        <w:t>ΕΕΣΥΠ</w:t>
      </w:r>
      <w:r w:rsidRPr="00732C87">
        <w:t>). Εκτιμώνται έσοδα ύψους 3</w:t>
      </w:r>
      <w:r>
        <w:t>2</w:t>
      </w:r>
      <w:r w:rsidRPr="00732C87">
        <w:t xml:space="preserve"> εκατ. ευρώ, </w:t>
      </w:r>
      <w:r>
        <w:t>μειω</w:t>
      </w:r>
      <w:r w:rsidRPr="00732C87">
        <w:t xml:space="preserve">μένα κατά </w:t>
      </w:r>
      <w:r>
        <w:t>5</w:t>
      </w:r>
      <w:r w:rsidRPr="00732C87">
        <w:t xml:space="preserve"> εκατ. ευρώ από τον στόχο του προϋπολογισμού 202</w:t>
      </w:r>
      <w:r>
        <w:t>5</w:t>
      </w:r>
      <w:r w:rsidRPr="00732C87">
        <w:t>.</w:t>
      </w:r>
    </w:p>
    <w:p w14:paraId="628423FC" w14:textId="77777777" w:rsidR="00AF2EB7" w:rsidRPr="005E1EAA" w:rsidRDefault="00AF2EB7" w:rsidP="00D96226">
      <w:pPr>
        <w:spacing w:before="240"/>
        <w:rPr>
          <w:rFonts w:cs="Arial"/>
          <w:b/>
          <w:szCs w:val="22"/>
        </w:rPr>
      </w:pPr>
      <w:r w:rsidRPr="005E1EAA">
        <w:rPr>
          <w:rFonts w:cs="Arial"/>
          <w:b/>
          <w:szCs w:val="22"/>
        </w:rPr>
        <w:t xml:space="preserve">Επιστροφές </w:t>
      </w:r>
      <w:r w:rsidR="00993A8B" w:rsidRPr="005E1EAA">
        <w:rPr>
          <w:rFonts w:cs="Arial"/>
          <w:b/>
          <w:szCs w:val="22"/>
        </w:rPr>
        <w:t>εσόδων</w:t>
      </w:r>
    </w:p>
    <w:p w14:paraId="02656074" w14:textId="77777777" w:rsidR="00A446E3" w:rsidRPr="005E1EAA" w:rsidRDefault="005E1EAA" w:rsidP="005E1EAA">
      <w:pPr>
        <w:spacing w:before="120"/>
      </w:pPr>
      <w:r w:rsidRPr="00732C87">
        <w:t>Οι επιστροφές αχρεωστήτως εισπραχθέντων εσόδων εκτιμάται ότι θα διαμορφωθούν σε 7.</w:t>
      </w:r>
      <w:r>
        <w:t>594</w:t>
      </w:r>
      <w:r w:rsidRPr="00732C87">
        <w:t xml:space="preserve"> εκατ. ευρώ, αυξημένες κατά </w:t>
      </w:r>
      <w:r>
        <w:t>65</w:t>
      </w:r>
      <w:r w:rsidRPr="00732C87">
        <w:t xml:space="preserve"> εκατ. ευρώ έναντι του στόχου του προϋπολογισμού 202</w:t>
      </w:r>
      <w:r>
        <w:t>5</w:t>
      </w:r>
      <w:r w:rsidRPr="00732C87">
        <w:t>.</w:t>
      </w:r>
    </w:p>
    <w:p w14:paraId="0631F6D2" w14:textId="77777777" w:rsidR="00583814" w:rsidRPr="00597946" w:rsidRDefault="00583814" w:rsidP="00D96226">
      <w:pPr>
        <w:spacing w:before="240"/>
        <w:rPr>
          <w:rFonts w:cs="Arial"/>
          <w:b/>
          <w:szCs w:val="22"/>
        </w:rPr>
      </w:pPr>
      <w:r w:rsidRPr="00597946">
        <w:rPr>
          <w:rFonts w:cs="Arial"/>
          <w:b/>
          <w:szCs w:val="22"/>
        </w:rPr>
        <w:lastRenderedPageBreak/>
        <w:t>Πληροφοριακά στοιχεία</w:t>
      </w:r>
    </w:p>
    <w:p w14:paraId="45D67E01" w14:textId="4ADDD71C" w:rsidR="00583814" w:rsidRPr="00597946" w:rsidRDefault="00583814" w:rsidP="00B06CA9">
      <w:pPr>
        <w:rPr>
          <w:rFonts w:cs="Arial"/>
          <w:b/>
          <w:i/>
          <w:szCs w:val="20"/>
        </w:rPr>
      </w:pPr>
      <w:r w:rsidRPr="00597946">
        <w:rPr>
          <w:rFonts w:cs="Arial"/>
          <w:b/>
          <w:i/>
          <w:szCs w:val="20"/>
        </w:rPr>
        <w:t xml:space="preserve">Έσοδα </w:t>
      </w:r>
      <w:r w:rsidR="00A9330C">
        <w:rPr>
          <w:rFonts w:cs="Arial"/>
          <w:b/>
          <w:i/>
          <w:szCs w:val="20"/>
        </w:rPr>
        <w:t>Π</w:t>
      </w:r>
      <w:r w:rsidR="00B432AA">
        <w:rPr>
          <w:rFonts w:cs="Arial"/>
          <w:b/>
          <w:i/>
          <w:szCs w:val="20"/>
        </w:rPr>
        <w:t xml:space="preserve">ροϋπολογισμού </w:t>
      </w:r>
      <w:r w:rsidR="00A9330C">
        <w:rPr>
          <w:rFonts w:cs="Arial"/>
          <w:b/>
          <w:i/>
          <w:szCs w:val="20"/>
        </w:rPr>
        <w:t>Δ</w:t>
      </w:r>
      <w:r w:rsidRPr="00597946">
        <w:rPr>
          <w:rFonts w:cs="Arial"/>
          <w:b/>
          <w:i/>
          <w:szCs w:val="20"/>
        </w:rPr>
        <w:t xml:space="preserve">ημοσίων </w:t>
      </w:r>
      <w:r w:rsidR="00A9330C">
        <w:rPr>
          <w:rFonts w:cs="Arial"/>
          <w:b/>
          <w:i/>
          <w:szCs w:val="20"/>
        </w:rPr>
        <w:t>Ε</w:t>
      </w:r>
      <w:r w:rsidRPr="00597946">
        <w:rPr>
          <w:rFonts w:cs="Arial"/>
          <w:b/>
          <w:i/>
          <w:szCs w:val="20"/>
        </w:rPr>
        <w:t>πενδύσεων</w:t>
      </w:r>
    </w:p>
    <w:p w14:paraId="50ACC12C" w14:textId="372B72BF" w:rsidR="00A446E3" w:rsidRPr="00597946" w:rsidRDefault="00DD53DA" w:rsidP="00597946">
      <w:pPr>
        <w:spacing w:before="120"/>
      </w:pPr>
      <w:bookmarkStart w:id="132" w:name="_Hlk115277916"/>
      <w:r>
        <w:t xml:space="preserve">Τα έσοδα του </w:t>
      </w:r>
      <w:r w:rsidR="00B432AA">
        <w:t xml:space="preserve">προϋπολογισμού δημοσίων επενδύσεων </w:t>
      </w:r>
      <w:r>
        <w:t>π</w:t>
      </w:r>
      <w:r w:rsidR="00597946" w:rsidRPr="00E86B05">
        <w:t>εριλαμβάνονται στις κατηγορίες «Μεταβιβάσεις» και «Λοιπά τρέχοντα έσοδα»</w:t>
      </w:r>
      <w:r w:rsidR="00597946">
        <w:t xml:space="preserve"> και </w:t>
      </w:r>
      <w:r w:rsidR="00597946" w:rsidRPr="00E86B05">
        <w:t>αναμένεται να ανέλθουν</w:t>
      </w:r>
      <w:r w:rsidR="00597946">
        <w:t xml:space="preserve">, προσαρμοσμένα κατά </w:t>
      </w:r>
      <w:r w:rsidR="00597946">
        <w:rPr>
          <w:lang w:val="en-US"/>
        </w:rPr>
        <w:t>ESA</w:t>
      </w:r>
      <w:r w:rsidR="00597946" w:rsidRPr="00EE7DCB">
        <w:t>,</w:t>
      </w:r>
      <w:r w:rsidR="00597946" w:rsidRPr="00E86B05">
        <w:t xml:space="preserve"> στο ποσό των </w:t>
      </w:r>
      <w:r w:rsidR="00597946">
        <w:t>4.300</w:t>
      </w:r>
      <w:r w:rsidR="00597946" w:rsidRPr="00E86B05">
        <w:t xml:space="preserve"> εκατ. ευρώ, </w:t>
      </w:r>
      <w:r w:rsidR="00597946">
        <w:t>χωρίς απόκλιση από τον στόχο</w:t>
      </w:r>
      <w:r w:rsidR="00597946" w:rsidRPr="00E86B05">
        <w:t xml:space="preserve"> του προϋπολογισμού 202</w:t>
      </w:r>
      <w:r w:rsidR="00597946">
        <w:t>5</w:t>
      </w:r>
      <w:r w:rsidR="00597946" w:rsidRPr="00E86B05">
        <w:t>.</w:t>
      </w:r>
    </w:p>
    <w:p w14:paraId="0E7B9738" w14:textId="77777777" w:rsidR="00583814" w:rsidRPr="00597946" w:rsidRDefault="00583814" w:rsidP="00D96226">
      <w:pPr>
        <w:rPr>
          <w:rFonts w:cs="Arial"/>
          <w:b/>
          <w:i/>
          <w:szCs w:val="20"/>
        </w:rPr>
      </w:pPr>
      <w:r w:rsidRPr="00597946">
        <w:rPr>
          <w:rFonts w:cs="Arial"/>
          <w:b/>
          <w:i/>
          <w:szCs w:val="20"/>
        </w:rPr>
        <w:t>Έσοδα Τ</w:t>
      </w:r>
      <w:r w:rsidR="00891898">
        <w:rPr>
          <w:rFonts w:cs="Arial"/>
          <w:b/>
          <w:i/>
          <w:szCs w:val="20"/>
        </w:rPr>
        <w:t>ΑΑ</w:t>
      </w:r>
    </w:p>
    <w:bookmarkEnd w:id="132"/>
    <w:p w14:paraId="3664F7D7" w14:textId="77777777" w:rsidR="00A446E3" w:rsidRPr="00597946" w:rsidRDefault="00597946" w:rsidP="00597946">
      <w:pPr>
        <w:spacing w:before="120"/>
      </w:pPr>
      <w:r w:rsidRPr="00E86B05">
        <w:t xml:space="preserve">Τα έσοδα του ΤΑΑ περιλαμβάνονται στην κατηγορία «Μεταβιβάσεις» και αναμένεται να ανέλθουν, προσαρμοσμένα κατά ESA, στο ποσό των </w:t>
      </w:r>
      <w:r>
        <w:t>4.293</w:t>
      </w:r>
      <w:r w:rsidRPr="00E86B05">
        <w:t xml:space="preserve"> εκατ. ευρώ</w:t>
      </w:r>
      <w:r>
        <w:t>, αυξημένα κατά 56</w:t>
      </w:r>
      <w:r w:rsidRPr="00F35DE9">
        <w:t xml:space="preserve"> </w:t>
      </w:r>
      <w:r>
        <w:t>εκατ. ευρώ από τον στόχο του προϋπολογισμού 2025</w:t>
      </w:r>
      <w:r w:rsidRPr="00E86B05">
        <w:t>.</w:t>
      </w:r>
    </w:p>
    <w:p w14:paraId="5A84CB4B" w14:textId="77777777" w:rsidR="0088425F" w:rsidRPr="00E73299" w:rsidRDefault="0088425F" w:rsidP="00DC6F26">
      <w:pPr>
        <w:pStyle w:val="5"/>
        <w:keepNext w:val="0"/>
        <w:numPr>
          <w:ilvl w:val="0"/>
          <w:numId w:val="0"/>
        </w:numPr>
        <w:spacing w:before="360" w:after="240"/>
        <w:rPr>
          <w:bCs/>
          <w:sz w:val="22"/>
          <w:lang w:val="el-GR"/>
        </w:rPr>
      </w:pPr>
      <w:bookmarkStart w:id="133" w:name="_Toc210570667"/>
      <w:r w:rsidRPr="00E73299">
        <w:rPr>
          <w:bCs/>
          <w:sz w:val="22"/>
        </w:rPr>
        <w:t>Δαπάνες</w:t>
      </w:r>
      <w:r w:rsidR="00B2101E" w:rsidRPr="00E73299">
        <w:rPr>
          <w:bCs/>
          <w:sz w:val="22"/>
          <w:lang w:val="el-GR"/>
        </w:rPr>
        <w:t xml:space="preserve"> </w:t>
      </w:r>
      <w:r w:rsidR="00115C25">
        <w:rPr>
          <w:bCs/>
          <w:sz w:val="22"/>
          <w:lang w:val="el-GR"/>
        </w:rPr>
        <w:t>-</w:t>
      </w:r>
      <w:r w:rsidR="00B2101E" w:rsidRPr="00E73299">
        <w:rPr>
          <w:bCs/>
          <w:sz w:val="22"/>
          <w:lang w:val="el-GR"/>
        </w:rPr>
        <w:t xml:space="preserve"> Ανάλυση σε δημοσιονομική βάση</w:t>
      </w:r>
      <w:bookmarkEnd w:id="133"/>
    </w:p>
    <w:p w14:paraId="3377F46F" w14:textId="7BDEAFC3" w:rsidR="00E73299" w:rsidRPr="00544591" w:rsidRDefault="00731910" w:rsidP="00DC6F26">
      <w:pPr>
        <w:rPr>
          <w:highlight w:val="yellow"/>
        </w:rPr>
      </w:pPr>
      <w:r w:rsidRPr="006530AF">
        <w:t>Οι συνολικές δαπάνες του κρατικού προϋπολογισμού για το έτος 202</w:t>
      </w:r>
      <w:r w:rsidRPr="004C3B1A">
        <w:t>5</w:t>
      </w:r>
      <w:r w:rsidRPr="006530AF">
        <w:t xml:space="preserve"> εκτιμάται ότι θα διαμορφωθούν σε </w:t>
      </w:r>
      <w:r w:rsidRPr="004C3B1A">
        <w:t>81</w:t>
      </w:r>
      <w:r w:rsidRPr="006530AF">
        <w:t>.</w:t>
      </w:r>
      <w:r w:rsidR="00FE6015">
        <w:t>456</w:t>
      </w:r>
      <w:r w:rsidRPr="006530AF">
        <w:t xml:space="preserve"> εκατ. ευρώ, αυξημένες κατά </w:t>
      </w:r>
      <w:r w:rsidR="00FE6015">
        <w:t>953</w:t>
      </w:r>
      <w:r w:rsidRPr="006530AF">
        <w:t xml:space="preserve"> εκατ. ευρώ σε σχέση με τον στόχο του προϋπολογισμού. Η αύξηση αυτή, όπως προκύπτει από την ανάλυση των δαπανών κατά μείζονα κατηγορία, οφείλεται </w:t>
      </w:r>
      <w:r w:rsidRPr="004B09E0">
        <w:t xml:space="preserve">κατά κύριο λόγο στην αύξηση των </w:t>
      </w:r>
      <w:r w:rsidRPr="00D930AD">
        <w:t xml:space="preserve">δαπανών του </w:t>
      </w:r>
      <w:r w:rsidR="004D4C4D" w:rsidRPr="00D930AD">
        <w:t xml:space="preserve">εθνικού σκέλους του </w:t>
      </w:r>
      <w:r w:rsidR="00492D8B" w:rsidRPr="00D930AD">
        <w:t>προϋπολογισμού</w:t>
      </w:r>
      <w:r w:rsidR="00492D8B">
        <w:t xml:space="preserve"> δημοσίων επενδύσεων</w:t>
      </w:r>
      <w:r w:rsidR="007E419A">
        <w:t xml:space="preserve"> και των τόκων καθώς και </w:t>
      </w:r>
      <w:r w:rsidR="00A83146">
        <w:t xml:space="preserve">στη δημοσιονομική </w:t>
      </w:r>
      <w:r w:rsidR="00C33FA7">
        <w:t xml:space="preserve">παρέμβαση </w:t>
      </w:r>
      <w:r w:rsidR="00A83146">
        <w:t xml:space="preserve">της </w:t>
      </w:r>
      <w:r w:rsidR="00C33FA7">
        <w:t>επιστροφής ενός ενοικίου κατά τον μήνα Νοέμβριο</w:t>
      </w:r>
      <w:r w:rsidRPr="009C6066">
        <w:t xml:space="preserve">. Η </w:t>
      </w:r>
      <w:r w:rsidR="00B128B2" w:rsidRPr="009C6066">
        <w:t>διαφοροποίηση</w:t>
      </w:r>
      <w:r>
        <w:t xml:space="preserve"> στις λοιπές κατηγορίες δαπανών οφείλεται κυρίως σε ανακατανομή πιστώσεων </w:t>
      </w:r>
      <w:r w:rsidR="00B432AA">
        <w:t xml:space="preserve">μεταξύ των μειζόνων κατηγοριών </w:t>
      </w:r>
      <w:r w:rsidR="00B128B2">
        <w:t>του προϋπολογισμού</w:t>
      </w:r>
      <w:r>
        <w:t>.</w:t>
      </w:r>
    </w:p>
    <w:p w14:paraId="1BE9074A" w14:textId="77777777" w:rsidR="0088425F" w:rsidRPr="00094F63" w:rsidRDefault="0088425F" w:rsidP="00DC6F26">
      <w:pPr>
        <w:spacing w:before="240"/>
        <w:rPr>
          <w:rFonts w:cs="Arial"/>
          <w:b/>
          <w:szCs w:val="22"/>
        </w:rPr>
      </w:pPr>
      <w:r w:rsidRPr="00094F63">
        <w:rPr>
          <w:rFonts w:cs="Arial"/>
          <w:b/>
          <w:szCs w:val="22"/>
        </w:rPr>
        <w:t>Παροχές σε εργαζόμενους</w:t>
      </w:r>
    </w:p>
    <w:p w14:paraId="0CB46580" w14:textId="77777777" w:rsidR="00094F63" w:rsidRPr="006530AF" w:rsidRDefault="00094F63" w:rsidP="00DC6F26">
      <w:pPr>
        <w:spacing w:before="120"/>
        <w:rPr>
          <w:rFonts w:cs="Arial"/>
          <w:szCs w:val="22"/>
        </w:rPr>
      </w:pPr>
      <w:r w:rsidRPr="006530AF">
        <w:rPr>
          <w:rFonts w:cs="Arial"/>
          <w:szCs w:val="22"/>
        </w:rPr>
        <w:t>Στην κατηγορία αυτή περιλαμβάνονται οι τακτικές αποδοχές, οι πρόσθετες αποδοχές, οι παροχές σε είδος, οι παροχές κληρωτών και οι αντίστοιχες εργοδοτικές εισφορές αιρετών, οργάνων διοίκησης, τακτικών υπαλλήλων καθώς και των υπαλλήλων με σχέση εργασίας ορισμένου χρόνου.</w:t>
      </w:r>
    </w:p>
    <w:p w14:paraId="7FA690CD" w14:textId="77777777" w:rsidR="00094F63" w:rsidRPr="006530AF" w:rsidRDefault="00094F63" w:rsidP="00DC6F26">
      <w:pPr>
        <w:spacing w:before="120"/>
        <w:rPr>
          <w:rFonts w:cs="Arial"/>
          <w:szCs w:val="22"/>
        </w:rPr>
      </w:pPr>
      <w:r w:rsidRPr="006530AF">
        <w:rPr>
          <w:rFonts w:cs="Arial"/>
          <w:szCs w:val="22"/>
        </w:rPr>
        <w:t>Για το 202</w:t>
      </w:r>
      <w:r>
        <w:rPr>
          <w:rFonts w:cs="Arial"/>
          <w:szCs w:val="22"/>
        </w:rPr>
        <w:t>5</w:t>
      </w:r>
      <w:r w:rsidRPr="006530AF">
        <w:rPr>
          <w:rFonts w:cs="Arial"/>
          <w:szCs w:val="22"/>
        </w:rPr>
        <w:t xml:space="preserve"> οι δαπάνες της ανωτέρω κατηγορίας εκτιμάται ότι θα ανέλθουν σε 1</w:t>
      </w:r>
      <w:r>
        <w:rPr>
          <w:rFonts w:cs="Arial"/>
          <w:szCs w:val="22"/>
        </w:rPr>
        <w:t>5</w:t>
      </w:r>
      <w:r w:rsidRPr="006530AF">
        <w:rPr>
          <w:rFonts w:cs="Arial"/>
          <w:szCs w:val="22"/>
        </w:rPr>
        <w:t>.</w:t>
      </w:r>
      <w:r>
        <w:rPr>
          <w:rFonts w:cs="Arial"/>
          <w:szCs w:val="22"/>
        </w:rPr>
        <w:t>285</w:t>
      </w:r>
      <w:r w:rsidRPr="006530AF">
        <w:rPr>
          <w:rFonts w:cs="Arial"/>
          <w:szCs w:val="22"/>
        </w:rPr>
        <w:t xml:space="preserve"> εκατ. ευρώ, αυξημένες κατά </w:t>
      </w:r>
      <w:r>
        <w:rPr>
          <w:rFonts w:cs="Arial"/>
          <w:szCs w:val="22"/>
        </w:rPr>
        <w:t>495</w:t>
      </w:r>
      <w:r w:rsidRPr="006530AF">
        <w:rPr>
          <w:rFonts w:cs="Arial"/>
          <w:szCs w:val="22"/>
        </w:rPr>
        <w:t xml:space="preserve"> εκατ. ευρώ έναντι του στόχου του προϋπολογισμού.</w:t>
      </w:r>
    </w:p>
    <w:p w14:paraId="340DF63E" w14:textId="77777777" w:rsidR="00094F63" w:rsidRPr="006530AF" w:rsidRDefault="00094F63" w:rsidP="00DC6F26">
      <w:pPr>
        <w:spacing w:before="120"/>
        <w:rPr>
          <w:rFonts w:cs="Arial"/>
          <w:szCs w:val="22"/>
        </w:rPr>
      </w:pPr>
      <w:r w:rsidRPr="006530AF">
        <w:rPr>
          <w:rFonts w:cs="Arial"/>
          <w:szCs w:val="22"/>
        </w:rPr>
        <w:t>Η αύξηση αυτή οφείλεται κυρίως στις εκτιμώμενες δαπάνες για:</w:t>
      </w:r>
    </w:p>
    <w:p w14:paraId="16AC8669" w14:textId="7F5DC63F" w:rsidR="00094F63" w:rsidRDefault="00094F63" w:rsidP="00094F63">
      <w:pPr>
        <w:numPr>
          <w:ilvl w:val="0"/>
          <w:numId w:val="1"/>
        </w:numPr>
        <w:spacing w:before="120" w:after="60"/>
        <w:ind w:left="568" w:hanging="284"/>
        <w:rPr>
          <w:rFonts w:cs="Arial"/>
          <w:szCs w:val="22"/>
        </w:rPr>
      </w:pPr>
      <w:r w:rsidRPr="006530AF">
        <w:rPr>
          <w:rFonts w:cs="Arial"/>
          <w:szCs w:val="22"/>
        </w:rPr>
        <w:t>τον διορισμό 10.000 μονίμων εκπαιδευτικών πρωτοβάθμιας και δευτεροβάθμιας εκπαίδευσης από τον Σεπτέμβριο 202</w:t>
      </w:r>
      <w:r>
        <w:rPr>
          <w:rFonts w:cs="Arial"/>
          <w:szCs w:val="22"/>
        </w:rPr>
        <w:t>5</w:t>
      </w:r>
      <w:r w:rsidRPr="006530AF">
        <w:rPr>
          <w:rFonts w:cs="Arial"/>
          <w:szCs w:val="22"/>
        </w:rPr>
        <w:t>,</w:t>
      </w:r>
    </w:p>
    <w:p w14:paraId="73AD3478" w14:textId="4FE4A88B" w:rsidR="00094F63" w:rsidRPr="006530AF" w:rsidRDefault="00094F63" w:rsidP="00094F63">
      <w:pPr>
        <w:numPr>
          <w:ilvl w:val="0"/>
          <w:numId w:val="1"/>
        </w:numPr>
        <w:spacing w:before="60" w:after="60"/>
        <w:ind w:left="568" w:hanging="284"/>
        <w:rPr>
          <w:rFonts w:cs="Arial"/>
          <w:szCs w:val="22"/>
        </w:rPr>
      </w:pPr>
      <w:r>
        <w:rPr>
          <w:rFonts w:cs="Arial"/>
          <w:szCs w:val="22"/>
        </w:rPr>
        <w:t>την οριζόντια αύξηση του μισθού των δημ</w:t>
      </w:r>
      <w:r w:rsidR="0077267D">
        <w:rPr>
          <w:rFonts w:cs="Arial"/>
          <w:szCs w:val="22"/>
        </w:rPr>
        <w:t>ό</w:t>
      </w:r>
      <w:r>
        <w:rPr>
          <w:rFonts w:cs="Arial"/>
          <w:szCs w:val="22"/>
        </w:rPr>
        <w:t>σ</w:t>
      </w:r>
      <w:r w:rsidR="0077267D">
        <w:rPr>
          <w:rFonts w:cs="Arial"/>
          <w:szCs w:val="22"/>
        </w:rPr>
        <w:t>ι</w:t>
      </w:r>
      <w:r>
        <w:rPr>
          <w:rFonts w:cs="Arial"/>
          <w:szCs w:val="22"/>
        </w:rPr>
        <w:t>ων υπαλλήλων από τον Απρίλιο 2025</w:t>
      </w:r>
      <w:r w:rsidR="00967BCA">
        <w:rPr>
          <w:rFonts w:cs="Arial"/>
          <w:szCs w:val="22"/>
        </w:rPr>
        <w:t xml:space="preserve"> λόγω </w:t>
      </w:r>
      <w:r w:rsidR="00153A8B">
        <w:rPr>
          <w:rFonts w:cs="Arial"/>
          <w:szCs w:val="22"/>
        </w:rPr>
        <w:t xml:space="preserve">της </w:t>
      </w:r>
      <w:r w:rsidR="00967BCA">
        <w:rPr>
          <w:rFonts w:cs="Arial"/>
          <w:szCs w:val="22"/>
        </w:rPr>
        <w:t>αύξησης του κατώτατου μισθού</w:t>
      </w:r>
      <w:r>
        <w:rPr>
          <w:rFonts w:cs="Arial"/>
          <w:szCs w:val="22"/>
        </w:rPr>
        <w:t>,</w:t>
      </w:r>
    </w:p>
    <w:p w14:paraId="56C2E6FD" w14:textId="229C0EEB" w:rsidR="00094F63" w:rsidRDefault="00094F63" w:rsidP="00094F63">
      <w:pPr>
        <w:numPr>
          <w:ilvl w:val="0"/>
          <w:numId w:val="1"/>
        </w:numPr>
        <w:spacing w:before="60" w:after="60"/>
        <w:ind w:left="568" w:hanging="284"/>
        <w:rPr>
          <w:rFonts w:cs="Arial"/>
          <w:szCs w:val="22"/>
        </w:rPr>
      </w:pPr>
      <w:r>
        <w:rPr>
          <w:rFonts w:cs="Arial"/>
          <w:szCs w:val="22"/>
        </w:rPr>
        <w:t>την αναμόρφωση του μισθολογί</w:t>
      </w:r>
      <w:r w:rsidR="0077267D">
        <w:rPr>
          <w:rFonts w:cs="Arial"/>
          <w:szCs w:val="22"/>
        </w:rPr>
        <w:t>ου</w:t>
      </w:r>
      <w:r>
        <w:rPr>
          <w:rFonts w:cs="Arial"/>
          <w:szCs w:val="22"/>
        </w:rPr>
        <w:t xml:space="preserve"> των </w:t>
      </w:r>
      <w:r w:rsidR="007032B3">
        <w:rPr>
          <w:rFonts w:cs="Arial"/>
          <w:szCs w:val="22"/>
        </w:rPr>
        <w:t>Ε</w:t>
      </w:r>
      <w:r>
        <w:rPr>
          <w:rFonts w:cs="Arial"/>
          <w:szCs w:val="22"/>
        </w:rPr>
        <w:t xml:space="preserve">νόπλων </w:t>
      </w:r>
      <w:r w:rsidR="007032B3">
        <w:rPr>
          <w:rFonts w:cs="Arial"/>
          <w:szCs w:val="22"/>
        </w:rPr>
        <w:t>Δ</w:t>
      </w:r>
      <w:r>
        <w:rPr>
          <w:rFonts w:cs="Arial"/>
          <w:szCs w:val="22"/>
        </w:rPr>
        <w:t xml:space="preserve">υνάμεων και των λοιπών ενστόλων </w:t>
      </w:r>
      <w:r w:rsidR="00BA4710">
        <w:rPr>
          <w:rFonts w:cs="Arial"/>
          <w:szCs w:val="22"/>
        </w:rPr>
        <w:t>Υ</w:t>
      </w:r>
      <w:r>
        <w:rPr>
          <w:rFonts w:cs="Arial"/>
          <w:szCs w:val="22"/>
        </w:rPr>
        <w:t>πουργείων</w:t>
      </w:r>
      <w:r w:rsidRPr="00350153">
        <w:rPr>
          <w:rFonts w:cs="Arial"/>
          <w:szCs w:val="22"/>
        </w:rPr>
        <w:t xml:space="preserve"> </w:t>
      </w:r>
      <w:r>
        <w:rPr>
          <w:rFonts w:cs="Arial"/>
          <w:szCs w:val="22"/>
        </w:rPr>
        <w:t>και</w:t>
      </w:r>
    </w:p>
    <w:p w14:paraId="0BA88462" w14:textId="79D8B7A8" w:rsidR="000B0AD8" w:rsidRPr="00094F63" w:rsidRDefault="00094F63" w:rsidP="00094F63">
      <w:pPr>
        <w:numPr>
          <w:ilvl w:val="0"/>
          <w:numId w:val="1"/>
        </w:numPr>
        <w:spacing w:before="60"/>
        <w:ind w:left="568" w:hanging="284"/>
        <w:rPr>
          <w:rFonts w:cs="Arial"/>
          <w:szCs w:val="22"/>
        </w:rPr>
      </w:pPr>
      <w:r w:rsidRPr="006530AF">
        <w:rPr>
          <w:rFonts w:cs="Arial"/>
        </w:rPr>
        <w:t>την</w:t>
      </w:r>
      <w:r w:rsidRPr="006530AF">
        <w:rPr>
          <w:rFonts w:cs="Arial"/>
          <w:szCs w:val="22"/>
        </w:rPr>
        <w:t xml:space="preserve"> ενσωμάτωση </w:t>
      </w:r>
      <w:r w:rsidR="0077267D">
        <w:rPr>
          <w:rFonts w:cs="Arial"/>
          <w:szCs w:val="22"/>
        </w:rPr>
        <w:t>πραγματοποιηθέντων</w:t>
      </w:r>
      <w:r w:rsidRPr="006530AF">
        <w:rPr>
          <w:rFonts w:cs="Arial"/>
          <w:szCs w:val="22"/>
        </w:rPr>
        <w:t xml:space="preserve"> διορισμών για τους οποίους η σχετική δαπάνη είχε</w:t>
      </w:r>
      <w:r w:rsidR="00D23114">
        <w:rPr>
          <w:rFonts w:cs="Arial"/>
          <w:szCs w:val="22"/>
        </w:rPr>
        <w:t xml:space="preserve"> προβλεφθεί</w:t>
      </w:r>
      <w:r w:rsidRPr="006530AF">
        <w:rPr>
          <w:rFonts w:cs="Arial"/>
          <w:szCs w:val="22"/>
        </w:rPr>
        <w:t xml:space="preserve"> </w:t>
      </w:r>
      <w:r w:rsidR="00D23114">
        <w:rPr>
          <w:rFonts w:cs="Arial"/>
          <w:szCs w:val="22"/>
        </w:rPr>
        <w:t xml:space="preserve">να καλυφθεί από </w:t>
      </w:r>
      <w:r w:rsidRPr="006530AF">
        <w:rPr>
          <w:rFonts w:cs="Arial"/>
          <w:szCs w:val="22"/>
        </w:rPr>
        <w:t>τις πιστώσεις υπό κατανομή</w:t>
      </w:r>
      <w:r w:rsidR="00D23114">
        <w:rPr>
          <w:rFonts w:cs="Arial"/>
          <w:szCs w:val="22"/>
        </w:rPr>
        <w:t xml:space="preserve"> τ</w:t>
      </w:r>
      <w:r w:rsidRPr="006530AF">
        <w:rPr>
          <w:rFonts w:cs="Arial"/>
          <w:szCs w:val="22"/>
        </w:rPr>
        <w:t xml:space="preserve">ου </w:t>
      </w:r>
      <w:r>
        <w:rPr>
          <w:rFonts w:cs="Arial"/>
          <w:szCs w:val="22"/>
        </w:rPr>
        <w:t>κ</w:t>
      </w:r>
      <w:r w:rsidRPr="006530AF">
        <w:rPr>
          <w:rFonts w:cs="Arial"/>
          <w:szCs w:val="22"/>
        </w:rPr>
        <w:t xml:space="preserve">ρατικού </w:t>
      </w:r>
      <w:r>
        <w:rPr>
          <w:rFonts w:cs="Arial"/>
          <w:szCs w:val="22"/>
        </w:rPr>
        <w:t>π</w:t>
      </w:r>
      <w:r w:rsidRPr="006530AF">
        <w:rPr>
          <w:rFonts w:cs="Arial"/>
          <w:szCs w:val="22"/>
        </w:rPr>
        <w:t>ροϋπολογισμού έτους 202</w:t>
      </w:r>
      <w:r>
        <w:rPr>
          <w:rFonts w:cs="Arial"/>
          <w:szCs w:val="22"/>
        </w:rPr>
        <w:t>5.</w:t>
      </w:r>
    </w:p>
    <w:p w14:paraId="5AEB69F5" w14:textId="18574A4A" w:rsidR="0088425F" w:rsidRPr="00094F63" w:rsidRDefault="0088425F" w:rsidP="00D96226">
      <w:pPr>
        <w:spacing w:before="240"/>
        <w:rPr>
          <w:rFonts w:cs="Arial"/>
          <w:b/>
          <w:szCs w:val="22"/>
        </w:rPr>
      </w:pPr>
      <w:r w:rsidRPr="00094F63">
        <w:rPr>
          <w:rFonts w:cs="Arial"/>
          <w:b/>
          <w:szCs w:val="22"/>
        </w:rPr>
        <w:t xml:space="preserve">Κοινωνικές </w:t>
      </w:r>
      <w:r w:rsidR="00AF6057">
        <w:rPr>
          <w:rFonts w:cs="Arial"/>
          <w:b/>
          <w:szCs w:val="22"/>
        </w:rPr>
        <w:t>π</w:t>
      </w:r>
      <w:r w:rsidRPr="00094F63">
        <w:rPr>
          <w:rFonts w:cs="Arial"/>
          <w:b/>
          <w:szCs w:val="22"/>
        </w:rPr>
        <w:t>αροχές</w:t>
      </w:r>
    </w:p>
    <w:p w14:paraId="144CCB5A" w14:textId="19F38923" w:rsidR="000B0AD8" w:rsidRPr="00544591" w:rsidRDefault="00094F63" w:rsidP="00D96226">
      <w:pPr>
        <w:rPr>
          <w:highlight w:val="yellow"/>
        </w:rPr>
      </w:pPr>
      <w:r w:rsidRPr="006530AF">
        <w:t>Οι δαπάνες της κατηγορίας αυτής περιλαμβάνουν, μεταξύ άλλων, το επίδομα θέρμανσης, τις συντάξεις που καταβάλλονται απευθείας από το κράτος (άρθρο 4 παρ.3 του ν.4387/2016, Α’ 85) καθώς και τις λοιπές παροχές κοινωνικής πρόνοιας σε είδος και σε χρήμα</w:t>
      </w:r>
      <w:r>
        <w:t xml:space="preserve">. Το ύψος των εν λόγω δαπανών </w:t>
      </w:r>
      <w:r w:rsidRPr="006530AF">
        <w:t>εκτιμάται ότι θα διαμορφωθ</w:t>
      </w:r>
      <w:r>
        <w:t>εί στο ποσό των</w:t>
      </w:r>
      <w:r w:rsidRPr="006530AF">
        <w:t xml:space="preserve"> </w:t>
      </w:r>
      <w:r>
        <w:t>566</w:t>
      </w:r>
      <w:r w:rsidRPr="006530AF">
        <w:t xml:space="preserve"> εκατ. ευρώ, </w:t>
      </w:r>
      <w:r>
        <w:t>αυξημένο</w:t>
      </w:r>
      <w:r w:rsidRPr="006530AF">
        <w:t xml:space="preserve"> κατά </w:t>
      </w:r>
      <w:r>
        <w:t>141</w:t>
      </w:r>
      <w:r w:rsidRPr="006530AF">
        <w:t xml:space="preserve"> εκατ. ευρώ έναντι του στόχου του προϋπολογισμού, κυρίως λόγω</w:t>
      </w:r>
      <w:r>
        <w:t xml:space="preserve"> </w:t>
      </w:r>
      <w:r w:rsidR="00647562">
        <w:t xml:space="preserve">υλοποίησης από τον Νοέμβριο 2025 της δημοσιονομικής παρέμβασης που αφορά στην </w:t>
      </w:r>
      <w:r>
        <w:t xml:space="preserve">επιστροφή ενός ενοικίου κατ’ έτος σε δικαιούχους βάσει κριτηρίων, </w:t>
      </w:r>
      <w:r w:rsidR="006165C0">
        <w:t xml:space="preserve">εκτιμώμενου </w:t>
      </w:r>
      <w:r>
        <w:t>ύψους 230 εκατ. ευρώ</w:t>
      </w:r>
      <w:r w:rsidRPr="006530AF">
        <w:t>.</w:t>
      </w:r>
    </w:p>
    <w:p w14:paraId="6121EC06" w14:textId="77777777" w:rsidR="007A0841" w:rsidRPr="00094F63" w:rsidRDefault="007A0841" w:rsidP="00D96226">
      <w:pPr>
        <w:spacing w:before="240"/>
        <w:rPr>
          <w:rFonts w:cs="Arial"/>
          <w:b/>
          <w:szCs w:val="22"/>
        </w:rPr>
      </w:pPr>
      <w:bookmarkStart w:id="134" w:name="_Hlk115424686"/>
      <w:r w:rsidRPr="00094F63">
        <w:rPr>
          <w:rFonts w:cs="Arial"/>
          <w:b/>
          <w:szCs w:val="22"/>
        </w:rPr>
        <w:lastRenderedPageBreak/>
        <w:t>Μεταβιβάσεις</w:t>
      </w:r>
    </w:p>
    <w:p w14:paraId="13069149" w14:textId="62E94224" w:rsidR="00094F63" w:rsidRDefault="00094F63" w:rsidP="00094F63">
      <w:r>
        <w:t xml:space="preserve">Οι μεταβιβαστικές πληρωμές περιλαμβάνουν επιχορηγήσεις και αποδόσεις σε υποτομείς της Γενικής Κυβέρνησης, όπως </w:t>
      </w:r>
      <w:r w:rsidR="0058345A">
        <w:t>σ</w:t>
      </w:r>
      <w:r>
        <w:t xml:space="preserve">τους ΟΤΑ και τους ΟΚΑ, </w:t>
      </w:r>
      <w:r w:rsidR="0058345A">
        <w:t>σ</w:t>
      </w:r>
      <w:r>
        <w:t xml:space="preserve">τα νοσοκομεία, </w:t>
      </w:r>
      <w:r w:rsidR="0058345A">
        <w:t>σ</w:t>
      </w:r>
      <w:r>
        <w:t xml:space="preserve">τις δομές Πρωτοβάθμιας Φροντίδας Υγείας (ΠΦΥ) καθώς και σε λοιπούς φορείς εντός και εκτός Γενικής Κυβέρνησης, σε οργανισμούς του εξωτερικού και στην ΕΕ. Επίσης, </w:t>
      </w:r>
      <w:r w:rsidR="006B2BB7">
        <w:t xml:space="preserve">στην εν λόγω </w:t>
      </w:r>
      <w:r w:rsidR="0058345A">
        <w:t xml:space="preserve">μείζονα </w:t>
      </w:r>
      <w:r w:rsidR="006B2BB7">
        <w:t>κατηγορία περιλαμβάν</w:t>
      </w:r>
      <w:r>
        <w:t>ονται οι επιχορηγήσεις για επενδύσεις, οι καταπτώσεις εγγυήσεων, οι αναλήψεις χρεών φορέων της Γενικής Κυβέρνησης καθώς και οι αποζημιώσεις λόγω δικαστικών αποφάσεων.</w:t>
      </w:r>
    </w:p>
    <w:p w14:paraId="5D537303" w14:textId="04629B28" w:rsidR="00FA1BBB" w:rsidRPr="00544591" w:rsidRDefault="00094F63" w:rsidP="00C845A5">
      <w:pPr>
        <w:rPr>
          <w:highlight w:val="yellow"/>
        </w:rPr>
      </w:pPr>
      <w:r>
        <w:t xml:space="preserve">Οι συνολικές μεταβιβαστικές πληρωμές εκτιμάται ότι θα διαμορφωθούν σε 34.664 εκατ. ευρώ, αυξημένες κατά 227 εκατ. ευρώ έναντι του στόχου του προϋπολογισμού. Η κατηγορία αυτή ενισχύθηκε από το αποθεματικό με 556 εκατ. ευρώ για την εξυπηρέτηση δαπανών επιχορηγήσεων προς τα νομικά πρόσωπα, τα νοσοκομεία και τους ΟΤΑ </w:t>
      </w:r>
      <w:r w:rsidR="008666C3">
        <w:t>με σκοπό την κάλυψη των λειτουργικών τους αναγκών</w:t>
      </w:r>
      <w:r>
        <w:t>, για τις αποδόσεις προς την ΕΕ καθώς και για την εξόφληση</w:t>
      </w:r>
      <w:r w:rsidR="008666C3">
        <w:t xml:space="preserve"> επιδικασθέντων ποσών με</w:t>
      </w:r>
      <w:r>
        <w:t xml:space="preserve"> τελεσίδικ</w:t>
      </w:r>
      <w:r w:rsidR="008666C3">
        <w:t>ες</w:t>
      </w:r>
      <w:r>
        <w:t xml:space="preserve"> δικαστικ</w:t>
      </w:r>
      <w:r w:rsidR="008666C3">
        <w:t>ές</w:t>
      </w:r>
      <w:r>
        <w:t xml:space="preserve"> αποφάσ</w:t>
      </w:r>
      <w:r w:rsidR="00EB5CBA">
        <w:t>εις</w:t>
      </w:r>
      <w:r>
        <w:t xml:space="preserve"> και </w:t>
      </w:r>
      <w:r w:rsidR="00F92524">
        <w:t xml:space="preserve">για </w:t>
      </w:r>
      <w:r w:rsidR="00E94D84">
        <w:t xml:space="preserve">την πραγματοποίηση </w:t>
      </w:r>
      <w:r>
        <w:t>λοιπών κεφαλαιακών μεταβιβάσεων. Αξιοσημείωτ</w:t>
      </w:r>
      <w:r w:rsidR="00C11D38">
        <w:t>ες</w:t>
      </w:r>
      <w:r>
        <w:t xml:space="preserve"> </w:t>
      </w:r>
      <w:r w:rsidR="00C11D38">
        <w:t xml:space="preserve">είναι τόσο </w:t>
      </w:r>
      <w:r>
        <w:t xml:space="preserve">η αναμενόμενη υποεκτέλεση μεταβιβαστικών πληρωμών προς τον </w:t>
      </w:r>
      <w:r w:rsidR="00E9521D" w:rsidRPr="003D2322">
        <w:t>Ηλεκτρονικ</w:t>
      </w:r>
      <w:r w:rsidR="00E9521D">
        <w:t>ό</w:t>
      </w:r>
      <w:r w:rsidR="00E9521D" w:rsidRPr="003D2322">
        <w:t xml:space="preserve"> Εθνικ</w:t>
      </w:r>
      <w:r w:rsidR="00E9521D">
        <w:t>ό</w:t>
      </w:r>
      <w:r w:rsidR="00E9521D" w:rsidRPr="003D2322">
        <w:t xml:space="preserve"> Φορέα Κοινωνικής Ασφάλισης</w:t>
      </w:r>
      <w:r w:rsidR="00E9521D" w:rsidRPr="00E9521D">
        <w:t xml:space="preserve"> </w:t>
      </w:r>
      <w:r w:rsidR="00E9521D">
        <w:t>(</w:t>
      </w:r>
      <w:r>
        <w:rPr>
          <w:lang w:val="en-US"/>
        </w:rPr>
        <w:t>e</w:t>
      </w:r>
      <w:r w:rsidRPr="00CF2C6D">
        <w:t>-</w:t>
      </w:r>
      <w:r>
        <w:t>ΕΦΚΑ</w:t>
      </w:r>
      <w:r w:rsidR="00E9521D">
        <w:t>)</w:t>
      </w:r>
      <w:r>
        <w:t xml:space="preserve"> κατά </w:t>
      </w:r>
      <w:r w:rsidR="00063AF4">
        <w:t>511</w:t>
      </w:r>
      <w:r>
        <w:t xml:space="preserve"> εκατ. ευρώ</w:t>
      </w:r>
      <w:r w:rsidR="00702396">
        <w:t>,</w:t>
      </w:r>
      <w:r>
        <w:t xml:space="preserve"> λόγω των </w:t>
      </w:r>
      <w:r w:rsidR="000F51FD">
        <w:t>αυξημένων εσόδων από ασφαλιστικές εισφορές και της επάρκειάς τους για την κάλυψη των υποχρεώσεών του</w:t>
      </w:r>
      <w:r w:rsidR="00F92524">
        <w:t>,</w:t>
      </w:r>
      <w:r w:rsidR="00C11D38">
        <w:t xml:space="preserve"> όσο </w:t>
      </w:r>
      <w:r>
        <w:t>και η μετα</w:t>
      </w:r>
      <w:r w:rsidR="00F636ED">
        <w:t xml:space="preserve">κύλιση στο έτος 2026 </w:t>
      </w:r>
      <w:r>
        <w:t xml:space="preserve">της υποχρέωσης </w:t>
      </w:r>
      <w:r w:rsidR="00F636ED">
        <w:t xml:space="preserve">του έτους 2025 </w:t>
      </w:r>
      <w:r>
        <w:t xml:space="preserve">για μακροοικονομική χρηματοδοτική συνδρομή </w:t>
      </w:r>
      <w:r w:rsidR="00C11D38" w:rsidRPr="00C11D38">
        <w:t>(</w:t>
      </w:r>
      <w:r w:rsidR="00C11D38">
        <w:rPr>
          <w:lang w:val="en-US"/>
        </w:rPr>
        <w:t>Macro</w:t>
      </w:r>
      <w:r w:rsidR="00C11D38" w:rsidRPr="00C11D38">
        <w:t>-</w:t>
      </w:r>
      <w:r w:rsidR="00C11D38">
        <w:rPr>
          <w:lang w:val="en-US"/>
        </w:rPr>
        <w:t>Financial</w:t>
      </w:r>
      <w:r w:rsidR="00C11D38" w:rsidRPr="00C11D38">
        <w:t xml:space="preserve"> </w:t>
      </w:r>
      <w:r w:rsidR="00C11D38">
        <w:rPr>
          <w:lang w:val="en-US"/>
        </w:rPr>
        <w:t>Assistance</w:t>
      </w:r>
      <w:r w:rsidR="00C11D38" w:rsidRPr="00C11D38">
        <w:t xml:space="preserve"> - </w:t>
      </w:r>
      <w:r>
        <w:rPr>
          <w:lang w:val="en-US"/>
        </w:rPr>
        <w:t>MFA</w:t>
      </w:r>
      <w:r w:rsidR="00C11D38" w:rsidRPr="00C11D38">
        <w:t xml:space="preserve">) </w:t>
      </w:r>
      <w:r>
        <w:t>προς την Ουκρανία ύψους 45 εκατ. ευρώ.</w:t>
      </w:r>
    </w:p>
    <w:bookmarkEnd w:id="134"/>
    <w:p w14:paraId="65701F04" w14:textId="77777777" w:rsidR="00CC5CF7" w:rsidRPr="00726784" w:rsidRDefault="00CC5CF7" w:rsidP="00D96226">
      <w:pPr>
        <w:spacing w:before="240"/>
        <w:rPr>
          <w:rFonts w:cs="Arial"/>
          <w:b/>
          <w:szCs w:val="22"/>
        </w:rPr>
      </w:pPr>
      <w:r w:rsidRPr="00726784">
        <w:rPr>
          <w:rFonts w:cs="Arial"/>
          <w:b/>
          <w:szCs w:val="22"/>
        </w:rPr>
        <w:t>Αγορές αγαθών και υπηρεσιών</w:t>
      </w:r>
    </w:p>
    <w:p w14:paraId="26167186" w14:textId="77777777" w:rsidR="00094F63" w:rsidRDefault="00094F63" w:rsidP="00094F63">
      <w:r>
        <w:t xml:space="preserve">Στην κατηγορία αυτή περιλαμβάνονται δαπάνες καταναλωτικού χαρακτήρα. Οι σχετικές δαπάνες για το έτος 2025 εκτιμάται ότι θα ανέλθουν σε 2.281 εκατ. ευρώ, αυξημένες κατά 371 εκατ. ευρώ έναντι του στόχου του προϋπολογισμού ύψους 1.910 εκατ. ευρώ, κυρίως λόγω της κάλυψης </w:t>
      </w:r>
      <w:r w:rsidRPr="006530AF">
        <w:t xml:space="preserve">των λειτουργικών δαπανών των </w:t>
      </w:r>
      <w:r>
        <w:t>Υ</w:t>
      </w:r>
      <w:r w:rsidRPr="006530AF">
        <w:t>πουργείων</w:t>
      </w:r>
      <w:r w:rsidRPr="0056467A">
        <w:t xml:space="preserve"> </w:t>
      </w:r>
      <w:r w:rsidRPr="006530AF">
        <w:t xml:space="preserve">μέσω </w:t>
      </w:r>
      <w:r>
        <w:t xml:space="preserve">ενίσχυσης των </w:t>
      </w:r>
      <w:r w:rsidRPr="006530AF">
        <w:t>πιστώσε</w:t>
      </w:r>
      <w:r>
        <w:t>ώ</w:t>
      </w:r>
      <w:r w:rsidRPr="006530AF">
        <w:t>ν</w:t>
      </w:r>
      <w:r>
        <w:t xml:space="preserve"> τους, ύψους:</w:t>
      </w:r>
    </w:p>
    <w:p w14:paraId="460DE198" w14:textId="0AE118DF" w:rsidR="00094F63" w:rsidRDefault="00094F63" w:rsidP="00726784">
      <w:pPr>
        <w:numPr>
          <w:ilvl w:val="0"/>
          <w:numId w:val="1"/>
        </w:numPr>
        <w:spacing w:before="120" w:after="60"/>
        <w:ind w:left="568" w:hanging="284"/>
      </w:pPr>
      <w:r>
        <w:t>34</w:t>
      </w:r>
      <w:r w:rsidRPr="006530AF">
        <w:t xml:space="preserve"> εκατ. ευρώ</w:t>
      </w:r>
      <w:r>
        <w:t xml:space="preserve"> από το </w:t>
      </w:r>
      <w:r w:rsidRPr="006530AF">
        <w:t>αποθεματικ</w:t>
      </w:r>
      <w:r>
        <w:t>ό</w:t>
      </w:r>
      <w:r w:rsidRPr="006530AF">
        <w:t xml:space="preserve"> </w:t>
      </w:r>
      <w:r>
        <w:t xml:space="preserve">της </w:t>
      </w:r>
      <w:r w:rsidRPr="006530AF">
        <w:t>παρ.1</w:t>
      </w:r>
      <w:r>
        <w:t xml:space="preserve"> του </w:t>
      </w:r>
      <w:r w:rsidRPr="006530AF">
        <w:t>άρθρο</w:t>
      </w:r>
      <w:r>
        <w:t>υ</w:t>
      </w:r>
      <w:r w:rsidRPr="006530AF">
        <w:t xml:space="preserve"> 59 του ν.4270/2014</w:t>
      </w:r>
      <w:r w:rsidR="00760849">
        <w:t xml:space="preserve"> (Α’ 143)</w:t>
      </w:r>
      <w:r w:rsidRPr="006530AF">
        <w:t xml:space="preserve">, εκ των οποίων ποσό ύψους </w:t>
      </w:r>
      <w:r>
        <w:t>20</w:t>
      </w:r>
      <w:r w:rsidRPr="006530AF">
        <w:t xml:space="preserve"> εκατ. ευρώ αφορά σ</w:t>
      </w:r>
      <w:r w:rsidRPr="00A05771">
        <w:t xml:space="preserve">το πρόσθετο κόστος του πτητικού έργου σαράντα εννέα (49) συνολικά εναέριων μέσων δασοπυρόσβεσης </w:t>
      </w:r>
      <w:r>
        <w:t xml:space="preserve">και </w:t>
      </w:r>
      <w:r w:rsidR="002B52CB">
        <w:t xml:space="preserve">ποσό ύψους </w:t>
      </w:r>
      <w:r>
        <w:t xml:space="preserve">11 εκατ. ευρώ αφορά σε δαπάνες </w:t>
      </w:r>
      <w:r w:rsidRPr="00A05771">
        <w:t xml:space="preserve">εκτός έδρας μετακινούμενου πυροσβεστικού προσωπικού </w:t>
      </w:r>
      <w:r w:rsidR="002B52CB">
        <w:t xml:space="preserve">με σκοπό την κάλυψη </w:t>
      </w:r>
      <w:r w:rsidRPr="00A05771">
        <w:t>αν</w:t>
      </w:r>
      <w:r w:rsidR="002B52CB">
        <w:t>α</w:t>
      </w:r>
      <w:r w:rsidRPr="00A05771">
        <w:t>γκ</w:t>
      </w:r>
      <w:r w:rsidR="002B52CB">
        <w:t>ών</w:t>
      </w:r>
      <w:r w:rsidRPr="00A05771">
        <w:t xml:space="preserve"> σε έξοδα κίνησης και διανυκτέρευσης προσωπικού για την τρέχουσα αντιπυρική περίοδο</w:t>
      </w:r>
      <w:r>
        <w:t xml:space="preserve"> και</w:t>
      </w:r>
    </w:p>
    <w:p w14:paraId="1D945BBD" w14:textId="1CF74DF7" w:rsidR="00094F63" w:rsidRDefault="00094F63" w:rsidP="00094F63">
      <w:pPr>
        <w:numPr>
          <w:ilvl w:val="0"/>
          <w:numId w:val="1"/>
        </w:numPr>
        <w:spacing w:before="60"/>
        <w:ind w:left="568" w:hanging="284"/>
      </w:pPr>
      <w:r>
        <w:t>185</w:t>
      </w:r>
      <w:r w:rsidRPr="006530AF">
        <w:t xml:space="preserve"> εκατ. ευρώ</w:t>
      </w:r>
      <w:r>
        <w:t xml:space="preserve"> από το </w:t>
      </w:r>
      <w:r w:rsidRPr="006530AF">
        <w:t>ειδικ</w:t>
      </w:r>
      <w:r>
        <w:t>ό</w:t>
      </w:r>
      <w:r w:rsidRPr="006530AF">
        <w:t xml:space="preserve"> αποθεματικ</w:t>
      </w:r>
      <w:r>
        <w:t>ό</w:t>
      </w:r>
      <w:r w:rsidRPr="006530AF">
        <w:t xml:space="preserve"> </w:t>
      </w:r>
      <w:r>
        <w:t xml:space="preserve">της </w:t>
      </w:r>
      <w:r w:rsidRPr="006530AF">
        <w:t>παρ.8</w:t>
      </w:r>
      <w:r>
        <w:t xml:space="preserve"> του</w:t>
      </w:r>
      <w:r w:rsidRPr="006530AF">
        <w:t xml:space="preserve"> άρθρο</w:t>
      </w:r>
      <w:r>
        <w:t>υ</w:t>
      </w:r>
      <w:r w:rsidRPr="006530AF">
        <w:t xml:space="preserve"> 59 του ν.4270/2014,</w:t>
      </w:r>
      <w:r>
        <w:t xml:space="preserve"> </w:t>
      </w:r>
      <w:r w:rsidRPr="006530AF">
        <w:t>εκ των οποίων</w:t>
      </w:r>
      <w:r w:rsidR="00B315BD">
        <w:t xml:space="preserve"> ποσό ύψους</w:t>
      </w:r>
      <w:r w:rsidR="005C4D78">
        <w:t>:</w:t>
      </w:r>
      <w:r w:rsidRPr="006530AF">
        <w:t xml:space="preserve"> </w:t>
      </w:r>
      <w:r w:rsidR="005C4D78">
        <w:t xml:space="preserve">(α) </w:t>
      </w:r>
      <w:r>
        <w:t>41</w:t>
      </w:r>
      <w:r w:rsidRPr="006530AF">
        <w:t xml:space="preserve"> εκατ. ευρώ αφορά στην προμήθεια αντιικών θεραπειών, </w:t>
      </w:r>
      <w:r w:rsidR="00B315BD">
        <w:t xml:space="preserve">(β) </w:t>
      </w:r>
      <w:r>
        <w:t>34</w:t>
      </w:r>
      <w:r w:rsidRPr="006530AF">
        <w:t xml:space="preserve"> εκατ. ευρώ </w:t>
      </w:r>
      <w:r w:rsidR="0031160C">
        <w:t>αποσκοπεί</w:t>
      </w:r>
      <w:r w:rsidRPr="006530AF">
        <w:t xml:space="preserve"> στην κάλυψη των αναγκών των επιτελείων του Υπουργείου Εθνικής Άμυνας για αγορ</w:t>
      </w:r>
      <w:r w:rsidR="00210B9E">
        <w:t>ά</w:t>
      </w:r>
      <w:r w:rsidRPr="006530AF">
        <w:t xml:space="preserve"> καυσίμων κίνησης</w:t>
      </w:r>
      <w:r>
        <w:t>,</w:t>
      </w:r>
      <w:r w:rsidR="00B315BD">
        <w:t xml:space="preserve"> (γ)</w:t>
      </w:r>
      <w:r>
        <w:t xml:space="preserve"> 16 εκατ. ευρώ </w:t>
      </w:r>
      <w:r w:rsidR="00B315BD">
        <w:t>αφορά σ</w:t>
      </w:r>
      <w:r w:rsidRPr="00A857B4">
        <w:t>την αντιμετώπιση εξόδων κίνησης, ημερήσιας αποζημίωσης, διανυκτέρευσης και εγκατάστασης αστυνομικού προσωπικού</w:t>
      </w:r>
      <w:r w:rsidR="00B315BD">
        <w:t>,</w:t>
      </w:r>
      <w:r w:rsidRPr="00A857B4">
        <w:t xml:space="preserve"> προκειμένου να καλυφθούν οι επιχειρησιακές ανάγκες</w:t>
      </w:r>
      <w:r>
        <w:t xml:space="preserve">, </w:t>
      </w:r>
      <w:r w:rsidR="00B315BD">
        <w:t xml:space="preserve">(δ) </w:t>
      </w:r>
      <w:r>
        <w:t xml:space="preserve">14 εκατ. ευρώ </w:t>
      </w:r>
      <w:r w:rsidR="0031160C">
        <w:t xml:space="preserve">προορίζεται για την </w:t>
      </w:r>
      <w:r w:rsidRPr="00A857B4">
        <w:t>κάλυψη εξόδων ηλεκτρικού ρεύματος, εξόδων ύδρευσης και άρδευσης</w:t>
      </w:r>
      <w:r w:rsidR="00B315BD">
        <w:t xml:space="preserve"> καθώς και </w:t>
      </w:r>
      <w:r w:rsidRPr="00A857B4">
        <w:t>τηλεφωνίας</w:t>
      </w:r>
      <w:r>
        <w:t xml:space="preserve"> των</w:t>
      </w:r>
      <w:r w:rsidRPr="00A857B4">
        <w:t xml:space="preserve"> σωφρονιστικών ιδρυμάτων</w:t>
      </w:r>
      <w:r>
        <w:t xml:space="preserve"> και </w:t>
      </w:r>
      <w:r w:rsidR="00B315BD">
        <w:t xml:space="preserve">(ε) </w:t>
      </w:r>
      <w:r>
        <w:t xml:space="preserve">13 εκατ. ευρώ </w:t>
      </w:r>
      <w:r w:rsidR="00B315BD">
        <w:t>αφορά σ</w:t>
      </w:r>
      <w:r w:rsidRPr="00985AA5">
        <w:t xml:space="preserve">την αναβάθμιση των δυνατοτήτων πρόληψης και αντιμετώπισης πυρκαγιών από τις </w:t>
      </w:r>
      <w:r>
        <w:t>μ</w:t>
      </w:r>
      <w:r w:rsidRPr="00985AA5">
        <w:t>ονάδες των Ενόπλων Δυνάμεων</w:t>
      </w:r>
      <w:r w:rsidRPr="006530AF">
        <w:t>.</w:t>
      </w:r>
    </w:p>
    <w:p w14:paraId="5E37ED42" w14:textId="00501C97" w:rsidR="00B00FCE" w:rsidRPr="00544591" w:rsidRDefault="00094F63" w:rsidP="00094F63">
      <w:pPr>
        <w:spacing w:before="60"/>
        <w:rPr>
          <w:highlight w:val="yellow"/>
        </w:rPr>
      </w:pPr>
      <w:r>
        <w:t>Επιπρόσθετα</w:t>
      </w:r>
      <w:r w:rsidR="00F91365">
        <w:t>,</w:t>
      </w:r>
      <w:r w:rsidR="00013159">
        <w:t xml:space="preserve"> οι εκτιμώμενες αυξημένες δαπάνες καλύπτονται από έσοδα προερχόμενα </w:t>
      </w:r>
      <w:r w:rsidR="00340FEB">
        <w:t xml:space="preserve">κυρίως </w:t>
      </w:r>
      <w:r w:rsidR="00013159">
        <w:t xml:space="preserve">από </w:t>
      </w:r>
      <w:r>
        <w:t xml:space="preserve">το </w:t>
      </w:r>
      <w:r>
        <w:rPr>
          <w:lang w:val="en-US"/>
        </w:rPr>
        <w:t>Eurocontrol</w:t>
      </w:r>
      <w:r w:rsidRPr="00985AA5">
        <w:t xml:space="preserve"> (</w:t>
      </w:r>
      <w:r>
        <w:t>Υπουργείο Υποδομών</w:t>
      </w:r>
      <w:r w:rsidR="00F91365">
        <w:t xml:space="preserve"> και Μεταφορών</w:t>
      </w:r>
      <w:r>
        <w:t>), από το ΝΑΤΟ (Υπουργείο Εθνικής Άμυνας)</w:t>
      </w:r>
      <w:r w:rsidR="00181F28">
        <w:t xml:space="preserve"> και από τον </w:t>
      </w:r>
      <w:r w:rsidR="007C098F">
        <w:t>Εθνικό Οργανισμό Παροχής Υπηρεσιών Υγείας (</w:t>
      </w:r>
      <w:r w:rsidR="00181F28">
        <w:t>ΕΟΠΥΥ</w:t>
      </w:r>
      <w:r w:rsidR="007C098F">
        <w:t>)</w:t>
      </w:r>
      <w:r w:rsidR="00181F28">
        <w:t xml:space="preserve"> για την κάλυψη των αναγκών των στρατιωτικών νοσοκομείων</w:t>
      </w:r>
      <w:r>
        <w:t>.</w:t>
      </w:r>
    </w:p>
    <w:p w14:paraId="2295D89E" w14:textId="77777777" w:rsidR="00657DB5" w:rsidRPr="00726784" w:rsidRDefault="00657DB5" w:rsidP="00F846F3">
      <w:pPr>
        <w:keepNext/>
        <w:spacing w:before="240"/>
        <w:rPr>
          <w:rFonts w:cs="Arial"/>
          <w:b/>
          <w:szCs w:val="22"/>
        </w:rPr>
      </w:pPr>
      <w:r w:rsidRPr="00726784">
        <w:rPr>
          <w:rFonts w:cs="Arial"/>
          <w:b/>
          <w:szCs w:val="22"/>
        </w:rPr>
        <w:lastRenderedPageBreak/>
        <w:t>Επιδοτήσεις</w:t>
      </w:r>
    </w:p>
    <w:p w14:paraId="69A3DE7E" w14:textId="6A6F5551" w:rsidR="008E19DF" w:rsidRPr="00544591" w:rsidRDefault="00726784" w:rsidP="00D96226">
      <w:pPr>
        <w:rPr>
          <w:highlight w:val="yellow"/>
        </w:rPr>
      </w:pPr>
      <w:r w:rsidRPr="00401E61">
        <w:t>Στην κατηγορία αυτή περιλαμβάνονται, κυρίως, οι επιδοτήσεις προς την ΤΡΑΙΝΟΣΕ ΑΕ και προς τα Ελληνικά Ταχυδρομεία (ΕΛΤΑ) για την καθολική ταχυδρομική υπηρεσία. Η συνολική εκτιμώμενη δαπάνη για αυτή την κατηγορία ανέρχεται σε 7</w:t>
      </w:r>
      <w:r>
        <w:t>8</w:t>
      </w:r>
      <w:r w:rsidRPr="00401E61">
        <w:t xml:space="preserve"> εκατ. ευρώ, </w:t>
      </w:r>
      <w:r w:rsidR="003C5BC2">
        <w:t>προσεγγίζοντας τον</w:t>
      </w:r>
      <w:r w:rsidRPr="00401E61">
        <w:t xml:space="preserve"> στόχο του προϋπολογισμού.</w:t>
      </w:r>
    </w:p>
    <w:p w14:paraId="4E9B7159" w14:textId="77777777" w:rsidR="008E19DF" w:rsidRPr="00726784" w:rsidRDefault="008E19DF" w:rsidP="00D96226">
      <w:pPr>
        <w:spacing w:before="240"/>
        <w:rPr>
          <w:rFonts w:cs="Arial"/>
          <w:b/>
          <w:szCs w:val="22"/>
        </w:rPr>
      </w:pPr>
      <w:r w:rsidRPr="00726784">
        <w:rPr>
          <w:rFonts w:cs="Arial"/>
          <w:b/>
          <w:szCs w:val="22"/>
        </w:rPr>
        <w:t>Τόκοι (σε ακαθάριστη βάση)</w:t>
      </w:r>
    </w:p>
    <w:p w14:paraId="3C583A8D" w14:textId="053857D6" w:rsidR="00C97807" w:rsidRPr="00544591" w:rsidRDefault="00726784" w:rsidP="00D96226">
      <w:pPr>
        <w:rPr>
          <w:highlight w:val="yellow"/>
        </w:rPr>
      </w:pPr>
      <w:r w:rsidRPr="006455C4">
        <w:t>Η εκτίμηση για τις δαπάνες τόκων σε ακαθάριστη δημοσιονομική βάση ανέρχεται σε 9.</w:t>
      </w:r>
      <w:r w:rsidR="00FE6015">
        <w:t>841</w:t>
      </w:r>
      <w:r w:rsidRPr="006455C4">
        <w:t xml:space="preserve"> εκατ. ευρώ, αυξημένη κατά </w:t>
      </w:r>
      <w:r w:rsidR="00FE6015">
        <w:t>441</w:t>
      </w:r>
      <w:r w:rsidRPr="006455C4">
        <w:t xml:space="preserve"> εκατ. ευρώ σε σχέση με τον στόχο του προϋπολογισμού.</w:t>
      </w:r>
    </w:p>
    <w:p w14:paraId="1FCAF72F" w14:textId="77777777" w:rsidR="008E19DF" w:rsidRPr="00726784" w:rsidRDefault="008E19DF" w:rsidP="00D96226">
      <w:pPr>
        <w:spacing w:before="240"/>
        <w:rPr>
          <w:rFonts w:cs="Arial"/>
          <w:b/>
          <w:szCs w:val="22"/>
        </w:rPr>
      </w:pPr>
      <w:r w:rsidRPr="00726784">
        <w:rPr>
          <w:rFonts w:cs="Arial"/>
          <w:b/>
          <w:szCs w:val="22"/>
        </w:rPr>
        <w:t>Λοιπές δαπάνες</w:t>
      </w:r>
    </w:p>
    <w:p w14:paraId="4879963F" w14:textId="2FEB29A2" w:rsidR="00C97807" w:rsidRPr="00544591" w:rsidRDefault="00726784" w:rsidP="00726784">
      <w:pPr>
        <w:rPr>
          <w:highlight w:val="yellow"/>
        </w:rPr>
      </w:pPr>
      <w:r w:rsidRPr="006455C4">
        <w:t xml:space="preserve">Οι λοιπές δαπάνες περιλαμβάνουν κυρίως τη δαπάνη για τις επιστροφές στην ΕΕ από ανεκτέλεστα προγράμματα καθώς και τη δαπάνη για τα πρόστιμα προς την ΕΕ. Η εκτιμώμενη δαπάνη ανέρχεται σε </w:t>
      </w:r>
      <w:r>
        <w:t>121</w:t>
      </w:r>
      <w:r w:rsidRPr="006455C4">
        <w:t xml:space="preserve"> εκατ. ευρώ, αυξημένη κατά </w:t>
      </w:r>
      <w:r>
        <w:t>1</w:t>
      </w:r>
      <w:r w:rsidRPr="006455C4">
        <w:t xml:space="preserve">9 εκατ. ευρώ </w:t>
      </w:r>
      <w:r w:rsidR="00F91365">
        <w:t xml:space="preserve">έναντι του </w:t>
      </w:r>
      <w:r w:rsidRPr="006455C4">
        <w:t>στόχο</w:t>
      </w:r>
      <w:r w:rsidR="00F91365">
        <w:t>υ</w:t>
      </w:r>
      <w:r w:rsidRPr="006455C4">
        <w:t xml:space="preserve"> του προϋπολογισμού.</w:t>
      </w:r>
    </w:p>
    <w:p w14:paraId="7B85D65C" w14:textId="5661E249" w:rsidR="008E19DF" w:rsidRDefault="008E19DF" w:rsidP="00D96226">
      <w:pPr>
        <w:spacing w:before="240"/>
        <w:rPr>
          <w:rFonts w:cs="Arial"/>
          <w:b/>
          <w:szCs w:val="22"/>
        </w:rPr>
      </w:pPr>
      <w:r w:rsidRPr="006B7F69">
        <w:rPr>
          <w:rFonts w:cs="Arial"/>
          <w:b/>
          <w:szCs w:val="22"/>
        </w:rPr>
        <w:t>Πιστώσεις υπό κατανομή</w:t>
      </w:r>
    </w:p>
    <w:p w14:paraId="3983F354" w14:textId="66B41A46" w:rsidR="009C4505" w:rsidRDefault="009C4505" w:rsidP="009C4505">
      <w:r>
        <w:t xml:space="preserve">Στην κατηγορία αυτή περιλαμβάνονται κυρίως </w:t>
      </w:r>
      <w:r w:rsidR="005850DC">
        <w:t>προβλέψεις γ</w:t>
      </w:r>
      <w:r>
        <w:t>ι</w:t>
      </w:r>
      <w:r w:rsidR="005850DC">
        <w:t>α</w:t>
      </w:r>
      <w:r>
        <w:t xml:space="preserve"> δαπάνες του προϋπολογισμού δημοσίων επενδύσεων και των αποθεματικών του κρατικού προϋπολογισμού (παρ.1 και 8 του άρθρου 59 του ν.4270/2014)</w:t>
      </w:r>
      <w:r w:rsidR="00A169A0">
        <w:t>, με τ</w:t>
      </w:r>
      <w:r>
        <w:t xml:space="preserve">ο συνολικό ποσό </w:t>
      </w:r>
      <w:r w:rsidR="00A169A0">
        <w:t>να</w:t>
      </w:r>
      <w:r>
        <w:t xml:space="preserve"> εκτιμάται </w:t>
      </w:r>
      <w:r w:rsidRPr="00945571">
        <w:t>σε 16.740 εκατ.</w:t>
      </w:r>
      <w:r>
        <w:t xml:space="preserve"> ευρώ. </w:t>
      </w:r>
      <w:r w:rsidR="00A169A0">
        <w:t>Η εν λόγω μείζονα κατηγορία περιλαμβάνει κυρίως</w:t>
      </w:r>
      <w:r w:rsidR="00E0515F">
        <w:t xml:space="preserve"> </w:t>
      </w:r>
      <w:r w:rsidR="00133899">
        <w:t>ποσά</w:t>
      </w:r>
      <w:r w:rsidR="00E0515F">
        <w:t xml:space="preserve"> για</w:t>
      </w:r>
      <w:r w:rsidR="00A169A0">
        <w:t>:</w:t>
      </w:r>
    </w:p>
    <w:p w14:paraId="61E5C103" w14:textId="051A2CE0" w:rsidR="00CD3226" w:rsidRDefault="00CD3226" w:rsidP="00270C2C">
      <w:pPr>
        <w:numPr>
          <w:ilvl w:val="0"/>
          <w:numId w:val="1"/>
        </w:numPr>
        <w:spacing w:before="120" w:after="60"/>
        <w:ind w:left="568" w:hanging="284"/>
      </w:pPr>
      <w:r>
        <w:t xml:space="preserve">δαπάνες του </w:t>
      </w:r>
      <w:r w:rsidR="0054651A">
        <w:t xml:space="preserve">εθνικού και του συγχρηματοδοτούμενου σκέλους του </w:t>
      </w:r>
      <w:r>
        <w:t xml:space="preserve">προϋπολογισμού δημοσίων επενδύσεων, ύψους 9.700 εκατ. ευρώ, οι οποίες παρουσιάζονται αυξημένες σε σχέση με τον στόχο </w:t>
      </w:r>
      <w:r w:rsidR="00A169A0">
        <w:t xml:space="preserve">του </w:t>
      </w:r>
      <w:r>
        <w:t>προϋπολογισμού κατά 500 εκατ. ευρώ, κατόπιν της ψήφισης του συμπληρωματικού προϋπολογισμού (άρθρο 86 του ν.5217/2025, Α’ 120)</w:t>
      </w:r>
      <w:r w:rsidR="00AA377E">
        <w:t>,</w:t>
      </w:r>
    </w:p>
    <w:p w14:paraId="462A7C23" w14:textId="5108385B" w:rsidR="00C97807" w:rsidRDefault="00CD3226" w:rsidP="00270C2C">
      <w:pPr>
        <w:numPr>
          <w:ilvl w:val="0"/>
          <w:numId w:val="1"/>
        </w:numPr>
        <w:spacing w:before="60" w:after="60"/>
        <w:ind w:left="568" w:hanging="284"/>
      </w:pPr>
      <w:r>
        <w:t>δαπάνες του επιχορηγούμενου σκέλους του ΤΑΑ, ύψους 4.900 εκατ. ευρώ</w:t>
      </w:r>
      <w:r w:rsidR="00AA377E">
        <w:t>,</w:t>
      </w:r>
    </w:p>
    <w:p w14:paraId="6EC12ECF" w14:textId="33D3D50E" w:rsidR="00AA377E" w:rsidRPr="006455C4" w:rsidRDefault="00A169A0" w:rsidP="00275677">
      <w:pPr>
        <w:numPr>
          <w:ilvl w:val="0"/>
          <w:numId w:val="1"/>
        </w:numPr>
        <w:spacing w:before="60" w:after="60"/>
        <w:ind w:left="568" w:hanging="284"/>
      </w:pPr>
      <w:r>
        <w:t>δαπάνες</w:t>
      </w:r>
      <w:r w:rsidR="00AA377E" w:rsidRPr="006455C4">
        <w:t xml:space="preserve"> για νέες προσλήψεις προσωπικού του οποίου η μισθοδοσία καλύπτεται από τον τακτικό προϋπολογισμό </w:t>
      </w:r>
      <w:r w:rsidR="00442859">
        <w:t xml:space="preserve">καθώς </w:t>
      </w:r>
      <w:r w:rsidR="00AA377E" w:rsidRPr="006455C4">
        <w:t>και</w:t>
      </w:r>
      <w:r w:rsidR="00442859">
        <w:t xml:space="preserve"> για</w:t>
      </w:r>
      <w:r w:rsidR="00AA377E" w:rsidRPr="006455C4">
        <w:t xml:space="preserve"> λοιπές μισθολογικές δαπάνες, συνολικού ύψους </w:t>
      </w:r>
      <w:r w:rsidR="00AA377E">
        <w:t>313</w:t>
      </w:r>
      <w:r w:rsidR="00AA377E" w:rsidRPr="006455C4">
        <w:t xml:space="preserve"> εκατ. ευρώ</w:t>
      </w:r>
      <w:r w:rsidR="00AA377E">
        <w:t>,</w:t>
      </w:r>
    </w:p>
    <w:p w14:paraId="042DB124" w14:textId="68E9DE64" w:rsidR="00AA377E" w:rsidRDefault="00A169A0" w:rsidP="00275677">
      <w:pPr>
        <w:numPr>
          <w:ilvl w:val="0"/>
          <w:numId w:val="1"/>
        </w:numPr>
        <w:spacing w:before="60" w:after="60"/>
        <w:ind w:left="568" w:hanging="284"/>
      </w:pPr>
      <w:r w:rsidRPr="00A169A0">
        <w:t xml:space="preserve">δαπάνες </w:t>
      </w:r>
      <w:r w:rsidR="00AA377E" w:rsidRPr="006455C4">
        <w:t xml:space="preserve">ύψους </w:t>
      </w:r>
      <w:r w:rsidR="00AA377E">
        <w:t>156</w:t>
      </w:r>
      <w:r w:rsidR="00AA377E" w:rsidRPr="006455C4">
        <w:t xml:space="preserve"> εκατ. ευρώ για τη διαχείριση των μεταναστευτικών ροών, προς εξυπηρέτηση μελλοντικών σχετικών αναγκών των αρμόδιων με τις μεταναστευτικές ροές </w:t>
      </w:r>
      <w:r w:rsidR="00AA377E">
        <w:t>Υ</w:t>
      </w:r>
      <w:r w:rsidR="00AA377E" w:rsidRPr="006455C4">
        <w:t>πουργείων</w:t>
      </w:r>
      <w:r w:rsidR="00AA377E">
        <w:t>,</w:t>
      </w:r>
    </w:p>
    <w:p w14:paraId="6CF341DB" w14:textId="4C71B66B" w:rsidR="009133B8" w:rsidRPr="006455C4" w:rsidRDefault="009133B8" w:rsidP="009133B8">
      <w:pPr>
        <w:numPr>
          <w:ilvl w:val="0"/>
          <w:numId w:val="1"/>
        </w:numPr>
        <w:spacing w:before="60"/>
        <w:ind w:left="568" w:hanging="284"/>
      </w:pPr>
      <w:r>
        <w:t xml:space="preserve">λοιπές δαπάνες κοινωνικής ασφάλισης και κοινωνικής προστασίας, </w:t>
      </w:r>
      <w:r w:rsidRPr="006455C4">
        <w:t>ύψους</w:t>
      </w:r>
      <w:r>
        <w:t xml:space="preserve"> 190 εκατ. ευρώ και</w:t>
      </w:r>
    </w:p>
    <w:p w14:paraId="67F161F5" w14:textId="4DCBC1B3" w:rsidR="00AA377E" w:rsidRDefault="00E0515F" w:rsidP="00275677">
      <w:pPr>
        <w:numPr>
          <w:ilvl w:val="0"/>
          <w:numId w:val="1"/>
        </w:numPr>
        <w:spacing w:before="60" w:after="60"/>
        <w:ind w:left="568" w:hanging="284"/>
      </w:pPr>
      <w:r>
        <w:t>ανάγκες των Υπουργείων</w:t>
      </w:r>
      <w:r w:rsidR="009133B8">
        <w:t>,</w:t>
      </w:r>
      <w:r>
        <w:t xml:space="preserve"> ύψους</w:t>
      </w:r>
      <w:r w:rsidR="00AA377E">
        <w:t xml:space="preserve"> 460 εκατ. ευρώ</w:t>
      </w:r>
      <w:r w:rsidR="009133B8">
        <w:t>.</w:t>
      </w:r>
    </w:p>
    <w:p w14:paraId="23AD2E66" w14:textId="7F30C448" w:rsidR="00AA377E" w:rsidRPr="006455C4" w:rsidRDefault="00AA377E" w:rsidP="00AA377E">
      <w:pPr>
        <w:spacing w:before="120"/>
      </w:pPr>
      <w:r w:rsidRPr="006455C4">
        <w:t>Τέλος, τονίζεται ότι οι πιστώσεις από τ</w:t>
      </w:r>
      <w:r w:rsidR="00EA4FE4">
        <w:t>ο</w:t>
      </w:r>
      <w:r w:rsidRPr="006455C4">
        <w:t xml:space="preserve"> αποθεματικ</w:t>
      </w:r>
      <w:r w:rsidR="00EA4FE4">
        <w:t>ό</w:t>
      </w:r>
      <w:r w:rsidRPr="006455C4">
        <w:t xml:space="preserve"> του </w:t>
      </w:r>
      <w:r>
        <w:t>κ</w:t>
      </w:r>
      <w:r w:rsidRPr="006455C4">
        <w:t xml:space="preserve">ρατικού </w:t>
      </w:r>
      <w:r>
        <w:t>π</w:t>
      </w:r>
      <w:r w:rsidRPr="006455C4">
        <w:t>ροϋπολογισμού</w:t>
      </w:r>
      <w:r w:rsidRPr="00F366A4">
        <w:t xml:space="preserve"> (</w:t>
      </w:r>
      <w:r>
        <w:t>παρ.1 και παρ.8 του ν.4270/2014)</w:t>
      </w:r>
      <w:r w:rsidRPr="006455C4">
        <w:t xml:space="preserve"> κατανέμονται κατά τη διάρκεια του έτους προς </w:t>
      </w:r>
      <w:r>
        <w:t>κάλυψη</w:t>
      </w:r>
      <w:r w:rsidRPr="006455C4">
        <w:t xml:space="preserve"> </w:t>
      </w:r>
      <w:r>
        <w:t>εκτάκτων</w:t>
      </w:r>
      <w:r w:rsidRPr="006455C4">
        <w:t xml:space="preserve"> δαπανών. Μέχρι τα </w:t>
      </w:r>
      <w:r>
        <w:t>τέλη</w:t>
      </w:r>
      <w:r w:rsidRPr="006455C4">
        <w:t xml:space="preserve"> Ιουλίου 202</w:t>
      </w:r>
      <w:r>
        <w:t>5</w:t>
      </w:r>
      <w:r w:rsidRPr="006455C4">
        <w:t xml:space="preserve"> είχαν διατεθεί </w:t>
      </w:r>
      <w:r>
        <w:t>868</w:t>
      </w:r>
      <w:r w:rsidRPr="006455C4">
        <w:t xml:space="preserve"> εκατ. ευρώ, προκειμένου να αντιμετωπισ</w:t>
      </w:r>
      <w:r>
        <w:t>τ</w:t>
      </w:r>
      <w:r w:rsidRPr="006455C4">
        <w:t>ούν δαπάνες κυρίως για την:</w:t>
      </w:r>
    </w:p>
    <w:p w14:paraId="45D9CBC8" w14:textId="77777777" w:rsidR="00AA377E" w:rsidRPr="006455C4" w:rsidRDefault="00AA377E" w:rsidP="00AA377E">
      <w:pPr>
        <w:numPr>
          <w:ilvl w:val="0"/>
          <w:numId w:val="1"/>
        </w:numPr>
        <w:spacing w:before="120" w:after="60"/>
        <w:ind w:left="568" w:hanging="284"/>
      </w:pPr>
      <w:r w:rsidRPr="006455C4">
        <w:t>εκτέλεση τελεσίδικων και αμετάκλητων δικαστικών αποφάσεων,</w:t>
      </w:r>
    </w:p>
    <w:p w14:paraId="4F6B917F" w14:textId="4969DC00" w:rsidR="00AA377E" w:rsidRDefault="00AA377E" w:rsidP="00AA377E">
      <w:pPr>
        <w:numPr>
          <w:ilvl w:val="0"/>
          <w:numId w:val="1"/>
        </w:numPr>
        <w:spacing w:before="60" w:after="60"/>
        <w:ind w:left="568" w:hanging="284"/>
      </w:pPr>
      <w:r w:rsidRPr="006455C4">
        <w:t xml:space="preserve">αντιμετώπιση φυσικών καταστροφών και </w:t>
      </w:r>
      <w:r w:rsidR="00442859">
        <w:t xml:space="preserve">την </w:t>
      </w:r>
      <w:r w:rsidRPr="006455C4">
        <w:t>ενίσχυση των πληγέντων,</w:t>
      </w:r>
    </w:p>
    <w:p w14:paraId="6CB986CE" w14:textId="77777777" w:rsidR="00AA377E" w:rsidRDefault="00AA377E" w:rsidP="00AA377E">
      <w:pPr>
        <w:numPr>
          <w:ilvl w:val="0"/>
          <w:numId w:val="1"/>
        </w:numPr>
        <w:spacing w:before="60" w:after="60"/>
        <w:ind w:left="568" w:hanging="284"/>
      </w:pPr>
      <w:r>
        <w:t>ενίσχυση των Κεντρικών Αυτοτελών Πόρων (ΚΑΠ),</w:t>
      </w:r>
    </w:p>
    <w:p w14:paraId="24758C97" w14:textId="77777777" w:rsidR="00AA377E" w:rsidRPr="006455C4" w:rsidRDefault="00AA377E" w:rsidP="00AA377E">
      <w:pPr>
        <w:numPr>
          <w:ilvl w:val="0"/>
          <w:numId w:val="1"/>
        </w:numPr>
        <w:spacing w:before="60" w:after="60"/>
        <w:ind w:left="568" w:hanging="284"/>
      </w:pPr>
      <w:r>
        <w:t xml:space="preserve">ενίσχυση της </w:t>
      </w:r>
      <w:r w:rsidRPr="00926E00">
        <w:t>Εθνική</w:t>
      </w:r>
      <w:r>
        <w:t>ς</w:t>
      </w:r>
      <w:r w:rsidRPr="00926E00">
        <w:t xml:space="preserve"> Κεντρική</w:t>
      </w:r>
      <w:r>
        <w:t>ς</w:t>
      </w:r>
      <w:r w:rsidRPr="00926E00">
        <w:t xml:space="preserve"> Αρχή</w:t>
      </w:r>
      <w:r>
        <w:t>ς</w:t>
      </w:r>
      <w:r w:rsidRPr="00926E00">
        <w:t xml:space="preserve"> Προμηθειών Υγείας</w:t>
      </w:r>
      <w:r>
        <w:t xml:space="preserve"> (ΕΚΑΠΥ) και του Εθνικού Κέντρου Άμεσης Βοήθειας (ΕΚΑΒ),</w:t>
      </w:r>
    </w:p>
    <w:p w14:paraId="4C9F4B28" w14:textId="77777777" w:rsidR="00AA377E" w:rsidRPr="006455C4" w:rsidRDefault="00AA377E" w:rsidP="00AA377E">
      <w:pPr>
        <w:numPr>
          <w:ilvl w:val="0"/>
          <w:numId w:val="1"/>
        </w:numPr>
        <w:spacing w:before="60" w:after="60"/>
        <w:ind w:left="568" w:hanging="284"/>
      </w:pPr>
      <w:r w:rsidRPr="006455C4">
        <w:t>κάλυψη δαπανών αεροπυρόσβεσης,</w:t>
      </w:r>
    </w:p>
    <w:p w14:paraId="16131041" w14:textId="77777777" w:rsidR="00AA377E" w:rsidRPr="006455C4" w:rsidRDefault="00AA377E" w:rsidP="00AA377E">
      <w:pPr>
        <w:numPr>
          <w:ilvl w:val="0"/>
          <w:numId w:val="1"/>
        </w:numPr>
        <w:spacing w:before="60" w:after="60"/>
        <w:ind w:left="568" w:hanging="284"/>
      </w:pPr>
      <w:r w:rsidRPr="006455C4">
        <w:t xml:space="preserve">προμήθεια </w:t>
      </w:r>
      <w:r>
        <w:t>φαρμακευτικού</w:t>
      </w:r>
      <w:r w:rsidRPr="006455C4">
        <w:t xml:space="preserve"> υλικού,</w:t>
      </w:r>
    </w:p>
    <w:p w14:paraId="74635577" w14:textId="77777777" w:rsidR="00AA377E" w:rsidRPr="006455C4" w:rsidRDefault="00AA377E" w:rsidP="00AA377E">
      <w:pPr>
        <w:numPr>
          <w:ilvl w:val="0"/>
          <w:numId w:val="1"/>
        </w:numPr>
        <w:spacing w:before="60" w:after="60"/>
        <w:ind w:left="568" w:hanging="284"/>
      </w:pPr>
      <w:r w:rsidRPr="006455C4">
        <w:t>κάλυψη δαπανών αναγκαστικής απαλλοτρίωσης ακινήτου για το Κυβερνητικό Πάρκο στον χώρο του πρώην εργοστασίου της ΠΥΡΚΑΛ</w:t>
      </w:r>
      <w:r>
        <w:t xml:space="preserve"> και</w:t>
      </w:r>
    </w:p>
    <w:p w14:paraId="21D2BDDA" w14:textId="5955CB43" w:rsidR="00AA377E" w:rsidRPr="006455C4" w:rsidRDefault="00AA377E" w:rsidP="00AA377E">
      <w:pPr>
        <w:numPr>
          <w:ilvl w:val="0"/>
          <w:numId w:val="1"/>
        </w:numPr>
        <w:spacing w:before="60"/>
        <w:ind w:left="568" w:hanging="284"/>
      </w:pPr>
      <w:r w:rsidRPr="006455C4">
        <w:lastRenderedPageBreak/>
        <w:t>κάλυψη πρόσθετων</w:t>
      </w:r>
      <w:r w:rsidR="00FF77D1">
        <w:t>,</w:t>
      </w:r>
      <w:r w:rsidRPr="006455C4">
        <w:t xml:space="preserve"> </w:t>
      </w:r>
      <w:r>
        <w:t>ε</w:t>
      </w:r>
      <w:r w:rsidRPr="006455C4">
        <w:t>κτ</w:t>
      </w:r>
      <w:r>
        <w:t>ά</w:t>
      </w:r>
      <w:r w:rsidRPr="006455C4">
        <w:t>κτων</w:t>
      </w:r>
      <w:r w:rsidR="00FF77D1">
        <w:t>,</w:t>
      </w:r>
      <w:r w:rsidRPr="006455C4">
        <w:t xml:space="preserve"> </w:t>
      </w:r>
      <w:r>
        <w:t>λειτουργικών</w:t>
      </w:r>
      <w:r w:rsidRPr="006455C4">
        <w:t xml:space="preserve"> δαπανών των φορέων της Κεντρικής Διοίκησης.</w:t>
      </w:r>
    </w:p>
    <w:p w14:paraId="66E921B4" w14:textId="77777777" w:rsidR="008E19DF" w:rsidRPr="00A7673B" w:rsidRDefault="008E19DF" w:rsidP="00D96226">
      <w:pPr>
        <w:spacing w:before="240"/>
        <w:rPr>
          <w:rFonts w:cs="Arial"/>
          <w:b/>
          <w:szCs w:val="22"/>
        </w:rPr>
      </w:pPr>
      <w:r w:rsidRPr="00A7673B">
        <w:rPr>
          <w:rFonts w:cs="Arial"/>
          <w:b/>
          <w:szCs w:val="22"/>
        </w:rPr>
        <w:t>Αγορές παγίων περιουσιακών στοιχείων</w:t>
      </w:r>
    </w:p>
    <w:p w14:paraId="18BEF22D" w14:textId="3D6C32AB" w:rsidR="00C97807" w:rsidRPr="00544591" w:rsidRDefault="00A7673B" w:rsidP="009D3636">
      <w:pPr>
        <w:rPr>
          <w:highlight w:val="yellow"/>
        </w:rPr>
      </w:pPr>
      <w:r w:rsidRPr="00D66A71">
        <w:t>Στην κατηγορία αυτή περιλαμβάνονται οι αγορές πάγιου εξοπλισμού των φορέων της Κεντρικής Διοίκησης και οι φυσικές παραλαβές οπλικών συστημάτων. Οι συνολικές δαπάνες εκτιμώνται σε 1.</w:t>
      </w:r>
      <w:r>
        <w:t>882</w:t>
      </w:r>
      <w:r w:rsidRPr="00D66A71">
        <w:t xml:space="preserve"> εκατ. ευρώ. </w:t>
      </w:r>
      <w:r>
        <w:t xml:space="preserve">Το μεγαλύτερο μέρος των δαπανών αφορά στις </w:t>
      </w:r>
      <w:r w:rsidRPr="00D66A71">
        <w:t>φυσικές παραλαβές των οπλικών συστημάτων του Υπουργείου Εθνικής Άμυνας</w:t>
      </w:r>
      <w:r w:rsidR="00AD4AA3">
        <w:t xml:space="preserve">, οι οποίες </w:t>
      </w:r>
      <w:r>
        <w:t>ανέρχονται σε 1.700 εκατ. ευρώ</w:t>
      </w:r>
      <w:r w:rsidRPr="00D66A71">
        <w:t>.</w:t>
      </w:r>
    </w:p>
    <w:p w14:paraId="705D5E85" w14:textId="77777777" w:rsidR="00CC5CF7" w:rsidRPr="00020064" w:rsidRDefault="00A458DE" w:rsidP="00D96226">
      <w:pPr>
        <w:spacing w:before="240"/>
        <w:rPr>
          <w:rFonts w:cs="Arial"/>
          <w:b/>
          <w:szCs w:val="22"/>
        </w:rPr>
      </w:pPr>
      <w:r w:rsidRPr="00020064">
        <w:rPr>
          <w:rFonts w:cs="Arial"/>
          <w:b/>
          <w:szCs w:val="22"/>
        </w:rPr>
        <w:t xml:space="preserve">Δαπάνες </w:t>
      </w:r>
      <w:r w:rsidR="00CC5CF7" w:rsidRPr="00020064">
        <w:rPr>
          <w:rFonts w:cs="Arial"/>
          <w:b/>
          <w:szCs w:val="22"/>
        </w:rPr>
        <w:t>Πρ</w:t>
      </w:r>
      <w:r w:rsidRPr="00020064">
        <w:rPr>
          <w:rFonts w:cs="Arial"/>
          <w:b/>
          <w:szCs w:val="22"/>
        </w:rPr>
        <w:t>ο</w:t>
      </w:r>
      <w:r w:rsidR="00020064" w:rsidRPr="00020064">
        <w:rPr>
          <w:rFonts w:cs="Arial"/>
          <w:b/>
          <w:szCs w:val="22"/>
        </w:rPr>
        <w:t>ϋπολογισμού</w:t>
      </w:r>
      <w:r w:rsidR="00CC5CF7" w:rsidRPr="00020064">
        <w:rPr>
          <w:rFonts w:cs="Arial"/>
          <w:b/>
          <w:szCs w:val="22"/>
        </w:rPr>
        <w:t xml:space="preserve"> Δημοσίων Επενδύσεων</w:t>
      </w:r>
    </w:p>
    <w:p w14:paraId="48FFFAAB" w14:textId="77777777" w:rsidR="00020064" w:rsidRPr="006B4032" w:rsidRDefault="00020064" w:rsidP="00020064">
      <w:r>
        <w:t xml:space="preserve">Ο </w:t>
      </w:r>
      <w:r w:rsidR="00AD59E4">
        <w:t>π</w:t>
      </w:r>
      <w:r>
        <w:t xml:space="preserve">ροϋπολογισμός </w:t>
      </w:r>
      <w:r w:rsidR="00AD59E4">
        <w:t>δ</w:t>
      </w:r>
      <w:r>
        <w:t xml:space="preserve">ημοσίων </w:t>
      </w:r>
      <w:r w:rsidR="00AD59E4">
        <w:t>ε</w:t>
      </w:r>
      <w:r>
        <w:t>πενδύσεων έτους 202</w:t>
      </w:r>
      <w:r w:rsidRPr="00AF0820">
        <w:t>5</w:t>
      </w:r>
      <w:r>
        <w:t xml:space="preserve">, οι δαπάνες του οποίου περιλαμβάνονται στις πιστώσεις υπό κατανομή, προέβλεπε όριο δαπανών συνολικού ύψους </w:t>
      </w:r>
      <w:r w:rsidRPr="00AF0820">
        <w:t>9</w:t>
      </w:r>
      <w:r>
        <w:t>.</w:t>
      </w:r>
      <w:r w:rsidRPr="00AF0820">
        <w:t>20</w:t>
      </w:r>
      <w:r>
        <w:t>0 εκατ. ευρώ, το οποίο επιμεριζόταν σε 6.</w:t>
      </w:r>
      <w:r w:rsidRPr="00AF0820">
        <w:t>4</w:t>
      </w:r>
      <w:r>
        <w:t xml:space="preserve">50 εκατ. ευρώ για έργα του συγχρηματοδοτούμενου σκέλους του </w:t>
      </w:r>
      <w:r w:rsidR="00106C40">
        <w:t xml:space="preserve">προϋπολογισμού δημοσίων επενδύσεων </w:t>
      </w:r>
      <w:r>
        <w:t>και 2.</w:t>
      </w:r>
      <w:r w:rsidRPr="00AF0820">
        <w:t>7</w:t>
      </w:r>
      <w:r>
        <w:t xml:space="preserve">50 εκατ. ευρώ για έργα που χρηματοδοτούνται αμιγώς από εθνικούς πόρους. Επίσης, προέβλεπε </w:t>
      </w:r>
      <w:r w:rsidRPr="00AF0820">
        <w:t>4</w:t>
      </w:r>
      <w:r>
        <w:t>.</w:t>
      </w:r>
      <w:r w:rsidRPr="00AF0820">
        <w:t>900</w:t>
      </w:r>
      <w:r>
        <w:t xml:space="preserve"> εκατ. ευρώ για έργα χρηματοδοτούμενα από το ΤΑΑ.</w:t>
      </w:r>
    </w:p>
    <w:p w14:paraId="1F4050C2" w14:textId="33CFAB7B" w:rsidR="00020064" w:rsidRDefault="00020064" w:rsidP="00020064">
      <w:r w:rsidRPr="00E7416C">
        <w:t xml:space="preserve">Τον </w:t>
      </w:r>
      <w:r w:rsidR="004F1892" w:rsidRPr="00E7416C">
        <w:t>Ιούλιο</w:t>
      </w:r>
      <w:r w:rsidRPr="00E7416C">
        <w:t xml:space="preserve"> 2025 ψηφίστηκε συμπληρωματικός προϋπολογισμός ύψους 500 εκατ. ευρώ με στόχο την</w:t>
      </w:r>
      <w:r w:rsidRPr="00595815">
        <w:t xml:space="preserve"> επιτάχυνση της υλοποίησης δημόσιων έργων, την προώθηση δράσεων κοινωνικού χαρακτήρα και την εξόφληση σχετικών υποχρεώσεων.</w:t>
      </w:r>
      <w:r>
        <w:t xml:space="preserve"> Με την ψήφιση του συμπληρωματικού προϋπολογισμού το όριο δαπανών στο εθνικό σκέλος διαμορφώθηκε σε 3.250 εκατ. ευρώ.</w:t>
      </w:r>
    </w:p>
    <w:p w14:paraId="0166E5C4" w14:textId="785A1983" w:rsidR="00020064" w:rsidRPr="00F963DF" w:rsidRDefault="00020064" w:rsidP="00020064">
      <w:r>
        <w:t xml:space="preserve">Το σύνολο των πόρων διατίθεται για τη </w:t>
      </w:r>
      <w:r w:rsidRPr="00F963DF">
        <w:t>στήριξη τομέων της οικονομίας λόγω επειγουσών αναγκών</w:t>
      </w:r>
      <w:r>
        <w:t xml:space="preserve"> και </w:t>
      </w:r>
      <w:r w:rsidR="00A10559">
        <w:t xml:space="preserve">για </w:t>
      </w:r>
      <w:r w:rsidRPr="00F963DF">
        <w:t>τη</w:t>
      </w:r>
      <w:r>
        <w:t>ν ενίσχυση της</w:t>
      </w:r>
      <w:r w:rsidRPr="00F963DF">
        <w:t xml:space="preserve"> αναπτυξιακής πορείας της χώρας</w:t>
      </w:r>
      <w:r>
        <w:t>,</w:t>
      </w:r>
      <w:r w:rsidRPr="00F963DF">
        <w:t xml:space="preserve"> μέσω της υλοποίησης έργων και δράσεων με υψηλή προστιθέμενη αξία. Ειδικότερα, έργα που συγχρηματοδοτούνται από την Ε</w:t>
      </w:r>
      <w:r w:rsidR="00AD59E4">
        <w:t>Ε</w:t>
      </w:r>
      <w:r w:rsidRPr="00F963DF">
        <w:t xml:space="preserve"> </w:t>
      </w:r>
      <w:r>
        <w:t>δίνουν</w:t>
      </w:r>
      <w:r w:rsidRPr="00F963DF">
        <w:t xml:space="preserve"> έμφαση σ</w:t>
      </w:r>
      <w:r>
        <w:t>τις</w:t>
      </w:r>
      <w:r w:rsidRPr="00F963DF">
        <w:t xml:space="preserve"> μεγάλες υποδομές, </w:t>
      </w:r>
      <w:r>
        <w:t>σ</w:t>
      </w:r>
      <w:r w:rsidRPr="00F963DF">
        <w:t xml:space="preserve">την πράσινη και </w:t>
      </w:r>
      <w:r w:rsidR="00A10559">
        <w:t xml:space="preserve">την </w:t>
      </w:r>
      <w:r w:rsidRPr="00F963DF">
        <w:t>ψηφιακή μετάβαση</w:t>
      </w:r>
      <w:r w:rsidR="003E0195">
        <w:t xml:space="preserve">, </w:t>
      </w:r>
      <w:r w:rsidR="0022263F">
        <w:t>στις μεταφορές</w:t>
      </w:r>
      <w:r>
        <w:t xml:space="preserve"> κ</w:t>
      </w:r>
      <w:r w:rsidR="00A10559">
        <w:t>.</w:t>
      </w:r>
      <w:r>
        <w:t>λπ.</w:t>
      </w:r>
    </w:p>
    <w:p w14:paraId="63894806" w14:textId="77777777" w:rsidR="00452334" w:rsidRDefault="00020064" w:rsidP="007D26B9">
      <w:r w:rsidRPr="00F963DF">
        <w:t xml:space="preserve">Παράλληλα, στο πλαίσιο υλοποίησης του Εθνικού Σχεδίου Ανάκαμψης και Ανθεκτικότητας «Ελλάδα 2.0», </w:t>
      </w:r>
      <w:r>
        <w:t xml:space="preserve">το οποίο βαίνει σε φάση ολοκλήρωσης εντός του επόμενου έτους, </w:t>
      </w:r>
      <w:r w:rsidRPr="00F963DF">
        <w:t>συνεχίζονται μεταρρυθμίσεις και επενδύσεις που εντάσσονται στους τέσσερις βασικούς πυλώνες του Σχεδίου</w:t>
      </w:r>
      <w:r>
        <w:t xml:space="preserve">. </w:t>
      </w:r>
      <w:r w:rsidRPr="00F963DF">
        <w:t>Επίσης, συνεχίζεται η αξιοποίηση των πόρων του ΤΑΑ για τη χρηματοδότηση ιδιωτικών επενδύσεων μέσω του σκέλους των δανείων.</w:t>
      </w:r>
    </w:p>
    <w:p w14:paraId="249CF463" w14:textId="77777777" w:rsidR="00CC5CF7" w:rsidRPr="00E627DD" w:rsidRDefault="00CC5CF7" w:rsidP="00DC6F26">
      <w:pPr>
        <w:pStyle w:val="4"/>
        <w:keepNext w:val="0"/>
      </w:pPr>
      <w:bookmarkStart w:id="135" w:name="_Toc210570668"/>
      <w:r w:rsidRPr="00E627DD">
        <w:t xml:space="preserve">Λοιποί υποτομείς </w:t>
      </w:r>
      <w:r w:rsidR="001E1B1E" w:rsidRPr="00E627DD">
        <w:t xml:space="preserve">της </w:t>
      </w:r>
      <w:r w:rsidRPr="00E627DD">
        <w:t>Γενικής Κυβέρνησης</w:t>
      </w:r>
      <w:bookmarkEnd w:id="135"/>
    </w:p>
    <w:p w14:paraId="34582F9D" w14:textId="77777777" w:rsidR="00CC5CF7" w:rsidRPr="00CE1E5F" w:rsidRDefault="00CC5CF7" w:rsidP="00A408DA">
      <w:pPr>
        <w:spacing w:before="240"/>
        <w:rPr>
          <w:rFonts w:cs="Arial"/>
          <w:b/>
          <w:szCs w:val="22"/>
        </w:rPr>
      </w:pPr>
      <w:r w:rsidRPr="00CE1E5F">
        <w:rPr>
          <w:rFonts w:cs="Arial"/>
          <w:b/>
          <w:szCs w:val="22"/>
        </w:rPr>
        <w:t>Νομικά Πρόσωπα</w:t>
      </w:r>
    </w:p>
    <w:p w14:paraId="362775F9" w14:textId="6ABB38CF" w:rsidR="009A45F2" w:rsidRPr="00CE1E5F" w:rsidRDefault="009A45F2" w:rsidP="006C7926">
      <w:r w:rsidRPr="00CE1E5F">
        <w:t xml:space="preserve">Το δημοσιονομικό αποτέλεσμα των νομικών προσώπων για το έτος </w:t>
      </w:r>
      <w:r w:rsidR="00B06CA9" w:rsidRPr="00CE1E5F">
        <w:t>202</w:t>
      </w:r>
      <w:r w:rsidR="005247ED" w:rsidRPr="00CE1E5F">
        <w:t>5</w:t>
      </w:r>
      <w:r w:rsidRPr="00CE1E5F">
        <w:t xml:space="preserve"> αναμένεται να διαμορφωθεί σ</w:t>
      </w:r>
      <w:r w:rsidR="00282F40" w:rsidRPr="00CE1E5F">
        <w:t>ε πλεόνασμα ύψους</w:t>
      </w:r>
      <w:r w:rsidR="00D42192" w:rsidRPr="00CE1E5F">
        <w:t xml:space="preserve"> </w:t>
      </w:r>
      <w:r w:rsidR="00C64E09" w:rsidRPr="00CE1E5F">
        <w:t>3</w:t>
      </w:r>
      <w:r w:rsidR="00B06CA9" w:rsidRPr="00CE1E5F">
        <w:t>.</w:t>
      </w:r>
      <w:r w:rsidR="00C64E09" w:rsidRPr="00CE1E5F">
        <w:t>736</w:t>
      </w:r>
      <w:r w:rsidRPr="00CE1E5F">
        <w:t xml:space="preserve"> εκατ. ευρώ, </w:t>
      </w:r>
      <w:r w:rsidR="00C64E09" w:rsidRPr="00CE1E5F">
        <w:t xml:space="preserve">υψηλότερο </w:t>
      </w:r>
      <w:r w:rsidRPr="00CE1E5F">
        <w:t xml:space="preserve">κατά </w:t>
      </w:r>
      <w:r w:rsidR="00C64E09" w:rsidRPr="00CE1E5F">
        <w:t>201</w:t>
      </w:r>
      <w:r w:rsidRPr="00CE1E5F">
        <w:t xml:space="preserve"> εκατ. ευρώ</w:t>
      </w:r>
      <w:r w:rsidR="00717A8F" w:rsidRPr="00CE1E5F">
        <w:t xml:space="preserve"> </w:t>
      </w:r>
      <w:r w:rsidRPr="00CE1E5F">
        <w:t xml:space="preserve">σε σχέση με </w:t>
      </w:r>
      <w:r w:rsidR="00D73D18" w:rsidRPr="00CE1E5F">
        <w:t xml:space="preserve">τις προβλέψεις του προϋπολογισμού οικονομικού έτους </w:t>
      </w:r>
      <w:r w:rsidR="00B06CA9" w:rsidRPr="00CE1E5F">
        <w:t>202</w:t>
      </w:r>
      <w:r w:rsidR="00C64E09" w:rsidRPr="00CE1E5F">
        <w:t>5</w:t>
      </w:r>
      <w:r w:rsidRPr="00CE1E5F">
        <w:t xml:space="preserve">, </w:t>
      </w:r>
      <w:r w:rsidR="00717A8F" w:rsidRPr="00CE1E5F">
        <w:t>ως απόρροια πολλών επιμέρους παραγόντων</w:t>
      </w:r>
      <w:r w:rsidR="00363684" w:rsidRPr="00CE1E5F">
        <w:t>,</w:t>
      </w:r>
      <w:r w:rsidR="00ED3548" w:rsidRPr="00CE1E5F">
        <w:t xml:space="preserve"> ιδίως</w:t>
      </w:r>
      <w:r w:rsidR="00414D08" w:rsidRPr="00CE1E5F">
        <w:t xml:space="preserve"> </w:t>
      </w:r>
      <w:r w:rsidR="008115A4" w:rsidRPr="00CE1E5F">
        <w:t xml:space="preserve">των </w:t>
      </w:r>
      <w:r w:rsidR="005B0BC6" w:rsidRPr="00CE1E5F">
        <w:t>αυξημέν</w:t>
      </w:r>
      <w:r w:rsidR="00ED3548" w:rsidRPr="00CE1E5F">
        <w:t>ων</w:t>
      </w:r>
      <w:r w:rsidR="005B0BC6" w:rsidRPr="00CE1E5F">
        <w:t xml:space="preserve"> </w:t>
      </w:r>
      <w:r w:rsidR="007A3BDD">
        <w:t xml:space="preserve">ιδίων </w:t>
      </w:r>
      <w:r w:rsidR="00DA39FB">
        <w:t>εσόδων από</w:t>
      </w:r>
      <w:r w:rsidR="005B0BC6" w:rsidRPr="00CE1E5F">
        <w:t xml:space="preserve"> </w:t>
      </w:r>
      <w:r w:rsidR="007A3BDD">
        <w:t xml:space="preserve">δραστηριότητες που σχετίζονται με τη λειτουργία τους καθώς και </w:t>
      </w:r>
      <w:r w:rsidR="00D2431A">
        <w:t xml:space="preserve">των </w:t>
      </w:r>
      <w:r w:rsidR="00C64E09" w:rsidRPr="00CE1E5F">
        <w:t>πιστωτικ</w:t>
      </w:r>
      <w:r w:rsidR="00D2431A">
        <w:t xml:space="preserve">ών </w:t>
      </w:r>
      <w:r w:rsidR="00C64E09" w:rsidRPr="00CE1E5F">
        <w:t>τόκ</w:t>
      </w:r>
      <w:r w:rsidR="00D2431A">
        <w:t>ων</w:t>
      </w:r>
      <w:r w:rsidR="00ED3548" w:rsidRPr="00CE1E5F">
        <w:t>.</w:t>
      </w:r>
    </w:p>
    <w:p w14:paraId="22E5A66E" w14:textId="77777777" w:rsidR="00CC5CF7" w:rsidRPr="00C16D1E" w:rsidRDefault="00CC5CF7" w:rsidP="00D96226">
      <w:pPr>
        <w:spacing w:before="240"/>
        <w:rPr>
          <w:rFonts w:cs="Arial"/>
          <w:b/>
          <w:szCs w:val="22"/>
        </w:rPr>
      </w:pPr>
      <w:r w:rsidRPr="00C16D1E">
        <w:rPr>
          <w:rFonts w:cs="Arial"/>
          <w:b/>
          <w:szCs w:val="22"/>
        </w:rPr>
        <w:t xml:space="preserve">Νοσοκομεία και Πρωτοβάθμια Φροντίδα Υγείας </w:t>
      </w:r>
      <w:r w:rsidR="00A42668" w:rsidRPr="00C16D1E">
        <w:rPr>
          <w:rFonts w:cs="Arial"/>
          <w:b/>
          <w:szCs w:val="22"/>
        </w:rPr>
        <w:t>(ΠΦΥ)</w:t>
      </w:r>
    </w:p>
    <w:p w14:paraId="34DDBC6E" w14:textId="156D1A7E" w:rsidR="00C16D1E" w:rsidRDefault="00C16D1E" w:rsidP="00C16D1E">
      <w:pPr>
        <w:spacing w:before="120"/>
        <w:rPr>
          <w:rFonts w:cs="Arial"/>
          <w:szCs w:val="22"/>
        </w:rPr>
      </w:pPr>
      <w:r>
        <w:rPr>
          <w:rFonts w:cs="Arial"/>
          <w:szCs w:val="22"/>
        </w:rPr>
        <w:t xml:space="preserve">Το δημοσιονομικό αποτέλεσμα των νοσοκομείων και της ΠΦΥ εκτιμάται ότι θα διαμορφωθεί σε πλεόνασμα ύψους 240 εκατ. ευρώ, παρουσιάζοντας </w:t>
      </w:r>
      <w:r w:rsidR="00E02CCA">
        <w:rPr>
          <w:rFonts w:cs="Arial"/>
          <w:szCs w:val="22"/>
        </w:rPr>
        <w:t xml:space="preserve">απόκλιση από </w:t>
      </w:r>
      <w:r>
        <w:rPr>
          <w:rFonts w:cs="Arial"/>
          <w:szCs w:val="22"/>
        </w:rPr>
        <w:t>τον στόχο του προϋπολογισμού κατά 33 εκατ. ευρώ.</w:t>
      </w:r>
    </w:p>
    <w:p w14:paraId="3992AA6B" w14:textId="23001809" w:rsidR="00C16D1E" w:rsidRDefault="00C16D1E" w:rsidP="00C16D1E">
      <w:pPr>
        <w:spacing w:before="120"/>
        <w:rPr>
          <w:rFonts w:cs="Arial"/>
          <w:szCs w:val="22"/>
        </w:rPr>
      </w:pPr>
      <w:r>
        <w:rPr>
          <w:rFonts w:cs="Arial"/>
          <w:szCs w:val="22"/>
        </w:rPr>
        <w:t>Τα συνολικά έσοδα εκτιμάται ότι θα ανέλθουν σε 4.518 εκατ. ευρώ, παρουσιάζοντας αύξηση κατά 264 εκατ. ευρώ.</w:t>
      </w:r>
    </w:p>
    <w:p w14:paraId="4AA09846" w14:textId="1913D6FA" w:rsidR="00C16D1E" w:rsidRDefault="00C16D1E" w:rsidP="00C16D1E">
      <w:pPr>
        <w:spacing w:before="120"/>
      </w:pPr>
      <w:r>
        <w:rPr>
          <w:rFonts w:cs="Arial"/>
          <w:szCs w:val="22"/>
        </w:rPr>
        <w:t xml:space="preserve">Στα έσοδα αποτυπώνεται η αλλαγή του τρόπου χρηματοδότησης των νοσοκομείων μέσω της εφαρμογής του συστήματος </w:t>
      </w:r>
      <w:r>
        <w:t xml:space="preserve">DRG (Diagnosis Related Groups </w:t>
      </w:r>
      <w:r w:rsidR="004C09A3">
        <w:t>-</w:t>
      </w:r>
      <w:r>
        <w:t xml:space="preserve"> Σύστημα Διαγνωστικά Ομοιογενών Ομάδων), </w:t>
      </w:r>
      <w:r w:rsidR="003F1FDB">
        <w:t>το οποίο αποβλέπει στ</w:t>
      </w:r>
      <w:r>
        <w:t xml:space="preserve">η δίκαιη κατανομή των διαθέσιμων πόρων. Ειδικότερα, με βάση το νέο </w:t>
      </w:r>
      <w:r>
        <w:lastRenderedPageBreak/>
        <w:t>σύστημα η χρηματοδότηση των νοσοκομειακών μονάδων συνδέεται με το παραγόμενο έργο και διενεργείται μέσω του ασφαλιστικού συστήματος (ΕΟΠΥΥ). Για το</w:t>
      </w:r>
      <w:r w:rsidR="00E07D85">
        <w:t>ν</w:t>
      </w:r>
      <w:r>
        <w:t xml:space="preserve"> σκοπό αυτό ο ΕΟΠΥΥ εκτιμάται ότι θα ενισχυθεί με επιχορήγηση ύψους 912 εκατ. ευρώ με ισόποση </w:t>
      </w:r>
      <w:r w:rsidR="009B629D">
        <w:t>ανακατανομή</w:t>
      </w:r>
      <w:r>
        <w:t xml:space="preserve"> των εγγεγραμμένων πιστώσεων του τακτικού προϋπολογισμού του Υπουργείου Υγείας για την επιχορήγηση των νοσοκομείων.</w:t>
      </w:r>
    </w:p>
    <w:p w14:paraId="77B193EB" w14:textId="76E68D12" w:rsidR="00C16D1E" w:rsidRPr="009A3CF1" w:rsidRDefault="009B629D" w:rsidP="00C16D1E">
      <w:pPr>
        <w:spacing w:before="120"/>
      </w:pPr>
      <w:r>
        <w:rPr>
          <w:rFonts w:cs="Arial"/>
          <w:szCs w:val="22"/>
        </w:rPr>
        <w:t>Ταυτόχρονα</w:t>
      </w:r>
      <w:r w:rsidR="00E07D85">
        <w:rPr>
          <w:rFonts w:cs="Arial"/>
          <w:szCs w:val="22"/>
        </w:rPr>
        <w:t xml:space="preserve">, </w:t>
      </w:r>
      <w:r w:rsidR="00C16D1E">
        <w:rPr>
          <w:rFonts w:cs="Arial"/>
          <w:szCs w:val="22"/>
        </w:rPr>
        <w:t xml:space="preserve">οι μεταβιβάσεις από τον κρατικό προϋπολογισμό εκτιμάται ότι θα αυξηθούν κατά 236 εκατ. ευρώ κυρίως για την αποπληρωμή </w:t>
      </w:r>
      <w:r w:rsidR="00E07D85">
        <w:rPr>
          <w:rFonts w:cs="Arial"/>
          <w:szCs w:val="22"/>
        </w:rPr>
        <w:t xml:space="preserve">των </w:t>
      </w:r>
      <w:r w:rsidR="00C16D1E">
        <w:rPr>
          <w:rFonts w:cs="Arial"/>
          <w:szCs w:val="22"/>
        </w:rPr>
        <w:t>ληξιπρόθεσμων υποχρεώσεων παρελθόντων ετών και</w:t>
      </w:r>
      <w:r w:rsidR="00E07D85">
        <w:rPr>
          <w:rFonts w:cs="Arial"/>
          <w:szCs w:val="22"/>
        </w:rPr>
        <w:t xml:space="preserve"> των</w:t>
      </w:r>
      <w:r w:rsidR="00C16D1E">
        <w:rPr>
          <w:rFonts w:cs="Arial"/>
          <w:szCs w:val="22"/>
        </w:rPr>
        <w:t xml:space="preserve"> υποχρεώσεων που απορρέουν από δικαστικές αποφάσεις.</w:t>
      </w:r>
    </w:p>
    <w:p w14:paraId="157244A8" w14:textId="32180ADC" w:rsidR="00C061FF" w:rsidRPr="00911700" w:rsidRDefault="009A3CF1" w:rsidP="00C16D1E">
      <w:pPr>
        <w:spacing w:before="120"/>
        <w:rPr>
          <w:rFonts w:cs="Arial"/>
          <w:szCs w:val="22"/>
        </w:rPr>
      </w:pPr>
      <w:r>
        <w:rPr>
          <w:rFonts w:cs="Arial"/>
          <w:szCs w:val="22"/>
        </w:rPr>
        <w:t>Τα συνολικά έξοδα αναμένεται να είναι αυξημένα κατά 297 εκατ. ευρώ. Πιο συγκεκριμένα, η</w:t>
      </w:r>
      <w:r w:rsidR="00C16D1E">
        <w:rPr>
          <w:rFonts w:cs="Arial"/>
          <w:szCs w:val="22"/>
        </w:rPr>
        <w:t xml:space="preserve"> φαρμακευτική δαπάνη </w:t>
      </w:r>
      <w:r>
        <w:rPr>
          <w:rFonts w:cs="Arial"/>
          <w:szCs w:val="22"/>
        </w:rPr>
        <w:t xml:space="preserve">σε δεδουλευμένη βάση μετά τις εισπράξεις </w:t>
      </w:r>
      <w:r>
        <w:rPr>
          <w:rFonts w:cs="Arial"/>
          <w:szCs w:val="22"/>
          <w:lang w:val="en-US"/>
        </w:rPr>
        <w:t>clawback</w:t>
      </w:r>
      <w:r>
        <w:rPr>
          <w:rFonts w:cs="Arial"/>
          <w:szCs w:val="22"/>
        </w:rPr>
        <w:t xml:space="preserve">, </w:t>
      </w:r>
      <w:r w:rsidR="00C16D1E">
        <w:rPr>
          <w:rFonts w:cs="Arial"/>
          <w:szCs w:val="22"/>
        </w:rPr>
        <w:t>οι δαπάνες προμήθειας υγειονομικού και λοιπού υλικού καθώς και η δαπάνη για παρεχόμενες υπηρεσίες εκτιμάται ότι θα παρουσιάσουν αύξηση κατά 374 εκατ. ευρώ περίπου. Ειδικότερα, η δαπάνη φαρμακευτικών σκευασμάτων, η προμήθεια των οποίων διενεργείται πλέον μέσω της ΕΚΑΠΥ, θα είναι αυξημένη κυρίως εξαιτίας των ακριβότερων καινοτόμων θεραπειών για την αντιμετώπιση σοβαρών ασθενειών.</w:t>
      </w:r>
      <w:r w:rsidR="00E727AE">
        <w:rPr>
          <w:rFonts w:cs="Arial"/>
          <w:szCs w:val="22"/>
        </w:rPr>
        <w:t xml:space="preserve"> </w:t>
      </w:r>
      <w:r w:rsidR="00C16D1E">
        <w:rPr>
          <w:rFonts w:cs="Arial"/>
          <w:szCs w:val="22"/>
        </w:rPr>
        <w:t xml:space="preserve">Παράλληλα, η αύξηση στις δαπάνες προμήθειας υγειονομικού και λοιπού υλικού καθώς και στη δαπάνη για παρεχόμενες υπηρεσίες αποδίδεται </w:t>
      </w:r>
      <w:r w:rsidR="00240CD2">
        <w:rPr>
          <w:rFonts w:cs="Arial"/>
          <w:szCs w:val="22"/>
        </w:rPr>
        <w:t xml:space="preserve">τόσο </w:t>
      </w:r>
      <w:r w:rsidR="00C16D1E">
        <w:rPr>
          <w:rFonts w:cs="Arial"/>
          <w:szCs w:val="22"/>
        </w:rPr>
        <w:t>στον αυξημένο αριθμό των διενεργούμενων χειρουργικών επεμβάσεων</w:t>
      </w:r>
      <w:r>
        <w:rPr>
          <w:rFonts w:cs="Arial"/>
          <w:szCs w:val="22"/>
        </w:rPr>
        <w:t xml:space="preserve">, λαμβανομένης υπόψη και της λειτουργίας των απογευματινών χειρουργείων, </w:t>
      </w:r>
      <w:r w:rsidR="00240CD2">
        <w:rPr>
          <w:rFonts w:cs="Arial"/>
          <w:szCs w:val="22"/>
        </w:rPr>
        <w:t xml:space="preserve">όσο </w:t>
      </w:r>
      <w:r w:rsidR="00C16D1E">
        <w:rPr>
          <w:rFonts w:cs="Arial"/>
          <w:szCs w:val="22"/>
        </w:rPr>
        <w:t>και στην παρατηρούμενη αύξηση των προληπτικών εξετάσεων</w:t>
      </w:r>
      <w:r w:rsidR="00240CD2">
        <w:rPr>
          <w:rFonts w:cs="Arial"/>
          <w:szCs w:val="22"/>
        </w:rPr>
        <w:t xml:space="preserve">. Η αύξηση των εν λόγω εξετάσεων αποτελεί επακόλουθο των </w:t>
      </w:r>
      <w:r w:rsidR="00C16D1E">
        <w:rPr>
          <w:rFonts w:cs="Arial"/>
          <w:szCs w:val="22"/>
        </w:rPr>
        <w:t>προγραμμάτων προληπτικής ιατρικής που χρηματοδοτούνται από το ΤΑΑ και έχουν ως συνέπεια την αύξηση των ευρημάτων που απαιτούν περαιτέρω διερεύνηση και νοσηλεία.</w:t>
      </w:r>
    </w:p>
    <w:p w14:paraId="5BC096E7" w14:textId="7DCFACBB" w:rsidR="00CC5CF7" w:rsidRPr="0042564E" w:rsidRDefault="00CC5CF7" w:rsidP="00D96226">
      <w:pPr>
        <w:spacing w:before="240"/>
        <w:rPr>
          <w:rFonts w:cs="Arial"/>
          <w:b/>
          <w:szCs w:val="22"/>
        </w:rPr>
      </w:pPr>
      <w:r w:rsidRPr="0042564E">
        <w:rPr>
          <w:rFonts w:cs="Arial"/>
          <w:b/>
          <w:szCs w:val="22"/>
        </w:rPr>
        <w:t>Οργανισμοί Τοπικής Αυτοδιοίκησης (ΟΤΑ)</w:t>
      </w:r>
    </w:p>
    <w:p w14:paraId="2D785D72" w14:textId="77A4A52C" w:rsidR="00C63192" w:rsidRPr="00544591" w:rsidRDefault="0042564E" w:rsidP="00C63192">
      <w:pPr>
        <w:rPr>
          <w:highlight w:val="yellow"/>
        </w:rPr>
      </w:pPr>
      <w:r>
        <w:t xml:space="preserve">Το έτος 2025 το ισοζύγιο κατά ESA των ΟΤΑ εκτιμάται </w:t>
      </w:r>
      <w:r w:rsidR="002C40AF">
        <w:t xml:space="preserve">ότι θα </w:t>
      </w:r>
      <w:r>
        <w:t>διαμορφωθεί σε πλεόνασμα</w:t>
      </w:r>
      <w:r w:rsidRPr="006B221D">
        <w:t xml:space="preserve"> </w:t>
      </w:r>
      <w:r>
        <w:t>ύψους 96 εκατ. ευρώ έναντι προβλεπόμενου ελλείμματος 300 εκατ. ευρώ. Η εκτιμώμενη βελτίωση του</w:t>
      </w:r>
      <w:r w:rsidRPr="00DC51A9">
        <w:t xml:space="preserve"> </w:t>
      </w:r>
      <w:r>
        <w:t>δημοσιονομικού αποτελέσματος κατά 396 εκατ. ευρώ οφείλεται κυρίως στις αυξημένες, σε σχέση με τις προβλέψεις, τρέχουσες και λοιπές κεφαλαιακές μεταβιβάσεις</w:t>
      </w:r>
      <w:r w:rsidRPr="00117CB7">
        <w:t xml:space="preserve"> </w:t>
      </w:r>
      <w:r w:rsidR="00A16C4A">
        <w:t xml:space="preserve">του κρατικού προϋπολογισμού </w:t>
      </w:r>
      <w:r>
        <w:t xml:space="preserve">καθώς και στα αυξημένα </w:t>
      </w:r>
      <w:r w:rsidR="00BC04BE">
        <w:t>ίδια</w:t>
      </w:r>
      <w:r>
        <w:t xml:space="preserve"> έσοδα.</w:t>
      </w:r>
    </w:p>
    <w:p w14:paraId="7DA5B8A0" w14:textId="77777777" w:rsidR="00CC5CF7" w:rsidRPr="00F2737E" w:rsidRDefault="00CC5CF7" w:rsidP="008D4B28">
      <w:pPr>
        <w:spacing w:before="240"/>
        <w:rPr>
          <w:rFonts w:cs="Arial"/>
          <w:b/>
          <w:szCs w:val="22"/>
        </w:rPr>
      </w:pPr>
      <w:r w:rsidRPr="00F2737E">
        <w:rPr>
          <w:rFonts w:cs="Arial"/>
          <w:b/>
          <w:szCs w:val="22"/>
        </w:rPr>
        <w:t>Οργανισμοί Κοινωνικής Ασφάλισης (ΟΚΑ)</w:t>
      </w:r>
    </w:p>
    <w:p w14:paraId="74562F0F" w14:textId="77777777" w:rsidR="00F2737E" w:rsidRDefault="00F2737E" w:rsidP="002E4FDC">
      <w:r>
        <w:t>Το δημοσιονομικό αποτέλεσμα του υποτομέα των ΟΚΑ (Ασφαλιστικά Ταμεία, Δημόσια Υπηρεσία Απασχόλησης - ΔΥΠΑ, Εθνικός Οργανισμός Παροχής Υπηρεσιών Υγείας - ΕΟΠΥΥ, Οργανισμός Προνοιακών Επιδομάτων και Κοινωνικής Αλληλεγγύης - ΟΠΕΚΑ και Ναυτικό Απομαχικό Ταμείο - ΝΑΤ) για το 202</w:t>
      </w:r>
      <w:r w:rsidRPr="00E43ED6">
        <w:t>5</w:t>
      </w:r>
      <w:r>
        <w:t xml:space="preserve"> εκτιμάται ότι θα παρουσιάσει βελτίωση κατά </w:t>
      </w:r>
      <w:r w:rsidRPr="00E43ED6">
        <w:t>1.088</w:t>
      </w:r>
      <w:r>
        <w:t xml:space="preserve"> εκατ. ευρώ σε σχέση με τον στόχο του προϋπολογισμού και αναμένεται να διαμορφωθεί σε πλεόνασμα ύψους </w:t>
      </w:r>
      <w:r w:rsidRPr="00E43ED6">
        <w:t>2.08</w:t>
      </w:r>
      <w:r w:rsidRPr="00F3141F">
        <w:t>7</w:t>
      </w:r>
      <w:r>
        <w:t xml:space="preserve"> εκατ. ευρώ.</w:t>
      </w:r>
    </w:p>
    <w:p w14:paraId="2958356E" w14:textId="2E1A5086" w:rsidR="00F2737E" w:rsidRDefault="00F2737E" w:rsidP="002E4FDC">
      <w:r>
        <w:t xml:space="preserve">Τα συνολικά έσοδα εκτιμάται ότι θα ανέλθουν στο ποσό των </w:t>
      </w:r>
      <w:r w:rsidRPr="00F3141F">
        <w:t>54.290</w:t>
      </w:r>
      <w:r>
        <w:t xml:space="preserve"> εκατ. ευρώ, αυξημένα κατά </w:t>
      </w:r>
      <w:r w:rsidRPr="00F3141F">
        <w:t>2.125</w:t>
      </w:r>
      <w:r>
        <w:t xml:space="preserve"> εκατ. ευρώ σε σχέση με τον στόχο.</w:t>
      </w:r>
    </w:p>
    <w:p w14:paraId="380694DA" w14:textId="6F431944" w:rsidR="00F2737E" w:rsidRDefault="00F2737E" w:rsidP="002E4FDC">
      <w:r>
        <w:t>Η μεταβολή αυτή οφείλεται κυρίως στα έσοδα από ασφαλιστικές εισφορές, τα οποία αυξήθηκαν κατά 1.069 εκατ. ευρώ.</w:t>
      </w:r>
      <w:r w:rsidR="00816AFE">
        <w:t xml:space="preserve"> </w:t>
      </w:r>
      <w:r>
        <w:t>Η εξέλιξη αυτή αποδίδεται στην αύξηση των μισθών και της απασχόλησης</w:t>
      </w:r>
      <w:r w:rsidR="00663BA9">
        <w:t>,</w:t>
      </w:r>
      <w:r>
        <w:t xml:space="preserve"> ως αποτέλεσμα του ρυθμού ανάπτυξης της οικονομίας, στην εφαρμογή της Ψηφιακής Κάρτας Εργασίας και στις μισθολογικές αυξήσεις στο</w:t>
      </w:r>
      <w:r w:rsidR="004C10EF">
        <w:t>ν</w:t>
      </w:r>
      <w:r>
        <w:t xml:space="preserve"> </w:t>
      </w:r>
      <w:r w:rsidR="005B3F32">
        <w:t xml:space="preserve">ιδιωτικό και τον </w:t>
      </w:r>
      <w:r>
        <w:t>δημόσιο τομέα.</w:t>
      </w:r>
    </w:p>
    <w:p w14:paraId="56506EEA" w14:textId="77777777" w:rsidR="008F4469" w:rsidRDefault="00F2737E" w:rsidP="002E4FDC">
      <w:pPr>
        <w:rPr>
          <w:rFonts w:cs="Arial"/>
          <w:color w:val="001D35"/>
          <w:shd w:val="clear" w:color="auto" w:fill="FFFFFF"/>
        </w:rPr>
      </w:pPr>
      <w:r>
        <w:t xml:space="preserve">Παράλληλα, αυξημένες κατά 489 εκατ. ευρώ εμφανίζονται και οι τρέχουσες και </w:t>
      </w:r>
      <w:r w:rsidR="004C10EF">
        <w:t xml:space="preserve">οι </w:t>
      </w:r>
      <w:r>
        <w:t>λοιπές κεφαλαιακές μεταβιβάσεις κυρίως λόγω των αυξημένων εσόδων της ΔΥΠΑ από το</w:t>
      </w:r>
      <w:r w:rsidR="004C10EF">
        <w:t xml:space="preserve">ν προϋπολογισμό δημοσίων επενδύσεων </w:t>
      </w:r>
      <w:r>
        <w:t xml:space="preserve">και </w:t>
      </w:r>
      <w:r w:rsidR="004C10EF">
        <w:t xml:space="preserve">ιδίως από </w:t>
      </w:r>
      <w:r>
        <w:t xml:space="preserve">το ΤΑΑ για την υλοποίηση έργων, όπως </w:t>
      </w:r>
      <w:r w:rsidRPr="0020368D">
        <w:rPr>
          <w:rFonts w:cs="Arial"/>
          <w:color w:val="001D35"/>
          <w:shd w:val="clear" w:color="auto" w:fill="FFFFFF"/>
        </w:rPr>
        <w:t>προγράμματα επιδοτούμενης επιμόρφωσης για εργαζόμενους και ανέργους</w:t>
      </w:r>
      <w:r>
        <w:rPr>
          <w:rFonts w:cs="Arial"/>
          <w:color w:val="001D35"/>
          <w:shd w:val="clear" w:color="auto" w:fill="FFFFFF"/>
        </w:rPr>
        <w:t>.</w:t>
      </w:r>
    </w:p>
    <w:p w14:paraId="01228BAE" w14:textId="1F107B21" w:rsidR="00F2737E" w:rsidRDefault="00F2737E" w:rsidP="002E4FDC">
      <w:r>
        <w:lastRenderedPageBreak/>
        <w:t>Ομοίως, εκτιμάται ότι τα έσοδα από την απόδοση περιουσίας θα παρουσιάσουν αύξηση κατά 371 εκατ. ευρώ κυρίως λόγω των αυξημένων αποδόσεων (έσοδα από τόκους) του Κοινού Κεφαλαίου που τηρείται στην ΤτΕ.</w:t>
      </w:r>
    </w:p>
    <w:p w14:paraId="25553069" w14:textId="385E3A19" w:rsidR="00F2737E" w:rsidRPr="00C441F9" w:rsidRDefault="00F2737E" w:rsidP="002E4FDC">
      <w:r>
        <w:t xml:space="preserve">Τέλος, επισημαίνεται ότι η αύξηση των λοιπών εσόδων κατά 171 εκατ. ευρώ αποδίδεται κατά κύριο λόγο στην </w:t>
      </w:r>
      <w:r w:rsidR="0001018D">
        <w:t>ανα</w:t>
      </w:r>
      <w:r>
        <w:t xml:space="preserve">ταξινόμηση, σύμφωνα με το </w:t>
      </w:r>
      <w:r w:rsidR="002E4FDC">
        <w:t>π</w:t>
      </w:r>
      <w:r w:rsidR="007F2FD4">
        <w:t>.</w:t>
      </w:r>
      <w:r w:rsidR="002E4FDC">
        <w:t>δ</w:t>
      </w:r>
      <w:r w:rsidR="007F2FD4">
        <w:t>.</w:t>
      </w:r>
      <w:r>
        <w:t xml:space="preserve"> 54/2018</w:t>
      </w:r>
      <w:r w:rsidR="004A7E03">
        <w:t xml:space="preserve"> (Α’ 103)</w:t>
      </w:r>
      <w:r>
        <w:t>, των εσόδων από προσαυξήσεις και πρόστιμα στα λοιπά έσοδα.</w:t>
      </w:r>
    </w:p>
    <w:p w14:paraId="502EE757" w14:textId="42F3F590" w:rsidR="00F2737E" w:rsidRDefault="00F2737E" w:rsidP="002E4FDC">
      <w:pPr>
        <w:rPr>
          <w:lang w:val="x-none"/>
        </w:rPr>
      </w:pPr>
      <w:r>
        <w:rPr>
          <w:lang w:val="x-none"/>
        </w:rPr>
        <w:t xml:space="preserve">Αντίστοιχα, οι δαπάνες εκτιμάται ότι θα αυξηθούν κατά </w:t>
      </w:r>
      <w:r w:rsidRPr="005253C6">
        <w:t>1.0</w:t>
      </w:r>
      <w:r w:rsidRPr="00A10C74">
        <w:t>37</w:t>
      </w:r>
      <w:r>
        <w:rPr>
          <w:lang w:val="x-none"/>
        </w:rPr>
        <w:t xml:space="preserve"> εκατ. ευρώ έναντι του στόχου του προϋπολογισμού και θα ανέλθουν σε </w:t>
      </w:r>
      <w:r w:rsidRPr="00A10C74">
        <w:t>52.204</w:t>
      </w:r>
      <w:r>
        <w:rPr>
          <w:lang w:val="x-none"/>
        </w:rPr>
        <w:t xml:space="preserve"> εκατ. ευρώ. Η ανωτέρω μεταβολή οφείλεται κυρίως</w:t>
      </w:r>
      <w:r w:rsidR="002262DB">
        <w:t>:</w:t>
      </w:r>
    </w:p>
    <w:p w14:paraId="326DC69E" w14:textId="30164D45" w:rsidR="00F2737E" w:rsidRDefault="00F2737E" w:rsidP="008B53A4">
      <w:pPr>
        <w:spacing w:before="120" w:after="60"/>
      </w:pPr>
      <w:r w:rsidRPr="008B53A4">
        <w:t xml:space="preserve">(α) </w:t>
      </w:r>
      <w:r w:rsidR="002262DB">
        <w:t xml:space="preserve">στην αύξηση </w:t>
      </w:r>
      <w:r w:rsidRPr="008B53A4">
        <w:t xml:space="preserve">κατά 912 εκατ. ευρώ των μεταβιβάσεων του ΕΟΠΥΥ προς τα νοσοκομεία στο πλαίσιο της εφαρμογής του συστήματος DRG, </w:t>
      </w:r>
      <w:r w:rsidR="00F249FE">
        <w:t>το οποίο αποσκοπεί σ</w:t>
      </w:r>
      <w:r w:rsidRPr="008B53A4">
        <w:t>τη δίκαιη κατανομή των διαθέσιμων πόρων με βάση το παραγόμενο έργο των νοσοκομειακών μονάδων,</w:t>
      </w:r>
    </w:p>
    <w:p w14:paraId="38695AA4" w14:textId="7E946ECA" w:rsidR="00F2737E" w:rsidRPr="00C26A26" w:rsidRDefault="00F2737E" w:rsidP="002E4FDC">
      <w:pPr>
        <w:spacing w:before="60" w:after="60"/>
      </w:pPr>
      <w:r>
        <w:t>(β)</w:t>
      </w:r>
      <w:r w:rsidR="00CA450C">
        <w:t xml:space="preserve"> στην καταβολή της κ</w:t>
      </w:r>
      <w:r w:rsidR="00CA450C" w:rsidRPr="00AF6C86">
        <w:t>οινωνική</w:t>
      </w:r>
      <w:r w:rsidR="00CA450C">
        <w:t>ς</w:t>
      </w:r>
      <w:r w:rsidR="00CA450C" w:rsidRPr="00AF6C86">
        <w:t xml:space="preserve"> ενίσχυση</w:t>
      </w:r>
      <w:r w:rsidR="00CA450C">
        <w:t>ς</w:t>
      </w:r>
      <w:r w:rsidR="00CA450C" w:rsidRPr="00AF6C86">
        <w:t xml:space="preserve"> ύψους 250 ευρώ σε χαμηλοσυνταξιούχους</w:t>
      </w:r>
      <w:r w:rsidR="00540451">
        <w:t>,</w:t>
      </w:r>
      <w:r w:rsidR="001B079B">
        <w:t xml:space="preserve"> </w:t>
      </w:r>
      <w:r w:rsidR="006B22A5">
        <w:t xml:space="preserve">σε </w:t>
      </w:r>
      <w:r w:rsidR="00540451">
        <w:t>ανασφάλιστους υπερήλικες</w:t>
      </w:r>
      <w:r w:rsidR="00CA450C" w:rsidRPr="00AF6C86">
        <w:t xml:space="preserve"> </w:t>
      </w:r>
      <w:r w:rsidR="00CA450C">
        <w:t xml:space="preserve">και </w:t>
      </w:r>
      <w:r w:rsidR="006B22A5">
        <w:t xml:space="preserve">σε </w:t>
      </w:r>
      <w:r w:rsidR="00CA450C" w:rsidRPr="00AF6C86">
        <w:t>δικαιούχους αναπηρικών επιδομάτων</w:t>
      </w:r>
      <w:r w:rsidR="00CA450C">
        <w:t xml:space="preserve"> από τον </w:t>
      </w:r>
      <w:r w:rsidR="00CA450C">
        <w:rPr>
          <w:lang w:val="en-US"/>
        </w:rPr>
        <w:t>e</w:t>
      </w:r>
      <w:r w:rsidR="00CA450C" w:rsidRPr="00C63A6C">
        <w:t>-</w:t>
      </w:r>
      <w:r w:rsidR="00CA450C">
        <w:t>ΕΦΚΑ και τον ΟΠΕΚΑ</w:t>
      </w:r>
      <w:r>
        <w:t xml:space="preserve"> </w:t>
      </w:r>
      <w:r w:rsidR="0001018D">
        <w:t>και</w:t>
      </w:r>
    </w:p>
    <w:p w14:paraId="2F2E4127" w14:textId="51A23E63" w:rsidR="00E92762" w:rsidRPr="00192947" w:rsidRDefault="00F2737E" w:rsidP="006949AD">
      <w:pPr>
        <w:spacing w:before="60"/>
      </w:pPr>
      <w:r>
        <w:t xml:space="preserve">(γ) </w:t>
      </w:r>
      <w:r w:rsidR="00CA450C">
        <w:t xml:space="preserve">στην </w:t>
      </w:r>
      <w:r w:rsidR="00CA450C" w:rsidRPr="00F90C77">
        <w:t xml:space="preserve">επανεκτίμηση του ύψους της δαπάνης </w:t>
      </w:r>
      <w:r w:rsidR="002664F0">
        <w:t xml:space="preserve">των </w:t>
      </w:r>
      <w:r w:rsidR="00CA450C" w:rsidRPr="00F90C77">
        <w:t>συντάξεων</w:t>
      </w:r>
      <w:r w:rsidR="002664F0">
        <w:t xml:space="preserve"> καθώς και</w:t>
      </w:r>
      <w:r w:rsidR="00CA450C" w:rsidRPr="00F90C77">
        <w:t xml:space="preserve"> </w:t>
      </w:r>
      <w:r w:rsidR="002664F0">
        <w:t xml:space="preserve">των </w:t>
      </w:r>
      <w:r w:rsidR="00CA450C" w:rsidRPr="00F90C77">
        <w:t>κοινωνικών και προνοιακών παροχών βάσει απολογιστικών στοιχείων εκτέλεσης του προϋπολογισμού</w:t>
      </w:r>
      <w:r w:rsidR="00CA450C">
        <w:t xml:space="preserve"> τρέχοντος έτους</w:t>
      </w:r>
      <w:r w:rsidR="00CA450C" w:rsidRPr="00F90C77">
        <w:t>.</w:t>
      </w:r>
    </w:p>
    <w:p w14:paraId="1C863622" w14:textId="77777777" w:rsidR="00CC5CF7" w:rsidRPr="00E627DD" w:rsidRDefault="00CC5CF7" w:rsidP="00DC6F26">
      <w:pPr>
        <w:pStyle w:val="4"/>
        <w:keepNext w:val="0"/>
      </w:pPr>
      <w:bookmarkStart w:id="136" w:name="_Toc210570669"/>
      <w:r w:rsidRPr="00E627DD">
        <w:t xml:space="preserve">Ληξιπρόθεσμες </w:t>
      </w:r>
      <w:r w:rsidR="00DE702B" w:rsidRPr="00E627DD">
        <w:t>υποχρεώσεις</w:t>
      </w:r>
      <w:r w:rsidRPr="00E627DD">
        <w:t xml:space="preserve"> της Γενικής Κυβέρνησης προς τρίτους</w:t>
      </w:r>
      <w:bookmarkEnd w:id="136"/>
    </w:p>
    <w:p w14:paraId="63D77C55" w14:textId="752E62CE" w:rsidR="00E45829" w:rsidRDefault="00E45829" w:rsidP="00E45829">
      <w:bookmarkStart w:id="137" w:name="_Toc45098220"/>
      <w:r>
        <w:t xml:space="preserve">Οι συνολικές ληξιπρόθεσμες υποχρεώσεις της Γενικής Κυβέρνησης κατά τους πρώτους μήνες του 2025 παρουσίασαν αυξητική τάση και </w:t>
      </w:r>
      <w:r w:rsidR="00702258">
        <w:t xml:space="preserve">σταδιακή αποκλιμάκωση </w:t>
      </w:r>
      <w:r>
        <w:t xml:space="preserve">κατά τους επόμενους μήνες, με αποτέλεσμα τον Ιούλιο 2025 να διαμορφώνονται στο ύψος των </w:t>
      </w:r>
      <w:r w:rsidRPr="00887EE7">
        <w:t>2.808</w:t>
      </w:r>
      <w:r>
        <w:t xml:space="preserve"> εκατ. ευρώ. Σημειώνεται ότι οι ληξιπρόθεσμες υποχρεώσεις παρουσιάζουν έντονη εποχικότητα και ιστορικά εμφανίζονται σημαντικά μειωμένες κατά τη λήξη κάθε οικονομικού έτους. Οι ανωτέρω υποχρεώσεις περιλαμβάνουν ποσά clawback και rebate εκτιμώμενου ύψους </w:t>
      </w:r>
      <w:r w:rsidRPr="00CA1A5C">
        <w:t>1.440</w:t>
      </w:r>
      <w:r>
        <w:t xml:space="preserve"> εκατ. ευρώ, </w:t>
      </w:r>
      <w:r w:rsidR="007E0EF0">
        <w:t>τα οποία</w:t>
      </w:r>
      <w:r>
        <w:t xml:space="preserve"> δεν έχουν συμψηφιστεί</w:t>
      </w:r>
      <w:r w:rsidR="007E0EF0">
        <w:t xml:space="preserve"> ακόμα</w:t>
      </w:r>
      <w:r>
        <w:t>. Συνεπώς, οι ληξιπρόθεσμες υποχρεώσεις</w:t>
      </w:r>
      <w:r w:rsidR="00C41A3D">
        <w:t>,</w:t>
      </w:r>
      <w:r>
        <w:t xml:space="preserve"> εξαιρουμένων των ανωτέρω υπό συμψηφισμό ποσών</w:t>
      </w:r>
      <w:r w:rsidR="00C41A3D">
        <w:t>,</w:t>
      </w:r>
      <w:r>
        <w:t xml:space="preserve"> ανέρχονται σε </w:t>
      </w:r>
      <w:r w:rsidRPr="00CA1A5C">
        <w:t>1.368</w:t>
      </w:r>
      <w:r>
        <w:t xml:space="preserve"> εκατ. ευρώ.</w:t>
      </w:r>
    </w:p>
    <w:p w14:paraId="5CC9BBBE" w14:textId="23D2B692" w:rsidR="00E45829" w:rsidRDefault="00E45829" w:rsidP="00E45829">
      <w:pPr>
        <w:rPr>
          <w:highlight w:val="yellow"/>
        </w:rPr>
      </w:pPr>
      <w:r>
        <w:t>Η εξέλιξη των ληξιπρόθεσμων υποχρεώσεων των φορέων της Γενικής Κυβέρνησης</w:t>
      </w:r>
      <w:r w:rsidR="0059772D">
        <w:t xml:space="preserve"> έως τον μήνα Ιούλιο 2025</w:t>
      </w:r>
      <w:r>
        <w:t xml:space="preserve"> έχει ως εξής:</w:t>
      </w:r>
    </w:p>
    <w:p w14:paraId="42345352" w14:textId="70EF7C62" w:rsidR="00E45829" w:rsidRDefault="000E2BD3" w:rsidP="00427A45">
      <w:pPr>
        <w:numPr>
          <w:ilvl w:val="0"/>
          <w:numId w:val="1"/>
        </w:numPr>
        <w:spacing w:before="120" w:after="60"/>
        <w:ind w:left="568" w:hanging="284"/>
      </w:pPr>
      <w:r>
        <w:t>γ</w:t>
      </w:r>
      <w:r w:rsidR="00E45829">
        <w:t>ια τους φορείς της Κεντρικής Διοίκησης (Κράτος) το ύψος των ληξιπρόθεσμων υποχρεώσεων</w:t>
      </w:r>
      <w:r w:rsidR="00B80922">
        <w:t xml:space="preserve"> </w:t>
      </w:r>
      <w:r w:rsidR="00E45829">
        <w:t xml:space="preserve">ανέρχεται στο ποσό των </w:t>
      </w:r>
      <w:r w:rsidR="00E45829" w:rsidRPr="00887EE7">
        <w:t>218</w:t>
      </w:r>
      <w:r w:rsidR="00E45829">
        <w:t xml:space="preserve"> εκατ. ευρώ</w:t>
      </w:r>
      <w:r>
        <w:t>,</w:t>
      </w:r>
    </w:p>
    <w:p w14:paraId="6C6D4ED2" w14:textId="2E83C2A0" w:rsidR="00E45829" w:rsidRDefault="000E2BD3" w:rsidP="00E45829">
      <w:pPr>
        <w:numPr>
          <w:ilvl w:val="0"/>
          <w:numId w:val="2"/>
        </w:numPr>
        <w:spacing w:before="60" w:after="60"/>
        <w:ind w:left="568" w:hanging="284"/>
      </w:pPr>
      <w:r>
        <w:t>ο</w:t>
      </w:r>
      <w:r w:rsidR="00E45829">
        <w:t xml:space="preserve">ι ληξιπρόθεσμες υποχρεώσεις των ΟΤΑ διαμορφώνονται στο ποσό των </w:t>
      </w:r>
      <w:r w:rsidR="00E45829" w:rsidRPr="00887EE7">
        <w:t>247</w:t>
      </w:r>
      <w:r w:rsidR="00E45829">
        <w:t xml:space="preserve"> εκατ. ευρώ</w:t>
      </w:r>
      <w:r>
        <w:t>,</w:t>
      </w:r>
    </w:p>
    <w:p w14:paraId="3875CCEB" w14:textId="0FCE33E4" w:rsidR="00E45829" w:rsidRDefault="000E2BD3" w:rsidP="00E45829">
      <w:pPr>
        <w:numPr>
          <w:ilvl w:val="0"/>
          <w:numId w:val="2"/>
        </w:numPr>
        <w:spacing w:before="60" w:after="60"/>
        <w:ind w:left="568" w:hanging="284"/>
      </w:pPr>
      <w:r>
        <w:t>ό</w:t>
      </w:r>
      <w:r w:rsidR="00E45829">
        <w:t xml:space="preserve">σον αφορά στους ΟΚΑ, το ύψος των ληξιπρόθεσμων υποχρεώσεων διαμορφώνεται στο ποσό των </w:t>
      </w:r>
      <w:r w:rsidR="00E45829" w:rsidRPr="00887EE7">
        <w:t>623</w:t>
      </w:r>
      <w:r w:rsidR="00E45829">
        <w:t xml:space="preserve"> εκατ. ευρώ, εκ των οποίων ποσό ύψους </w:t>
      </w:r>
      <w:r w:rsidR="00E45829" w:rsidRPr="007E2264">
        <w:t>183</w:t>
      </w:r>
      <w:r w:rsidR="00E45829">
        <w:t xml:space="preserve"> εκατ. ευρώ αφορά σε ληξιπρόθεσμες υποχρεώσεις του κλάδου εφάπαξ παροχών του e-ΕΦΚΑ, κατόπιν της επιτάχυνσης εκκαθάρισης των κύριων συντάξεων, η οποία συμπαρασύρει τον ρυθμό εκκαθάρισης των εφάπαξ παροχών. Στο ποσό των ληξιπρόθεσμων υποχρεώσεων συμπεριλαμβάνεται ποσό ανείσπρακτου </w:t>
      </w:r>
      <w:r w:rsidR="00E45829">
        <w:rPr>
          <w:lang w:val="en-US"/>
        </w:rPr>
        <w:t>clawback</w:t>
      </w:r>
      <w:r w:rsidR="00E45829" w:rsidRPr="00F15AD4">
        <w:t xml:space="preserve"> </w:t>
      </w:r>
      <w:r w:rsidR="00E45829">
        <w:t xml:space="preserve">και </w:t>
      </w:r>
      <w:r w:rsidR="00E45829">
        <w:rPr>
          <w:lang w:val="en-US"/>
        </w:rPr>
        <w:t>rebate</w:t>
      </w:r>
      <w:r w:rsidR="00E45829">
        <w:t xml:space="preserve"> ύψους </w:t>
      </w:r>
      <w:r w:rsidR="00E45829" w:rsidRPr="00EC476A">
        <w:t>233</w:t>
      </w:r>
      <w:r w:rsidR="00E45829">
        <w:t xml:space="preserve"> εκατ.</w:t>
      </w:r>
      <w:r w:rsidR="007E0EF0">
        <w:t xml:space="preserve"> </w:t>
      </w:r>
      <w:r w:rsidR="00E45829">
        <w:t>ευρώ</w:t>
      </w:r>
      <w:r w:rsidR="00E45829" w:rsidRPr="00E45829">
        <w:t>,</w:t>
      </w:r>
      <w:r w:rsidR="007E0EF0">
        <w:t xml:space="preserve"> </w:t>
      </w:r>
      <w:r w:rsidR="00E45829">
        <w:t>το οποίο αφορά στον ΕΟΠΥΥ</w:t>
      </w:r>
      <w:r>
        <w:t>,</w:t>
      </w:r>
    </w:p>
    <w:p w14:paraId="1A432C50" w14:textId="64A00AB1" w:rsidR="00E45829" w:rsidRDefault="000E2BD3" w:rsidP="00E45829">
      <w:pPr>
        <w:numPr>
          <w:ilvl w:val="0"/>
          <w:numId w:val="2"/>
        </w:numPr>
        <w:spacing w:before="60" w:after="60"/>
        <w:ind w:left="568" w:hanging="284"/>
      </w:pPr>
      <w:r>
        <w:t>ο</w:t>
      </w:r>
      <w:r w:rsidR="00E45829">
        <w:t>ι ληξιπρόθεσμες υποχρεώσεις των νοσοκομείων</w:t>
      </w:r>
      <w:r w:rsidR="009D0265">
        <w:t>,</w:t>
      </w:r>
      <w:r w:rsidR="00E45829">
        <w:t xml:space="preserve"> </w:t>
      </w:r>
      <w:r w:rsidR="00E45829" w:rsidRPr="00A16BEB">
        <w:t>συμπεριλαμβανομένης και της ΕΚΑΠΥ</w:t>
      </w:r>
      <w:r w:rsidR="007E0EF0">
        <w:t xml:space="preserve"> και</w:t>
      </w:r>
      <w:r w:rsidR="00E45829">
        <w:t xml:space="preserve"> </w:t>
      </w:r>
      <w:r w:rsidR="00E45829" w:rsidRPr="00A16BEB">
        <w:t>λαμβ</w:t>
      </w:r>
      <w:r w:rsidR="007E0EF0">
        <w:t>α</w:t>
      </w:r>
      <w:r w:rsidR="00E45829" w:rsidRPr="00A16BEB">
        <w:t>ν</w:t>
      </w:r>
      <w:r w:rsidR="007E0EF0">
        <w:t xml:space="preserve">ομένων </w:t>
      </w:r>
      <w:r w:rsidR="00E45829" w:rsidRPr="00A16BEB">
        <w:t xml:space="preserve">υπόψη και </w:t>
      </w:r>
      <w:r w:rsidR="00E45829">
        <w:t>τ</w:t>
      </w:r>
      <w:r w:rsidR="007E0EF0">
        <w:t>ων</w:t>
      </w:r>
      <w:r w:rsidR="00E45829">
        <w:t xml:space="preserve"> ποσ</w:t>
      </w:r>
      <w:r w:rsidR="007E0EF0">
        <w:t>ών</w:t>
      </w:r>
      <w:r w:rsidR="00E45829">
        <w:t xml:space="preserve"> clawback και rebate ύψους </w:t>
      </w:r>
      <w:r w:rsidR="00E45829" w:rsidRPr="00887EE7">
        <w:t>1.207</w:t>
      </w:r>
      <w:r w:rsidR="00E45829">
        <w:t xml:space="preserve"> εκατ. ευρώ, </w:t>
      </w:r>
      <w:r w:rsidR="007E0EF0">
        <w:t>διαμορφώνονται</w:t>
      </w:r>
      <w:r w:rsidR="00E45829">
        <w:t xml:space="preserve"> στο ποσό των </w:t>
      </w:r>
      <w:r w:rsidR="00E45829" w:rsidRPr="00887EE7">
        <w:t>1.498</w:t>
      </w:r>
      <w:r w:rsidR="00E45829">
        <w:t xml:space="preserve"> εκατ. ευρώ και ως εκ τούτου, οι καθαρές ληξιπρόθεσμες υποχρεώσεις ανέρχονται στο ποσό των </w:t>
      </w:r>
      <w:r w:rsidR="00E45829" w:rsidRPr="00887EE7">
        <w:t>291</w:t>
      </w:r>
      <w:r w:rsidR="00E45829">
        <w:t xml:space="preserve"> εκατ. ευρώ</w:t>
      </w:r>
      <w:r>
        <w:t xml:space="preserve"> και</w:t>
      </w:r>
    </w:p>
    <w:p w14:paraId="1E07C3D8" w14:textId="6AC72308" w:rsidR="00E45829" w:rsidRDefault="000E2BD3" w:rsidP="00E45829">
      <w:pPr>
        <w:numPr>
          <w:ilvl w:val="0"/>
          <w:numId w:val="2"/>
        </w:numPr>
        <w:spacing w:before="60" w:after="60"/>
        <w:ind w:left="568" w:hanging="284"/>
      </w:pPr>
      <w:r>
        <w:t>ω</w:t>
      </w:r>
      <w:r w:rsidR="00E45829">
        <w:t xml:space="preserve">ς προς τα λοιπά νομικά πρόσωπα, το ύψος των ληξιπρόθεσμων υποχρεώσεων ανέρχεται στο ποσό των </w:t>
      </w:r>
      <w:r w:rsidR="00E45829" w:rsidRPr="00887EE7">
        <w:t>222</w:t>
      </w:r>
      <w:r w:rsidR="00E45829">
        <w:t xml:space="preserve"> εκατ. ευρώ. Σημειώνεται ότι οι ληξιπρόθεσμες υποχρεώσεις:</w:t>
      </w:r>
    </w:p>
    <w:p w14:paraId="2AF0F396" w14:textId="77777777" w:rsidR="00E45829" w:rsidRDefault="00E45829" w:rsidP="00E45829">
      <w:pPr>
        <w:spacing w:before="60" w:after="60"/>
        <w:ind w:left="567"/>
      </w:pPr>
      <w:r>
        <w:lastRenderedPageBreak/>
        <w:t xml:space="preserve">(α) των συγκοινωνιακών φορέων ανέρχονται στο ποσό των </w:t>
      </w:r>
      <w:r w:rsidRPr="00D70AB1">
        <w:t>36</w:t>
      </w:r>
      <w:r>
        <w:t xml:space="preserve"> εκατ. ευρώ και</w:t>
      </w:r>
    </w:p>
    <w:p w14:paraId="78BD8B38" w14:textId="77777777" w:rsidR="009B0BDA" w:rsidRDefault="00E45829" w:rsidP="003D127F">
      <w:pPr>
        <w:spacing w:before="60"/>
        <w:ind w:left="567"/>
      </w:pPr>
      <w:r>
        <w:t xml:space="preserve">(β) των αμυντικών βιομηχανιών, </w:t>
      </w:r>
      <w:r w:rsidRPr="003D2322">
        <w:t>«Ελληνικά Αμυντικά Συστήματα ΑΒΕΕ»</w:t>
      </w:r>
      <w:r>
        <w:t xml:space="preserve"> (ΕΑΣ ΑΒΕΕ) και </w:t>
      </w:r>
      <w:r w:rsidRPr="003D2322">
        <w:t>«Ελληνική Αεροπορική Βιομηχανία ΑΕ»</w:t>
      </w:r>
      <w:r>
        <w:t xml:space="preserve"> (ΕΑΒ ΑΕ), διαμορφώνονται στο ποσό των </w:t>
      </w:r>
      <w:r w:rsidRPr="000C5FD1">
        <w:t>35</w:t>
      </w:r>
      <w:r>
        <w:t xml:space="preserve"> εκατ. ευρώ.</w:t>
      </w:r>
    </w:p>
    <w:p w14:paraId="1A92D95C" w14:textId="77777777" w:rsidR="003D7136" w:rsidRPr="00F321F9" w:rsidRDefault="003D7136" w:rsidP="003D127F">
      <w:pPr>
        <w:spacing w:before="120"/>
      </w:pPr>
      <w:r w:rsidRPr="00F321F9">
        <w:t>Με γνώμονα τη διασφάλιση της ταμειακής ρευστότητας των φορέων της Γενικής Κυβέρνησης και την εν γένει εύρυθμη λειτουργία τους, εξακολουθεί να ισχύει η καταβολή μέχρι την 20η Ιανουαρίου κάθε έτους, έως και του ενός τετάρτου (1/4) της προβλεπόμενης ετήσιας επιχορήγησης ή χρηματοδότησης από φορείς της Κεντρικής Διοίκησης, κατ’ εφαρμογή του άρθρου 84 του ν.4843/2021 (Α’ 193). Στο ίδιο πλαίσιο, εξακολουθεί η εντός του έτους εμπροσθοβαρής τμηματική καταβολή της ετήσιας επιχορήγησης των νοσοκομείων από το Υπουργείο Υγείας, κατ’ εφαρμογή του άρθρου 85 του ιδίου ως άνω νόμου.</w:t>
      </w:r>
    </w:p>
    <w:p w14:paraId="0EA95533" w14:textId="496FAF8D" w:rsidR="003D7136" w:rsidRDefault="003D7136" w:rsidP="008B0293">
      <w:pPr>
        <w:spacing w:before="120" w:after="240"/>
      </w:pPr>
      <w:r w:rsidRPr="00F321F9">
        <w:t xml:space="preserve">Η εξέλιξη των ληξιπρόθεσμων υποχρεώσεων της Γενικής Κυβέρνησης και των εκκρεμών επιστροφών φόρων απεικονίζεται </w:t>
      </w:r>
      <w:r w:rsidRPr="00375D22">
        <w:t>παρα</w:t>
      </w:r>
      <w:r w:rsidR="00EE0FE3" w:rsidRPr="00375D22">
        <w:t>κάτω</w:t>
      </w:r>
      <w:r w:rsidRPr="00375D22">
        <w:t xml:space="preserve"> (</w:t>
      </w:r>
      <w:r w:rsidRPr="00375D22">
        <w:fldChar w:fldCharType="begin"/>
      </w:r>
      <w:r w:rsidRPr="00375D22">
        <w:instrText xml:space="preserve"> REF _Ref146621821 \h  \* MERGEFORMAT </w:instrText>
      </w:r>
      <w:r w:rsidRPr="00375D22">
        <w:fldChar w:fldCharType="separate"/>
      </w:r>
      <w:r w:rsidR="00C42930" w:rsidRPr="00C42930">
        <w:t>Πίνακας 2.2</w:t>
      </w:r>
      <w:r w:rsidRPr="00375D22">
        <w:fldChar w:fldCharType="end"/>
      </w:r>
      <w:r w:rsidRPr="00375D22">
        <w:t xml:space="preserve">. και </w:t>
      </w:r>
      <w:r w:rsidRPr="00375D22">
        <w:fldChar w:fldCharType="begin"/>
      </w:r>
      <w:r w:rsidRPr="00375D22">
        <w:instrText xml:space="preserve"> REF _Ref146621887 \h  \* MERGEFORMAT </w:instrText>
      </w:r>
      <w:r w:rsidRPr="00375D22">
        <w:fldChar w:fldCharType="separate"/>
      </w:r>
      <w:r w:rsidR="00C42930" w:rsidRPr="00C42930">
        <w:t>Πίνακας 2.3</w:t>
      </w:r>
      <w:r w:rsidRPr="00375D22">
        <w:fldChar w:fldCharType="end"/>
      </w:r>
      <w:r w:rsidRPr="00375D22">
        <w:t>.).</w:t>
      </w:r>
    </w:p>
    <w:tbl>
      <w:tblPr>
        <w:tblW w:w="9893"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ook w:val="04A0" w:firstRow="1" w:lastRow="0" w:firstColumn="1" w:lastColumn="0" w:noHBand="0" w:noVBand="1"/>
      </w:tblPr>
      <w:tblGrid>
        <w:gridCol w:w="2025"/>
        <w:gridCol w:w="739"/>
        <w:gridCol w:w="785"/>
        <w:gridCol w:w="739"/>
        <w:gridCol w:w="726"/>
        <w:gridCol w:w="765"/>
        <w:gridCol w:w="865"/>
        <w:gridCol w:w="798"/>
        <w:gridCol w:w="875"/>
        <w:gridCol w:w="784"/>
        <w:gridCol w:w="792"/>
      </w:tblGrid>
      <w:tr w:rsidR="00E136B1" w:rsidRPr="005A76C1" w14:paraId="41274E04" w14:textId="77777777" w:rsidTr="00B87393">
        <w:trPr>
          <w:trHeight w:val="558"/>
          <w:jc w:val="center"/>
        </w:trPr>
        <w:tc>
          <w:tcPr>
            <w:tcW w:w="9893" w:type="dxa"/>
            <w:gridSpan w:val="11"/>
            <w:tcBorders>
              <w:top w:val="single" w:sz="2" w:space="0" w:color="808080" w:themeColor="background1" w:themeShade="80"/>
              <w:bottom w:val="nil"/>
            </w:tcBorders>
            <w:shd w:val="clear" w:color="000000" w:fill="D5DCE4"/>
            <w:vAlign w:val="center"/>
            <w:hideMark/>
          </w:tcPr>
          <w:p w14:paraId="1136308A" w14:textId="3894775A" w:rsidR="004C5076" w:rsidRPr="004C5076" w:rsidRDefault="00DF39C6" w:rsidP="00DF39C6">
            <w:pPr>
              <w:spacing w:after="0" w:line="240" w:lineRule="auto"/>
              <w:jc w:val="center"/>
              <w:rPr>
                <w:rFonts w:cs="Arial"/>
                <w:b/>
                <w:bCs/>
                <w:color w:val="000000"/>
                <w:sz w:val="18"/>
                <w:szCs w:val="18"/>
              </w:rPr>
            </w:pPr>
            <w:bookmarkStart w:id="138" w:name="_Ref146621821"/>
            <w:bookmarkStart w:id="139" w:name="_Toc210570898"/>
            <w:r w:rsidRPr="00DF39C6">
              <w:rPr>
                <w:rFonts w:cs="Arial"/>
                <w:b/>
                <w:bCs/>
                <w:color w:val="000000"/>
                <w:sz w:val="18"/>
                <w:szCs w:val="18"/>
              </w:rPr>
              <w:t>Πίνακας 2.</w:t>
            </w:r>
            <w:r w:rsidRPr="00DF39C6">
              <w:rPr>
                <w:rFonts w:cs="Arial"/>
                <w:b/>
                <w:bCs/>
                <w:color w:val="000000"/>
                <w:sz w:val="18"/>
                <w:szCs w:val="18"/>
              </w:rPr>
              <w:fldChar w:fldCharType="begin"/>
            </w:r>
            <w:r w:rsidRPr="00DF39C6">
              <w:rPr>
                <w:rFonts w:cs="Arial"/>
                <w:b/>
                <w:bCs/>
                <w:color w:val="000000"/>
                <w:sz w:val="18"/>
                <w:szCs w:val="18"/>
              </w:rPr>
              <w:instrText xml:space="preserve"> SEQ Πίνακας_2. \* ARABIC </w:instrText>
            </w:r>
            <w:r w:rsidRPr="00DF39C6">
              <w:rPr>
                <w:rFonts w:cs="Arial"/>
                <w:b/>
                <w:bCs/>
                <w:color w:val="000000"/>
                <w:sz w:val="18"/>
                <w:szCs w:val="18"/>
              </w:rPr>
              <w:fldChar w:fldCharType="separate"/>
            </w:r>
            <w:r w:rsidR="00C42930">
              <w:rPr>
                <w:rFonts w:cs="Arial"/>
                <w:b/>
                <w:bCs/>
                <w:noProof/>
                <w:color w:val="000000"/>
                <w:sz w:val="18"/>
                <w:szCs w:val="18"/>
              </w:rPr>
              <w:t>2</w:t>
            </w:r>
            <w:r w:rsidRPr="00DF39C6">
              <w:rPr>
                <w:rFonts w:cs="Arial"/>
                <w:b/>
                <w:bCs/>
                <w:color w:val="000000"/>
                <w:sz w:val="18"/>
                <w:szCs w:val="18"/>
              </w:rPr>
              <w:fldChar w:fldCharType="end"/>
            </w:r>
            <w:bookmarkEnd w:id="138"/>
            <w:r w:rsidR="00FA79DA" w:rsidRPr="00DF39C6">
              <w:rPr>
                <w:rFonts w:cs="Arial"/>
                <w:b/>
                <w:bCs/>
                <w:color w:val="000000"/>
                <w:sz w:val="18"/>
                <w:szCs w:val="18"/>
              </w:rPr>
              <w:t>.:</w:t>
            </w:r>
            <w:r w:rsidR="00FA79DA" w:rsidRPr="007053B4">
              <w:rPr>
                <w:rFonts w:cs="Arial"/>
                <w:b/>
                <w:bCs/>
                <w:color w:val="000000"/>
                <w:sz w:val="18"/>
                <w:szCs w:val="18"/>
              </w:rPr>
              <w:t xml:space="preserve"> </w:t>
            </w:r>
            <w:r w:rsidR="00E136B1" w:rsidRPr="00FA79DA">
              <w:rPr>
                <w:rFonts w:cs="Arial"/>
                <w:b/>
                <w:bCs/>
                <w:color w:val="000000"/>
                <w:sz w:val="18"/>
                <w:szCs w:val="18"/>
              </w:rPr>
              <w:t xml:space="preserve">Εξέλιξη ληξιπρόθεσμων υποχρεώσεων </w:t>
            </w:r>
            <w:r w:rsidR="0097738F">
              <w:rPr>
                <w:rFonts w:cs="Arial"/>
                <w:b/>
                <w:bCs/>
                <w:color w:val="000000"/>
                <w:sz w:val="18"/>
                <w:szCs w:val="18"/>
              </w:rPr>
              <w:t>της</w:t>
            </w:r>
            <w:r w:rsidR="0097738F">
              <w:rPr>
                <w:b/>
                <w:bCs/>
                <w:color w:val="000000"/>
                <w:sz w:val="18"/>
                <w:szCs w:val="18"/>
              </w:rPr>
              <w:t xml:space="preserve"> </w:t>
            </w:r>
            <w:r w:rsidR="00E136B1" w:rsidRPr="00FA79DA">
              <w:rPr>
                <w:rFonts w:cs="Arial"/>
                <w:b/>
                <w:bCs/>
                <w:color w:val="000000"/>
                <w:sz w:val="18"/>
                <w:szCs w:val="18"/>
              </w:rPr>
              <w:t>Γενικής</w:t>
            </w:r>
            <w:r w:rsidR="007053B4" w:rsidRPr="007053B4">
              <w:rPr>
                <w:rFonts w:cs="Arial"/>
                <w:b/>
                <w:bCs/>
                <w:color w:val="000000"/>
                <w:sz w:val="18"/>
                <w:szCs w:val="18"/>
              </w:rPr>
              <w:t xml:space="preserve"> </w:t>
            </w:r>
            <w:r w:rsidR="00E136B1" w:rsidRPr="00FA79DA">
              <w:rPr>
                <w:rFonts w:cs="Arial"/>
                <w:b/>
                <w:bCs/>
                <w:color w:val="000000"/>
                <w:sz w:val="18"/>
                <w:szCs w:val="18"/>
              </w:rPr>
              <w:t>Κυβέρνησης</w:t>
            </w:r>
            <w:bookmarkEnd w:id="139"/>
          </w:p>
          <w:p w14:paraId="66F0DBA6" w14:textId="77777777" w:rsidR="00E136B1" w:rsidRPr="00FA79DA" w:rsidRDefault="00E136B1" w:rsidP="006144B1">
            <w:pPr>
              <w:spacing w:after="0" w:line="240" w:lineRule="auto"/>
              <w:ind w:left="-125" w:right="-113"/>
              <w:jc w:val="center"/>
              <w:rPr>
                <w:rFonts w:cs="Arial"/>
                <w:b/>
                <w:bCs/>
                <w:color w:val="000000"/>
                <w:sz w:val="18"/>
                <w:szCs w:val="18"/>
              </w:rPr>
            </w:pPr>
            <w:r w:rsidRPr="00FA79DA">
              <w:rPr>
                <w:rFonts w:cs="Arial"/>
                <w:b/>
                <w:bCs/>
                <w:color w:val="000000"/>
                <w:sz w:val="18"/>
                <w:szCs w:val="18"/>
              </w:rPr>
              <w:t>Δεκέμβριος 202</w:t>
            </w:r>
            <w:r w:rsidR="00BC56C2" w:rsidRPr="00BC56C2">
              <w:rPr>
                <w:rFonts w:cs="Arial"/>
                <w:b/>
                <w:bCs/>
                <w:color w:val="000000"/>
                <w:sz w:val="18"/>
                <w:szCs w:val="18"/>
              </w:rPr>
              <w:t>3</w:t>
            </w:r>
            <w:r w:rsidRPr="00FA79DA">
              <w:rPr>
                <w:rFonts w:cs="Arial"/>
                <w:b/>
                <w:bCs/>
                <w:color w:val="000000"/>
                <w:sz w:val="18"/>
                <w:szCs w:val="18"/>
              </w:rPr>
              <w:t xml:space="preserve"> - Ιούλιος 202</w:t>
            </w:r>
            <w:r w:rsidR="00BC56C2" w:rsidRPr="00BC56C2">
              <w:rPr>
                <w:rFonts w:cs="Arial"/>
                <w:b/>
                <w:bCs/>
                <w:color w:val="000000"/>
                <w:sz w:val="18"/>
                <w:szCs w:val="18"/>
              </w:rPr>
              <w:t>5</w:t>
            </w:r>
            <w:r w:rsidRPr="00FA79DA">
              <w:rPr>
                <w:rFonts w:cs="Arial"/>
                <w:b/>
                <w:bCs/>
                <w:color w:val="000000"/>
                <w:sz w:val="18"/>
                <w:szCs w:val="18"/>
              </w:rPr>
              <w:t xml:space="preserve"> (σε εκατ. ευρώ)</w:t>
            </w:r>
          </w:p>
        </w:tc>
      </w:tr>
      <w:tr w:rsidR="00E136B1" w:rsidRPr="005A76C1" w14:paraId="21B07A5B" w14:textId="77777777" w:rsidTr="00B87393">
        <w:trPr>
          <w:trHeight w:val="443"/>
          <w:jc w:val="center"/>
        </w:trPr>
        <w:tc>
          <w:tcPr>
            <w:tcW w:w="2025" w:type="dxa"/>
            <w:tcBorders>
              <w:top w:val="nil"/>
              <w:bottom w:val="nil"/>
            </w:tcBorders>
            <w:shd w:val="clear" w:color="auto" w:fill="F2F2F2" w:themeFill="background1" w:themeFillShade="F2"/>
            <w:vAlign w:val="center"/>
            <w:hideMark/>
          </w:tcPr>
          <w:p w14:paraId="1BE8B9B6" w14:textId="77777777" w:rsidR="00E136B1" w:rsidRPr="005A76C1" w:rsidRDefault="00E136B1" w:rsidP="00DB2522">
            <w:pPr>
              <w:spacing w:after="0" w:line="240" w:lineRule="auto"/>
              <w:jc w:val="left"/>
              <w:rPr>
                <w:rFonts w:cs="Arial"/>
                <w:b/>
                <w:bCs/>
                <w:color w:val="000000"/>
                <w:sz w:val="16"/>
                <w:szCs w:val="16"/>
              </w:rPr>
            </w:pPr>
            <w:r w:rsidRPr="005A76C1">
              <w:rPr>
                <w:rFonts w:cs="Arial"/>
                <w:b/>
                <w:bCs/>
                <w:color w:val="000000"/>
                <w:sz w:val="16"/>
                <w:szCs w:val="16"/>
              </w:rPr>
              <w:t>Φορέας</w:t>
            </w:r>
            <w:r w:rsidR="00217D5D" w:rsidRPr="00217D5D">
              <w:rPr>
                <w:rFonts w:cs="Arial"/>
                <w:b/>
                <w:bCs/>
                <w:color w:val="000000"/>
                <w:sz w:val="16"/>
                <w:szCs w:val="16"/>
              </w:rPr>
              <w:t>/Υποτομέας</w:t>
            </w:r>
            <w:r w:rsidRPr="005A76C1">
              <w:rPr>
                <w:rFonts w:cs="Arial"/>
                <w:b/>
                <w:bCs/>
                <w:color w:val="000000"/>
                <w:sz w:val="16"/>
                <w:szCs w:val="16"/>
              </w:rPr>
              <w:t xml:space="preserve"> Γενικής Κυβέρνησης</w:t>
            </w:r>
          </w:p>
        </w:tc>
        <w:tc>
          <w:tcPr>
            <w:tcW w:w="739" w:type="dxa"/>
            <w:tcBorders>
              <w:top w:val="nil"/>
              <w:bottom w:val="nil"/>
            </w:tcBorders>
            <w:shd w:val="clear" w:color="auto" w:fill="F2F2F2" w:themeFill="background1" w:themeFillShade="F2"/>
            <w:vAlign w:val="center"/>
            <w:hideMark/>
          </w:tcPr>
          <w:p w14:paraId="4A292ED1" w14:textId="77777777" w:rsidR="00E136B1" w:rsidRPr="00BC56C2" w:rsidRDefault="00E136B1" w:rsidP="009D5CF8">
            <w:pPr>
              <w:spacing w:after="0" w:line="240" w:lineRule="auto"/>
              <w:jc w:val="center"/>
              <w:rPr>
                <w:rFonts w:cs="Arial"/>
                <w:b/>
                <w:bCs/>
                <w:color w:val="000000"/>
                <w:sz w:val="16"/>
                <w:szCs w:val="16"/>
                <w:lang w:val="en-US"/>
              </w:rPr>
            </w:pPr>
            <w:r w:rsidRPr="005A76C1">
              <w:rPr>
                <w:rFonts w:cs="Arial"/>
                <w:b/>
                <w:bCs/>
                <w:color w:val="000000"/>
                <w:sz w:val="16"/>
                <w:szCs w:val="16"/>
              </w:rPr>
              <w:t>Δεκ.</w:t>
            </w:r>
            <w:r w:rsidRPr="005A76C1">
              <w:rPr>
                <w:rFonts w:cs="Arial"/>
                <w:b/>
                <w:bCs/>
                <w:color w:val="000000"/>
                <w:sz w:val="16"/>
                <w:szCs w:val="16"/>
              </w:rPr>
              <w:br/>
              <w:t>202</w:t>
            </w:r>
            <w:r w:rsidR="00BC56C2">
              <w:rPr>
                <w:rFonts w:cs="Arial"/>
                <w:b/>
                <w:bCs/>
                <w:color w:val="000000"/>
                <w:sz w:val="16"/>
                <w:szCs w:val="16"/>
                <w:lang w:val="en-US"/>
              </w:rPr>
              <w:t>3</w:t>
            </w:r>
          </w:p>
        </w:tc>
        <w:tc>
          <w:tcPr>
            <w:tcW w:w="785" w:type="dxa"/>
            <w:tcBorders>
              <w:top w:val="nil"/>
              <w:bottom w:val="nil"/>
            </w:tcBorders>
            <w:shd w:val="clear" w:color="auto" w:fill="F2F2F2" w:themeFill="background1" w:themeFillShade="F2"/>
            <w:vAlign w:val="center"/>
            <w:hideMark/>
          </w:tcPr>
          <w:p w14:paraId="28F5EE81" w14:textId="77777777" w:rsidR="00E136B1" w:rsidRPr="00BC56C2" w:rsidRDefault="00E136B1" w:rsidP="009D5CF8">
            <w:pPr>
              <w:spacing w:after="0" w:line="240" w:lineRule="auto"/>
              <w:jc w:val="center"/>
              <w:rPr>
                <w:rFonts w:cs="Arial"/>
                <w:b/>
                <w:bCs/>
                <w:color w:val="000000"/>
                <w:sz w:val="16"/>
                <w:szCs w:val="16"/>
                <w:lang w:val="en-US"/>
              </w:rPr>
            </w:pPr>
            <w:r w:rsidRPr="005A76C1">
              <w:rPr>
                <w:rFonts w:cs="Arial"/>
                <w:b/>
                <w:bCs/>
                <w:color w:val="000000"/>
                <w:sz w:val="16"/>
                <w:szCs w:val="16"/>
              </w:rPr>
              <w:t>Ιο</w:t>
            </w:r>
            <w:r w:rsidR="00BC56C2">
              <w:rPr>
                <w:rFonts w:cs="Arial"/>
                <w:b/>
                <w:bCs/>
                <w:color w:val="000000"/>
                <w:sz w:val="16"/>
                <w:szCs w:val="16"/>
              </w:rPr>
              <w:t>υ</w:t>
            </w:r>
            <w:r w:rsidRPr="005A76C1">
              <w:rPr>
                <w:rFonts w:cs="Arial"/>
                <w:b/>
                <w:bCs/>
                <w:color w:val="000000"/>
                <w:sz w:val="16"/>
                <w:szCs w:val="16"/>
              </w:rPr>
              <w:t>λ.</w:t>
            </w:r>
            <w:r w:rsidRPr="005A76C1">
              <w:rPr>
                <w:rFonts w:cs="Arial"/>
                <w:b/>
                <w:bCs/>
                <w:color w:val="000000"/>
                <w:sz w:val="16"/>
                <w:szCs w:val="16"/>
              </w:rPr>
              <w:br/>
              <w:t>202</w:t>
            </w:r>
            <w:r w:rsidR="00BC56C2">
              <w:rPr>
                <w:rFonts w:cs="Arial"/>
                <w:b/>
                <w:bCs/>
                <w:color w:val="000000"/>
                <w:sz w:val="16"/>
                <w:szCs w:val="16"/>
                <w:lang w:val="en-US"/>
              </w:rPr>
              <w:t>4</w:t>
            </w:r>
          </w:p>
        </w:tc>
        <w:tc>
          <w:tcPr>
            <w:tcW w:w="739" w:type="dxa"/>
            <w:tcBorders>
              <w:top w:val="nil"/>
              <w:bottom w:val="nil"/>
            </w:tcBorders>
            <w:shd w:val="clear" w:color="auto" w:fill="F2F2F2" w:themeFill="background1" w:themeFillShade="F2"/>
            <w:vAlign w:val="center"/>
            <w:hideMark/>
          </w:tcPr>
          <w:p w14:paraId="7DCB97E3" w14:textId="77777777" w:rsidR="00E136B1" w:rsidRPr="00BC56C2" w:rsidRDefault="00E136B1" w:rsidP="009D5CF8">
            <w:pPr>
              <w:spacing w:after="0" w:line="240" w:lineRule="auto"/>
              <w:jc w:val="center"/>
              <w:rPr>
                <w:rFonts w:cs="Arial"/>
                <w:b/>
                <w:bCs/>
                <w:color w:val="000000"/>
                <w:sz w:val="16"/>
                <w:szCs w:val="16"/>
                <w:lang w:val="en-US"/>
              </w:rPr>
            </w:pPr>
            <w:r w:rsidRPr="005A76C1">
              <w:rPr>
                <w:rFonts w:cs="Arial"/>
                <w:b/>
                <w:bCs/>
                <w:color w:val="000000"/>
                <w:sz w:val="16"/>
                <w:szCs w:val="16"/>
              </w:rPr>
              <w:t>Δεκ.</w:t>
            </w:r>
            <w:r w:rsidRPr="005A76C1">
              <w:rPr>
                <w:rFonts w:cs="Arial"/>
                <w:b/>
                <w:bCs/>
                <w:color w:val="000000"/>
                <w:sz w:val="16"/>
                <w:szCs w:val="16"/>
              </w:rPr>
              <w:br/>
              <w:t>202</w:t>
            </w:r>
            <w:r w:rsidR="00BC56C2">
              <w:rPr>
                <w:rFonts w:cs="Arial"/>
                <w:b/>
                <w:bCs/>
                <w:color w:val="000000"/>
                <w:sz w:val="16"/>
                <w:szCs w:val="16"/>
                <w:lang w:val="en-US"/>
              </w:rPr>
              <w:t>4</w:t>
            </w:r>
          </w:p>
        </w:tc>
        <w:tc>
          <w:tcPr>
            <w:tcW w:w="726" w:type="dxa"/>
            <w:tcBorders>
              <w:top w:val="nil"/>
              <w:bottom w:val="nil"/>
            </w:tcBorders>
            <w:shd w:val="clear" w:color="auto" w:fill="F2F2F2" w:themeFill="background1" w:themeFillShade="F2"/>
            <w:vAlign w:val="center"/>
            <w:hideMark/>
          </w:tcPr>
          <w:p w14:paraId="068ED52E" w14:textId="77777777" w:rsidR="00E136B1" w:rsidRPr="00BC56C2" w:rsidRDefault="00E136B1" w:rsidP="009D5CF8">
            <w:pPr>
              <w:spacing w:after="0" w:line="240" w:lineRule="auto"/>
              <w:jc w:val="center"/>
              <w:rPr>
                <w:rFonts w:cs="Arial"/>
                <w:b/>
                <w:bCs/>
                <w:color w:val="000000"/>
                <w:sz w:val="16"/>
                <w:szCs w:val="16"/>
                <w:lang w:val="en-US"/>
              </w:rPr>
            </w:pPr>
            <w:r w:rsidRPr="005A76C1">
              <w:rPr>
                <w:rFonts w:cs="Arial"/>
                <w:b/>
                <w:bCs/>
                <w:color w:val="000000"/>
                <w:sz w:val="16"/>
                <w:szCs w:val="16"/>
              </w:rPr>
              <w:t>Ιαν.</w:t>
            </w:r>
            <w:r w:rsidRPr="005A76C1">
              <w:rPr>
                <w:rFonts w:cs="Arial"/>
                <w:b/>
                <w:bCs/>
                <w:color w:val="000000"/>
                <w:sz w:val="16"/>
                <w:szCs w:val="16"/>
              </w:rPr>
              <w:br/>
              <w:t>202</w:t>
            </w:r>
            <w:r w:rsidR="00BC56C2">
              <w:rPr>
                <w:rFonts w:cs="Arial"/>
                <w:b/>
                <w:bCs/>
                <w:color w:val="000000"/>
                <w:sz w:val="16"/>
                <w:szCs w:val="16"/>
                <w:lang w:val="en-US"/>
              </w:rPr>
              <w:t>5</w:t>
            </w:r>
          </w:p>
        </w:tc>
        <w:tc>
          <w:tcPr>
            <w:tcW w:w="765" w:type="dxa"/>
            <w:tcBorders>
              <w:top w:val="nil"/>
              <w:bottom w:val="nil"/>
            </w:tcBorders>
            <w:shd w:val="clear" w:color="auto" w:fill="F2F2F2" w:themeFill="background1" w:themeFillShade="F2"/>
            <w:vAlign w:val="center"/>
            <w:hideMark/>
          </w:tcPr>
          <w:p w14:paraId="309506FA" w14:textId="77777777" w:rsidR="00E136B1" w:rsidRPr="00BC56C2" w:rsidRDefault="00E136B1" w:rsidP="009D5CF8">
            <w:pPr>
              <w:spacing w:after="0" w:line="240" w:lineRule="auto"/>
              <w:jc w:val="center"/>
              <w:rPr>
                <w:rFonts w:cs="Arial"/>
                <w:b/>
                <w:bCs/>
                <w:color w:val="000000"/>
                <w:sz w:val="16"/>
                <w:szCs w:val="16"/>
                <w:lang w:val="en-US"/>
              </w:rPr>
            </w:pPr>
            <w:r w:rsidRPr="005A76C1">
              <w:rPr>
                <w:rFonts w:cs="Arial"/>
                <w:b/>
                <w:bCs/>
                <w:color w:val="000000"/>
                <w:sz w:val="16"/>
                <w:szCs w:val="16"/>
              </w:rPr>
              <w:t>Φεβ.</w:t>
            </w:r>
            <w:r w:rsidRPr="005A76C1">
              <w:rPr>
                <w:rFonts w:cs="Arial"/>
                <w:b/>
                <w:bCs/>
                <w:color w:val="000000"/>
                <w:sz w:val="16"/>
                <w:szCs w:val="16"/>
              </w:rPr>
              <w:br/>
              <w:t>202</w:t>
            </w:r>
            <w:r w:rsidR="00BC56C2">
              <w:rPr>
                <w:rFonts w:cs="Arial"/>
                <w:b/>
                <w:bCs/>
                <w:color w:val="000000"/>
                <w:sz w:val="16"/>
                <w:szCs w:val="16"/>
                <w:lang w:val="en-US"/>
              </w:rPr>
              <w:t>5</w:t>
            </w:r>
          </w:p>
        </w:tc>
        <w:tc>
          <w:tcPr>
            <w:tcW w:w="865" w:type="dxa"/>
            <w:tcBorders>
              <w:top w:val="nil"/>
              <w:bottom w:val="nil"/>
            </w:tcBorders>
            <w:shd w:val="clear" w:color="auto" w:fill="F2F2F2" w:themeFill="background1" w:themeFillShade="F2"/>
            <w:vAlign w:val="center"/>
            <w:hideMark/>
          </w:tcPr>
          <w:p w14:paraId="60396050" w14:textId="77777777" w:rsidR="00E136B1" w:rsidRPr="00BC56C2" w:rsidRDefault="00E136B1" w:rsidP="009D5CF8">
            <w:pPr>
              <w:spacing w:after="0" w:line="240" w:lineRule="auto"/>
              <w:jc w:val="center"/>
              <w:rPr>
                <w:rFonts w:cs="Arial"/>
                <w:b/>
                <w:bCs/>
                <w:color w:val="000000"/>
                <w:sz w:val="16"/>
                <w:szCs w:val="16"/>
                <w:lang w:val="en-US"/>
              </w:rPr>
            </w:pPr>
            <w:r w:rsidRPr="005A76C1">
              <w:rPr>
                <w:rFonts w:cs="Arial"/>
                <w:b/>
                <w:bCs/>
                <w:color w:val="000000"/>
                <w:sz w:val="16"/>
                <w:szCs w:val="16"/>
              </w:rPr>
              <w:t>Μ</w:t>
            </w:r>
            <w:r w:rsidR="00BC56C2">
              <w:rPr>
                <w:rFonts w:cs="Arial"/>
                <w:b/>
                <w:bCs/>
                <w:color w:val="000000"/>
                <w:sz w:val="16"/>
                <w:szCs w:val="16"/>
              </w:rPr>
              <w:t>α</w:t>
            </w:r>
            <w:r w:rsidRPr="005A76C1">
              <w:rPr>
                <w:rFonts w:cs="Arial"/>
                <w:b/>
                <w:bCs/>
                <w:color w:val="000000"/>
                <w:sz w:val="16"/>
                <w:szCs w:val="16"/>
              </w:rPr>
              <w:t>ρτ.</w:t>
            </w:r>
            <w:r w:rsidRPr="005A76C1">
              <w:rPr>
                <w:rFonts w:cs="Arial"/>
                <w:b/>
                <w:bCs/>
                <w:color w:val="000000"/>
                <w:sz w:val="16"/>
                <w:szCs w:val="16"/>
              </w:rPr>
              <w:br/>
              <w:t>202</w:t>
            </w:r>
            <w:r w:rsidR="00BC56C2">
              <w:rPr>
                <w:rFonts w:cs="Arial"/>
                <w:b/>
                <w:bCs/>
                <w:color w:val="000000"/>
                <w:sz w:val="16"/>
                <w:szCs w:val="16"/>
                <w:lang w:val="en-US"/>
              </w:rPr>
              <w:t>5</w:t>
            </w:r>
          </w:p>
        </w:tc>
        <w:tc>
          <w:tcPr>
            <w:tcW w:w="798" w:type="dxa"/>
            <w:tcBorders>
              <w:top w:val="nil"/>
              <w:bottom w:val="nil"/>
            </w:tcBorders>
            <w:shd w:val="clear" w:color="auto" w:fill="F2F2F2" w:themeFill="background1" w:themeFillShade="F2"/>
            <w:vAlign w:val="center"/>
            <w:hideMark/>
          </w:tcPr>
          <w:p w14:paraId="1430BF72" w14:textId="77777777" w:rsidR="00E136B1" w:rsidRPr="005A76C1" w:rsidRDefault="00E136B1" w:rsidP="009D5CF8">
            <w:pPr>
              <w:spacing w:after="0" w:line="240" w:lineRule="auto"/>
              <w:jc w:val="center"/>
              <w:rPr>
                <w:rFonts w:cs="Arial"/>
                <w:b/>
                <w:bCs/>
                <w:color w:val="000000"/>
                <w:sz w:val="16"/>
                <w:szCs w:val="16"/>
              </w:rPr>
            </w:pPr>
            <w:r w:rsidRPr="005A76C1">
              <w:rPr>
                <w:rFonts w:cs="Arial"/>
                <w:b/>
                <w:bCs/>
                <w:color w:val="000000"/>
                <w:sz w:val="16"/>
                <w:szCs w:val="16"/>
              </w:rPr>
              <w:t>Απρ.</w:t>
            </w:r>
            <w:r w:rsidRPr="005A76C1">
              <w:rPr>
                <w:rFonts w:cs="Arial"/>
                <w:b/>
                <w:bCs/>
                <w:color w:val="000000"/>
                <w:sz w:val="16"/>
                <w:szCs w:val="16"/>
              </w:rPr>
              <w:br/>
              <w:t>202</w:t>
            </w:r>
            <w:r w:rsidR="00BC56C2">
              <w:rPr>
                <w:rFonts w:cs="Arial"/>
                <w:b/>
                <w:bCs/>
                <w:color w:val="000000"/>
                <w:sz w:val="16"/>
                <w:szCs w:val="16"/>
              </w:rPr>
              <w:t>5</w:t>
            </w:r>
          </w:p>
        </w:tc>
        <w:tc>
          <w:tcPr>
            <w:tcW w:w="875" w:type="dxa"/>
            <w:tcBorders>
              <w:top w:val="nil"/>
              <w:bottom w:val="nil"/>
            </w:tcBorders>
            <w:shd w:val="clear" w:color="auto" w:fill="F2F2F2" w:themeFill="background1" w:themeFillShade="F2"/>
            <w:vAlign w:val="center"/>
            <w:hideMark/>
          </w:tcPr>
          <w:p w14:paraId="2D2D3ED9" w14:textId="77777777" w:rsidR="00E136B1" w:rsidRPr="005A76C1" w:rsidRDefault="00E136B1" w:rsidP="009D5CF8">
            <w:pPr>
              <w:spacing w:after="0" w:line="240" w:lineRule="auto"/>
              <w:jc w:val="center"/>
              <w:rPr>
                <w:rFonts w:cs="Arial"/>
                <w:b/>
                <w:bCs/>
                <w:color w:val="000000"/>
                <w:sz w:val="16"/>
                <w:szCs w:val="16"/>
              </w:rPr>
            </w:pPr>
            <w:r w:rsidRPr="005A76C1">
              <w:rPr>
                <w:rFonts w:cs="Arial"/>
                <w:b/>
                <w:bCs/>
                <w:color w:val="000000"/>
                <w:sz w:val="16"/>
                <w:szCs w:val="16"/>
              </w:rPr>
              <w:t>Μάιος</w:t>
            </w:r>
            <w:r w:rsidRPr="005A76C1">
              <w:rPr>
                <w:rFonts w:cs="Arial"/>
                <w:b/>
                <w:bCs/>
                <w:color w:val="000000"/>
                <w:sz w:val="16"/>
                <w:szCs w:val="16"/>
              </w:rPr>
              <w:br/>
              <w:t>202</w:t>
            </w:r>
            <w:r w:rsidR="00BC56C2">
              <w:rPr>
                <w:rFonts w:cs="Arial"/>
                <w:b/>
                <w:bCs/>
                <w:color w:val="000000"/>
                <w:sz w:val="16"/>
                <w:szCs w:val="16"/>
              </w:rPr>
              <w:t>5</w:t>
            </w:r>
          </w:p>
        </w:tc>
        <w:tc>
          <w:tcPr>
            <w:tcW w:w="784" w:type="dxa"/>
            <w:tcBorders>
              <w:top w:val="nil"/>
              <w:bottom w:val="nil"/>
            </w:tcBorders>
            <w:shd w:val="clear" w:color="auto" w:fill="F2F2F2" w:themeFill="background1" w:themeFillShade="F2"/>
            <w:vAlign w:val="center"/>
            <w:hideMark/>
          </w:tcPr>
          <w:p w14:paraId="3BD0DAC8" w14:textId="77777777" w:rsidR="00E136B1" w:rsidRPr="005A76C1" w:rsidRDefault="00E136B1" w:rsidP="009D5CF8">
            <w:pPr>
              <w:spacing w:after="0" w:line="240" w:lineRule="auto"/>
              <w:jc w:val="center"/>
              <w:rPr>
                <w:rFonts w:cs="Arial"/>
                <w:b/>
                <w:bCs/>
                <w:color w:val="000000"/>
                <w:sz w:val="16"/>
                <w:szCs w:val="16"/>
              </w:rPr>
            </w:pPr>
            <w:r w:rsidRPr="005A76C1">
              <w:rPr>
                <w:rFonts w:cs="Arial"/>
                <w:b/>
                <w:bCs/>
                <w:color w:val="000000"/>
                <w:sz w:val="16"/>
                <w:szCs w:val="16"/>
              </w:rPr>
              <w:t>Ιο</w:t>
            </w:r>
            <w:r w:rsidR="00BC56C2">
              <w:rPr>
                <w:rFonts w:cs="Arial"/>
                <w:b/>
                <w:bCs/>
                <w:color w:val="000000"/>
                <w:sz w:val="16"/>
                <w:szCs w:val="16"/>
              </w:rPr>
              <w:t>υ</w:t>
            </w:r>
            <w:r w:rsidRPr="005A76C1">
              <w:rPr>
                <w:rFonts w:cs="Arial"/>
                <w:b/>
                <w:bCs/>
                <w:color w:val="000000"/>
                <w:sz w:val="16"/>
                <w:szCs w:val="16"/>
              </w:rPr>
              <w:t>ν.</w:t>
            </w:r>
            <w:r w:rsidRPr="005A76C1">
              <w:rPr>
                <w:rFonts w:cs="Arial"/>
                <w:b/>
                <w:bCs/>
                <w:color w:val="000000"/>
                <w:sz w:val="16"/>
                <w:szCs w:val="16"/>
              </w:rPr>
              <w:br/>
              <w:t>202</w:t>
            </w:r>
            <w:r w:rsidR="00BC56C2">
              <w:rPr>
                <w:rFonts w:cs="Arial"/>
                <w:b/>
                <w:bCs/>
                <w:color w:val="000000"/>
                <w:sz w:val="16"/>
                <w:szCs w:val="16"/>
              </w:rPr>
              <w:t>5</w:t>
            </w:r>
          </w:p>
        </w:tc>
        <w:tc>
          <w:tcPr>
            <w:tcW w:w="792" w:type="dxa"/>
            <w:tcBorders>
              <w:top w:val="nil"/>
              <w:bottom w:val="nil"/>
            </w:tcBorders>
            <w:shd w:val="clear" w:color="auto" w:fill="F2F2F2" w:themeFill="background1" w:themeFillShade="F2"/>
            <w:vAlign w:val="center"/>
            <w:hideMark/>
          </w:tcPr>
          <w:p w14:paraId="5665FD3A" w14:textId="77777777" w:rsidR="00E136B1" w:rsidRPr="005A76C1" w:rsidRDefault="00E136B1" w:rsidP="009D5CF8">
            <w:pPr>
              <w:spacing w:after="0" w:line="240" w:lineRule="auto"/>
              <w:jc w:val="center"/>
              <w:rPr>
                <w:rFonts w:cs="Arial"/>
                <w:b/>
                <w:bCs/>
                <w:color w:val="000000"/>
                <w:sz w:val="16"/>
                <w:szCs w:val="16"/>
              </w:rPr>
            </w:pPr>
            <w:r w:rsidRPr="005A76C1">
              <w:rPr>
                <w:rFonts w:cs="Arial"/>
                <w:b/>
                <w:bCs/>
                <w:color w:val="000000"/>
                <w:sz w:val="16"/>
                <w:szCs w:val="16"/>
              </w:rPr>
              <w:t>Ιο</w:t>
            </w:r>
            <w:r w:rsidR="00BC56C2">
              <w:rPr>
                <w:rFonts w:cs="Arial"/>
                <w:b/>
                <w:bCs/>
                <w:color w:val="000000"/>
                <w:sz w:val="16"/>
                <w:szCs w:val="16"/>
              </w:rPr>
              <w:t>υ</w:t>
            </w:r>
            <w:r w:rsidRPr="005A76C1">
              <w:rPr>
                <w:rFonts w:cs="Arial"/>
                <w:b/>
                <w:bCs/>
                <w:color w:val="000000"/>
                <w:sz w:val="16"/>
                <w:szCs w:val="16"/>
              </w:rPr>
              <w:t>λ.</w:t>
            </w:r>
            <w:r w:rsidRPr="005A76C1">
              <w:rPr>
                <w:rFonts w:cs="Arial"/>
                <w:b/>
                <w:bCs/>
                <w:color w:val="000000"/>
                <w:sz w:val="16"/>
                <w:szCs w:val="16"/>
              </w:rPr>
              <w:br/>
              <w:t>202</w:t>
            </w:r>
            <w:r w:rsidR="00BC56C2">
              <w:rPr>
                <w:rFonts w:cs="Arial"/>
                <w:b/>
                <w:bCs/>
                <w:color w:val="000000"/>
                <w:sz w:val="16"/>
                <w:szCs w:val="16"/>
              </w:rPr>
              <w:t>5</w:t>
            </w:r>
          </w:p>
        </w:tc>
      </w:tr>
      <w:tr w:rsidR="008D407B" w:rsidRPr="005A76C1" w14:paraId="0B8C6D77" w14:textId="77777777" w:rsidTr="00B87393">
        <w:trPr>
          <w:trHeight w:val="295"/>
          <w:jc w:val="center"/>
        </w:trPr>
        <w:tc>
          <w:tcPr>
            <w:tcW w:w="2025" w:type="dxa"/>
            <w:tcBorders>
              <w:top w:val="nil"/>
              <w:bottom w:val="nil"/>
            </w:tcBorders>
            <w:noWrap/>
            <w:vAlign w:val="center"/>
            <w:hideMark/>
          </w:tcPr>
          <w:p w14:paraId="0A52B833" w14:textId="77777777" w:rsidR="008D407B" w:rsidRPr="005A76C1" w:rsidRDefault="008D407B" w:rsidP="008D407B">
            <w:pPr>
              <w:spacing w:after="0" w:line="240" w:lineRule="auto"/>
              <w:jc w:val="left"/>
              <w:rPr>
                <w:rFonts w:cs="Arial"/>
                <w:color w:val="000000"/>
                <w:sz w:val="16"/>
                <w:szCs w:val="16"/>
              </w:rPr>
            </w:pPr>
            <w:r w:rsidRPr="005A76C1">
              <w:rPr>
                <w:rFonts w:cs="Arial"/>
                <w:color w:val="000000"/>
                <w:sz w:val="16"/>
                <w:szCs w:val="16"/>
              </w:rPr>
              <w:t>Κράτος</w:t>
            </w:r>
          </w:p>
        </w:tc>
        <w:tc>
          <w:tcPr>
            <w:tcW w:w="739" w:type="dxa"/>
            <w:tcBorders>
              <w:top w:val="nil"/>
              <w:bottom w:val="nil"/>
            </w:tcBorders>
            <w:vAlign w:val="center"/>
          </w:tcPr>
          <w:p w14:paraId="2271266A" w14:textId="77777777" w:rsidR="008D407B" w:rsidRDefault="008D407B" w:rsidP="008D407B">
            <w:pPr>
              <w:spacing w:after="0" w:line="240" w:lineRule="auto"/>
              <w:jc w:val="right"/>
              <w:rPr>
                <w:rFonts w:cs="Arial"/>
                <w:color w:val="000000"/>
                <w:sz w:val="16"/>
                <w:szCs w:val="16"/>
              </w:rPr>
            </w:pPr>
            <w:r>
              <w:rPr>
                <w:rFonts w:cs="Arial"/>
                <w:color w:val="000000"/>
                <w:sz w:val="16"/>
                <w:szCs w:val="16"/>
              </w:rPr>
              <w:t>88</w:t>
            </w:r>
          </w:p>
        </w:tc>
        <w:tc>
          <w:tcPr>
            <w:tcW w:w="785" w:type="dxa"/>
            <w:tcBorders>
              <w:top w:val="nil"/>
              <w:bottom w:val="nil"/>
            </w:tcBorders>
            <w:noWrap/>
            <w:vAlign w:val="center"/>
          </w:tcPr>
          <w:p w14:paraId="69DB7896" w14:textId="77777777" w:rsidR="008D407B" w:rsidRDefault="008D407B" w:rsidP="008D407B">
            <w:pPr>
              <w:spacing w:after="0" w:line="240" w:lineRule="auto"/>
              <w:jc w:val="right"/>
              <w:rPr>
                <w:rFonts w:cs="Arial"/>
                <w:color w:val="000000"/>
                <w:sz w:val="16"/>
                <w:szCs w:val="16"/>
              </w:rPr>
            </w:pPr>
            <w:r>
              <w:rPr>
                <w:rFonts w:cs="Arial"/>
                <w:color w:val="000000"/>
                <w:sz w:val="16"/>
                <w:szCs w:val="16"/>
              </w:rPr>
              <w:t>184</w:t>
            </w:r>
          </w:p>
        </w:tc>
        <w:tc>
          <w:tcPr>
            <w:tcW w:w="739" w:type="dxa"/>
            <w:tcBorders>
              <w:top w:val="nil"/>
              <w:bottom w:val="nil"/>
            </w:tcBorders>
            <w:vAlign w:val="center"/>
          </w:tcPr>
          <w:p w14:paraId="23AE08A8" w14:textId="77777777" w:rsidR="008D407B" w:rsidRDefault="008D407B" w:rsidP="008D407B">
            <w:pPr>
              <w:spacing w:after="0" w:line="240" w:lineRule="auto"/>
              <w:jc w:val="right"/>
              <w:rPr>
                <w:rFonts w:cs="Arial"/>
                <w:color w:val="000000"/>
                <w:sz w:val="16"/>
                <w:szCs w:val="16"/>
              </w:rPr>
            </w:pPr>
            <w:r>
              <w:rPr>
                <w:rFonts w:cs="Arial"/>
                <w:color w:val="000000"/>
                <w:sz w:val="16"/>
                <w:szCs w:val="16"/>
              </w:rPr>
              <w:t>157</w:t>
            </w:r>
          </w:p>
        </w:tc>
        <w:tc>
          <w:tcPr>
            <w:tcW w:w="726" w:type="dxa"/>
            <w:tcBorders>
              <w:top w:val="nil"/>
              <w:bottom w:val="nil"/>
            </w:tcBorders>
            <w:noWrap/>
            <w:vAlign w:val="center"/>
          </w:tcPr>
          <w:p w14:paraId="668ED9AA" w14:textId="77777777" w:rsidR="008D407B" w:rsidRDefault="008D407B" w:rsidP="008D407B">
            <w:pPr>
              <w:spacing w:after="0" w:line="240" w:lineRule="auto"/>
              <w:jc w:val="right"/>
              <w:rPr>
                <w:rFonts w:cs="Arial"/>
                <w:color w:val="000000"/>
                <w:sz w:val="16"/>
                <w:szCs w:val="16"/>
              </w:rPr>
            </w:pPr>
            <w:r>
              <w:rPr>
                <w:rFonts w:cs="Arial"/>
                <w:color w:val="000000"/>
                <w:sz w:val="16"/>
                <w:szCs w:val="16"/>
              </w:rPr>
              <w:t>160</w:t>
            </w:r>
          </w:p>
        </w:tc>
        <w:tc>
          <w:tcPr>
            <w:tcW w:w="765" w:type="dxa"/>
            <w:tcBorders>
              <w:top w:val="nil"/>
              <w:bottom w:val="nil"/>
            </w:tcBorders>
            <w:noWrap/>
            <w:vAlign w:val="center"/>
          </w:tcPr>
          <w:p w14:paraId="11413749" w14:textId="77777777" w:rsidR="008D407B" w:rsidRDefault="008D407B" w:rsidP="008D407B">
            <w:pPr>
              <w:spacing w:after="0" w:line="240" w:lineRule="auto"/>
              <w:jc w:val="right"/>
              <w:rPr>
                <w:rFonts w:cs="Arial"/>
                <w:color w:val="000000"/>
                <w:sz w:val="16"/>
                <w:szCs w:val="16"/>
              </w:rPr>
            </w:pPr>
            <w:r>
              <w:rPr>
                <w:rFonts w:cs="Arial"/>
                <w:color w:val="000000"/>
                <w:sz w:val="16"/>
                <w:szCs w:val="16"/>
              </w:rPr>
              <w:t>174</w:t>
            </w:r>
          </w:p>
        </w:tc>
        <w:tc>
          <w:tcPr>
            <w:tcW w:w="865" w:type="dxa"/>
            <w:tcBorders>
              <w:top w:val="nil"/>
              <w:bottom w:val="nil"/>
            </w:tcBorders>
            <w:noWrap/>
            <w:vAlign w:val="center"/>
          </w:tcPr>
          <w:p w14:paraId="0DF2ADE9" w14:textId="77777777" w:rsidR="008D407B" w:rsidRDefault="008D407B" w:rsidP="008D407B">
            <w:pPr>
              <w:spacing w:after="0" w:line="240" w:lineRule="auto"/>
              <w:jc w:val="right"/>
              <w:rPr>
                <w:rFonts w:cs="Arial"/>
                <w:color w:val="000000"/>
                <w:sz w:val="16"/>
                <w:szCs w:val="16"/>
              </w:rPr>
            </w:pPr>
            <w:r>
              <w:rPr>
                <w:rFonts w:cs="Arial"/>
                <w:color w:val="000000"/>
                <w:sz w:val="16"/>
                <w:szCs w:val="16"/>
              </w:rPr>
              <w:t>254</w:t>
            </w:r>
          </w:p>
        </w:tc>
        <w:tc>
          <w:tcPr>
            <w:tcW w:w="798" w:type="dxa"/>
            <w:tcBorders>
              <w:top w:val="nil"/>
              <w:bottom w:val="nil"/>
            </w:tcBorders>
            <w:noWrap/>
            <w:vAlign w:val="center"/>
          </w:tcPr>
          <w:p w14:paraId="32067493" w14:textId="77777777" w:rsidR="008D407B" w:rsidRDefault="008D407B" w:rsidP="008D407B">
            <w:pPr>
              <w:spacing w:after="0" w:line="240" w:lineRule="auto"/>
              <w:jc w:val="right"/>
              <w:rPr>
                <w:rFonts w:cs="Arial"/>
                <w:color w:val="000000"/>
                <w:sz w:val="16"/>
                <w:szCs w:val="16"/>
              </w:rPr>
            </w:pPr>
            <w:r>
              <w:rPr>
                <w:rFonts w:cs="Arial"/>
                <w:color w:val="000000"/>
                <w:sz w:val="16"/>
                <w:szCs w:val="16"/>
              </w:rPr>
              <w:t>248</w:t>
            </w:r>
          </w:p>
        </w:tc>
        <w:tc>
          <w:tcPr>
            <w:tcW w:w="875" w:type="dxa"/>
            <w:tcBorders>
              <w:top w:val="nil"/>
              <w:bottom w:val="nil"/>
            </w:tcBorders>
            <w:noWrap/>
            <w:vAlign w:val="center"/>
          </w:tcPr>
          <w:p w14:paraId="3CB2F655" w14:textId="77777777" w:rsidR="008D407B" w:rsidRDefault="008D407B" w:rsidP="008D407B">
            <w:pPr>
              <w:spacing w:after="0" w:line="240" w:lineRule="auto"/>
              <w:jc w:val="right"/>
              <w:rPr>
                <w:rFonts w:cs="Arial"/>
                <w:color w:val="000000"/>
                <w:sz w:val="16"/>
                <w:szCs w:val="16"/>
              </w:rPr>
            </w:pPr>
            <w:r>
              <w:rPr>
                <w:rFonts w:cs="Arial"/>
                <w:color w:val="000000"/>
                <w:sz w:val="16"/>
                <w:szCs w:val="16"/>
              </w:rPr>
              <w:t>248</w:t>
            </w:r>
          </w:p>
        </w:tc>
        <w:tc>
          <w:tcPr>
            <w:tcW w:w="784" w:type="dxa"/>
            <w:tcBorders>
              <w:top w:val="nil"/>
              <w:bottom w:val="nil"/>
            </w:tcBorders>
            <w:noWrap/>
            <w:vAlign w:val="center"/>
          </w:tcPr>
          <w:p w14:paraId="38A0E6EF" w14:textId="77777777" w:rsidR="008D407B" w:rsidRDefault="008D407B" w:rsidP="008D407B">
            <w:pPr>
              <w:spacing w:after="0" w:line="240" w:lineRule="auto"/>
              <w:jc w:val="right"/>
              <w:rPr>
                <w:rFonts w:cs="Arial"/>
                <w:color w:val="000000"/>
                <w:sz w:val="16"/>
                <w:szCs w:val="16"/>
              </w:rPr>
            </w:pPr>
            <w:r>
              <w:rPr>
                <w:rFonts w:cs="Arial"/>
                <w:color w:val="000000"/>
                <w:sz w:val="16"/>
                <w:szCs w:val="16"/>
              </w:rPr>
              <w:t>232</w:t>
            </w:r>
          </w:p>
        </w:tc>
        <w:tc>
          <w:tcPr>
            <w:tcW w:w="792" w:type="dxa"/>
            <w:tcBorders>
              <w:top w:val="nil"/>
              <w:bottom w:val="nil"/>
            </w:tcBorders>
            <w:noWrap/>
            <w:vAlign w:val="center"/>
          </w:tcPr>
          <w:p w14:paraId="0FC82051" w14:textId="77777777" w:rsidR="008D407B" w:rsidRDefault="008D407B" w:rsidP="008D407B">
            <w:pPr>
              <w:spacing w:after="0" w:line="240" w:lineRule="auto"/>
              <w:jc w:val="right"/>
              <w:rPr>
                <w:rFonts w:cs="Arial"/>
                <w:color w:val="000000"/>
                <w:sz w:val="16"/>
                <w:szCs w:val="16"/>
              </w:rPr>
            </w:pPr>
            <w:r>
              <w:rPr>
                <w:rFonts w:cs="Arial"/>
                <w:color w:val="000000"/>
                <w:sz w:val="16"/>
                <w:szCs w:val="16"/>
              </w:rPr>
              <w:t>218</w:t>
            </w:r>
          </w:p>
        </w:tc>
      </w:tr>
      <w:tr w:rsidR="008D407B" w:rsidRPr="005A76C1" w14:paraId="5FD81FDA" w14:textId="77777777" w:rsidTr="00B87393">
        <w:trPr>
          <w:trHeight w:val="295"/>
          <w:jc w:val="center"/>
        </w:trPr>
        <w:tc>
          <w:tcPr>
            <w:tcW w:w="2025" w:type="dxa"/>
            <w:tcBorders>
              <w:top w:val="nil"/>
              <w:bottom w:val="nil"/>
            </w:tcBorders>
            <w:noWrap/>
            <w:vAlign w:val="center"/>
            <w:hideMark/>
          </w:tcPr>
          <w:p w14:paraId="25501DE3" w14:textId="77777777" w:rsidR="008D407B" w:rsidRPr="005A76C1" w:rsidRDefault="008D407B" w:rsidP="008D407B">
            <w:pPr>
              <w:spacing w:after="0" w:line="240" w:lineRule="auto"/>
              <w:jc w:val="left"/>
              <w:rPr>
                <w:rFonts w:cs="Arial"/>
                <w:color w:val="000000"/>
                <w:sz w:val="16"/>
                <w:szCs w:val="16"/>
              </w:rPr>
            </w:pPr>
            <w:r w:rsidRPr="005A76C1">
              <w:rPr>
                <w:rFonts w:cs="Arial"/>
                <w:color w:val="000000"/>
                <w:sz w:val="16"/>
                <w:szCs w:val="16"/>
              </w:rPr>
              <w:t>ΟΤΑ</w:t>
            </w:r>
          </w:p>
        </w:tc>
        <w:tc>
          <w:tcPr>
            <w:tcW w:w="739" w:type="dxa"/>
            <w:tcBorders>
              <w:top w:val="nil"/>
              <w:bottom w:val="nil"/>
            </w:tcBorders>
            <w:vAlign w:val="center"/>
          </w:tcPr>
          <w:p w14:paraId="0D975506" w14:textId="77777777" w:rsidR="008D407B" w:rsidRDefault="008D407B" w:rsidP="008D407B">
            <w:pPr>
              <w:spacing w:after="0" w:line="240" w:lineRule="auto"/>
              <w:jc w:val="right"/>
              <w:rPr>
                <w:rFonts w:cs="Arial"/>
                <w:color w:val="000000"/>
                <w:sz w:val="16"/>
                <w:szCs w:val="16"/>
              </w:rPr>
            </w:pPr>
            <w:r>
              <w:rPr>
                <w:rFonts w:cs="Arial"/>
                <w:color w:val="000000"/>
                <w:sz w:val="16"/>
                <w:szCs w:val="16"/>
              </w:rPr>
              <w:t>149</w:t>
            </w:r>
          </w:p>
        </w:tc>
        <w:tc>
          <w:tcPr>
            <w:tcW w:w="785" w:type="dxa"/>
            <w:tcBorders>
              <w:top w:val="nil"/>
              <w:bottom w:val="nil"/>
            </w:tcBorders>
            <w:noWrap/>
            <w:vAlign w:val="center"/>
          </w:tcPr>
          <w:p w14:paraId="01A58C91" w14:textId="77777777" w:rsidR="008D407B" w:rsidRDefault="008D407B" w:rsidP="008D407B">
            <w:pPr>
              <w:spacing w:after="0" w:line="240" w:lineRule="auto"/>
              <w:jc w:val="right"/>
              <w:rPr>
                <w:rFonts w:cs="Arial"/>
                <w:color w:val="000000"/>
                <w:sz w:val="16"/>
                <w:szCs w:val="16"/>
              </w:rPr>
            </w:pPr>
            <w:r>
              <w:rPr>
                <w:rFonts w:cs="Arial"/>
                <w:color w:val="000000"/>
                <w:sz w:val="16"/>
                <w:szCs w:val="16"/>
              </w:rPr>
              <w:t>298</w:t>
            </w:r>
          </w:p>
        </w:tc>
        <w:tc>
          <w:tcPr>
            <w:tcW w:w="739" w:type="dxa"/>
            <w:tcBorders>
              <w:top w:val="nil"/>
              <w:bottom w:val="nil"/>
            </w:tcBorders>
            <w:vAlign w:val="center"/>
          </w:tcPr>
          <w:p w14:paraId="470E51CB" w14:textId="77777777" w:rsidR="008D407B" w:rsidRDefault="008D407B" w:rsidP="008D407B">
            <w:pPr>
              <w:spacing w:after="0" w:line="240" w:lineRule="auto"/>
              <w:jc w:val="right"/>
              <w:rPr>
                <w:rFonts w:cs="Arial"/>
                <w:color w:val="000000"/>
                <w:sz w:val="16"/>
                <w:szCs w:val="16"/>
              </w:rPr>
            </w:pPr>
            <w:r>
              <w:rPr>
                <w:rFonts w:cs="Arial"/>
                <w:color w:val="000000"/>
                <w:sz w:val="16"/>
                <w:szCs w:val="16"/>
              </w:rPr>
              <w:t>231</w:t>
            </w:r>
          </w:p>
        </w:tc>
        <w:tc>
          <w:tcPr>
            <w:tcW w:w="726" w:type="dxa"/>
            <w:tcBorders>
              <w:top w:val="nil"/>
              <w:bottom w:val="nil"/>
            </w:tcBorders>
            <w:noWrap/>
            <w:vAlign w:val="center"/>
          </w:tcPr>
          <w:p w14:paraId="0B64BEA7" w14:textId="77777777" w:rsidR="008D407B" w:rsidRDefault="008D407B" w:rsidP="008D407B">
            <w:pPr>
              <w:spacing w:after="0" w:line="240" w:lineRule="auto"/>
              <w:jc w:val="right"/>
              <w:rPr>
                <w:rFonts w:cs="Arial"/>
                <w:color w:val="000000"/>
                <w:sz w:val="16"/>
                <w:szCs w:val="16"/>
              </w:rPr>
            </w:pPr>
            <w:r>
              <w:rPr>
                <w:rFonts w:cs="Arial"/>
                <w:color w:val="000000"/>
                <w:sz w:val="16"/>
                <w:szCs w:val="16"/>
              </w:rPr>
              <w:t>243</w:t>
            </w:r>
          </w:p>
        </w:tc>
        <w:tc>
          <w:tcPr>
            <w:tcW w:w="765" w:type="dxa"/>
            <w:tcBorders>
              <w:top w:val="nil"/>
              <w:bottom w:val="nil"/>
            </w:tcBorders>
            <w:noWrap/>
            <w:vAlign w:val="center"/>
          </w:tcPr>
          <w:p w14:paraId="32F2CCCF" w14:textId="77777777" w:rsidR="008D407B" w:rsidRDefault="008D407B" w:rsidP="008D407B">
            <w:pPr>
              <w:spacing w:after="0" w:line="240" w:lineRule="auto"/>
              <w:jc w:val="right"/>
              <w:rPr>
                <w:rFonts w:cs="Arial"/>
                <w:color w:val="000000"/>
                <w:sz w:val="16"/>
                <w:szCs w:val="16"/>
              </w:rPr>
            </w:pPr>
            <w:r>
              <w:rPr>
                <w:rFonts w:cs="Arial"/>
                <w:color w:val="000000"/>
                <w:sz w:val="16"/>
                <w:szCs w:val="16"/>
              </w:rPr>
              <w:t>280</w:t>
            </w:r>
          </w:p>
        </w:tc>
        <w:tc>
          <w:tcPr>
            <w:tcW w:w="865" w:type="dxa"/>
            <w:tcBorders>
              <w:top w:val="nil"/>
              <w:bottom w:val="nil"/>
            </w:tcBorders>
            <w:noWrap/>
            <w:vAlign w:val="center"/>
          </w:tcPr>
          <w:p w14:paraId="27A7E742" w14:textId="77777777" w:rsidR="008D407B" w:rsidRDefault="008D407B" w:rsidP="008D407B">
            <w:pPr>
              <w:spacing w:after="0" w:line="240" w:lineRule="auto"/>
              <w:jc w:val="right"/>
              <w:rPr>
                <w:rFonts w:cs="Arial"/>
                <w:color w:val="000000"/>
                <w:sz w:val="16"/>
                <w:szCs w:val="16"/>
              </w:rPr>
            </w:pPr>
            <w:r>
              <w:rPr>
                <w:rFonts w:cs="Arial"/>
                <w:color w:val="000000"/>
                <w:sz w:val="16"/>
                <w:szCs w:val="16"/>
              </w:rPr>
              <w:t>373</w:t>
            </w:r>
          </w:p>
        </w:tc>
        <w:tc>
          <w:tcPr>
            <w:tcW w:w="798" w:type="dxa"/>
            <w:tcBorders>
              <w:top w:val="nil"/>
              <w:bottom w:val="nil"/>
            </w:tcBorders>
            <w:noWrap/>
            <w:vAlign w:val="center"/>
          </w:tcPr>
          <w:p w14:paraId="6F5FA272" w14:textId="77777777" w:rsidR="008D407B" w:rsidRDefault="008D407B" w:rsidP="008D407B">
            <w:pPr>
              <w:spacing w:after="0" w:line="240" w:lineRule="auto"/>
              <w:jc w:val="right"/>
              <w:rPr>
                <w:rFonts w:cs="Arial"/>
                <w:color w:val="000000"/>
                <w:sz w:val="16"/>
                <w:szCs w:val="16"/>
              </w:rPr>
            </w:pPr>
            <w:r>
              <w:rPr>
                <w:rFonts w:cs="Arial"/>
                <w:color w:val="000000"/>
                <w:sz w:val="16"/>
                <w:szCs w:val="16"/>
              </w:rPr>
              <w:t>405</w:t>
            </w:r>
          </w:p>
        </w:tc>
        <w:tc>
          <w:tcPr>
            <w:tcW w:w="875" w:type="dxa"/>
            <w:tcBorders>
              <w:top w:val="nil"/>
              <w:bottom w:val="nil"/>
            </w:tcBorders>
            <w:noWrap/>
            <w:vAlign w:val="center"/>
          </w:tcPr>
          <w:p w14:paraId="42E7D697" w14:textId="77777777" w:rsidR="008D407B" w:rsidRDefault="008D407B" w:rsidP="008D407B">
            <w:pPr>
              <w:spacing w:after="0" w:line="240" w:lineRule="auto"/>
              <w:jc w:val="right"/>
              <w:rPr>
                <w:rFonts w:cs="Arial"/>
                <w:color w:val="000000"/>
                <w:sz w:val="16"/>
                <w:szCs w:val="16"/>
              </w:rPr>
            </w:pPr>
            <w:r>
              <w:rPr>
                <w:rFonts w:cs="Arial"/>
                <w:color w:val="000000"/>
                <w:sz w:val="16"/>
                <w:szCs w:val="16"/>
              </w:rPr>
              <w:t>363</w:t>
            </w:r>
          </w:p>
        </w:tc>
        <w:tc>
          <w:tcPr>
            <w:tcW w:w="784" w:type="dxa"/>
            <w:tcBorders>
              <w:top w:val="nil"/>
              <w:bottom w:val="nil"/>
            </w:tcBorders>
            <w:noWrap/>
            <w:vAlign w:val="center"/>
          </w:tcPr>
          <w:p w14:paraId="53203D57" w14:textId="77777777" w:rsidR="008D407B" w:rsidRDefault="008D407B" w:rsidP="008D407B">
            <w:pPr>
              <w:spacing w:after="0" w:line="240" w:lineRule="auto"/>
              <w:jc w:val="right"/>
              <w:rPr>
                <w:rFonts w:cs="Arial"/>
                <w:color w:val="000000"/>
                <w:sz w:val="16"/>
                <w:szCs w:val="16"/>
              </w:rPr>
            </w:pPr>
            <w:r>
              <w:rPr>
                <w:rFonts w:cs="Arial"/>
                <w:color w:val="000000"/>
                <w:sz w:val="16"/>
                <w:szCs w:val="16"/>
              </w:rPr>
              <w:t>264</w:t>
            </w:r>
          </w:p>
        </w:tc>
        <w:tc>
          <w:tcPr>
            <w:tcW w:w="792" w:type="dxa"/>
            <w:tcBorders>
              <w:top w:val="nil"/>
              <w:bottom w:val="nil"/>
            </w:tcBorders>
            <w:noWrap/>
            <w:vAlign w:val="center"/>
          </w:tcPr>
          <w:p w14:paraId="16DE0E52" w14:textId="77777777" w:rsidR="008D407B" w:rsidRDefault="008D407B" w:rsidP="008D407B">
            <w:pPr>
              <w:spacing w:after="0" w:line="240" w:lineRule="auto"/>
              <w:jc w:val="right"/>
              <w:rPr>
                <w:rFonts w:cs="Arial"/>
                <w:color w:val="000000"/>
                <w:sz w:val="16"/>
                <w:szCs w:val="16"/>
              </w:rPr>
            </w:pPr>
            <w:r>
              <w:rPr>
                <w:rFonts w:cs="Arial"/>
                <w:color w:val="000000"/>
                <w:sz w:val="16"/>
                <w:szCs w:val="16"/>
              </w:rPr>
              <w:t>247</w:t>
            </w:r>
          </w:p>
        </w:tc>
      </w:tr>
      <w:tr w:rsidR="008D407B" w:rsidRPr="005A76C1" w14:paraId="77467441" w14:textId="77777777" w:rsidTr="00B87393">
        <w:trPr>
          <w:trHeight w:val="295"/>
          <w:jc w:val="center"/>
        </w:trPr>
        <w:tc>
          <w:tcPr>
            <w:tcW w:w="2025" w:type="dxa"/>
            <w:tcBorders>
              <w:top w:val="nil"/>
              <w:bottom w:val="nil"/>
            </w:tcBorders>
            <w:noWrap/>
            <w:vAlign w:val="center"/>
            <w:hideMark/>
          </w:tcPr>
          <w:p w14:paraId="014AD3A7" w14:textId="77777777" w:rsidR="008D407B" w:rsidRPr="005A76C1" w:rsidRDefault="008D407B" w:rsidP="008D407B">
            <w:pPr>
              <w:spacing w:after="0" w:line="240" w:lineRule="auto"/>
              <w:jc w:val="left"/>
              <w:rPr>
                <w:rFonts w:cs="Arial"/>
                <w:color w:val="000000"/>
                <w:sz w:val="16"/>
                <w:szCs w:val="16"/>
              </w:rPr>
            </w:pPr>
            <w:r w:rsidRPr="005A76C1">
              <w:rPr>
                <w:rFonts w:cs="Arial"/>
                <w:color w:val="000000"/>
                <w:sz w:val="16"/>
                <w:szCs w:val="16"/>
              </w:rPr>
              <w:t>ΟΚΑ</w:t>
            </w:r>
            <w:r w:rsidRPr="00901E10">
              <w:rPr>
                <w:rFonts w:cs="Arial"/>
                <w:color w:val="000000"/>
                <w:sz w:val="16"/>
                <w:szCs w:val="16"/>
                <w:vertAlign w:val="superscript"/>
              </w:rPr>
              <w:t>1</w:t>
            </w:r>
          </w:p>
        </w:tc>
        <w:tc>
          <w:tcPr>
            <w:tcW w:w="739" w:type="dxa"/>
            <w:tcBorders>
              <w:top w:val="nil"/>
              <w:bottom w:val="nil"/>
            </w:tcBorders>
            <w:vAlign w:val="center"/>
          </w:tcPr>
          <w:p w14:paraId="2EA65EE6" w14:textId="77777777" w:rsidR="008D407B" w:rsidRDefault="008D407B" w:rsidP="008D407B">
            <w:pPr>
              <w:spacing w:after="0" w:line="240" w:lineRule="auto"/>
              <w:jc w:val="right"/>
              <w:rPr>
                <w:rFonts w:cs="Arial"/>
                <w:color w:val="000000"/>
                <w:sz w:val="16"/>
                <w:szCs w:val="16"/>
              </w:rPr>
            </w:pPr>
            <w:r>
              <w:rPr>
                <w:rFonts w:cs="Arial"/>
                <w:color w:val="000000"/>
                <w:sz w:val="16"/>
                <w:szCs w:val="16"/>
              </w:rPr>
              <w:t>525</w:t>
            </w:r>
          </w:p>
        </w:tc>
        <w:tc>
          <w:tcPr>
            <w:tcW w:w="785" w:type="dxa"/>
            <w:tcBorders>
              <w:top w:val="nil"/>
              <w:bottom w:val="nil"/>
            </w:tcBorders>
            <w:noWrap/>
            <w:vAlign w:val="center"/>
          </w:tcPr>
          <w:p w14:paraId="3F935DFF" w14:textId="77777777" w:rsidR="008D407B" w:rsidRDefault="008D407B" w:rsidP="008D407B">
            <w:pPr>
              <w:spacing w:after="0" w:line="240" w:lineRule="auto"/>
              <w:jc w:val="right"/>
              <w:rPr>
                <w:rFonts w:cs="Arial"/>
                <w:color w:val="000000"/>
                <w:sz w:val="16"/>
                <w:szCs w:val="16"/>
              </w:rPr>
            </w:pPr>
            <w:r>
              <w:rPr>
                <w:rFonts w:cs="Arial"/>
                <w:color w:val="000000"/>
                <w:sz w:val="16"/>
                <w:szCs w:val="16"/>
              </w:rPr>
              <w:t>619</w:t>
            </w:r>
          </w:p>
        </w:tc>
        <w:tc>
          <w:tcPr>
            <w:tcW w:w="739" w:type="dxa"/>
            <w:tcBorders>
              <w:top w:val="nil"/>
              <w:bottom w:val="nil"/>
            </w:tcBorders>
            <w:vAlign w:val="center"/>
          </w:tcPr>
          <w:p w14:paraId="1389C6B6" w14:textId="77777777" w:rsidR="008D407B" w:rsidRDefault="008D407B" w:rsidP="008D407B">
            <w:pPr>
              <w:spacing w:after="0" w:line="240" w:lineRule="auto"/>
              <w:jc w:val="right"/>
              <w:rPr>
                <w:rFonts w:cs="Arial"/>
                <w:color w:val="000000"/>
                <w:sz w:val="16"/>
                <w:szCs w:val="16"/>
              </w:rPr>
            </w:pPr>
            <w:r>
              <w:rPr>
                <w:rFonts w:cs="Arial"/>
                <w:color w:val="000000"/>
                <w:sz w:val="16"/>
                <w:szCs w:val="16"/>
              </w:rPr>
              <w:t>585</w:t>
            </w:r>
          </w:p>
        </w:tc>
        <w:tc>
          <w:tcPr>
            <w:tcW w:w="726" w:type="dxa"/>
            <w:tcBorders>
              <w:top w:val="nil"/>
              <w:bottom w:val="nil"/>
            </w:tcBorders>
            <w:noWrap/>
            <w:vAlign w:val="center"/>
          </w:tcPr>
          <w:p w14:paraId="2798DF6D" w14:textId="77777777" w:rsidR="008D407B" w:rsidRDefault="008D407B" w:rsidP="008D407B">
            <w:pPr>
              <w:spacing w:after="0" w:line="240" w:lineRule="auto"/>
              <w:jc w:val="right"/>
              <w:rPr>
                <w:rFonts w:cs="Arial"/>
                <w:color w:val="000000"/>
                <w:sz w:val="16"/>
                <w:szCs w:val="16"/>
              </w:rPr>
            </w:pPr>
            <w:r>
              <w:rPr>
                <w:rFonts w:cs="Arial"/>
                <w:color w:val="000000"/>
                <w:sz w:val="16"/>
                <w:szCs w:val="16"/>
              </w:rPr>
              <w:t>597</w:t>
            </w:r>
          </w:p>
        </w:tc>
        <w:tc>
          <w:tcPr>
            <w:tcW w:w="765" w:type="dxa"/>
            <w:tcBorders>
              <w:top w:val="nil"/>
              <w:bottom w:val="nil"/>
            </w:tcBorders>
            <w:noWrap/>
            <w:vAlign w:val="center"/>
          </w:tcPr>
          <w:p w14:paraId="2EC031FD" w14:textId="77777777" w:rsidR="008D407B" w:rsidRDefault="008D407B" w:rsidP="008D407B">
            <w:pPr>
              <w:spacing w:after="0" w:line="240" w:lineRule="auto"/>
              <w:jc w:val="right"/>
              <w:rPr>
                <w:rFonts w:cs="Arial"/>
                <w:color w:val="000000"/>
                <w:sz w:val="16"/>
                <w:szCs w:val="16"/>
              </w:rPr>
            </w:pPr>
            <w:r>
              <w:rPr>
                <w:rFonts w:cs="Arial"/>
                <w:color w:val="000000"/>
                <w:sz w:val="16"/>
                <w:szCs w:val="16"/>
              </w:rPr>
              <w:t>604</w:t>
            </w:r>
          </w:p>
        </w:tc>
        <w:tc>
          <w:tcPr>
            <w:tcW w:w="865" w:type="dxa"/>
            <w:tcBorders>
              <w:top w:val="nil"/>
              <w:bottom w:val="nil"/>
            </w:tcBorders>
            <w:noWrap/>
            <w:vAlign w:val="center"/>
          </w:tcPr>
          <w:p w14:paraId="1E4A8523" w14:textId="77777777" w:rsidR="008D407B" w:rsidRDefault="008D407B" w:rsidP="008D407B">
            <w:pPr>
              <w:spacing w:after="0" w:line="240" w:lineRule="auto"/>
              <w:jc w:val="right"/>
              <w:rPr>
                <w:rFonts w:cs="Arial"/>
                <w:color w:val="000000"/>
                <w:sz w:val="16"/>
                <w:szCs w:val="16"/>
              </w:rPr>
            </w:pPr>
            <w:r>
              <w:rPr>
                <w:rFonts w:cs="Arial"/>
                <w:color w:val="000000"/>
                <w:sz w:val="16"/>
                <w:szCs w:val="16"/>
              </w:rPr>
              <w:t>582</w:t>
            </w:r>
          </w:p>
        </w:tc>
        <w:tc>
          <w:tcPr>
            <w:tcW w:w="798" w:type="dxa"/>
            <w:tcBorders>
              <w:top w:val="nil"/>
              <w:bottom w:val="nil"/>
            </w:tcBorders>
            <w:noWrap/>
            <w:vAlign w:val="center"/>
          </w:tcPr>
          <w:p w14:paraId="2BE25B78" w14:textId="77777777" w:rsidR="008D407B" w:rsidRDefault="008D407B" w:rsidP="008D407B">
            <w:pPr>
              <w:spacing w:after="0" w:line="240" w:lineRule="auto"/>
              <w:jc w:val="right"/>
              <w:rPr>
                <w:rFonts w:cs="Arial"/>
                <w:color w:val="000000"/>
                <w:sz w:val="16"/>
                <w:szCs w:val="16"/>
              </w:rPr>
            </w:pPr>
            <w:r>
              <w:rPr>
                <w:rFonts w:cs="Arial"/>
                <w:color w:val="000000"/>
                <w:sz w:val="16"/>
                <w:szCs w:val="16"/>
              </w:rPr>
              <w:t>613</w:t>
            </w:r>
          </w:p>
        </w:tc>
        <w:tc>
          <w:tcPr>
            <w:tcW w:w="875" w:type="dxa"/>
            <w:tcBorders>
              <w:top w:val="nil"/>
              <w:bottom w:val="nil"/>
            </w:tcBorders>
            <w:noWrap/>
            <w:vAlign w:val="center"/>
          </w:tcPr>
          <w:p w14:paraId="25DBD693" w14:textId="77777777" w:rsidR="008D407B" w:rsidRDefault="008D407B" w:rsidP="008D407B">
            <w:pPr>
              <w:spacing w:after="0" w:line="240" w:lineRule="auto"/>
              <w:jc w:val="right"/>
              <w:rPr>
                <w:rFonts w:cs="Arial"/>
                <w:color w:val="000000"/>
                <w:sz w:val="16"/>
                <w:szCs w:val="16"/>
              </w:rPr>
            </w:pPr>
            <w:r>
              <w:rPr>
                <w:rFonts w:cs="Arial"/>
                <w:color w:val="000000"/>
                <w:sz w:val="16"/>
                <w:szCs w:val="16"/>
              </w:rPr>
              <w:t>604</w:t>
            </w:r>
          </w:p>
        </w:tc>
        <w:tc>
          <w:tcPr>
            <w:tcW w:w="784" w:type="dxa"/>
            <w:tcBorders>
              <w:top w:val="nil"/>
              <w:bottom w:val="nil"/>
            </w:tcBorders>
            <w:noWrap/>
            <w:vAlign w:val="center"/>
          </w:tcPr>
          <w:p w14:paraId="7DC37FEB" w14:textId="77777777" w:rsidR="008D407B" w:rsidRDefault="008D407B" w:rsidP="008D407B">
            <w:pPr>
              <w:spacing w:after="0" w:line="240" w:lineRule="auto"/>
              <w:jc w:val="right"/>
              <w:rPr>
                <w:rFonts w:cs="Arial"/>
                <w:color w:val="000000"/>
                <w:sz w:val="16"/>
                <w:szCs w:val="16"/>
              </w:rPr>
            </w:pPr>
            <w:r>
              <w:rPr>
                <w:rFonts w:cs="Arial"/>
                <w:color w:val="000000"/>
                <w:sz w:val="16"/>
                <w:szCs w:val="16"/>
              </w:rPr>
              <w:t>612</w:t>
            </w:r>
          </w:p>
        </w:tc>
        <w:tc>
          <w:tcPr>
            <w:tcW w:w="792" w:type="dxa"/>
            <w:tcBorders>
              <w:top w:val="nil"/>
              <w:bottom w:val="nil"/>
            </w:tcBorders>
            <w:noWrap/>
            <w:vAlign w:val="center"/>
          </w:tcPr>
          <w:p w14:paraId="500F5541" w14:textId="77777777" w:rsidR="008D407B" w:rsidRDefault="008D407B" w:rsidP="008D407B">
            <w:pPr>
              <w:spacing w:after="0" w:line="240" w:lineRule="auto"/>
              <w:jc w:val="right"/>
              <w:rPr>
                <w:rFonts w:cs="Arial"/>
                <w:color w:val="000000"/>
                <w:sz w:val="16"/>
                <w:szCs w:val="16"/>
              </w:rPr>
            </w:pPr>
            <w:r>
              <w:rPr>
                <w:rFonts w:cs="Arial"/>
                <w:color w:val="000000"/>
                <w:sz w:val="16"/>
                <w:szCs w:val="16"/>
              </w:rPr>
              <w:t>623</w:t>
            </w:r>
          </w:p>
        </w:tc>
      </w:tr>
      <w:tr w:rsidR="008D407B" w:rsidRPr="005A76C1" w14:paraId="6AB6C811" w14:textId="77777777" w:rsidTr="00B87393">
        <w:trPr>
          <w:trHeight w:val="295"/>
          <w:jc w:val="center"/>
        </w:trPr>
        <w:tc>
          <w:tcPr>
            <w:tcW w:w="2025" w:type="dxa"/>
            <w:tcBorders>
              <w:top w:val="nil"/>
              <w:bottom w:val="nil"/>
            </w:tcBorders>
            <w:noWrap/>
            <w:vAlign w:val="center"/>
            <w:hideMark/>
          </w:tcPr>
          <w:p w14:paraId="64E6D30E" w14:textId="77777777" w:rsidR="008D407B" w:rsidRPr="005A76C1" w:rsidRDefault="008D407B" w:rsidP="008D407B">
            <w:pPr>
              <w:spacing w:after="0" w:line="240" w:lineRule="auto"/>
              <w:jc w:val="left"/>
              <w:rPr>
                <w:rFonts w:cs="Arial"/>
                <w:color w:val="000000"/>
                <w:sz w:val="16"/>
                <w:szCs w:val="16"/>
              </w:rPr>
            </w:pPr>
            <w:r w:rsidRPr="005A76C1">
              <w:rPr>
                <w:rFonts w:cs="Arial"/>
                <w:color w:val="000000"/>
                <w:sz w:val="16"/>
                <w:szCs w:val="16"/>
              </w:rPr>
              <w:t>Νοσοκομεία</w:t>
            </w:r>
            <w:r w:rsidRPr="00C73A7A">
              <w:rPr>
                <w:rFonts w:cs="Arial"/>
                <w:color w:val="000000"/>
                <w:sz w:val="16"/>
                <w:szCs w:val="16"/>
                <w:vertAlign w:val="superscript"/>
              </w:rPr>
              <w:t>1</w:t>
            </w:r>
            <w:r>
              <w:rPr>
                <w:rFonts w:cs="Arial"/>
                <w:color w:val="000000"/>
                <w:sz w:val="16"/>
                <w:szCs w:val="16"/>
                <w:vertAlign w:val="superscript"/>
              </w:rPr>
              <w:t>, 2</w:t>
            </w:r>
          </w:p>
        </w:tc>
        <w:tc>
          <w:tcPr>
            <w:tcW w:w="739" w:type="dxa"/>
            <w:tcBorders>
              <w:top w:val="nil"/>
              <w:bottom w:val="nil"/>
            </w:tcBorders>
            <w:vAlign w:val="center"/>
          </w:tcPr>
          <w:p w14:paraId="063B9A3B" w14:textId="77777777" w:rsidR="008D407B" w:rsidRDefault="008D407B" w:rsidP="008D407B">
            <w:pPr>
              <w:spacing w:after="0" w:line="240" w:lineRule="auto"/>
              <w:jc w:val="right"/>
              <w:rPr>
                <w:rFonts w:cs="Arial"/>
                <w:color w:val="000000"/>
                <w:sz w:val="16"/>
                <w:szCs w:val="16"/>
              </w:rPr>
            </w:pPr>
            <w:r>
              <w:rPr>
                <w:rFonts w:cs="Arial"/>
                <w:color w:val="000000"/>
                <w:sz w:val="16"/>
                <w:szCs w:val="16"/>
              </w:rPr>
              <w:t>1.319</w:t>
            </w:r>
          </w:p>
        </w:tc>
        <w:tc>
          <w:tcPr>
            <w:tcW w:w="785" w:type="dxa"/>
            <w:tcBorders>
              <w:top w:val="nil"/>
              <w:bottom w:val="nil"/>
            </w:tcBorders>
            <w:noWrap/>
            <w:vAlign w:val="center"/>
          </w:tcPr>
          <w:p w14:paraId="37986A41" w14:textId="77777777" w:rsidR="008D407B" w:rsidRDefault="008D407B" w:rsidP="008D407B">
            <w:pPr>
              <w:spacing w:after="0" w:line="240" w:lineRule="auto"/>
              <w:jc w:val="right"/>
              <w:rPr>
                <w:rFonts w:cs="Arial"/>
                <w:color w:val="000000"/>
                <w:sz w:val="16"/>
                <w:szCs w:val="16"/>
              </w:rPr>
            </w:pPr>
            <w:r>
              <w:rPr>
                <w:rFonts w:cs="Arial"/>
                <w:color w:val="000000"/>
                <w:sz w:val="16"/>
                <w:szCs w:val="16"/>
              </w:rPr>
              <w:t>1.267</w:t>
            </w:r>
          </w:p>
        </w:tc>
        <w:tc>
          <w:tcPr>
            <w:tcW w:w="739" w:type="dxa"/>
            <w:tcBorders>
              <w:top w:val="nil"/>
              <w:bottom w:val="nil"/>
            </w:tcBorders>
            <w:vAlign w:val="center"/>
          </w:tcPr>
          <w:p w14:paraId="6D310884" w14:textId="77777777" w:rsidR="008D407B" w:rsidRDefault="008D407B" w:rsidP="008D407B">
            <w:pPr>
              <w:spacing w:after="0" w:line="240" w:lineRule="auto"/>
              <w:jc w:val="right"/>
              <w:rPr>
                <w:rFonts w:cs="Arial"/>
                <w:color w:val="000000"/>
                <w:sz w:val="16"/>
                <w:szCs w:val="16"/>
              </w:rPr>
            </w:pPr>
            <w:r>
              <w:rPr>
                <w:rFonts w:cs="Arial"/>
                <w:color w:val="000000"/>
                <w:sz w:val="16"/>
                <w:szCs w:val="16"/>
              </w:rPr>
              <w:t>1.164</w:t>
            </w:r>
          </w:p>
        </w:tc>
        <w:tc>
          <w:tcPr>
            <w:tcW w:w="726" w:type="dxa"/>
            <w:tcBorders>
              <w:top w:val="nil"/>
              <w:bottom w:val="nil"/>
            </w:tcBorders>
            <w:noWrap/>
            <w:vAlign w:val="center"/>
          </w:tcPr>
          <w:p w14:paraId="0D20A60B" w14:textId="77777777" w:rsidR="008D407B" w:rsidRDefault="008D407B" w:rsidP="008D407B">
            <w:pPr>
              <w:spacing w:after="0" w:line="240" w:lineRule="auto"/>
              <w:jc w:val="right"/>
              <w:rPr>
                <w:rFonts w:cs="Arial"/>
                <w:color w:val="000000"/>
                <w:sz w:val="16"/>
                <w:szCs w:val="16"/>
              </w:rPr>
            </w:pPr>
            <w:r>
              <w:rPr>
                <w:rFonts w:cs="Arial"/>
                <w:color w:val="000000"/>
                <w:sz w:val="16"/>
                <w:szCs w:val="16"/>
              </w:rPr>
              <w:t>1.318</w:t>
            </w:r>
          </w:p>
        </w:tc>
        <w:tc>
          <w:tcPr>
            <w:tcW w:w="765" w:type="dxa"/>
            <w:tcBorders>
              <w:top w:val="nil"/>
              <w:bottom w:val="nil"/>
            </w:tcBorders>
            <w:noWrap/>
            <w:vAlign w:val="center"/>
          </w:tcPr>
          <w:p w14:paraId="388EB1AA" w14:textId="77777777" w:rsidR="008D407B" w:rsidRDefault="008D407B" w:rsidP="008D407B">
            <w:pPr>
              <w:spacing w:after="0" w:line="240" w:lineRule="auto"/>
              <w:jc w:val="right"/>
              <w:rPr>
                <w:rFonts w:cs="Arial"/>
                <w:color w:val="000000"/>
                <w:sz w:val="16"/>
                <w:szCs w:val="16"/>
              </w:rPr>
            </w:pPr>
            <w:r>
              <w:rPr>
                <w:rFonts w:cs="Arial"/>
                <w:color w:val="000000"/>
                <w:sz w:val="16"/>
                <w:szCs w:val="16"/>
              </w:rPr>
              <w:t>1.277</w:t>
            </w:r>
          </w:p>
        </w:tc>
        <w:tc>
          <w:tcPr>
            <w:tcW w:w="865" w:type="dxa"/>
            <w:tcBorders>
              <w:top w:val="nil"/>
              <w:bottom w:val="nil"/>
            </w:tcBorders>
            <w:noWrap/>
            <w:vAlign w:val="center"/>
          </w:tcPr>
          <w:p w14:paraId="55428D0A" w14:textId="77777777" w:rsidR="008D407B" w:rsidRDefault="008D407B" w:rsidP="008D407B">
            <w:pPr>
              <w:spacing w:after="0" w:line="240" w:lineRule="auto"/>
              <w:jc w:val="right"/>
              <w:rPr>
                <w:rFonts w:cs="Arial"/>
                <w:color w:val="000000"/>
                <w:sz w:val="16"/>
                <w:szCs w:val="16"/>
              </w:rPr>
            </w:pPr>
            <w:r>
              <w:rPr>
                <w:rFonts w:cs="Arial"/>
                <w:color w:val="000000"/>
                <w:sz w:val="16"/>
                <w:szCs w:val="16"/>
              </w:rPr>
              <w:t>1.489</w:t>
            </w:r>
          </w:p>
        </w:tc>
        <w:tc>
          <w:tcPr>
            <w:tcW w:w="798" w:type="dxa"/>
            <w:tcBorders>
              <w:top w:val="nil"/>
              <w:bottom w:val="nil"/>
            </w:tcBorders>
            <w:noWrap/>
            <w:vAlign w:val="center"/>
          </w:tcPr>
          <w:p w14:paraId="7529A101" w14:textId="77777777" w:rsidR="008D407B" w:rsidRDefault="008D407B" w:rsidP="008D407B">
            <w:pPr>
              <w:spacing w:after="0" w:line="240" w:lineRule="auto"/>
              <w:jc w:val="right"/>
              <w:rPr>
                <w:rFonts w:cs="Arial"/>
                <w:color w:val="000000"/>
                <w:sz w:val="16"/>
                <w:szCs w:val="16"/>
              </w:rPr>
            </w:pPr>
            <w:r>
              <w:rPr>
                <w:rFonts w:cs="Arial"/>
                <w:color w:val="000000"/>
                <w:sz w:val="16"/>
                <w:szCs w:val="16"/>
              </w:rPr>
              <w:t>1.650</w:t>
            </w:r>
          </w:p>
        </w:tc>
        <w:tc>
          <w:tcPr>
            <w:tcW w:w="875" w:type="dxa"/>
            <w:tcBorders>
              <w:top w:val="nil"/>
              <w:bottom w:val="nil"/>
            </w:tcBorders>
            <w:noWrap/>
            <w:vAlign w:val="center"/>
          </w:tcPr>
          <w:p w14:paraId="5912A48A" w14:textId="77777777" w:rsidR="008D407B" w:rsidRDefault="008D407B" w:rsidP="008D407B">
            <w:pPr>
              <w:spacing w:after="0" w:line="240" w:lineRule="auto"/>
              <w:jc w:val="right"/>
              <w:rPr>
                <w:rFonts w:cs="Arial"/>
                <w:color w:val="000000"/>
                <w:sz w:val="16"/>
                <w:szCs w:val="16"/>
              </w:rPr>
            </w:pPr>
            <w:r>
              <w:rPr>
                <w:rFonts w:cs="Arial"/>
                <w:color w:val="000000"/>
                <w:sz w:val="16"/>
                <w:szCs w:val="16"/>
              </w:rPr>
              <w:t>1.600</w:t>
            </w:r>
          </w:p>
        </w:tc>
        <w:tc>
          <w:tcPr>
            <w:tcW w:w="784" w:type="dxa"/>
            <w:tcBorders>
              <w:top w:val="nil"/>
              <w:bottom w:val="nil"/>
            </w:tcBorders>
            <w:noWrap/>
            <w:vAlign w:val="center"/>
          </w:tcPr>
          <w:p w14:paraId="3B3F21AB" w14:textId="77777777" w:rsidR="008D407B" w:rsidRDefault="008D407B" w:rsidP="008D407B">
            <w:pPr>
              <w:spacing w:after="0" w:line="240" w:lineRule="auto"/>
              <w:jc w:val="right"/>
              <w:rPr>
                <w:rFonts w:cs="Arial"/>
                <w:color w:val="000000"/>
                <w:sz w:val="16"/>
                <w:szCs w:val="16"/>
              </w:rPr>
            </w:pPr>
            <w:r>
              <w:rPr>
                <w:rFonts w:cs="Arial"/>
                <w:color w:val="000000"/>
                <w:sz w:val="16"/>
                <w:szCs w:val="16"/>
              </w:rPr>
              <w:t>1.599</w:t>
            </w:r>
          </w:p>
        </w:tc>
        <w:tc>
          <w:tcPr>
            <w:tcW w:w="792" w:type="dxa"/>
            <w:tcBorders>
              <w:top w:val="nil"/>
              <w:bottom w:val="nil"/>
            </w:tcBorders>
            <w:noWrap/>
            <w:vAlign w:val="center"/>
          </w:tcPr>
          <w:p w14:paraId="7FFB674C" w14:textId="77777777" w:rsidR="008D407B" w:rsidRDefault="008D407B" w:rsidP="008D407B">
            <w:pPr>
              <w:spacing w:after="0" w:line="240" w:lineRule="auto"/>
              <w:jc w:val="right"/>
              <w:rPr>
                <w:rFonts w:cs="Arial"/>
                <w:color w:val="000000"/>
                <w:sz w:val="16"/>
                <w:szCs w:val="16"/>
              </w:rPr>
            </w:pPr>
            <w:r>
              <w:rPr>
                <w:rFonts w:cs="Arial"/>
                <w:color w:val="000000"/>
                <w:sz w:val="16"/>
                <w:szCs w:val="16"/>
              </w:rPr>
              <w:t>1.498</w:t>
            </w:r>
          </w:p>
        </w:tc>
      </w:tr>
      <w:tr w:rsidR="000553BA" w:rsidRPr="005A76C1" w14:paraId="31F4D1E0" w14:textId="77777777" w:rsidTr="00B87393">
        <w:trPr>
          <w:trHeight w:val="295"/>
          <w:jc w:val="center"/>
        </w:trPr>
        <w:tc>
          <w:tcPr>
            <w:tcW w:w="2025" w:type="dxa"/>
            <w:tcBorders>
              <w:top w:val="nil"/>
              <w:bottom w:val="nil"/>
            </w:tcBorders>
            <w:noWrap/>
            <w:vAlign w:val="center"/>
            <w:hideMark/>
          </w:tcPr>
          <w:p w14:paraId="01261EF4" w14:textId="77777777" w:rsidR="008D407B" w:rsidRPr="005A76C1" w:rsidRDefault="008D407B" w:rsidP="008D407B">
            <w:pPr>
              <w:spacing w:after="0" w:line="240" w:lineRule="auto"/>
              <w:jc w:val="left"/>
              <w:rPr>
                <w:rFonts w:cs="Arial"/>
                <w:color w:val="000000"/>
                <w:sz w:val="16"/>
                <w:szCs w:val="16"/>
              </w:rPr>
            </w:pPr>
            <w:r w:rsidRPr="005A76C1">
              <w:rPr>
                <w:rFonts w:cs="Arial"/>
                <w:color w:val="000000"/>
                <w:sz w:val="16"/>
                <w:szCs w:val="16"/>
              </w:rPr>
              <w:t>Λοιπά Νομικά Πρόσωπα</w:t>
            </w:r>
          </w:p>
        </w:tc>
        <w:tc>
          <w:tcPr>
            <w:tcW w:w="739" w:type="dxa"/>
            <w:tcBorders>
              <w:top w:val="nil"/>
              <w:bottom w:val="nil"/>
            </w:tcBorders>
            <w:vAlign w:val="center"/>
          </w:tcPr>
          <w:p w14:paraId="2E7E23E6" w14:textId="77777777" w:rsidR="008D407B" w:rsidRDefault="008D407B" w:rsidP="008D407B">
            <w:pPr>
              <w:spacing w:after="0" w:line="240" w:lineRule="auto"/>
              <w:jc w:val="right"/>
              <w:rPr>
                <w:rFonts w:cs="Arial"/>
                <w:color w:val="000000"/>
                <w:sz w:val="16"/>
                <w:szCs w:val="16"/>
              </w:rPr>
            </w:pPr>
            <w:r>
              <w:rPr>
                <w:rFonts w:cs="Arial"/>
                <w:color w:val="000000"/>
                <w:sz w:val="16"/>
                <w:szCs w:val="16"/>
              </w:rPr>
              <w:t>162</w:t>
            </w:r>
          </w:p>
        </w:tc>
        <w:tc>
          <w:tcPr>
            <w:tcW w:w="785" w:type="dxa"/>
            <w:tcBorders>
              <w:top w:val="nil"/>
              <w:bottom w:val="nil"/>
            </w:tcBorders>
            <w:noWrap/>
            <w:vAlign w:val="center"/>
          </w:tcPr>
          <w:p w14:paraId="3833FD4E" w14:textId="77777777" w:rsidR="008D407B" w:rsidRDefault="008D407B" w:rsidP="008D407B">
            <w:pPr>
              <w:spacing w:after="0" w:line="240" w:lineRule="auto"/>
              <w:jc w:val="right"/>
              <w:rPr>
                <w:rFonts w:cs="Arial"/>
                <w:color w:val="000000"/>
                <w:sz w:val="16"/>
                <w:szCs w:val="16"/>
              </w:rPr>
            </w:pPr>
            <w:r>
              <w:rPr>
                <w:rFonts w:cs="Arial"/>
                <w:color w:val="000000"/>
                <w:sz w:val="16"/>
                <w:szCs w:val="16"/>
              </w:rPr>
              <w:t>222</w:t>
            </w:r>
          </w:p>
        </w:tc>
        <w:tc>
          <w:tcPr>
            <w:tcW w:w="739" w:type="dxa"/>
            <w:tcBorders>
              <w:top w:val="nil"/>
              <w:bottom w:val="nil"/>
            </w:tcBorders>
            <w:vAlign w:val="center"/>
          </w:tcPr>
          <w:p w14:paraId="3D897B01" w14:textId="77777777" w:rsidR="008D407B" w:rsidRDefault="008D407B" w:rsidP="008D407B">
            <w:pPr>
              <w:spacing w:after="0" w:line="240" w:lineRule="auto"/>
              <w:jc w:val="right"/>
              <w:rPr>
                <w:rFonts w:cs="Arial"/>
                <w:color w:val="000000"/>
                <w:sz w:val="16"/>
                <w:szCs w:val="16"/>
              </w:rPr>
            </w:pPr>
            <w:r>
              <w:rPr>
                <w:rFonts w:cs="Arial"/>
                <w:color w:val="000000"/>
                <w:sz w:val="16"/>
                <w:szCs w:val="16"/>
              </w:rPr>
              <w:t>179</w:t>
            </w:r>
          </w:p>
        </w:tc>
        <w:tc>
          <w:tcPr>
            <w:tcW w:w="726" w:type="dxa"/>
            <w:tcBorders>
              <w:top w:val="nil"/>
              <w:bottom w:val="nil"/>
            </w:tcBorders>
            <w:noWrap/>
            <w:vAlign w:val="center"/>
          </w:tcPr>
          <w:p w14:paraId="5E40B977" w14:textId="77777777" w:rsidR="008D407B" w:rsidRDefault="008D407B" w:rsidP="008D407B">
            <w:pPr>
              <w:spacing w:after="0" w:line="240" w:lineRule="auto"/>
              <w:jc w:val="right"/>
              <w:rPr>
                <w:rFonts w:cs="Arial"/>
                <w:color w:val="000000"/>
                <w:sz w:val="16"/>
                <w:szCs w:val="16"/>
              </w:rPr>
            </w:pPr>
            <w:r>
              <w:rPr>
                <w:rFonts w:cs="Arial"/>
                <w:color w:val="000000"/>
                <w:sz w:val="16"/>
                <w:szCs w:val="16"/>
              </w:rPr>
              <w:t>184</w:t>
            </w:r>
          </w:p>
        </w:tc>
        <w:tc>
          <w:tcPr>
            <w:tcW w:w="765" w:type="dxa"/>
            <w:tcBorders>
              <w:top w:val="nil"/>
              <w:bottom w:val="nil"/>
            </w:tcBorders>
            <w:noWrap/>
            <w:vAlign w:val="center"/>
          </w:tcPr>
          <w:p w14:paraId="7417FDD8" w14:textId="77777777" w:rsidR="008D407B" w:rsidRDefault="008D407B" w:rsidP="008D407B">
            <w:pPr>
              <w:spacing w:after="0" w:line="240" w:lineRule="auto"/>
              <w:jc w:val="right"/>
              <w:rPr>
                <w:rFonts w:cs="Arial"/>
                <w:color w:val="000000"/>
                <w:sz w:val="16"/>
                <w:szCs w:val="16"/>
              </w:rPr>
            </w:pPr>
            <w:r>
              <w:rPr>
                <w:rFonts w:cs="Arial"/>
                <w:color w:val="000000"/>
                <w:sz w:val="16"/>
                <w:szCs w:val="16"/>
              </w:rPr>
              <w:t>197</w:t>
            </w:r>
          </w:p>
        </w:tc>
        <w:tc>
          <w:tcPr>
            <w:tcW w:w="865" w:type="dxa"/>
            <w:tcBorders>
              <w:top w:val="nil"/>
              <w:bottom w:val="nil"/>
            </w:tcBorders>
            <w:noWrap/>
            <w:vAlign w:val="center"/>
          </w:tcPr>
          <w:p w14:paraId="57722BB9" w14:textId="77777777" w:rsidR="008D407B" w:rsidRDefault="008D407B" w:rsidP="008D407B">
            <w:pPr>
              <w:spacing w:after="0" w:line="240" w:lineRule="auto"/>
              <w:jc w:val="right"/>
              <w:rPr>
                <w:rFonts w:cs="Arial"/>
                <w:color w:val="000000"/>
                <w:sz w:val="16"/>
                <w:szCs w:val="16"/>
              </w:rPr>
            </w:pPr>
            <w:r>
              <w:rPr>
                <w:rFonts w:cs="Arial"/>
                <w:color w:val="000000"/>
                <w:sz w:val="16"/>
                <w:szCs w:val="16"/>
              </w:rPr>
              <w:t>227</w:t>
            </w:r>
          </w:p>
        </w:tc>
        <w:tc>
          <w:tcPr>
            <w:tcW w:w="798" w:type="dxa"/>
            <w:tcBorders>
              <w:top w:val="nil"/>
              <w:bottom w:val="nil"/>
            </w:tcBorders>
            <w:noWrap/>
            <w:vAlign w:val="center"/>
          </w:tcPr>
          <w:p w14:paraId="5204338B" w14:textId="77777777" w:rsidR="008D407B" w:rsidRDefault="008D407B" w:rsidP="008D407B">
            <w:pPr>
              <w:spacing w:after="0" w:line="240" w:lineRule="auto"/>
              <w:jc w:val="right"/>
              <w:rPr>
                <w:rFonts w:cs="Arial"/>
                <w:color w:val="000000"/>
                <w:sz w:val="16"/>
                <w:szCs w:val="16"/>
              </w:rPr>
            </w:pPr>
            <w:r>
              <w:rPr>
                <w:rFonts w:cs="Arial"/>
                <w:color w:val="000000"/>
                <w:sz w:val="16"/>
                <w:szCs w:val="16"/>
              </w:rPr>
              <w:t>234</w:t>
            </w:r>
          </w:p>
        </w:tc>
        <w:tc>
          <w:tcPr>
            <w:tcW w:w="875" w:type="dxa"/>
            <w:tcBorders>
              <w:top w:val="nil"/>
              <w:bottom w:val="nil"/>
            </w:tcBorders>
            <w:noWrap/>
            <w:vAlign w:val="center"/>
          </w:tcPr>
          <w:p w14:paraId="063A4573" w14:textId="77777777" w:rsidR="008D407B" w:rsidRDefault="008D407B" w:rsidP="008D407B">
            <w:pPr>
              <w:spacing w:after="0" w:line="240" w:lineRule="auto"/>
              <w:jc w:val="right"/>
              <w:rPr>
                <w:rFonts w:cs="Arial"/>
                <w:color w:val="000000"/>
                <w:sz w:val="16"/>
                <w:szCs w:val="16"/>
              </w:rPr>
            </w:pPr>
            <w:r>
              <w:rPr>
                <w:rFonts w:cs="Arial"/>
                <w:color w:val="000000"/>
                <w:sz w:val="16"/>
                <w:szCs w:val="16"/>
              </w:rPr>
              <w:t>250</w:t>
            </w:r>
          </w:p>
        </w:tc>
        <w:tc>
          <w:tcPr>
            <w:tcW w:w="784" w:type="dxa"/>
            <w:tcBorders>
              <w:top w:val="nil"/>
              <w:bottom w:val="nil"/>
            </w:tcBorders>
            <w:noWrap/>
            <w:vAlign w:val="center"/>
          </w:tcPr>
          <w:p w14:paraId="0486FA1D" w14:textId="77777777" w:rsidR="008D407B" w:rsidRDefault="008D407B" w:rsidP="008D407B">
            <w:pPr>
              <w:spacing w:after="0" w:line="240" w:lineRule="auto"/>
              <w:jc w:val="right"/>
              <w:rPr>
                <w:rFonts w:cs="Arial"/>
                <w:color w:val="000000"/>
                <w:sz w:val="16"/>
                <w:szCs w:val="16"/>
              </w:rPr>
            </w:pPr>
            <w:r>
              <w:rPr>
                <w:rFonts w:cs="Arial"/>
                <w:color w:val="000000"/>
                <w:sz w:val="16"/>
                <w:szCs w:val="16"/>
              </w:rPr>
              <w:t>222</w:t>
            </w:r>
          </w:p>
        </w:tc>
        <w:tc>
          <w:tcPr>
            <w:tcW w:w="792" w:type="dxa"/>
            <w:tcBorders>
              <w:top w:val="nil"/>
              <w:bottom w:val="nil"/>
            </w:tcBorders>
            <w:noWrap/>
            <w:vAlign w:val="center"/>
          </w:tcPr>
          <w:p w14:paraId="4935D9E4" w14:textId="77777777" w:rsidR="008D407B" w:rsidRDefault="008D407B" w:rsidP="008D407B">
            <w:pPr>
              <w:spacing w:after="0" w:line="240" w:lineRule="auto"/>
              <w:jc w:val="right"/>
              <w:rPr>
                <w:rFonts w:cs="Arial"/>
                <w:color w:val="000000"/>
                <w:sz w:val="16"/>
                <w:szCs w:val="16"/>
              </w:rPr>
            </w:pPr>
            <w:r>
              <w:rPr>
                <w:rFonts w:cs="Arial"/>
                <w:color w:val="000000"/>
                <w:sz w:val="16"/>
                <w:szCs w:val="16"/>
              </w:rPr>
              <w:t>222</w:t>
            </w:r>
          </w:p>
        </w:tc>
      </w:tr>
      <w:tr w:rsidR="008D407B" w:rsidRPr="005A76C1" w14:paraId="4CAFF644" w14:textId="77777777" w:rsidTr="00B87393">
        <w:trPr>
          <w:trHeight w:val="679"/>
          <w:jc w:val="center"/>
        </w:trPr>
        <w:tc>
          <w:tcPr>
            <w:tcW w:w="2025" w:type="dxa"/>
            <w:tcBorders>
              <w:top w:val="nil"/>
              <w:bottom w:val="single" w:sz="2" w:space="0" w:color="808080" w:themeColor="background1" w:themeShade="80"/>
            </w:tcBorders>
            <w:shd w:val="clear" w:color="000000" w:fill="D5DCE4"/>
            <w:vAlign w:val="center"/>
            <w:hideMark/>
          </w:tcPr>
          <w:p w14:paraId="1824543F" w14:textId="77777777" w:rsidR="008D407B" w:rsidRPr="005A76C1" w:rsidRDefault="008D407B" w:rsidP="00E678AF">
            <w:pPr>
              <w:spacing w:after="0" w:line="240" w:lineRule="auto"/>
              <w:jc w:val="left"/>
              <w:rPr>
                <w:rFonts w:cs="Arial"/>
                <w:b/>
                <w:bCs/>
                <w:color w:val="000000"/>
                <w:sz w:val="16"/>
                <w:szCs w:val="16"/>
              </w:rPr>
            </w:pPr>
            <w:r w:rsidRPr="005A76C1">
              <w:rPr>
                <w:rFonts w:cs="Arial"/>
                <w:b/>
                <w:bCs/>
                <w:color w:val="000000"/>
                <w:sz w:val="16"/>
                <w:szCs w:val="16"/>
              </w:rPr>
              <w:t xml:space="preserve">Ληξιπρόθεσμες υποχρεώσεις </w:t>
            </w:r>
            <w:r w:rsidRPr="005A76C1">
              <w:rPr>
                <w:rFonts w:cs="Arial"/>
                <w:b/>
                <w:bCs/>
                <w:color w:val="000000"/>
                <w:sz w:val="16"/>
                <w:szCs w:val="16"/>
              </w:rPr>
              <w:br/>
              <w:t>Γενικής Κυβέρνησης</w:t>
            </w:r>
          </w:p>
        </w:tc>
        <w:tc>
          <w:tcPr>
            <w:tcW w:w="739" w:type="dxa"/>
            <w:tcBorders>
              <w:top w:val="nil"/>
              <w:bottom w:val="single" w:sz="2" w:space="0" w:color="808080" w:themeColor="background1" w:themeShade="80"/>
            </w:tcBorders>
            <w:shd w:val="clear" w:color="000000" w:fill="D5DCE4"/>
            <w:noWrap/>
            <w:vAlign w:val="center"/>
          </w:tcPr>
          <w:p w14:paraId="44C0AE82"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2.243</w:t>
            </w:r>
          </w:p>
        </w:tc>
        <w:tc>
          <w:tcPr>
            <w:tcW w:w="785" w:type="dxa"/>
            <w:tcBorders>
              <w:top w:val="nil"/>
              <w:bottom w:val="single" w:sz="2" w:space="0" w:color="808080" w:themeColor="background1" w:themeShade="80"/>
            </w:tcBorders>
            <w:shd w:val="clear" w:color="000000" w:fill="D5DCE4"/>
            <w:noWrap/>
            <w:vAlign w:val="center"/>
          </w:tcPr>
          <w:p w14:paraId="2EF37EDB"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2.589</w:t>
            </w:r>
          </w:p>
        </w:tc>
        <w:tc>
          <w:tcPr>
            <w:tcW w:w="739" w:type="dxa"/>
            <w:tcBorders>
              <w:top w:val="nil"/>
              <w:bottom w:val="single" w:sz="2" w:space="0" w:color="808080" w:themeColor="background1" w:themeShade="80"/>
            </w:tcBorders>
            <w:shd w:val="clear" w:color="000000" w:fill="D5DCE4"/>
            <w:noWrap/>
            <w:vAlign w:val="center"/>
          </w:tcPr>
          <w:p w14:paraId="4E5651ED"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2.316</w:t>
            </w:r>
          </w:p>
        </w:tc>
        <w:tc>
          <w:tcPr>
            <w:tcW w:w="726" w:type="dxa"/>
            <w:tcBorders>
              <w:top w:val="nil"/>
              <w:bottom w:val="single" w:sz="2" w:space="0" w:color="808080" w:themeColor="background1" w:themeShade="80"/>
            </w:tcBorders>
            <w:shd w:val="clear" w:color="000000" w:fill="D5DCE4"/>
            <w:noWrap/>
            <w:vAlign w:val="center"/>
          </w:tcPr>
          <w:p w14:paraId="6091DE0B"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2.502</w:t>
            </w:r>
          </w:p>
        </w:tc>
        <w:tc>
          <w:tcPr>
            <w:tcW w:w="765" w:type="dxa"/>
            <w:tcBorders>
              <w:top w:val="nil"/>
              <w:bottom w:val="single" w:sz="2" w:space="0" w:color="808080" w:themeColor="background1" w:themeShade="80"/>
            </w:tcBorders>
            <w:shd w:val="clear" w:color="000000" w:fill="D5DCE4"/>
            <w:noWrap/>
            <w:vAlign w:val="center"/>
          </w:tcPr>
          <w:p w14:paraId="570029E1"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2.533</w:t>
            </w:r>
          </w:p>
        </w:tc>
        <w:tc>
          <w:tcPr>
            <w:tcW w:w="865" w:type="dxa"/>
            <w:tcBorders>
              <w:top w:val="nil"/>
              <w:bottom w:val="single" w:sz="2" w:space="0" w:color="808080" w:themeColor="background1" w:themeShade="80"/>
            </w:tcBorders>
            <w:shd w:val="clear" w:color="000000" w:fill="D5DCE4"/>
            <w:noWrap/>
            <w:vAlign w:val="center"/>
          </w:tcPr>
          <w:p w14:paraId="3C538D6E"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2.926</w:t>
            </w:r>
          </w:p>
        </w:tc>
        <w:tc>
          <w:tcPr>
            <w:tcW w:w="798" w:type="dxa"/>
            <w:tcBorders>
              <w:top w:val="nil"/>
              <w:bottom w:val="single" w:sz="2" w:space="0" w:color="808080" w:themeColor="background1" w:themeShade="80"/>
            </w:tcBorders>
            <w:shd w:val="clear" w:color="000000" w:fill="D5DCE4"/>
            <w:noWrap/>
            <w:vAlign w:val="center"/>
          </w:tcPr>
          <w:p w14:paraId="6C6595FE"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3.151</w:t>
            </w:r>
          </w:p>
        </w:tc>
        <w:tc>
          <w:tcPr>
            <w:tcW w:w="875" w:type="dxa"/>
            <w:tcBorders>
              <w:top w:val="nil"/>
              <w:bottom w:val="single" w:sz="2" w:space="0" w:color="808080" w:themeColor="background1" w:themeShade="80"/>
            </w:tcBorders>
            <w:shd w:val="clear" w:color="000000" w:fill="D5DCE4"/>
            <w:noWrap/>
            <w:vAlign w:val="center"/>
          </w:tcPr>
          <w:p w14:paraId="103813BC"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3.066</w:t>
            </w:r>
          </w:p>
        </w:tc>
        <w:tc>
          <w:tcPr>
            <w:tcW w:w="784" w:type="dxa"/>
            <w:tcBorders>
              <w:top w:val="nil"/>
              <w:bottom w:val="single" w:sz="2" w:space="0" w:color="808080" w:themeColor="background1" w:themeShade="80"/>
            </w:tcBorders>
            <w:shd w:val="clear" w:color="000000" w:fill="D5DCE4"/>
            <w:noWrap/>
            <w:vAlign w:val="center"/>
          </w:tcPr>
          <w:p w14:paraId="5259BA7C"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2.929</w:t>
            </w:r>
          </w:p>
        </w:tc>
        <w:tc>
          <w:tcPr>
            <w:tcW w:w="792" w:type="dxa"/>
            <w:tcBorders>
              <w:top w:val="nil"/>
              <w:bottom w:val="single" w:sz="2" w:space="0" w:color="808080" w:themeColor="background1" w:themeShade="80"/>
            </w:tcBorders>
            <w:shd w:val="clear" w:color="000000" w:fill="D5DCE4"/>
            <w:noWrap/>
            <w:vAlign w:val="center"/>
          </w:tcPr>
          <w:p w14:paraId="575400CF" w14:textId="77777777" w:rsidR="008D407B" w:rsidRDefault="008D407B" w:rsidP="008D407B">
            <w:pPr>
              <w:spacing w:after="0" w:line="240" w:lineRule="auto"/>
              <w:jc w:val="right"/>
              <w:rPr>
                <w:rFonts w:cs="Arial"/>
                <w:b/>
                <w:bCs/>
                <w:color w:val="000000"/>
                <w:sz w:val="16"/>
                <w:szCs w:val="16"/>
              </w:rPr>
            </w:pPr>
            <w:r>
              <w:rPr>
                <w:rFonts w:cs="Arial"/>
                <w:b/>
                <w:bCs/>
                <w:color w:val="000000"/>
                <w:sz w:val="16"/>
                <w:szCs w:val="16"/>
              </w:rPr>
              <w:t>2.808</w:t>
            </w:r>
          </w:p>
        </w:tc>
      </w:tr>
      <w:tr w:rsidR="008D407B" w:rsidRPr="005A76C1" w14:paraId="074F47D6" w14:textId="77777777" w:rsidTr="00F12374">
        <w:trPr>
          <w:trHeight w:val="283"/>
          <w:jc w:val="center"/>
        </w:trPr>
        <w:tc>
          <w:tcPr>
            <w:tcW w:w="9893" w:type="dxa"/>
            <w:gridSpan w:val="11"/>
            <w:tcBorders>
              <w:top w:val="single" w:sz="2" w:space="0" w:color="808080" w:themeColor="background1" w:themeShade="80"/>
              <w:left w:val="nil"/>
              <w:bottom w:val="nil"/>
              <w:right w:val="nil"/>
            </w:tcBorders>
            <w:vAlign w:val="center"/>
          </w:tcPr>
          <w:p w14:paraId="15876C37" w14:textId="77777777" w:rsidR="008D407B" w:rsidRPr="005A76C1" w:rsidRDefault="008D407B" w:rsidP="009B5C19">
            <w:pPr>
              <w:tabs>
                <w:tab w:val="left" w:pos="142"/>
              </w:tabs>
              <w:spacing w:before="60" w:after="0" w:line="276" w:lineRule="auto"/>
              <w:jc w:val="left"/>
              <w:rPr>
                <w:rFonts w:cs="Arial"/>
                <w:b/>
                <w:bCs/>
                <w:color w:val="000000"/>
                <w:sz w:val="16"/>
                <w:szCs w:val="16"/>
              </w:rPr>
            </w:pPr>
            <w:r w:rsidRPr="00901E10">
              <w:rPr>
                <w:rFonts w:cs="Arial"/>
                <w:bCs/>
                <w:sz w:val="16"/>
                <w:szCs w:val="16"/>
                <w:vertAlign w:val="superscript"/>
              </w:rPr>
              <w:t>1</w:t>
            </w:r>
            <w:r>
              <w:rPr>
                <w:rFonts w:cs="Arial"/>
                <w:bCs/>
                <w:sz w:val="16"/>
                <w:szCs w:val="16"/>
                <w:vertAlign w:val="superscript"/>
              </w:rPr>
              <w:tab/>
            </w:r>
            <w:r w:rsidRPr="00217D5D">
              <w:rPr>
                <w:rFonts w:cs="Arial"/>
                <w:bCs/>
                <w:sz w:val="16"/>
                <w:szCs w:val="16"/>
              </w:rPr>
              <w:t>Περιλαμβάνονται και ποσά clawback και rebate που δεν έχουν συμψηφιστεί.</w:t>
            </w:r>
          </w:p>
        </w:tc>
      </w:tr>
      <w:tr w:rsidR="008D407B" w:rsidRPr="005A76C1" w14:paraId="5BAB3840" w14:textId="77777777" w:rsidTr="00F12374">
        <w:trPr>
          <w:trHeight w:val="283"/>
          <w:jc w:val="center"/>
        </w:trPr>
        <w:tc>
          <w:tcPr>
            <w:tcW w:w="9893" w:type="dxa"/>
            <w:gridSpan w:val="11"/>
            <w:tcBorders>
              <w:top w:val="nil"/>
              <w:left w:val="nil"/>
              <w:bottom w:val="nil"/>
              <w:right w:val="nil"/>
            </w:tcBorders>
            <w:vAlign w:val="center"/>
          </w:tcPr>
          <w:p w14:paraId="078385A8" w14:textId="77777777" w:rsidR="008D407B" w:rsidRPr="00901E10" w:rsidRDefault="008D407B" w:rsidP="008D407B">
            <w:pPr>
              <w:tabs>
                <w:tab w:val="left" w:pos="142"/>
              </w:tabs>
              <w:spacing w:after="0" w:line="276" w:lineRule="auto"/>
              <w:jc w:val="left"/>
              <w:rPr>
                <w:rFonts w:cs="Arial"/>
                <w:bCs/>
                <w:sz w:val="16"/>
                <w:szCs w:val="16"/>
                <w:vertAlign w:val="superscript"/>
              </w:rPr>
            </w:pPr>
            <w:r w:rsidRPr="00901E10">
              <w:rPr>
                <w:rFonts w:cs="Arial"/>
                <w:bCs/>
                <w:sz w:val="16"/>
                <w:szCs w:val="16"/>
                <w:vertAlign w:val="superscript"/>
              </w:rPr>
              <w:t>2</w:t>
            </w:r>
            <w:r>
              <w:rPr>
                <w:rFonts w:cs="Arial"/>
                <w:bCs/>
                <w:sz w:val="16"/>
                <w:szCs w:val="16"/>
                <w:vertAlign w:val="superscript"/>
              </w:rPr>
              <w:tab/>
            </w:r>
            <w:r>
              <w:rPr>
                <w:rFonts w:cs="Arial"/>
                <w:bCs/>
                <w:sz w:val="16"/>
                <w:szCs w:val="16"/>
              </w:rPr>
              <w:t>Π</w:t>
            </w:r>
            <w:r w:rsidRPr="00217D5D">
              <w:rPr>
                <w:rFonts w:cs="Arial"/>
                <w:bCs/>
                <w:sz w:val="16"/>
                <w:szCs w:val="16"/>
              </w:rPr>
              <w:t>εριλαμβάνονται και οι ληξιπρόθεσμες υποχρεώσεις της ΕΚΑΠΥ.</w:t>
            </w:r>
          </w:p>
        </w:tc>
      </w:tr>
    </w:tbl>
    <w:p w14:paraId="5299CE42" w14:textId="77777777" w:rsidR="00E8782C" w:rsidRDefault="00E8782C" w:rsidP="00E8782C"/>
    <w:tbl>
      <w:tblPr>
        <w:tblW w:w="10628"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ook w:val="04A0" w:firstRow="1" w:lastRow="0" w:firstColumn="1" w:lastColumn="0" w:noHBand="0" w:noVBand="1"/>
      </w:tblPr>
      <w:tblGrid>
        <w:gridCol w:w="2750"/>
        <w:gridCol w:w="733"/>
        <w:gridCol w:w="793"/>
        <w:gridCol w:w="744"/>
        <w:gridCol w:w="693"/>
        <w:gridCol w:w="772"/>
        <w:gridCol w:w="874"/>
        <w:gridCol w:w="803"/>
        <w:gridCol w:w="880"/>
        <w:gridCol w:w="793"/>
        <w:gridCol w:w="793"/>
      </w:tblGrid>
      <w:tr w:rsidR="00083965" w:rsidRPr="007222E8" w14:paraId="4DCEBF31" w14:textId="77777777" w:rsidTr="00F12374">
        <w:trPr>
          <w:trHeight w:val="306"/>
          <w:jc w:val="center"/>
        </w:trPr>
        <w:tc>
          <w:tcPr>
            <w:tcW w:w="5000" w:type="pct"/>
            <w:gridSpan w:val="11"/>
            <w:shd w:val="clear" w:color="000000" w:fill="D5DCE4"/>
            <w:vAlign w:val="center"/>
            <w:hideMark/>
          </w:tcPr>
          <w:p w14:paraId="718AA01A" w14:textId="5048136F" w:rsidR="00921E96" w:rsidRDefault="00DF39C6" w:rsidP="006144B1">
            <w:pPr>
              <w:spacing w:after="0" w:line="240" w:lineRule="auto"/>
              <w:jc w:val="center"/>
              <w:rPr>
                <w:rFonts w:cs="Arial"/>
                <w:b/>
                <w:bCs/>
                <w:color w:val="000000"/>
                <w:sz w:val="18"/>
                <w:szCs w:val="18"/>
              </w:rPr>
            </w:pPr>
            <w:bookmarkStart w:id="140" w:name="_Ref146621887"/>
            <w:bookmarkStart w:id="141" w:name="_Toc210570899"/>
            <w:r w:rsidRPr="00DF39C6">
              <w:rPr>
                <w:rFonts w:cs="Arial"/>
                <w:b/>
                <w:bCs/>
                <w:color w:val="000000"/>
                <w:sz w:val="18"/>
                <w:szCs w:val="18"/>
              </w:rPr>
              <w:t>Πίνακας 2.</w:t>
            </w:r>
            <w:r w:rsidRPr="00DF39C6">
              <w:rPr>
                <w:rFonts w:cs="Arial"/>
                <w:b/>
                <w:bCs/>
                <w:color w:val="000000"/>
                <w:sz w:val="18"/>
                <w:szCs w:val="18"/>
              </w:rPr>
              <w:fldChar w:fldCharType="begin"/>
            </w:r>
            <w:r w:rsidRPr="00DF39C6">
              <w:rPr>
                <w:rFonts w:cs="Arial"/>
                <w:b/>
                <w:bCs/>
                <w:color w:val="000000"/>
                <w:sz w:val="18"/>
                <w:szCs w:val="18"/>
              </w:rPr>
              <w:instrText xml:space="preserve"> SEQ Πίνακας_2. \* ARABIC </w:instrText>
            </w:r>
            <w:r w:rsidRPr="00DF39C6">
              <w:rPr>
                <w:rFonts w:cs="Arial"/>
                <w:b/>
                <w:bCs/>
                <w:color w:val="000000"/>
                <w:sz w:val="18"/>
                <w:szCs w:val="18"/>
              </w:rPr>
              <w:fldChar w:fldCharType="separate"/>
            </w:r>
            <w:r w:rsidR="00C42930">
              <w:rPr>
                <w:rFonts w:cs="Arial"/>
                <w:b/>
                <w:bCs/>
                <w:noProof/>
                <w:color w:val="000000"/>
                <w:sz w:val="18"/>
                <w:szCs w:val="18"/>
              </w:rPr>
              <w:t>3</w:t>
            </w:r>
            <w:r w:rsidRPr="00DF39C6">
              <w:rPr>
                <w:rFonts w:cs="Arial"/>
                <w:b/>
                <w:bCs/>
                <w:color w:val="000000"/>
                <w:sz w:val="18"/>
                <w:szCs w:val="18"/>
              </w:rPr>
              <w:fldChar w:fldCharType="end"/>
            </w:r>
            <w:bookmarkEnd w:id="140"/>
            <w:r w:rsidR="00FA79DA" w:rsidRPr="00DF39C6">
              <w:rPr>
                <w:rFonts w:cs="Arial"/>
                <w:b/>
                <w:bCs/>
                <w:color w:val="000000"/>
                <w:sz w:val="18"/>
                <w:szCs w:val="18"/>
              </w:rPr>
              <w:t>.:</w:t>
            </w:r>
            <w:r w:rsidR="00E136B1" w:rsidRPr="007053B4">
              <w:rPr>
                <w:rFonts w:cs="Arial"/>
                <w:b/>
                <w:bCs/>
                <w:color w:val="000000"/>
                <w:sz w:val="18"/>
                <w:szCs w:val="18"/>
              </w:rPr>
              <w:t xml:space="preserve"> Εξέλιξη</w:t>
            </w:r>
            <w:r w:rsidR="00E136B1" w:rsidRPr="007222E8">
              <w:rPr>
                <w:rFonts w:cs="Arial"/>
                <w:b/>
                <w:bCs/>
                <w:color w:val="000000"/>
                <w:sz w:val="18"/>
                <w:szCs w:val="18"/>
              </w:rPr>
              <w:t xml:space="preserve"> εκκρεμών επιστροφών φόρων Δεκέμβριος 202</w:t>
            </w:r>
            <w:r w:rsidR="00EE383D">
              <w:rPr>
                <w:rFonts w:cs="Arial"/>
                <w:b/>
                <w:bCs/>
                <w:color w:val="000000"/>
                <w:sz w:val="18"/>
                <w:szCs w:val="18"/>
              </w:rPr>
              <w:t>3</w:t>
            </w:r>
            <w:r w:rsidR="00E136B1" w:rsidRPr="007222E8">
              <w:rPr>
                <w:rFonts w:cs="Arial"/>
                <w:b/>
                <w:bCs/>
                <w:color w:val="000000"/>
                <w:sz w:val="18"/>
                <w:szCs w:val="18"/>
              </w:rPr>
              <w:t xml:space="preserve"> - Ιούλιος 202</w:t>
            </w:r>
            <w:r w:rsidR="00E8782C">
              <w:rPr>
                <w:rFonts w:cs="Arial"/>
                <w:b/>
                <w:bCs/>
                <w:color w:val="000000"/>
                <w:sz w:val="18"/>
                <w:szCs w:val="18"/>
              </w:rPr>
              <w:t>5</w:t>
            </w:r>
            <w:bookmarkEnd w:id="141"/>
          </w:p>
          <w:p w14:paraId="6E2CF563" w14:textId="77777777" w:rsidR="00E136B1" w:rsidRPr="007222E8" w:rsidRDefault="00921E96" w:rsidP="006144B1">
            <w:pPr>
              <w:spacing w:after="0" w:line="240" w:lineRule="auto"/>
              <w:jc w:val="center"/>
              <w:rPr>
                <w:rFonts w:cs="Arial"/>
                <w:b/>
                <w:bCs/>
                <w:color w:val="000000"/>
                <w:sz w:val="18"/>
                <w:szCs w:val="18"/>
              </w:rPr>
            </w:pPr>
            <w:r>
              <w:rPr>
                <w:rFonts w:cs="Arial"/>
                <w:b/>
                <w:bCs/>
                <w:color w:val="000000"/>
                <w:sz w:val="18"/>
                <w:szCs w:val="18"/>
              </w:rPr>
              <w:t>(</w:t>
            </w:r>
            <w:r w:rsidRPr="007222E8">
              <w:rPr>
                <w:rFonts w:cs="Arial"/>
                <w:b/>
                <w:bCs/>
                <w:color w:val="000000"/>
                <w:sz w:val="18"/>
                <w:szCs w:val="18"/>
              </w:rPr>
              <w:t>σε εκατ. ευρώ)</w:t>
            </w:r>
          </w:p>
        </w:tc>
      </w:tr>
      <w:tr w:rsidR="00BE5249" w:rsidRPr="007222E8" w14:paraId="39121E4C" w14:textId="77777777" w:rsidTr="00F12374">
        <w:trPr>
          <w:trHeight w:val="354"/>
          <w:jc w:val="center"/>
        </w:trPr>
        <w:tc>
          <w:tcPr>
            <w:tcW w:w="1294" w:type="pct"/>
            <w:shd w:val="clear" w:color="auto" w:fill="F2F2F2" w:themeFill="background1" w:themeFillShade="F2"/>
            <w:vAlign w:val="center"/>
            <w:hideMark/>
          </w:tcPr>
          <w:p w14:paraId="0F8987C1" w14:textId="77777777" w:rsidR="00E136B1" w:rsidRPr="007222E8" w:rsidRDefault="00E136B1" w:rsidP="009D5CF8">
            <w:pPr>
              <w:spacing w:after="0" w:line="240" w:lineRule="auto"/>
              <w:jc w:val="left"/>
              <w:rPr>
                <w:rFonts w:ascii="Times New Roman" w:hAnsi="Times New Roman"/>
                <w:color w:val="000000"/>
                <w:szCs w:val="20"/>
              </w:rPr>
            </w:pPr>
            <w:r w:rsidRPr="007222E8">
              <w:rPr>
                <w:rFonts w:ascii="Times New Roman" w:hAnsi="Times New Roman"/>
                <w:color w:val="000000"/>
                <w:szCs w:val="20"/>
              </w:rPr>
              <w:t> </w:t>
            </w:r>
          </w:p>
        </w:tc>
        <w:tc>
          <w:tcPr>
            <w:tcW w:w="345" w:type="pct"/>
            <w:shd w:val="clear" w:color="auto" w:fill="F2F2F2" w:themeFill="background1" w:themeFillShade="F2"/>
            <w:vAlign w:val="center"/>
            <w:hideMark/>
          </w:tcPr>
          <w:p w14:paraId="2A29BF7F"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Δεκ.</w:t>
            </w:r>
            <w:r w:rsidRPr="007222E8">
              <w:rPr>
                <w:rFonts w:cs="Arial"/>
                <w:b/>
                <w:bCs/>
                <w:color w:val="000000"/>
                <w:sz w:val="16"/>
                <w:szCs w:val="16"/>
              </w:rPr>
              <w:br/>
              <w:t>202</w:t>
            </w:r>
            <w:r w:rsidR="008C6C83">
              <w:rPr>
                <w:rFonts w:cs="Arial"/>
                <w:b/>
                <w:bCs/>
                <w:color w:val="000000"/>
                <w:sz w:val="16"/>
                <w:szCs w:val="16"/>
              </w:rPr>
              <w:t>3</w:t>
            </w:r>
          </w:p>
        </w:tc>
        <w:tc>
          <w:tcPr>
            <w:tcW w:w="373" w:type="pct"/>
            <w:shd w:val="clear" w:color="auto" w:fill="F2F2F2" w:themeFill="background1" w:themeFillShade="F2"/>
            <w:vAlign w:val="center"/>
            <w:hideMark/>
          </w:tcPr>
          <w:p w14:paraId="1EA43073"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Ιο</w:t>
            </w:r>
            <w:r w:rsidR="008C6C83">
              <w:rPr>
                <w:rFonts w:cs="Arial"/>
                <w:b/>
                <w:bCs/>
                <w:color w:val="000000"/>
                <w:sz w:val="16"/>
                <w:szCs w:val="16"/>
              </w:rPr>
              <w:t>υ</w:t>
            </w:r>
            <w:r w:rsidRPr="007222E8">
              <w:rPr>
                <w:rFonts w:cs="Arial"/>
                <w:b/>
                <w:bCs/>
                <w:color w:val="000000"/>
                <w:sz w:val="16"/>
                <w:szCs w:val="16"/>
              </w:rPr>
              <w:t>λ.</w:t>
            </w:r>
            <w:r w:rsidRPr="007222E8">
              <w:rPr>
                <w:rFonts w:cs="Arial"/>
                <w:b/>
                <w:bCs/>
                <w:color w:val="000000"/>
                <w:sz w:val="16"/>
                <w:szCs w:val="16"/>
              </w:rPr>
              <w:br/>
              <w:t>202</w:t>
            </w:r>
            <w:r w:rsidR="008C6C83">
              <w:rPr>
                <w:rFonts w:cs="Arial"/>
                <w:b/>
                <w:bCs/>
                <w:color w:val="000000"/>
                <w:sz w:val="16"/>
                <w:szCs w:val="16"/>
              </w:rPr>
              <w:t>4</w:t>
            </w:r>
          </w:p>
        </w:tc>
        <w:tc>
          <w:tcPr>
            <w:tcW w:w="350" w:type="pct"/>
            <w:shd w:val="clear" w:color="auto" w:fill="F2F2F2" w:themeFill="background1" w:themeFillShade="F2"/>
            <w:vAlign w:val="center"/>
            <w:hideMark/>
          </w:tcPr>
          <w:p w14:paraId="1BE35FEE"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Δεκ.</w:t>
            </w:r>
            <w:r w:rsidRPr="007222E8">
              <w:rPr>
                <w:rFonts w:cs="Arial"/>
                <w:b/>
                <w:bCs/>
                <w:color w:val="000000"/>
                <w:sz w:val="16"/>
                <w:szCs w:val="16"/>
              </w:rPr>
              <w:br/>
              <w:t>202</w:t>
            </w:r>
            <w:r w:rsidR="008C6C83">
              <w:rPr>
                <w:rFonts w:cs="Arial"/>
                <w:b/>
                <w:bCs/>
                <w:color w:val="000000"/>
                <w:sz w:val="16"/>
                <w:szCs w:val="16"/>
              </w:rPr>
              <w:t>4</w:t>
            </w:r>
          </w:p>
        </w:tc>
        <w:tc>
          <w:tcPr>
            <w:tcW w:w="326" w:type="pct"/>
            <w:shd w:val="clear" w:color="auto" w:fill="F2F2F2" w:themeFill="background1" w:themeFillShade="F2"/>
            <w:vAlign w:val="center"/>
            <w:hideMark/>
          </w:tcPr>
          <w:p w14:paraId="7CE3F11E"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Ιαν.</w:t>
            </w:r>
            <w:r w:rsidRPr="007222E8">
              <w:rPr>
                <w:rFonts w:cs="Arial"/>
                <w:b/>
                <w:bCs/>
                <w:color w:val="000000"/>
                <w:sz w:val="16"/>
                <w:szCs w:val="16"/>
              </w:rPr>
              <w:br/>
              <w:t>202</w:t>
            </w:r>
            <w:r w:rsidR="008C6C83">
              <w:rPr>
                <w:rFonts w:cs="Arial"/>
                <w:b/>
                <w:bCs/>
                <w:color w:val="000000"/>
                <w:sz w:val="16"/>
                <w:szCs w:val="16"/>
              </w:rPr>
              <w:t>5</w:t>
            </w:r>
          </w:p>
        </w:tc>
        <w:tc>
          <w:tcPr>
            <w:tcW w:w="363" w:type="pct"/>
            <w:shd w:val="clear" w:color="auto" w:fill="F2F2F2" w:themeFill="background1" w:themeFillShade="F2"/>
            <w:vAlign w:val="center"/>
            <w:hideMark/>
          </w:tcPr>
          <w:p w14:paraId="4FA60CED"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Φεβ.</w:t>
            </w:r>
            <w:r w:rsidRPr="007222E8">
              <w:rPr>
                <w:rFonts w:cs="Arial"/>
                <w:b/>
                <w:bCs/>
                <w:color w:val="000000"/>
                <w:sz w:val="16"/>
                <w:szCs w:val="16"/>
              </w:rPr>
              <w:br/>
              <w:t>202</w:t>
            </w:r>
            <w:r w:rsidR="008C6C83">
              <w:rPr>
                <w:rFonts w:cs="Arial"/>
                <w:b/>
                <w:bCs/>
                <w:color w:val="000000"/>
                <w:sz w:val="16"/>
                <w:szCs w:val="16"/>
              </w:rPr>
              <w:t>5</w:t>
            </w:r>
          </w:p>
        </w:tc>
        <w:tc>
          <w:tcPr>
            <w:tcW w:w="411" w:type="pct"/>
            <w:shd w:val="clear" w:color="auto" w:fill="F2F2F2" w:themeFill="background1" w:themeFillShade="F2"/>
            <w:vAlign w:val="center"/>
            <w:hideMark/>
          </w:tcPr>
          <w:p w14:paraId="304AB1D9"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Μ</w:t>
            </w:r>
            <w:r w:rsidR="008C6C83">
              <w:rPr>
                <w:rFonts w:cs="Arial"/>
                <w:b/>
                <w:bCs/>
                <w:color w:val="000000"/>
                <w:sz w:val="16"/>
                <w:szCs w:val="16"/>
              </w:rPr>
              <w:t>α</w:t>
            </w:r>
            <w:r w:rsidRPr="007222E8">
              <w:rPr>
                <w:rFonts w:cs="Arial"/>
                <w:b/>
                <w:bCs/>
                <w:color w:val="000000"/>
                <w:sz w:val="16"/>
                <w:szCs w:val="16"/>
              </w:rPr>
              <w:t>ρ</w:t>
            </w:r>
            <w:r w:rsidR="006D4600">
              <w:rPr>
                <w:rFonts w:cs="Arial"/>
                <w:b/>
                <w:bCs/>
                <w:color w:val="000000"/>
                <w:sz w:val="16"/>
                <w:szCs w:val="16"/>
              </w:rPr>
              <w:t>τ</w:t>
            </w:r>
            <w:r w:rsidRPr="007222E8">
              <w:rPr>
                <w:rFonts w:cs="Arial"/>
                <w:b/>
                <w:bCs/>
                <w:color w:val="000000"/>
                <w:sz w:val="16"/>
                <w:szCs w:val="16"/>
              </w:rPr>
              <w:t>.</w:t>
            </w:r>
            <w:r w:rsidRPr="007222E8">
              <w:rPr>
                <w:rFonts w:cs="Arial"/>
                <w:b/>
                <w:bCs/>
                <w:color w:val="000000"/>
                <w:sz w:val="16"/>
                <w:szCs w:val="16"/>
              </w:rPr>
              <w:br/>
              <w:t>202</w:t>
            </w:r>
            <w:r w:rsidR="008C6C83">
              <w:rPr>
                <w:rFonts w:cs="Arial"/>
                <w:b/>
                <w:bCs/>
                <w:color w:val="000000"/>
                <w:sz w:val="16"/>
                <w:szCs w:val="16"/>
              </w:rPr>
              <w:t>5</w:t>
            </w:r>
          </w:p>
        </w:tc>
        <w:tc>
          <w:tcPr>
            <w:tcW w:w="378" w:type="pct"/>
            <w:shd w:val="clear" w:color="auto" w:fill="F2F2F2" w:themeFill="background1" w:themeFillShade="F2"/>
            <w:vAlign w:val="center"/>
            <w:hideMark/>
          </w:tcPr>
          <w:p w14:paraId="3C958BD4"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Απρ.</w:t>
            </w:r>
            <w:r w:rsidRPr="007222E8">
              <w:rPr>
                <w:rFonts w:cs="Arial"/>
                <w:b/>
                <w:bCs/>
                <w:color w:val="000000"/>
                <w:sz w:val="16"/>
                <w:szCs w:val="16"/>
              </w:rPr>
              <w:br/>
              <w:t>202</w:t>
            </w:r>
            <w:r w:rsidR="008C6C83">
              <w:rPr>
                <w:rFonts w:cs="Arial"/>
                <w:b/>
                <w:bCs/>
                <w:color w:val="000000"/>
                <w:sz w:val="16"/>
                <w:szCs w:val="16"/>
              </w:rPr>
              <w:t>5</w:t>
            </w:r>
          </w:p>
        </w:tc>
        <w:tc>
          <w:tcPr>
            <w:tcW w:w="414" w:type="pct"/>
            <w:shd w:val="clear" w:color="auto" w:fill="F2F2F2" w:themeFill="background1" w:themeFillShade="F2"/>
            <w:vAlign w:val="center"/>
            <w:hideMark/>
          </w:tcPr>
          <w:p w14:paraId="50220E1E"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Μ</w:t>
            </w:r>
            <w:r w:rsidR="00E8782C">
              <w:rPr>
                <w:rFonts w:cs="Arial"/>
                <w:b/>
                <w:bCs/>
                <w:color w:val="000000"/>
                <w:sz w:val="16"/>
                <w:szCs w:val="16"/>
              </w:rPr>
              <w:t>ά</w:t>
            </w:r>
            <w:r w:rsidRPr="007222E8">
              <w:rPr>
                <w:rFonts w:cs="Arial"/>
                <w:b/>
                <w:bCs/>
                <w:color w:val="000000"/>
                <w:sz w:val="16"/>
                <w:szCs w:val="16"/>
              </w:rPr>
              <w:t>ιος</w:t>
            </w:r>
            <w:r w:rsidRPr="007222E8">
              <w:rPr>
                <w:rFonts w:cs="Arial"/>
                <w:b/>
                <w:bCs/>
                <w:color w:val="000000"/>
                <w:sz w:val="16"/>
                <w:szCs w:val="16"/>
              </w:rPr>
              <w:br/>
              <w:t>202</w:t>
            </w:r>
            <w:r w:rsidR="008C6C83">
              <w:rPr>
                <w:rFonts w:cs="Arial"/>
                <w:b/>
                <w:bCs/>
                <w:color w:val="000000"/>
                <w:sz w:val="16"/>
                <w:szCs w:val="16"/>
              </w:rPr>
              <w:t>5</w:t>
            </w:r>
          </w:p>
        </w:tc>
        <w:tc>
          <w:tcPr>
            <w:tcW w:w="373" w:type="pct"/>
            <w:shd w:val="clear" w:color="auto" w:fill="F2F2F2" w:themeFill="background1" w:themeFillShade="F2"/>
            <w:vAlign w:val="center"/>
            <w:hideMark/>
          </w:tcPr>
          <w:p w14:paraId="45848764"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Ιο</w:t>
            </w:r>
            <w:r w:rsidR="008C6C83">
              <w:rPr>
                <w:rFonts w:cs="Arial"/>
                <w:b/>
                <w:bCs/>
                <w:color w:val="000000"/>
                <w:sz w:val="16"/>
                <w:szCs w:val="16"/>
              </w:rPr>
              <w:t>υ</w:t>
            </w:r>
            <w:r w:rsidRPr="007222E8">
              <w:rPr>
                <w:rFonts w:cs="Arial"/>
                <w:b/>
                <w:bCs/>
                <w:color w:val="000000"/>
                <w:sz w:val="16"/>
                <w:szCs w:val="16"/>
              </w:rPr>
              <w:t>ν.</w:t>
            </w:r>
            <w:r w:rsidRPr="007222E8">
              <w:rPr>
                <w:rFonts w:cs="Arial"/>
                <w:b/>
                <w:bCs/>
                <w:color w:val="000000"/>
                <w:sz w:val="16"/>
                <w:szCs w:val="16"/>
              </w:rPr>
              <w:br/>
              <w:t>202</w:t>
            </w:r>
            <w:r w:rsidR="008C6C83">
              <w:rPr>
                <w:rFonts w:cs="Arial"/>
                <w:b/>
                <w:bCs/>
                <w:color w:val="000000"/>
                <w:sz w:val="16"/>
                <w:szCs w:val="16"/>
              </w:rPr>
              <w:t>5</w:t>
            </w:r>
          </w:p>
        </w:tc>
        <w:tc>
          <w:tcPr>
            <w:tcW w:w="372" w:type="pct"/>
            <w:shd w:val="clear" w:color="auto" w:fill="F2F2F2" w:themeFill="background1" w:themeFillShade="F2"/>
            <w:vAlign w:val="center"/>
            <w:hideMark/>
          </w:tcPr>
          <w:p w14:paraId="084ACFCA" w14:textId="77777777" w:rsidR="00E136B1" w:rsidRPr="007222E8" w:rsidRDefault="00E136B1" w:rsidP="009D5CF8">
            <w:pPr>
              <w:spacing w:after="0" w:line="240" w:lineRule="auto"/>
              <w:jc w:val="center"/>
              <w:rPr>
                <w:rFonts w:cs="Arial"/>
                <w:b/>
                <w:bCs/>
                <w:color w:val="000000"/>
                <w:sz w:val="16"/>
                <w:szCs w:val="16"/>
              </w:rPr>
            </w:pPr>
            <w:r w:rsidRPr="007222E8">
              <w:rPr>
                <w:rFonts w:cs="Arial"/>
                <w:b/>
                <w:bCs/>
                <w:color w:val="000000"/>
                <w:sz w:val="16"/>
                <w:szCs w:val="16"/>
              </w:rPr>
              <w:t>Ιο</w:t>
            </w:r>
            <w:r w:rsidR="008C6C83">
              <w:rPr>
                <w:rFonts w:cs="Arial"/>
                <w:b/>
                <w:bCs/>
                <w:color w:val="000000"/>
                <w:sz w:val="16"/>
                <w:szCs w:val="16"/>
              </w:rPr>
              <w:t>υ</w:t>
            </w:r>
            <w:r w:rsidRPr="007222E8">
              <w:rPr>
                <w:rFonts w:cs="Arial"/>
                <w:b/>
                <w:bCs/>
                <w:color w:val="000000"/>
                <w:sz w:val="16"/>
                <w:szCs w:val="16"/>
              </w:rPr>
              <w:t>λ.</w:t>
            </w:r>
            <w:r w:rsidRPr="007222E8">
              <w:rPr>
                <w:rFonts w:cs="Arial"/>
                <w:b/>
                <w:bCs/>
                <w:color w:val="000000"/>
                <w:sz w:val="16"/>
                <w:szCs w:val="16"/>
              </w:rPr>
              <w:br/>
              <w:t>202</w:t>
            </w:r>
            <w:r w:rsidR="008C6C83">
              <w:rPr>
                <w:rFonts w:cs="Arial"/>
                <w:b/>
                <w:bCs/>
                <w:color w:val="000000"/>
                <w:sz w:val="16"/>
                <w:szCs w:val="16"/>
              </w:rPr>
              <w:t>5</w:t>
            </w:r>
          </w:p>
        </w:tc>
      </w:tr>
      <w:tr w:rsidR="008C6C83" w:rsidRPr="007222E8" w14:paraId="32D52F61" w14:textId="77777777" w:rsidTr="00E678AF">
        <w:trPr>
          <w:trHeight w:val="448"/>
          <w:jc w:val="center"/>
        </w:trPr>
        <w:tc>
          <w:tcPr>
            <w:tcW w:w="1294" w:type="pct"/>
            <w:shd w:val="clear" w:color="000000" w:fill="D5DCE4"/>
            <w:vAlign w:val="center"/>
            <w:hideMark/>
          </w:tcPr>
          <w:p w14:paraId="07212001" w14:textId="77777777" w:rsidR="008C6C83" w:rsidRPr="00310D0C" w:rsidRDefault="008C6C83" w:rsidP="00E678AF">
            <w:pPr>
              <w:spacing w:after="0" w:line="240" w:lineRule="auto"/>
              <w:jc w:val="left"/>
              <w:rPr>
                <w:rFonts w:cs="Arial"/>
                <w:b/>
                <w:bCs/>
                <w:color w:val="000000"/>
                <w:sz w:val="16"/>
                <w:szCs w:val="16"/>
              </w:rPr>
            </w:pPr>
            <w:r w:rsidRPr="00310D0C">
              <w:rPr>
                <w:rFonts w:cs="Arial"/>
                <w:b/>
                <w:bCs/>
                <w:color w:val="000000"/>
                <w:sz w:val="16"/>
                <w:szCs w:val="16"/>
              </w:rPr>
              <w:t>Εκκρεμείς επιστροφές φόρων</w:t>
            </w:r>
          </w:p>
        </w:tc>
        <w:tc>
          <w:tcPr>
            <w:tcW w:w="345" w:type="pct"/>
            <w:shd w:val="clear" w:color="000000" w:fill="D5DCE4"/>
            <w:vAlign w:val="center"/>
          </w:tcPr>
          <w:p w14:paraId="1CD58A67" w14:textId="77777777" w:rsidR="008C6C83" w:rsidRDefault="008C6C83" w:rsidP="008C6C83">
            <w:pPr>
              <w:spacing w:after="0" w:line="240" w:lineRule="auto"/>
              <w:jc w:val="right"/>
              <w:rPr>
                <w:rFonts w:ascii="Calibri" w:hAnsi="Calibri" w:cs="Calibri"/>
                <w:b/>
                <w:bCs/>
                <w:color w:val="000000"/>
                <w:sz w:val="16"/>
                <w:szCs w:val="16"/>
              </w:rPr>
            </w:pPr>
            <w:r>
              <w:rPr>
                <w:rFonts w:ascii="Calibri" w:hAnsi="Calibri" w:cs="Calibri"/>
                <w:b/>
                <w:bCs/>
                <w:color w:val="000000"/>
                <w:sz w:val="16"/>
                <w:szCs w:val="16"/>
              </w:rPr>
              <w:t>558</w:t>
            </w:r>
          </w:p>
        </w:tc>
        <w:tc>
          <w:tcPr>
            <w:tcW w:w="373" w:type="pct"/>
            <w:shd w:val="clear" w:color="000000" w:fill="D5DCE4"/>
            <w:vAlign w:val="center"/>
          </w:tcPr>
          <w:p w14:paraId="472B4232"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605</w:t>
            </w:r>
          </w:p>
        </w:tc>
        <w:tc>
          <w:tcPr>
            <w:tcW w:w="350" w:type="pct"/>
            <w:shd w:val="clear" w:color="000000" w:fill="D5DCE4"/>
            <w:vAlign w:val="center"/>
          </w:tcPr>
          <w:p w14:paraId="61975B84"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731</w:t>
            </w:r>
          </w:p>
        </w:tc>
        <w:tc>
          <w:tcPr>
            <w:tcW w:w="326" w:type="pct"/>
            <w:shd w:val="clear" w:color="000000" w:fill="D5DCE4"/>
            <w:vAlign w:val="center"/>
          </w:tcPr>
          <w:p w14:paraId="069ED19D"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915</w:t>
            </w:r>
          </w:p>
        </w:tc>
        <w:tc>
          <w:tcPr>
            <w:tcW w:w="363" w:type="pct"/>
            <w:shd w:val="clear" w:color="000000" w:fill="D5DCE4"/>
            <w:vAlign w:val="center"/>
          </w:tcPr>
          <w:p w14:paraId="15DC34C7"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824</w:t>
            </w:r>
          </w:p>
        </w:tc>
        <w:tc>
          <w:tcPr>
            <w:tcW w:w="411" w:type="pct"/>
            <w:shd w:val="clear" w:color="000000" w:fill="D5DCE4"/>
            <w:vAlign w:val="center"/>
          </w:tcPr>
          <w:p w14:paraId="3BE1675F"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723</w:t>
            </w:r>
          </w:p>
        </w:tc>
        <w:tc>
          <w:tcPr>
            <w:tcW w:w="378" w:type="pct"/>
            <w:shd w:val="clear" w:color="000000" w:fill="D5DCE4"/>
            <w:vAlign w:val="center"/>
          </w:tcPr>
          <w:p w14:paraId="51478060"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760</w:t>
            </w:r>
          </w:p>
        </w:tc>
        <w:tc>
          <w:tcPr>
            <w:tcW w:w="414" w:type="pct"/>
            <w:shd w:val="clear" w:color="000000" w:fill="D5DCE4"/>
            <w:vAlign w:val="center"/>
          </w:tcPr>
          <w:p w14:paraId="3F14CD0C"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650</w:t>
            </w:r>
          </w:p>
        </w:tc>
        <w:tc>
          <w:tcPr>
            <w:tcW w:w="373" w:type="pct"/>
            <w:shd w:val="clear" w:color="000000" w:fill="D5DCE4"/>
            <w:vAlign w:val="center"/>
          </w:tcPr>
          <w:p w14:paraId="1C0B2DF6"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722</w:t>
            </w:r>
          </w:p>
        </w:tc>
        <w:tc>
          <w:tcPr>
            <w:tcW w:w="372" w:type="pct"/>
            <w:shd w:val="clear" w:color="000000" w:fill="D5DCE4"/>
            <w:vAlign w:val="center"/>
          </w:tcPr>
          <w:p w14:paraId="73EEFFB8" w14:textId="77777777" w:rsidR="008C6C83" w:rsidRPr="008C6C83" w:rsidRDefault="008C6C83" w:rsidP="008C6C83">
            <w:pPr>
              <w:spacing w:after="0" w:line="240" w:lineRule="auto"/>
              <w:jc w:val="right"/>
              <w:rPr>
                <w:rFonts w:ascii="Calibri" w:hAnsi="Calibri" w:cs="Calibri"/>
                <w:b/>
                <w:bCs/>
                <w:color w:val="000000"/>
                <w:sz w:val="16"/>
                <w:szCs w:val="16"/>
              </w:rPr>
            </w:pPr>
            <w:r w:rsidRPr="008C6C83">
              <w:rPr>
                <w:rFonts w:ascii="Calibri" w:hAnsi="Calibri" w:cs="Calibri"/>
                <w:b/>
                <w:bCs/>
                <w:color w:val="000000"/>
                <w:sz w:val="16"/>
                <w:szCs w:val="16"/>
              </w:rPr>
              <w:t>732</w:t>
            </w:r>
          </w:p>
        </w:tc>
      </w:tr>
      <w:tr w:rsidR="008C6C83" w:rsidRPr="002A6280" w14:paraId="082C2354" w14:textId="77777777" w:rsidTr="00E678AF">
        <w:trPr>
          <w:trHeight w:val="1104"/>
          <w:jc w:val="center"/>
        </w:trPr>
        <w:tc>
          <w:tcPr>
            <w:tcW w:w="1294" w:type="pct"/>
            <w:shd w:val="clear" w:color="auto" w:fill="F2F2F2"/>
            <w:vAlign w:val="center"/>
            <w:hideMark/>
          </w:tcPr>
          <w:p w14:paraId="378767B1" w14:textId="77777777" w:rsidR="008C6C83" w:rsidRPr="002A6280" w:rsidRDefault="008C6C83" w:rsidP="00E678AF">
            <w:pPr>
              <w:spacing w:after="0" w:line="240" w:lineRule="auto"/>
              <w:jc w:val="left"/>
              <w:rPr>
                <w:rFonts w:cs="Arial"/>
                <w:b/>
                <w:color w:val="000000"/>
                <w:sz w:val="16"/>
                <w:szCs w:val="16"/>
              </w:rPr>
            </w:pPr>
            <w:r w:rsidRPr="002A6280">
              <w:rPr>
                <w:rFonts w:cs="Arial"/>
                <w:b/>
                <w:color w:val="000000"/>
                <w:sz w:val="16"/>
                <w:szCs w:val="16"/>
              </w:rPr>
              <w:t>Εκκρεμείς επιστροφές φόρων άνω των 90 ημερών (ληξιπρόθεσμες επιστροφές) από την ημερομηνία έκδοσης του ΑΦΕΚ, εκ των οποίων:</w:t>
            </w:r>
          </w:p>
        </w:tc>
        <w:tc>
          <w:tcPr>
            <w:tcW w:w="345" w:type="pct"/>
            <w:shd w:val="clear" w:color="auto" w:fill="F2F2F2" w:themeFill="background1" w:themeFillShade="F2"/>
            <w:vAlign w:val="center"/>
          </w:tcPr>
          <w:p w14:paraId="60A1C7C4" w14:textId="77777777" w:rsidR="008C6C83" w:rsidRDefault="008C6C83" w:rsidP="003E3E4B">
            <w:pPr>
              <w:jc w:val="right"/>
              <w:rPr>
                <w:rFonts w:cs="Arial"/>
                <w:color w:val="000000"/>
                <w:sz w:val="16"/>
                <w:szCs w:val="16"/>
              </w:rPr>
            </w:pPr>
            <w:r>
              <w:rPr>
                <w:rFonts w:cs="Arial"/>
                <w:color w:val="000000"/>
                <w:sz w:val="16"/>
                <w:szCs w:val="16"/>
              </w:rPr>
              <w:t>274</w:t>
            </w:r>
          </w:p>
        </w:tc>
        <w:tc>
          <w:tcPr>
            <w:tcW w:w="373" w:type="pct"/>
            <w:shd w:val="clear" w:color="auto" w:fill="F2F2F2" w:themeFill="background1" w:themeFillShade="F2"/>
            <w:vAlign w:val="center"/>
          </w:tcPr>
          <w:p w14:paraId="39799B92" w14:textId="77777777" w:rsidR="008C6C83" w:rsidRDefault="008C6C83" w:rsidP="003E3E4B">
            <w:pPr>
              <w:jc w:val="right"/>
              <w:rPr>
                <w:rFonts w:cs="Arial"/>
                <w:color w:val="000000"/>
                <w:sz w:val="16"/>
                <w:szCs w:val="16"/>
              </w:rPr>
            </w:pPr>
            <w:r>
              <w:rPr>
                <w:rFonts w:cs="Arial"/>
                <w:color w:val="000000"/>
                <w:sz w:val="16"/>
                <w:szCs w:val="16"/>
              </w:rPr>
              <w:t>233</w:t>
            </w:r>
          </w:p>
        </w:tc>
        <w:tc>
          <w:tcPr>
            <w:tcW w:w="350" w:type="pct"/>
            <w:shd w:val="clear" w:color="auto" w:fill="F2F2F2" w:themeFill="background1" w:themeFillShade="F2"/>
            <w:vAlign w:val="center"/>
          </w:tcPr>
          <w:p w14:paraId="09520310" w14:textId="77777777" w:rsidR="008C6C83" w:rsidRDefault="008C6C83" w:rsidP="003E3E4B">
            <w:pPr>
              <w:jc w:val="right"/>
              <w:rPr>
                <w:rFonts w:cs="Arial"/>
                <w:color w:val="000000"/>
                <w:sz w:val="16"/>
                <w:szCs w:val="16"/>
              </w:rPr>
            </w:pPr>
            <w:r>
              <w:rPr>
                <w:rFonts w:cs="Arial"/>
                <w:color w:val="000000"/>
                <w:sz w:val="16"/>
                <w:szCs w:val="16"/>
              </w:rPr>
              <w:t>331</w:t>
            </w:r>
          </w:p>
        </w:tc>
        <w:tc>
          <w:tcPr>
            <w:tcW w:w="326" w:type="pct"/>
            <w:shd w:val="clear" w:color="auto" w:fill="F2F2F2" w:themeFill="background1" w:themeFillShade="F2"/>
            <w:vAlign w:val="center"/>
          </w:tcPr>
          <w:p w14:paraId="2A4C3A2E" w14:textId="77777777" w:rsidR="008C6C83" w:rsidRDefault="008C6C83" w:rsidP="003E3E4B">
            <w:pPr>
              <w:jc w:val="right"/>
              <w:rPr>
                <w:rFonts w:cs="Arial"/>
                <w:color w:val="000000"/>
                <w:sz w:val="16"/>
                <w:szCs w:val="16"/>
              </w:rPr>
            </w:pPr>
            <w:r>
              <w:rPr>
                <w:rFonts w:cs="Arial"/>
                <w:color w:val="000000"/>
                <w:sz w:val="16"/>
                <w:szCs w:val="16"/>
              </w:rPr>
              <w:t>365</w:t>
            </w:r>
          </w:p>
        </w:tc>
        <w:tc>
          <w:tcPr>
            <w:tcW w:w="363" w:type="pct"/>
            <w:shd w:val="clear" w:color="auto" w:fill="F2F2F2" w:themeFill="background1" w:themeFillShade="F2"/>
            <w:vAlign w:val="center"/>
          </w:tcPr>
          <w:p w14:paraId="4960C77C" w14:textId="77777777" w:rsidR="008C6C83" w:rsidRDefault="008C6C83" w:rsidP="003E3E4B">
            <w:pPr>
              <w:jc w:val="right"/>
              <w:rPr>
                <w:rFonts w:cs="Arial"/>
                <w:color w:val="000000"/>
                <w:sz w:val="16"/>
                <w:szCs w:val="16"/>
              </w:rPr>
            </w:pPr>
            <w:r>
              <w:rPr>
                <w:rFonts w:cs="Arial"/>
                <w:color w:val="000000"/>
                <w:sz w:val="16"/>
                <w:szCs w:val="16"/>
              </w:rPr>
              <w:t>378</w:t>
            </w:r>
          </w:p>
        </w:tc>
        <w:tc>
          <w:tcPr>
            <w:tcW w:w="411" w:type="pct"/>
            <w:shd w:val="clear" w:color="auto" w:fill="F2F2F2" w:themeFill="background1" w:themeFillShade="F2"/>
            <w:vAlign w:val="center"/>
          </w:tcPr>
          <w:p w14:paraId="20D1B28C" w14:textId="77777777" w:rsidR="008C6C83" w:rsidRDefault="008C6C83" w:rsidP="003E3E4B">
            <w:pPr>
              <w:jc w:val="right"/>
              <w:rPr>
                <w:rFonts w:cs="Arial"/>
                <w:color w:val="000000"/>
                <w:sz w:val="16"/>
                <w:szCs w:val="16"/>
              </w:rPr>
            </w:pPr>
            <w:r>
              <w:rPr>
                <w:rFonts w:cs="Arial"/>
                <w:color w:val="000000"/>
                <w:sz w:val="16"/>
                <w:szCs w:val="16"/>
              </w:rPr>
              <w:t>316</w:t>
            </w:r>
          </w:p>
        </w:tc>
        <w:tc>
          <w:tcPr>
            <w:tcW w:w="378" w:type="pct"/>
            <w:shd w:val="clear" w:color="auto" w:fill="F2F2F2" w:themeFill="background1" w:themeFillShade="F2"/>
            <w:vAlign w:val="center"/>
          </w:tcPr>
          <w:p w14:paraId="27BB57D0" w14:textId="77777777" w:rsidR="008C6C83" w:rsidRDefault="008C6C83" w:rsidP="003E3E4B">
            <w:pPr>
              <w:jc w:val="right"/>
              <w:rPr>
                <w:rFonts w:cs="Arial"/>
                <w:color w:val="000000"/>
                <w:sz w:val="16"/>
                <w:szCs w:val="16"/>
              </w:rPr>
            </w:pPr>
            <w:r>
              <w:rPr>
                <w:rFonts w:cs="Arial"/>
                <w:color w:val="000000"/>
                <w:sz w:val="16"/>
                <w:szCs w:val="16"/>
              </w:rPr>
              <w:t>290</w:t>
            </w:r>
          </w:p>
        </w:tc>
        <w:tc>
          <w:tcPr>
            <w:tcW w:w="414" w:type="pct"/>
            <w:shd w:val="clear" w:color="auto" w:fill="F2F2F2" w:themeFill="background1" w:themeFillShade="F2"/>
            <w:vAlign w:val="center"/>
          </w:tcPr>
          <w:p w14:paraId="59248DD1" w14:textId="77777777" w:rsidR="008C6C83" w:rsidRDefault="008C6C83" w:rsidP="003E3E4B">
            <w:pPr>
              <w:jc w:val="right"/>
              <w:rPr>
                <w:rFonts w:cs="Arial"/>
                <w:color w:val="000000"/>
                <w:sz w:val="16"/>
                <w:szCs w:val="16"/>
              </w:rPr>
            </w:pPr>
            <w:r>
              <w:rPr>
                <w:rFonts w:cs="Arial"/>
                <w:color w:val="000000"/>
                <w:sz w:val="16"/>
                <w:szCs w:val="16"/>
              </w:rPr>
              <w:t>269</w:t>
            </w:r>
          </w:p>
        </w:tc>
        <w:tc>
          <w:tcPr>
            <w:tcW w:w="373" w:type="pct"/>
            <w:shd w:val="clear" w:color="auto" w:fill="F2F2F2" w:themeFill="background1" w:themeFillShade="F2"/>
            <w:vAlign w:val="center"/>
          </w:tcPr>
          <w:p w14:paraId="6A618129" w14:textId="77777777" w:rsidR="008C6C83" w:rsidRDefault="008C6C83" w:rsidP="003E3E4B">
            <w:pPr>
              <w:jc w:val="right"/>
              <w:rPr>
                <w:rFonts w:cs="Arial"/>
                <w:color w:val="000000"/>
                <w:sz w:val="16"/>
                <w:szCs w:val="16"/>
              </w:rPr>
            </w:pPr>
            <w:r>
              <w:rPr>
                <w:rFonts w:cs="Arial"/>
                <w:color w:val="000000"/>
                <w:sz w:val="16"/>
                <w:szCs w:val="16"/>
              </w:rPr>
              <w:t>330</w:t>
            </w:r>
          </w:p>
        </w:tc>
        <w:tc>
          <w:tcPr>
            <w:tcW w:w="372" w:type="pct"/>
            <w:shd w:val="clear" w:color="auto" w:fill="F2F2F2" w:themeFill="background1" w:themeFillShade="F2"/>
            <w:noWrap/>
            <w:vAlign w:val="center"/>
          </w:tcPr>
          <w:p w14:paraId="39A4F3DC" w14:textId="77777777" w:rsidR="008C6C83" w:rsidRDefault="008C6C83" w:rsidP="003E3E4B">
            <w:pPr>
              <w:jc w:val="right"/>
              <w:rPr>
                <w:rFonts w:cs="Arial"/>
                <w:color w:val="000000"/>
                <w:sz w:val="16"/>
                <w:szCs w:val="16"/>
              </w:rPr>
            </w:pPr>
            <w:r>
              <w:rPr>
                <w:rFonts w:cs="Arial"/>
                <w:color w:val="000000"/>
                <w:sz w:val="16"/>
                <w:szCs w:val="16"/>
              </w:rPr>
              <w:t>329</w:t>
            </w:r>
          </w:p>
        </w:tc>
      </w:tr>
      <w:tr w:rsidR="008C6C83" w:rsidRPr="007222E8" w14:paraId="07E27EF1" w14:textId="77777777" w:rsidTr="00E678AF">
        <w:trPr>
          <w:trHeight w:val="1044"/>
          <w:jc w:val="center"/>
        </w:trPr>
        <w:tc>
          <w:tcPr>
            <w:tcW w:w="1294" w:type="pct"/>
            <w:vAlign w:val="center"/>
            <w:hideMark/>
          </w:tcPr>
          <w:p w14:paraId="20541047" w14:textId="77777777" w:rsidR="008C6C83" w:rsidRPr="00310D0C" w:rsidRDefault="008C6C83" w:rsidP="00E678AF">
            <w:pPr>
              <w:spacing w:after="0" w:line="240" w:lineRule="auto"/>
              <w:jc w:val="left"/>
              <w:rPr>
                <w:rFonts w:cs="Arial"/>
                <w:i/>
                <w:color w:val="000000"/>
                <w:sz w:val="16"/>
                <w:szCs w:val="16"/>
              </w:rPr>
            </w:pPr>
            <w:r w:rsidRPr="00310D0C">
              <w:rPr>
                <w:rFonts w:cs="Arial"/>
                <w:i/>
                <w:color w:val="000000"/>
                <w:sz w:val="16"/>
                <w:szCs w:val="16"/>
              </w:rPr>
              <w:t xml:space="preserve">(α) ποσό που δεν μπορεί να αποπληρωθεί λόγω εξωγενών παραγόντων (μη ανταπόκριση δικαιούχου ή μη προσκόμιση δικαιολογητικών) </w:t>
            </w:r>
          </w:p>
        </w:tc>
        <w:tc>
          <w:tcPr>
            <w:tcW w:w="345" w:type="pct"/>
            <w:vAlign w:val="center"/>
          </w:tcPr>
          <w:p w14:paraId="54014790" w14:textId="77777777" w:rsidR="008C6C83" w:rsidRDefault="008C6C83" w:rsidP="003E3E4B">
            <w:pPr>
              <w:jc w:val="right"/>
              <w:rPr>
                <w:rFonts w:cs="Arial"/>
                <w:i/>
                <w:iCs/>
                <w:color w:val="000000"/>
                <w:sz w:val="16"/>
                <w:szCs w:val="16"/>
              </w:rPr>
            </w:pPr>
            <w:r>
              <w:rPr>
                <w:rFonts w:cs="Arial"/>
                <w:i/>
                <w:iCs/>
                <w:color w:val="000000"/>
                <w:sz w:val="16"/>
                <w:szCs w:val="16"/>
              </w:rPr>
              <w:t>241</w:t>
            </w:r>
          </w:p>
        </w:tc>
        <w:tc>
          <w:tcPr>
            <w:tcW w:w="373" w:type="pct"/>
            <w:vAlign w:val="center"/>
          </w:tcPr>
          <w:p w14:paraId="50233C00" w14:textId="77777777" w:rsidR="008C6C83" w:rsidRDefault="008C6C83" w:rsidP="003E3E4B">
            <w:pPr>
              <w:jc w:val="right"/>
              <w:rPr>
                <w:rFonts w:cs="Arial"/>
                <w:i/>
                <w:iCs/>
                <w:color w:val="000000"/>
                <w:sz w:val="16"/>
                <w:szCs w:val="16"/>
              </w:rPr>
            </w:pPr>
            <w:r>
              <w:rPr>
                <w:rFonts w:cs="Arial"/>
                <w:i/>
                <w:iCs/>
                <w:color w:val="000000"/>
                <w:sz w:val="16"/>
                <w:szCs w:val="16"/>
              </w:rPr>
              <w:t>173</w:t>
            </w:r>
          </w:p>
        </w:tc>
        <w:tc>
          <w:tcPr>
            <w:tcW w:w="350" w:type="pct"/>
            <w:vAlign w:val="center"/>
          </w:tcPr>
          <w:p w14:paraId="72C199EC" w14:textId="77777777" w:rsidR="008C6C83" w:rsidRDefault="008C6C83" w:rsidP="003E3E4B">
            <w:pPr>
              <w:jc w:val="right"/>
              <w:rPr>
                <w:rFonts w:cs="Arial"/>
                <w:i/>
                <w:iCs/>
                <w:color w:val="000000"/>
                <w:sz w:val="16"/>
                <w:szCs w:val="16"/>
              </w:rPr>
            </w:pPr>
            <w:r>
              <w:rPr>
                <w:rFonts w:cs="Arial"/>
                <w:i/>
                <w:iCs/>
                <w:color w:val="000000"/>
                <w:sz w:val="16"/>
                <w:szCs w:val="16"/>
              </w:rPr>
              <w:t>210</w:t>
            </w:r>
          </w:p>
        </w:tc>
        <w:tc>
          <w:tcPr>
            <w:tcW w:w="326" w:type="pct"/>
            <w:vAlign w:val="center"/>
          </w:tcPr>
          <w:p w14:paraId="083AEF58" w14:textId="77777777" w:rsidR="008C6C83" w:rsidRDefault="008C6C83" w:rsidP="003E3E4B">
            <w:pPr>
              <w:jc w:val="right"/>
              <w:rPr>
                <w:rFonts w:cs="Arial"/>
                <w:i/>
                <w:iCs/>
                <w:color w:val="000000"/>
                <w:sz w:val="16"/>
                <w:szCs w:val="16"/>
              </w:rPr>
            </w:pPr>
            <w:r>
              <w:rPr>
                <w:rFonts w:cs="Arial"/>
                <w:i/>
                <w:iCs/>
                <w:color w:val="000000"/>
                <w:sz w:val="16"/>
                <w:szCs w:val="16"/>
              </w:rPr>
              <w:t>168</w:t>
            </w:r>
          </w:p>
        </w:tc>
        <w:tc>
          <w:tcPr>
            <w:tcW w:w="363" w:type="pct"/>
            <w:vAlign w:val="center"/>
          </w:tcPr>
          <w:p w14:paraId="57FCB924" w14:textId="77777777" w:rsidR="008C6C83" w:rsidRDefault="008C6C83" w:rsidP="003E3E4B">
            <w:pPr>
              <w:jc w:val="right"/>
              <w:rPr>
                <w:rFonts w:cs="Arial"/>
                <w:i/>
                <w:iCs/>
                <w:color w:val="000000"/>
                <w:sz w:val="16"/>
                <w:szCs w:val="16"/>
              </w:rPr>
            </w:pPr>
            <w:r>
              <w:rPr>
                <w:rFonts w:cs="Arial"/>
                <w:i/>
                <w:iCs/>
                <w:color w:val="000000"/>
                <w:sz w:val="16"/>
                <w:szCs w:val="16"/>
              </w:rPr>
              <w:t>220</w:t>
            </w:r>
          </w:p>
        </w:tc>
        <w:tc>
          <w:tcPr>
            <w:tcW w:w="411" w:type="pct"/>
            <w:vAlign w:val="center"/>
          </w:tcPr>
          <w:p w14:paraId="1557806F" w14:textId="77777777" w:rsidR="008C6C83" w:rsidRDefault="008C6C83" w:rsidP="003E3E4B">
            <w:pPr>
              <w:jc w:val="right"/>
              <w:rPr>
                <w:rFonts w:cs="Arial"/>
                <w:i/>
                <w:iCs/>
                <w:color w:val="000000"/>
                <w:sz w:val="16"/>
                <w:szCs w:val="16"/>
              </w:rPr>
            </w:pPr>
            <w:r>
              <w:rPr>
                <w:rFonts w:cs="Arial"/>
                <w:i/>
                <w:iCs/>
                <w:color w:val="000000"/>
                <w:sz w:val="16"/>
                <w:szCs w:val="16"/>
              </w:rPr>
              <w:t>234</w:t>
            </w:r>
          </w:p>
        </w:tc>
        <w:tc>
          <w:tcPr>
            <w:tcW w:w="378" w:type="pct"/>
            <w:vAlign w:val="center"/>
          </w:tcPr>
          <w:p w14:paraId="58E6DA72" w14:textId="77777777" w:rsidR="008C6C83" w:rsidRDefault="008C6C83" w:rsidP="003E3E4B">
            <w:pPr>
              <w:jc w:val="right"/>
              <w:rPr>
                <w:rFonts w:cs="Arial"/>
                <w:color w:val="000000"/>
                <w:sz w:val="16"/>
                <w:szCs w:val="16"/>
              </w:rPr>
            </w:pPr>
            <w:r>
              <w:rPr>
                <w:rFonts w:cs="Arial"/>
                <w:color w:val="000000"/>
                <w:sz w:val="16"/>
                <w:szCs w:val="16"/>
              </w:rPr>
              <w:t>232</w:t>
            </w:r>
          </w:p>
        </w:tc>
        <w:tc>
          <w:tcPr>
            <w:tcW w:w="414" w:type="pct"/>
            <w:vAlign w:val="center"/>
          </w:tcPr>
          <w:p w14:paraId="2B572321" w14:textId="77777777" w:rsidR="008C6C83" w:rsidRDefault="008C6C83" w:rsidP="003E3E4B">
            <w:pPr>
              <w:jc w:val="right"/>
              <w:rPr>
                <w:rFonts w:cs="Arial"/>
                <w:color w:val="000000"/>
                <w:sz w:val="16"/>
                <w:szCs w:val="16"/>
              </w:rPr>
            </w:pPr>
            <w:r>
              <w:rPr>
                <w:rFonts w:cs="Arial"/>
                <w:color w:val="000000"/>
                <w:sz w:val="16"/>
                <w:szCs w:val="16"/>
              </w:rPr>
              <w:t>200</w:t>
            </w:r>
          </w:p>
        </w:tc>
        <w:tc>
          <w:tcPr>
            <w:tcW w:w="373" w:type="pct"/>
            <w:vAlign w:val="center"/>
          </w:tcPr>
          <w:p w14:paraId="48EB690D" w14:textId="77777777" w:rsidR="008C6C83" w:rsidRDefault="008C6C83" w:rsidP="003E3E4B">
            <w:pPr>
              <w:jc w:val="right"/>
              <w:rPr>
                <w:rFonts w:cs="Arial"/>
                <w:color w:val="000000"/>
                <w:sz w:val="16"/>
                <w:szCs w:val="16"/>
              </w:rPr>
            </w:pPr>
            <w:r>
              <w:rPr>
                <w:rFonts w:cs="Arial"/>
                <w:color w:val="000000"/>
                <w:sz w:val="16"/>
                <w:szCs w:val="16"/>
              </w:rPr>
              <w:t>206</w:t>
            </w:r>
          </w:p>
        </w:tc>
        <w:tc>
          <w:tcPr>
            <w:tcW w:w="372" w:type="pct"/>
            <w:noWrap/>
            <w:vAlign w:val="center"/>
          </w:tcPr>
          <w:p w14:paraId="0A29FD2E" w14:textId="77777777" w:rsidR="008C6C83" w:rsidRDefault="008C6C83" w:rsidP="003E3E4B">
            <w:pPr>
              <w:jc w:val="right"/>
              <w:rPr>
                <w:rFonts w:cs="Arial"/>
                <w:color w:val="000000"/>
                <w:sz w:val="16"/>
                <w:szCs w:val="16"/>
              </w:rPr>
            </w:pPr>
            <w:r>
              <w:rPr>
                <w:rFonts w:cs="Arial"/>
                <w:color w:val="000000"/>
                <w:sz w:val="16"/>
                <w:szCs w:val="16"/>
              </w:rPr>
              <w:t>218</w:t>
            </w:r>
          </w:p>
        </w:tc>
      </w:tr>
      <w:tr w:rsidR="008C6C83" w:rsidRPr="007222E8" w14:paraId="7A8F7EDB" w14:textId="77777777" w:rsidTr="00E678AF">
        <w:trPr>
          <w:trHeight w:val="538"/>
          <w:jc w:val="center"/>
        </w:trPr>
        <w:tc>
          <w:tcPr>
            <w:tcW w:w="1294" w:type="pct"/>
            <w:vAlign w:val="center"/>
            <w:hideMark/>
          </w:tcPr>
          <w:p w14:paraId="172CA3FE" w14:textId="77777777" w:rsidR="008C6C83" w:rsidRPr="00310D0C" w:rsidRDefault="008C6C83" w:rsidP="00E678AF">
            <w:pPr>
              <w:spacing w:after="0" w:line="240" w:lineRule="auto"/>
              <w:jc w:val="left"/>
              <w:rPr>
                <w:rFonts w:cs="Arial"/>
                <w:i/>
                <w:color w:val="000000"/>
                <w:sz w:val="16"/>
                <w:szCs w:val="16"/>
              </w:rPr>
            </w:pPr>
            <w:r w:rsidRPr="00310D0C">
              <w:rPr>
                <w:rFonts w:cs="Arial"/>
                <w:i/>
                <w:color w:val="000000"/>
                <w:sz w:val="16"/>
                <w:szCs w:val="16"/>
              </w:rPr>
              <w:t>(β) λοιπές εκκρεμείς επιστροφές φόρων άνω των 90 ημερών</w:t>
            </w:r>
          </w:p>
        </w:tc>
        <w:tc>
          <w:tcPr>
            <w:tcW w:w="345" w:type="pct"/>
            <w:vAlign w:val="center"/>
          </w:tcPr>
          <w:p w14:paraId="269C02D8" w14:textId="77777777" w:rsidR="008C6C83" w:rsidRDefault="008C6C83" w:rsidP="003E3E4B">
            <w:pPr>
              <w:jc w:val="right"/>
              <w:rPr>
                <w:rFonts w:cs="Arial"/>
                <w:i/>
                <w:iCs/>
                <w:color w:val="000000"/>
                <w:sz w:val="16"/>
                <w:szCs w:val="16"/>
              </w:rPr>
            </w:pPr>
            <w:r>
              <w:rPr>
                <w:rFonts w:cs="Arial"/>
                <w:i/>
                <w:iCs/>
                <w:color w:val="000000"/>
                <w:sz w:val="16"/>
                <w:szCs w:val="16"/>
              </w:rPr>
              <w:t>33</w:t>
            </w:r>
          </w:p>
        </w:tc>
        <w:tc>
          <w:tcPr>
            <w:tcW w:w="373" w:type="pct"/>
            <w:vAlign w:val="center"/>
          </w:tcPr>
          <w:p w14:paraId="4A25DB74" w14:textId="77777777" w:rsidR="008C6C83" w:rsidRDefault="008C6C83" w:rsidP="003E3E4B">
            <w:pPr>
              <w:jc w:val="right"/>
              <w:rPr>
                <w:rFonts w:cs="Arial"/>
                <w:i/>
                <w:iCs/>
                <w:color w:val="000000"/>
                <w:sz w:val="16"/>
                <w:szCs w:val="16"/>
              </w:rPr>
            </w:pPr>
            <w:r>
              <w:rPr>
                <w:rFonts w:cs="Arial"/>
                <w:i/>
                <w:iCs/>
                <w:color w:val="000000"/>
                <w:sz w:val="16"/>
                <w:szCs w:val="16"/>
              </w:rPr>
              <w:t>61</w:t>
            </w:r>
          </w:p>
        </w:tc>
        <w:tc>
          <w:tcPr>
            <w:tcW w:w="350" w:type="pct"/>
            <w:vAlign w:val="center"/>
          </w:tcPr>
          <w:p w14:paraId="2960D9D1" w14:textId="77777777" w:rsidR="008C6C83" w:rsidRDefault="008C6C83" w:rsidP="003E3E4B">
            <w:pPr>
              <w:jc w:val="right"/>
              <w:rPr>
                <w:rFonts w:cs="Arial"/>
                <w:i/>
                <w:iCs/>
                <w:color w:val="000000"/>
                <w:sz w:val="16"/>
                <w:szCs w:val="16"/>
              </w:rPr>
            </w:pPr>
            <w:r>
              <w:rPr>
                <w:rFonts w:cs="Arial"/>
                <w:i/>
                <w:iCs/>
                <w:color w:val="000000"/>
                <w:sz w:val="16"/>
                <w:szCs w:val="16"/>
              </w:rPr>
              <w:t>121</w:t>
            </w:r>
          </w:p>
        </w:tc>
        <w:tc>
          <w:tcPr>
            <w:tcW w:w="326" w:type="pct"/>
            <w:vAlign w:val="center"/>
          </w:tcPr>
          <w:p w14:paraId="0390F741" w14:textId="77777777" w:rsidR="008C6C83" w:rsidRDefault="008C6C83" w:rsidP="003E3E4B">
            <w:pPr>
              <w:jc w:val="right"/>
              <w:rPr>
                <w:rFonts w:cs="Arial"/>
                <w:i/>
                <w:iCs/>
                <w:color w:val="000000"/>
                <w:sz w:val="16"/>
                <w:szCs w:val="16"/>
              </w:rPr>
            </w:pPr>
            <w:r>
              <w:rPr>
                <w:rFonts w:cs="Arial"/>
                <w:i/>
                <w:iCs/>
                <w:color w:val="000000"/>
                <w:sz w:val="16"/>
                <w:szCs w:val="16"/>
              </w:rPr>
              <w:t>197</w:t>
            </w:r>
          </w:p>
        </w:tc>
        <w:tc>
          <w:tcPr>
            <w:tcW w:w="363" w:type="pct"/>
            <w:vAlign w:val="center"/>
          </w:tcPr>
          <w:p w14:paraId="6B6A214C" w14:textId="77777777" w:rsidR="008C6C83" w:rsidRDefault="008C6C83" w:rsidP="003E3E4B">
            <w:pPr>
              <w:jc w:val="right"/>
              <w:rPr>
                <w:rFonts w:cs="Arial"/>
                <w:i/>
                <w:iCs/>
                <w:color w:val="000000"/>
                <w:sz w:val="16"/>
                <w:szCs w:val="16"/>
              </w:rPr>
            </w:pPr>
            <w:r>
              <w:rPr>
                <w:rFonts w:cs="Arial"/>
                <w:i/>
                <w:iCs/>
                <w:color w:val="000000"/>
                <w:sz w:val="16"/>
                <w:szCs w:val="16"/>
              </w:rPr>
              <w:t>158</w:t>
            </w:r>
          </w:p>
        </w:tc>
        <w:tc>
          <w:tcPr>
            <w:tcW w:w="411" w:type="pct"/>
            <w:vAlign w:val="center"/>
          </w:tcPr>
          <w:p w14:paraId="618C52A6" w14:textId="77777777" w:rsidR="008C6C83" w:rsidRDefault="008C6C83" w:rsidP="003E3E4B">
            <w:pPr>
              <w:jc w:val="right"/>
              <w:rPr>
                <w:rFonts w:cs="Arial"/>
                <w:i/>
                <w:iCs/>
                <w:color w:val="000000"/>
                <w:sz w:val="16"/>
                <w:szCs w:val="16"/>
              </w:rPr>
            </w:pPr>
            <w:r>
              <w:rPr>
                <w:rFonts w:cs="Arial"/>
                <w:i/>
                <w:iCs/>
                <w:color w:val="000000"/>
                <w:sz w:val="16"/>
                <w:szCs w:val="16"/>
              </w:rPr>
              <w:t>82</w:t>
            </w:r>
          </w:p>
        </w:tc>
        <w:tc>
          <w:tcPr>
            <w:tcW w:w="378" w:type="pct"/>
            <w:vAlign w:val="center"/>
          </w:tcPr>
          <w:p w14:paraId="5F4B95D3" w14:textId="77777777" w:rsidR="008C6C83" w:rsidRDefault="008C6C83" w:rsidP="003E3E4B">
            <w:pPr>
              <w:jc w:val="right"/>
              <w:rPr>
                <w:rFonts w:cs="Arial"/>
                <w:color w:val="000000"/>
                <w:sz w:val="16"/>
                <w:szCs w:val="16"/>
              </w:rPr>
            </w:pPr>
            <w:r>
              <w:rPr>
                <w:rFonts w:cs="Arial"/>
                <w:color w:val="000000"/>
                <w:sz w:val="16"/>
                <w:szCs w:val="16"/>
              </w:rPr>
              <w:t>58</w:t>
            </w:r>
          </w:p>
        </w:tc>
        <w:tc>
          <w:tcPr>
            <w:tcW w:w="414" w:type="pct"/>
            <w:vAlign w:val="center"/>
          </w:tcPr>
          <w:p w14:paraId="71BFB297" w14:textId="77777777" w:rsidR="008C6C83" w:rsidRDefault="008C6C83" w:rsidP="003E3E4B">
            <w:pPr>
              <w:jc w:val="right"/>
              <w:rPr>
                <w:rFonts w:cs="Arial"/>
                <w:color w:val="000000"/>
                <w:sz w:val="16"/>
                <w:szCs w:val="16"/>
              </w:rPr>
            </w:pPr>
            <w:r>
              <w:rPr>
                <w:rFonts w:cs="Arial"/>
                <w:color w:val="000000"/>
                <w:sz w:val="16"/>
                <w:szCs w:val="16"/>
              </w:rPr>
              <w:t>69</w:t>
            </w:r>
          </w:p>
        </w:tc>
        <w:tc>
          <w:tcPr>
            <w:tcW w:w="373" w:type="pct"/>
            <w:vAlign w:val="center"/>
          </w:tcPr>
          <w:p w14:paraId="62333D1F" w14:textId="77777777" w:rsidR="008C6C83" w:rsidRDefault="008C6C83" w:rsidP="003E3E4B">
            <w:pPr>
              <w:jc w:val="right"/>
              <w:rPr>
                <w:rFonts w:cs="Arial"/>
                <w:color w:val="000000"/>
                <w:sz w:val="16"/>
                <w:szCs w:val="16"/>
              </w:rPr>
            </w:pPr>
            <w:r>
              <w:rPr>
                <w:rFonts w:cs="Arial"/>
                <w:color w:val="000000"/>
                <w:sz w:val="16"/>
                <w:szCs w:val="16"/>
              </w:rPr>
              <w:t>124</w:t>
            </w:r>
          </w:p>
        </w:tc>
        <w:tc>
          <w:tcPr>
            <w:tcW w:w="372" w:type="pct"/>
            <w:noWrap/>
            <w:vAlign w:val="center"/>
          </w:tcPr>
          <w:p w14:paraId="62BCA840" w14:textId="77777777" w:rsidR="008C6C83" w:rsidRDefault="008C6C83" w:rsidP="003E3E4B">
            <w:pPr>
              <w:jc w:val="right"/>
              <w:rPr>
                <w:rFonts w:cs="Arial"/>
                <w:color w:val="000000"/>
                <w:sz w:val="16"/>
                <w:szCs w:val="16"/>
              </w:rPr>
            </w:pPr>
            <w:r>
              <w:rPr>
                <w:rFonts w:cs="Arial"/>
                <w:color w:val="000000"/>
                <w:sz w:val="16"/>
                <w:szCs w:val="16"/>
              </w:rPr>
              <w:t>111</w:t>
            </w:r>
          </w:p>
        </w:tc>
      </w:tr>
      <w:tr w:rsidR="008C6C83" w:rsidRPr="002A6280" w14:paraId="743E3E02" w14:textId="77777777" w:rsidTr="00E678AF">
        <w:trPr>
          <w:trHeight w:val="1104"/>
          <w:jc w:val="center"/>
        </w:trPr>
        <w:tc>
          <w:tcPr>
            <w:tcW w:w="1294" w:type="pct"/>
            <w:shd w:val="clear" w:color="auto" w:fill="F2F2F2" w:themeFill="background1" w:themeFillShade="F2"/>
            <w:vAlign w:val="center"/>
            <w:hideMark/>
          </w:tcPr>
          <w:p w14:paraId="6E028F11" w14:textId="77777777" w:rsidR="008C6C83" w:rsidRPr="002A6280" w:rsidRDefault="008C6C83" w:rsidP="00E678AF">
            <w:pPr>
              <w:spacing w:after="0" w:line="240" w:lineRule="auto"/>
              <w:jc w:val="left"/>
              <w:rPr>
                <w:rFonts w:cs="Arial"/>
                <w:b/>
                <w:color w:val="000000"/>
                <w:sz w:val="16"/>
                <w:szCs w:val="16"/>
              </w:rPr>
            </w:pPr>
            <w:r w:rsidRPr="002A6280">
              <w:rPr>
                <w:rFonts w:cs="Arial"/>
                <w:b/>
                <w:color w:val="000000"/>
                <w:sz w:val="16"/>
                <w:szCs w:val="16"/>
              </w:rPr>
              <w:t>Εκκρεμείς επιστροφές φόρων κάτω των 90 ημερών (μη ληξιπρόθεσμες επιστροφές) από την ημερομηνία έκδοσης του ΑΦΕΚ</w:t>
            </w:r>
          </w:p>
        </w:tc>
        <w:tc>
          <w:tcPr>
            <w:tcW w:w="345" w:type="pct"/>
            <w:shd w:val="clear" w:color="auto" w:fill="F2F2F2" w:themeFill="background1" w:themeFillShade="F2"/>
            <w:vAlign w:val="center"/>
          </w:tcPr>
          <w:p w14:paraId="73377496" w14:textId="77777777" w:rsidR="008C6C83" w:rsidRDefault="008C6C83" w:rsidP="003E3E4B">
            <w:pPr>
              <w:jc w:val="right"/>
              <w:rPr>
                <w:rFonts w:cs="Arial"/>
                <w:color w:val="000000"/>
                <w:sz w:val="16"/>
                <w:szCs w:val="16"/>
              </w:rPr>
            </w:pPr>
            <w:r>
              <w:rPr>
                <w:rFonts w:cs="Arial"/>
                <w:color w:val="000000"/>
                <w:sz w:val="16"/>
                <w:szCs w:val="16"/>
              </w:rPr>
              <w:t>284</w:t>
            </w:r>
          </w:p>
        </w:tc>
        <w:tc>
          <w:tcPr>
            <w:tcW w:w="373" w:type="pct"/>
            <w:shd w:val="clear" w:color="auto" w:fill="F2F2F2" w:themeFill="background1" w:themeFillShade="F2"/>
            <w:vAlign w:val="center"/>
          </w:tcPr>
          <w:p w14:paraId="3180909C" w14:textId="77777777" w:rsidR="008C6C83" w:rsidRDefault="008C6C83" w:rsidP="003E3E4B">
            <w:pPr>
              <w:jc w:val="right"/>
              <w:rPr>
                <w:rFonts w:cs="Arial"/>
                <w:color w:val="000000"/>
                <w:sz w:val="16"/>
                <w:szCs w:val="16"/>
              </w:rPr>
            </w:pPr>
            <w:r>
              <w:rPr>
                <w:rFonts w:cs="Arial"/>
                <w:color w:val="000000"/>
                <w:sz w:val="16"/>
                <w:szCs w:val="16"/>
              </w:rPr>
              <w:t>372</w:t>
            </w:r>
          </w:p>
        </w:tc>
        <w:tc>
          <w:tcPr>
            <w:tcW w:w="350" w:type="pct"/>
            <w:shd w:val="clear" w:color="auto" w:fill="F2F2F2" w:themeFill="background1" w:themeFillShade="F2"/>
            <w:vAlign w:val="center"/>
          </w:tcPr>
          <w:p w14:paraId="2C387CBA" w14:textId="77777777" w:rsidR="008C6C83" w:rsidRDefault="008C6C83" w:rsidP="003E3E4B">
            <w:pPr>
              <w:jc w:val="right"/>
              <w:rPr>
                <w:rFonts w:cs="Arial"/>
                <w:color w:val="000000"/>
                <w:sz w:val="16"/>
                <w:szCs w:val="16"/>
              </w:rPr>
            </w:pPr>
            <w:r>
              <w:rPr>
                <w:rFonts w:cs="Arial"/>
                <w:color w:val="000000"/>
                <w:sz w:val="16"/>
                <w:szCs w:val="16"/>
              </w:rPr>
              <w:t>400</w:t>
            </w:r>
          </w:p>
        </w:tc>
        <w:tc>
          <w:tcPr>
            <w:tcW w:w="326" w:type="pct"/>
            <w:shd w:val="clear" w:color="auto" w:fill="F2F2F2" w:themeFill="background1" w:themeFillShade="F2"/>
            <w:vAlign w:val="center"/>
          </w:tcPr>
          <w:p w14:paraId="0E15AD10" w14:textId="77777777" w:rsidR="008C6C83" w:rsidRDefault="008C6C83" w:rsidP="003E3E4B">
            <w:pPr>
              <w:jc w:val="right"/>
              <w:rPr>
                <w:rFonts w:cs="Arial"/>
                <w:color w:val="000000"/>
                <w:sz w:val="16"/>
                <w:szCs w:val="16"/>
              </w:rPr>
            </w:pPr>
            <w:r>
              <w:rPr>
                <w:rFonts w:cs="Arial"/>
                <w:color w:val="000000"/>
                <w:sz w:val="16"/>
                <w:szCs w:val="16"/>
              </w:rPr>
              <w:t>549</w:t>
            </w:r>
          </w:p>
        </w:tc>
        <w:tc>
          <w:tcPr>
            <w:tcW w:w="363" w:type="pct"/>
            <w:shd w:val="clear" w:color="auto" w:fill="F2F2F2" w:themeFill="background1" w:themeFillShade="F2"/>
            <w:vAlign w:val="center"/>
          </w:tcPr>
          <w:p w14:paraId="709CE8D8" w14:textId="77777777" w:rsidR="008C6C83" w:rsidRDefault="008C6C83" w:rsidP="003E3E4B">
            <w:pPr>
              <w:jc w:val="right"/>
              <w:rPr>
                <w:rFonts w:cs="Arial"/>
                <w:color w:val="000000"/>
                <w:sz w:val="16"/>
                <w:szCs w:val="16"/>
              </w:rPr>
            </w:pPr>
            <w:r>
              <w:rPr>
                <w:rFonts w:cs="Arial"/>
                <w:color w:val="000000"/>
                <w:sz w:val="16"/>
                <w:szCs w:val="16"/>
              </w:rPr>
              <w:t>445</w:t>
            </w:r>
          </w:p>
        </w:tc>
        <w:tc>
          <w:tcPr>
            <w:tcW w:w="411" w:type="pct"/>
            <w:shd w:val="clear" w:color="auto" w:fill="F2F2F2" w:themeFill="background1" w:themeFillShade="F2"/>
            <w:vAlign w:val="center"/>
          </w:tcPr>
          <w:p w14:paraId="4E9DA2D9" w14:textId="77777777" w:rsidR="008C6C83" w:rsidRDefault="008C6C83" w:rsidP="003E3E4B">
            <w:pPr>
              <w:jc w:val="right"/>
              <w:rPr>
                <w:rFonts w:cs="Arial"/>
                <w:color w:val="000000"/>
                <w:sz w:val="16"/>
                <w:szCs w:val="16"/>
              </w:rPr>
            </w:pPr>
            <w:r>
              <w:rPr>
                <w:rFonts w:cs="Arial"/>
                <w:color w:val="000000"/>
                <w:sz w:val="16"/>
                <w:szCs w:val="16"/>
              </w:rPr>
              <w:t>408</w:t>
            </w:r>
          </w:p>
        </w:tc>
        <w:tc>
          <w:tcPr>
            <w:tcW w:w="378" w:type="pct"/>
            <w:shd w:val="clear" w:color="auto" w:fill="F2F2F2" w:themeFill="background1" w:themeFillShade="F2"/>
            <w:vAlign w:val="center"/>
          </w:tcPr>
          <w:p w14:paraId="107D4CC1" w14:textId="77777777" w:rsidR="008C6C83" w:rsidRDefault="008C6C83" w:rsidP="003E3E4B">
            <w:pPr>
              <w:jc w:val="right"/>
              <w:rPr>
                <w:rFonts w:cs="Arial"/>
                <w:color w:val="000000"/>
                <w:sz w:val="16"/>
                <w:szCs w:val="16"/>
              </w:rPr>
            </w:pPr>
            <w:r>
              <w:rPr>
                <w:rFonts w:cs="Arial"/>
                <w:color w:val="000000"/>
                <w:sz w:val="16"/>
                <w:szCs w:val="16"/>
              </w:rPr>
              <w:t>470</w:t>
            </w:r>
          </w:p>
        </w:tc>
        <w:tc>
          <w:tcPr>
            <w:tcW w:w="414" w:type="pct"/>
            <w:shd w:val="clear" w:color="auto" w:fill="F2F2F2" w:themeFill="background1" w:themeFillShade="F2"/>
            <w:vAlign w:val="center"/>
          </w:tcPr>
          <w:p w14:paraId="31F64D80" w14:textId="77777777" w:rsidR="008C6C83" w:rsidRDefault="008C6C83" w:rsidP="003E3E4B">
            <w:pPr>
              <w:jc w:val="right"/>
              <w:rPr>
                <w:rFonts w:cs="Arial"/>
                <w:color w:val="000000"/>
                <w:sz w:val="16"/>
                <w:szCs w:val="16"/>
              </w:rPr>
            </w:pPr>
            <w:r>
              <w:rPr>
                <w:rFonts w:cs="Arial"/>
                <w:color w:val="000000"/>
                <w:sz w:val="16"/>
                <w:szCs w:val="16"/>
              </w:rPr>
              <w:t>380</w:t>
            </w:r>
          </w:p>
        </w:tc>
        <w:tc>
          <w:tcPr>
            <w:tcW w:w="373" w:type="pct"/>
            <w:shd w:val="clear" w:color="auto" w:fill="F2F2F2" w:themeFill="background1" w:themeFillShade="F2"/>
            <w:vAlign w:val="center"/>
          </w:tcPr>
          <w:p w14:paraId="5107E29E" w14:textId="77777777" w:rsidR="008C6C83" w:rsidRDefault="008C6C83" w:rsidP="003E3E4B">
            <w:pPr>
              <w:jc w:val="right"/>
              <w:rPr>
                <w:rFonts w:cs="Arial"/>
                <w:color w:val="000000"/>
                <w:sz w:val="16"/>
                <w:szCs w:val="16"/>
              </w:rPr>
            </w:pPr>
            <w:r>
              <w:rPr>
                <w:rFonts w:cs="Arial"/>
                <w:color w:val="000000"/>
                <w:sz w:val="16"/>
                <w:szCs w:val="16"/>
              </w:rPr>
              <w:t>392</w:t>
            </w:r>
          </w:p>
        </w:tc>
        <w:tc>
          <w:tcPr>
            <w:tcW w:w="372" w:type="pct"/>
            <w:shd w:val="clear" w:color="auto" w:fill="F2F2F2" w:themeFill="background1" w:themeFillShade="F2"/>
            <w:noWrap/>
            <w:vAlign w:val="center"/>
          </w:tcPr>
          <w:p w14:paraId="368DAD4D" w14:textId="77777777" w:rsidR="008C6C83" w:rsidRDefault="008C6C83" w:rsidP="003E3E4B">
            <w:pPr>
              <w:jc w:val="right"/>
              <w:rPr>
                <w:rFonts w:cs="Arial"/>
                <w:color w:val="000000"/>
                <w:sz w:val="16"/>
                <w:szCs w:val="16"/>
              </w:rPr>
            </w:pPr>
            <w:r>
              <w:rPr>
                <w:rFonts w:cs="Arial"/>
                <w:color w:val="000000"/>
                <w:sz w:val="16"/>
                <w:szCs w:val="16"/>
              </w:rPr>
              <w:t>403</w:t>
            </w:r>
          </w:p>
        </w:tc>
      </w:tr>
    </w:tbl>
    <w:p w14:paraId="12DDC72B" w14:textId="78473ED1" w:rsidR="00CC5CF7" w:rsidRPr="00544591" w:rsidRDefault="00CC5CF7" w:rsidP="003F544B">
      <w:pPr>
        <w:pStyle w:val="3"/>
      </w:pPr>
      <w:bookmarkStart w:id="142" w:name="_Toc210570670"/>
      <w:bookmarkEnd w:id="137"/>
      <w:r w:rsidRPr="00544591">
        <w:lastRenderedPageBreak/>
        <w:t>Προβλέψεις 202</w:t>
      </w:r>
      <w:r w:rsidR="007D26B9">
        <w:rPr>
          <w:lang w:val="el-GR"/>
        </w:rPr>
        <w:t>6</w:t>
      </w:r>
      <w:bookmarkEnd w:id="142"/>
    </w:p>
    <w:p w14:paraId="696BD762" w14:textId="748E9FC4" w:rsidR="00BD2F16" w:rsidRPr="00D1257B" w:rsidRDefault="00BD2F16" w:rsidP="00BD2F16">
      <w:r w:rsidRPr="00D1257B">
        <w:t>Ο σχεδιασμός για το έτος 2026 περιλαμβάνει την εισαγωγή πλήθους παρεμβάσεων, οι οποίες στοχεύουν, μεταξύ άλλων, στη φορολογική μεταρρύθμιση για το δημογραφικό</w:t>
      </w:r>
      <w:r w:rsidR="0052268E">
        <w:t>, τους νέους</w:t>
      </w:r>
      <w:r w:rsidRPr="00D1257B">
        <w:t xml:space="preserve"> και τη μεσαία τάξη, στις αυξήσεις των αποδοχών των συνταξιούχων και των</w:t>
      </w:r>
      <w:r w:rsidR="0052268E">
        <w:t xml:space="preserve"> δημόσιων</w:t>
      </w:r>
      <w:r w:rsidRPr="00D1257B">
        <w:t xml:space="preserve"> υπαλλήλων, σ</w:t>
      </w:r>
      <w:r w:rsidR="00076728">
        <w:t xml:space="preserve">την αντιμετώπιση του </w:t>
      </w:r>
      <w:r w:rsidRPr="00D1257B">
        <w:t>στεγαστικού προβλήματος και στην ενίσχυση των επενδύσεων.</w:t>
      </w:r>
    </w:p>
    <w:p w14:paraId="6932B826" w14:textId="3634A8C3" w:rsidR="00BD2F16" w:rsidRPr="00D1257B" w:rsidRDefault="00BD2F16" w:rsidP="00BD2F16">
      <w:r w:rsidRPr="00D1257B">
        <w:t>Οι παρεμβάσεις οι οποίες θα υλοποιηθούν το 2026 με σκοπό την ενίσχυση των εισοδημάτων και τη μείωση των φορολογικών βαρών, περιλαμβάνουν, μεταξύ άλλων:</w:t>
      </w:r>
    </w:p>
    <w:p w14:paraId="59CF69B6" w14:textId="24680634" w:rsidR="00BD2F16" w:rsidRPr="00D1257B" w:rsidRDefault="0052268E" w:rsidP="00324EE3">
      <w:pPr>
        <w:numPr>
          <w:ilvl w:val="0"/>
          <w:numId w:val="2"/>
        </w:numPr>
        <w:spacing w:before="120" w:after="60"/>
        <w:ind w:left="568" w:hanging="284"/>
      </w:pPr>
      <w:r>
        <w:t>διαρθ</w:t>
      </w:r>
      <w:r w:rsidR="00EB60D2">
        <w:t>ρ</w:t>
      </w:r>
      <w:r>
        <w:t xml:space="preserve">ωτική </w:t>
      </w:r>
      <w:r w:rsidR="00A837A8">
        <w:t>α</w:t>
      </w:r>
      <w:r w:rsidR="00BD2F16" w:rsidRPr="00D1257B">
        <w:t>ναμόρφωση της κλίμακας φόρου εισοδήματος για μισθωτούς, συνταξιούχους, αγρότες και ελεύθερους επαγγελματίες</w:t>
      </w:r>
      <w:r w:rsidR="00A837A8">
        <w:t>,</w:t>
      </w:r>
    </w:p>
    <w:p w14:paraId="2504589C" w14:textId="47873240" w:rsidR="00C3478F" w:rsidRPr="00D1257B" w:rsidRDefault="00C3478F" w:rsidP="002E264E">
      <w:pPr>
        <w:numPr>
          <w:ilvl w:val="0"/>
          <w:numId w:val="2"/>
        </w:numPr>
        <w:spacing w:before="60" w:after="60"/>
        <w:ind w:left="568" w:hanging="284"/>
      </w:pPr>
      <w:r w:rsidRPr="005A6781">
        <w:t>μη συμψηφισμό του 50% της αύξησης των συντάξεων με την προσωπική διαφορά</w:t>
      </w:r>
      <w:r w:rsidR="005A6781" w:rsidRPr="005A6781">
        <w:t xml:space="preserve"> των συνταξιούχων,</w:t>
      </w:r>
    </w:p>
    <w:p w14:paraId="6B9D1B91" w14:textId="75756ACE" w:rsidR="00BD2F16" w:rsidRPr="00D1257B" w:rsidRDefault="00A837A8" w:rsidP="00BD2F16">
      <w:pPr>
        <w:numPr>
          <w:ilvl w:val="0"/>
          <w:numId w:val="2"/>
        </w:numPr>
        <w:spacing w:after="60"/>
        <w:ind w:left="568" w:hanging="284"/>
      </w:pPr>
      <w:r>
        <w:t>π</w:t>
      </w:r>
      <w:r w:rsidR="00BD2F16" w:rsidRPr="00D1257B">
        <w:t xml:space="preserve">αρέμβαση στα ειδικά μισθολόγια των </w:t>
      </w:r>
      <w:r>
        <w:t>Ε</w:t>
      </w:r>
      <w:r w:rsidR="00BD2F16" w:rsidRPr="00D1257B">
        <w:t xml:space="preserve">νόπλων </w:t>
      </w:r>
      <w:r>
        <w:t>Δ</w:t>
      </w:r>
      <w:r w:rsidR="00BD2F16" w:rsidRPr="00D1257B">
        <w:t xml:space="preserve">υνάμεων και των </w:t>
      </w:r>
      <w:r>
        <w:t>Σ</w:t>
      </w:r>
      <w:r w:rsidR="00BD2F16" w:rsidRPr="00D1257B">
        <w:t xml:space="preserve">ωμάτων </w:t>
      </w:r>
      <w:r>
        <w:t>Α</w:t>
      </w:r>
      <w:r w:rsidR="00BD2F16" w:rsidRPr="00D1257B">
        <w:t>σφαλείας καθώς και σε λοιπές κατηγορίες υπαλλήλων</w:t>
      </w:r>
      <w:r>
        <w:t>,</w:t>
      </w:r>
    </w:p>
    <w:p w14:paraId="05377640" w14:textId="0111F318" w:rsidR="00BD2F16" w:rsidRPr="00D1257B" w:rsidRDefault="00A837A8" w:rsidP="00BD2F16">
      <w:pPr>
        <w:numPr>
          <w:ilvl w:val="0"/>
          <w:numId w:val="2"/>
        </w:numPr>
        <w:spacing w:after="60"/>
        <w:ind w:left="568" w:hanging="284"/>
      </w:pPr>
      <w:r>
        <w:t>σ</w:t>
      </w:r>
      <w:r w:rsidR="00BD2F16" w:rsidRPr="00D1257B">
        <w:t xml:space="preserve">ταδιακή κατάργηση του ΕΝΦΙΑ για κύριες κατοικίες σε οικισμούς </w:t>
      </w:r>
      <w:r w:rsidR="004B657C">
        <w:t xml:space="preserve">εκτός Αττικής </w:t>
      </w:r>
      <w:r w:rsidR="00BD2F16" w:rsidRPr="00D1257B">
        <w:t>με πληθυσμό έως 1.500 κατοίκους</w:t>
      </w:r>
      <w:r>
        <w:t>,</w:t>
      </w:r>
      <w:r w:rsidR="004B657C">
        <w:t xml:space="preserve"> εξαιρουμένων των νησιών,</w:t>
      </w:r>
    </w:p>
    <w:p w14:paraId="3BC0305E" w14:textId="241D6C79" w:rsidR="00BD2F16" w:rsidRPr="00D1257B" w:rsidRDefault="00A837A8" w:rsidP="00BD2F16">
      <w:pPr>
        <w:numPr>
          <w:ilvl w:val="0"/>
          <w:numId w:val="2"/>
        </w:numPr>
        <w:spacing w:after="60"/>
        <w:ind w:left="568" w:hanging="284"/>
      </w:pPr>
      <w:r>
        <w:t>μ</w:t>
      </w:r>
      <w:r w:rsidR="00BD2F16" w:rsidRPr="00D1257B">
        <w:t xml:space="preserve">είωση κατά 30% του ΦΠΑ σε νησιά </w:t>
      </w:r>
      <w:r w:rsidR="00A14466">
        <w:t xml:space="preserve">της </w:t>
      </w:r>
      <w:r w:rsidR="00023B7D">
        <w:t>π</w:t>
      </w:r>
      <w:r w:rsidR="00A14466">
        <w:t xml:space="preserve">εριφέρειας </w:t>
      </w:r>
      <w:r w:rsidR="00BD2F16" w:rsidRPr="00D1257B">
        <w:t>Β</w:t>
      </w:r>
      <w:r w:rsidR="004B657C">
        <w:t>ο</w:t>
      </w:r>
      <w:r w:rsidR="00BD2F16" w:rsidRPr="00D1257B">
        <w:t>ρε</w:t>
      </w:r>
      <w:r w:rsidR="004B657C">
        <w:t>ί</w:t>
      </w:r>
      <w:r w:rsidR="00BD2F16" w:rsidRPr="00D1257B">
        <w:t xml:space="preserve">ου Αιγαίου, </w:t>
      </w:r>
      <w:r w:rsidR="00023B7D">
        <w:t xml:space="preserve">του νομού </w:t>
      </w:r>
      <w:r w:rsidR="00BD2F16" w:rsidRPr="00D1257B">
        <w:t>Έβρου</w:t>
      </w:r>
      <w:r w:rsidR="00023B7D">
        <w:t xml:space="preserve"> (Σαμοθράκη)</w:t>
      </w:r>
      <w:r w:rsidR="00BD2F16" w:rsidRPr="00D1257B">
        <w:t xml:space="preserve"> και </w:t>
      </w:r>
      <w:r w:rsidR="00023B7D">
        <w:t xml:space="preserve">του νομού </w:t>
      </w:r>
      <w:r w:rsidR="00BD2F16" w:rsidRPr="00D1257B">
        <w:t>Δωδεκανήσων με πληθυσμό έως 20.000 κατοίκους</w:t>
      </w:r>
      <w:r>
        <w:t>,</w:t>
      </w:r>
    </w:p>
    <w:p w14:paraId="570C6C0D" w14:textId="1355DAD4" w:rsidR="00BD2F16" w:rsidRPr="00D1257B" w:rsidRDefault="00A837A8" w:rsidP="00BD2F16">
      <w:pPr>
        <w:numPr>
          <w:ilvl w:val="0"/>
          <w:numId w:val="2"/>
        </w:numPr>
        <w:spacing w:after="60"/>
        <w:ind w:left="568" w:hanging="284"/>
      </w:pPr>
      <w:r>
        <w:t>ε</w:t>
      </w:r>
      <w:r w:rsidR="00BD2F16" w:rsidRPr="00D1257B">
        <w:t>ισαγωγή ενδιάμεσου συντελεστή 25% στον φόρο εισοδήματος από ακίνητα</w:t>
      </w:r>
      <w:r>
        <w:t>,</w:t>
      </w:r>
    </w:p>
    <w:p w14:paraId="129A09C3" w14:textId="4D76B2A8" w:rsidR="00BD2F16" w:rsidRPr="00D1257B" w:rsidRDefault="00A837A8" w:rsidP="00BD2F16">
      <w:pPr>
        <w:numPr>
          <w:ilvl w:val="0"/>
          <w:numId w:val="2"/>
        </w:numPr>
        <w:spacing w:after="60"/>
        <w:ind w:left="568" w:hanging="284"/>
      </w:pPr>
      <w:r>
        <w:t>μ</w:t>
      </w:r>
      <w:r w:rsidR="00BD2F16" w:rsidRPr="00D1257B">
        <w:t>είωση των τεκμηρίων διαβίωσης</w:t>
      </w:r>
      <w:r>
        <w:t>,</w:t>
      </w:r>
    </w:p>
    <w:p w14:paraId="3A754BEA" w14:textId="5FA5F819" w:rsidR="00BD2F16" w:rsidRPr="00D1257B" w:rsidRDefault="00A837A8" w:rsidP="00BD2F16">
      <w:pPr>
        <w:numPr>
          <w:ilvl w:val="0"/>
          <w:numId w:val="2"/>
        </w:numPr>
        <w:spacing w:after="60"/>
        <w:ind w:left="568" w:hanging="284"/>
      </w:pPr>
      <w:r>
        <w:t>π</w:t>
      </w:r>
      <w:r w:rsidR="00BD2F16" w:rsidRPr="00D1257B">
        <w:t>εραιτέρω αύξηση του κατώτατου μισθού στον ιδιωτικό τομέα</w:t>
      </w:r>
      <w:r>
        <w:t xml:space="preserve"> και</w:t>
      </w:r>
    </w:p>
    <w:p w14:paraId="40EE3430" w14:textId="42C659C4" w:rsidR="00BD2F16" w:rsidRPr="00D1257B" w:rsidRDefault="00A837A8" w:rsidP="00BD2F16">
      <w:pPr>
        <w:numPr>
          <w:ilvl w:val="0"/>
          <w:numId w:val="2"/>
        </w:numPr>
        <w:spacing w:after="60"/>
        <w:ind w:left="568" w:hanging="284"/>
      </w:pPr>
      <w:r>
        <w:t>ο</w:t>
      </w:r>
      <w:r w:rsidR="00BD2F16" w:rsidRPr="00D1257B">
        <w:t>ριζόντια αύξηση των μισθών των δημ</w:t>
      </w:r>
      <w:r w:rsidR="008B481E">
        <w:t>ό</w:t>
      </w:r>
      <w:r w:rsidR="00BD2F16" w:rsidRPr="00D1257B">
        <w:t>σ</w:t>
      </w:r>
      <w:r w:rsidR="008B481E">
        <w:t>ι</w:t>
      </w:r>
      <w:r w:rsidR="00BD2F16" w:rsidRPr="00D1257B">
        <w:t>ων υπαλλήλων τον Απρίλιο 2026.</w:t>
      </w:r>
    </w:p>
    <w:p w14:paraId="0D94B22B" w14:textId="5188C314" w:rsidR="00BD2F16" w:rsidRPr="00D1257B" w:rsidRDefault="00BD2F16" w:rsidP="00BD2F16">
      <w:pPr>
        <w:spacing w:before="120"/>
      </w:pPr>
      <w:r w:rsidRPr="00D1257B">
        <w:t xml:space="preserve">Επίσης, ορισμένες από τις νέες παρεμβάσεις για την αντιμετώπιση </w:t>
      </w:r>
      <w:r w:rsidR="00B73898">
        <w:t>του</w:t>
      </w:r>
      <w:r w:rsidRPr="00D1257B">
        <w:t xml:space="preserve"> στεγαστικ</w:t>
      </w:r>
      <w:r w:rsidR="00B73898">
        <w:t>ού</w:t>
      </w:r>
      <w:r w:rsidR="00184E57">
        <w:t xml:space="preserve"> </w:t>
      </w:r>
      <w:r w:rsidR="00B73898">
        <w:t>προβλήματος</w:t>
      </w:r>
      <w:r w:rsidR="001145F3">
        <w:t xml:space="preserve"> </w:t>
      </w:r>
      <w:r w:rsidRPr="00D1257B">
        <w:t>περιλαμβάνουν:</w:t>
      </w:r>
    </w:p>
    <w:p w14:paraId="1C83D0D3" w14:textId="514DE635" w:rsidR="00BD2F16" w:rsidRPr="00D1257B" w:rsidRDefault="00A837A8" w:rsidP="00BD2F16">
      <w:pPr>
        <w:numPr>
          <w:ilvl w:val="0"/>
          <w:numId w:val="2"/>
        </w:numPr>
        <w:spacing w:after="60"/>
        <w:ind w:left="568" w:hanging="284"/>
      </w:pPr>
      <w:r>
        <w:t>ε</w:t>
      </w:r>
      <w:r w:rsidR="00BD2F16" w:rsidRPr="00D1257B">
        <w:t xml:space="preserve">πιστροφή ενός ενοικίου </w:t>
      </w:r>
      <w:r w:rsidR="00AA1A6C" w:rsidRPr="00D1257B">
        <w:t xml:space="preserve">ετησίως </w:t>
      </w:r>
      <w:r w:rsidR="00BD2F16" w:rsidRPr="00D1257B">
        <w:t>σε δικαιούχους ενοικιαστές (κύριας και φοιτητικής κατοικίας)</w:t>
      </w:r>
      <w:r w:rsidR="0075039C">
        <w:t>,</w:t>
      </w:r>
    </w:p>
    <w:p w14:paraId="07EEE0C8" w14:textId="6AF46B5D" w:rsidR="00BD2F16" w:rsidRPr="00D1257B" w:rsidRDefault="00A837A8" w:rsidP="00BD2F16">
      <w:pPr>
        <w:numPr>
          <w:ilvl w:val="0"/>
          <w:numId w:val="2"/>
        </w:numPr>
        <w:spacing w:after="60"/>
        <w:ind w:left="568" w:hanging="284"/>
      </w:pPr>
      <w:r>
        <w:t>ε</w:t>
      </w:r>
      <w:r w:rsidR="00BD2F16" w:rsidRPr="00D1257B">
        <w:t>πέκταση και για το 2026 της φοροαπαλλαγή</w:t>
      </w:r>
      <w:r w:rsidR="008B481E">
        <w:t xml:space="preserve">ς διάρκειας τριών ετών </w:t>
      </w:r>
      <w:r w:rsidR="00BD2F16" w:rsidRPr="00D1257B">
        <w:t>για κενά ακίνητα που θα</w:t>
      </w:r>
      <w:r w:rsidR="001A0030">
        <w:t xml:space="preserve"> </w:t>
      </w:r>
      <w:r w:rsidR="00BD2F16" w:rsidRPr="00D1257B">
        <w:t>διατεθούν σε μακροχρόνια μίσθωση</w:t>
      </w:r>
      <w:r w:rsidR="0075039C">
        <w:t>,</w:t>
      </w:r>
    </w:p>
    <w:p w14:paraId="72321FFC" w14:textId="19883120" w:rsidR="00BD2F16" w:rsidRPr="00D1257B" w:rsidRDefault="00A837A8" w:rsidP="00BD2F16">
      <w:pPr>
        <w:numPr>
          <w:ilvl w:val="0"/>
          <w:numId w:val="2"/>
        </w:numPr>
        <w:spacing w:after="60"/>
        <w:ind w:left="568" w:hanging="284"/>
      </w:pPr>
      <w:r>
        <w:t>α</w:t>
      </w:r>
      <w:r w:rsidR="00BD2F16" w:rsidRPr="00D1257B">
        <w:t>ναστολή του ΦΠΑ στις νέες οικοδομές μέχρι το τέλος του 2026</w:t>
      </w:r>
      <w:r w:rsidR="0075039C">
        <w:t>,</w:t>
      </w:r>
    </w:p>
    <w:p w14:paraId="080203C1" w14:textId="6F4D38A3" w:rsidR="00BD2F16" w:rsidRPr="00D1257B" w:rsidRDefault="00A837A8" w:rsidP="00BD2F16">
      <w:pPr>
        <w:numPr>
          <w:ilvl w:val="0"/>
          <w:numId w:val="2"/>
        </w:numPr>
        <w:spacing w:after="60"/>
        <w:ind w:left="568" w:hanging="284"/>
      </w:pPr>
      <w:r>
        <w:t>π</w:t>
      </w:r>
      <w:r w:rsidR="00BD2F16" w:rsidRPr="00D1257B">
        <w:t>αράταση της μείωσης του φόρου εισοδήματος για δαπάνες αναβάθμισης κτ</w:t>
      </w:r>
      <w:r w:rsidR="008B481E">
        <w:t>η</w:t>
      </w:r>
      <w:r w:rsidR="00BD2F16" w:rsidRPr="00D1257B">
        <w:t>ρίων</w:t>
      </w:r>
      <w:r w:rsidR="0075039C">
        <w:t>,</w:t>
      </w:r>
    </w:p>
    <w:p w14:paraId="5056CAAB" w14:textId="4F59D0EB" w:rsidR="00BD2F16" w:rsidRPr="00D1257B" w:rsidRDefault="00A837A8" w:rsidP="00BD2F16">
      <w:pPr>
        <w:numPr>
          <w:ilvl w:val="0"/>
          <w:numId w:val="2"/>
        </w:numPr>
        <w:spacing w:after="60"/>
        <w:ind w:left="568" w:hanging="284"/>
      </w:pPr>
      <w:r>
        <w:t>ε</w:t>
      </w:r>
      <w:r w:rsidR="00BD2F16" w:rsidRPr="00D1257B">
        <w:t>πέκταση και για το 2026 του περιορισμού λειτουργίας νέων βραχυχρόνιων μισθώσεων σε τρία δημοτικά διαμερίσματα της Αθήνας</w:t>
      </w:r>
      <w:r>
        <w:t xml:space="preserve"> και</w:t>
      </w:r>
    </w:p>
    <w:p w14:paraId="2CA9EDDF" w14:textId="56232238" w:rsidR="00BD2F16" w:rsidRPr="00D1257B" w:rsidRDefault="00A837A8" w:rsidP="00BD2F16">
      <w:pPr>
        <w:numPr>
          <w:ilvl w:val="0"/>
          <w:numId w:val="2"/>
        </w:numPr>
        <w:spacing w:after="60"/>
        <w:ind w:left="568" w:hanging="284"/>
      </w:pPr>
      <w:r>
        <w:t>θ</w:t>
      </w:r>
      <w:r w:rsidR="00BD2F16" w:rsidRPr="00D1257B">
        <w:t xml:space="preserve">εσμοθέτηση νέου πλαισίου </w:t>
      </w:r>
      <w:r w:rsidR="008B481E">
        <w:t xml:space="preserve">κοινωνικής αντιπαροχής </w:t>
      </w:r>
      <w:r w:rsidR="00BD2F16" w:rsidRPr="00D1257B">
        <w:t>για την αξιοποίηση της δημόσιας ακίνητης περιουσίας, με στόχο την εξασφάλιση κοινωνικής μίσθωσης σε ευάλωτες ομάδες.</w:t>
      </w:r>
    </w:p>
    <w:p w14:paraId="2CDDBAE4" w14:textId="07E31C9E" w:rsidR="00BD2F16" w:rsidRPr="00D1257B" w:rsidRDefault="00BD2F16" w:rsidP="00BD2F16">
      <w:r w:rsidRPr="00D1257B">
        <w:t xml:space="preserve">Οι συνολικές δημοσιονομικές παρεμβάσεις αποτυπώνονται αναλυτικά στην </w:t>
      </w:r>
      <w:hyperlink w:anchor="_Δημοσιονομικές_παρεμβάσεις" w:history="1">
        <w:r w:rsidR="0075039C" w:rsidRPr="0075039C">
          <w:rPr>
            <w:u w:val="single"/>
          </w:rPr>
          <w:t>ενότητα 2.3.</w:t>
        </w:r>
      </w:hyperlink>
    </w:p>
    <w:p w14:paraId="7ABDC944" w14:textId="1CC6A854" w:rsidR="00F006A1" w:rsidRDefault="00BD2F16" w:rsidP="00BD2F16">
      <w:r w:rsidRPr="00D1257B">
        <w:t>Σύμφωνα με τις προβλέψεις για το έτος 2026, το πρωτογενές αποτέλεσμα της Γενικής Κυβέρνησης</w:t>
      </w:r>
      <w:r w:rsidR="001A0030">
        <w:t xml:space="preserve">, </w:t>
      </w:r>
      <w:r w:rsidRPr="00D1257B">
        <w:t>σε δημοσιονομική βάση</w:t>
      </w:r>
      <w:r w:rsidR="001A0030">
        <w:t>,</w:t>
      </w:r>
      <w:r w:rsidRPr="00D1257B">
        <w:t xml:space="preserve"> προβλέπεται να διαμορφωθεί σε πλεόνασμα ύψους 7.292 εκατ. ευρώ ή 2,8% του ΑΕΠ.</w:t>
      </w:r>
    </w:p>
    <w:p w14:paraId="3CD91419" w14:textId="7F138DB3" w:rsidR="00A96403" w:rsidRPr="00A96403" w:rsidRDefault="00A96403" w:rsidP="00A96403">
      <w:r w:rsidRPr="00A96403">
        <w:t>Οι καθαρές εθνικά χρηματοδοτούμενες πρωτογενείς δαπάνες της Γενικής Κυβέρνησης, σύμφωνα με τον ορισμό του νέου ευρωπαϊκού πλαισίου οικονομικής διακυβέρνησης και του ΜΔΣ, αναμένεται να αυξηθούν κατά 4,4% το 2025 και 5,8% το 2026, μετά τη μείωση κατά 0,4% που εκτιμάται για το 2024, εξαιτίας κυρίως των ενεργητικών μέτρων μείωσης της φοροδιαφυγής που μετρούν αφαιρετικά στο</w:t>
      </w:r>
      <w:r w:rsidR="00CE19B7">
        <w:t>ν</w:t>
      </w:r>
      <w:r w:rsidRPr="00A96403">
        <w:t xml:space="preserve"> στόχο </w:t>
      </w:r>
      <w:r w:rsidR="00AD04A3">
        <w:t xml:space="preserve">των </w:t>
      </w:r>
      <w:r w:rsidRPr="00A96403">
        <w:t>δαπανών, με τη σωρευτική αύξηση των ετών 2024</w:t>
      </w:r>
      <w:r>
        <w:t xml:space="preserve"> </w:t>
      </w:r>
      <w:r w:rsidRPr="00A96403">
        <w:t>-</w:t>
      </w:r>
      <w:r>
        <w:t xml:space="preserve"> </w:t>
      </w:r>
      <w:r w:rsidRPr="00A96403">
        <w:t>2026 να εκτιμάται σε περίπου 10 δισ. ευρώ. Η εν λόγω σωρευτική αύξηση αντιστοιχεί στο όριο που τίθεται από το ΜΔΣ</w:t>
      </w:r>
      <w:r w:rsidR="00CE19B7">
        <w:t xml:space="preserve"> 2025 - 2028, </w:t>
      </w:r>
      <w:r w:rsidR="00CE19B7">
        <w:lastRenderedPageBreak/>
        <w:t>υ</w:t>
      </w:r>
      <w:r w:rsidRPr="00A96403">
        <w:t>πενθυμίζεται</w:t>
      </w:r>
      <w:r w:rsidR="00CE19B7">
        <w:t xml:space="preserve"> δε</w:t>
      </w:r>
      <w:r w:rsidRPr="00A96403">
        <w:t xml:space="preserve"> ότι ο σχετικός στόχος αύξησης</w:t>
      </w:r>
      <w:r w:rsidR="00E87B3B">
        <w:t xml:space="preserve"> των</w:t>
      </w:r>
      <w:r w:rsidRPr="00A96403">
        <w:t xml:space="preserve"> πρωτογενών δαπανών στο ΜΔΣ ανέρχεται σε 2,6% το 2024, </w:t>
      </w:r>
      <w:r w:rsidR="00CE19B7">
        <w:t xml:space="preserve">σε </w:t>
      </w:r>
      <w:r w:rsidRPr="00A96403">
        <w:t xml:space="preserve">3,7% το 2025 και </w:t>
      </w:r>
      <w:r w:rsidR="00CE19B7">
        <w:t xml:space="preserve">σε </w:t>
      </w:r>
      <w:r w:rsidRPr="00A96403">
        <w:t>3,6% το 2026.</w:t>
      </w:r>
    </w:p>
    <w:p w14:paraId="0917D4B2" w14:textId="01D46377" w:rsidR="00901627" w:rsidRPr="003F622D" w:rsidRDefault="00A96403" w:rsidP="00A96403">
      <w:r w:rsidRPr="00A96403">
        <w:t xml:space="preserve">Σημειώνεται ότι κατόπιν ενεργοποίησης της εθνικής ρήτρας διαφυγής για τις αμυντικές δαπάνες, η μεταβολή </w:t>
      </w:r>
      <w:r w:rsidR="00CE19B7" w:rsidRPr="00A96403">
        <w:t>των αμυντικών δαπανών</w:t>
      </w:r>
      <w:r w:rsidR="00CE19B7">
        <w:t>,</w:t>
      </w:r>
      <w:r w:rsidR="00CE19B7" w:rsidRPr="00A96403">
        <w:t xml:space="preserve"> </w:t>
      </w:r>
      <w:r w:rsidRPr="00A96403">
        <w:t>ως ποσοστό του ΑΕΠ</w:t>
      </w:r>
      <w:r w:rsidR="00CE19B7">
        <w:t>,</w:t>
      </w:r>
      <w:r w:rsidRPr="00A96403">
        <w:t xml:space="preserve"> κατά τη</w:t>
      </w:r>
      <w:r w:rsidR="00CE19B7">
        <w:t>ν</w:t>
      </w:r>
      <w:r w:rsidRPr="00A96403">
        <w:t xml:space="preserve"> περίοδο 2025</w:t>
      </w:r>
      <w:r w:rsidR="00CE19B7">
        <w:t xml:space="preserve"> </w:t>
      </w:r>
      <w:r w:rsidRPr="00A96403">
        <w:t>-</w:t>
      </w:r>
      <w:r w:rsidR="00CE19B7">
        <w:t xml:space="preserve"> </w:t>
      </w:r>
      <w:r w:rsidRPr="00A96403">
        <w:t xml:space="preserve">2028 σε σχέση με το έτος 2024 λαμβάνεται υπόψη από την Ευρωπαϊκή Επιτροπή σε περίπτωση υπέρβασης του ορίου δαπανών. Σε όρους λειτουργικής ταξινόμησης των δαπανών (ορισμός </w:t>
      </w:r>
      <w:r w:rsidRPr="00A96403">
        <w:rPr>
          <w:lang w:val="en-US"/>
        </w:rPr>
        <w:t>C</w:t>
      </w:r>
      <w:r w:rsidR="00CE19B7">
        <w:rPr>
          <w:lang w:val="en-US"/>
        </w:rPr>
        <w:t>o</w:t>
      </w:r>
      <w:r w:rsidRPr="00A96403">
        <w:rPr>
          <w:lang w:val="en-US"/>
        </w:rPr>
        <w:t>F</w:t>
      </w:r>
      <w:r w:rsidR="00CE19B7">
        <w:rPr>
          <w:lang w:val="en-US"/>
        </w:rPr>
        <w:t>o</w:t>
      </w:r>
      <w:r w:rsidRPr="00A96403">
        <w:rPr>
          <w:lang w:val="en-US"/>
        </w:rPr>
        <w:t>G</w:t>
      </w:r>
      <w:r w:rsidR="00E52D04" w:rsidRPr="00E52D04">
        <w:t xml:space="preserve"> - </w:t>
      </w:r>
      <w:r w:rsidR="00E52D04" w:rsidRPr="004B4564">
        <w:rPr>
          <w:lang w:val="en-US"/>
        </w:rPr>
        <w:t>Classification</w:t>
      </w:r>
      <w:r w:rsidR="00E52D04" w:rsidRPr="004B4564">
        <w:t xml:space="preserve"> </w:t>
      </w:r>
      <w:r w:rsidR="00E52D04" w:rsidRPr="004B4564">
        <w:rPr>
          <w:lang w:val="en-US"/>
        </w:rPr>
        <w:t>of</w:t>
      </w:r>
      <w:r w:rsidR="00E52D04" w:rsidRPr="004B4564">
        <w:t xml:space="preserve"> </w:t>
      </w:r>
      <w:r w:rsidR="00E52D04" w:rsidRPr="004B4564">
        <w:rPr>
          <w:lang w:val="en-US"/>
        </w:rPr>
        <w:t>the</w:t>
      </w:r>
      <w:r w:rsidR="00E52D04" w:rsidRPr="004B4564">
        <w:t xml:space="preserve"> </w:t>
      </w:r>
      <w:r w:rsidR="00E52D04" w:rsidRPr="004B4564">
        <w:rPr>
          <w:lang w:val="en-US"/>
        </w:rPr>
        <w:t>Functions</w:t>
      </w:r>
      <w:r w:rsidR="00E52D04" w:rsidRPr="004B4564">
        <w:t xml:space="preserve"> </w:t>
      </w:r>
      <w:r w:rsidR="00E52D04" w:rsidRPr="004B4564">
        <w:rPr>
          <w:lang w:val="en-US"/>
        </w:rPr>
        <w:t>of</w:t>
      </w:r>
      <w:r w:rsidR="00E52D04" w:rsidRPr="004B4564">
        <w:t xml:space="preserve"> </w:t>
      </w:r>
      <w:r w:rsidR="00E52D04" w:rsidRPr="004B4564">
        <w:rPr>
          <w:lang w:val="en-US"/>
        </w:rPr>
        <w:t>Government</w:t>
      </w:r>
      <w:r w:rsidR="00E52D04" w:rsidRPr="00E52D04">
        <w:t xml:space="preserve">, </w:t>
      </w:r>
      <w:r w:rsidRPr="00A96403">
        <w:rPr>
          <w:lang w:val="en-US"/>
        </w:rPr>
        <w:t>Eurostat</w:t>
      </w:r>
      <w:r w:rsidRPr="00A96403">
        <w:t xml:space="preserve">) οι αμυντικές δαπάνες το 2026 εκτιμώνται περίπου </w:t>
      </w:r>
      <w:r w:rsidR="00E52D04">
        <w:t xml:space="preserve">σε </w:t>
      </w:r>
      <w:r w:rsidRPr="00A96403">
        <w:t>0,3% του ΑΕΠ</w:t>
      </w:r>
      <w:r w:rsidR="00E52D04">
        <w:t>,</w:t>
      </w:r>
      <w:r w:rsidRPr="00A96403">
        <w:t xml:space="preserve"> υψηλότερες σε σχέση με το 2024. </w:t>
      </w:r>
      <w:r w:rsidR="0039463B">
        <w:t xml:space="preserve">Επισημαίνεται </w:t>
      </w:r>
      <w:r w:rsidRPr="00A96403">
        <w:t xml:space="preserve">ότι οι φυσικές παραλαβές εξοπλιστικών προγραμμάτων αναμένεται να αυξηθούν σε 2,3 δισ. ευρώ το 2026 </w:t>
      </w:r>
      <w:r w:rsidR="00E52D04">
        <w:t xml:space="preserve">έναντι </w:t>
      </w:r>
      <w:r w:rsidRPr="00A96403">
        <w:t>1,7 δισ. ευρώ το 2025.</w:t>
      </w:r>
    </w:p>
    <w:p w14:paraId="5DDF38C0" w14:textId="77777777" w:rsidR="00443C50" w:rsidRPr="00606843" w:rsidRDefault="00443C50" w:rsidP="00DC6F26">
      <w:pPr>
        <w:pStyle w:val="4"/>
        <w:keepNext w:val="0"/>
      </w:pPr>
      <w:bookmarkStart w:id="143" w:name="_Toc114489597"/>
      <w:bookmarkStart w:id="144" w:name="_Toc114489684"/>
      <w:bookmarkStart w:id="145" w:name="_Toc115338154"/>
      <w:bookmarkStart w:id="146" w:name="_Toc115358131"/>
      <w:bookmarkStart w:id="147" w:name="_Toc115424359"/>
      <w:bookmarkStart w:id="148" w:name="_Toc115435226"/>
      <w:bookmarkStart w:id="149" w:name="_Toc115437960"/>
      <w:bookmarkStart w:id="150" w:name="_Toc115526137"/>
      <w:bookmarkStart w:id="151" w:name="_Toc146645055"/>
      <w:bookmarkStart w:id="152" w:name="_Toc146819083"/>
      <w:bookmarkStart w:id="153" w:name="_Toc147015722"/>
      <w:bookmarkStart w:id="154" w:name="_Toc178751210"/>
      <w:bookmarkStart w:id="155" w:name="_Toc114489598"/>
      <w:bookmarkStart w:id="156" w:name="_Toc114489685"/>
      <w:bookmarkStart w:id="157" w:name="_Toc115338155"/>
      <w:bookmarkStart w:id="158" w:name="_Toc115358132"/>
      <w:bookmarkStart w:id="159" w:name="_Toc115424360"/>
      <w:bookmarkStart w:id="160" w:name="_Toc115435227"/>
      <w:bookmarkStart w:id="161" w:name="_Toc115437961"/>
      <w:bookmarkStart w:id="162" w:name="_Toc115526138"/>
      <w:bookmarkStart w:id="163" w:name="_Toc146645056"/>
      <w:bookmarkStart w:id="164" w:name="_Toc146819084"/>
      <w:bookmarkStart w:id="165" w:name="_Toc147015723"/>
      <w:bookmarkStart w:id="166" w:name="_Toc178751211"/>
      <w:bookmarkStart w:id="167" w:name="_Toc114489599"/>
      <w:bookmarkStart w:id="168" w:name="_Toc114489686"/>
      <w:bookmarkStart w:id="169" w:name="_Toc115338156"/>
      <w:bookmarkStart w:id="170" w:name="_Toc115358133"/>
      <w:bookmarkStart w:id="171" w:name="_Toc115424361"/>
      <w:bookmarkStart w:id="172" w:name="_Toc115435228"/>
      <w:bookmarkStart w:id="173" w:name="_Toc115437962"/>
      <w:bookmarkStart w:id="174" w:name="_Toc115526139"/>
      <w:bookmarkStart w:id="175" w:name="_Toc146645057"/>
      <w:bookmarkStart w:id="176" w:name="_Toc146819085"/>
      <w:bookmarkStart w:id="177" w:name="_Toc147015724"/>
      <w:bookmarkStart w:id="178" w:name="_Toc178751212"/>
      <w:bookmarkStart w:id="179" w:name="_Toc114489600"/>
      <w:bookmarkStart w:id="180" w:name="_Toc114489687"/>
      <w:bookmarkStart w:id="181" w:name="_Toc115338157"/>
      <w:bookmarkStart w:id="182" w:name="_Toc115358134"/>
      <w:bookmarkStart w:id="183" w:name="_Toc115424362"/>
      <w:bookmarkStart w:id="184" w:name="_Toc115435229"/>
      <w:bookmarkStart w:id="185" w:name="_Toc115437963"/>
      <w:bookmarkStart w:id="186" w:name="_Toc115526140"/>
      <w:bookmarkStart w:id="187" w:name="_Toc146645058"/>
      <w:bookmarkStart w:id="188" w:name="_Toc146819086"/>
      <w:bookmarkStart w:id="189" w:name="_Toc147015725"/>
      <w:bookmarkStart w:id="190" w:name="_Toc178751213"/>
      <w:bookmarkStart w:id="191" w:name="_Toc114142284"/>
      <w:bookmarkStart w:id="192" w:name="_Toc114142367"/>
      <w:bookmarkStart w:id="193" w:name="_Toc114142416"/>
      <w:bookmarkStart w:id="194" w:name="_Toc114149873"/>
      <w:bookmarkStart w:id="195" w:name="_Toc114219161"/>
      <w:bookmarkStart w:id="196" w:name="_Toc114219337"/>
      <w:bookmarkStart w:id="197" w:name="_Toc114219386"/>
      <w:bookmarkStart w:id="198" w:name="_Toc114219854"/>
      <w:bookmarkStart w:id="199" w:name="_Toc114234847"/>
      <w:bookmarkStart w:id="200" w:name="_Toc114489517"/>
      <w:bookmarkStart w:id="201" w:name="_Toc114489601"/>
      <w:bookmarkStart w:id="202" w:name="_Toc114489688"/>
      <w:bookmarkStart w:id="203" w:name="_Toc115338158"/>
      <w:bookmarkStart w:id="204" w:name="_Toc115358135"/>
      <w:bookmarkStart w:id="205" w:name="_Toc115424363"/>
      <w:bookmarkStart w:id="206" w:name="_Toc115435230"/>
      <w:bookmarkStart w:id="207" w:name="_Toc115437964"/>
      <w:bookmarkStart w:id="208" w:name="_Toc115526141"/>
      <w:bookmarkStart w:id="209" w:name="_Toc146645059"/>
      <w:bookmarkStart w:id="210" w:name="_Toc146819087"/>
      <w:bookmarkStart w:id="211" w:name="_Toc147015726"/>
      <w:bookmarkStart w:id="212" w:name="_Toc178751214"/>
      <w:bookmarkStart w:id="213" w:name="_Toc146645060"/>
      <w:bookmarkStart w:id="214" w:name="_Toc146819088"/>
      <w:bookmarkStart w:id="215" w:name="_Toc147015727"/>
      <w:bookmarkStart w:id="216" w:name="_Toc178751215"/>
      <w:bookmarkStart w:id="217" w:name="_Toc146645061"/>
      <w:bookmarkStart w:id="218" w:name="_Toc146819089"/>
      <w:bookmarkStart w:id="219" w:name="_Toc147015728"/>
      <w:bookmarkStart w:id="220" w:name="_Toc178751216"/>
      <w:bookmarkStart w:id="221" w:name="_Toc146645062"/>
      <w:bookmarkStart w:id="222" w:name="_Toc146819090"/>
      <w:bookmarkStart w:id="223" w:name="_Toc147015729"/>
      <w:bookmarkStart w:id="224" w:name="_Toc178751217"/>
      <w:bookmarkStart w:id="225" w:name="_Toc146645063"/>
      <w:bookmarkStart w:id="226" w:name="_Toc146819091"/>
      <w:bookmarkStart w:id="227" w:name="_Toc147015730"/>
      <w:bookmarkStart w:id="228" w:name="_Toc178751218"/>
      <w:bookmarkStart w:id="229" w:name="_Toc21057067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E627DD">
        <w:t>Κρατικός</w:t>
      </w:r>
      <w:r w:rsidRPr="00606843">
        <w:t xml:space="preserve"> Προϋπολογισμός</w:t>
      </w:r>
      <w:bookmarkEnd w:id="229"/>
    </w:p>
    <w:p w14:paraId="5791121D" w14:textId="77777777" w:rsidR="00443C50" w:rsidRPr="00F911AA" w:rsidRDefault="00443C50" w:rsidP="00DC6F26">
      <w:pPr>
        <w:pStyle w:val="5"/>
        <w:keepNext w:val="0"/>
        <w:numPr>
          <w:ilvl w:val="0"/>
          <w:numId w:val="0"/>
        </w:numPr>
        <w:spacing w:before="360" w:after="240"/>
        <w:rPr>
          <w:bCs/>
          <w:sz w:val="22"/>
        </w:rPr>
      </w:pPr>
      <w:bookmarkStart w:id="230" w:name="_Toc210570672"/>
      <w:r w:rsidRPr="00F911AA">
        <w:rPr>
          <w:bCs/>
          <w:sz w:val="22"/>
        </w:rPr>
        <w:t xml:space="preserve">Έσοδα </w:t>
      </w:r>
      <w:r w:rsidR="00847E05" w:rsidRPr="00F911AA">
        <w:rPr>
          <w:bCs/>
          <w:sz w:val="22"/>
        </w:rPr>
        <w:t>- Ανάλυση σε δημοσιονομική βάση</w:t>
      </w:r>
      <w:bookmarkEnd w:id="230"/>
    </w:p>
    <w:p w14:paraId="7370BFBE" w14:textId="6F85402E" w:rsidR="00AB25CF" w:rsidRPr="00544591" w:rsidRDefault="002169B0" w:rsidP="002169B0">
      <w:pPr>
        <w:spacing w:before="120"/>
        <w:rPr>
          <w:highlight w:val="yellow"/>
        </w:rPr>
      </w:pPr>
      <w:r w:rsidRPr="00901C38">
        <w:t xml:space="preserve">Τα καθαρά έσοδα του κρατικού προϋπολογισμού σε δημοσιονομική βάση, μετά την αφαίρεση των επιστροφών φόρων, προβλέπεται να διαμορφωθούν στο ποσό των </w:t>
      </w:r>
      <w:r>
        <w:t>79.</w:t>
      </w:r>
      <w:r w:rsidR="00E41480">
        <w:t>947</w:t>
      </w:r>
      <w:r w:rsidRPr="00901C38">
        <w:t xml:space="preserve"> εκατ. ευρώ, αυξημένα κατά 3.</w:t>
      </w:r>
      <w:r>
        <w:t>1</w:t>
      </w:r>
      <w:r w:rsidR="00E41480">
        <w:t>21</w:t>
      </w:r>
      <w:r w:rsidRPr="00901C38">
        <w:t xml:space="preserve"> εκατ. ευρώ ή </w:t>
      </w:r>
      <w:r>
        <w:t>4</w:t>
      </w:r>
      <w:r w:rsidRPr="00901C38">
        <w:t>,</w:t>
      </w:r>
      <w:r>
        <w:t>1</w:t>
      </w:r>
      <w:r w:rsidRPr="00901C38">
        <w:t>% έναντι της εκτίμησης του 202</w:t>
      </w:r>
      <w:r>
        <w:t>5</w:t>
      </w:r>
      <w:r w:rsidRPr="00901C38">
        <w:t>. Ειδικότερα:</w:t>
      </w:r>
    </w:p>
    <w:p w14:paraId="4778DABA" w14:textId="77777777" w:rsidR="001B7BDD" w:rsidRPr="002169B0" w:rsidRDefault="001B7BDD" w:rsidP="00DE73D7">
      <w:pPr>
        <w:spacing w:before="240"/>
        <w:rPr>
          <w:rFonts w:cs="Arial"/>
          <w:b/>
          <w:szCs w:val="22"/>
        </w:rPr>
      </w:pPr>
      <w:r w:rsidRPr="002169B0">
        <w:rPr>
          <w:rFonts w:cs="Arial"/>
          <w:b/>
          <w:szCs w:val="22"/>
        </w:rPr>
        <w:t>Φόροι</w:t>
      </w:r>
    </w:p>
    <w:p w14:paraId="026BF168" w14:textId="3A7ABDA9" w:rsidR="001B7BDD" w:rsidRPr="00544591" w:rsidRDefault="002169B0" w:rsidP="002169B0">
      <w:pPr>
        <w:spacing w:before="120"/>
        <w:rPr>
          <w:highlight w:val="yellow"/>
        </w:rPr>
      </w:pPr>
      <w:r w:rsidRPr="00901C38">
        <w:t xml:space="preserve">Τα έσοδα από φόρους αναμένεται να ανέλθουν στο ύψος των </w:t>
      </w:r>
      <w:r>
        <w:t>73.5</w:t>
      </w:r>
      <w:r w:rsidR="00746DB1">
        <w:t>27</w:t>
      </w:r>
      <w:r w:rsidRPr="00901C38">
        <w:t xml:space="preserve"> εκατ. ευρώ, αυξημένα κατά 2.</w:t>
      </w:r>
      <w:r>
        <w:t>64</w:t>
      </w:r>
      <w:r w:rsidR="00746DB1">
        <w:t>9</w:t>
      </w:r>
      <w:r w:rsidRPr="00901C38">
        <w:t xml:space="preserve"> εκατ. ευρώ ή 3,</w:t>
      </w:r>
      <w:r>
        <w:t>7</w:t>
      </w:r>
      <w:r w:rsidRPr="00901C38">
        <w:t>% έναντι του 202</w:t>
      </w:r>
      <w:r>
        <w:t>5</w:t>
      </w:r>
      <w:r w:rsidRPr="00901C38">
        <w:t>, κυρίως λόγω της προβλεπόμενης μεγέθυνσης της οικονομίας, όπως αντικατοπτρίζεται στις μακροοικονομικές προβλέψεις. Πιο συγκεκριμένα:</w:t>
      </w:r>
    </w:p>
    <w:p w14:paraId="0218E279" w14:textId="77777777" w:rsidR="001B7BDD" w:rsidRPr="000171BB" w:rsidRDefault="001B7BDD" w:rsidP="001F0BEF">
      <w:pPr>
        <w:ind w:left="284"/>
        <w:rPr>
          <w:rFonts w:eastAsia="Calibri" w:cs="Arial"/>
          <w:b/>
          <w:i/>
          <w:szCs w:val="20"/>
          <w:lang w:val="x-none"/>
        </w:rPr>
      </w:pPr>
      <w:r w:rsidRPr="000171BB">
        <w:rPr>
          <w:rFonts w:eastAsia="Calibri" w:cs="Arial"/>
          <w:b/>
          <w:i/>
          <w:szCs w:val="20"/>
          <w:lang w:val="x-none"/>
        </w:rPr>
        <w:t>Φόροι επί αγαθών και υπηρεσιών</w:t>
      </w:r>
    </w:p>
    <w:p w14:paraId="0FB4FE93" w14:textId="2C0E1E8B" w:rsidR="00956FBE" w:rsidRPr="008C5BB0" w:rsidRDefault="00956FBE" w:rsidP="00956FBE">
      <w:pPr>
        <w:spacing w:before="120"/>
        <w:ind w:left="284" w:right="-2"/>
        <w:rPr>
          <w:rFonts w:cs="Arial"/>
        </w:rPr>
      </w:pPr>
      <w:r w:rsidRPr="008C5BB0">
        <w:rPr>
          <w:rFonts w:cs="Arial"/>
        </w:rPr>
        <w:t xml:space="preserve">Τα έσοδα από φόρους επί αγαθών και υπηρεσιών προβλέπεται να ανέλθουν στο ποσό των </w:t>
      </w:r>
      <w:r>
        <w:rPr>
          <w:rFonts w:cs="Arial"/>
        </w:rPr>
        <w:t>40.81</w:t>
      </w:r>
      <w:r w:rsidR="00746DB1">
        <w:rPr>
          <w:rFonts w:cs="Arial"/>
        </w:rPr>
        <w:t>8</w:t>
      </w:r>
      <w:r w:rsidRPr="008C5BB0">
        <w:rPr>
          <w:rFonts w:cs="Arial"/>
        </w:rPr>
        <w:t xml:space="preserve"> εκατ. ευρώ, αυξημένα κατά 1.</w:t>
      </w:r>
      <w:r>
        <w:rPr>
          <w:rFonts w:cs="Arial"/>
        </w:rPr>
        <w:t>747</w:t>
      </w:r>
      <w:r w:rsidRPr="008C5BB0">
        <w:rPr>
          <w:rFonts w:cs="Arial"/>
        </w:rPr>
        <w:t xml:space="preserve"> εκατ. ευρώ ή 4,</w:t>
      </w:r>
      <w:r>
        <w:rPr>
          <w:rFonts w:cs="Arial"/>
        </w:rPr>
        <w:t>5</w:t>
      </w:r>
      <w:r w:rsidRPr="008C5BB0">
        <w:rPr>
          <w:rFonts w:cs="Arial"/>
        </w:rPr>
        <w:t>% έναντι του 202</w:t>
      </w:r>
      <w:r>
        <w:rPr>
          <w:rFonts w:cs="Arial"/>
        </w:rPr>
        <w:t>5</w:t>
      </w:r>
      <w:r w:rsidRPr="008C5BB0">
        <w:rPr>
          <w:rFonts w:cs="Arial"/>
        </w:rPr>
        <w:t>. Ειδικότερα:</w:t>
      </w:r>
    </w:p>
    <w:p w14:paraId="2D9703DF" w14:textId="77777777" w:rsidR="00956FBE" w:rsidRPr="00901C38" w:rsidRDefault="00956FBE" w:rsidP="00956FBE">
      <w:pPr>
        <w:numPr>
          <w:ilvl w:val="0"/>
          <w:numId w:val="1"/>
        </w:numPr>
        <w:spacing w:before="120" w:after="60"/>
        <w:ind w:left="568" w:hanging="284"/>
        <w:rPr>
          <w:rFonts w:cs="Arial"/>
        </w:rPr>
      </w:pPr>
      <w:r w:rsidRPr="00901C38">
        <w:rPr>
          <w:rFonts w:cs="Arial"/>
        </w:rPr>
        <w:t>τα έσοδα από</w:t>
      </w:r>
      <w:r w:rsidR="00B804E9">
        <w:rPr>
          <w:rFonts w:cs="Arial"/>
        </w:rPr>
        <w:t xml:space="preserve"> τον</w:t>
      </w:r>
      <w:r w:rsidRPr="00901C38">
        <w:rPr>
          <w:rFonts w:cs="Arial"/>
        </w:rPr>
        <w:t xml:space="preserve"> ΦΠΑ αναμένεται να ανέλθουν στο ποσό των </w:t>
      </w:r>
      <w:r>
        <w:rPr>
          <w:rFonts w:cs="Arial"/>
        </w:rPr>
        <w:t>29.129</w:t>
      </w:r>
      <w:r w:rsidRPr="00901C38">
        <w:rPr>
          <w:rFonts w:cs="Arial"/>
        </w:rPr>
        <w:t xml:space="preserve"> εκατ. ευρώ, αυξημένα κατά 1.</w:t>
      </w:r>
      <w:r>
        <w:rPr>
          <w:rFonts w:cs="Arial"/>
        </w:rPr>
        <w:t>599</w:t>
      </w:r>
      <w:r w:rsidRPr="00901C38">
        <w:rPr>
          <w:rFonts w:cs="Arial"/>
        </w:rPr>
        <w:t xml:space="preserve"> εκατ. ευρώ έναντι του 202</w:t>
      </w:r>
      <w:r>
        <w:rPr>
          <w:rFonts w:cs="Arial"/>
        </w:rPr>
        <w:t>5</w:t>
      </w:r>
      <w:r w:rsidRPr="00901C38">
        <w:rPr>
          <w:rFonts w:cs="Arial"/>
        </w:rPr>
        <w:t xml:space="preserve"> και</w:t>
      </w:r>
    </w:p>
    <w:p w14:paraId="157C5641" w14:textId="77777777" w:rsidR="001B7BDD" w:rsidRPr="000171BB" w:rsidRDefault="00B804E9" w:rsidP="000171BB">
      <w:pPr>
        <w:numPr>
          <w:ilvl w:val="0"/>
          <w:numId w:val="1"/>
        </w:numPr>
        <w:spacing w:before="60"/>
        <w:ind w:left="568" w:hanging="284"/>
        <w:rPr>
          <w:rFonts w:cs="Arial"/>
        </w:rPr>
      </w:pPr>
      <w:r>
        <w:rPr>
          <w:rFonts w:cs="Arial"/>
        </w:rPr>
        <w:t xml:space="preserve">τα έσοδα από τους </w:t>
      </w:r>
      <w:r w:rsidR="00956FBE" w:rsidRPr="00901C38">
        <w:rPr>
          <w:rFonts w:cs="Arial"/>
        </w:rPr>
        <w:t>ΕΦΚ προβλέπονται στο ποσό των 7.</w:t>
      </w:r>
      <w:r w:rsidR="00956FBE">
        <w:rPr>
          <w:rFonts w:cs="Arial"/>
        </w:rPr>
        <w:t>447</w:t>
      </w:r>
      <w:r w:rsidR="00956FBE" w:rsidRPr="00901C38">
        <w:rPr>
          <w:rFonts w:cs="Arial"/>
        </w:rPr>
        <w:t xml:space="preserve"> εκατ. ευρώ</w:t>
      </w:r>
      <w:r w:rsidR="006347D1">
        <w:rPr>
          <w:rFonts w:cs="Arial"/>
        </w:rPr>
        <w:t xml:space="preserve">, </w:t>
      </w:r>
      <w:r w:rsidR="00956FBE" w:rsidRPr="00901C38">
        <w:rPr>
          <w:rFonts w:cs="Arial"/>
        </w:rPr>
        <w:t>αυξημέν</w:t>
      </w:r>
      <w:r w:rsidR="006347D1">
        <w:rPr>
          <w:rFonts w:cs="Arial"/>
        </w:rPr>
        <w:t>α</w:t>
      </w:r>
      <w:r w:rsidR="00956FBE" w:rsidRPr="00901C38">
        <w:rPr>
          <w:rFonts w:cs="Arial"/>
        </w:rPr>
        <w:t xml:space="preserve"> κατά </w:t>
      </w:r>
      <w:r w:rsidR="00956FBE">
        <w:rPr>
          <w:rFonts w:cs="Arial"/>
        </w:rPr>
        <w:t>53</w:t>
      </w:r>
      <w:r w:rsidR="00956FBE" w:rsidRPr="00901C38">
        <w:rPr>
          <w:rFonts w:cs="Arial"/>
        </w:rPr>
        <w:t xml:space="preserve"> εκατ. ευρώ έναντι του 202</w:t>
      </w:r>
      <w:r w:rsidR="00956FBE">
        <w:rPr>
          <w:rFonts w:cs="Arial"/>
        </w:rPr>
        <w:t>5</w:t>
      </w:r>
      <w:r w:rsidR="00956FBE" w:rsidRPr="00901C38">
        <w:rPr>
          <w:rFonts w:cs="Arial"/>
        </w:rPr>
        <w:t>.</w:t>
      </w:r>
    </w:p>
    <w:p w14:paraId="5E05AD84" w14:textId="77777777" w:rsidR="001B7BDD" w:rsidRPr="000171BB" w:rsidRDefault="001B7BDD" w:rsidP="00614C06">
      <w:pPr>
        <w:ind w:left="284"/>
        <w:rPr>
          <w:rFonts w:eastAsia="Calibri" w:cs="Arial"/>
          <w:b/>
          <w:i/>
          <w:szCs w:val="20"/>
          <w:lang w:val="x-none"/>
        </w:rPr>
      </w:pPr>
      <w:r w:rsidRPr="000171BB">
        <w:rPr>
          <w:rFonts w:eastAsia="Calibri" w:cs="Arial"/>
          <w:b/>
          <w:i/>
          <w:szCs w:val="20"/>
          <w:lang w:val="x-none"/>
        </w:rPr>
        <w:t>Φόροι και δασμοί επί εισαγωγών</w:t>
      </w:r>
    </w:p>
    <w:p w14:paraId="1ADE79BF" w14:textId="77777777" w:rsidR="001B7BDD" w:rsidRPr="000171BB" w:rsidRDefault="000171BB" w:rsidP="000171BB">
      <w:pPr>
        <w:spacing w:before="120"/>
        <w:ind w:left="284" w:right="-2"/>
        <w:rPr>
          <w:rFonts w:cs="Arial"/>
        </w:rPr>
      </w:pPr>
      <w:r w:rsidRPr="008C5BB0">
        <w:rPr>
          <w:rFonts w:cs="Arial"/>
        </w:rPr>
        <w:t xml:space="preserve">Από </w:t>
      </w:r>
      <w:r w:rsidR="006347D1">
        <w:rPr>
          <w:rFonts w:cs="Arial"/>
        </w:rPr>
        <w:t xml:space="preserve">τους </w:t>
      </w:r>
      <w:r w:rsidRPr="008C5BB0">
        <w:rPr>
          <w:rFonts w:cs="Arial"/>
        </w:rPr>
        <w:t xml:space="preserve">φόρους και </w:t>
      </w:r>
      <w:r w:rsidR="006347D1">
        <w:rPr>
          <w:rFonts w:cs="Arial"/>
        </w:rPr>
        <w:t xml:space="preserve">τους </w:t>
      </w:r>
      <w:r w:rsidRPr="008C5BB0">
        <w:rPr>
          <w:rFonts w:cs="Arial"/>
        </w:rPr>
        <w:t xml:space="preserve">δασμούς επί εισαγωγών προβλέπονται έσοδα ύψους </w:t>
      </w:r>
      <w:r>
        <w:rPr>
          <w:rFonts w:cs="Arial"/>
        </w:rPr>
        <w:t>427</w:t>
      </w:r>
      <w:r w:rsidRPr="008C5BB0">
        <w:rPr>
          <w:rFonts w:cs="Arial"/>
        </w:rPr>
        <w:t xml:space="preserve"> εκατ. ευρώ, αυξημένα κατά </w:t>
      </w:r>
      <w:r>
        <w:rPr>
          <w:rFonts w:cs="Arial"/>
        </w:rPr>
        <w:t>27</w:t>
      </w:r>
      <w:r w:rsidRPr="008C5BB0">
        <w:rPr>
          <w:rFonts w:cs="Arial"/>
        </w:rPr>
        <w:t xml:space="preserve"> εκατ. ευρώ έναντι του 202</w:t>
      </w:r>
      <w:r>
        <w:rPr>
          <w:rFonts w:cs="Arial"/>
        </w:rPr>
        <w:t>5</w:t>
      </w:r>
      <w:r w:rsidRPr="008C5BB0">
        <w:rPr>
          <w:rFonts w:cs="Arial"/>
        </w:rPr>
        <w:t>.</w:t>
      </w:r>
    </w:p>
    <w:p w14:paraId="63F1513A" w14:textId="77777777" w:rsidR="001B7BDD" w:rsidRPr="000171BB" w:rsidRDefault="001B7BDD" w:rsidP="00DC6F26">
      <w:pPr>
        <w:spacing w:before="120"/>
        <w:ind w:left="284"/>
        <w:rPr>
          <w:rFonts w:eastAsia="Calibri" w:cs="Arial"/>
          <w:b/>
          <w:i/>
          <w:szCs w:val="20"/>
          <w:lang w:val="x-none"/>
        </w:rPr>
      </w:pPr>
      <w:r w:rsidRPr="000171BB">
        <w:rPr>
          <w:rFonts w:eastAsia="Calibri" w:cs="Arial"/>
          <w:b/>
          <w:i/>
          <w:szCs w:val="20"/>
          <w:lang w:val="x-none"/>
        </w:rPr>
        <w:t>Τακτικοί φόροι ακίνητης περιουσίας</w:t>
      </w:r>
    </w:p>
    <w:p w14:paraId="3BC60ACB" w14:textId="776E9C5B" w:rsidR="001B7BDD" w:rsidRPr="00544591" w:rsidRDefault="000171BB" w:rsidP="000171BB">
      <w:pPr>
        <w:spacing w:before="120"/>
        <w:ind w:left="284" w:right="-2"/>
        <w:rPr>
          <w:highlight w:val="yellow"/>
        </w:rPr>
      </w:pPr>
      <w:r w:rsidRPr="008C5BB0">
        <w:rPr>
          <w:rFonts w:cs="Arial"/>
        </w:rPr>
        <w:t>Τα έσοδα από τους τακτικούς φόρους ακίνητης περιουσίας αναμένεται να ανέλθουν στο ποσό των 2.3</w:t>
      </w:r>
      <w:r>
        <w:rPr>
          <w:rFonts w:cs="Arial"/>
        </w:rPr>
        <w:t>28</w:t>
      </w:r>
      <w:r w:rsidRPr="008C5BB0">
        <w:rPr>
          <w:rFonts w:cs="Arial"/>
        </w:rPr>
        <w:t xml:space="preserve"> εκατ. ευρώ, μειωμένα κατά </w:t>
      </w:r>
      <w:r>
        <w:rPr>
          <w:rFonts w:cs="Arial"/>
        </w:rPr>
        <w:t>83</w:t>
      </w:r>
      <w:r w:rsidRPr="008C5BB0">
        <w:rPr>
          <w:rFonts w:cs="Arial"/>
        </w:rPr>
        <w:t xml:space="preserve"> εκατ. ευρώ έναντι του 202</w:t>
      </w:r>
      <w:r>
        <w:rPr>
          <w:rFonts w:cs="Arial"/>
        </w:rPr>
        <w:t>5. Μέρος της μεταβολής προκύπτει</w:t>
      </w:r>
      <w:r w:rsidRPr="008C5BB0">
        <w:rPr>
          <w:rFonts w:cs="Arial"/>
        </w:rPr>
        <w:t xml:space="preserve"> </w:t>
      </w:r>
      <w:r>
        <w:rPr>
          <w:rFonts w:cs="Arial"/>
        </w:rPr>
        <w:t xml:space="preserve">από </w:t>
      </w:r>
      <w:r w:rsidRPr="008C5BB0">
        <w:rPr>
          <w:rFonts w:cs="Arial"/>
        </w:rPr>
        <w:t xml:space="preserve">τη μείωση του ΕΝΦΙΑ κατά </w:t>
      </w:r>
      <w:r>
        <w:rPr>
          <w:rFonts w:cs="Arial"/>
        </w:rPr>
        <w:t>5</w:t>
      </w:r>
      <w:r w:rsidRPr="008C5BB0">
        <w:rPr>
          <w:rFonts w:cs="Arial"/>
        </w:rPr>
        <w:t>0%</w:t>
      </w:r>
      <w:r>
        <w:rPr>
          <w:rFonts w:cs="Arial"/>
        </w:rPr>
        <w:t xml:space="preserve"> </w:t>
      </w:r>
      <w:r w:rsidRPr="00ED2223">
        <w:rPr>
          <w:rFonts w:cs="Arial"/>
        </w:rPr>
        <w:t>για κύριες κατοικίες σε οικισμούς με πληθυσμό έως 1.500 κατοίκους</w:t>
      </w:r>
      <w:r w:rsidR="00E65154">
        <w:rPr>
          <w:rFonts w:cs="Arial"/>
        </w:rPr>
        <w:t xml:space="preserve"> (και κατάργησή του το έτος 2027).</w:t>
      </w:r>
    </w:p>
    <w:p w14:paraId="3798D6BA" w14:textId="77777777" w:rsidR="001B7BDD" w:rsidRPr="00A858D6" w:rsidRDefault="001B7BDD" w:rsidP="001F0BEF">
      <w:pPr>
        <w:ind w:left="284"/>
        <w:rPr>
          <w:rFonts w:eastAsia="Calibri" w:cs="Arial"/>
          <w:b/>
          <w:i/>
          <w:szCs w:val="20"/>
          <w:lang w:val="x-none"/>
        </w:rPr>
      </w:pPr>
      <w:r w:rsidRPr="00A858D6">
        <w:rPr>
          <w:rFonts w:eastAsia="Calibri" w:cs="Arial"/>
          <w:b/>
          <w:i/>
          <w:szCs w:val="20"/>
          <w:lang w:val="x-none"/>
        </w:rPr>
        <w:t>Λοιποί φόροι επί παραγωγής</w:t>
      </w:r>
    </w:p>
    <w:p w14:paraId="7D727442" w14:textId="77777777" w:rsidR="001B7BDD" w:rsidRPr="00544591" w:rsidRDefault="00A858D6" w:rsidP="00A858D6">
      <w:pPr>
        <w:spacing w:before="120"/>
        <w:ind w:left="284" w:right="-2"/>
        <w:rPr>
          <w:highlight w:val="yellow"/>
        </w:rPr>
      </w:pPr>
      <w:r w:rsidRPr="00D04D8C">
        <w:rPr>
          <w:rFonts w:cs="Arial"/>
        </w:rPr>
        <w:t xml:space="preserve">Από τους λοιπούς φόρους επί παραγωγής προβλέπονται έσοδα ύψους </w:t>
      </w:r>
      <w:r>
        <w:rPr>
          <w:rFonts w:cs="Arial"/>
        </w:rPr>
        <w:t>659</w:t>
      </w:r>
      <w:r w:rsidRPr="00D04D8C">
        <w:rPr>
          <w:rFonts w:cs="Arial"/>
        </w:rPr>
        <w:t xml:space="preserve"> εκατ. ευρώ, </w:t>
      </w:r>
      <w:r>
        <w:rPr>
          <w:rFonts w:cs="Arial"/>
        </w:rPr>
        <w:t>αυξη</w:t>
      </w:r>
      <w:r w:rsidRPr="00D04D8C">
        <w:rPr>
          <w:rFonts w:cs="Arial"/>
        </w:rPr>
        <w:t xml:space="preserve">μένα κατά </w:t>
      </w:r>
      <w:r>
        <w:rPr>
          <w:rFonts w:cs="Arial"/>
        </w:rPr>
        <w:t>164</w:t>
      </w:r>
      <w:r w:rsidRPr="00D04D8C">
        <w:rPr>
          <w:rFonts w:cs="Arial"/>
        </w:rPr>
        <w:t xml:space="preserve"> εκατ. ευρώ έναντι της εκτίμησης του 202</w:t>
      </w:r>
      <w:r>
        <w:rPr>
          <w:rFonts w:cs="Arial"/>
        </w:rPr>
        <w:t>5</w:t>
      </w:r>
      <w:r w:rsidRPr="00D04D8C">
        <w:rPr>
          <w:rFonts w:cs="Arial"/>
        </w:rPr>
        <w:t xml:space="preserve">, κυρίως λόγω της </w:t>
      </w:r>
      <w:r>
        <w:rPr>
          <w:rFonts w:cs="Arial"/>
        </w:rPr>
        <w:t>πρόβλεψης για είσπραξη ποσού ύψους 200 εκατ. ευρώ, από τη συμμετοχή του Ε</w:t>
      </w:r>
      <w:r w:rsidR="00E1011B">
        <w:rPr>
          <w:rFonts w:cs="Arial"/>
        </w:rPr>
        <w:t xml:space="preserve">λληνικού Δημοσίου </w:t>
      </w:r>
      <w:r>
        <w:rPr>
          <w:rFonts w:cs="Arial"/>
        </w:rPr>
        <w:t>στα κέρδη της Τ</w:t>
      </w:r>
      <w:r w:rsidR="00E1011B">
        <w:rPr>
          <w:rFonts w:cs="Arial"/>
        </w:rPr>
        <w:t>τΕ</w:t>
      </w:r>
      <w:r>
        <w:rPr>
          <w:rFonts w:cs="Arial"/>
        </w:rPr>
        <w:t>.</w:t>
      </w:r>
    </w:p>
    <w:p w14:paraId="2AE30E40" w14:textId="77777777" w:rsidR="001B7BDD" w:rsidRPr="00870F9F" w:rsidRDefault="001B7BDD" w:rsidP="003F544B">
      <w:pPr>
        <w:keepNext/>
        <w:ind w:left="284"/>
        <w:rPr>
          <w:rFonts w:eastAsia="Calibri" w:cs="Arial"/>
          <w:b/>
          <w:i/>
          <w:szCs w:val="20"/>
          <w:lang w:val="x-none"/>
        </w:rPr>
      </w:pPr>
      <w:r w:rsidRPr="00870F9F">
        <w:rPr>
          <w:rFonts w:eastAsia="Calibri" w:cs="Arial"/>
          <w:b/>
          <w:i/>
          <w:szCs w:val="20"/>
          <w:lang w:val="x-none"/>
        </w:rPr>
        <w:lastRenderedPageBreak/>
        <w:t>Φόρος εισοδήματος</w:t>
      </w:r>
    </w:p>
    <w:p w14:paraId="63A673E8" w14:textId="2AA09C33" w:rsidR="00870F9F" w:rsidRPr="00D04D8C" w:rsidRDefault="00870F9F" w:rsidP="00870F9F">
      <w:pPr>
        <w:spacing w:before="120"/>
        <w:ind w:left="284" w:right="-2"/>
        <w:rPr>
          <w:rFonts w:cs="Arial"/>
        </w:rPr>
      </w:pPr>
      <w:r w:rsidRPr="00D04D8C">
        <w:rPr>
          <w:rFonts w:cs="Arial"/>
        </w:rPr>
        <w:t xml:space="preserve">Τα έσοδα από τον φόρο εισοδήματος αναμένεται να ανέλθουν στο ποσό των </w:t>
      </w:r>
      <w:r>
        <w:rPr>
          <w:rFonts w:cs="Arial"/>
        </w:rPr>
        <w:t>26.</w:t>
      </w:r>
      <w:r w:rsidR="00746DB1">
        <w:rPr>
          <w:rFonts w:cs="Arial"/>
        </w:rPr>
        <w:t>710</w:t>
      </w:r>
      <w:r w:rsidRPr="00D04D8C">
        <w:rPr>
          <w:rFonts w:cs="Arial"/>
        </w:rPr>
        <w:t xml:space="preserve"> εκατ. ευρώ, αυξημένα κατά </w:t>
      </w:r>
      <w:r>
        <w:rPr>
          <w:rFonts w:cs="Arial"/>
        </w:rPr>
        <w:t>7</w:t>
      </w:r>
      <w:r w:rsidR="00746DB1">
        <w:rPr>
          <w:rFonts w:cs="Arial"/>
        </w:rPr>
        <w:t>42</w:t>
      </w:r>
      <w:r w:rsidRPr="00D04D8C">
        <w:rPr>
          <w:rFonts w:cs="Arial"/>
        </w:rPr>
        <w:t xml:space="preserve"> εκατ. ευρώ ή </w:t>
      </w:r>
      <w:r>
        <w:rPr>
          <w:rFonts w:cs="Arial"/>
        </w:rPr>
        <w:t>2</w:t>
      </w:r>
      <w:r w:rsidRPr="00D04D8C">
        <w:rPr>
          <w:rFonts w:cs="Arial"/>
        </w:rPr>
        <w:t>,</w:t>
      </w:r>
      <w:r w:rsidR="00746DB1">
        <w:rPr>
          <w:rFonts w:cs="Arial"/>
        </w:rPr>
        <w:t>9</w:t>
      </w:r>
      <w:r w:rsidRPr="00D04D8C">
        <w:rPr>
          <w:rFonts w:cs="Arial"/>
        </w:rPr>
        <w:t>% έναντι του 202</w:t>
      </w:r>
      <w:r>
        <w:rPr>
          <w:rFonts w:cs="Arial"/>
        </w:rPr>
        <w:t>5</w:t>
      </w:r>
      <w:r w:rsidRPr="00D04D8C">
        <w:rPr>
          <w:rFonts w:cs="Arial"/>
        </w:rPr>
        <w:t>. Ειδικότερα:</w:t>
      </w:r>
    </w:p>
    <w:p w14:paraId="03B97024" w14:textId="669D9161" w:rsidR="00870F9F" w:rsidRPr="00D04D8C" w:rsidRDefault="00870F9F" w:rsidP="00870F9F">
      <w:pPr>
        <w:numPr>
          <w:ilvl w:val="0"/>
          <w:numId w:val="1"/>
        </w:numPr>
        <w:spacing w:before="120" w:after="60"/>
        <w:ind w:left="568" w:hanging="284"/>
        <w:rPr>
          <w:rFonts w:cs="Arial"/>
        </w:rPr>
      </w:pPr>
      <w:r w:rsidRPr="00D04D8C">
        <w:rPr>
          <w:rFonts w:cs="Arial"/>
        </w:rPr>
        <w:t xml:space="preserve">ο φόρος εισοδήματος φυσικών προσώπων προβλέπεται να διαμορφωθεί στο ποσό των </w:t>
      </w:r>
      <w:r>
        <w:rPr>
          <w:rFonts w:cs="Arial"/>
        </w:rPr>
        <w:t>15.7</w:t>
      </w:r>
      <w:r w:rsidR="00746DB1">
        <w:rPr>
          <w:rFonts w:cs="Arial"/>
        </w:rPr>
        <w:t>85</w:t>
      </w:r>
      <w:r w:rsidRPr="00D04D8C">
        <w:rPr>
          <w:rFonts w:cs="Arial"/>
        </w:rPr>
        <w:t xml:space="preserve"> εκατ. ευρώ, </w:t>
      </w:r>
      <w:r>
        <w:rPr>
          <w:rFonts w:cs="Arial"/>
        </w:rPr>
        <w:t xml:space="preserve">μειωμένος κατά </w:t>
      </w:r>
      <w:r w:rsidR="00746DB1">
        <w:rPr>
          <w:rFonts w:cs="Arial"/>
        </w:rPr>
        <w:t>93</w:t>
      </w:r>
      <w:r>
        <w:rPr>
          <w:rFonts w:cs="Arial"/>
        </w:rPr>
        <w:t xml:space="preserve"> εκατ. ευρώ έναντι του 2025</w:t>
      </w:r>
      <w:r w:rsidRPr="00D04D8C">
        <w:rPr>
          <w:rFonts w:cs="Arial"/>
        </w:rPr>
        <w:t>, ως απόρροια τ</w:t>
      </w:r>
      <w:r>
        <w:rPr>
          <w:rFonts w:cs="Arial"/>
        </w:rPr>
        <w:t>ων νέων παρεμβάσεων και κυρίως της αναμόρφωσης της κλίμακας φορολογίας εισοδήματος</w:t>
      </w:r>
      <w:r w:rsidR="00E1011B">
        <w:rPr>
          <w:rFonts w:cs="Arial"/>
        </w:rPr>
        <w:t>,</w:t>
      </w:r>
      <w:r>
        <w:rPr>
          <w:rFonts w:cs="Arial"/>
        </w:rPr>
        <w:t xml:space="preserve"> με εκτιμώμενη απώλεια εσόδων ύψους 1.218 εκατ. ευρώ και παρά την προβλεπόμενη αύξηση των αμοιβών εξαρτημένης εργασίας, των συντάξεων </w:t>
      </w:r>
      <w:r w:rsidRPr="00D04D8C">
        <w:rPr>
          <w:rFonts w:cs="Arial"/>
        </w:rPr>
        <w:t>και της αναμενόμενης νέας αύξησης του κατώτατου μισθού και</w:t>
      </w:r>
    </w:p>
    <w:p w14:paraId="7C0FB4EB" w14:textId="5496AECA" w:rsidR="001B7BDD" w:rsidRPr="00870F9F" w:rsidRDefault="00870F9F" w:rsidP="00870F9F">
      <w:pPr>
        <w:numPr>
          <w:ilvl w:val="0"/>
          <w:numId w:val="1"/>
        </w:numPr>
        <w:spacing w:before="60"/>
        <w:ind w:left="568" w:hanging="284"/>
      </w:pPr>
      <w:r w:rsidRPr="00D04D8C">
        <w:rPr>
          <w:rFonts w:cs="Arial"/>
        </w:rPr>
        <w:t xml:space="preserve">ο φόρος εισοδήματος νομικών προσώπων προβλέπεται να ανέλθει στο ποσό των </w:t>
      </w:r>
      <w:r>
        <w:rPr>
          <w:rFonts w:cs="Arial"/>
        </w:rPr>
        <w:t xml:space="preserve">8.659 </w:t>
      </w:r>
      <w:r w:rsidRPr="00D04D8C">
        <w:rPr>
          <w:rFonts w:cs="Arial"/>
        </w:rPr>
        <w:t xml:space="preserve">εκατ. ευρώ, </w:t>
      </w:r>
      <w:r>
        <w:rPr>
          <w:rFonts w:cs="Arial"/>
        </w:rPr>
        <w:t xml:space="preserve">αυξημένος </w:t>
      </w:r>
      <w:r w:rsidRPr="00D04D8C">
        <w:rPr>
          <w:rFonts w:cs="Arial"/>
        </w:rPr>
        <w:t xml:space="preserve">κατά </w:t>
      </w:r>
      <w:r>
        <w:rPr>
          <w:rFonts w:cs="Arial"/>
        </w:rPr>
        <w:t>859</w:t>
      </w:r>
      <w:r w:rsidRPr="00D04D8C">
        <w:rPr>
          <w:rFonts w:cs="Arial"/>
        </w:rPr>
        <w:t xml:space="preserve"> εκατ. ευρώ έναντι του 202</w:t>
      </w:r>
      <w:r>
        <w:rPr>
          <w:rFonts w:cs="Arial"/>
        </w:rPr>
        <w:t xml:space="preserve">5, λόγω των εκτιμώμενων αυξημένων </w:t>
      </w:r>
      <w:r w:rsidR="00397827">
        <w:rPr>
          <w:rFonts w:cs="Arial"/>
        </w:rPr>
        <w:t>αποτελεσμάτων</w:t>
      </w:r>
      <w:r>
        <w:rPr>
          <w:rFonts w:cs="Arial"/>
        </w:rPr>
        <w:t xml:space="preserve"> των επιχειρήσεων κατά το τρέχον φορολογικό</w:t>
      </w:r>
      <w:r w:rsidRPr="00156DBF">
        <w:rPr>
          <w:rFonts w:cs="Arial"/>
        </w:rPr>
        <w:t xml:space="preserve"> </w:t>
      </w:r>
      <w:r>
        <w:rPr>
          <w:rFonts w:cs="Arial"/>
        </w:rPr>
        <w:t>έτος</w:t>
      </w:r>
      <w:r w:rsidR="00E1011B">
        <w:rPr>
          <w:rFonts w:cs="Arial"/>
        </w:rPr>
        <w:t>, τα οποία</w:t>
      </w:r>
      <w:r>
        <w:rPr>
          <w:rFonts w:cs="Arial"/>
        </w:rPr>
        <w:t xml:space="preserve"> θα δηλωθούν το έτος 2026</w:t>
      </w:r>
      <w:r w:rsidRPr="00D04D8C">
        <w:rPr>
          <w:rFonts w:cs="Arial"/>
        </w:rPr>
        <w:t>.</w:t>
      </w:r>
    </w:p>
    <w:p w14:paraId="019CA325" w14:textId="77777777" w:rsidR="001B7BDD" w:rsidRPr="00870F9F" w:rsidRDefault="001B7BDD" w:rsidP="00DC6F26">
      <w:pPr>
        <w:ind w:left="284"/>
        <w:rPr>
          <w:rFonts w:eastAsia="Calibri" w:cs="Arial"/>
          <w:b/>
          <w:i/>
          <w:szCs w:val="20"/>
          <w:lang w:val="x-none"/>
        </w:rPr>
      </w:pPr>
      <w:r w:rsidRPr="00870F9F">
        <w:rPr>
          <w:rFonts w:eastAsia="Calibri" w:cs="Arial"/>
          <w:b/>
          <w:i/>
          <w:szCs w:val="20"/>
          <w:lang w:val="x-none"/>
        </w:rPr>
        <w:t>Φόροι κεφαλαίου</w:t>
      </w:r>
    </w:p>
    <w:p w14:paraId="712B7B02" w14:textId="77777777" w:rsidR="001B7BDD" w:rsidRPr="00870F9F" w:rsidRDefault="00870F9F" w:rsidP="00870F9F">
      <w:pPr>
        <w:spacing w:before="120"/>
        <w:ind w:left="284" w:right="-2"/>
        <w:rPr>
          <w:rFonts w:cs="Arial"/>
        </w:rPr>
      </w:pPr>
      <w:r w:rsidRPr="00D04D8C">
        <w:rPr>
          <w:rFonts w:cs="Arial"/>
        </w:rPr>
        <w:t xml:space="preserve">Οι φόροι κεφαλαίου προβλέπεται να ανέλθουν σε </w:t>
      </w:r>
      <w:r>
        <w:rPr>
          <w:rFonts w:cs="Arial"/>
        </w:rPr>
        <w:t>250</w:t>
      </w:r>
      <w:r w:rsidRPr="00D04D8C">
        <w:rPr>
          <w:rFonts w:cs="Arial"/>
        </w:rPr>
        <w:t xml:space="preserve"> εκατ. ευρώ, </w:t>
      </w:r>
      <w:r w:rsidR="00622762">
        <w:rPr>
          <w:rFonts w:cs="Arial"/>
        </w:rPr>
        <w:t>χωρίς να παρουσιάζουν μεταβολή έναντι το</w:t>
      </w:r>
      <w:r w:rsidRPr="00D04D8C">
        <w:rPr>
          <w:rFonts w:cs="Arial"/>
        </w:rPr>
        <w:t>υ 202</w:t>
      </w:r>
      <w:r>
        <w:rPr>
          <w:rFonts w:cs="Arial"/>
        </w:rPr>
        <w:t>5</w:t>
      </w:r>
      <w:r w:rsidRPr="00D04D8C">
        <w:rPr>
          <w:rFonts w:cs="Arial"/>
        </w:rPr>
        <w:t>.</w:t>
      </w:r>
    </w:p>
    <w:p w14:paraId="2C1B0140" w14:textId="77777777" w:rsidR="001B7BDD" w:rsidRPr="00870F9F" w:rsidRDefault="001B7BDD" w:rsidP="001F0BEF">
      <w:pPr>
        <w:ind w:left="284"/>
        <w:rPr>
          <w:rFonts w:eastAsia="Calibri" w:cs="Arial"/>
          <w:b/>
          <w:i/>
          <w:szCs w:val="20"/>
          <w:lang w:val="x-none"/>
        </w:rPr>
      </w:pPr>
      <w:r w:rsidRPr="00870F9F">
        <w:rPr>
          <w:rFonts w:eastAsia="Calibri" w:cs="Arial"/>
          <w:b/>
          <w:i/>
          <w:szCs w:val="20"/>
          <w:lang w:val="x-none"/>
        </w:rPr>
        <w:t>Λοιποί τρέχοντες φόροι</w:t>
      </w:r>
    </w:p>
    <w:p w14:paraId="230BCD7E" w14:textId="77777777" w:rsidR="001B7BDD" w:rsidRPr="00870F9F" w:rsidRDefault="00870F9F" w:rsidP="00870F9F">
      <w:pPr>
        <w:spacing w:before="120"/>
        <w:ind w:left="284"/>
        <w:rPr>
          <w:rFonts w:cs="Arial"/>
          <w:highlight w:val="yellow"/>
        </w:rPr>
      </w:pPr>
      <w:r w:rsidRPr="00901C38">
        <w:t xml:space="preserve">Τα έσοδα από τους λοιπούς τρέχοντες φόρους </w:t>
      </w:r>
      <w:r w:rsidR="00622762">
        <w:t>αναμένεται</w:t>
      </w:r>
      <w:r w:rsidRPr="00901C38">
        <w:t xml:space="preserve"> να ανέλθουν στο ποσό των 2.</w:t>
      </w:r>
      <w:r>
        <w:t>334</w:t>
      </w:r>
      <w:r w:rsidRPr="00901C38">
        <w:t xml:space="preserve"> εκατ. ευρώ, αυξημένα κατά </w:t>
      </w:r>
      <w:r>
        <w:t>52</w:t>
      </w:r>
      <w:r w:rsidRPr="00901C38">
        <w:t xml:space="preserve"> εκατ. ευρώ έναντι του 202</w:t>
      </w:r>
      <w:r>
        <w:t>5</w:t>
      </w:r>
      <w:r w:rsidRPr="00901C38">
        <w:t>.</w:t>
      </w:r>
    </w:p>
    <w:p w14:paraId="16D71B11" w14:textId="77777777" w:rsidR="001B7BDD" w:rsidRPr="00870F9F" w:rsidRDefault="001B7BDD" w:rsidP="00DE73D7">
      <w:pPr>
        <w:spacing w:before="240"/>
        <w:rPr>
          <w:rFonts w:cs="Arial"/>
          <w:b/>
          <w:szCs w:val="22"/>
        </w:rPr>
      </w:pPr>
      <w:r w:rsidRPr="00870F9F">
        <w:rPr>
          <w:rFonts w:cs="Arial"/>
          <w:b/>
          <w:szCs w:val="22"/>
        </w:rPr>
        <w:t>Κοινωνικές εισφορές</w:t>
      </w:r>
    </w:p>
    <w:p w14:paraId="553608CE" w14:textId="77777777" w:rsidR="001B7BDD" w:rsidRPr="00544591" w:rsidRDefault="00870F9F" w:rsidP="00870F9F">
      <w:pPr>
        <w:spacing w:before="120"/>
        <w:rPr>
          <w:highlight w:val="yellow"/>
        </w:rPr>
      </w:pPr>
      <w:r w:rsidRPr="00901C38">
        <w:t xml:space="preserve">Τα έσοδα από κοινωνικές εισφορές προβλέπεται να διαμορφωθούν στο ποσό των </w:t>
      </w:r>
      <w:r>
        <w:t>61</w:t>
      </w:r>
      <w:r w:rsidRPr="00901C38">
        <w:t xml:space="preserve"> εκατ. ευρώ, χωρίς να παρουσιάζουν μεταβολή έναντι του 202</w:t>
      </w:r>
      <w:r>
        <w:t>5</w:t>
      </w:r>
      <w:r w:rsidRPr="00901C38">
        <w:t>.</w:t>
      </w:r>
    </w:p>
    <w:p w14:paraId="14FCB86E" w14:textId="77777777" w:rsidR="001B7BDD" w:rsidRPr="00A40709" w:rsidRDefault="001B7BDD" w:rsidP="004E7D05">
      <w:pPr>
        <w:spacing w:before="240"/>
        <w:rPr>
          <w:rFonts w:cs="Arial"/>
          <w:b/>
          <w:szCs w:val="22"/>
        </w:rPr>
      </w:pPr>
      <w:r w:rsidRPr="00A40709">
        <w:rPr>
          <w:rFonts w:cs="Arial"/>
          <w:b/>
          <w:szCs w:val="22"/>
        </w:rPr>
        <w:t>Μεταβιβάσεις</w:t>
      </w:r>
    </w:p>
    <w:p w14:paraId="3E3C1586" w14:textId="77777777" w:rsidR="001B7BDD" w:rsidRPr="00A40709" w:rsidRDefault="00104210" w:rsidP="00A40709">
      <w:pPr>
        <w:spacing w:before="120"/>
      </w:pPr>
      <w:r w:rsidRPr="00901C38">
        <w:t xml:space="preserve">Τα έσοδα από μεταβιβάσεις αναμένεται να ανέλθουν στο ποσό των </w:t>
      </w:r>
      <w:r>
        <w:t>10.941</w:t>
      </w:r>
      <w:r w:rsidRPr="00901C38">
        <w:t xml:space="preserve"> εκατ. ευρώ, αυξημένα κατά </w:t>
      </w:r>
      <w:r>
        <w:t>1.695</w:t>
      </w:r>
      <w:r w:rsidRPr="00901C38">
        <w:t xml:space="preserve"> εκατ. ευρώ έναντι του 202</w:t>
      </w:r>
      <w:r>
        <w:t>5</w:t>
      </w:r>
      <w:r w:rsidRPr="00901C38">
        <w:t>, κυρίως λόγω της αύξησης</w:t>
      </w:r>
      <w:r w:rsidR="00622762" w:rsidRPr="00622762">
        <w:t xml:space="preserve"> </w:t>
      </w:r>
      <w:r w:rsidRPr="00901C38">
        <w:t xml:space="preserve">των εσόδων </w:t>
      </w:r>
      <w:r>
        <w:t>από το ΤΑΑ</w:t>
      </w:r>
      <w:r w:rsidR="00622762">
        <w:t xml:space="preserve"> κατά 1.657 εκατ. ευρώ, </w:t>
      </w:r>
      <w:r w:rsidR="00622762" w:rsidRPr="00901C38">
        <w:t>μετά την προσαρμογή κατά ESA</w:t>
      </w:r>
      <w:r w:rsidRPr="00901C38">
        <w:t>.</w:t>
      </w:r>
    </w:p>
    <w:p w14:paraId="22128D0C" w14:textId="77777777" w:rsidR="001B7BDD" w:rsidRPr="002E12B0" w:rsidRDefault="001B7BDD" w:rsidP="001B7BDD">
      <w:pPr>
        <w:spacing w:before="240"/>
        <w:rPr>
          <w:rFonts w:cs="Arial"/>
          <w:b/>
          <w:szCs w:val="22"/>
        </w:rPr>
      </w:pPr>
      <w:r w:rsidRPr="002E12B0">
        <w:rPr>
          <w:rFonts w:cs="Arial"/>
          <w:b/>
          <w:szCs w:val="22"/>
        </w:rPr>
        <w:t>Πωλήσεις αγαθών και υπηρεσιών</w:t>
      </w:r>
    </w:p>
    <w:p w14:paraId="3CB9D742" w14:textId="77777777" w:rsidR="00DE73D7" w:rsidRPr="002E12B0" w:rsidRDefault="002E12B0" w:rsidP="002E12B0">
      <w:pPr>
        <w:spacing w:before="120"/>
        <w:rPr>
          <w:rFonts w:cs="Arial"/>
        </w:rPr>
      </w:pPr>
      <w:r w:rsidRPr="00901C38">
        <w:rPr>
          <w:rFonts w:cs="Arial"/>
        </w:rPr>
        <w:t xml:space="preserve">Από τις πωλήσεις αγαθών και υπηρεσιών προβλέπονται έσοδα ύψους </w:t>
      </w:r>
      <w:r>
        <w:rPr>
          <w:rFonts w:cs="Arial"/>
        </w:rPr>
        <w:t>1.097</w:t>
      </w:r>
      <w:r w:rsidRPr="00901C38">
        <w:rPr>
          <w:rFonts w:cs="Arial"/>
        </w:rPr>
        <w:t xml:space="preserve"> εκατ. ευρώ, </w:t>
      </w:r>
      <w:r>
        <w:rPr>
          <w:rFonts w:cs="Arial"/>
        </w:rPr>
        <w:t>μειω</w:t>
      </w:r>
      <w:r w:rsidRPr="00901C38">
        <w:rPr>
          <w:rFonts w:cs="Arial"/>
        </w:rPr>
        <w:t xml:space="preserve">μένα κατά </w:t>
      </w:r>
      <w:r>
        <w:rPr>
          <w:rFonts w:cs="Arial"/>
        </w:rPr>
        <w:t>116</w:t>
      </w:r>
      <w:r w:rsidRPr="00901C38">
        <w:rPr>
          <w:rFonts w:cs="Arial"/>
        </w:rPr>
        <w:t xml:space="preserve"> εκατ. ευρώ έναντι του 202</w:t>
      </w:r>
      <w:r>
        <w:rPr>
          <w:rFonts w:cs="Arial"/>
        </w:rPr>
        <w:t>5.</w:t>
      </w:r>
    </w:p>
    <w:p w14:paraId="4083C6E8" w14:textId="77777777" w:rsidR="001B7BDD" w:rsidRPr="00FE5879" w:rsidRDefault="001B7BDD" w:rsidP="00DC6F26">
      <w:pPr>
        <w:spacing w:before="240"/>
        <w:rPr>
          <w:rFonts w:cs="Arial"/>
          <w:b/>
          <w:szCs w:val="22"/>
        </w:rPr>
      </w:pPr>
      <w:r w:rsidRPr="00FE5879">
        <w:rPr>
          <w:rFonts w:cs="Arial"/>
          <w:b/>
          <w:szCs w:val="22"/>
        </w:rPr>
        <w:t>Λοιπά τρέχοντα έσοδα</w:t>
      </w:r>
    </w:p>
    <w:p w14:paraId="1A729A82" w14:textId="77777777" w:rsidR="001B7BDD" w:rsidRPr="00544591" w:rsidRDefault="00FE5879" w:rsidP="00FE5879">
      <w:pPr>
        <w:spacing w:before="120"/>
        <w:rPr>
          <w:rFonts w:cs="Arial"/>
          <w:highlight w:val="yellow"/>
        </w:rPr>
      </w:pPr>
      <w:r w:rsidRPr="008C295F">
        <w:t xml:space="preserve">Τα λοιπά τρέχοντα έσοδα προβλέπεται να διαμορφωθούν στο ποσό των </w:t>
      </w:r>
      <w:r>
        <w:t>2.222</w:t>
      </w:r>
      <w:r w:rsidRPr="008C295F">
        <w:t xml:space="preserve"> εκατ. ευρώ, μειωμένα κατά </w:t>
      </w:r>
      <w:r>
        <w:t>769</w:t>
      </w:r>
      <w:r w:rsidRPr="008C295F">
        <w:t xml:space="preserve"> εκατ. ευρώ έναντι του 202</w:t>
      </w:r>
      <w:r>
        <w:t>5</w:t>
      </w:r>
      <w:r w:rsidRPr="008C295F">
        <w:t xml:space="preserve">, κυρίως εξαιτίας της μείωσης των εσόδων από </w:t>
      </w:r>
      <w:r w:rsidR="009A19EF">
        <w:t xml:space="preserve">τα </w:t>
      </w:r>
      <w:r w:rsidRPr="008C295F">
        <w:t>μερίσματα</w:t>
      </w:r>
      <w:r w:rsidR="009A19EF">
        <w:t xml:space="preserve"> των</w:t>
      </w:r>
      <w:r w:rsidRPr="008C295F">
        <w:t xml:space="preserve"> φορέων του Δημοσίου κατά </w:t>
      </w:r>
      <w:r>
        <w:t>114</w:t>
      </w:r>
      <w:r w:rsidRPr="008C295F">
        <w:t xml:space="preserve"> εκατ. ευρώ, της </w:t>
      </w:r>
      <w:r>
        <w:t>αρνητικής επίδρασης</w:t>
      </w:r>
      <w:r w:rsidRPr="008C295F">
        <w:t xml:space="preserve"> των προκαταβολών από τα ευρωπαϊκά προγράμματα κατά </w:t>
      </w:r>
      <w:r>
        <w:t>305</w:t>
      </w:r>
      <w:r w:rsidRPr="008C295F">
        <w:t xml:space="preserve"> εκατ. ευρώ</w:t>
      </w:r>
      <w:r>
        <w:t xml:space="preserve">, των μειωμένων επιστροφών από ΝΠΔΔ για εκτέλεση έργων επενδύσεων κατά 95 εκατ. ευρώ </w:t>
      </w:r>
      <w:r w:rsidR="00A756B3">
        <w:t xml:space="preserve">καθώς </w:t>
      </w:r>
      <w:r w:rsidRPr="008C295F">
        <w:t>και λόγω των μειωμένων τόκων καταθέσεων</w:t>
      </w:r>
      <w:r>
        <w:t xml:space="preserve"> που εισπράττει το Ε</w:t>
      </w:r>
      <w:r w:rsidR="009A19EF">
        <w:t>λληνικό Δημόσιο</w:t>
      </w:r>
      <w:r w:rsidRPr="008C295F">
        <w:t xml:space="preserve"> κατά </w:t>
      </w:r>
      <w:r>
        <w:t>194</w:t>
      </w:r>
      <w:r w:rsidRPr="008C295F">
        <w:t xml:space="preserve"> εκατ. ευρώ.</w:t>
      </w:r>
    </w:p>
    <w:p w14:paraId="399E3A1B" w14:textId="77777777" w:rsidR="001B7BDD" w:rsidRPr="008B012B" w:rsidRDefault="001B7BDD" w:rsidP="001B7BDD">
      <w:pPr>
        <w:spacing w:before="240"/>
        <w:rPr>
          <w:rFonts w:cs="Arial"/>
          <w:b/>
          <w:szCs w:val="22"/>
        </w:rPr>
      </w:pPr>
      <w:r w:rsidRPr="008B012B">
        <w:rPr>
          <w:rFonts w:cs="Arial"/>
          <w:b/>
          <w:szCs w:val="22"/>
        </w:rPr>
        <w:t>Πωλήσεις παγίων περιουσιακών στοιχείων</w:t>
      </w:r>
    </w:p>
    <w:p w14:paraId="0627DF3A" w14:textId="77777777" w:rsidR="001B7BDD" w:rsidRPr="00544591" w:rsidRDefault="008B012B" w:rsidP="008B012B">
      <w:pPr>
        <w:spacing w:before="120"/>
        <w:rPr>
          <w:highlight w:val="yellow"/>
        </w:rPr>
      </w:pPr>
      <w:r>
        <w:t>Τα έσοδα από τις πωλήσεις παγίων περιουσιακών στοιχείων προβλέπεται να διαμορφωθούν σε 55</w:t>
      </w:r>
      <w:r w:rsidRPr="00901C38">
        <w:t xml:space="preserve"> εκατ. ευρώ, </w:t>
      </w:r>
      <w:r>
        <w:t>αυξημένα κατά 24 εκατ. ευρώ έναντι</w:t>
      </w:r>
      <w:r w:rsidRPr="00901C38">
        <w:t xml:space="preserve"> του 202</w:t>
      </w:r>
      <w:r>
        <w:t>5</w:t>
      </w:r>
      <w:r w:rsidRPr="00901C38">
        <w:t>.</w:t>
      </w:r>
    </w:p>
    <w:p w14:paraId="42AB5723" w14:textId="77777777" w:rsidR="001B7BDD" w:rsidRPr="00EC38CA" w:rsidRDefault="001B7BDD" w:rsidP="003F544B">
      <w:pPr>
        <w:keepNext/>
        <w:spacing w:before="240"/>
        <w:rPr>
          <w:rFonts w:cs="Arial"/>
          <w:b/>
          <w:szCs w:val="22"/>
        </w:rPr>
      </w:pPr>
      <w:r w:rsidRPr="00EC38CA">
        <w:rPr>
          <w:rFonts w:cs="Arial"/>
          <w:b/>
          <w:szCs w:val="22"/>
        </w:rPr>
        <w:lastRenderedPageBreak/>
        <w:t xml:space="preserve">Επιστροφές </w:t>
      </w:r>
      <w:r w:rsidR="00063047" w:rsidRPr="00EC38CA">
        <w:rPr>
          <w:rFonts w:cs="Arial"/>
          <w:b/>
          <w:szCs w:val="22"/>
        </w:rPr>
        <w:t>εσόδων</w:t>
      </w:r>
    </w:p>
    <w:p w14:paraId="423AB3DB" w14:textId="77777777" w:rsidR="001B7BDD" w:rsidRPr="00544591" w:rsidRDefault="008B012B" w:rsidP="008B012B">
      <w:pPr>
        <w:spacing w:before="120"/>
        <w:rPr>
          <w:highlight w:val="yellow"/>
        </w:rPr>
      </w:pPr>
      <w:r w:rsidRPr="00901C38">
        <w:t>Οι επιστροφές αχρεωστήτως εισπραχθέντων εσόδων προβλέπεται να διαμορφωθούν στο ποσό των 7.</w:t>
      </w:r>
      <w:r>
        <w:t>955</w:t>
      </w:r>
      <w:r w:rsidRPr="00901C38">
        <w:t xml:space="preserve"> εκατ. ευρώ, αυξημένες κατά </w:t>
      </w:r>
      <w:r>
        <w:t>361</w:t>
      </w:r>
      <w:r w:rsidRPr="00901C38">
        <w:t xml:space="preserve"> εκατ. ευρώ έναντι του 202</w:t>
      </w:r>
      <w:r>
        <w:t>5</w:t>
      </w:r>
      <w:r w:rsidRPr="00901C38">
        <w:t>.</w:t>
      </w:r>
    </w:p>
    <w:p w14:paraId="61129FBD" w14:textId="77777777" w:rsidR="001B7BDD" w:rsidRPr="00EC38CA" w:rsidRDefault="001B7BDD" w:rsidP="001B7BDD">
      <w:pPr>
        <w:spacing w:before="240"/>
        <w:rPr>
          <w:rFonts w:cs="Arial"/>
          <w:b/>
          <w:szCs w:val="22"/>
        </w:rPr>
      </w:pPr>
      <w:r w:rsidRPr="00EC38CA">
        <w:rPr>
          <w:rFonts w:cs="Arial"/>
          <w:b/>
          <w:szCs w:val="22"/>
        </w:rPr>
        <w:t>Πληροφοριακά στοιχεία</w:t>
      </w:r>
    </w:p>
    <w:p w14:paraId="228704EE" w14:textId="693AE449" w:rsidR="001B7BDD" w:rsidRPr="00EC38CA" w:rsidRDefault="001B7BDD" w:rsidP="001B7BDD">
      <w:pPr>
        <w:rPr>
          <w:rFonts w:cs="Arial"/>
          <w:b/>
          <w:i/>
          <w:szCs w:val="20"/>
        </w:rPr>
      </w:pPr>
      <w:r w:rsidRPr="00EC38CA">
        <w:rPr>
          <w:rFonts w:cs="Arial"/>
          <w:b/>
          <w:i/>
          <w:szCs w:val="20"/>
        </w:rPr>
        <w:t xml:space="preserve">Έσοδα </w:t>
      </w:r>
      <w:r w:rsidR="0093105C">
        <w:rPr>
          <w:rFonts w:cs="Arial"/>
          <w:b/>
          <w:i/>
          <w:szCs w:val="20"/>
        </w:rPr>
        <w:t>Π</w:t>
      </w:r>
      <w:r w:rsidR="00F20763" w:rsidRPr="00F20763">
        <w:rPr>
          <w:rFonts w:cs="Arial"/>
          <w:b/>
          <w:i/>
          <w:szCs w:val="20"/>
        </w:rPr>
        <w:t xml:space="preserve">ροϋπολογισμού </w:t>
      </w:r>
      <w:r w:rsidR="0093105C">
        <w:rPr>
          <w:rFonts w:cs="Arial"/>
          <w:b/>
          <w:i/>
          <w:szCs w:val="20"/>
        </w:rPr>
        <w:t>Δ</w:t>
      </w:r>
      <w:r w:rsidR="00F20763" w:rsidRPr="00F20763">
        <w:rPr>
          <w:rFonts w:cs="Arial"/>
          <w:b/>
          <w:i/>
          <w:szCs w:val="20"/>
        </w:rPr>
        <w:t xml:space="preserve">ημοσίων </w:t>
      </w:r>
      <w:r w:rsidR="0093105C">
        <w:rPr>
          <w:rFonts w:cs="Arial"/>
          <w:b/>
          <w:i/>
          <w:szCs w:val="20"/>
        </w:rPr>
        <w:t>Ε</w:t>
      </w:r>
      <w:r w:rsidR="00F20763" w:rsidRPr="00F20763">
        <w:rPr>
          <w:rFonts w:cs="Arial"/>
          <w:b/>
          <w:i/>
          <w:szCs w:val="20"/>
        </w:rPr>
        <w:t>πενδύσεων</w:t>
      </w:r>
    </w:p>
    <w:p w14:paraId="30D4EE30" w14:textId="7F351CE7" w:rsidR="001B7BDD" w:rsidRPr="00EC38CA" w:rsidRDefault="003342DB" w:rsidP="00EC38CA">
      <w:pPr>
        <w:spacing w:before="120"/>
        <w:rPr>
          <w:szCs w:val="20"/>
        </w:rPr>
      </w:pPr>
      <w:r>
        <w:rPr>
          <w:szCs w:val="20"/>
        </w:rPr>
        <w:t>Τα έσοδα από το</w:t>
      </w:r>
      <w:r w:rsidR="00F20763">
        <w:rPr>
          <w:szCs w:val="20"/>
        </w:rPr>
        <w:t>ν</w:t>
      </w:r>
      <w:r>
        <w:rPr>
          <w:szCs w:val="20"/>
        </w:rPr>
        <w:t xml:space="preserve"> </w:t>
      </w:r>
      <w:r w:rsidR="00F20763">
        <w:t xml:space="preserve">προϋπολογισμό δημοσίων επενδύσεων </w:t>
      </w:r>
      <w:r w:rsidRPr="00901C38">
        <w:rPr>
          <w:szCs w:val="20"/>
        </w:rPr>
        <w:t xml:space="preserve">περιλαμβάνονται </w:t>
      </w:r>
      <w:r>
        <w:rPr>
          <w:szCs w:val="20"/>
        </w:rPr>
        <w:t>σ</w:t>
      </w:r>
      <w:r w:rsidR="00EC38CA" w:rsidRPr="00901C38">
        <w:rPr>
          <w:szCs w:val="20"/>
        </w:rPr>
        <w:t>τις κατηγορίες «Μεταβιβάσεις» και «Λοιπά τρέχοντα έσοδα»</w:t>
      </w:r>
      <w:r>
        <w:rPr>
          <w:szCs w:val="20"/>
        </w:rPr>
        <w:t xml:space="preserve"> και αναμένεται να ανέλθουν,</w:t>
      </w:r>
      <w:r w:rsidR="00EC38CA" w:rsidRPr="00901C38">
        <w:rPr>
          <w:szCs w:val="20"/>
        </w:rPr>
        <w:t xml:space="preserve"> προσαρμοσμένα κατά ESA</w:t>
      </w:r>
      <w:r>
        <w:rPr>
          <w:szCs w:val="20"/>
        </w:rPr>
        <w:t>, στο</w:t>
      </w:r>
      <w:r w:rsidR="00EC38CA" w:rsidRPr="00901C38">
        <w:rPr>
          <w:szCs w:val="20"/>
        </w:rPr>
        <w:t xml:space="preserve"> ύψος</w:t>
      </w:r>
      <w:r>
        <w:rPr>
          <w:szCs w:val="20"/>
        </w:rPr>
        <w:t xml:space="preserve"> των</w:t>
      </w:r>
      <w:r w:rsidR="00EC38CA" w:rsidRPr="00901C38">
        <w:rPr>
          <w:szCs w:val="20"/>
        </w:rPr>
        <w:t xml:space="preserve"> 4.3</w:t>
      </w:r>
      <w:r w:rsidR="00EC38CA">
        <w:rPr>
          <w:szCs w:val="20"/>
        </w:rPr>
        <w:t>5</w:t>
      </w:r>
      <w:r w:rsidR="00EC38CA" w:rsidRPr="00901C38">
        <w:rPr>
          <w:szCs w:val="20"/>
        </w:rPr>
        <w:t xml:space="preserve">0 εκατ. ευρώ, </w:t>
      </w:r>
      <w:r>
        <w:rPr>
          <w:szCs w:val="20"/>
        </w:rPr>
        <w:t xml:space="preserve">παρουσιάζοντας αύξηση </w:t>
      </w:r>
      <w:r w:rsidR="00EC38CA" w:rsidRPr="00901C38">
        <w:rPr>
          <w:szCs w:val="20"/>
        </w:rPr>
        <w:t xml:space="preserve">κατά </w:t>
      </w:r>
      <w:r w:rsidR="00EC38CA">
        <w:rPr>
          <w:szCs w:val="20"/>
        </w:rPr>
        <w:t>50</w:t>
      </w:r>
      <w:r w:rsidR="00EC38CA" w:rsidRPr="00901C38">
        <w:rPr>
          <w:szCs w:val="20"/>
        </w:rPr>
        <w:t xml:space="preserve"> εκατ. ευρώ έναντι του 202</w:t>
      </w:r>
      <w:r w:rsidR="00EC38CA">
        <w:rPr>
          <w:szCs w:val="20"/>
        </w:rPr>
        <w:t>5</w:t>
      </w:r>
      <w:r w:rsidR="00EC38CA" w:rsidRPr="00901C38">
        <w:rPr>
          <w:szCs w:val="20"/>
        </w:rPr>
        <w:t>.</w:t>
      </w:r>
    </w:p>
    <w:p w14:paraId="73C2651A" w14:textId="77777777" w:rsidR="001B7BDD" w:rsidRPr="00EC38CA" w:rsidRDefault="001B7BDD" w:rsidP="001B7BDD">
      <w:pPr>
        <w:rPr>
          <w:rFonts w:cs="Arial"/>
          <w:b/>
          <w:i/>
          <w:szCs w:val="20"/>
        </w:rPr>
      </w:pPr>
      <w:r w:rsidRPr="00EC38CA">
        <w:rPr>
          <w:rFonts w:cs="Arial"/>
          <w:b/>
          <w:i/>
          <w:szCs w:val="20"/>
        </w:rPr>
        <w:t>Έσοδα Τ</w:t>
      </w:r>
      <w:r w:rsidR="00D26BFE">
        <w:rPr>
          <w:rFonts w:cs="Arial"/>
          <w:b/>
          <w:i/>
          <w:szCs w:val="20"/>
        </w:rPr>
        <w:t>ΑΑ</w:t>
      </w:r>
    </w:p>
    <w:p w14:paraId="03AD8318" w14:textId="77777777" w:rsidR="001B7BDD" w:rsidRPr="00EC38CA" w:rsidRDefault="00EC38CA" w:rsidP="00EC38CA">
      <w:pPr>
        <w:spacing w:before="120"/>
      </w:pPr>
      <w:r w:rsidRPr="00901C38">
        <w:t xml:space="preserve">Στην κατηγορία «Μεταβιβάσεις» περιλαμβάνονται έσοδα από το ΤΑΑ, προσαρμοσμένα κατά ESA, ύψους </w:t>
      </w:r>
      <w:r>
        <w:t>5.950</w:t>
      </w:r>
      <w:r w:rsidRPr="00901C38">
        <w:t xml:space="preserve"> εκατ. ευρώ, αυξημένα κατά 1.</w:t>
      </w:r>
      <w:r>
        <w:t>657</w:t>
      </w:r>
      <w:r w:rsidRPr="00901C38">
        <w:t xml:space="preserve"> εκατ. ευρώ έναντι του 202</w:t>
      </w:r>
      <w:r>
        <w:t>5</w:t>
      </w:r>
      <w:r w:rsidRPr="00901C38">
        <w:t>.</w:t>
      </w:r>
    </w:p>
    <w:p w14:paraId="328AF1E2" w14:textId="77777777" w:rsidR="00847E05" w:rsidRPr="008B7488" w:rsidRDefault="00847E05" w:rsidP="00DC6F26">
      <w:pPr>
        <w:pStyle w:val="5"/>
        <w:keepNext w:val="0"/>
        <w:numPr>
          <w:ilvl w:val="0"/>
          <w:numId w:val="0"/>
        </w:numPr>
        <w:spacing w:before="360" w:after="240"/>
        <w:rPr>
          <w:bCs/>
          <w:sz w:val="22"/>
        </w:rPr>
      </w:pPr>
      <w:bookmarkStart w:id="231" w:name="_Toc210570673"/>
      <w:r w:rsidRPr="008B7488">
        <w:rPr>
          <w:bCs/>
          <w:sz w:val="22"/>
        </w:rPr>
        <w:t>Δαπάνες</w:t>
      </w:r>
      <w:r w:rsidR="00F06718">
        <w:rPr>
          <w:bCs/>
          <w:sz w:val="22"/>
          <w:lang w:val="el-GR"/>
        </w:rPr>
        <w:t xml:space="preserve"> </w:t>
      </w:r>
      <w:r w:rsidRPr="008B7488">
        <w:rPr>
          <w:bCs/>
          <w:sz w:val="22"/>
        </w:rPr>
        <w:t>- Ανάλυση σε δημοσιονομική βάση</w:t>
      </w:r>
      <w:bookmarkEnd w:id="231"/>
    </w:p>
    <w:p w14:paraId="176E2D7E" w14:textId="5F7531A8" w:rsidR="002674A3" w:rsidRPr="00544591" w:rsidRDefault="00422964" w:rsidP="00A408DA">
      <w:pPr>
        <w:rPr>
          <w:highlight w:val="yellow"/>
        </w:rPr>
      </w:pPr>
      <w:bookmarkStart w:id="232" w:name="_Toc114142030"/>
      <w:r w:rsidRPr="000B119A">
        <w:t>Οι συνολικές δαπάνες του κρατικού προϋπολογισμού για το έτος 202</w:t>
      </w:r>
      <w:r>
        <w:t>6</w:t>
      </w:r>
      <w:r w:rsidRPr="000B119A">
        <w:t xml:space="preserve"> προβλέπεται ότι θα διαμορφωθούν σε 8</w:t>
      </w:r>
      <w:r>
        <w:t>6</w:t>
      </w:r>
      <w:r w:rsidRPr="000B119A">
        <w:t>.</w:t>
      </w:r>
      <w:r w:rsidR="0048616D">
        <w:t>529</w:t>
      </w:r>
      <w:r w:rsidRPr="000B119A">
        <w:t xml:space="preserve"> εκατ. ευρώ, αυξημένες κατά </w:t>
      </w:r>
      <w:r>
        <w:t>5</w:t>
      </w:r>
      <w:r w:rsidRPr="000B119A">
        <w:t>.</w:t>
      </w:r>
      <w:r w:rsidR="00FE6015">
        <w:t>074</w:t>
      </w:r>
      <w:r w:rsidRPr="000B119A">
        <w:t xml:space="preserve"> εκατ. ευρώ σε σχέση με την αντίστοιχη εκτίμηση έτους 202</w:t>
      </w:r>
      <w:r>
        <w:t>5</w:t>
      </w:r>
      <w:r w:rsidR="00AD4AA3">
        <w:t xml:space="preserve">. Η εν λόγω αύξηση οφείλεται </w:t>
      </w:r>
      <w:r w:rsidRPr="000B119A">
        <w:t>κυρίως</w:t>
      </w:r>
      <w:r w:rsidR="00AD4AA3">
        <w:t xml:space="preserve"> σ</w:t>
      </w:r>
      <w:r w:rsidRPr="000B119A">
        <w:t>τη</w:t>
      </w:r>
      <w:r w:rsidR="00AD4AA3">
        <w:t>ν</w:t>
      </w:r>
      <w:r w:rsidRPr="000B119A">
        <w:t xml:space="preserve"> επιτάχυνση των έργων που χρηματοδοτούνται από το ΤΑΑ</w:t>
      </w:r>
      <w:r w:rsidR="00AD4AA3">
        <w:t xml:space="preserve"> </w:t>
      </w:r>
      <w:r w:rsidR="00DE2CC6">
        <w:t>λόγω λήξης του προγράμματος</w:t>
      </w:r>
      <w:r w:rsidRPr="000B119A">
        <w:t xml:space="preserve">, </w:t>
      </w:r>
      <w:r w:rsidR="00061E32">
        <w:t xml:space="preserve">στην εφαρμογή των παρεμβάσεων που ανακοινώθηκαν στη ΔΕΘ, </w:t>
      </w:r>
      <w:r w:rsidR="00AD4AA3">
        <w:t xml:space="preserve">στις </w:t>
      </w:r>
      <w:r w:rsidRPr="000B119A">
        <w:t>αυξημέν</w:t>
      </w:r>
      <w:r w:rsidR="00AD4AA3">
        <w:t>ες</w:t>
      </w:r>
      <w:r w:rsidRPr="000B119A">
        <w:t xml:space="preserve"> φυσικ</w:t>
      </w:r>
      <w:r w:rsidR="00AD4AA3">
        <w:t xml:space="preserve">ές </w:t>
      </w:r>
      <w:r w:rsidRPr="000B119A">
        <w:t>παραλαβ</w:t>
      </w:r>
      <w:r w:rsidR="00AD4AA3">
        <w:t>ές</w:t>
      </w:r>
      <w:r w:rsidRPr="000B119A">
        <w:t xml:space="preserve"> των οπλικών συστημάτων του Υπουργείου Εθνικής Άμυνας</w:t>
      </w:r>
      <w:r>
        <w:t xml:space="preserve"> και</w:t>
      </w:r>
      <w:r w:rsidRPr="000B119A">
        <w:t xml:space="preserve"> </w:t>
      </w:r>
      <w:r w:rsidR="00AD4AA3">
        <w:t>σ</w:t>
      </w:r>
      <w:r w:rsidRPr="000B119A">
        <w:t xml:space="preserve">την αύξηση </w:t>
      </w:r>
      <w:r>
        <w:t xml:space="preserve">του δημοσιονομικού περιθωρίου </w:t>
      </w:r>
      <w:r w:rsidR="00DE2CC6">
        <w:t>δαπανών</w:t>
      </w:r>
      <w:r w:rsidRPr="008D1A10">
        <w:t xml:space="preserve"> </w:t>
      </w:r>
      <w:r>
        <w:t xml:space="preserve">για </w:t>
      </w:r>
      <w:r w:rsidR="00AD4AA3">
        <w:t xml:space="preserve">την </w:t>
      </w:r>
      <w:r>
        <w:t xml:space="preserve">εξυπηρέτηση </w:t>
      </w:r>
      <w:r w:rsidR="00680AA3">
        <w:t xml:space="preserve">των </w:t>
      </w:r>
      <w:r>
        <w:t xml:space="preserve">αναγκών των </w:t>
      </w:r>
      <w:r w:rsidR="00AD4AA3">
        <w:t>Υ</w:t>
      </w:r>
      <w:r>
        <w:t>πουργείων</w:t>
      </w:r>
      <w:r w:rsidR="00680AA3">
        <w:t xml:space="preserve"> και των φορέων της Γενικής Κυβέρνησης</w:t>
      </w:r>
      <w:r w:rsidRPr="000B119A">
        <w:t>.</w:t>
      </w:r>
    </w:p>
    <w:p w14:paraId="78D3EBB3" w14:textId="77777777" w:rsidR="008E19DF" w:rsidRPr="00422964" w:rsidRDefault="008E19DF" w:rsidP="00614C06">
      <w:pPr>
        <w:spacing w:before="240"/>
        <w:rPr>
          <w:rFonts w:cs="Arial"/>
          <w:b/>
          <w:szCs w:val="22"/>
        </w:rPr>
      </w:pPr>
      <w:r w:rsidRPr="00422964">
        <w:rPr>
          <w:rFonts w:cs="Arial"/>
          <w:b/>
          <w:szCs w:val="22"/>
        </w:rPr>
        <w:t>Παροχές σε εργαζόμενους</w:t>
      </w:r>
    </w:p>
    <w:p w14:paraId="75062351" w14:textId="6317D10C" w:rsidR="00AB6CC8" w:rsidRPr="00422964" w:rsidRDefault="00422964" w:rsidP="00AB6CC8">
      <w:pPr>
        <w:rPr>
          <w:rFonts w:cs="Arial"/>
          <w:szCs w:val="22"/>
        </w:rPr>
      </w:pPr>
      <w:r>
        <w:t>Οι δαπάνες της κατηγορίας αυτής προβλέπεται να ανέλθουν στο ποσό των 15.253 εκατ. ευρώ, μειωμένες κατά 31 εκατ. ευρώ σε σχέση με την εκτίμηση έτους 2025, χωρίς να συνυπολογίζ</w:t>
      </w:r>
      <w:r w:rsidR="007F440A">
        <w:t>ονται οι</w:t>
      </w:r>
      <w:r>
        <w:t xml:space="preserve"> δαπάν</w:t>
      </w:r>
      <w:r w:rsidR="007F440A">
        <w:t>ες</w:t>
      </w:r>
      <w:r>
        <w:t xml:space="preserve"> των νέων προσλήψεων</w:t>
      </w:r>
      <w:r w:rsidR="009C06A2">
        <w:t xml:space="preserve">, </w:t>
      </w:r>
      <w:r>
        <w:t>των</w:t>
      </w:r>
      <w:r w:rsidR="00DE2CC6">
        <w:t xml:space="preserve"> προβλεπόμενων </w:t>
      </w:r>
      <w:r>
        <w:t>αυξήσεων των μισθών από τον Απρίλιο 2026</w:t>
      </w:r>
      <w:r w:rsidR="009C06A2">
        <w:t xml:space="preserve">, </w:t>
      </w:r>
      <w:r w:rsidR="009411FF">
        <w:t>τ</w:t>
      </w:r>
      <w:r w:rsidR="009C06A2">
        <w:t>η</w:t>
      </w:r>
      <w:r w:rsidR="009411FF">
        <w:t>ς</w:t>
      </w:r>
      <w:r w:rsidR="009C06A2">
        <w:t xml:space="preserve"> αναμόρφωση</w:t>
      </w:r>
      <w:r w:rsidR="009411FF">
        <w:t>ς</w:t>
      </w:r>
      <w:r w:rsidR="009C06A2">
        <w:t xml:space="preserve"> των αποδοχών των υπαλλήλων της εξωτερικής υπηρεσίας του Υπουργείου Εξωτερικών</w:t>
      </w:r>
      <w:r w:rsidR="00A76F4A">
        <w:t xml:space="preserve"> </w:t>
      </w:r>
      <w:r w:rsidR="007F440A">
        <w:t xml:space="preserve">καθώς και οι </w:t>
      </w:r>
      <w:r>
        <w:t>λοιπ</w:t>
      </w:r>
      <w:r w:rsidR="007F440A">
        <w:t>ές</w:t>
      </w:r>
      <w:r>
        <w:t xml:space="preserve"> μισθολογικ</w:t>
      </w:r>
      <w:r w:rsidR="007F440A">
        <w:t>ές</w:t>
      </w:r>
      <w:r>
        <w:t xml:space="preserve"> δαπ</w:t>
      </w:r>
      <w:r w:rsidR="007F440A">
        <w:t>ά</w:t>
      </w:r>
      <w:r>
        <w:t>ν</w:t>
      </w:r>
      <w:r w:rsidR="007F440A">
        <w:t>ες</w:t>
      </w:r>
      <w:r>
        <w:t>, οι οποίες περιλαμβάνονται σ</w:t>
      </w:r>
      <w:r w:rsidR="007B4675">
        <w:t>ε υπό κατανομή</w:t>
      </w:r>
      <w:r>
        <w:t xml:space="preserve"> πιστώσεις</w:t>
      </w:r>
      <w:r w:rsidR="007B4675">
        <w:t>,</w:t>
      </w:r>
      <w:r>
        <w:t xml:space="preserve"> με συνολικό προβλεπόμενο </w:t>
      </w:r>
      <w:r w:rsidR="007B4675">
        <w:t xml:space="preserve">ύψος </w:t>
      </w:r>
      <w:r>
        <w:t xml:space="preserve">1.102 εκατ. ευρώ. </w:t>
      </w:r>
      <w:r w:rsidR="00C57790">
        <w:t xml:space="preserve">Επισημαίνεται </w:t>
      </w:r>
      <w:r>
        <w:t xml:space="preserve">ότι κατά την κατάρτιση του προϋπολογισμού οι </w:t>
      </w:r>
      <w:r w:rsidR="007B4675">
        <w:t>δαπάνες</w:t>
      </w:r>
      <w:r>
        <w:t xml:space="preserve"> για νέες προσλήψεις προβλέπονται αρχικά στην κατηγορία «Πιστώσεις υπό κατανομή» και διατίθενται σταδιακά για τις δαπάνες των παροχών σε εργαζόμενους των φορέων της Κεντρικής Διοίκησης κατά την εκτέλεση του προϋπολογισμού, με βάση την υλοποίηση των προσλήψεων σε αυτούς.</w:t>
      </w:r>
    </w:p>
    <w:p w14:paraId="0785CCD8" w14:textId="5A4CAE67" w:rsidR="008E19DF" w:rsidRPr="001D7C77" w:rsidRDefault="008E19DF" w:rsidP="00A408DA">
      <w:pPr>
        <w:spacing w:before="240"/>
        <w:rPr>
          <w:rFonts w:cs="Arial"/>
          <w:b/>
          <w:szCs w:val="22"/>
        </w:rPr>
      </w:pPr>
      <w:r w:rsidRPr="001D7C77">
        <w:rPr>
          <w:rFonts w:cs="Arial"/>
          <w:b/>
          <w:szCs w:val="22"/>
        </w:rPr>
        <w:t xml:space="preserve">Κοινωνικές </w:t>
      </w:r>
      <w:r w:rsidR="00882A48">
        <w:rPr>
          <w:rFonts w:cs="Arial"/>
          <w:b/>
          <w:szCs w:val="22"/>
        </w:rPr>
        <w:t>π</w:t>
      </w:r>
      <w:r w:rsidRPr="001D7C77">
        <w:rPr>
          <w:rFonts w:cs="Arial"/>
          <w:b/>
          <w:szCs w:val="22"/>
        </w:rPr>
        <w:t>αροχές</w:t>
      </w:r>
    </w:p>
    <w:p w14:paraId="33103C08" w14:textId="7391648C" w:rsidR="002674A3" w:rsidRPr="00544591" w:rsidRDefault="001D7C77" w:rsidP="006F21B6">
      <w:pPr>
        <w:rPr>
          <w:highlight w:val="yellow"/>
        </w:rPr>
      </w:pPr>
      <w:r w:rsidRPr="000B119A">
        <w:t>Οι δαπάνες της κατηγορίας αυτής προβλέπεται ότι θα ανέλθουν σ</w:t>
      </w:r>
      <w:r>
        <w:t>ε</w:t>
      </w:r>
      <w:r w:rsidRPr="000B119A">
        <w:t xml:space="preserve"> </w:t>
      </w:r>
      <w:r>
        <w:t>642</w:t>
      </w:r>
      <w:r w:rsidRPr="000B119A">
        <w:t xml:space="preserve"> εκατ. ευρώ, αυξημένες κατά </w:t>
      </w:r>
      <w:r>
        <w:t>76</w:t>
      </w:r>
      <w:r w:rsidRPr="000B119A">
        <w:t xml:space="preserve"> εκατ. ευρώ σε σχέση με το 202</w:t>
      </w:r>
      <w:r>
        <w:t>5</w:t>
      </w:r>
      <w:r w:rsidRPr="000B119A">
        <w:t>.</w:t>
      </w:r>
    </w:p>
    <w:p w14:paraId="10DBD647" w14:textId="77777777" w:rsidR="008E19DF" w:rsidRPr="006F21B6" w:rsidRDefault="008E19DF" w:rsidP="004E7D05">
      <w:pPr>
        <w:spacing w:before="240"/>
        <w:rPr>
          <w:rFonts w:cs="Arial"/>
          <w:b/>
          <w:szCs w:val="22"/>
        </w:rPr>
      </w:pPr>
      <w:r w:rsidRPr="006F21B6">
        <w:rPr>
          <w:rFonts w:cs="Arial"/>
          <w:b/>
          <w:szCs w:val="22"/>
        </w:rPr>
        <w:t>Μεταβιβάσεις</w:t>
      </w:r>
    </w:p>
    <w:p w14:paraId="5CB80D53" w14:textId="2D6EAEA6" w:rsidR="008E19DF" w:rsidRPr="00544591" w:rsidRDefault="006F21B6" w:rsidP="002674A3">
      <w:pPr>
        <w:rPr>
          <w:highlight w:val="yellow"/>
        </w:rPr>
      </w:pPr>
      <w:r w:rsidRPr="000B119A">
        <w:t>Οι δαπάνες για τις μεταβιβάσεις σε φορείς εντός και εκτός Γενικής Κυβέρνησης προβλέπεται ότι θα διαμορφωθούν στ</w:t>
      </w:r>
      <w:r>
        <w:t>ο ποσό των</w:t>
      </w:r>
      <w:r w:rsidRPr="000B119A">
        <w:t xml:space="preserve"> 3</w:t>
      </w:r>
      <w:r>
        <w:t>5</w:t>
      </w:r>
      <w:r w:rsidRPr="000B119A">
        <w:t>.</w:t>
      </w:r>
      <w:r w:rsidR="00E3093F">
        <w:t>086</w:t>
      </w:r>
      <w:r w:rsidRPr="000B119A">
        <w:t xml:space="preserve"> εκατ. ευρώ, αυξημένες κατά </w:t>
      </w:r>
      <w:r w:rsidR="00E3093F">
        <w:t>423</w:t>
      </w:r>
      <w:r w:rsidRPr="000B119A">
        <w:t xml:space="preserve"> εκατ. ευρώ έναντι της εκτίμησης του 202</w:t>
      </w:r>
      <w:r>
        <w:t>5</w:t>
      </w:r>
      <w:r w:rsidRPr="000B119A">
        <w:t xml:space="preserve">, εξαιτίας </w:t>
      </w:r>
      <w:r>
        <w:t xml:space="preserve">κυρίως </w:t>
      </w:r>
      <w:r w:rsidRPr="000B119A">
        <w:t xml:space="preserve">των αυξημένων προβλέψεων </w:t>
      </w:r>
      <w:r>
        <w:t>αποδόσεων προς την ΕΕ</w:t>
      </w:r>
      <w:r w:rsidR="0061554B">
        <w:t xml:space="preserve"> </w:t>
      </w:r>
      <w:r>
        <w:t>κατά 454 εκατ. ευρώ.</w:t>
      </w:r>
      <w:r w:rsidRPr="000B119A">
        <w:t xml:space="preserve"> Αναλυτικότερα,</w:t>
      </w:r>
      <w:r>
        <w:t xml:space="preserve"> σ</w:t>
      </w:r>
      <w:r w:rsidR="0061554B">
        <w:t xml:space="preserve">την εν λόγω </w:t>
      </w:r>
      <w:r>
        <w:t xml:space="preserve">μείζονα κατηγορία </w:t>
      </w:r>
      <w:r w:rsidRPr="000B119A">
        <w:t>οι συνολικές προβλέψεις μεταβιβάσεων προς τα νοσοκομεία</w:t>
      </w:r>
      <w:r w:rsidR="00333FC9">
        <w:t xml:space="preserve">, </w:t>
      </w:r>
      <w:r w:rsidRPr="000B119A">
        <w:t xml:space="preserve">τις </w:t>
      </w:r>
      <w:r>
        <w:t>Υγειονομικές Περιφέρειες - Πρωτοβάθμιο Εθνικό Δίκτυο Υγείας (</w:t>
      </w:r>
      <w:r w:rsidRPr="000B119A">
        <w:t>ΥΠΕ</w:t>
      </w:r>
      <w:r>
        <w:t xml:space="preserve"> - </w:t>
      </w:r>
      <w:r w:rsidRPr="000B119A">
        <w:t>ΠΕΔΥ</w:t>
      </w:r>
      <w:r>
        <w:t>)</w:t>
      </w:r>
      <w:r w:rsidR="00333FC9">
        <w:t xml:space="preserve"> και την </w:t>
      </w:r>
      <w:r w:rsidR="00333FC9">
        <w:lastRenderedPageBreak/>
        <w:t>ΕΚΑΠΥ</w:t>
      </w:r>
      <w:r w:rsidRPr="000B119A">
        <w:t xml:space="preserve"> </w:t>
      </w:r>
      <w:r w:rsidRPr="005C40C6">
        <w:t xml:space="preserve">ανέρχονται σε </w:t>
      </w:r>
      <w:r w:rsidR="00333FC9">
        <w:t>2</w:t>
      </w:r>
      <w:r w:rsidRPr="005C40C6">
        <w:t>.</w:t>
      </w:r>
      <w:r w:rsidR="00333FC9">
        <w:t>188</w:t>
      </w:r>
      <w:r w:rsidRPr="005C40C6">
        <w:t xml:space="preserve"> εκατ. ευρώ, προς τους ΟΤΑ σε 3.</w:t>
      </w:r>
      <w:r>
        <w:t>557</w:t>
      </w:r>
      <w:r w:rsidRPr="005C40C6">
        <w:t xml:space="preserve"> εκατ. ευρώ, προς τους ΟΚΑ σε 2</w:t>
      </w:r>
      <w:r>
        <w:t>2</w:t>
      </w:r>
      <w:r w:rsidRPr="005C40C6">
        <w:t>.</w:t>
      </w:r>
      <w:r>
        <w:t>295</w:t>
      </w:r>
      <w:r w:rsidRPr="005C40C6">
        <w:t xml:space="preserve"> εκατ. ευρώ και </w:t>
      </w:r>
      <w:r w:rsidR="00822CD7">
        <w:t xml:space="preserve">οι </w:t>
      </w:r>
      <w:r w:rsidR="007B4675">
        <w:t xml:space="preserve">αποδόσεις </w:t>
      </w:r>
      <w:r w:rsidRPr="005C40C6">
        <w:t xml:space="preserve">προς την ΕΕ </w:t>
      </w:r>
      <w:r w:rsidR="00822CD7">
        <w:t xml:space="preserve">ανέρχονται </w:t>
      </w:r>
      <w:r w:rsidRPr="005C40C6">
        <w:t>σε 2.</w:t>
      </w:r>
      <w:r>
        <w:t>977</w:t>
      </w:r>
      <w:r w:rsidRPr="005C40C6">
        <w:t xml:space="preserve"> εκατ. ευρώ</w:t>
      </w:r>
      <w:r>
        <w:t>.</w:t>
      </w:r>
    </w:p>
    <w:p w14:paraId="1BE41773" w14:textId="77777777" w:rsidR="008E19DF" w:rsidRPr="005B27B3" w:rsidRDefault="008E19DF" w:rsidP="00A408DA">
      <w:pPr>
        <w:spacing w:before="240"/>
        <w:rPr>
          <w:rFonts w:cs="Arial"/>
          <w:b/>
          <w:szCs w:val="22"/>
        </w:rPr>
      </w:pPr>
      <w:r w:rsidRPr="005B27B3">
        <w:rPr>
          <w:rFonts w:cs="Arial"/>
          <w:b/>
          <w:szCs w:val="22"/>
        </w:rPr>
        <w:t>Αγορές αγαθών και υπηρεσιών</w:t>
      </w:r>
    </w:p>
    <w:p w14:paraId="186458A4" w14:textId="5704C848" w:rsidR="002674A3" w:rsidRPr="00544591" w:rsidRDefault="005B27B3" w:rsidP="00A408DA">
      <w:pPr>
        <w:rPr>
          <w:rFonts w:cs="Arial"/>
          <w:highlight w:val="yellow"/>
        </w:rPr>
      </w:pPr>
      <w:r w:rsidRPr="00502B28">
        <w:rPr>
          <w:rFonts w:cs="Arial"/>
        </w:rPr>
        <w:t xml:space="preserve">Η προβλεπόμενη δαπάνη ανέρχεται σε </w:t>
      </w:r>
      <w:r>
        <w:rPr>
          <w:rFonts w:cs="Arial"/>
        </w:rPr>
        <w:t>2</w:t>
      </w:r>
      <w:r w:rsidRPr="00502B28">
        <w:rPr>
          <w:rFonts w:cs="Arial"/>
        </w:rPr>
        <w:t>.</w:t>
      </w:r>
      <w:r>
        <w:rPr>
          <w:rFonts w:cs="Arial"/>
        </w:rPr>
        <w:t>022</w:t>
      </w:r>
      <w:r w:rsidRPr="00502B28">
        <w:rPr>
          <w:rFonts w:cs="Arial"/>
        </w:rPr>
        <w:t xml:space="preserve"> εκατ. ευρώ, μειωμένη κατά 2</w:t>
      </w:r>
      <w:r>
        <w:rPr>
          <w:rFonts w:cs="Arial"/>
        </w:rPr>
        <w:t>59</w:t>
      </w:r>
      <w:r w:rsidRPr="00502B28">
        <w:rPr>
          <w:rFonts w:cs="Arial"/>
        </w:rPr>
        <w:t xml:space="preserve"> εκατ. ευρώ σε σχέση με την αντίστοιχη εκτίμηση </w:t>
      </w:r>
      <w:r w:rsidR="0061554B">
        <w:rPr>
          <w:rFonts w:cs="Arial"/>
        </w:rPr>
        <w:t xml:space="preserve">έτους </w:t>
      </w:r>
      <w:r w:rsidRPr="00502B28">
        <w:rPr>
          <w:rFonts w:cs="Arial"/>
        </w:rPr>
        <w:t>202</w:t>
      </w:r>
      <w:r>
        <w:rPr>
          <w:rFonts w:cs="Arial"/>
        </w:rPr>
        <w:t>5</w:t>
      </w:r>
      <w:r w:rsidRPr="00502B28">
        <w:rPr>
          <w:rFonts w:cs="Arial"/>
        </w:rPr>
        <w:t>. Η μείωση αυτή οφείλεται κυρίως στο γεγονός ότι η αντίστοιχη εκτίμηση του έτους 202</w:t>
      </w:r>
      <w:r>
        <w:rPr>
          <w:rFonts w:cs="Arial"/>
        </w:rPr>
        <w:t>5</w:t>
      </w:r>
      <w:r w:rsidRPr="00502B28">
        <w:rPr>
          <w:rFonts w:cs="Arial"/>
        </w:rPr>
        <w:t xml:space="preserve"> ενσωματώνει δαπάνες που καλύφθηκαν</w:t>
      </w:r>
      <w:r>
        <w:rPr>
          <w:rFonts w:cs="Arial"/>
        </w:rPr>
        <w:t xml:space="preserve"> στην πορεία του έτους</w:t>
      </w:r>
      <w:r w:rsidRPr="00502B28">
        <w:rPr>
          <w:rFonts w:cs="Arial"/>
        </w:rPr>
        <w:t xml:space="preserve"> από το αποθεματικό του </w:t>
      </w:r>
      <w:r>
        <w:rPr>
          <w:rFonts w:cs="Arial"/>
        </w:rPr>
        <w:t>κ</w:t>
      </w:r>
      <w:r w:rsidRPr="00502B28">
        <w:rPr>
          <w:rFonts w:cs="Arial"/>
        </w:rPr>
        <w:t xml:space="preserve">ρατικού </w:t>
      </w:r>
      <w:r>
        <w:rPr>
          <w:rFonts w:cs="Arial"/>
        </w:rPr>
        <w:t>π</w:t>
      </w:r>
      <w:r w:rsidRPr="00502B28">
        <w:rPr>
          <w:rFonts w:cs="Arial"/>
        </w:rPr>
        <w:t>ροϋπολογισμού.</w:t>
      </w:r>
    </w:p>
    <w:p w14:paraId="5CA95874" w14:textId="77777777" w:rsidR="008E19DF" w:rsidRPr="005B27B3" w:rsidRDefault="008E19DF" w:rsidP="00A408DA">
      <w:pPr>
        <w:spacing w:before="240"/>
        <w:rPr>
          <w:rFonts w:cs="Arial"/>
          <w:b/>
          <w:szCs w:val="22"/>
        </w:rPr>
      </w:pPr>
      <w:r w:rsidRPr="005B27B3">
        <w:rPr>
          <w:rFonts w:cs="Arial"/>
          <w:b/>
          <w:szCs w:val="22"/>
        </w:rPr>
        <w:t>Επιδοτήσεις</w:t>
      </w:r>
    </w:p>
    <w:p w14:paraId="1D3A2D7A" w14:textId="71881365" w:rsidR="005B27B3" w:rsidRDefault="005B27B3" w:rsidP="005B27B3">
      <w:pPr>
        <w:rPr>
          <w:rFonts w:cs="Arial"/>
          <w:b/>
          <w:szCs w:val="22"/>
        </w:rPr>
      </w:pPr>
      <w:r w:rsidRPr="00142FCD">
        <w:t>Η δαπάνη προβλέπεται να ανέλθει στ</w:t>
      </w:r>
      <w:r>
        <w:t>ο ποσό των</w:t>
      </w:r>
      <w:r w:rsidRPr="00142FCD">
        <w:t xml:space="preserve"> </w:t>
      </w:r>
      <w:r>
        <w:t>80</w:t>
      </w:r>
      <w:r w:rsidRPr="00142FCD">
        <w:t xml:space="preserve"> εκατ. ευρώ, </w:t>
      </w:r>
      <w:r>
        <w:t>αυξημένη</w:t>
      </w:r>
      <w:r w:rsidRPr="00142FCD">
        <w:t xml:space="preserve"> κατά </w:t>
      </w:r>
      <w:r>
        <w:t>3</w:t>
      </w:r>
      <w:r w:rsidRPr="00142FCD">
        <w:t xml:space="preserve"> εκατ. ευρώ σε σχέση με το 202</w:t>
      </w:r>
      <w:r>
        <w:t>5</w:t>
      </w:r>
      <w:r w:rsidRPr="00142FCD">
        <w:t>.</w:t>
      </w:r>
      <w:r>
        <w:t xml:space="preserve"> Περιλαμβάνονται κυρίως οι επιδοτήσεις </w:t>
      </w:r>
      <w:r w:rsidRPr="00401E61">
        <w:t>προς την ΤΡΑΙΝΟΣΕ ΑΕ και προς τα Ε</w:t>
      </w:r>
      <w:r w:rsidR="0061554B">
        <w:t>ΛΤΑ</w:t>
      </w:r>
      <w:r w:rsidRPr="00401E61">
        <w:t xml:space="preserve"> για την καθολική ταχυδρομική υπηρεσία</w:t>
      </w:r>
      <w:r>
        <w:t>.</w:t>
      </w:r>
    </w:p>
    <w:p w14:paraId="62F49DCD" w14:textId="77777777" w:rsidR="008E19DF" w:rsidRPr="005B27B3" w:rsidRDefault="008E19DF" w:rsidP="00DC6F26">
      <w:pPr>
        <w:spacing w:before="240"/>
        <w:rPr>
          <w:rFonts w:cs="Arial"/>
          <w:b/>
          <w:szCs w:val="22"/>
        </w:rPr>
      </w:pPr>
      <w:r w:rsidRPr="005B27B3">
        <w:rPr>
          <w:rFonts w:cs="Arial"/>
          <w:b/>
          <w:szCs w:val="22"/>
        </w:rPr>
        <w:t>Τόκοι (σε ακαθάριστη βάση)</w:t>
      </w:r>
    </w:p>
    <w:p w14:paraId="5D569B9C" w14:textId="1C086E16" w:rsidR="004D3E80" w:rsidRPr="00544591" w:rsidRDefault="005B27B3" w:rsidP="004D3E80">
      <w:pPr>
        <w:rPr>
          <w:highlight w:val="yellow"/>
        </w:rPr>
      </w:pPr>
      <w:r w:rsidRPr="00142FCD">
        <w:t>Η πρόβλεψη για τις δαπάνες τόκων σε ακαθάριστη δημοσιονομική βάση ανέρχεται σε 9.</w:t>
      </w:r>
      <w:r>
        <w:t>746</w:t>
      </w:r>
      <w:r w:rsidRPr="00142FCD">
        <w:t xml:space="preserve"> εκατ. ευρώ, μειωμένη κατά </w:t>
      </w:r>
      <w:r w:rsidR="00F645CC">
        <w:t>95</w:t>
      </w:r>
      <w:r w:rsidRPr="00142FCD">
        <w:t xml:space="preserve"> εκατ. ευρώ σε σχέση με την εκτίμηση έτους 202</w:t>
      </w:r>
      <w:r>
        <w:t>5</w:t>
      </w:r>
      <w:r w:rsidRPr="00142FCD">
        <w:t>.</w:t>
      </w:r>
    </w:p>
    <w:p w14:paraId="5E9C9D37" w14:textId="77777777" w:rsidR="008E19DF" w:rsidRPr="005B27B3" w:rsidRDefault="008E19DF" w:rsidP="00A408DA">
      <w:pPr>
        <w:spacing w:before="240"/>
        <w:rPr>
          <w:rFonts w:cs="Arial"/>
          <w:b/>
          <w:szCs w:val="22"/>
        </w:rPr>
      </w:pPr>
      <w:r w:rsidRPr="005B27B3">
        <w:rPr>
          <w:rFonts w:cs="Arial"/>
          <w:b/>
          <w:szCs w:val="22"/>
        </w:rPr>
        <w:t>Λοιπές δαπάνες</w:t>
      </w:r>
    </w:p>
    <w:p w14:paraId="39483640" w14:textId="043A90FB" w:rsidR="004D3E80" w:rsidRPr="00544591" w:rsidRDefault="005B27B3" w:rsidP="004D3E80">
      <w:pPr>
        <w:rPr>
          <w:highlight w:val="yellow"/>
        </w:rPr>
      </w:pPr>
      <w:r w:rsidRPr="00142FCD">
        <w:t>Στην κατηγορία αυτή η προβλεπόμενη δαπάνη ανέρχεται σε 101 εκατ. ευρώ</w:t>
      </w:r>
      <w:r>
        <w:t>, μειωμένη κατά 19 εκατ. ευρώ σε σχέση με την αντίστοιχη εκτίμηση του 2025</w:t>
      </w:r>
      <w:r w:rsidRPr="00142FCD">
        <w:t>.</w:t>
      </w:r>
    </w:p>
    <w:p w14:paraId="225604FA" w14:textId="77777777" w:rsidR="008E19DF" w:rsidRDefault="008E19DF" w:rsidP="00A408DA">
      <w:pPr>
        <w:spacing w:before="240"/>
        <w:rPr>
          <w:rFonts w:cs="Arial"/>
          <w:b/>
          <w:szCs w:val="22"/>
        </w:rPr>
      </w:pPr>
      <w:r w:rsidRPr="00286451">
        <w:rPr>
          <w:rFonts w:cs="Arial"/>
          <w:b/>
          <w:szCs w:val="22"/>
        </w:rPr>
        <w:t>Πιστώσεις υπό κατανομή</w:t>
      </w:r>
    </w:p>
    <w:p w14:paraId="5909A87C" w14:textId="0B8487F0" w:rsidR="00CB5730" w:rsidRPr="00105626" w:rsidRDefault="005B27B3" w:rsidP="00CB5730">
      <w:r>
        <w:t>Η πρόβλεψη για το σύνολο της κατηγορίας αυτής ανέρχεται στο ποσό των 21.2</w:t>
      </w:r>
      <w:r w:rsidR="008C3F6B">
        <w:t>0</w:t>
      </w:r>
      <w:r>
        <w:t>1 εκατ. ευρώ. Στην κατηγορία αυτή περιλαμβάνονται κυρίως</w:t>
      </w:r>
      <w:r w:rsidR="00375088">
        <w:t xml:space="preserve"> προβλέψεις</w:t>
      </w:r>
      <w:r>
        <w:t xml:space="preserve"> πιστώσε</w:t>
      </w:r>
      <w:r w:rsidR="00375088">
        <w:t>ων</w:t>
      </w:r>
      <w:r>
        <w:t xml:space="preserve"> ύψους:</w:t>
      </w:r>
    </w:p>
    <w:p w14:paraId="629189B1" w14:textId="24C0D334" w:rsidR="00286451" w:rsidRDefault="00286451" w:rsidP="00270C2C">
      <w:pPr>
        <w:numPr>
          <w:ilvl w:val="0"/>
          <w:numId w:val="1"/>
        </w:numPr>
        <w:spacing w:before="120" w:after="60"/>
        <w:ind w:left="568" w:hanging="284"/>
      </w:pPr>
      <w:bookmarkStart w:id="233" w:name="_Toc114142037"/>
      <w:r w:rsidRPr="006228F8">
        <w:t>9.</w:t>
      </w:r>
      <w:r>
        <w:t>5</w:t>
      </w:r>
      <w:r w:rsidRPr="006228F8">
        <w:t>00 εκατ. ευρώ</w:t>
      </w:r>
      <w:r w:rsidR="00105626" w:rsidRPr="00105626">
        <w:t xml:space="preserve"> </w:t>
      </w:r>
      <w:r w:rsidR="00105626">
        <w:t>του προϋπολογισμού δημοσίων επενδύσεων</w:t>
      </w:r>
      <w:r w:rsidRPr="006228F8">
        <w:t xml:space="preserve">, εκ των οποίων </w:t>
      </w:r>
      <w:r>
        <w:t>3.300</w:t>
      </w:r>
      <w:r w:rsidRPr="006228F8">
        <w:t xml:space="preserve"> εκατ. ευρώ αφορούν στο εθνικό σκέλος και </w:t>
      </w:r>
      <w:r>
        <w:t>6.</w:t>
      </w:r>
      <w:r w:rsidRPr="00F67263">
        <w:t>20</w:t>
      </w:r>
      <w:r>
        <w:t xml:space="preserve">0 </w:t>
      </w:r>
      <w:r w:rsidRPr="006228F8">
        <w:t>εκατ. ευρώ αφορούν στο συγχρηματοδοτούμενο σκέλος</w:t>
      </w:r>
      <w:r w:rsidR="005B27B3">
        <w:t>,</w:t>
      </w:r>
    </w:p>
    <w:p w14:paraId="045C33AE" w14:textId="418372F0" w:rsidR="004D3E80" w:rsidRDefault="00286451" w:rsidP="005B27B3">
      <w:pPr>
        <w:numPr>
          <w:ilvl w:val="0"/>
          <w:numId w:val="1"/>
        </w:numPr>
        <w:spacing w:before="60" w:after="60"/>
        <w:ind w:left="568" w:hanging="284"/>
      </w:pPr>
      <w:r w:rsidRPr="00286451">
        <w:t>7.19</w:t>
      </w:r>
      <w:r w:rsidR="009122DA" w:rsidRPr="00945571">
        <w:t>2</w:t>
      </w:r>
      <w:r w:rsidRPr="00286451">
        <w:t xml:space="preserve"> εκατ. ευρώ για έργα του ΤΑΑ</w:t>
      </w:r>
      <w:r w:rsidR="005B27B3">
        <w:t>,</w:t>
      </w:r>
    </w:p>
    <w:p w14:paraId="6FB4653C" w14:textId="36DD7724" w:rsidR="005B27B3" w:rsidRPr="008E640D" w:rsidRDefault="005B27B3" w:rsidP="005B27B3">
      <w:pPr>
        <w:numPr>
          <w:ilvl w:val="0"/>
          <w:numId w:val="1"/>
        </w:numPr>
        <w:spacing w:before="60" w:after="60"/>
        <w:ind w:left="568" w:hanging="284"/>
      </w:pPr>
      <w:r w:rsidRPr="00AD1F15">
        <w:t>1.</w:t>
      </w:r>
      <w:r>
        <w:t>1</w:t>
      </w:r>
      <w:r w:rsidRPr="00AD1F15">
        <w:t>02</w:t>
      </w:r>
      <w:r w:rsidRPr="008E640D">
        <w:t xml:space="preserve"> εκατ. ευρώ για δαπάνες πλήρωσης θέσεων προσωπικού και για λοιπές δαπάνες αποδοχών, συμπεριλαμβανομένων και των πιστώσεων λόγω αύξησης των μισθών των δημ</w:t>
      </w:r>
      <w:r w:rsidR="009C7DA8">
        <w:t>όσιων</w:t>
      </w:r>
      <w:r w:rsidRPr="008E640D">
        <w:t xml:space="preserve"> υπαλλήλων,</w:t>
      </w:r>
    </w:p>
    <w:p w14:paraId="769C955F" w14:textId="3A6506D4" w:rsidR="005B27B3" w:rsidRPr="008E640D" w:rsidRDefault="005B27B3" w:rsidP="005B27B3">
      <w:pPr>
        <w:numPr>
          <w:ilvl w:val="0"/>
          <w:numId w:val="1"/>
        </w:numPr>
        <w:spacing w:before="60" w:after="60"/>
        <w:ind w:left="568" w:hanging="284"/>
      </w:pPr>
      <w:r w:rsidRPr="008E640D">
        <w:t>850 και 400 εκατ. ευρώ για τ</w:t>
      </w:r>
      <w:r w:rsidR="00375088">
        <w:t>ο</w:t>
      </w:r>
      <w:r w:rsidRPr="008E640D">
        <w:t xml:space="preserve"> αποθεματικ</w:t>
      </w:r>
      <w:r w:rsidR="00375088">
        <w:t>ό</w:t>
      </w:r>
      <w:r w:rsidRPr="008E640D">
        <w:t xml:space="preserve"> </w:t>
      </w:r>
      <w:r w:rsidR="00375088">
        <w:t>(</w:t>
      </w:r>
      <w:r w:rsidRPr="008E640D">
        <w:t>παρ.1 και 8 του άρθρου 59 του ν.4270/2014</w:t>
      </w:r>
      <w:r w:rsidR="00213C05">
        <w:t>, αντίστοιχα</w:t>
      </w:r>
      <w:r w:rsidR="00375088">
        <w:t xml:space="preserve">) με σκοπό την </w:t>
      </w:r>
      <w:r w:rsidRPr="008E640D">
        <w:t>αντιμετώπιση απρόβλεπτων και επειγουσών δαπανών,</w:t>
      </w:r>
    </w:p>
    <w:p w14:paraId="701B50F9" w14:textId="595D6314" w:rsidR="005B27B3" w:rsidRPr="008E640D" w:rsidRDefault="004144E3" w:rsidP="005B27B3">
      <w:pPr>
        <w:numPr>
          <w:ilvl w:val="0"/>
          <w:numId w:val="1"/>
        </w:numPr>
        <w:spacing w:before="60" w:after="60"/>
        <w:ind w:left="568" w:hanging="284"/>
      </w:pPr>
      <w:r>
        <w:t>920</w:t>
      </w:r>
      <w:r w:rsidR="005B27B3" w:rsidRPr="008E640D">
        <w:t xml:space="preserve"> εκατ. ευρώ για την κάλυψη των</w:t>
      </w:r>
      <w:r w:rsidR="005B27B3">
        <w:t xml:space="preserve"> </w:t>
      </w:r>
      <w:r w:rsidR="005B27B3" w:rsidRPr="008E640D">
        <w:t xml:space="preserve">αναγκών των </w:t>
      </w:r>
      <w:r w:rsidR="00306619">
        <w:t xml:space="preserve">Υπουργείων και των </w:t>
      </w:r>
      <w:r w:rsidR="005B27B3" w:rsidRPr="008E640D">
        <w:t>φορέων της Γενικής Κυβέρνησης,</w:t>
      </w:r>
    </w:p>
    <w:p w14:paraId="62FE5D36" w14:textId="77777777" w:rsidR="005B27B3" w:rsidRPr="008E640D" w:rsidRDefault="005B27B3" w:rsidP="005B27B3">
      <w:pPr>
        <w:numPr>
          <w:ilvl w:val="0"/>
          <w:numId w:val="1"/>
        </w:numPr>
        <w:spacing w:before="60" w:after="60"/>
        <w:ind w:left="568" w:hanging="284"/>
      </w:pPr>
      <w:r>
        <w:t xml:space="preserve">450 εκατ. ευρώ για λοιπές δαπάνες κοινωνικής ασφάλισης και κοινωνικής προστασίας </w:t>
      </w:r>
      <w:r w:rsidRPr="008E640D">
        <w:t>και</w:t>
      </w:r>
    </w:p>
    <w:p w14:paraId="528CB897" w14:textId="4B521BED" w:rsidR="005B27B3" w:rsidRPr="001170FB" w:rsidRDefault="005B27B3" w:rsidP="00655D82">
      <w:pPr>
        <w:numPr>
          <w:ilvl w:val="0"/>
          <w:numId w:val="1"/>
        </w:numPr>
        <w:spacing w:before="60"/>
        <w:ind w:left="568" w:hanging="284"/>
      </w:pPr>
      <w:r w:rsidRPr="008E640D">
        <w:t>180 εκατ. ευρώ για την αντιμετώπιση των μεταναστευτικών ροών.</w:t>
      </w:r>
    </w:p>
    <w:bookmarkEnd w:id="233"/>
    <w:p w14:paraId="60374EA9" w14:textId="77777777" w:rsidR="008E19DF" w:rsidRPr="004026E8" w:rsidRDefault="008E19DF" w:rsidP="00614C06">
      <w:pPr>
        <w:spacing w:before="240"/>
        <w:rPr>
          <w:rFonts w:cs="Arial"/>
          <w:b/>
          <w:szCs w:val="22"/>
        </w:rPr>
      </w:pPr>
      <w:r w:rsidRPr="004026E8">
        <w:rPr>
          <w:rFonts w:cs="Arial"/>
          <w:b/>
          <w:szCs w:val="22"/>
        </w:rPr>
        <w:t>Αγορές παγίων περιουσιακών στοιχείων</w:t>
      </w:r>
    </w:p>
    <w:p w14:paraId="1ED26C4D" w14:textId="64E99EB4" w:rsidR="004026E8" w:rsidRDefault="004026E8" w:rsidP="004D3E80">
      <w:pPr>
        <w:rPr>
          <w:rFonts w:cs="Arial"/>
          <w:highlight w:val="yellow"/>
        </w:rPr>
      </w:pPr>
      <w:r w:rsidRPr="00502B28">
        <w:rPr>
          <w:rFonts w:cs="Arial"/>
        </w:rPr>
        <w:t>Η προβλεπόμενη δαπάνη αναμένεται να ανέλθει στ</w:t>
      </w:r>
      <w:r>
        <w:rPr>
          <w:rFonts w:cs="Arial"/>
        </w:rPr>
        <w:t>ο ποσό των 2</w:t>
      </w:r>
      <w:r w:rsidRPr="00502B28">
        <w:rPr>
          <w:rFonts w:cs="Arial"/>
        </w:rPr>
        <w:t>.</w:t>
      </w:r>
      <w:r>
        <w:rPr>
          <w:rFonts w:cs="Arial"/>
        </w:rPr>
        <w:t>397</w:t>
      </w:r>
      <w:r w:rsidRPr="00502B28">
        <w:rPr>
          <w:rFonts w:cs="Arial"/>
        </w:rPr>
        <w:t xml:space="preserve"> εκατ. ευρώ, αυξημένη κατά </w:t>
      </w:r>
      <w:r>
        <w:rPr>
          <w:rFonts w:cs="Arial"/>
        </w:rPr>
        <w:t>515</w:t>
      </w:r>
      <w:r w:rsidRPr="00502B28">
        <w:rPr>
          <w:rFonts w:cs="Arial"/>
        </w:rPr>
        <w:t xml:space="preserve"> εκατ. ευρώ σε σχέση με το 202</w:t>
      </w:r>
      <w:r>
        <w:rPr>
          <w:rFonts w:cs="Arial"/>
        </w:rPr>
        <w:t>5</w:t>
      </w:r>
      <w:r w:rsidRPr="00502B28">
        <w:rPr>
          <w:rFonts w:cs="Arial"/>
        </w:rPr>
        <w:t>, κυρίως λόγω των αυξημένων φυσικών παραλαβών οπλικών συστημάτων του Υπουργείου Εθνικής Άμυνας.</w:t>
      </w:r>
    </w:p>
    <w:bookmarkEnd w:id="232"/>
    <w:p w14:paraId="357EDCA4" w14:textId="7B518710" w:rsidR="00847E05" w:rsidRDefault="00847E05" w:rsidP="003F544B">
      <w:pPr>
        <w:keepNext/>
        <w:spacing w:before="240"/>
        <w:rPr>
          <w:rFonts w:cs="Arial"/>
          <w:b/>
          <w:szCs w:val="22"/>
        </w:rPr>
      </w:pPr>
      <w:r w:rsidRPr="001170FB">
        <w:rPr>
          <w:rFonts w:cs="Arial"/>
          <w:b/>
          <w:szCs w:val="22"/>
        </w:rPr>
        <w:lastRenderedPageBreak/>
        <w:t>Δαπάνες Προ</w:t>
      </w:r>
      <w:r w:rsidR="001170FB" w:rsidRPr="001170FB">
        <w:rPr>
          <w:rFonts w:cs="Arial"/>
          <w:b/>
          <w:szCs w:val="22"/>
        </w:rPr>
        <w:t xml:space="preserve">ϋπολογισμού </w:t>
      </w:r>
      <w:r w:rsidRPr="001170FB">
        <w:rPr>
          <w:rFonts w:cs="Arial"/>
          <w:b/>
          <w:szCs w:val="22"/>
        </w:rPr>
        <w:t>Δημοσίων Επενδύσεων</w:t>
      </w:r>
    </w:p>
    <w:p w14:paraId="5EE352AC" w14:textId="77777777" w:rsidR="001170FB" w:rsidRDefault="001170FB" w:rsidP="001170FB">
      <w:r>
        <w:t>Για το έτος 2026 προβλέπεται διάθεση πόρων ύψους 9.</w:t>
      </w:r>
      <w:r w:rsidRPr="00F67263">
        <w:t>5</w:t>
      </w:r>
      <w:r>
        <w:t>00 εκατ. ευρώ, με κατανομή της συνολικής δαπάνης μεταξύ των έργων που θα συγχρηματοδοτηθούν από πόρους της ΕΕ, ύψους 6.</w:t>
      </w:r>
      <w:r w:rsidRPr="00F67263">
        <w:t>20</w:t>
      </w:r>
      <w:r>
        <w:t xml:space="preserve">0 εκατ. ευρώ και εκείνων που θα χρηματοδοτηθούν αποκλειστικά από εθνικούς πόρους, ύψους </w:t>
      </w:r>
      <w:r w:rsidRPr="00F67263">
        <w:t>3</w:t>
      </w:r>
      <w:r>
        <w:t>.</w:t>
      </w:r>
      <w:r w:rsidRPr="00F67263">
        <w:t>30</w:t>
      </w:r>
      <w:r>
        <w:t>0 εκατ. ευρώ.</w:t>
      </w:r>
    </w:p>
    <w:p w14:paraId="51E77B2E" w14:textId="08B7054D" w:rsidR="001170FB" w:rsidRPr="00206AD7" w:rsidRDefault="001170FB" w:rsidP="001170FB">
      <w:r>
        <w:t xml:space="preserve">Μέσω του </w:t>
      </w:r>
      <w:r w:rsidR="00717B24">
        <w:t>π</w:t>
      </w:r>
      <w:r w:rsidRPr="005F7366">
        <w:t xml:space="preserve">ροϋπολογισμού </w:t>
      </w:r>
      <w:r w:rsidR="00717B24">
        <w:t>δ</w:t>
      </w:r>
      <w:r w:rsidRPr="005F7366">
        <w:t xml:space="preserve">ημοσίων </w:t>
      </w:r>
      <w:r w:rsidR="00717B24">
        <w:t>ε</w:t>
      </w:r>
      <w:r w:rsidRPr="005F7366">
        <w:t>πενδύσεων</w:t>
      </w:r>
      <w:r w:rsidRPr="00F963DF">
        <w:rPr>
          <w:b/>
        </w:rPr>
        <w:t xml:space="preserve"> </w:t>
      </w:r>
      <w:r>
        <w:t xml:space="preserve">χρηματοδοτούνται έργα και δράσεις του ΑΠΔΕ, το οποίο συμβάλλει καθοριστικά στην υλοποίηση της αναπτυξιακής πολιτικής της χώρας διαθέτοντας πόρους σε προγράμματα που στοχεύουν στην αύξηση του ιδιωτικού και </w:t>
      </w:r>
      <w:r w:rsidR="00A42D7F">
        <w:t xml:space="preserve">του </w:t>
      </w:r>
      <w:r>
        <w:t>δημόσιου</w:t>
      </w:r>
      <w:r w:rsidR="006B0795">
        <w:t xml:space="preserve"> παγίου</w:t>
      </w:r>
      <w:r>
        <w:t xml:space="preserve"> κεφαλαίου, στην ενίσχυση της επιχειρηματικότητας και στη δημιουργία νέων δημόσιων υποδομών αλλά και στον εκσυγχρονισμό των υφιστάμενων. Παράλληλα, συμβάλλει ενεργά στην προώθηση της κοινωνικής συνοχής και στην άρση ανισοτήτων εντός του κοινωνικού ιστού της χώρας. Τέλος, διαθέτει πόρους σε επιχειρήσεις, δημόσιες υποδομές της επικράτειας, όπως και σε φυσικά πρόσωπα, για την αντιμετώπιση των συνεπειών της κλιματικής κρίσης, τόσο προληπτικά όσο και κατασταλτικά.</w:t>
      </w:r>
    </w:p>
    <w:p w14:paraId="386D86BA" w14:textId="77777777" w:rsidR="00C12F7D" w:rsidRPr="00983D03" w:rsidRDefault="001170FB" w:rsidP="001170FB">
      <w:pPr>
        <w:rPr>
          <w:rFonts w:cs="Arial"/>
          <w:szCs w:val="22"/>
          <w:highlight w:val="yellow"/>
        </w:rPr>
      </w:pPr>
      <w:r>
        <w:t>Μέσω του ΑΠΔΕ (ΕΣΠΑ 2021</w:t>
      </w:r>
      <w:r w:rsidR="00717B24">
        <w:t xml:space="preserve"> </w:t>
      </w:r>
      <w:r>
        <w:t>-</w:t>
      </w:r>
      <w:r w:rsidR="00717B24">
        <w:t xml:space="preserve"> </w:t>
      </w:r>
      <w:r>
        <w:t xml:space="preserve">2027, ευρωπαϊκά ανταγωνιστικά προγράμματα, Χρηματοδοτικός Μηχανισμός του ΕΟΧ, προγράμματα συνεργασίας </w:t>
      </w:r>
      <w:r>
        <w:rPr>
          <w:lang w:val="en-US"/>
        </w:rPr>
        <w:t>Interreg</w:t>
      </w:r>
      <w:r>
        <w:t xml:space="preserve"> κ.</w:t>
      </w:r>
      <w:r w:rsidR="00717B24">
        <w:t>λπ</w:t>
      </w:r>
      <w:r>
        <w:t>.) υλοποιούνται δράσεις χρηματοδοτούμενες από την Ε</w:t>
      </w:r>
      <w:r w:rsidR="00717B24">
        <w:t>Ε</w:t>
      </w:r>
      <w:r w:rsidRPr="005B32A2">
        <w:t xml:space="preserve">, </w:t>
      </w:r>
      <w:r>
        <w:t xml:space="preserve">οι οποίες λειτουργούν πολλαπλασιαστικά στην αναπτυξιακή πολιτική της χώρας αποσκοπώντας στην επίτευξη των ευρωπαϊκών στρατηγικών στόχων της Ένωσης, ενώ την ίδια στιγμή προάγουν τη συνεργασία και την ανταλλαγή τεχνογνωσίας μεταξύ ερευνητικών, επιστημονικών φορέων και </w:t>
      </w:r>
      <w:r w:rsidRPr="00E559AF">
        <w:t xml:space="preserve">μικρομεσαίων </w:t>
      </w:r>
      <w:r>
        <w:t>επιχειρήσεων εντός και εκτός της χώρας.</w:t>
      </w:r>
    </w:p>
    <w:p w14:paraId="5CD66071" w14:textId="77777777" w:rsidR="00847E05" w:rsidRDefault="00847E05" w:rsidP="00A408DA">
      <w:pPr>
        <w:spacing w:before="240"/>
        <w:rPr>
          <w:rFonts w:cs="Arial"/>
          <w:b/>
          <w:szCs w:val="22"/>
        </w:rPr>
      </w:pPr>
      <w:r w:rsidRPr="001170FB">
        <w:rPr>
          <w:rFonts w:cs="Arial"/>
          <w:b/>
          <w:szCs w:val="22"/>
        </w:rPr>
        <w:t>Δαπάνες Τ</w:t>
      </w:r>
      <w:r w:rsidR="00F910BF" w:rsidRPr="001170FB">
        <w:rPr>
          <w:rFonts w:cs="Arial"/>
          <w:b/>
          <w:szCs w:val="22"/>
        </w:rPr>
        <w:t>ΑΑ</w:t>
      </w:r>
    </w:p>
    <w:p w14:paraId="273EA4D8" w14:textId="1A4E12AB" w:rsidR="00842ACE" w:rsidRDefault="001170FB" w:rsidP="00BF2DB3">
      <w:r w:rsidRPr="00394F3C">
        <w:t xml:space="preserve">Το σύνολο των πόρων του ΤΑΑ που έχουν εισρεύσει στη χώρα μας από το 2021 έως σήμερα, ανέρχεται σε </w:t>
      </w:r>
      <w:r w:rsidR="0003732B" w:rsidRPr="00394F3C">
        <w:t>21.338</w:t>
      </w:r>
      <w:r w:rsidRPr="00394F3C">
        <w:t xml:space="preserve"> εκατ. ευρώ, εκ των οποίων </w:t>
      </w:r>
      <w:r w:rsidR="00A24C17" w:rsidRPr="00394F3C">
        <w:t>11.402</w:t>
      </w:r>
      <w:r w:rsidRPr="00394F3C">
        <w:t xml:space="preserve"> εκατ. ευρώ αφορούν στο δανειακό σκέλος του Εθνικού Σχεδίου Ανάκαμψης και Ανθεκτικότητας «Ελλάδα 2.0» και </w:t>
      </w:r>
      <w:r w:rsidR="00A24C17" w:rsidRPr="00394F3C">
        <w:t>9</w:t>
      </w:r>
      <w:r w:rsidRPr="00394F3C">
        <w:t>.</w:t>
      </w:r>
      <w:r w:rsidR="00A24C17" w:rsidRPr="00394F3C">
        <w:t>936</w:t>
      </w:r>
      <w:r w:rsidRPr="00394F3C">
        <w:t xml:space="preserve"> εκατ. ευρώ στο σκέλος των επιχορηγήσεων. Το όριο δαπανών για δράσεις που θα χρηματοδοτηθούν το 2026 από το σκέλος των επιχορηγήσεων του ΤΑΑ</w:t>
      </w:r>
      <w:r w:rsidR="00962479" w:rsidRPr="00394F3C">
        <w:t>,</w:t>
      </w:r>
      <w:r w:rsidRPr="00394F3C">
        <w:t xml:space="preserve"> ανέρχεται σε 7.19</w:t>
      </w:r>
      <w:r w:rsidR="00A24C17" w:rsidRPr="00394F3C">
        <w:t>2</w:t>
      </w:r>
      <w:r w:rsidRPr="00394F3C">
        <w:t xml:space="preserve"> εκατ. ευρώ.</w:t>
      </w:r>
    </w:p>
    <w:p w14:paraId="2946CB7C" w14:textId="77777777" w:rsidR="007447AA" w:rsidRPr="00E627DD" w:rsidRDefault="007447AA" w:rsidP="00DC6F26">
      <w:pPr>
        <w:pStyle w:val="4"/>
        <w:keepNext w:val="0"/>
      </w:pPr>
      <w:bookmarkStart w:id="234" w:name="_Toc210570674"/>
      <w:r w:rsidRPr="00E627DD">
        <w:t xml:space="preserve">Λοιποί υποτομείς </w:t>
      </w:r>
      <w:r w:rsidR="001E1B1E" w:rsidRPr="00E627DD">
        <w:t xml:space="preserve">της </w:t>
      </w:r>
      <w:r w:rsidRPr="00E627DD">
        <w:t>Γενικής Κυβέρνησης</w:t>
      </w:r>
      <w:bookmarkEnd w:id="234"/>
    </w:p>
    <w:p w14:paraId="1BF925CC" w14:textId="77777777" w:rsidR="007447AA" w:rsidRPr="00B9479C" w:rsidRDefault="007447AA" w:rsidP="004C662F">
      <w:pPr>
        <w:spacing w:before="240"/>
        <w:rPr>
          <w:rFonts w:cs="Arial"/>
          <w:b/>
          <w:szCs w:val="22"/>
        </w:rPr>
      </w:pPr>
      <w:r w:rsidRPr="00B9479C">
        <w:rPr>
          <w:rFonts w:cs="Arial"/>
          <w:b/>
          <w:szCs w:val="22"/>
        </w:rPr>
        <w:t>Νομικά Πρόσωπα</w:t>
      </w:r>
    </w:p>
    <w:p w14:paraId="402BBD1B" w14:textId="29D3CD65" w:rsidR="008066CF" w:rsidRPr="00B9479C" w:rsidRDefault="008066CF" w:rsidP="004C662F">
      <w:r w:rsidRPr="00B9479C">
        <w:t xml:space="preserve">Το δημοσιονομικό αποτέλεσμα των νομικών προσώπων για το έτος </w:t>
      </w:r>
      <w:r w:rsidR="00B06CA9" w:rsidRPr="00B9479C">
        <w:t>202</w:t>
      </w:r>
      <w:r w:rsidR="004115D0" w:rsidRPr="00B9479C">
        <w:t>6</w:t>
      </w:r>
      <w:r w:rsidR="00B06CA9" w:rsidRPr="00B9479C">
        <w:t xml:space="preserve"> </w:t>
      </w:r>
      <w:r w:rsidR="007F3A6D" w:rsidRPr="00B9479C">
        <w:t xml:space="preserve">προβλέπεται </w:t>
      </w:r>
      <w:r w:rsidRPr="00B9479C">
        <w:t>να διαμορφωθεί στ</w:t>
      </w:r>
      <w:r w:rsidR="000F230A" w:rsidRPr="00B9479C">
        <w:t>ο ποσό των</w:t>
      </w:r>
      <w:r w:rsidRPr="00B9479C">
        <w:t xml:space="preserve"> </w:t>
      </w:r>
      <w:r w:rsidR="00B06CA9" w:rsidRPr="00B9479C">
        <w:t>3.</w:t>
      </w:r>
      <w:r w:rsidR="004115D0" w:rsidRPr="00B9479C">
        <w:t>597</w:t>
      </w:r>
      <w:r w:rsidR="00B06CA9" w:rsidRPr="00B9479C">
        <w:t xml:space="preserve"> </w:t>
      </w:r>
      <w:r w:rsidRPr="00B9479C">
        <w:t xml:space="preserve">εκατ. ευρώ, </w:t>
      </w:r>
      <w:r w:rsidR="004115D0" w:rsidRPr="00B9479C">
        <w:t xml:space="preserve">ελαφρώς μειωμένο </w:t>
      </w:r>
      <w:r w:rsidRPr="00B9479C">
        <w:t xml:space="preserve">κατά </w:t>
      </w:r>
      <w:r w:rsidR="004115D0" w:rsidRPr="00B9479C">
        <w:t>139</w:t>
      </w:r>
      <w:r w:rsidR="00B06CA9" w:rsidRPr="00B9479C">
        <w:t xml:space="preserve"> </w:t>
      </w:r>
      <w:r w:rsidRPr="00B9479C">
        <w:t xml:space="preserve">εκατ. ευρώ σε σχέση με </w:t>
      </w:r>
      <w:r w:rsidR="007F3A6D" w:rsidRPr="00B9479C">
        <w:t xml:space="preserve">τις εκτιμήσεις του </w:t>
      </w:r>
      <w:r w:rsidR="0031032E" w:rsidRPr="00B9479C">
        <w:t>κλεισίματος του</w:t>
      </w:r>
      <w:r w:rsidR="007F3A6D" w:rsidRPr="00B9479C">
        <w:t xml:space="preserve"> οικονομικού έτους </w:t>
      </w:r>
      <w:r w:rsidR="00B06CA9" w:rsidRPr="00B9479C">
        <w:t>202</w:t>
      </w:r>
      <w:r w:rsidR="00A5629F" w:rsidRPr="00B9479C">
        <w:t>5</w:t>
      </w:r>
      <w:r w:rsidR="002A1614">
        <w:t>,</w:t>
      </w:r>
      <w:r w:rsidR="00A5629F" w:rsidRPr="00B9479C">
        <w:t xml:space="preserve"> </w:t>
      </w:r>
      <w:r w:rsidR="0052594F">
        <w:t>δεδομένου ότι</w:t>
      </w:r>
      <w:r w:rsidR="00A5629F" w:rsidRPr="00B9479C">
        <w:t xml:space="preserve"> στις προβλέψεις ενσωματώνονται οι αυξήσεις των δαπανών </w:t>
      </w:r>
      <w:r w:rsidR="00B14EF1" w:rsidRPr="00B9479C">
        <w:t xml:space="preserve">που αφορούν </w:t>
      </w:r>
      <w:r w:rsidR="0052594F">
        <w:t xml:space="preserve">σε </w:t>
      </w:r>
      <w:r w:rsidR="00B14EF1" w:rsidRPr="00B9479C">
        <w:t xml:space="preserve">παροχές </w:t>
      </w:r>
      <w:r w:rsidR="00A5629F" w:rsidRPr="00B9479C">
        <w:t>σε εργαζόμενους</w:t>
      </w:r>
      <w:r w:rsidR="00B14EF1" w:rsidRPr="00B9479C">
        <w:t xml:space="preserve"> λόγω της μισθολογικής πολιτικής καθώς και </w:t>
      </w:r>
      <w:r w:rsidR="0052594F">
        <w:t xml:space="preserve">σε </w:t>
      </w:r>
      <w:r w:rsidR="00B14EF1" w:rsidRPr="00B9479C">
        <w:t>λοιπά λειτουργικά έξοδα</w:t>
      </w:r>
      <w:r w:rsidR="0008086A" w:rsidRPr="00B9479C">
        <w:t>.</w:t>
      </w:r>
    </w:p>
    <w:p w14:paraId="69027EE9" w14:textId="77777777" w:rsidR="007447AA" w:rsidRPr="00CF4416" w:rsidRDefault="007447AA" w:rsidP="00614C06">
      <w:pPr>
        <w:spacing w:before="240"/>
        <w:rPr>
          <w:rFonts w:cs="Arial"/>
          <w:b/>
          <w:szCs w:val="22"/>
        </w:rPr>
      </w:pPr>
      <w:r w:rsidRPr="00CF4416">
        <w:rPr>
          <w:rFonts w:cs="Arial"/>
          <w:b/>
          <w:szCs w:val="22"/>
        </w:rPr>
        <w:t xml:space="preserve">Νοσοκομεία και Πρωτοβάθμια Φροντίδα Υγείας </w:t>
      </w:r>
      <w:r w:rsidR="00AD388B" w:rsidRPr="00CF4416">
        <w:rPr>
          <w:rFonts w:cs="Arial"/>
          <w:b/>
          <w:szCs w:val="22"/>
        </w:rPr>
        <w:t>(ΠΦΥ)</w:t>
      </w:r>
    </w:p>
    <w:p w14:paraId="5039A861" w14:textId="5008CC51" w:rsidR="00CF4416" w:rsidRDefault="00CF4416" w:rsidP="00CF4416">
      <w:pPr>
        <w:spacing w:before="120"/>
      </w:pPr>
      <w:r>
        <w:t xml:space="preserve">Το δημοσιονομικό αποτέλεσμα των νοσοκομείων και της ΠΦΥ προβλέπεται ότι θα διαμορφωθεί σε πλεόνασμα ύψους 478 εκατ. ευρώ, παρουσιάζοντας βελτίωση κατά 237 εκατ. ευρώ σε σχέση με το αντίστοιχο εκτιμώμενο </w:t>
      </w:r>
      <w:r w:rsidR="000028A4">
        <w:t>ύψος του</w:t>
      </w:r>
      <w:r>
        <w:t xml:space="preserve"> 2025.</w:t>
      </w:r>
    </w:p>
    <w:p w14:paraId="4EFD6010" w14:textId="7F58DF68" w:rsidR="00CF4416" w:rsidRDefault="00CF4416" w:rsidP="00CF4416">
      <w:r>
        <w:t>Τα συνολικά έσοδα προβλέπεται να ανέλθουν σε 4.746 εκατ. ευρώ, αυξημένα σε σχέση με το 202</w:t>
      </w:r>
      <w:r w:rsidR="00DF544D">
        <w:t>5</w:t>
      </w:r>
      <w:r>
        <w:t xml:space="preserve"> κατά 227 εκατ. ευρώ</w:t>
      </w:r>
      <w:r w:rsidR="00A7053F">
        <w:t>. Η εν λόγω μεταβολή αντ</w:t>
      </w:r>
      <w:r>
        <w:t>ικατοπτρίζ</w:t>
      </w:r>
      <w:r w:rsidR="00A7053F">
        <w:t>ει</w:t>
      </w:r>
      <w:r>
        <w:t xml:space="preserve"> κατά κύριο λόγο την αύξηση των μεταβιβάσεων από τον κρατικό προϋπολογισμό κατά 223 εκατ. ευρώ</w:t>
      </w:r>
      <w:r w:rsidR="00A7053F">
        <w:t>,</w:t>
      </w:r>
      <w:r>
        <w:t xml:space="preserve"> που προορίζονται για την κάλυψη της αύξησης του ορίου της φαρμακευτικής δαπάνης</w:t>
      </w:r>
      <w:r w:rsidR="000028A4">
        <w:t xml:space="preserve"> (</w:t>
      </w:r>
      <w:r>
        <w:t>παρ.2 και 3 του άρθρου 25 του ν.4549/2018</w:t>
      </w:r>
      <w:r w:rsidR="0032233A">
        <w:t>, Α’ 105</w:t>
      </w:r>
      <w:r w:rsidR="000028A4">
        <w:t>)</w:t>
      </w:r>
      <w:r>
        <w:t xml:space="preserve"> καθώς και </w:t>
      </w:r>
      <w:r w:rsidR="006B0795">
        <w:t>των δαπανών για υγειονομικό υλικό</w:t>
      </w:r>
      <w:r>
        <w:t>.</w:t>
      </w:r>
    </w:p>
    <w:p w14:paraId="695B22F2" w14:textId="098E5006" w:rsidR="00CF4416" w:rsidRPr="00343488" w:rsidRDefault="00CF4416" w:rsidP="00CF4416">
      <w:r>
        <w:t xml:space="preserve">Μέρος των ανωτέρω μεταβιβάσεων προβλέπεται να κατευθυνθεί προς την ΕΚΑΠΥ, η οποία έχει αναλάβει να διενεργεί τις διαδικασίες προμήθειας του συνόλου σχεδόν των φαρμακευτικών </w:t>
      </w:r>
      <w:r>
        <w:lastRenderedPageBreak/>
        <w:t xml:space="preserve">σκευασμάτων για τις ανάγκες των δημόσιων νοσοκομείων με στόχο τον έλεγχο της δαπάνης, την κεντρική διαχείριση των παραγγελιών, τη μείωση του χρόνου πληρωμής των προμηθευτών και τη συνακόλουθη μείωση των ληξιπρόθεσμων </w:t>
      </w:r>
      <w:r w:rsidR="00A7053F">
        <w:t>υποχρεώσεων</w:t>
      </w:r>
      <w:r>
        <w:t xml:space="preserve"> των νοσοκομείων (άρθρο δέκατο πέμπτο του ν.5015/2023, Α’ 20). Επιπρόσθετα, η ΕΚΑΠΥ λειτουργεί ως Εθνική Κεντρική Αρχή Αγορών και για δημόσιες συμβάσεις προμήθειας ιατροτεχνολογικών, υγειονομικών αγαθών και συναφών υπηρεσιών (περ. γ</w:t>
      </w:r>
      <w:r w:rsidR="008530BD">
        <w:t>’</w:t>
      </w:r>
      <w:r>
        <w:t xml:space="preserve"> της παρ.1 του άρθρου 41 του ν.4412/2016, Α</w:t>
      </w:r>
      <w:r w:rsidR="008530BD">
        <w:t>’</w:t>
      </w:r>
      <w:r>
        <w:t xml:space="preserve"> 147). </w:t>
      </w:r>
      <w:r w:rsidR="008530BD">
        <w:t>Ως εκ τούτου</w:t>
      </w:r>
      <w:r>
        <w:t xml:space="preserve">, το ισοζύγιο της ΕΚΑΠΥ περιλαμβάνεται στο αποτέλεσμα κατά </w:t>
      </w:r>
      <w:r>
        <w:rPr>
          <w:lang w:val="en-US"/>
        </w:rPr>
        <w:t>ESA</w:t>
      </w:r>
      <w:r w:rsidRPr="00343488">
        <w:t xml:space="preserve"> </w:t>
      </w:r>
      <w:r>
        <w:t xml:space="preserve">των νοσοκομείων </w:t>
      </w:r>
      <w:r w:rsidR="00E11E84">
        <w:t>-</w:t>
      </w:r>
      <w:r>
        <w:t xml:space="preserve"> ΠΦΥ και όχι σε εκείνο των νομικών προσώπων.</w:t>
      </w:r>
    </w:p>
    <w:p w14:paraId="2A9EE2BC" w14:textId="5CE8AFDB" w:rsidR="001602C9" w:rsidRPr="00E01127" w:rsidRDefault="00CF4416" w:rsidP="001602C9">
      <w:pPr>
        <w:rPr>
          <w:b/>
          <w:u w:val="single"/>
        </w:rPr>
      </w:pPr>
      <w:r>
        <w:t xml:space="preserve">Αντίστοιχα, τα έξοδα σε δεδουλευμένη βάση προβλέπεται να ανέλθουν σε 4.268 </w:t>
      </w:r>
      <w:r w:rsidRPr="00F433C6">
        <w:t>εκατ. ευρώ.</w:t>
      </w:r>
    </w:p>
    <w:p w14:paraId="2C6D0A55" w14:textId="77777777" w:rsidR="007447AA" w:rsidRPr="005479DE" w:rsidRDefault="007447AA" w:rsidP="001602C9">
      <w:pPr>
        <w:spacing w:before="240"/>
        <w:rPr>
          <w:rFonts w:cs="Arial"/>
          <w:b/>
          <w:szCs w:val="22"/>
        </w:rPr>
      </w:pPr>
      <w:r w:rsidRPr="005479DE">
        <w:rPr>
          <w:rFonts w:cs="Arial"/>
          <w:b/>
          <w:szCs w:val="22"/>
        </w:rPr>
        <w:t>Οργανισμοί Τοπικής Αυτοδιοίκησης (ΟΤΑ)</w:t>
      </w:r>
    </w:p>
    <w:p w14:paraId="6E323605" w14:textId="0199ECF1" w:rsidR="00304AFE" w:rsidRPr="005479DE" w:rsidRDefault="005479DE" w:rsidP="004C662F">
      <w:r>
        <w:t>Το έτος 2026 το ισοζύγιο κατά ESA των Ο</w:t>
      </w:r>
      <w:r w:rsidR="00645EE9">
        <w:t>ΤΑ</w:t>
      </w:r>
      <w:r>
        <w:t xml:space="preserve"> προβλέπεται να διαμορφωθεί σε πλεόνασμα ύψους 112 εκατ. ευρώ</w:t>
      </w:r>
      <w:r w:rsidR="00C14D60">
        <w:t xml:space="preserve">, </w:t>
      </w:r>
      <w:r>
        <w:t>αυξημένο κατά 16 εκατ. ευρώ σε σχέση με τις εκτιμήσεις του 2025</w:t>
      </w:r>
      <w:r w:rsidRPr="00AD1C2F">
        <w:t xml:space="preserve">. Οι επενδυτικές δαπάνες προβλέπεται να διατηρηθούν στα ίδια επίπεδα με το οικονομικό έτος 2025, ενώ τα λοιπά έξοδα </w:t>
      </w:r>
      <w:r w:rsidR="00C14D60">
        <w:t xml:space="preserve">αναμένεται </w:t>
      </w:r>
      <w:r w:rsidRPr="00AD1C2F">
        <w:t xml:space="preserve">να αυξηθούν </w:t>
      </w:r>
      <w:r w:rsidR="00694588">
        <w:t>βάσει των μακροοικονομικών μεγεθών</w:t>
      </w:r>
      <w:r w:rsidR="00C14D60">
        <w:t xml:space="preserve">, </w:t>
      </w:r>
      <w:r w:rsidRPr="00AD1C2F">
        <w:t xml:space="preserve">οι </w:t>
      </w:r>
      <w:r w:rsidR="00C14D60">
        <w:t xml:space="preserve">δε </w:t>
      </w:r>
      <w:r w:rsidRPr="00AD1C2F">
        <w:t>δαπάνες για παροχές σε εργαζ</w:t>
      </w:r>
      <w:r w:rsidR="00C14D60">
        <w:t>όμενους προβλέπεται</w:t>
      </w:r>
      <w:r w:rsidRPr="00AD1C2F">
        <w:t xml:space="preserve"> να παρουσιάσουν αύξηση κατά 90 εκατ. ευρώ σε σχέση με τις εκτιμήσεις του 2025 λόγω </w:t>
      </w:r>
      <w:r>
        <w:t xml:space="preserve">αύξησης </w:t>
      </w:r>
      <w:r w:rsidRPr="00AD1C2F">
        <w:t>τ</w:t>
      </w:r>
      <w:r>
        <w:t>ου</w:t>
      </w:r>
      <w:r w:rsidRPr="00AD1C2F">
        <w:t xml:space="preserve"> μισθολογικ</w:t>
      </w:r>
      <w:r>
        <w:t>ού</w:t>
      </w:r>
      <w:r w:rsidRPr="00AD1C2F">
        <w:t xml:space="preserve"> </w:t>
      </w:r>
      <w:r>
        <w:t>κόστους του προσωπικού των ΟΤΑ</w:t>
      </w:r>
      <w:r w:rsidR="00B82829">
        <w:t>, ως αποτέλεσμα της μισθολογικής πολιτικής</w:t>
      </w:r>
      <w:r>
        <w:t>.</w:t>
      </w:r>
    </w:p>
    <w:p w14:paraId="174F412D" w14:textId="77777777" w:rsidR="007447AA" w:rsidRPr="001850C8" w:rsidRDefault="007447AA" w:rsidP="00DC6F26">
      <w:pPr>
        <w:spacing w:before="240"/>
        <w:rPr>
          <w:rFonts w:cs="Arial"/>
          <w:b/>
          <w:szCs w:val="22"/>
        </w:rPr>
      </w:pPr>
      <w:r w:rsidRPr="001850C8">
        <w:rPr>
          <w:rFonts w:cs="Arial"/>
          <w:b/>
          <w:szCs w:val="22"/>
        </w:rPr>
        <w:t>Οργανισμοί Κοινωνικής Ασφάλισης (ΟΚΑ)</w:t>
      </w:r>
    </w:p>
    <w:p w14:paraId="5E17E179" w14:textId="62FDBAD8" w:rsidR="002100F1" w:rsidRDefault="002100F1" w:rsidP="002100F1">
      <w:r>
        <w:t>Το δημοσιονομικό αποτέλεσμα του υποτομέα των ΟΚΑ προβλέπεται να διαμορφωθεί σε πλεόνασμα ύψους 2.025 εκατ. ευρώ.</w:t>
      </w:r>
    </w:p>
    <w:p w14:paraId="5531B739" w14:textId="0BD03757" w:rsidR="002100F1" w:rsidRDefault="000907D4" w:rsidP="002100F1">
      <w:r>
        <w:t>Σ</w:t>
      </w:r>
      <w:r w:rsidR="002100F1">
        <w:t>υγκεκριμένα, τα έσοδα αναμένεται να ανέλθουν σε 55.595 εκατ. ευρώ, αυξημένα κατά 1.304 εκατ. ευρώ σε σχέση με το 2025.</w:t>
      </w:r>
    </w:p>
    <w:p w14:paraId="6F4EE9F5" w14:textId="77777777" w:rsidR="002100F1" w:rsidRPr="004C4691" w:rsidRDefault="002100F1" w:rsidP="002100F1">
      <w:r>
        <w:t>Ειδικότερα, προβλέπεται αύξηση των εσόδων από ασφαλιστικές εισφορές κατά 1.232 εκατ. ευρώ. Η εν λόγω μεταβολή ενσωματώνει κατά κύριο λόγο την αναμενόμενη αύξηση των εσόδων από ασφαλιστικές εισφορές που αποδίδεται:</w:t>
      </w:r>
    </w:p>
    <w:p w14:paraId="41725D8E" w14:textId="10A34FE5" w:rsidR="002100F1" w:rsidRDefault="002100F1" w:rsidP="002100F1">
      <w:pPr>
        <w:numPr>
          <w:ilvl w:val="0"/>
          <w:numId w:val="1"/>
        </w:numPr>
        <w:spacing w:before="120" w:after="60"/>
        <w:ind w:left="568" w:hanging="284"/>
      </w:pPr>
      <w:r>
        <w:t xml:space="preserve">στην αύξηση των μισθών και της απασχόλησης </w:t>
      </w:r>
      <w:r w:rsidR="00695D42">
        <w:t>στον ιδιωτικό τομέα</w:t>
      </w:r>
      <w:r w:rsidR="003E6DD3">
        <w:t>,</w:t>
      </w:r>
      <w:r w:rsidR="00695D42">
        <w:t xml:space="preserve"> </w:t>
      </w:r>
      <w:r>
        <w:t>ως αποτέλεσμα του ρυθμού ανάπτυξης της οικονομίας,</w:t>
      </w:r>
    </w:p>
    <w:p w14:paraId="032B27F0" w14:textId="0ABEC2C4" w:rsidR="00695D42" w:rsidRDefault="00695D42" w:rsidP="00695D42">
      <w:pPr>
        <w:numPr>
          <w:ilvl w:val="0"/>
          <w:numId w:val="1"/>
        </w:numPr>
        <w:spacing w:before="60" w:after="60"/>
        <w:ind w:left="568" w:hanging="284"/>
      </w:pPr>
      <w:r>
        <w:t>στην περαιτέρω αύξηση του κατώτατου μισθού,</w:t>
      </w:r>
    </w:p>
    <w:p w14:paraId="5B7BECAC" w14:textId="77777777" w:rsidR="002100F1" w:rsidRDefault="002100F1" w:rsidP="002100F1">
      <w:pPr>
        <w:numPr>
          <w:ilvl w:val="0"/>
          <w:numId w:val="1"/>
        </w:numPr>
        <w:spacing w:before="60" w:after="60"/>
        <w:ind w:left="568" w:hanging="284"/>
      </w:pPr>
      <w:r>
        <w:t>στην εφαρμογή της Ψηφιακής Κάρτας Εργασίας και</w:t>
      </w:r>
    </w:p>
    <w:p w14:paraId="3C336564" w14:textId="493F163D" w:rsidR="002100F1" w:rsidRDefault="002100F1" w:rsidP="002100F1">
      <w:pPr>
        <w:numPr>
          <w:ilvl w:val="0"/>
          <w:numId w:val="1"/>
        </w:numPr>
        <w:spacing w:before="60"/>
        <w:ind w:left="568" w:hanging="284"/>
      </w:pPr>
      <w:r>
        <w:t>στις μισθολογικές αυξήσεις στο</w:t>
      </w:r>
      <w:r w:rsidR="004201EB">
        <w:t>ν</w:t>
      </w:r>
      <w:r>
        <w:t xml:space="preserve"> δημόσιο τομέα.</w:t>
      </w:r>
    </w:p>
    <w:p w14:paraId="2EC9C9C2" w14:textId="48461D87" w:rsidR="002100F1" w:rsidRDefault="002100F1" w:rsidP="002100F1">
      <w:r>
        <w:t xml:space="preserve">Επιπρόσθετα, αύξηση κατά 89 εκατ. ευρώ προβλέπεται να παρουσιάσουν τα έσοδα των ΟΚΑ από </w:t>
      </w:r>
      <w:r w:rsidR="00957142">
        <w:t xml:space="preserve">τις </w:t>
      </w:r>
      <w:r>
        <w:t>τρέχουσες και</w:t>
      </w:r>
      <w:r w:rsidR="00957142">
        <w:t xml:space="preserve"> τις</w:t>
      </w:r>
      <w:r>
        <w:t xml:space="preserve"> λοιπές κεφαλαιακές μεταβιβάσεις. Η ανωτέρω μεταβολή ενσωματώνει κυρίως</w:t>
      </w:r>
      <w:r w:rsidR="009E2A92">
        <w:t xml:space="preserve"> </w:t>
      </w:r>
      <w:r w:rsidRPr="00957142">
        <w:t>την αύξηση των μεταβιβάσεων από τον τακτικό προϋπολογισμό για τη χρηματοδότηση του ασφαλιστικού συστήματος και ειδικότερα για την κάλυψη των παροχών κύριας σύνταξης</w:t>
      </w:r>
      <w:r w:rsidR="009E2A92">
        <w:t>.</w:t>
      </w:r>
    </w:p>
    <w:p w14:paraId="0E4DDF1D" w14:textId="77C35732" w:rsidR="002100F1" w:rsidRDefault="002100F1" w:rsidP="002100F1">
      <w:r>
        <w:t xml:space="preserve">Αντίστοιχα, οι </w:t>
      </w:r>
      <w:r w:rsidR="000907D4">
        <w:t xml:space="preserve">συνολικές </w:t>
      </w:r>
      <w:r>
        <w:t xml:space="preserve">δαπάνες των ΟΚΑ προβλέπεται να είναι αυξημένες κατά 1.366 εκατ. ευρώ σε σχέση με το 2025 και να ανέλθουν σε 53.569 εκατ. ευρώ. Η μεταβολή αυτή οφείλεται κατά κύριο λόγο στην αύξηση κατά 1.358 εκατ. ευρώ των κοινωνικών παροχών, η οποία </w:t>
      </w:r>
      <w:r w:rsidR="000907D4">
        <w:t>ενσωματώνει</w:t>
      </w:r>
      <w:r>
        <w:t xml:space="preserve"> την προβλεπόμενη αύξηση κατά 1.331 εκατ. ευρώ της συνταξιοδοτικής δαπάνης.</w:t>
      </w:r>
    </w:p>
    <w:p w14:paraId="5C750186" w14:textId="302B8583" w:rsidR="002100F1" w:rsidRPr="003E6E09" w:rsidRDefault="002100F1" w:rsidP="002100F1">
      <w:pPr>
        <w:rPr>
          <w:highlight w:val="yellow"/>
        </w:rPr>
      </w:pPr>
      <w:r>
        <w:t>Ειδικότερα, η δαπάνη των κύριων συντάξεων εκτιμάται ότι θα παρουσιάσει αύξηση εξαιτίας κυρίως:</w:t>
      </w:r>
    </w:p>
    <w:p w14:paraId="0FC84F0B" w14:textId="549D7727" w:rsidR="002100F1" w:rsidRDefault="002100F1" w:rsidP="002100F1">
      <w:pPr>
        <w:numPr>
          <w:ilvl w:val="0"/>
          <w:numId w:val="1"/>
        </w:numPr>
        <w:spacing w:before="120" w:after="60"/>
        <w:ind w:left="568" w:hanging="284"/>
      </w:pPr>
      <w:r>
        <w:t>της αναπροσαρμογής των συντάξεων με βάση τον συντελεστή που προκύπτει από το</w:t>
      </w:r>
      <w:r w:rsidR="00957142">
        <w:t>ν</w:t>
      </w:r>
      <w:r>
        <w:t xml:space="preserve"> μέσο όρο του ετήσιου ποσοστού μεταβολής του ΑΕΠ και του ποσοστού μεταβολής του μέσου ετήσιου </w:t>
      </w:r>
      <w:r>
        <w:lastRenderedPageBreak/>
        <w:t>γενικού δείκτη τιμών καταναλωτή του προηγούμενου έτους, σύμφωνα με το άρθρο 14 παρ.4 του ν.4387/2016, η οποία προβλέπεται να ανέλθει σε 629 εκατ. ευρώ περίπου</w:t>
      </w:r>
      <w:r w:rsidR="003E6DD3">
        <w:t>,</w:t>
      </w:r>
    </w:p>
    <w:p w14:paraId="43847CEF" w14:textId="266211BE" w:rsidR="003E6DD3" w:rsidRDefault="003E6DD3" w:rsidP="003E6DD3">
      <w:pPr>
        <w:numPr>
          <w:ilvl w:val="0"/>
          <w:numId w:val="1"/>
        </w:numPr>
        <w:spacing w:before="60" w:after="60"/>
        <w:ind w:left="568" w:hanging="284"/>
      </w:pPr>
      <w:r>
        <w:t xml:space="preserve">του μη </w:t>
      </w:r>
      <w:r w:rsidRPr="007238A5">
        <w:t xml:space="preserve">συμψηφισμού </w:t>
      </w:r>
      <w:r w:rsidRPr="007238A5">
        <w:rPr>
          <w:rFonts w:cs="Arial"/>
        </w:rPr>
        <w:t>του 50% της αύξησης των συντάξεων με την</w:t>
      </w:r>
      <w:r w:rsidRPr="008A67A1">
        <w:rPr>
          <w:rFonts w:cs="Arial"/>
        </w:rPr>
        <w:t xml:space="preserve"> προσωπική διαφορά</w:t>
      </w:r>
      <w:r>
        <w:rPr>
          <w:rFonts w:cs="Arial"/>
        </w:rPr>
        <w:t xml:space="preserve"> και</w:t>
      </w:r>
    </w:p>
    <w:p w14:paraId="128D18EA" w14:textId="01702A22" w:rsidR="002100F1" w:rsidRDefault="002100F1" w:rsidP="002100F1">
      <w:pPr>
        <w:numPr>
          <w:ilvl w:val="0"/>
          <w:numId w:val="1"/>
        </w:numPr>
        <w:spacing w:before="60"/>
        <w:ind w:left="568" w:hanging="284"/>
      </w:pPr>
      <w:r>
        <w:t>της προβλεπόμενης αύξησης του ρυθμού απονομής νέων συντάξεων.</w:t>
      </w:r>
    </w:p>
    <w:p w14:paraId="4A017A29" w14:textId="2AA679B2" w:rsidR="002100F1" w:rsidRDefault="00957142" w:rsidP="002100F1">
      <w:r>
        <w:t>Η δαπάνη για τις επικουρικές συντάξεις προβλέπεται α</w:t>
      </w:r>
      <w:r w:rsidR="002100F1">
        <w:t>υξημένη σε σχέση με το 2025</w:t>
      </w:r>
      <w:r>
        <w:t>,</w:t>
      </w:r>
      <w:r w:rsidR="002100F1">
        <w:t xml:space="preserve"> </w:t>
      </w:r>
      <w:r>
        <w:t>καθ’ όσον αναμένεται ν</w:t>
      </w:r>
      <w:r w:rsidR="002100F1">
        <w:t xml:space="preserve">α εντατικοποιηθούν </w:t>
      </w:r>
      <w:r w:rsidR="00284C16">
        <w:t xml:space="preserve">εντός του 2026 </w:t>
      </w:r>
      <w:r w:rsidR="002100F1">
        <w:t xml:space="preserve">οι εκκαθαρίσεις που αφορούν </w:t>
      </w:r>
      <w:r>
        <w:t xml:space="preserve">σε </w:t>
      </w:r>
      <w:r w:rsidR="002100F1">
        <w:t xml:space="preserve">περιπτώσεις διαδοχικής ασφάλισης και </w:t>
      </w:r>
      <w:r>
        <w:t>ν</w:t>
      </w:r>
      <w:r w:rsidR="002100F1">
        <w:t>α καταβληθούν τα σχετικά αναδρομικά ποσά στους δικαιούχους.</w:t>
      </w:r>
    </w:p>
    <w:p w14:paraId="0CFDC25A" w14:textId="697B9EB4" w:rsidR="00745D1B" w:rsidRPr="00983D03" w:rsidRDefault="002100F1" w:rsidP="0069366D">
      <w:pPr>
        <w:rPr>
          <w:highlight w:val="yellow"/>
        </w:rPr>
      </w:pPr>
      <w:r>
        <w:t>Επιπρόσθετα, προβλέπεται αύξηση κατά 184 εκατ. ευρώ των κοινωνικών παροχών σε είδος (φαρμακευτική δαπάνη, δαπάνη παρ</w:t>
      </w:r>
      <w:r w:rsidR="00284C16">
        <w:t>ο</w:t>
      </w:r>
      <w:r>
        <w:t>χ</w:t>
      </w:r>
      <w:r w:rsidR="00284C16">
        <w:t>ώ</w:t>
      </w:r>
      <w:r>
        <w:t>ν υγείας) του ΕΟΠΥΥ, ενσωματώνοντας την ε</w:t>
      </w:r>
      <w:r w:rsidRPr="00D94198">
        <w:t>πέκταση του μέτρου της αύξησης του ορίου φαρμακευτικής δαπάνης κατά 100 εκατ. ετησίως και μετά το 2025 καθώς και την αύξηση κατά 35 εκατ. ευρώ του ορίου υγειονομικής δαπάνης διαγνωστικών και ιδιωτικών κλινικών</w:t>
      </w:r>
      <w:r>
        <w:rPr>
          <w:rFonts w:ascii="Calibri" w:hAnsi="Calibri" w:cs="Calibri"/>
          <w:sz w:val="22"/>
          <w:szCs w:val="22"/>
        </w:rPr>
        <w:t>.</w:t>
      </w:r>
    </w:p>
    <w:p w14:paraId="7E15B110" w14:textId="77777777" w:rsidR="008879FA" w:rsidRPr="00E627DD" w:rsidRDefault="008879FA" w:rsidP="00DC6F26">
      <w:pPr>
        <w:pStyle w:val="4"/>
        <w:keepNext w:val="0"/>
      </w:pPr>
      <w:bookmarkStart w:id="235" w:name="_Toc210570675"/>
      <w:r w:rsidRPr="00E627DD">
        <w:t>Επισκόπηση δαπανών</w:t>
      </w:r>
      <w:r w:rsidR="00A06EC7" w:rsidRPr="00E627DD">
        <w:t xml:space="preserve"> και εσόδων</w:t>
      </w:r>
      <w:bookmarkEnd w:id="235"/>
    </w:p>
    <w:p w14:paraId="64B777AA" w14:textId="2E085E42" w:rsidR="00CB1F21" w:rsidRDefault="00CB1F21" w:rsidP="00CB1F21">
      <w:r w:rsidRPr="004B4564">
        <w:t>H επισκόπηση δαπανών και εσόδων αποτελεί σημαντικό μηχανισμό</w:t>
      </w:r>
      <w:r>
        <w:t xml:space="preserve"> για </w:t>
      </w:r>
      <w:r w:rsidRPr="004B4564">
        <w:t>την αποτελεσματικότερη</w:t>
      </w:r>
      <w:r w:rsidR="000E5B8C">
        <w:t xml:space="preserve"> </w:t>
      </w:r>
      <w:r>
        <w:t>επιλογή και αξιοποίηση</w:t>
      </w:r>
      <w:r w:rsidRPr="004B4564">
        <w:t xml:space="preserve"> των διαθέσιμων πόρων από πλευράς των Υπουργείων και των λοιπών φορέων </w:t>
      </w:r>
      <w:r w:rsidR="000E5B8C">
        <w:t xml:space="preserve">της </w:t>
      </w:r>
      <w:r w:rsidRPr="004B4564">
        <w:t xml:space="preserve">Γενικής Κυβέρνησης. Μέσω </w:t>
      </w:r>
      <w:r>
        <w:t xml:space="preserve">του μηχανισμού αυτού </w:t>
      </w:r>
      <w:r w:rsidRPr="008D05B0">
        <w:t xml:space="preserve">παρέχεται στην Κυβέρνηση η δυνατότητα για </w:t>
      </w:r>
      <w:r w:rsidRPr="004B4564">
        <w:t>τη συστηματική</w:t>
      </w:r>
      <w:r w:rsidRPr="008D05B0">
        <w:t xml:space="preserve"> </w:t>
      </w:r>
      <w:r>
        <w:t>επανεξέταση των πόρων που χρησιμοποιούνται,</w:t>
      </w:r>
      <w:r w:rsidRPr="007C7C01">
        <w:t xml:space="preserve"> </w:t>
      </w:r>
      <w:r>
        <w:t xml:space="preserve">των διαδικασιών που ακολουθούνται και των δράσεων που αναπτύσσονται καθώς και για τη συνακόλουθη </w:t>
      </w:r>
      <w:r w:rsidRPr="008D05B0">
        <w:t xml:space="preserve">λήψη μέτρων </w:t>
      </w:r>
      <w:r>
        <w:t xml:space="preserve">με στόχο </w:t>
      </w:r>
      <w:r w:rsidRPr="004B4564">
        <w:t>τη</w:t>
      </w:r>
      <w:r w:rsidRPr="008D05B0">
        <w:t xml:space="preserve"> βελτίωση της αποτελεσματικότητας των </w:t>
      </w:r>
      <w:r w:rsidRPr="004B4564">
        <w:t>προγραμμάτων και των πολιτικών της</w:t>
      </w:r>
      <w:r>
        <w:t xml:space="preserve"> </w:t>
      </w:r>
      <w:r w:rsidR="00D531AE">
        <w:t xml:space="preserve">αλλά </w:t>
      </w:r>
      <w:r>
        <w:t xml:space="preserve">και </w:t>
      </w:r>
      <w:r w:rsidRPr="008D05B0">
        <w:t>του δημοσιονομικού αποτελέσματος.</w:t>
      </w:r>
    </w:p>
    <w:p w14:paraId="6D769663" w14:textId="4001DD00" w:rsidR="00CB1F21" w:rsidRPr="004B4564" w:rsidRDefault="00CB1F21" w:rsidP="00CB1F21">
      <w:r w:rsidRPr="004B4564">
        <w:t>Σε αυτ</w:t>
      </w:r>
      <w:r>
        <w:t>ή την κατεύθυνση</w:t>
      </w:r>
      <w:r w:rsidRPr="004B4564">
        <w:t xml:space="preserve"> </w:t>
      </w:r>
      <w:r>
        <w:t xml:space="preserve">θα </w:t>
      </w:r>
      <w:r w:rsidRPr="004B4564">
        <w:t>συνεχ</w:t>
      </w:r>
      <w:r>
        <w:t>ιστεί</w:t>
      </w:r>
      <w:r w:rsidRPr="004B4564">
        <w:t xml:space="preserve"> για το 202</w:t>
      </w:r>
      <w:r>
        <w:t>6</w:t>
      </w:r>
      <w:r w:rsidRPr="004B4564">
        <w:t xml:space="preserve"> η αποτύπωση των κύριων δράσεων επισκόπησης δαπανών και εσόδων των Υπουργείων και των εποπτευόμενων φορέων</w:t>
      </w:r>
      <w:r w:rsidR="00EE55C6">
        <w:t xml:space="preserve"> της</w:t>
      </w:r>
      <w:r w:rsidRPr="004B4564">
        <w:t xml:space="preserve"> Γενικής</w:t>
      </w:r>
      <w:r>
        <w:t xml:space="preserve"> Κυβέρνησης</w:t>
      </w:r>
      <w:r w:rsidRPr="004B4564">
        <w:t>. Σε αυτές περιλαμβάνονται δράσεις οριζόντιες</w:t>
      </w:r>
      <w:r w:rsidR="00EC6079">
        <w:t xml:space="preserve"> </w:t>
      </w:r>
      <w:r>
        <w:t xml:space="preserve">καθώς </w:t>
      </w:r>
      <w:r w:rsidRPr="004B4564">
        <w:t>και τομεακές</w:t>
      </w:r>
      <w:r w:rsidR="00EC6079">
        <w:t>,</w:t>
      </w:r>
      <w:r w:rsidRPr="004B4564">
        <w:t xml:space="preserve"> που θα παρουσιαστούν στον ειδικό τόμο του προϋπολογισμού επιδόσεων</w:t>
      </w:r>
      <w:r>
        <w:t>.</w:t>
      </w:r>
    </w:p>
    <w:p w14:paraId="3B4280DB" w14:textId="18FF7867" w:rsidR="00C420CF" w:rsidRPr="00CB1F21" w:rsidRDefault="00CB1F21" w:rsidP="00C420CF">
      <w:r w:rsidRPr="004B4564">
        <w:t xml:space="preserve">Ο συντονισμός και η παρακολούθηση των δράσεων επισκόπησης δαπανών και εσόδων διενεργείται από το Γενικό Λογιστήριο του Κράτους (ΓΛΚ) σε συνεργασία με τα Υπουργεία και τους εποπτευόμενους από αυτά φορείς </w:t>
      </w:r>
      <w:r w:rsidR="001738D1">
        <w:t xml:space="preserve">της </w:t>
      </w:r>
      <w:r w:rsidRPr="004B4564">
        <w:t>Γενικής Κυβέρνησης.</w:t>
      </w:r>
    </w:p>
    <w:p w14:paraId="01562A5A" w14:textId="77777777" w:rsidR="008879FA" w:rsidRPr="00E627DD" w:rsidRDefault="008879FA" w:rsidP="00DC6F26">
      <w:pPr>
        <w:pStyle w:val="4"/>
        <w:keepNext w:val="0"/>
      </w:pPr>
      <w:bookmarkStart w:id="236" w:name="_Toc210570676"/>
      <w:r w:rsidRPr="00E627DD">
        <w:t>Προϋπολογισμός επιδόσεων</w:t>
      </w:r>
      <w:bookmarkEnd w:id="236"/>
    </w:p>
    <w:p w14:paraId="25D2B778" w14:textId="075E9EF6" w:rsidR="00CB1F21" w:rsidRDefault="00CB1F21" w:rsidP="00CB1F21">
      <w:r>
        <w:t>Για το 2026 συνεχίζεται η ωρίμανση της μεταρρύθμισης του προϋπολογισμού επιδόσεων. Το Υπουργείο Εθνικής Οικονομίας και Οικονομικών σε στενή συνεργασία με</w:t>
      </w:r>
      <w:r w:rsidRPr="004B4564">
        <w:t xml:space="preserve"> </w:t>
      </w:r>
      <w:r>
        <w:t xml:space="preserve">τους φορείς </w:t>
      </w:r>
      <w:r w:rsidR="001738D1">
        <w:t xml:space="preserve">της </w:t>
      </w:r>
      <w:r>
        <w:t>Κεντρικής Διοίκησης (Υπουργεία, Αποκεντρωμένες Διοικήσεις, Ανεξάρτητες Διοικητικές Αρχές - ΑΔΑ) καθώς και τους</w:t>
      </w:r>
      <w:r w:rsidRPr="004B4564">
        <w:t xml:space="preserve"> </w:t>
      </w:r>
      <w:r>
        <w:t xml:space="preserve">λοιπούς </w:t>
      </w:r>
      <w:r w:rsidR="00E73BE0">
        <w:t>φ</w:t>
      </w:r>
      <w:r>
        <w:t>ορείς</w:t>
      </w:r>
      <w:r w:rsidR="001738D1">
        <w:t xml:space="preserve"> της</w:t>
      </w:r>
      <w:r>
        <w:t xml:space="preserve"> Γενικής Κυβέρνησης συνεχίζει τις εργασίες με σκοπό τη βελτίωση κύριων</w:t>
      </w:r>
      <w:r w:rsidRPr="004B4564">
        <w:t xml:space="preserve"> </w:t>
      </w:r>
      <w:r>
        <w:t xml:space="preserve">παραμέτρων του συστήματος, όπως η επιλογή και </w:t>
      </w:r>
      <w:r w:rsidR="001738D1">
        <w:t xml:space="preserve">η </w:t>
      </w:r>
      <w:r>
        <w:t>αποτύπωση των καταλληλότερων Κύριων Δεικτών</w:t>
      </w:r>
      <w:r w:rsidRPr="004B4564">
        <w:t xml:space="preserve"> </w:t>
      </w:r>
      <w:r>
        <w:t>Επίδοσης</w:t>
      </w:r>
      <w:r w:rsidRPr="004B4564">
        <w:t xml:space="preserve"> </w:t>
      </w:r>
      <w:r>
        <w:t>για</w:t>
      </w:r>
      <w:r w:rsidRPr="004B4564">
        <w:t xml:space="preserve"> </w:t>
      </w:r>
      <w:r>
        <w:t>κάθε</w:t>
      </w:r>
      <w:r w:rsidRPr="004B4564">
        <w:t xml:space="preserve"> </w:t>
      </w:r>
      <w:r w:rsidRPr="00787551">
        <w:t>Πρόγραμμα</w:t>
      </w:r>
      <w:r w:rsidRPr="004B4564">
        <w:t>.</w:t>
      </w:r>
    </w:p>
    <w:p w14:paraId="1FD540C6" w14:textId="77777777" w:rsidR="00CB1F21" w:rsidRDefault="00CB1F21" w:rsidP="00CB1F21">
      <w:r>
        <w:t>Επιπλέον, συνεχίζεται για το 202</w:t>
      </w:r>
      <w:r w:rsidRPr="00A7741C">
        <w:t>6</w:t>
      </w:r>
      <w:r>
        <w:t xml:space="preserve"> η διαδικασία ανάπτυξης διακριτών Προγραμμάτων για το σύνολο</w:t>
      </w:r>
      <w:r w:rsidRPr="004B4564">
        <w:t xml:space="preserve"> </w:t>
      </w:r>
      <w:r>
        <w:t>των ΑΔΑ.</w:t>
      </w:r>
    </w:p>
    <w:p w14:paraId="61A37B89" w14:textId="43A2D860" w:rsidR="00C420CF" w:rsidRPr="00911E36" w:rsidRDefault="00CB1F21" w:rsidP="004C662F">
      <w:r w:rsidRPr="00787551">
        <w:t>Το Γ</w:t>
      </w:r>
      <w:r w:rsidR="00E73BE0">
        <w:t>ΛΚ</w:t>
      </w:r>
      <w:r w:rsidRPr="00787551">
        <w:t xml:space="preserve"> προετοιμάζοντας το επόμενο στάδιο της μεταρρύθμισης, ήτοι</w:t>
      </w:r>
      <w:r>
        <w:t xml:space="preserve"> </w:t>
      </w:r>
      <w:r w:rsidRPr="00787551">
        <w:t xml:space="preserve">την </w:t>
      </w:r>
      <w:r>
        <w:t xml:space="preserve">παρακολούθηση </w:t>
      </w:r>
      <w:r w:rsidRPr="00787551">
        <w:t xml:space="preserve">της εκτέλεσης του προϋπολογισμού επιδόσεων, πέραν της κατάρτισης </w:t>
      </w:r>
      <w:r>
        <w:t xml:space="preserve">αυτού, </w:t>
      </w:r>
      <w:r w:rsidRPr="00787551">
        <w:t>εργάζεται για την περαιτέρω βελτίωση της δομής των Προγραμμάτων</w:t>
      </w:r>
      <w:r>
        <w:t>.</w:t>
      </w:r>
    </w:p>
    <w:p w14:paraId="57C7237E" w14:textId="77777777" w:rsidR="000A462C" w:rsidRPr="00E627DD" w:rsidRDefault="00424E8B" w:rsidP="003F544B">
      <w:pPr>
        <w:pStyle w:val="4"/>
      </w:pPr>
      <w:bookmarkStart w:id="237" w:name="_Toc210570677"/>
      <w:r w:rsidRPr="00E627DD">
        <w:lastRenderedPageBreak/>
        <w:t>Λειτουργική ταξινόμηση του προϋπολογισμού</w:t>
      </w:r>
      <w:bookmarkEnd w:id="237"/>
    </w:p>
    <w:p w14:paraId="04A17572" w14:textId="77777777" w:rsidR="00E73BE0" w:rsidRPr="004B4564" w:rsidRDefault="00E73BE0" w:rsidP="00E73BE0">
      <w:r>
        <w:t>Σύμφωνα με τις διεθνείς δεσμεύσεις της χώρας μας, θα παρουσιαστεί για τον προϋπολογισμό έτους 2026</w:t>
      </w:r>
      <w:r w:rsidRPr="00A5237A">
        <w:t xml:space="preserve"> </w:t>
      </w:r>
      <w:r>
        <w:t>προϋπολογιστική αναφορά σε δεύτερο</w:t>
      </w:r>
      <w:r w:rsidRPr="004B4564">
        <w:t xml:space="preserve"> </w:t>
      </w:r>
      <w:r>
        <w:t>επίπεδο λειτουργικής ταξινόμησης, σύμφωνα με το πρότυπο CoFoG</w:t>
      </w:r>
      <w:r w:rsidRPr="004B4564">
        <w:t xml:space="preserve"> (</w:t>
      </w:r>
      <w:r w:rsidRPr="004B4564">
        <w:rPr>
          <w:lang w:val="en-US"/>
        </w:rPr>
        <w:t>Classification</w:t>
      </w:r>
      <w:r w:rsidRPr="004B4564">
        <w:t xml:space="preserve"> </w:t>
      </w:r>
      <w:r w:rsidRPr="004B4564">
        <w:rPr>
          <w:lang w:val="en-US"/>
        </w:rPr>
        <w:t>of</w:t>
      </w:r>
      <w:r w:rsidRPr="004B4564">
        <w:t xml:space="preserve"> </w:t>
      </w:r>
      <w:r w:rsidRPr="004B4564">
        <w:rPr>
          <w:lang w:val="en-US"/>
        </w:rPr>
        <w:t>the</w:t>
      </w:r>
      <w:r w:rsidRPr="004B4564">
        <w:t xml:space="preserve"> </w:t>
      </w:r>
      <w:r w:rsidRPr="004B4564">
        <w:rPr>
          <w:lang w:val="en-US"/>
        </w:rPr>
        <w:t>Functions</w:t>
      </w:r>
      <w:r w:rsidRPr="004B4564">
        <w:t xml:space="preserve"> </w:t>
      </w:r>
      <w:r w:rsidRPr="004B4564">
        <w:rPr>
          <w:lang w:val="en-US"/>
        </w:rPr>
        <w:t>of</w:t>
      </w:r>
      <w:r w:rsidRPr="004B4564">
        <w:t xml:space="preserve"> </w:t>
      </w:r>
      <w:r w:rsidRPr="004B4564">
        <w:rPr>
          <w:lang w:val="en-US"/>
        </w:rPr>
        <w:t>Government</w:t>
      </w:r>
      <w:r w:rsidRPr="004B4564">
        <w:t xml:space="preserve"> - </w:t>
      </w:r>
      <w:r w:rsidRPr="004B4564">
        <w:rPr>
          <w:lang w:val="en-US"/>
        </w:rPr>
        <w:t>CoFoG</w:t>
      </w:r>
      <w:r w:rsidRPr="004B4564">
        <w:t>).</w:t>
      </w:r>
    </w:p>
    <w:p w14:paraId="37CFCC05" w14:textId="5953B3AB" w:rsidR="00AE5C29" w:rsidRPr="00983D03" w:rsidRDefault="00E73BE0" w:rsidP="00AE5C29">
      <w:pPr>
        <w:rPr>
          <w:highlight w:val="yellow"/>
        </w:rPr>
      </w:pPr>
      <w:r>
        <w:t>Για τον σκοπό αυτό αξιοποιούνται οι αναφορές του προϋπολογισμού επιδόσεων, καθώς υπάρχει</w:t>
      </w:r>
      <w:r w:rsidRPr="004B4564">
        <w:t xml:space="preserve"> </w:t>
      </w:r>
      <w:r>
        <w:t>διασύνδεση της λειτουργικής ταξινόμησης και της ταξινόμησης κατά Πρόγραμμα σε αναλυτικό</w:t>
      </w:r>
      <w:r w:rsidRPr="004B4564">
        <w:t xml:space="preserve"> </w:t>
      </w:r>
      <w:r>
        <w:t>επίπεδο (υποπρογράμματος).</w:t>
      </w:r>
      <w:r w:rsidRPr="00453111">
        <w:t xml:space="preserve"> </w:t>
      </w:r>
      <w:r>
        <w:t>Για το 2026 η ανάλυση της</w:t>
      </w:r>
      <w:r w:rsidRPr="008D05B0">
        <w:t xml:space="preserve"> λειτουργική</w:t>
      </w:r>
      <w:r>
        <w:t>ς</w:t>
      </w:r>
      <w:r w:rsidRPr="008D05B0">
        <w:t xml:space="preserve"> ταξινόμηση</w:t>
      </w:r>
      <w:r>
        <w:t>ς</w:t>
      </w:r>
      <w:r w:rsidRPr="008D05B0">
        <w:t xml:space="preserve"> προϋπολογι</w:t>
      </w:r>
      <w:r>
        <w:t>στικά αναμένεται να καταστεί λεπτομερέστερη</w:t>
      </w:r>
      <w:r w:rsidRPr="00617D47">
        <w:t xml:space="preserve"> </w:t>
      </w:r>
      <w:r>
        <w:t xml:space="preserve">λόγω και της ανάπτυξης υποπρογραμμάτων </w:t>
      </w:r>
      <w:r w:rsidRPr="008D05B0">
        <w:t>για το σύνολο των Α</w:t>
      </w:r>
      <w:r>
        <w:t>ΔΑ</w:t>
      </w:r>
      <w:r w:rsidRPr="008D05B0">
        <w:t>.</w:t>
      </w:r>
    </w:p>
    <w:p w14:paraId="39D2AB04" w14:textId="77777777" w:rsidR="00424E8B" w:rsidRPr="00E627DD" w:rsidRDefault="00424E8B" w:rsidP="00DC6F26">
      <w:pPr>
        <w:pStyle w:val="4"/>
        <w:keepNext w:val="0"/>
      </w:pPr>
      <w:bookmarkStart w:id="238" w:name="_Toc210570678"/>
      <w:r w:rsidRPr="00E627DD">
        <w:t xml:space="preserve">Ενσωμάτωση της περιβαλλοντικής διάστασης στον </w:t>
      </w:r>
      <w:r w:rsidR="00AE5C29" w:rsidRPr="00E627DD">
        <w:t>προϋπολογισμό</w:t>
      </w:r>
      <w:r w:rsidRPr="00E627DD">
        <w:t xml:space="preserve"> </w:t>
      </w:r>
      <w:r w:rsidR="00A21CC7" w:rsidRPr="00E627DD">
        <w:t>-</w:t>
      </w:r>
      <w:r w:rsidRPr="00E627DD">
        <w:t xml:space="preserve"> Green Budgeting</w:t>
      </w:r>
      <w:bookmarkEnd w:id="238"/>
    </w:p>
    <w:p w14:paraId="474B74B6" w14:textId="1C4586DE" w:rsidR="00E73BE0" w:rsidRDefault="00E73BE0" w:rsidP="00E73BE0">
      <w:r>
        <w:t>Η ενσωμάτωση της περιβαλλοντικής διάστασης στον προϋπολογισμό (</w:t>
      </w:r>
      <w:r w:rsidR="00A60453">
        <w:rPr>
          <w:lang w:val="en-US"/>
        </w:rPr>
        <w:t>g</w:t>
      </w:r>
      <w:r>
        <w:rPr>
          <w:lang w:val="en-US"/>
        </w:rPr>
        <w:t>reen</w:t>
      </w:r>
      <w:r w:rsidRPr="00617D47">
        <w:t xml:space="preserve"> </w:t>
      </w:r>
      <w:r w:rsidR="00A60453">
        <w:rPr>
          <w:lang w:val="en-US"/>
        </w:rPr>
        <w:t>b</w:t>
      </w:r>
      <w:r>
        <w:rPr>
          <w:lang w:val="en-US"/>
        </w:rPr>
        <w:t>udgeting</w:t>
      </w:r>
      <w:r w:rsidRPr="00617D47">
        <w:t>)</w:t>
      </w:r>
      <w:r>
        <w:t xml:space="preserve"> αποτελεί κύριο εργαλείο για την ανάδειξη και </w:t>
      </w:r>
      <w:r w:rsidR="00DF5B4D">
        <w:t xml:space="preserve">την </w:t>
      </w:r>
      <w:r>
        <w:t>επίτευξη στόχων για το κλίμα και το περιβάλλον, ενώ επιτρέπει και τη διασύνδεσή τους με τη λήψη αποφάσεων στο πλαίσιο της άσκησης δημοσιονομικής πολιτικής.</w:t>
      </w:r>
    </w:p>
    <w:p w14:paraId="34C94CB9" w14:textId="4CAC55EB" w:rsidR="00E73BE0" w:rsidRPr="008B1017" w:rsidRDefault="00E73BE0" w:rsidP="00E73BE0">
      <w:r>
        <w:t>Ο χαρακτηρισμός των Προγραμμάτων των φορέων</w:t>
      </w:r>
      <w:r w:rsidR="00DF5B4D">
        <w:t xml:space="preserve"> της</w:t>
      </w:r>
      <w:r>
        <w:t xml:space="preserve"> Κεντρικής Διοίκησης</w:t>
      </w:r>
      <w:r w:rsidRPr="00B85423">
        <w:t xml:space="preserve"> </w:t>
      </w:r>
      <w:r>
        <w:t xml:space="preserve">ως προς την περιβαλλοντική τους επίπτωση σε σχέση με τους έξι περιβαλλοντικούς στόχους βιώσιμων </w:t>
      </w:r>
      <w:r w:rsidRPr="0090691C">
        <w:t>δραστηριοτήτων της ΕΕ</w:t>
      </w:r>
      <w:r w:rsidRPr="0090691C">
        <w:rPr>
          <w:vertAlign w:val="superscript"/>
        </w:rPr>
        <w:footnoteReference w:id="6"/>
      </w:r>
      <w:r w:rsidR="000E5B8C" w:rsidRPr="0090691C">
        <w:t xml:space="preserve"> </w:t>
      </w:r>
      <w:r w:rsidRPr="0090691C">
        <w:t>(</w:t>
      </w:r>
      <w:r w:rsidRPr="0090691C">
        <w:rPr>
          <w:lang w:val="en-US"/>
        </w:rPr>
        <w:t>green</w:t>
      </w:r>
      <w:r w:rsidRPr="00746236">
        <w:t xml:space="preserve"> </w:t>
      </w:r>
      <w:r>
        <w:rPr>
          <w:lang w:val="en-US"/>
        </w:rPr>
        <w:t>budget</w:t>
      </w:r>
      <w:r w:rsidRPr="00746236">
        <w:t xml:space="preserve"> </w:t>
      </w:r>
      <w:r>
        <w:rPr>
          <w:lang w:val="en-US"/>
        </w:rPr>
        <w:t>tagging</w:t>
      </w:r>
      <w:r w:rsidRPr="00746236">
        <w:t xml:space="preserve">) </w:t>
      </w:r>
      <w:r w:rsidRPr="007D29FC">
        <w:t>επικαιροποιείται σε ετήσια βάση</w:t>
      </w:r>
      <w:r w:rsidR="00DF5B4D">
        <w:t>,</w:t>
      </w:r>
      <w:r w:rsidRPr="00062610">
        <w:t xml:space="preserve"> </w:t>
      </w:r>
      <w:r w:rsidRPr="007D29FC">
        <w:t>όπου</w:t>
      </w:r>
      <w:r>
        <w:t xml:space="preserve"> αυτό</w:t>
      </w:r>
      <w:r w:rsidRPr="007D29FC">
        <w:t xml:space="preserve"> απαιτείται, από </w:t>
      </w:r>
      <w:r>
        <w:t xml:space="preserve">τους αρμόδιους φορείς </w:t>
      </w:r>
      <w:r w:rsidR="00EE55C6">
        <w:t xml:space="preserve">της </w:t>
      </w:r>
      <w:r>
        <w:t xml:space="preserve">Κεντρικής Διοίκησης σε συνεργασία με </w:t>
      </w:r>
      <w:r w:rsidRPr="007D29FC">
        <w:t>το ΓΛΚ</w:t>
      </w:r>
      <w:r w:rsidR="000E5B8C">
        <w:t xml:space="preserve"> </w:t>
      </w:r>
      <w:r>
        <w:t xml:space="preserve">και </w:t>
      </w:r>
      <w:r w:rsidRPr="007D29FC">
        <w:t>το Υπουργείο Περιβάλλοντος και Ενέργειας</w:t>
      </w:r>
      <w:r>
        <w:t>.</w:t>
      </w:r>
    </w:p>
    <w:p w14:paraId="2991308C" w14:textId="2FC247A4" w:rsidR="00E73BE0" w:rsidRPr="00555CEF" w:rsidRDefault="00E73BE0" w:rsidP="00555CEF">
      <w:r>
        <w:t>Για το 202</w:t>
      </w:r>
      <w:r w:rsidRPr="005278A3">
        <w:t>6</w:t>
      </w:r>
      <w:r>
        <w:t xml:space="preserve"> το Υπουργείο Εθνικής Οικονομίας και Οικονομικών προ</w:t>
      </w:r>
      <w:r w:rsidR="00DF5B4D">
        <w:t xml:space="preserve">βαίνει, </w:t>
      </w:r>
      <w:r>
        <w:t>πέρα από την παρακολούθηση</w:t>
      </w:r>
      <w:r w:rsidRPr="004B4564">
        <w:t xml:space="preserve"> </w:t>
      </w:r>
      <w:r>
        <w:t>της αξιολόγησης του περιβαλλοντικού αποτυπώματος των πολιτικών που θα χρηματοδοτηθούν από</w:t>
      </w:r>
      <w:r w:rsidRPr="004B4564">
        <w:t xml:space="preserve"> </w:t>
      </w:r>
      <w:r>
        <w:t>τον προϋπολογισμό</w:t>
      </w:r>
      <w:r w:rsidR="00DF5B4D">
        <w:t>,</w:t>
      </w:r>
      <w:r>
        <w:t xml:space="preserve"> και στη δημιουργία αντίστοιχου πλαισίου αναφορικά με την παρακολούθηση της περιβαλλοντικής αξιολόγησης για τα έσοδα και τις φορολογικές δαπάνες. Για τον σκοπό</w:t>
      </w:r>
      <w:r w:rsidRPr="004B4564">
        <w:t xml:space="preserve"> </w:t>
      </w:r>
      <w:r>
        <w:t>αυτό έχει αναπτυχθεί ειδικό πλαίσιο συνεργασίας των συναρμόδιων Υπηρεσιών του Υπουργείου Εθνικής Οικονομίας και</w:t>
      </w:r>
      <w:r w:rsidRPr="004B4564">
        <w:t xml:space="preserve"> </w:t>
      </w:r>
      <w:r>
        <w:t>Οικονομικών με το Υπουργείο Περιβάλλοντος και Ενέργειας.</w:t>
      </w:r>
    </w:p>
    <w:p w14:paraId="5A598B16" w14:textId="77777777" w:rsidR="007B5027" w:rsidRPr="00106E60" w:rsidRDefault="00356CB9" w:rsidP="00DC6F26">
      <w:pPr>
        <w:pStyle w:val="3"/>
        <w:keepNext w:val="0"/>
      </w:pPr>
      <w:bookmarkStart w:id="239" w:name="_Δημοσιονομικές_παρεμβάσεις_2023"/>
      <w:bookmarkStart w:id="240" w:name="_Δημοσιονομικές_παρεμβάσεις_2024"/>
      <w:bookmarkStart w:id="241" w:name="_Δημοσιονομικές_παρεμβάσεις"/>
      <w:bookmarkStart w:id="242" w:name="_Toc210570679"/>
      <w:bookmarkEnd w:id="239"/>
      <w:bookmarkEnd w:id="240"/>
      <w:bookmarkEnd w:id="241"/>
      <w:r w:rsidRPr="00656E67">
        <w:t>Δημοσιονομικές</w:t>
      </w:r>
      <w:r w:rsidRPr="00D71BCB">
        <w:t xml:space="preserve"> παρεμβάσεις</w:t>
      </w:r>
      <w:bookmarkStart w:id="243" w:name="_Toc114489612"/>
      <w:bookmarkStart w:id="244" w:name="_Toc114489700"/>
      <w:bookmarkStart w:id="245" w:name="_Toc115338171"/>
      <w:bookmarkStart w:id="246" w:name="_Toc115358148"/>
      <w:bookmarkStart w:id="247" w:name="_Toc115424376"/>
      <w:bookmarkStart w:id="248" w:name="_Toc115435243"/>
      <w:bookmarkStart w:id="249" w:name="_Toc115437977"/>
      <w:bookmarkStart w:id="250" w:name="_Toc114219864"/>
      <w:bookmarkStart w:id="251" w:name="_Toc114234857"/>
      <w:bookmarkStart w:id="252" w:name="_Toc114489527"/>
      <w:bookmarkStart w:id="253" w:name="_Toc114489613"/>
      <w:bookmarkStart w:id="254" w:name="_Toc114489701"/>
      <w:bookmarkStart w:id="255" w:name="_Toc115338172"/>
      <w:bookmarkStart w:id="256" w:name="_Toc115358149"/>
      <w:bookmarkStart w:id="257" w:name="_Toc115424377"/>
      <w:bookmarkStart w:id="258" w:name="_Toc115435244"/>
      <w:bookmarkStart w:id="259" w:name="_Toc115437978"/>
      <w:bookmarkStart w:id="260" w:name="_Toc114219868"/>
      <w:bookmarkStart w:id="261" w:name="_Toc114234861"/>
      <w:bookmarkStart w:id="262" w:name="_Toc114489531"/>
      <w:bookmarkStart w:id="263" w:name="_Toc114489617"/>
      <w:bookmarkStart w:id="264" w:name="_Toc114489705"/>
      <w:bookmarkStart w:id="265" w:name="_Toc115338176"/>
      <w:bookmarkStart w:id="266" w:name="_Toc115358153"/>
      <w:bookmarkStart w:id="267" w:name="_Toc115424381"/>
      <w:bookmarkStart w:id="268" w:name="_Toc115435248"/>
      <w:bookmarkStart w:id="269" w:name="_Toc115437982"/>
      <w:bookmarkStart w:id="270" w:name="_Toc115526154"/>
      <w:bookmarkStart w:id="271" w:name="_Toc146645073"/>
      <w:bookmarkStart w:id="272" w:name="_Toc146819101"/>
      <w:bookmarkStart w:id="273" w:name="_Toc147015740"/>
      <w:bookmarkStart w:id="274" w:name="_Toc17875122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3839BE9B" w14:textId="60F94671" w:rsidR="002A1C73" w:rsidRPr="004C63D4" w:rsidRDefault="002A1C73" w:rsidP="00DC6F26">
      <w:pPr>
        <w:pStyle w:val="5"/>
        <w:keepNext w:val="0"/>
        <w:numPr>
          <w:ilvl w:val="0"/>
          <w:numId w:val="0"/>
        </w:numPr>
        <w:spacing w:before="360" w:after="240"/>
      </w:pPr>
      <w:bookmarkStart w:id="275" w:name="_Toc209798255"/>
      <w:bookmarkStart w:id="276" w:name="_Toc210055422"/>
      <w:bookmarkStart w:id="277" w:name="_Toc210059718"/>
      <w:bookmarkStart w:id="278" w:name="_Toc210218229"/>
      <w:bookmarkStart w:id="279" w:name="_Toc210394913"/>
      <w:bookmarkStart w:id="280" w:name="_Toc210494443"/>
      <w:bookmarkStart w:id="281" w:name="_Toc210570635"/>
      <w:bookmarkStart w:id="282" w:name="_Toc210570680"/>
      <w:r w:rsidRPr="004C63D4">
        <w:t xml:space="preserve">Φορολογική </w:t>
      </w:r>
      <w:r w:rsidR="00CC260C" w:rsidRPr="004C63D4">
        <w:t>μ</w:t>
      </w:r>
      <w:r w:rsidRPr="004C63D4">
        <w:t>εταρρύθμιση για το δημογραφικό</w:t>
      </w:r>
      <w:r w:rsidR="00431C88">
        <w:rPr>
          <w:lang w:val="el-GR"/>
        </w:rPr>
        <w:t>, τους νέους</w:t>
      </w:r>
      <w:r w:rsidRPr="004C63D4">
        <w:t xml:space="preserve"> και τη μεσαία τάξη</w:t>
      </w:r>
      <w:bookmarkEnd w:id="275"/>
      <w:bookmarkEnd w:id="276"/>
      <w:bookmarkEnd w:id="277"/>
      <w:bookmarkEnd w:id="278"/>
      <w:bookmarkEnd w:id="279"/>
      <w:bookmarkEnd w:id="280"/>
      <w:bookmarkEnd w:id="281"/>
      <w:bookmarkEnd w:id="282"/>
    </w:p>
    <w:p w14:paraId="1A522491" w14:textId="5260AA42" w:rsidR="002A1C73" w:rsidRPr="002A1C73" w:rsidRDefault="002A1C73" w:rsidP="002A1C73">
      <w:r w:rsidRPr="002A1C73">
        <w:t>Οι δημοσιονομικές παρεμβάσεις για το 2026 περιλαμβάνουν μ</w:t>
      </w:r>
      <w:r w:rsidR="00CC260C">
        <w:t>ί</w:t>
      </w:r>
      <w:r w:rsidRPr="002A1C73">
        <w:t>α σειρά από φορολογικές</w:t>
      </w:r>
      <w:r w:rsidR="00431C88">
        <w:t xml:space="preserve"> και μισθολογικές</w:t>
      </w:r>
      <w:r w:rsidRPr="002A1C73">
        <w:t xml:space="preserve"> μεταρρυθμίσεις με κύριο στόχο την ενίσχυση του εισοδήματος και τη μείωση των φορολογικών βαρών, ιδιαίτερα για τη μεσαία τάξη, τις οικογένειες με παιδιά και τους νέους. Οι κυριότερες από αυτές είναι:</w:t>
      </w:r>
    </w:p>
    <w:p w14:paraId="5C518380" w14:textId="06646FE6" w:rsidR="002A1C73" w:rsidRPr="00573BF1" w:rsidRDefault="00070691" w:rsidP="00270C2C">
      <w:pPr>
        <w:numPr>
          <w:ilvl w:val="0"/>
          <w:numId w:val="2"/>
        </w:numPr>
        <w:spacing w:before="120" w:after="60"/>
        <w:ind w:left="568" w:hanging="284"/>
      </w:pPr>
      <w:r>
        <w:t xml:space="preserve">διαρθρωτική </w:t>
      </w:r>
      <w:r w:rsidR="00707053">
        <w:t>α</w:t>
      </w:r>
      <w:r w:rsidR="002A1C73" w:rsidRPr="00573BF1">
        <w:t>ναμόρφωση της κλίμακας φόρου εισοδήματος για μισθωτούς, συνταξιούχους, αγρότες και ελεύθερους επαγγελματίες</w:t>
      </w:r>
      <w:r w:rsidR="00707053">
        <w:t>,</w:t>
      </w:r>
    </w:p>
    <w:p w14:paraId="3E2EA183" w14:textId="656345B1" w:rsidR="002A1C73" w:rsidRPr="002A1C73" w:rsidRDefault="00707053" w:rsidP="00270C2C">
      <w:pPr>
        <w:numPr>
          <w:ilvl w:val="0"/>
          <w:numId w:val="1"/>
        </w:numPr>
        <w:spacing w:before="60" w:after="60"/>
        <w:ind w:left="568" w:hanging="284"/>
        <w:rPr>
          <w:rFonts w:cs="Arial"/>
        </w:rPr>
      </w:pPr>
      <w:r>
        <w:rPr>
          <w:rFonts w:cs="Arial"/>
        </w:rPr>
        <w:t>μ</w:t>
      </w:r>
      <w:r w:rsidR="002A1C73" w:rsidRPr="002A1C73">
        <w:rPr>
          <w:rFonts w:cs="Arial"/>
        </w:rPr>
        <w:t xml:space="preserve">η συμψηφισμός </w:t>
      </w:r>
      <w:r w:rsidR="00CC260C">
        <w:rPr>
          <w:rFonts w:cs="Arial"/>
        </w:rPr>
        <w:t xml:space="preserve">του </w:t>
      </w:r>
      <w:r w:rsidR="002A1C73" w:rsidRPr="002A1C73">
        <w:rPr>
          <w:rFonts w:cs="Arial"/>
        </w:rPr>
        <w:t xml:space="preserve">50% </w:t>
      </w:r>
      <w:r w:rsidR="00431C88" w:rsidRPr="008A67A1">
        <w:rPr>
          <w:rFonts w:cs="Arial"/>
        </w:rPr>
        <w:t>της αύξησης των συντάξεων με τη</w:t>
      </w:r>
      <w:r w:rsidR="007D1AAB">
        <w:rPr>
          <w:rFonts w:cs="Arial"/>
        </w:rPr>
        <w:t>ν</w:t>
      </w:r>
      <w:r w:rsidR="00431C88" w:rsidRPr="008A67A1">
        <w:rPr>
          <w:rFonts w:cs="Arial"/>
        </w:rPr>
        <w:t xml:space="preserve"> προσωπική διαφορά για το έτος 2026 και κατάργηση του συμψηφισμού της προσωπικής διαφοράς από το 2027</w:t>
      </w:r>
      <w:r>
        <w:rPr>
          <w:rFonts w:cs="Arial"/>
        </w:rPr>
        <w:t>,</w:t>
      </w:r>
    </w:p>
    <w:p w14:paraId="1DF6FA87" w14:textId="6C57F38E" w:rsidR="002A1C73" w:rsidRPr="002A1C73" w:rsidRDefault="00AA2AB9" w:rsidP="00270C2C">
      <w:pPr>
        <w:numPr>
          <w:ilvl w:val="0"/>
          <w:numId w:val="1"/>
        </w:numPr>
        <w:spacing w:before="60" w:after="60"/>
        <w:ind w:left="568" w:hanging="284"/>
        <w:rPr>
          <w:rFonts w:cs="Arial"/>
        </w:rPr>
      </w:pPr>
      <w:r>
        <w:rPr>
          <w:rFonts w:cs="Arial"/>
        </w:rPr>
        <w:t>π</w:t>
      </w:r>
      <w:r w:rsidR="002A1C73" w:rsidRPr="002A1C73">
        <w:rPr>
          <w:rFonts w:cs="Arial"/>
        </w:rPr>
        <w:t xml:space="preserve">αρεμβάσεις στα ειδικά μισθολόγια των </w:t>
      </w:r>
      <w:r w:rsidR="00CC260C">
        <w:rPr>
          <w:rFonts w:cs="Arial"/>
        </w:rPr>
        <w:t>Ε</w:t>
      </w:r>
      <w:r w:rsidR="002A1C73" w:rsidRPr="002A1C73">
        <w:rPr>
          <w:rFonts w:cs="Arial"/>
        </w:rPr>
        <w:t xml:space="preserve">νόπλων </w:t>
      </w:r>
      <w:r w:rsidR="00CC260C">
        <w:rPr>
          <w:rFonts w:cs="Arial"/>
        </w:rPr>
        <w:t>Δ</w:t>
      </w:r>
      <w:r w:rsidR="002A1C73" w:rsidRPr="002A1C73">
        <w:rPr>
          <w:rFonts w:cs="Arial"/>
        </w:rPr>
        <w:t xml:space="preserve">υνάμεων και των </w:t>
      </w:r>
      <w:r w:rsidR="00CC260C">
        <w:rPr>
          <w:rFonts w:cs="Arial"/>
        </w:rPr>
        <w:t>Σ</w:t>
      </w:r>
      <w:r w:rsidR="002A1C73" w:rsidRPr="002A1C73">
        <w:rPr>
          <w:rFonts w:cs="Arial"/>
        </w:rPr>
        <w:t xml:space="preserve">ωμάτων </w:t>
      </w:r>
      <w:r w:rsidR="00CC260C">
        <w:rPr>
          <w:rFonts w:cs="Arial"/>
        </w:rPr>
        <w:t>Α</w:t>
      </w:r>
      <w:r w:rsidR="002A1C73" w:rsidRPr="002A1C73">
        <w:rPr>
          <w:rFonts w:cs="Arial"/>
        </w:rPr>
        <w:t xml:space="preserve">σφαλείας καθώς και παρεμβάσεις σε λοιπές κατηγορίες υπαλλήλων, όπως του Υπουργείου Εξωτερικών, </w:t>
      </w:r>
      <w:r w:rsidR="00471A78">
        <w:rPr>
          <w:rFonts w:cs="Arial"/>
        </w:rPr>
        <w:t xml:space="preserve">τα μέλη </w:t>
      </w:r>
      <w:r w:rsidR="008748E5">
        <w:rPr>
          <w:rFonts w:cs="Arial"/>
        </w:rPr>
        <w:lastRenderedPageBreak/>
        <w:t>Διδακτικού Ερευνητικού Προσωπικού (</w:t>
      </w:r>
      <w:r w:rsidR="002A1C73" w:rsidRPr="002A1C73">
        <w:rPr>
          <w:rFonts w:cs="Arial"/>
        </w:rPr>
        <w:t>ΔΕΠ</w:t>
      </w:r>
      <w:r w:rsidR="008748E5">
        <w:rPr>
          <w:rFonts w:cs="Arial"/>
        </w:rPr>
        <w:t>)</w:t>
      </w:r>
      <w:r w:rsidR="002A1C73" w:rsidRPr="002A1C73">
        <w:rPr>
          <w:rFonts w:cs="Arial"/>
        </w:rPr>
        <w:t xml:space="preserve"> και </w:t>
      </w:r>
      <w:r w:rsidR="00471A78">
        <w:rPr>
          <w:rFonts w:cs="Arial"/>
        </w:rPr>
        <w:t xml:space="preserve">οι </w:t>
      </w:r>
      <w:r w:rsidR="002A1C73" w:rsidRPr="002A1C73">
        <w:rPr>
          <w:rFonts w:cs="Arial"/>
        </w:rPr>
        <w:t>ερευνητ</w:t>
      </w:r>
      <w:r w:rsidR="00471A78">
        <w:rPr>
          <w:rFonts w:cs="Arial"/>
        </w:rPr>
        <w:t>ές</w:t>
      </w:r>
      <w:r w:rsidR="002A1C73" w:rsidRPr="002A1C73">
        <w:rPr>
          <w:rFonts w:cs="Arial"/>
        </w:rPr>
        <w:t xml:space="preserve">, </w:t>
      </w:r>
      <w:r w:rsidR="00471A78">
        <w:rPr>
          <w:rFonts w:cs="Arial"/>
        </w:rPr>
        <w:t xml:space="preserve">οι </w:t>
      </w:r>
      <w:r w:rsidR="002A1C73" w:rsidRPr="002A1C73">
        <w:rPr>
          <w:rFonts w:cs="Arial"/>
        </w:rPr>
        <w:t>μηχανικ</w:t>
      </w:r>
      <w:r w:rsidR="00471A78">
        <w:rPr>
          <w:rFonts w:cs="Arial"/>
        </w:rPr>
        <w:t>οί</w:t>
      </w:r>
      <w:r w:rsidR="002A1C73" w:rsidRPr="002A1C73">
        <w:rPr>
          <w:rFonts w:cs="Arial"/>
        </w:rPr>
        <w:t xml:space="preserve"> και </w:t>
      </w:r>
      <w:r w:rsidR="00471A78">
        <w:rPr>
          <w:rFonts w:cs="Arial"/>
        </w:rPr>
        <w:t xml:space="preserve">οι </w:t>
      </w:r>
      <w:r w:rsidR="002A1C73" w:rsidRPr="002A1C73">
        <w:rPr>
          <w:rFonts w:cs="Arial"/>
        </w:rPr>
        <w:t>λοιπ</w:t>
      </w:r>
      <w:r w:rsidR="00471A78">
        <w:rPr>
          <w:rFonts w:cs="Arial"/>
        </w:rPr>
        <w:t>οί</w:t>
      </w:r>
      <w:r w:rsidR="002A1C73" w:rsidRPr="002A1C73">
        <w:rPr>
          <w:rFonts w:cs="Arial"/>
        </w:rPr>
        <w:t xml:space="preserve"> υπ</w:t>
      </w:r>
      <w:r w:rsidR="00471A78">
        <w:rPr>
          <w:rFonts w:cs="Arial"/>
        </w:rPr>
        <w:t xml:space="preserve">άλληλοι </w:t>
      </w:r>
      <w:r w:rsidR="002A1C73" w:rsidRPr="002A1C73">
        <w:rPr>
          <w:rFonts w:cs="Arial"/>
        </w:rPr>
        <w:t>με πενταετή κύκλο σπουδών</w:t>
      </w:r>
      <w:r>
        <w:rPr>
          <w:rFonts w:cs="Arial"/>
        </w:rPr>
        <w:t>,</w:t>
      </w:r>
    </w:p>
    <w:p w14:paraId="26F5E203" w14:textId="77777777" w:rsidR="002A1C73" w:rsidRPr="002A1C73" w:rsidRDefault="00AA2AB9" w:rsidP="00270C2C">
      <w:pPr>
        <w:numPr>
          <w:ilvl w:val="0"/>
          <w:numId w:val="1"/>
        </w:numPr>
        <w:spacing w:before="60" w:after="60"/>
        <w:ind w:left="568" w:hanging="284"/>
        <w:rPr>
          <w:rFonts w:cs="Arial"/>
        </w:rPr>
      </w:pPr>
      <w:r>
        <w:rPr>
          <w:rFonts w:cs="Arial"/>
        </w:rPr>
        <w:t>σ</w:t>
      </w:r>
      <w:r w:rsidR="002A1C73" w:rsidRPr="002A1C73">
        <w:rPr>
          <w:rFonts w:cs="Arial"/>
        </w:rPr>
        <w:t>ταδιακή κατάργηση του ΕΝΦΙΑ για κύριες κατοικίες σε οικισμούς με πληθυσμό έως 1.500 κατοίκους</w:t>
      </w:r>
      <w:r>
        <w:rPr>
          <w:rFonts w:cs="Arial"/>
        </w:rPr>
        <w:t>,</w:t>
      </w:r>
    </w:p>
    <w:p w14:paraId="41EC662E" w14:textId="337975EB" w:rsidR="002A1C73" w:rsidRPr="002A1C73" w:rsidRDefault="00AA2AB9" w:rsidP="00270C2C">
      <w:pPr>
        <w:numPr>
          <w:ilvl w:val="0"/>
          <w:numId w:val="1"/>
        </w:numPr>
        <w:spacing w:before="60" w:after="60"/>
        <w:ind w:left="568" w:hanging="284"/>
        <w:rPr>
          <w:rFonts w:cs="Arial"/>
        </w:rPr>
      </w:pPr>
      <w:r>
        <w:rPr>
          <w:rFonts w:cs="Arial"/>
        </w:rPr>
        <w:t>μ</w:t>
      </w:r>
      <w:r w:rsidR="002A1C73" w:rsidRPr="002A1C73">
        <w:rPr>
          <w:rFonts w:cs="Arial"/>
        </w:rPr>
        <w:t xml:space="preserve">είωση κατά 30% του ΦΠΑ σε νησιά </w:t>
      </w:r>
      <w:r w:rsidR="00327ACE">
        <w:rPr>
          <w:rFonts w:cs="Arial"/>
        </w:rPr>
        <w:t xml:space="preserve">της περιφέρειας </w:t>
      </w:r>
      <w:r w:rsidR="002A1C73" w:rsidRPr="002A1C73">
        <w:rPr>
          <w:rFonts w:cs="Arial"/>
        </w:rPr>
        <w:t>του Β</w:t>
      </w:r>
      <w:r w:rsidR="000B3AFE">
        <w:rPr>
          <w:rFonts w:cs="Arial"/>
        </w:rPr>
        <w:t xml:space="preserve">ορείου </w:t>
      </w:r>
      <w:r w:rsidR="002A1C73" w:rsidRPr="002A1C73">
        <w:rPr>
          <w:rFonts w:cs="Arial"/>
        </w:rPr>
        <w:t xml:space="preserve">Αιγαίου, του </w:t>
      </w:r>
      <w:r w:rsidR="00327ACE">
        <w:rPr>
          <w:rFonts w:cs="Arial"/>
        </w:rPr>
        <w:t xml:space="preserve">νομού </w:t>
      </w:r>
      <w:r w:rsidR="002A1C73" w:rsidRPr="002A1C73">
        <w:rPr>
          <w:rFonts w:cs="Arial"/>
        </w:rPr>
        <w:t>Έβρου και τ</w:t>
      </w:r>
      <w:r w:rsidR="00327ACE">
        <w:rPr>
          <w:rFonts w:cs="Arial"/>
        </w:rPr>
        <w:t>ου νομού</w:t>
      </w:r>
      <w:r w:rsidR="002A1C73" w:rsidRPr="002A1C73">
        <w:rPr>
          <w:rFonts w:cs="Arial"/>
        </w:rPr>
        <w:t xml:space="preserve"> Δωδεκανήσων με πληθυσμό έως 20.000 κατοίκους</w:t>
      </w:r>
      <w:r>
        <w:rPr>
          <w:rFonts w:cs="Arial"/>
        </w:rPr>
        <w:t>,</w:t>
      </w:r>
    </w:p>
    <w:p w14:paraId="2518CB6E" w14:textId="4F3EFEB9" w:rsidR="002A1C73" w:rsidRPr="002A1C73" w:rsidRDefault="00AA2AB9" w:rsidP="00270C2C">
      <w:pPr>
        <w:numPr>
          <w:ilvl w:val="0"/>
          <w:numId w:val="1"/>
        </w:numPr>
        <w:spacing w:before="60" w:after="60"/>
        <w:ind w:left="568" w:hanging="284"/>
        <w:rPr>
          <w:rFonts w:cs="Arial"/>
        </w:rPr>
      </w:pPr>
      <w:r>
        <w:rPr>
          <w:rFonts w:cs="Arial"/>
        </w:rPr>
        <w:t>ε</w:t>
      </w:r>
      <w:r w:rsidR="002A1C73" w:rsidRPr="002A1C73">
        <w:rPr>
          <w:rFonts w:cs="Arial"/>
        </w:rPr>
        <w:t>ισαγωγή ενδιάμεσου συντελεστή 25% στον φόρο εισοδήματος από ακίνητα. Παράλληλα, επεκτείν</w:t>
      </w:r>
      <w:r w:rsidR="00582F25">
        <w:rPr>
          <w:rFonts w:cs="Arial"/>
        </w:rPr>
        <w:t>ονται</w:t>
      </w:r>
      <w:r w:rsidR="002A1C73" w:rsidRPr="002A1C73">
        <w:rPr>
          <w:rFonts w:cs="Arial"/>
        </w:rPr>
        <w:t xml:space="preserve"> η φοροαπαλλαγή για κεν</w:t>
      </w:r>
      <w:r w:rsidR="00E23C2E">
        <w:rPr>
          <w:rFonts w:cs="Arial"/>
        </w:rPr>
        <w:t>ές κατοικίες</w:t>
      </w:r>
      <w:r w:rsidR="002A1C73" w:rsidRPr="002A1C73">
        <w:rPr>
          <w:rFonts w:cs="Arial"/>
        </w:rPr>
        <w:t xml:space="preserve"> που θα </w:t>
      </w:r>
      <w:r w:rsidR="000B3AFE">
        <w:rPr>
          <w:rFonts w:cs="Arial"/>
        </w:rPr>
        <w:t xml:space="preserve">εκμισθωθούν </w:t>
      </w:r>
      <w:r w:rsidR="002A1C73" w:rsidRPr="002A1C73">
        <w:rPr>
          <w:rFonts w:cs="Arial"/>
        </w:rPr>
        <w:t xml:space="preserve">και το 2026 καθώς και </w:t>
      </w:r>
      <w:r w:rsidR="00E23C2E">
        <w:rPr>
          <w:rFonts w:cs="Arial"/>
        </w:rPr>
        <w:t>η απαλλαγή ΦΠΑ στα</w:t>
      </w:r>
      <w:r w:rsidR="002A1C73" w:rsidRPr="002A1C73">
        <w:rPr>
          <w:rFonts w:cs="Arial"/>
        </w:rPr>
        <w:t xml:space="preserve"> νέα κτ</w:t>
      </w:r>
      <w:r w:rsidR="000B3AFE">
        <w:rPr>
          <w:rFonts w:cs="Arial"/>
        </w:rPr>
        <w:t>ή</w:t>
      </w:r>
      <w:r w:rsidR="002A1C73" w:rsidRPr="002A1C73">
        <w:rPr>
          <w:rFonts w:cs="Arial"/>
        </w:rPr>
        <w:t>ρια</w:t>
      </w:r>
      <w:r w:rsidR="006D5311">
        <w:rPr>
          <w:rFonts w:cs="Arial"/>
        </w:rPr>
        <w:t xml:space="preserve">, ενώ </w:t>
      </w:r>
      <w:r w:rsidR="00E23C2E">
        <w:rPr>
          <w:rFonts w:cs="Arial"/>
        </w:rPr>
        <w:t xml:space="preserve">επεκτείνεται χρονικά </w:t>
      </w:r>
      <w:r w:rsidR="00667270">
        <w:rPr>
          <w:rFonts w:cs="Arial"/>
        </w:rPr>
        <w:t xml:space="preserve">ο </w:t>
      </w:r>
      <w:r w:rsidR="002A1C73" w:rsidRPr="002A1C73">
        <w:rPr>
          <w:rFonts w:cs="Arial"/>
        </w:rPr>
        <w:t>περιορισμός</w:t>
      </w:r>
      <w:r w:rsidR="00667270">
        <w:rPr>
          <w:rFonts w:cs="Arial"/>
        </w:rPr>
        <w:t xml:space="preserve"> </w:t>
      </w:r>
      <w:r w:rsidR="002A1C73" w:rsidRPr="002A1C73">
        <w:rPr>
          <w:rFonts w:cs="Arial"/>
        </w:rPr>
        <w:t>νέων βραχυχρόνι</w:t>
      </w:r>
      <w:r w:rsidR="00E23C2E">
        <w:rPr>
          <w:rFonts w:cs="Arial"/>
        </w:rPr>
        <w:t>ων</w:t>
      </w:r>
      <w:r w:rsidR="002A1C73" w:rsidRPr="002A1C73">
        <w:rPr>
          <w:rFonts w:cs="Arial"/>
        </w:rPr>
        <w:t xml:space="preserve"> μ</w:t>
      </w:r>
      <w:r w:rsidR="00E23C2E">
        <w:rPr>
          <w:rFonts w:cs="Arial"/>
        </w:rPr>
        <w:t>ισθώσεων σ</w:t>
      </w:r>
      <w:r w:rsidR="00667270">
        <w:rPr>
          <w:rFonts w:cs="Arial"/>
        </w:rPr>
        <w:t>τ</w:t>
      </w:r>
      <w:r w:rsidR="002A1C73" w:rsidRPr="002A1C73">
        <w:rPr>
          <w:rFonts w:cs="Arial"/>
        </w:rPr>
        <w:t>α 3 δημοτικά διαμερίσματα της Αθήνας</w:t>
      </w:r>
      <w:r>
        <w:rPr>
          <w:rFonts w:cs="Arial"/>
        </w:rPr>
        <w:t xml:space="preserve"> και</w:t>
      </w:r>
    </w:p>
    <w:p w14:paraId="4340F0D6" w14:textId="74C7DECD" w:rsidR="002A1C73" w:rsidRPr="002A1C73" w:rsidRDefault="00AA2AB9" w:rsidP="00270C2C">
      <w:pPr>
        <w:numPr>
          <w:ilvl w:val="0"/>
          <w:numId w:val="2"/>
        </w:numPr>
        <w:spacing w:before="60"/>
        <w:ind w:left="568" w:hanging="284"/>
      </w:pPr>
      <w:r>
        <w:t>μ</w:t>
      </w:r>
      <w:r w:rsidR="002A1C73" w:rsidRPr="002A1C73">
        <w:t>είωση των τεκμηρίων διαβίωσης</w:t>
      </w:r>
      <w:r w:rsidR="00582F25">
        <w:t xml:space="preserve">, η οποία κυμαίνεται από </w:t>
      </w:r>
      <w:r w:rsidR="002A1C73" w:rsidRPr="002A1C73">
        <w:t xml:space="preserve">30% </w:t>
      </w:r>
      <w:r w:rsidR="00BF7D50">
        <w:t>έως 35%</w:t>
      </w:r>
      <w:r w:rsidR="00582F25">
        <w:t>,</w:t>
      </w:r>
      <w:r w:rsidR="00BF7D50">
        <w:t xml:space="preserve"> </w:t>
      </w:r>
      <w:r w:rsidR="002A1C73" w:rsidRPr="002A1C73">
        <w:t xml:space="preserve">για τις κατοικίες, σημαντικές μειώσεις </w:t>
      </w:r>
      <w:r w:rsidR="00BF7D50">
        <w:t xml:space="preserve">των αντικειμενικών δαπανών </w:t>
      </w:r>
      <w:r w:rsidR="002A1C73" w:rsidRPr="002A1C73">
        <w:t>για τα αυτοκίνητα</w:t>
      </w:r>
      <w:r w:rsidR="00BF7D50">
        <w:t>,</w:t>
      </w:r>
      <w:r w:rsidR="002A1C73" w:rsidRPr="002A1C73">
        <w:t xml:space="preserve"> προσαρμογές στο ελάχιστο εισόδημα για τους ελεύθερους επαγγελματίες σε οικισμούς </w:t>
      </w:r>
      <w:r w:rsidR="000B3AFE">
        <w:t xml:space="preserve">με πληθυσμό </w:t>
      </w:r>
      <w:r w:rsidR="002A1C73" w:rsidRPr="002A1C73">
        <w:t>έως 1</w:t>
      </w:r>
      <w:r w:rsidR="000B3AFE">
        <w:t>.</w:t>
      </w:r>
      <w:r w:rsidR="002A1C73" w:rsidRPr="002A1C73">
        <w:t xml:space="preserve">500 κατοίκους και εξαίρεση από το </w:t>
      </w:r>
      <w:r w:rsidR="00BF7D50">
        <w:t>ελάχιστο</w:t>
      </w:r>
      <w:r w:rsidR="002A1C73" w:rsidRPr="002A1C73">
        <w:t xml:space="preserve"> εισόδημα για τις νέες μητέρες.</w:t>
      </w:r>
    </w:p>
    <w:p w14:paraId="2D640C39" w14:textId="631D88D6" w:rsidR="002A1C73" w:rsidRPr="002A1C73" w:rsidRDefault="002A1C73" w:rsidP="002A1C73">
      <w:r w:rsidRPr="002A1C73">
        <w:t xml:space="preserve">Οι παρεμβάσεις αυτές </w:t>
      </w:r>
      <w:r w:rsidR="000B3AFE">
        <w:t xml:space="preserve">πραγματοποιούνται </w:t>
      </w:r>
      <w:r w:rsidRPr="002A1C73">
        <w:t>εντός των δημοσιονομικών στόχων. Το συνολικό κόστος των νέων μέτρων για το 2026 ανέρχεται σε 1,7</w:t>
      </w:r>
      <w:r w:rsidR="00BF7D50">
        <w:t>6</w:t>
      </w:r>
      <w:r w:rsidRPr="002A1C73">
        <w:t xml:space="preserve"> δισ. ευρώ.</w:t>
      </w:r>
    </w:p>
    <w:p w14:paraId="7235AF4F" w14:textId="77777777" w:rsidR="002A1C73" w:rsidRPr="002A1C73" w:rsidRDefault="002A1C73" w:rsidP="002A1C73">
      <w:r w:rsidRPr="002A1C73">
        <w:t xml:space="preserve">Πέραν των ανωτέρω παρεμβάσεων, τον Απρίλιο 2026 θα αυξηθεί περαιτέρω ο κατώτατος μισθός με στόχο να </w:t>
      </w:r>
      <w:r w:rsidR="000B3AFE">
        <w:t xml:space="preserve">ανέλθει στο ποσό των </w:t>
      </w:r>
      <w:r w:rsidRPr="002A1C73">
        <w:t xml:space="preserve">950 ευρώ τον Απρίλιο 2027 από </w:t>
      </w:r>
      <w:r w:rsidR="000B3AFE">
        <w:t xml:space="preserve">το ποσό των </w:t>
      </w:r>
      <w:r w:rsidRPr="002A1C73">
        <w:t>880 ευρώ που είναι σήμερα. Η αύξηση αυτή επηρεάζει το επίδομα ανεργίας, το επίδομα μητρότητας, τα επιδόματα τριετιών, την αμοιβή υπερωριών και τους βασικούς μισθούς των δημ</w:t>
      </w:r>
      <w:r w:rsidR="000B3AFE">
        <w:t>ό</w:t>
      </w:r>
      <w:r w:rsidRPr="002A1C73">
        <w:t>σ</w:t>
      </w:r>
      <w:r w:rsidR="000B3AFE">
        <w:t>ι</w:t>
      </w:r>
      <w:r w:rsidRPr="002A1C73">
        <w:t>ων υπαλλήλων.</w:t>
      </w:r>
    </w:p>
    <w:p w14:paraId="10936A48" w14:textId="77777777" w:rsidR="002A1C73" w:rsidRPr="002A1C73" w:rsidRDefault="00B976C8" w:rsidP="00573BF1">
      <w:pPr>
        <w:spacing w:before="120"/>
      </w:pPr>
      <w:r>
        <w:t>Επιπρόσθετες</w:t>
      </w:r>
      <w:r w:rsidR="002A1C73" w:rsidRPr="002A1C73">
        <w:t xml:space="preserve"> παρεμβάσεις</w:t>
      </w:r>
      <w:r>
        <w:t xml:space="preserve"> είναι οι ακόλουθες</w:t>
      </w:r>
      <w:r w:rsidR="002A1C73" w:rsidRPr="002A1C73">
        <w:t>:</w:t>
      </w:r>
    </w:p>
    <w:p w14:paraId="0260F3F2" w14:textId="77777777" w:rsidR="002A1C73" w:rsidRPr="00573BF1" w:rsidRDefault="00B976C8" w:rsidP="00270C2C">
      <w:pPr>
        <w:numPr>
          <w:ilvl w:val="0"/>
          <w:numId w:val="2"/>
        </w:numPr>
        <w:spacing w:before="120" w:after="60"/>
        <w:ind w:left="568" w:hanging="284"/>
      </w:pPr>
      <w:r>
        <w:t>επέκταση τ</w:t>
      </w:r>
      <w:r w:rsidR="002A1C73" w:rsidRPr="00573BF1">
        <w:t>ο</w:t>
      </w:r>
      <w:r>
        <w:t>υ</w:t>
      </w:r>
      <w:r w:rsidR="002A1C73" w:rsidRPr="00573BF1">
        <w:t xml:space="preserve"> πρ</w:t>
      </w:r>
      <w:r>
        <w:t xml:space="preserve">ογράμματος </w:t>
      </w:r>
      <w:r w:rsidR="002A1C73" w:rsidRPr="00573BF1">
        <w:t xml:space="preserve">ανακαίνισης σχολείων «Μαριέττα Γιαννάκου» με επιπλέον 300 εκατ. ευρώ </w:t>
      </w:r>
      <w:r>
        <w:t xml:space="preserve">ως </w:t>
      </w:r>
      <w:r w:rsidR="002A1C73" w:rsidRPr="00573BF1">
        <w:t xml:space="preserve">δωρεά από τις τέσσερις συστημικές τράπεζες, </w:t>
      </w:r>
      <w:r>
        <w:t xml:space="preserve">με αποτέλεσμα </w:t>
      </w:r>
      <w:r w:rsidR="002A1C73" w:rsidRPr="00573BF1">
        <w:t>ο συνολικό</w:t>
      </w:r>
      <w:r>
        <w:t>ς</w:t>
      </w:r>
      <w:r w:rsidR="002A1C73" w:rsidRPr="00573BF1">
        <w:t xml:space="preserve"> προϋπολογισμό</w:t>
      </w:r>
      <w:r>
        <w:t>ς να ανέλθει</w:t>
      </w:r>
      <w:r w:rsidR="002A1C73" w:rsidRPr="00573BF1">
        <w:t xml:space="preserve"> στ</w:t>
      </w:r>
      <w:r>
        <w:t xml:space="preserve">ο ποσό των </w:t>
      </w:r>
      <w:r w:rsidR="002A1C73" w:rsidRPr="00573BF1">
        <w:t xml:space="preserve">650 εκατ. ευρώ. </w:t>
      </w:r>
      <w:r>
        <w:t xml:space="preserve">Η εν λόγω παρέμβαση αποσκοπεί στην ανακαίνιση </w:t>
      </w:r>
      <w:r w:rsidR="002A1C73" w:rsidRPr="00573BF1">
        <w:t>περισσότερ</w:t>
      </w:r>
      <w:r>
        <w:t>ων</w:t>
      </w:r>
      <w:r w:rsidR="002A1C73" w:rsidRPr="00573BF1">
        <w:t xml:space="preserve"> από 2.500 σχολικ</w:t>
      </w:r>
      <w:r>
        <w:t xml:space="preserve">ών </w:t>
      </w:r>
      <w:r w:rsidR="002A1C73" w:rsidRPr="00573BF1">
        <w:t>μονάδ</w:t>
      </w:r>
      <w:r>
        <w:t>ων</w:t>
      </w:r>
      <w:r w:rsidR="00AA2AB9">
        <w:t>,</w:t>
      </w:r>
    </w:p>
    <w:p w14:paraId="5C7B4FB2" w14:textId="05FDBBAE" w:rsidR="002A1C73" w:rsidRPr="00573BF1" w:rsidRDefault="00B976C8" w:rsidP="00270C2C">
      <w:pPr>
        <w:numPr>
          <w:ilvl w:val="0"/>
          <w:numId w:val="1"/>
        </w:numPr>
        <w:spacing w:before="60" w:after="60"/>
        <w:ind w:left="568" w:hanging="284"/>
        <w:rPr>
          <w:rFonts w:cs="Arial"/>
        </w:rPr>
      </w:pPr>
      <w:r>
        <w:rPr>
          <w:rFonts w:cs="Arial"/>
        </w:rPr>
        <w:t xml:space="preserve">θέσπιση </w:t>
      </w:r>
      <w:r w:rsidR="002A1C73" w:rsidRPr="00573BF1">
        <w:rPr>
          <w:rFonts w:cs="Arial"/>
        </w:rPr>
        <w:t>υπερεκπτώσε</w:t>
      </w:r>
      <w:r>
        <w:rPr>
          <w:rFonts w:cs="Arial"/>
        </w:rPr>
        <w:t>ων</w:t>
      </w:r>
      <w:r w:rsidR="002A1C73" w:rsidRPr="00573BF1">
        <w:rPr>
          <w:rFonts w:cs="Arial"/>
        </w:rPr>
        <w:t xml:space="preserve"> 100% για επενδυτικές δαπάνες σε στρατηγικούς τομείς</w:t>
      </w:r>
      <w:r>
        <w:rPr>
          <w:rFonts w:cs="Arial"/>
        </w:rPr>
        <w:t>,</w:t>
      </w:r>
      <w:r w:rsidR="002A1C73" w:rsidRPr="00573BF1">
        <w:rPr>
          <w:rFonts w:cs="Arial"/>
        </w:rPr>
        <w:t xml:space="preserve"> όπως η άμυνα και η κατασκευή οχημάτων</w:t>
      </w:r>
      <w:r w:rsidR="00AA2AB9">
        <w:rPr>
          <w:rFonts w:cs="Arial"/>
        </w:rPr>
        <w:t xml:space="preserve"> </w:t>
      </w:r>
      <w:r w:rsidR="000F56FF">
        <w:rPr>
          <w:rFonts w:cs="Arial"/>
        </w:rPr>
        <w:t xml:space="preserve">καθώς </w:t>
      </w:r>
      <w:r w:rsidR="00AA2AB9">
        <w:rPr>
          <w:rFonts w:cs="Arial"/>
        </w:rPr>
        <w:t>και</w:t>
      </w:r>
      <w:r w:rsidR="000F56FF">
        <w:rPr>
          <w:rFonts w:cs="Arial"/>
        </w:rPr>
        <w:t xml:space="preserve"> αεροσκαφών και</w:t>
      </w:r>
      <w:r w:rsidR="00A7016E">
        <w:rPr>
          <w:rFonts w:cs="Arial"/>
        </w:rPr>
        <w:t xml:space="preserve"> των</w:t>
      </w:r>
      <w:r w:rsidR="000F56FF">
        <w:rPr>
          <w:rFonts w:cs="Arial"/>
        </w:rPr>
        <w:t xml:space="preserve"> εξαρτημάτων </w:t>
      </w:r>
      <w:r w:rsidR="004F1E9B">
        <w:rPr>
          <w:rFonts w:cs="Arial"/>
        </w:rPr>
        <w:t>αυτών</w:t>
      </w:r>
      <w:r w:rsidR="00B370F6">
        <w:rPr>
          <w:rFonts w:cs="Arial"/>
        </w:rPr>
        <w:t xml:space="preserve"> </w:t>
      </w:r>
      <w:r w:rsidR="000F56FF">
        <w:rPr>
          <w:rFonts w:cs="Arial"/>
        </w:rPr>
        <w:t>και</w:t>
      </w:r>
    </w:p>
    <w:p w14:paraId="01AD5622" w14:textId="77777777" w:rsidR="002A1C73" w:rsidRPr="00573BF1" w:rsidRDefault="001A579A" w:rsidP="00270C2C">
      <w:pPr>
        <w:numPr>
          <w:ilvl w:val="0"/>
          <w:numId w:val="2"/>
        </w:numPr>
        <w:spacing w:before="60"/>
        <w:ind w:left="568" w:hanging="284"/>
      </w:pPr>
      <w:r>
        <w:t xml:space="preserve">μη υπολογισμός της </w:t>
      </w:r>
      <w:r w:rsidR="002A1C73" w:rsidRPr="00573BF1">
        <w:t>Εισφορά</w:t>
      </w:r>
      <w:r>
        <w:t>ς</w:t>
      </w:r>
      <w:r w:rsidR="002A1C73" w:rsidRPr="00573BF1">
        <w:t xml:space="preserve"> Αλληλεγγύης</w:t>
      </w:r>
      <w:r>
        <w:t xml:space="preserve"> για τους εργαζόμενους συνταξιούχους </w:t>
      </w:r>
      <w:r w:rsidR="002A1C73" w:rsidRPr="00573BF1">
        <w:t>με βάση την προσαύξηση της σύνταξής τους λόγω της εργασίας.</w:t>
      </w:r>
    </w:p>
    <w:p w14:paraId="71CE0122" w14:textId="77777777" w:rsidR="002A1C73" w:rsidRPr="002A1C73" w:rsidRDefault="00812388" w:rsidP="002A1C73">
      <w:r>
        <w:t>Ειδικότερα, η α</w:t>
      </w:r>
      <w:r w:rsidR="002A1C73" w:rsidRPr="002A1C73">
        <w:t xml:space="preserve">ναμόρφωση </w:t>
      </w:r>
      <w:r>
        <w:t xml:space="preserve">της </w:t>
      </w:r>
      <w:r w:rsidR="002A1C73" w:rsidRPr="002A1C73">
        <w:t>φορολογικής κλίμακας</w:t>
      </w:r>
      <w:r>
        <w:t xml:space="preserve"> συνίσταται στα ακόλουθα</w:t>
      </w:r>
      <w:r w:rsidR="002A1C73" w:rsidRPr="002A1C73">
        <w:t>:</w:t>
      </w:r>
    </w:p>
    <w:p w14:paraId="070E6AB2" w14:textId="77777777" w:rsidR="002A1C73" w:rsidRPr="0067760D" w:rsidRDefault="00812388" w:rsidP="00270C2C">
      <w:pPr>
        <w:numPr>
          <w:ilvl w:val="0"/>
          <w:numId w:val="2"/>
        </w:numPr>
        <w:spacing w:before="120" w:after="60"/>
        <w:ind w:left="568" w:hanging="284"/>
      </w:pPr>
      <w:r>
        <w:t>μείωση των</w:t>
      </w:r>
      <w:r w:rsidR="002A1C73" w:rsidRPr="0067760D">
        <w:t xml:space="preserve"> φορολογικ</w:t>
      </w:r>
      <w:r>
        <w:t xml:space="preserve">ών </w:t>
      </w:r>
      <w:r w:rsidR="002A1C73" w:rsidRPr="0067760D">
        <w:t>συντελεστ</w:t>
      </w:r>
      <w:r>
        <w:t>ών</w:t>
      </w:r>
      <w:r w:rsidR="002A1C73" w:rsidRPr="0067760D">
        <w:t xml:space="preserve"> κατά 2% για εισοδήματα από 10.000 έως 40.000 ευρώ.</w:t>
      </w:r>
      <w:r w:rsidR="00573BF1" w:rsidRPr="0067760D">
        <w:t xml:space="preserve"> </w:t>
      </w:r>
      <w:r w:rsidR="006C746E">
        <w:t>Συγκεκριμένα</w:t>
      </w:r>
      <w:r w:rsidR="00CB6ADC">
        <w:t>,</w:t>
      </w:r>
      <w:r w:rsidR="006C746E">
        <w:t xml:space="preserve"> οι φορολογικοί συντελεστές μειώνονται</w:t>
      </w:r>
      <w:r w:rsidR="002A1C73" w:rsidRPr="0067760D">
        <w:t>:</w:t>
      </w:r>
    </w:p>
    <w:p w14:paraId="4F1FE416" w14:textId="77777777" w:rsidR="002A1C73" w:rsidRPr="00B56307" w:rsidRDefault="00812388" w:rsidP="00F80F8A">
      <w:pPr>
        <w:pStyle w:val="Web"/>
        <w:numPr>
          <w:ilvl w:val="1"/>
          <w:numId w:val="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002A1C73" w:rsidRPr="00B56307">
        <w:rPr>
          <w:rFonts w:cs="Arial"/>
          <w:szCs w:val="22"/>
          <w:lang w:val="el-GR"/>
        </w:rPr>
        <w:t>πό 22% σε 20% για εισόδημα μεταξύ 10.000</w:t>
      </w:r>
      <w:r w:rsidR="00950885" w:rsidRPr="00950885">
        <w:rPr>
          <w:rFonts w:cs="Arial"/>
          <w:szCs w:val="22"/>
          <w:lang w:val="el-GR"/>
        </w:rPr>
        <w:t xml:space="preserve"> </w:t>
      </w:r>
      <w:r w:rsidR="002A1C73" w:rsidRPr="00B56307">
        <w:rPr>
          <w:rFonts w:cs="Arial"/>
          <w:szCs w:val="22"/>
          <w:lang w:val="el-GR"/>
        </w:rPr>
        <w:t>-</w:t>
      </w:r>
      <w:r w:rsidR="00950885" w:rsidRPr="00950885">
        <w:rPr>
          <w:rFonts w:cs="Arial"/>
          <w:szCs w:val="22"/>
          <w:lang w:val="el-GR"/>
        </w:rPr>
        <w:t xml:space="preserve"> </w:t>
      </w:r>
      <w:r w:rsidR="002A1C73" w:rsidRPr="00B56307">
        <w:rPr>
          <w:rFonts w:cs="Arial"/>
          <w:szCs w:val="22"/>
          <w:lang w:val="el-GR"/>
        </w:rPr>
        <w:t>20.000</w:t>
      </w:r>
      <w:r w:rsidR="00950885" w:rsidRPr="00950885">
        <w:rPr>
          <w:rFonts w:cs="Arial"/>
          <w:szCs w:val="22"/>
          <w:lang w:val="el-GR"/>
        </w:rPr>
        <w:t xml:space="preserve"> </w:t>
      </w:r>
      <w:r w:rsidR="00950885">
        <w:rPr>
          <w:rFonts w:cs="Arial"/>
          <w:szCs w:val="22"/>
          <w:lang w:val="el-GR"/>
        </w:rPr>
        <w:t>ευρώ</w:t>
      </w:r>
      <w:r w:rsidR="00AA2AB9">
        <w:rPr>
          <w:rFonts w:cs="Arial"/>
          <w:szCs w:val="22"/>
          <w:lang w:val="el-GR"/>
        </w:rPr>
        <w:t>,</w:t>
      </w:r>
    </w:p>
    <w:p w14:paraId="157E0D64" w14:textId="77777777" w:rsidR="002A1C73" w:rsidRPr="00B56307" w:rsidRDefault="00812388" w:rsidP="00270C2C">
      <w:pPr>
        <w:pStyle w:val="Web"/>
        <w:numPr>
          <w:ilvl w:val="1"/>
          <w:numId w:val="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002A1C73" w:rsidRPr="00B56307">
        <w:rPr>
          <w:rFonts w:cs="Arial"/>
          <w:szCs w:val="22"/>
          <w:lang w:val="el-GR"/>
        </w:rPr>
        <w:t>πό 28% σε 26% για εισόδημα μεταξύ 20.000</w:t>
      </w:r>
      <w:r w:rsidR="00950885" w:rsidRPr="00950885">
        <w:rPr>
          <w:rFonts w:cs="Arial"/>
          <w:szCs w:val="22"/>
          <w:lang w:val="el-GR"/>
        </w:rPr>
        <w:t xml:space="preserve"> </w:t>
      </w:r>
      <w:r w:rsidR="002A1C73" w:rsidRPr="00B56307">
        <w:rPr>
          <w:rFonts w:cs="Arial"/>
          <w:szCs w:val="22"/>
          <w:lang w:val="el-GR"/>
        </w:rPr>
        <w:t>-</w:t>
      </w:r>
      <w:r w:rsidR="00950885" w:rsidRPr="00950885">
        <w:rPr>
          <w:rFonts w:cs="Arial"/>
          <w:szCs w:val="22"/>
          <w:lang w:val="el-GR"/>
        </w:rPr>
        <w:t xml:space="preserve"> </w:t>
      </w:r>
      <w:r w:rsidR="002A1C73" w:rsidRPr="00B56307">
        <w:rPr>
          <w:rFonts w:cs="Arial"/>
          <w:szCs w:val="22"/>
          <w:lang w:val="el-GR"/>
        </w:rPr>
        <w:t>30.000</w:t>
      </w:r>
      <w:r w:rsidR="00950885">
        <w:rPr>
          <w:rFonts w:cs="Arial"/>
          <w:szCs w:val="22"/>
          <w:lang w:val="el-GR"/>
        </w:rPr>
        <w:t xml:space="preserve"> ευρώ</w:t>
      </w:r>
      <w:r w:rsidR="00AA2AB9">
        <w:rPr>
          <w:rFonts w:cs="Arial"/>
          <w:szCs w:val="22"/>
          <w:lang w:val="el-GR"/>
        </w:rPr>
        <w:t xml:space="preserve"> και</w:t>
      </w:r>
    </w:p>
    <w:p w14:paraId="1FD4704D" w14:textId="77777777" w:rsidR="002A1C73" w:rsidRPr="00B56307" w:rsidRDefault="00812388" w:rsidP="00F80F8A">
      <w:pPr>
        <w:pStyle w:val="Web"/>
        <w:numPr>
          <w:ilvl w:val="1"/>
          <w:numId w:val="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002A1C73" w:rsidRPr="00B56307">
        <w:rPr>
          <w:rFonts w:cs="Arial"/>
          <w:szCs w:val="22"/>
          <w:lang w:val="el-GR"/>
        </w:rPr>
        <w:t>πό 36% σε 34% για εισόδημα μεταξύ 30.000</w:t>
      </w:r>
      <w:r w:rsidR="00950885" w:rsidRPr="00950885">
        <w:rPr>
          <w:rFonts w:cs="Arial"/>
          <w:szCs w:val="22"/>
          <w:lang w:val="el-GR"/>
        </w:rPr>
        <w:t xml:space="preserve"> </w:t>
      </w:r>
      <w:r w:rsidR="002A1C73" w:rsidRPr="00B56307">
        <w:rPr>
          <w:rFonts w:cs="Arial"/>
          <w:szCs w:val="22"/>
          <w:lang w:val="el-GR"/>
        </w:rPr>
        <w:t>-</w:t>
      </w:r>
      <w:r w:rsidR="00950885" w:rsidRPr="00950885">
        <w:rPr>
          <w:rFonts w:cs="Arial"/>
          <w:szCs w:val="22"/>
          <w:lang w:val="el-GR"/>
        </w:rPr>
        <w:t xml:space="preserve"> </w:t>
      </w:r>
      <w:r w:rsidR="002A1C73" w:rsidRPr="00B56307">
        <w:rPr>
          <w:rFonts w:cs="Arial"/>
          <w:szCs w:val="22"/>
          <w:lang w:val="el-GR"/>
        </w:rPr>
        <w:t>40.000</w:t>
      </w:r>
      <w:r w:rsidR="00950885">
        <w:rPr>
          <w:rFonts w:cs="Arial"/>
          <w:szCs w:val="22"/>
          <w:lang w:val="el-GR"/>
        </w:rPr>
        <w:t xml:space="preserve"> ευρώ</w:t>
      </w:r>
      <w:r w:rsidR="00AA2AB9">
        <w:rPr>
          <w:rFonts w:cs="Arial"/>
          <w:szCs w:val="22"/>
          <w:lang w:val="el-GR"/>
        </w:rPr>
        <w:t>,</w:t>
      </w:r>
    </w:p>
    <w:p w14:paraId="33E4EB94" w14:textId="77777777" w:rsidR="002A1C73" w:rsidRPr="00B56307" w:rsidRDefault="006C746E" w:rsidP="00270C2C">
      <w:pPr>
        <w:numPr>
          <w:ilvl w:val="0"/>
          <w:numId w:val="1"/>
        </w:numPr>
        <w:spacing w:before="60" w:after="60"/>
        <w:ind w:left="568" w:hanging="284"/>
        <w:rPr>
          <w:rFonts w:cs="Arial"/>
        </w:rPr>
      </w:pPr>
      <w:r>
        <w:rPr>
          <w:rFonts w:cs="Arial"/>
        </w:rPr>
        <w:t xml:space="preserve">εισαγωγή νέας </w:t>
      </w:r>
      <w:r w:rsidR="002A1C73" w:rsidRPr="00B56307">
        <w:rPr>
          <w:rFonts w:cs="Arial"/>
        </w:rPr>
        <w:t>φορολογική</w:t>
      </w:r>
      <w:r>
        <w:rPr>
          <w:rFonts w:cs="Arial"/>
        </w:rPr>
        <w:t>ς</w:t>
      </w:r>
      <w:r w:rsidR="002A1C73" w:rsidRPr="00B56307">
        <w:rPr>
          <w:rFonts w:cs="Arial"/>
        </w:rPr>
        <w:t xml:space="preserve"> κλίμακα</w:t>
      </w:r>
      <w:r>
        <w:rPr>
          <w:rFonts w:cs="Arial"/>
        </w:rPr>
        <w:t>ς</w:t>
      </w:r>
      <w:r w:rsidR="002A1C73" w:rsidRPr="00B56307">
        <w:rPr>
          <w:rFonts w:cs="Arial"/>
        </w:rPr>
        <w:t xml:space="preserve"> με συντελεστή 39% για εισοδήματα μεταξύ 40.000 και 60.000 ευρώ</w:t>
      </w:r>
      <w:r w:rsidR="00AA2AB9">
        <w:rPr>
          <w:rFonts w:cs="Arial"/>
        </w:rPr>
        <w:t>,</w:t>
      </w:r>
    </w:p>
    <w:p w14:paraId="5437B35C" w14:textId="1E7A16B0" w:rsidR="00356794" w:rsidRPr="00873EAD" w:rsidRDefault="00356794" w:rsidP="00356794">
      <w:pPr>
        <w:numPr>
          <w:ilvl w:val="0"/>
          <w:numId w:val="1"/>
        </w:numPr>
        <w:spacing w:before="60" w:after="60"/>
        <w:ind w:left="568" w:hanging="284"/>
        <w:rPr>
          <w:rFonts w:cs="Arial"/>
        </w:rPr>
      </w:pPr>
      <w:r>
        <w:t>ο</w:t>
      </w:r>
      <w:r w:rsidRPr="00873EAD">
        <w:t xml:space="preserve"> συντελεστής </w:t>
      </w:r>
      <w:r w:rsidR="003242CC">
        <w:t xml:space="preserve">για εισόδημα </w:t>
      </w:r>
      <w:r w:rsidR="00E23E5A">
        <w:t xml:space="preserve">από </w:t>
      </w:r>
      <w:r w:rsidRPr="00B52942">
        <w:t>10.000 έως 20.000</w:t>
      </w:r>
      <w:r w:rsidR="003242CC" w:rsidRPr="00B52942">
        <w:t xml:space="preserve"> ευρώ</w:t>
      </w:r>
      <w:r w:rsidR="00B52942" w:rsidRPr="00B52942">
        <w:t>,</w:t>
      </w:r>
      <w:r w:rsidRPr="00B52942">
        <w:t xml:space="preserve"> </w:t>
      </w:r>
      <w:r w:rsidR="00B52942">
        <w:t>ο οποίος</w:t>
      </w:r>
      <w:r w:rsidRPr="00873EAD">
        <w:t xml:space="preserve"> πλέον θα ανέρχεται σε 20% για φορολογούμενους χωρίς τέκνα, μειώνεται περ</w:t>
      </w:r>
      <w:r>
        <w:t>αιτέρω</w:t>
      </w:r>
      <w:r w:rsidRPr="00873EAD">
        <w:t xml:space="preserve"> αναλόγως του αριθμού των τέκνων και ακόμη περισσότερο για τους τρίτεκνους σε:</w:t>
      </w:r>
    </w:p>
    <w:p w14:paraId="77E8C17C" w14:textId="66BD085B" w:rsidR="00356794" w:rsidRDefault="00356794" w:rsidP="00356794">
      <w:pPr>
        <w:pStyle w:val="Web"/>
        <w:numPr>
          <w:ilvl w:val="1"/>
          <w:numId w:val="5"/>
        </w:numPr>
        <w:tabs>
          <w:tab w:val="clear" w:pos="1440"/>
          <w:tab w:val="num" w:pos="567"/>
        </w:tabs>
        <w:spacing w:before="60" w:beforeAutospacing="0" w:after="60" w:afterAutospacing="0"/>
        <w:ind w:left="851" w:hanging="284"/>
        <w:rPr>
          <w:lang w:val="el-GR"/>
        </w:rPr>
      </w:pPr>
      <w:r>
        <w:rPr>
          <w:lang w:val="el-GR"/>
        </w:rPr>
        <w:t>18% για φορολογούμενους με 1 εξαρτώμενο τέκνο,</w:t>
      </w:r>
    </w:p>
    <w:p w14:paraId="3753B5EC" w14:textId="54ADFF7A" w:rsidR="00356794" w:rsidRDefault="00356794" w:rsidP="00356794">
      <w:pPr>
        <w:pStyle w:val="Web"/>
        <w:numPr>
          <w:ilvl w:val="1"/>
          <w:numId w:val="5"/>
        </w:numPr>
        <w:tabs>
          <w:tab w:val="clear" w:pos="1440"/>
          <w:tab w:val="num" w:pos="567"/>
        </w:tabs>
        <w:spacing w:before="60" w:beforeAutospacing="0" w:after="60" w:afterAutospacing="0"/>
        <w:ind w:left="851" w:hanging="284"/>
        <w:rPr>
          <w:lang w:val="el-GR"/>
        </w:rPr>
      </w:pPr>
      <w:r w:rsidRPr="00356794">
        <w:rPr>
          <w:rFonts w:cs="Arial"/>
          <w:szCs w:val="22"/>
          <w:lang w:val="el-GR"/>
        </w:rPr>
        <w:t>16</w:t>
      </w:r>
      <w:r>
        <w:rPr>
          <w:lang w:val="el-GR"/>
        </w:rPr>
        <w:t>% για φορολογούμενους με 2 εξαρτώμενα τέκνα</w:t>
      </w:r>
      <w:r w:rsidR="008C0B5B">
        <w:rPr>
          <w:lang w:val="el-GR"/>
        </w:rPr>
        <w:t xml:space="preserve"> και</w:t>
      </w:r>
    </w:p>
    <w:p w14:paraId="2176EC96" w14:textId="4D81ABFD" w:rsidR="00356794" w:rsidRDefault="00356794" w:rsidP="00356794">
      <w:pPr>
        <w:pStyle w:val="Web"/>
        <w:numPr>
          <w:ilvl w:val="1"/>
          <w:numId w:val="5"/>
        </w:numPr>
        <w:tabs>
          <w:tab w:val="clear" w:pos="1440"/>
          <w:tab w:val="num" w:pos="567"/>
        </w:tabs>
        <w:spacing w:before="60" w:beforeAutospacing="0" w:after="60" w:afterAutospacing="0"/>
        <w:ind w:left="851" w:hanging="284"/>
        <w:rPr>
          <w:lang w:val="el-GR"/>
        </w:rPr>
      </w:pPr>
      <w:r>
        <w:rPr>
          <w:lang w:val="el-GR"/>
        </w:rPr>
        <w:t xml:space="preserve">9% για φορολογούμενους με </w:t>
      </w:r>
      <w:r w:rsidR="00E23E5A">
        <w:rPr>
          <w:lang w:val="el-GR"/>
        </w:rPr>
        <w:t>3</w:t>
      </w:r>
      <w:r>
        <w:rPr>
          <w:lang w:val="el-GR"/>
        </w:rPr>
        <w:t xml:space="preserve"> εξαρτώμενα τέκνα</w:t>
      </w:r>
      <w:r w:rsidR="008C0B5B">
        <w:rPr>
          <w:lang w:val="el-GR"/>
        </w:rPr>
        <w:t>,</w:t>
      </w:r>
    </w:p>
    <w:p w14:paraId="702E49AE" w14:textId="6D632C9E" w:rsidR="002A1C73" w:rsidRPr="00B52942" w:rsidRDefault="00356794" w:rsidP="00CD63C5">
      <w:pPr>
        <w:numPr>
          <w:ilvl w:val="0"/>
          <w:numId w:val="1"/>
        </w:numPr>
        <w:spacing w:before="60" w:after="60"/>
        <w:ind w:left="568" w:hanging="284"/>
      </w:pPr>
      <w:r w:rsidRPr="00B52942">
        <w:lastRenderedPageBreak/>
        <w:t>ό</w:t>
      </w:r>
      <w:r w:rsidR="006C746E" w:rsidRPr="00B52942">
        <w:t>σον αφορά στους πολύτεκνους</w:t>
      </w:r>
      <w:r w:rsidR="002A1C73" w:rsidRPr="00B52942">
        <w:t xml:space="preserve">, </w:t>
      </w:r>
      <w:r w:rsidR="006C746E" w:rsidRPr="00B52942">
        <w:t>προβλέπεται μεγαλύτερη μείωση των συντελεστών και ειδικότερα,</w:t>
      </w:r>
      <w:r w:rsidR="002A1C73" w:rsidRPr="00B52942">
        <w:t xml:space="preserve"> για οικογένειες με τέσσερα ή περισσότερα παιδιά ο φόρος για εισοδήματα έως 20.000 ευρώ μηδενίζεται</w:t>
      </w:r>
      <w:r w:rsidR="00AA2AB9" w:rsidRPr="00B52942">
        <w:t>,</w:t>
      </w:r>
    </w:p>
    <w:p w14:paraId="579E594C" w14:textId="2E26825C" w:rsidR="00356794" w:rsidRPr="00873EAD" w:rsidRDefault="00356794" w:rsidP="00356794">
      <w:pPr>
        <w:numPr>
          <w:ilvl w:val="0"/>
          <w:numId w:val="1"/>
        </w:numPr>
        <w:spacing w:before="60" w:after="60"/>
        <w:ind w:left="568" w:hanging="284"/>
        <w:rPr>
          <w:rFonts w:cs="Arial"/>
        </w:rPr>
      </w:pPr>
      <w:r w:rsidRPr="00356794">
        <w:rPr>
          <w:rFonts w:cs="Arial"/>
        </w:rPr>
        <w:t xml:space="preserve">ο συντελεστής </w:t>
      </w:r>
      <w:r w:rsidR="00E23E5A">
        <w:t>για εισόδημα από</w:t>
      </w:r>
      <w:r w:rsidR="00E23E5A" w:rsidRPr="00E23E5A">
        <w:t xml:space="preserve"> </w:t>
      </w:r>
      <w:r w:rsidRPr="00E23E5A">
        <w:rPr>
          <w:rFonts w:cs="Arial"/>
        </w:rPr>
        <w:t>20.000 έως 30.000 ευρώ</w:t>
      </w:r>
      <w:r w:rsidR="00E23E5A" w:rsidRPr="00E23E5A">
        <w:rPr>
          <w:rFonts w:cs="Arial"/>
        </w:rPr>
        <w:t xml:space="preserve">, ο οποίος </w:t>
      </w:r>
      <w:r w:rsidRPr="00E23E5A">
        <w:rPr>
          <w:rFonts w:cs="Arial"/>
        </w:rPr>
        <w:t>πλέον θα ανέρχεται</w:t>
      </w:r>
      <w:r w:rsidRPr="00356794">
        <w:rPr>
          <w:rFonts w:cs="Arial"/>
        </w:rPr>
        <w:t xml:space="preserve"> σε 26% για φορολογούμενους χωρίς τέκνα, μειώνεται επίσης κατά 2 ποσοστιαίες μονάδες για κάθε τέκνο, ανεξαρτήτως αριθμού τέκνων:</w:t>
      </w:r>
    </w:p>
    <w:p w14:paraId="70D48D93" w14:textId="212FCCEF" w:rsidR="00356794" w:rsidRDefault="00356794" w:rsidP="00356794">
      <w:pPr>
        <w:pStyle w:val="Web"/>
        <w:numPr>
          <w:ilvl w:val="1"/>
          <w:numId w:val="5"/>
        </w:numPr>
        <w:tabs>
          <w:tab w:val="clear" w:pos="1440"/>
          <w:tab w:val="num" w:pos="567"/>
        </w:tabs>
        <w:spacing w:before="60" w:beforeAutospacing="0" w:after="60" w:afterAutospacing="0"/>
        <w:ind w:left="851" w:hanging="284"/>
        <w:rPr>
          <w:lang w:val="el-GR"/>
        </w:rPr>
      </w:pPr>
      <w:r>
        <w:rPr>
          <w:lang w:val="el-GR"/>
        </w:rPr>
        <w:t>24% για φορολογούμενους με 1 εξαρτώμενο τέκνο,</w:t>
      </w:r>
    </w:p>
    <w:p w14:paraId="25483FDB" w14:textId="41D5C0D2" w:rsidR="00356794" w:rsidRDefault="00356794" w:rsidP="00356794">
      <w:pPr>
        <w:pStyle w:val="Web"/>
        <w:numPr>
          <w:ilvl w:val="1"/>
          <w:numId w:val="5"/>
        </w:numPr>
        <w:tabs>
          <w:tab w:val="clear" w:pos="1440"/>
          <w:tab w:val="num" w:pos="567"/>
        </w:tabs>
        <w:spacing w:before="60" w:beforeAutospacing="0" w:after="60" w:afterAutospacing="0"/>
        <w:ind w:left="851" w:hanging="284"/>
        <w:rPr>
          <w:lang w:val="el-GR"/>
        </w:rPr>
      </w:pPr>
      <w:r>
        <w:rPr>
          <w:lang w:val="el-GR"/>
        </w:rPr>
        <w:t>22% για φορολογούμενους με 2 εξαρτώμενα τέκνα,</w:t>
      </w:r>
    </w:p>
    <w:p w14:paraId="5FC68D59" w14:textId="63D71815" w:rsidR="00356794" w:rsidRPr="00356794" w:rsidRDefault="00356794" w:rsidP="00356794">
      <w:pPr>
        <w:pStyle w:val="Web"/>
        <w:numPr>
          <w:ilvl w:val="1"/>
          <w:numId w:val="5"/>
        </w:numPr>
        <w:tabs>
          <w:tab w:val="clear" w:pos="1440"/>
          <w:tab w:val="num" w:pos="567"/>
        </w:tabs>
        <w:spacing w:before="60" w:beforeAutospacing="0" w:after="60" w:afterAutospacing="0"/>
        <w:ind w:left="851" w:hanging="284"/>
        <w:rPr>
          <w:rFonts w:cs="Arial"/>
          <w:szCs w:val="22"/>
          <w:lang w:val="el-GR"/>
        </w:rPr>
      </w:pPr>
      <w:r w:rsidRPr="00356794">
        <w:rPr>
          <w:rFonts w:cs="Arial"/>
          <w:szCs w:val="22"/>
          <w:lang w:val="el-GR"/>
        </w:rPr>
        <w:t xml:space="preserve">20% για φορολογούμενους με </w:t>
      </w:r>
      <w:r w:rsidR="00E23E5A">
        <w:rPr>
          <w:rFonts w:cs="Arial"/>
          <w:szCs w:val="22"/>
          <w:lang w:val="el-GR"/>
        </w:rPr>
        <w:t>3</w:t>
      </w:r>
      <w:r w:rsidRPr="00356794">
        <w:rPr>
          <w:rFonts w:cs="Arial"/>
          <w:szCs w:val="22"/>
          <w:lang w:val="el-GR"/>
        </w:rPr>
        <w:t xml:space="preserve"> εξαρτώμενα τέκνα</w:t>
      </w:r>
      <w:r>
        <w:rPr>
          <w:rFonts w:cs="Arial"/>
          <w:szCs w:val="22"/>
          <w:lang w:val="el-GR"/>
        </w:rPr>
        <w:t>,</w:t>
      </w:r>
    </w:p>
    <w:p w14:paraId="5F297289" w14:textId="6A8FEF2D" w:rsidR="00356794" w:rsidRPr="00356794" w:rsidRDefault="00356794" w:rsidP="00356794">
      <w:pPr>
        <w:pStyle w:val="Web"/>
        <w:numPr>
          <w:ilvl w:val="1"/>
          <w:numId w:val="5"/>
        </w:numPr>
        <w:tabs>
          <w:tab w:val="clear" w:pos="1440"/>
          <w:tab w:val="num" w:pos="567"/>
        </w:tabs>
        <w:spacing w:before="60" w:beforeAutospacing="0" w:after="60" w:afterAutospacing="0"/>
        <w:ind w:left="851" w:hanging="284"/>
        <w:rPr>
          <w:rFonts w:cs="Arial"/>
          <w:szCs w:val="22"/>
          <w:lang w:val="el-GR"/>
        </w:rPr>
      </w:pPr>
      <w:r w:rsidRPr="00356794">
        <w:rPr>
          <w:rFonts w:cs="Arial"/>
          <w:szCs w:val="22"/>
          <w:lang w:val="el-GR"/>
        </w:rPr>
        <w:t xml:space="preserve">18% για φορολογούμενους με </w:t>
      </w:r>
      <w:r w:rsidR="00E23E5A">
        <w:rPr>
          <w:rFonts w:cs="Arial"/>
          <w:szCs w:val="22"/>
          <w:lang w:val="el-GR"/>
        </w:rPr>
        <w:t>4</w:t>
      </w:r>
      <w:r w:rsidRPr="00356794">
        <w:rPr>
          <w:rFonts w:cs="Arial"/>
          <w:szCs w:val="22"/>
          <w:lang w:val="el-GR"/>
        </w:rPr>
        <w:t xml:space="preserve"> εξαρτώμενα τέκνα</w:t>
      </w:r>
      <w:r>
        <w:rPr>
          <w:rFonts w:cs="Arial"/>
          <w:szCs w:val="22"/>
          <w:lang w:val="el-GR"/>
        </w:rPr>
        <w:t xml:space="preserve"> και</w:t>
      </w:r>
    </w:p>
    <w:p w14:paraId="2F5F5C79" w14:textId="1A125849" w:rsidR="00356794" w:rsidRPr="00AB1D3C" w:rsidRDefault="00356794" w:rsidP="00CD2FB7">
      <w:pPr>
        <w:pStyle w:val="Web"/>
        <w:numPr>
          <w:ilvl w:val="1"/>
          <w:numId w:val="5"/>
        </w:numPr>
        <w:tabs>
          <w:tab w:val="clear" w:pos="1440"/>
          <w:tab w:val="num" w:pos="567"/>
        </w:tabs>
        <w:spacing w:before="60" w:beforeAutospacing="0" w:after="60" w:afterAutospacing="0"/>
        <w:ind w:left="851" w:hanging="284"/>
        <w:rPr>
          <w:rFonts w:cs="Arial"/>
          <w:lang w:val="el-GR"/>
        </w:rPr>
      </w:pPr>
      <w:r>
        <w:rPr>
          <w:lang w:val="el-GR"/>
        </w:rPr>
        <w:t xml:space="preserve">16% για φορολογούμενους με </w:t>
      </w:r>
      <w:r w:rsidR="00E23E5A">
        <w:rPr>
          <w:lang w:val="el-GR"/>
        </w:rPr>
        <w:t>5</w:t>
      </w:r>
      <w:r>
        <w:rPr>
          <w:lang w:val="el-GR"/>
        </w:rPr>
        <w:t xml:space="preserve"> εξαρτώμενα τέκνα κ.λπ.,</w:t>
      </w:r>
    </w:p>
    <w:p w14:paraId="3ACD8BE7" w14:textId="3CE746FB" w:rsidR="002A1C73" w:rsidRPr="00B56307" w:rsidRDefault="00201C41" w:rsidP="00270C2C">
      <w:pPr>
        <w:numPr>
          <w:ilvl w:val="0"/>
          <w:numId w:val="1"/>
        </w:numPr>
        <w:spacing w:before="60" w:after="60"/>
        <w:ind w:left="568" w:hanging="284"/>
        <w:rPr>
          <w:rFonts w:cs="Arial"/>
        </w:rPr>
      </w:pPr>
      <w:r>
        <w:rPr>
          <w:rFonts w:cs="Arial"/>
        </w:rPr>
        <w:t xml:space="preserve">μηδενισμός του φόρου </w:t>
      </w:r>
      <w:r w:rsidR="00AA2AB9">
        <w:rPr>
          <w:rFonts w:cs="Arial"/>
        </w:rPr>
        <w:t>γ</w:t>
      </w:r>
      <w:r w:rsidR="002A1C73" w:rsidRPr="00B56307">
        <w:rPr>
          <w:rFonts w:cs="Arial"/>
        </w:rPr>
        <w:t xml:space="preserve">ια </w:t>
      </w:r>
      <w:r>
        <w:rPr>
          <w:rFonts w:cs="Arial"/>
        </w:rPr>
        <w:t xml:space="preserve">εισοδήματα </w:t>
      </w:r>
      <w:r w:rsidRPr="00B56307">
        <w:rPr>
          <w:rFonts w:cs="Arial"/>
        </w:rPr>
        <w:t xml:space="preserve">έως 20.000 ευρώ </w:t>
      </w:r>
      <w:r w:rsidR="008146E4">
        <w:rPr>
          <w:rFonts w:cs="Arial"/>
        </w:rPr>
        <w:t>των νέων</w:t>
      </w:r>
      <w:r>
        <w:rPr>
          <w:rFonts w:cs="Arial"/>
        </w:rPr>
        <w:t xml:space="preserve"> ηλικίας</w:t>
      </w:r>
      <w:r w:rsidR="002A1C73" w:rsidRPr="00B56307">
        <w:rPr>
          <w:rFonts w:cs="Arial"/>
        </w:rPr>
        <w:t xml:space="preserve"> έως 25 ετών</w:t>
      </w:r>
      <w:r w:rsidR="00AA2AB9">
        <w:rPr>
          <w:rFonts w:cs="Arial"/>
        </w:rPr>
        <w:t xml:space="preserve"> και</w:t>
      </w:r>
    </w:p>
    <w:p w14:paraId="7A7CE1C6" w14:textId="7A2DDB0F" w:rsidR="002A1C73" w:rsidRPr="00B56307" w:rsidRDefault="0020666A" w:rsidP="00270C2C">
      <w:pPr>
        <w:numPr>
          <w:ilvl w:val="0"/>
          <w:numId w:val="2"/>
        </w:numPr>
        <w:spacing w:before="60"/>
        <w:ind w:left="568" w:hanging="284"/>
      </w:pPr>
      <w:r>
        <w:t>διαμόρφωση σε</w:t>
      </w:r>
      <w:r w:rsidRPr="00B56307">
        <w:t xml:space="preserve"> 9%</w:t>
      </w:r>
      <w:r>
        <w:t xml:space="preserve"> του συντελεστή</w:t>
      </w:r>
      <w:r w:rsidRPr="00B56307">
        <w:t xml:space="preserve"> </w:t>
      </w:r>
      <w:r w:rsidR="002A1C73" w:rsidRPr="00B56307">
        <w:t xml:space="preserve">για εισόδημα από 10.000 έως 20.000 ευρώ </w:t>
      </w:r>
      <w:r w:rsidR="008146E4">
        <w:t>των νέων</w:t>
      </w:r>
      <w:r w:rsidRPr="00B56307">
        <w:t xml:space="preserve"> </w:t>
      </w:r>
      <w:r>
        <w:t xml:space="preserve">ηλικίας από </w:t>
      </w:r>
      <w:r w:rsidRPr="00B56307">
        <w:t>26 έως 30 ετών</w:t>
      </w:r>
      <w:r>
        <w:t>.</w:t>
      </w:r>
    </w:p>
    <w:p w14:paraId="0BD9B3F6" w14:textId="520D9A82" w:rsidR="002A1C73" w:rsidRPr="002A1C73" w:rsidRDefault="002A1C73" w:rsidP="002A1C73">
      <w:r w:rsidRPr="002A1C73">
        <w:t>Το δημοσιονομικό κόστος της μεταρρύθμισης εκτιμάται σε 1,2 δισ. ευρώ για το 2026</w:t>
      </w:r>
      <w:r w:rsidR="000B0F5E">
        <w:t xml:space="preserve"> </w:t>
      </w:r>
      <w:r w:rsidR="007D1AAB">
        <w:t xml:space="preserve">και </w:t>
      </w:r>
      <w:r w:rsidR="008A3692">
        <w:t xml:space="preserve">σε </w:t>
      </w:r>
      <w:r w:rsidR="007D1AAB">
        <w:t xml:space="preserve">1,6 δισ. ευρώ για το 2027 </w:t>
      </w:r>
      <w:r w:rsidR="000B0F5E">
        <w:t>και</w:t>
      </w:r>
      <w:r w:rsidR="00051E22">
        <w:t xml:space="preserve"> αναμένεται να </w:t>
      </w:r>
      <w:r w:rsidRPr="002A1C73">
        <w:t>ωφελήσει περίπου 4 εκατομμύρια φορολογούμενους.</w:t>
      </w:r>
    </w:p>
    <w:p w14:paraId="39D9A45B" w14:textId="77777777" w:rsidR="00A0451B" w:rsidRPr="004C63D4" w:rsidRDefault="00A0451B" w:rsidP="00DC6F26">
      <w:pPr>
        <w:pStyle w:val="5"/>
        <w:keepNext w:val="0"/>
        <w:numPr>
          <w:ilvl w:val="0"/>
          <w:numId w:val="0"/>
        </w:numPr>
        <w:spacing w:before="360" w:after="240"/>
      </w:pPr>
      <w:bookmarkStart w:id="283" w:name="_Toc209798256"/>
      <w:bookmarkStart w:id="284" w:name="_Toc210055423"/>
      <w:bookmarkStart w:id="285" w:name="_Toc210059719"/>
      <w:bookmarkStart w:id="286" w:name="_Toc210218230"/>
      <w:bookmarkStart w:id="287" w:name="_Toc210394914"/>
      <w:bookmarkStart w:id="288" w:name="_Toc210494444"/>
      <w:bookmarkStart w:id="289" w:name="_Toc210570636"/>
      <w:bookmarkStart w:id="290" w:name="_Toc210570681"/>
      <w:r w:rsidRPr="004C63D4">
        <w:t xml:space="preserve">Αυξήσεις </w:t>
      </w:r>
      <w:r w:rsidR="000B0F5E" w:rsidRPr="004C63D4">
        <w:t>α</w:t>
      </w:r>
      <w:r w:rsidRPr="004C63D4">
        <w:t xml:space="preserve">ποδοχών </w:t>
      </w:r>
      <w:r w:rsidR="000B0F5E" w:rsidRPr="004C63D4">
        <w:t>σ</w:t>
      </w:r>
      <w:r w:rsidRPr="004C63D4">
        <w:t>υνταξιούχων</w:t>
      </w:r>
      <w:bookmarkEnd w:id="283"/>
      <w:bookmarkEnd w:id="284"/>
      <w:bookmarkEnd w:id="285"/>
      <w:bookmarkEnd w:id="286"/>
      <w:bookmarkEnd w:id="287"/>
      <w:bookmarkEnd w:id="288"/>
      <w:bookmarkEnd w:id="289"/>
      <w:bookmarkEnd w:id="290"/>
    </w:p>
    <w:p w14:paraId="6D83158A" w14:textId="62D3472A" w:rsidR="00A0451B" w:rsidRPr="00A0451B" w:rsidRDefault="00D15BBE" w:rsidP="00A0451B">
      <w:r>
        <w:t>Κατά τη διάρκεια του 2025 εφαρμόστηκαν τα ακόλουθα μέτρα</w:t>
      </w:r>
      <w:r w:rsidR="00A0451B" w:rsidRPr="00A0451B">
        <w:t>:</w:t>
      </w:r>
    </w:p>
    <w:p w14:paraId="58DE5135" w14:textId="6EED5261" w:rsidR="00A0451B" w:rsidRPr="00A0451B" w:rsidRDefault="000B0F5E" w:rsidP="00270C2C">
      <w:pPr>
        <w:numPr>
          <w:ilvl w:val="0"/>
          <w:numId w:val="1"/>
        </w:numPr>
        <w:spacing w:before="120" w:after="60"/>
        <w:ind w:left="568" w:hanging="284"/>
        <w:rPr>
          <w:rFonts w:cs="Arial"/>
        </w:rPr>
      </w:pPr>
      <w:r>
        <w:rPr>
          <w:rFonts w:cs="Arial"/>
        </w:rPr>
        <w:t xml:space="preserve">αύξηση των </w:t>
      </w:r>
      <w:r w:rsidR="00A0451B" w:rsidRPr="00A0451B">
        <w:rPr>
          <w:rFonts w:cs="Arial"/>
        </w:rPr>
        <w:t>συντάξε</w:t>
      </w:r>
      <w:r>
        <w:rPr>
          <w:rFonts w:cs="Arial"/>
        </w:rPr>
        <w:t>ων</w:t>
      </w:r>
      <w:r w:rsidR="00A0451B" w:rsidRPr="00A0451B">
        <w:rPr>
          <w:rFonts w:cs="Arial"/>
        </w:rPr>
        <w:t xml:space="preserve"> με βάση τον πληθωρισμό και το ΑΕΠ κατά 2,4%</w:t>
      </w:r>
      <w:r w:rsidR="008A3692">
        <w:rPr>
          <w:rFonts w:cs="Arial"/>
        </w:rPr>
        <w:t>,</w:t>
      </w:r>
      <w:r w:rsidR="00D15BBE">
        <w:rPr>
          <w:rFonts w:cs="Arial"/>
        </w:rPr>
        <w:t xml:space="preserve"> με δημοσιονομικό κόστος 474 εκατ.</w:t>
      </w:r>
      <w:r w:rsidR="00A0451B" w:rsidRPr="00A0451B">
        <w:rPr>
          <w:rFonts w:cs="Arial"/>
        </w:rPr>
        <w:t xml:space="preserve"> ευρώ</w:t>
      </w:r>
      <w:r w:rsidR="00AA2AB9">
        <w:rPr>
          <w:rFonts w:cs="Arial"/>
        </w:rPr>
        <w:t>,</w:t>
      </w:r>
    </w:p>
    <w:p w14:paraId="60FDACAA" w14:textId="41C891C4" w:rsidR="00A0451B" w:rsidRPr="00D15FEA" w:rsidRDefault="00A715CE" w:rsidP="00270C2C">
      <w:pPr>
        <w:numPr>
          <w:ilvl w:val="0"/>
          <w:numId w:val="1"/>
        </w:numPr>
        <w:spacing w:before="60" w:after="60"/>
        <w:ind w:left="568" w:hanging="284"/>
        <w:rPr>
          <w:rFonts w:cs="Arial"/>
        </w:rPr>
      </w:pPr>
      <w:r>
        <w:rPr>
          <w:rFonts w:cs="Arial"/>
        </w:rPr>
        <w:t xml:space="preserve">ετήσια αναπροσαρμογή των ορίων </w:t>
      </w:r>
      <w:r w:rsidR="00A0451B" w:rsidRPr="00D15FEA">
        <w:rPr>
          <w:rFonts w:cs="Arial"/>
        </w:rPr>
        <w:t>της Εισφοράς Αλληλεγγύης Συνταξιούχων (ΕΑΣ)</w:t>
      </w:r>
      <w:r w:rsidRPr="00D15FEA">
        <w:rPr>
          <w:rFonts w:cs="Arial"/>
        </w:rPr>
        <w:t xml:space="preserve">, </w:t>
      </w:r>
      <w:r w:rsidR="00A0451B" w:rsidRPr="00D15FEA">
        <w:rPr>
          <w:rFonts w:cs="Arial"/>
        </w:rPr>
        <w:t>ώστε οι συνταξιούχοι που υπάγονται σε αυτή να λαμβάνουν το πλήρες ποσό της αύξησης της σύνταξης</w:t>
      </w:r>
      <w:r w:rsidR="00AA2AB9">
        <w:rPr>
          <w:rFonts w:cs="Arial"/>
        </w:rPr>
        <w:t>,</w:t>
      </w:r>
    </w:p>
    <w:p w14:paraId="7ED5CD58" w14:textId="01D05BCA" w:rsidR="00A0451B" w:rsidRPr="00D15FEA" w:rsidRDefault="00B75789" w:rsidP="00270C2C">
      <w:pPr>
        <w:numPr>
          <w:ilvl w:val="0"/>
          <w:numId w:val="1"/>
        </w:numPr>
        <w:spacing w:before="60" w:after="60"/>
        <w:ind w:left="568" w:hanging="284"/>
        <w:rPr>
          <w:rFonts w:cs="Arial"/>
        </w:rPr>
      </w:pPr>
      <w:r>
        <w:rPr>
          <w:rFonts w:cs="Arial"/>
        </w:rPr>
        <w:t xml:space="preserve">επέκταση </w:t>
      </w:r>
      <w:r w:rsidR="00AA2AB9">
        <w:rPr>
          <w:rFonts w:cs="Arial"/>
        </w:rPr>
        <w:t>α</w:t>
      </w:r>
      <w:r w:rsidR="00A0451B" w:rsidRPr="00D15FEA">
        <w:rPr>
          <w:rFonts w:cs="Arial"/>
        </w:rPr>
        <w:t xml:space="preserve">πό το 2025 </w:t>
      </w:r>
      <w:r>
        <w:rPr>
          <w:rFonts w:cs="Arial"/>
        </w:rPr>
        <w:t>τ</w:t>
      </w:r>
      <w:r w:rsidR="00A0451B" w:rsidRPr="00D15FEA">
        <w:rPr>
          <w:rFonts w:cs="Arial"/>
        </w:rPr>
        <w:t>η</w:t>
      </w:r>
      <w:r>
        <w:rPr>
          <w:rFonts w:cs="Arial"/>
        </w:rPr>
        <w:t>ς</w:t>
      </w:r>
      <w:r w:rsidR="00A0451B" w:rsidRPr="00D15FEA">
        <w:rPr>
          <w:rFonts w:cs="Arial"/>
        </w:rPr>
        <w:t xml:space="preserve"> απαλλαγή</w:t>
      </w:r>
      <w:r>
        <w:rPr>
          <w:rFonts w:cs="Arial"/>
        </w:rPr>
        <w:t>ς από τη</w:t>
      </w:r>
      <w:r w:rsidR="00A0451B" w:rsidRPr="00D15FEA">
        <w:rPr>
          <w:rFonts w:cs="Arial"/>
        </w:rPr>
        <w:t xml:space="preserve"> φαρμακευτική δαπάνη</w:t>
      </w:r>
      <w:r>
        <w:rPr>
          <w:rFonts w:cs="Arial"/>
        </w:rPr>
        <w:t xml:space="preserve"> στ</w:t>
      </w:r>
      <w:r w:rsidR="00A0451B" w:rsidRPr="00D15FEA">
        <w:rPr>
          <w:rFonts w:cs="Arial"/>
        </w:rPr>
        <w:t>ους χαμηλοσυνταξιούχους</w:t>
      </w:r>
      <w:r w:rsidR="00AA2AB9">
        <w:rPr>
          <w:rFonts w:cs="Arial"/>
        </w:rPr>
        <w:t xml:space="preserve"> και</w:t>
      </w:r>
    </w:p>
    <w:p w14:paraId="6B33B622" w14:textId="78F8031E" w:rsidR="00A0451B" w:rsidRPr="00B527A1" w:rsidRDefault="00AA2AB9" w:rsidP="00D02B77">
      <w:pPr>
        <w:numPr>
          <w:ilvl w:val="0"/>
          <w:numId w:val="1"/>
        </w:numPr>
        <w:spacing w:before="60" w:after="60"/>
        <w:ind w:left="568" w:hanging="284"/>
      </w:pPr>
      <w:r>
        <w:t>κ</w:t>
      </w:r>
      <w:r w:rsidR="00A0451B" w:rsidRPr="00B527A1">
        <w:t>αθι</w:t>
      </w:r>
      <w:r w:rsidR="00B75789">
        <w:t xml:space="preserve">έρωση </w:t>
      </w:r>
      <w:r w:rsidR="00A0451B" w:rsidRPr="00B527A1">
        <w:t>κοινωνική</w:t>
      </w:r>
      <w:r w:rsidR="00B75789">
        <w:t>ς</w:t>
      </w:r>
      <w:r w:rsidR="00A0451B" w:rsidRPr="00B527A1">
        <w:t xml:space="preserve"> ενίσχυση</w:t>
      </w:r>
      <w:r w:rsidR="00B75789">
        <w:t>ς ποσού</w:t>
      </w:r>
      <w:r w:rsidR="00A0451B" w:rsidRPr="00B527A1">
        <w:t xml:space="preserve"> 250 ευρώ κάθε Νοέμβριο για συνταξιούχους άνω των 65 ετών με χαμηλά εισοδηματικά κριτήρια (14.000 ευρώ για άγαμους και 26.000 ευρώ για έγγαμους) καθώς και για ανασφάλιστους υπερήλικες και άτομα με αναπηρία, με ετήσιο κόστος 360 εκατ. ευρώ.</w:t>
      </w:r>
    </w:p>
    <w:p w14:paraId="39DF1849" w14:textId="4322EA20" w:rsidR="00A0451B" w:rsidRPr="00B527A1" w:rsidRDefault="00A0451B" w:rsidP="00B527A1">
      <w:r w:rsidRPr="00B527A1">
        <w:t>Τα νέα μέτρα για τους συνταξιούχους, πέρα</w:t>
      </w:r>
      <w:r w:rsidR="00665A91">
        <w:t>ν</w:t>
      </w:r>
      <w:r w:rsidRPr="00B527A1">
        <w:t xml:space="preserve"> </w:t>
      </w:r>
      <w:r w:rsidR="00665A91">
        <w:t xml:space="preserve">των </w:t>
      </w:r>
      <w:r w:rsidR="00D02B77">
        <w:t xml:space="preserve">ωφελειών </w:t>
      </w:r>
      <w:r w:rsidRPr="00B527A1">
        <w:t>της φορολογικής μεταρρύθμισης και τη</w:t>
      </w:r>
      <w:r w:rsidR="00665A91">
        <w:t>ς</w:t>
      </w:r>
      <w:r w:rsidRPr="00B527A1">
        <w:t xml:space="preserve"> ενίσχυση</w:t>
      </w:r>
      <w:r w:rsidR="00665A91">
        <w:t>ς</w:t>
      </w:r>
      <w:r w:rsidRPr="00B527A1">
        <w:t xml:space="preserve"> του Νοεμβρίου, </w:t>
      </w:r>
      <w:r w:rsidR="00665A91">
        <w:t xml:space="preserve">τα οποία </w:t>
      </w:r>
      <w:r w:rsidRPr="00B527A1">
        <w:t>θα εφαρμοστούν από το 2026</w:t>
      </w:r>
      <w:r w:rsidR="00665A91">
        <w:t>,</w:t>
      </w:r>
      <w:r w:rsidRPr="00B527A1">
        <w:t xml:space="preserve"> είναι τα εξής:</w:t>
      </w:r>
    </w:p>
    <w:p w14:paraId="3EB36B95" w14:textId="39CBC8B4" w:rsidR="00A0451B" w:rsidRPr="00A0451B" w:rsidRDefault="00A0451B" w:rsidP="00270C2C">
      <w:pPr>
        <w:numPr>
          <w:ilvl w:val="0"/>
          <w:numId w:val="1"/>
        </w:numPr>
        <w:spacing w:before="120" w:after="60"/>
        <w:ind w:left="568" w:hanging="284"/>
        <w:rPr>
          <w:rFonts w:cs="Arial"/>
        </w:rPr>
      </w:pPr>
      <w:r w:rsidRPr="00A0451B">
        <w:rPr>
          <w:rFonts w:cs="Arial"/>
        </w:rPr>
        <w:t>περαιτέρω αύξηση των συντάξεων</w:t>
      </w:r>
      <w:r w:rsidR="00D02B77">
        <w:rPr>
          <w:rFonts w:cs="Arial"/>
        </w:rPr>
        <w:t xml:space="preserve"> </w:t>
      </w:r>
      <w:r w:rsidRPr="00A0451B">
        <w:rPr>
          <w:rFonts w:cs="Arial"/>
        </w:rPr>
        <w:t>με βάση τον πληθωρισμό και το ΑΕΠ</w:t>
      </w:r>
      <w:r w:rsidR="008E2B11">
        <w:rPr>
          <w:rFonts w:cs="Arial"/>
        </w:rPr>
        <w:t>,</w:t>
      </w:r>
    </w:p>
    <w:p w14:paraId="0432FC6A" w14:textId="77777777" w:rsidR="00A0451B" w:rsidRPr="00D15FEA" w:rsidRDefault="008E2B11" w:rsidP="00270C2C">
      <w:pPr>
        <w:numPr>
          <w:ilvl w:val="0"/>
          <w:numId w:val="1"/>
        </w:numPr>
        <w:spacing w:before="60" w:after="60"/>
        <w:ind w:left="568" w:hanging="284"/>
        <w:rPr>
          <w:rFonts w:cs="Arial"/>
        </w:rPr>
      </w:pPr>
      <w:r>
        <w:rPr>
          <w:rFonts w:cs="Arial"/>
        </w:rPr>
        <w:t>μη συν</w:t>
      </w:r>
      <w:r w:rsidR="00A0451B" w:rsidRPr="00D15FEA">
        <w:rPr>
          <w:rFonts w:cs="Arial"/>
        </w:rPr>
        <w:t xml:space="preserve">υπολογισμός </w:t>
      </w:r>
      <w:r>
        <w:rPr>
          <w:rFonts w:cs="Arial"/>
        </w:rPr>
        <w:t xml:space="preserve">της προσαύξησης της σύνταξης των εργαζόμενων συνταξιούχων λόγω </w:t>
      </w:r>
      <w:r w:rsidRPr="00D15FEA">
        <w:rPr>
          <w:rFonts w:cs="Arial"/>
        </w:rPr>
        <w:t xml:space="preserve">της εργασίας </w:t>
      </w:r>
      <w:r>
        <w:rPr>
          <w:rFonts w:cs="Arial"/>
        </w:rPr>
        <w:t xml:space="preserve">τους κατά τον υπολογισμό της </w:t>
      </w:r>
      <w:r w:rsidR="00A0451B" w:rsidRPr="00D15FEA">
        <w:rPr>
          <w:rFonts w:cs="Arial"/>
        </w:rPr>
        <w:t xml:space="preserve">ΕΑΣ </w:t>
      </w:r>
      <w:r w:rsidR="00463133">
        <w:rPr>
          <w:rFonts w:cs="Arial"/>
        </w:rPr>
        <w:t>και</w:t>
      </w:r>
    </w:p>
    <w:p w14:paraId="330A1459" w14:textId="0C3DA9EF" w:rsidR="00A0451B" w:rsidRPr="00B527A1" w:rsidRDefault="000331CE" w:rsidP="00270C2C">
      <w:pPr>
        <w:numPr>
          <w:ilvl w:val="0"/>
          <w:numId w:val="2"/>
        </w:numPr>
        <w:spacing w:before="60"/>
        <w:ind w:left="568" w:hanging="284"/>
      </w:pPr>
      <w:r>
        <w:t xml:space="preserve">μη συμψηφισμός του </w:t>
      </w:r>
      <w:r w:rsidR="00A0451B" w:rsidRPr="00B527A1">
        <w:t>50% της αύξηση</w:t>
      </w:r>
      <w:r w:rsidR="008146E4">
        <w:t>ς</w:t>
      </w:r>
      <w:r>
        <w:t xml:space="preserve"> της σύνταξης </w:t>
      </w:r>
      <w:r w:rsidR="008146E4">
        <w:t xml:space="preserve">με την προσωπική διαφορά </w:t>
      </w:r>
      <w:r>
        <w:t>από τον Ιανουάριο 2026, πλήρης δε κατάργηση του συμψηφισμού από τον Ιανουάριο 2027</w:t>
      </w:r>
      <w:r w:rsidR="00A0451B" w:rsidRPr="00B527A1">
        <w:t>. Το μέτρο αυτό εκτιμάται ότι θα ωφελήσει άμεσα περίπου 671.000 συνταξιούχους.</w:t>
      </w:r>
    </w:p>
    <w:p w14:paraId="24BB69C2" w14:textId="3E05776A" w:rsidR="00A0451B" w:rsidRPr="00B527A1" w:rsidRDefault="00A0451B" w:rsidP="00B527A1">
      <w:r w:rsidRPr="00B527A1">
        <w:t xml:space="preserve">Το συνολικό κόστος </w:t>
      </w:r>
      <w:r w:rsidR="00D02B77">
        <w:t>της αύξησης των συντάξεων βάσ</w:t>
      </w:r>
      <w:r w:rsidR="004820C0">
        <w:t>ει</w:t>
      </w:r>
      <w:r w:rsidR="00D02B77">
        <w:t xml:space="preserve"> πληθωρισμού και ΑΕΠ</w:t>
      </w:r>
      <w:r w:rsidR="004820C0">
        <w:t xml:space="preserve"> και</w:t>
      </w:r>
      <w:r w:rsidR="00D02B77">
        <w:t xml:space="preserve"> λαμβ</w:t>
      </w:r>
      <w:r w:rsidR="004820C0">
        <w:t xml:space="preserve">ανομένου υπόψη </w:t>
      </w:r>
      <w:r w:rsidR="00D02B77">
        <w:t>το</w:t>
      </w:r>
      <w:r w:rsidR="004820C0">
        <w:t>υ</w:t>
      </w:r>
      <w:r w:rsidR="00D02B77">
        <w:t xml:space="preserve"> μη συμψηφισμ</w:t>
      </w:r>
      <w:r w:rsidR="004820C0">
        <w:t>ού</w:t>
      </w:r>
      <w:r w:rsidR="00D02B77">
        <w:t xml:space="preserve"> με την προσωπική διαφορά</w:t>
      </w:r>
      <w:r w:rsidR="004820C0">
        <w:t>,</w:t>
      </w:r>
      <w:r w:rsidR="00D02B77">
        <w:t xml:space="preserve"> εκτιμάται για το 2026 σε 629 εκατ. ευρώ</w:t>
      </w:r>
      <w:r w:rsidRPr="00B527A1">
        <w:t>.</w:t>
      </w:r>
    </w:p>
    <w:p w14:paraId="44D4FFA2" w14:textId="77777777" w:rsidR="0082513E" w:rsidRPr="00AA1054" w:rsidRDefault="0082513E" w:rsidP="00DC6F26">
      <w:pPr>
        <w:pStyle w:val="5"/>
        <w:keepNext w:val="0"/>
        <w:numPr>
          <w:ilvl w:val="0"/>
          <w:numId w:val="0"/>
        </w:numPr>
        <w:spacing w:before="360" w:after="240"/>
      </w:pPr>
      <w:bookmarkStart w:id="291" w:name="_Toc209798257"/>
      <w:bookmarkStart w:id="292" w:name="_Toc210055424"/>
      <w:bookmarkStart w:id="293" w:name="_Toc210059720"/>
      <w:bookmarkStart w:id="294" w:name="_Toc210218231"/>
      <w:bookmarkStart w:id="295" w:name="_Toc210394915"/>
      <w:bookmarkStart w:id="296" w:name="_Toc210494445"/>
      <w:bookmarkStart w:id="297" w:name="_Toc210570637"/>
      <w:bookmarkStart w:id="298" w:name="_Toc210570682"/>
      <w:r w:rsidRPr="00AA1054">
        <w:t xml:space="preserve">Αυξήσεις </w:t>
      </w:r>
      <w:r w:rsidR="000331CE" w:rsidRPr="00AA1054">
        <w:t>α</w:t>
      </w:r>
      <w:r w:rsidRPr="00AA1054">
        <w:t xml:space="preserve">ποδοχών </w:t>
      </w:r>
      <w:r w:rsidR="000331CE" w:rsidRPr="00AA1054">
        <w:t>δ</w:t>
      </w:r>
      <w:r w:rsidRPr="00AA1054">
        <w:t>ημ</w:t>
      </w:r>
      <w:r w:rsidR="000331CE" w:rsidRPr="00AA1054">
        <w:t>όσιων</w:t>
      </w:r>
      <w:r w:rsidRPr="00AA1054">
        <w:t xml:space="preserve"> </w:t>
      </w:r>
      <w:r w:rsidR="000331CE" w:rsidRPr="00AA1054">
        <w:t>υ</w:t>
      </w:r>
      <w:r w:rsidRPr="00AA1054">
        <w:t>παλλήλων</w:t>
      </w:r>
      <w:bookmarkEnd w:id="291"/>
      <w:bookmarkEnd w:id="292"/>
      <w:bookmarkEnd w:id="293"/>
      <w:bookmarkEnd w:id="294"/>
      <w:bookmarkEnd w:id="295"/>
      <w:bookmarkEnd w:id="296"/>
      <w:bookmarkEnd w:id="297"/>
      <w:bookmarkEnd w:id="298"/>
    </w:p>
    <w:p w14:paraId="1A8E965B" w14:textId="77777777" w:rsidR="00595FB7" w:rsidRPr="00A0451B" w:rsidRDefault="00595FB7" w:rsidP="00595FB7">
      <w:r>
        <w:t>Κατά τη διάρκεια του 2025 εφαρμόστηκαν τα ακόλουθα μέτρα</w:t>
      </w:r>
      <w:r w:rsidRPr="00A0451B">
        <w:t>:</w:t>
      </w:r>
    </w:p>
    <w:p w14:paraId="4CA64BD6" w14:textId="6C07FFCA" w:rsidR="00595FB7" w:rsidRPr="006214BC" w:rsidRDefault="00595FB7" w:rsidP="00595FB7">
      <w:pPr>
        <w:numPr>
          <w:ilvl w:val="0"/>
          <w:numId w:val="1"/>
        </w:numPr>
        <w:spacing w:before="120" w:after="60"/>
        <w:ind w:left="568" w:hanging="284"/>
      </w:pPr>
      <w:r>
        <w:lastRenderedPageBreak/>
        <w:t>θ</w:t>
      </w:r>
      <w:r w:rsidRPr="006214BC">
        <w:t>εσμοθέτηση κανόνα ετήσιας οριζόντιας αύξησης των μισθών ανάλογα με την αύξηση του κατώτατου μισθού</w:t>
      </w:r>
      <w:r>
        <w:t>,</w:t>
      </w:r>
      <w:r w:rsidRPr="006214BC">
        <w:t xml:space="preserve"> με </w:t>
      </w:r>
      <w:r>
        <w:t xml:space="preserve">το </w:t>
      </w:r>
      <w:r w:rsidRPr="006214BC">
        <w:t xml:space="preserve">δημοσιονομικό κόστος για το 2025 </w:t>
      </w:r>
      <w:r>
        <w:t xml:space="preserve">να ανέρχεται στο ποσό των </w:t>
      </w:r>
      <w:r w:rsidRPr="006214BC">
        <w:t>215 εκατ. ευρώ</w:t>
      </w:r>
      <w:r>
        <w:t>,</w:t>
      </w:r>
    </w:p>
    <w:p w14:paraId="504769CD" w14:textId="61583D8A" w:rsidR="0082513E" w:rsidRPr="0082513E" w:rsidRDefault="00463133" w:rsidP="004103F9">
      <w:pPr>
        <w:numPr>
          <w:ilvl w:val="0"/>
          <w:numId w:val="1"/>
        </w:numPr>
        <w:spacing w:before="60" w:after="60"/>
        <w:ind w:left="568" w:hanging="284"/>
        <w:rPr>
          <w:rFonts w:cs="Arial"/>
        </w:rPr>
      </w:pPr>
      <w:r>
        <w:rPr>
          <w:rFonts w:cs="Arial"/>
        </w:rPr>
        <w:t>α</w:t>
      </w:r>
      <w:r w:rsidR="0082513E" w:rsidRPr="0082513E">
        <w:rPr>
          <w:rFonts w:cs="Arial"/>
        </w:rPr>
        <w:t>υτοτελής φορολόγηση της αποζημίωσης των εφημεριών των ιατρών του Ε</w:t>
      </w:r>
      <w:r w:rsidR="0004353F">
        <w:rPr>
          <w:rFonts w:cs="Arial"/>
        </w:rPr>
        <w:t xml:space="preserve">θνικού </w:t>
      </w:r>
      <w:r w:rsidR="0082513E" w:rsidRPr="0082513E">
        <w:rPr>
          <w:rFonts w:cs="Arial"/>
        </w:rPr>
        <w:t>Σ</w:t>
      </w:r>
      <w:r w:rsidR="0004353F">
        <w:rPr>
          <w:rFonts w:cs="Arial"/>
        </w:rPr>
        <w:t xml:space="preserve">υστήματος </w:t>
      </w:r>
      <w:r w:rsidR="0082513E" w:rsidRPr="0082513E">
        <w:rPr>
          <w:rFonts w:cs="Arial"/>
        </w:rPr>
        <w:t>Υ</w:t>
      </w:r>
      <w:r w:rsidR="0004353F">
        <w:rPr>
          <w:rFonts w:cs="Arial"/>
        </w:rPr>
        <w:t>γείας (ΕΣΥ)</w:t>
      </w:r>
      <w:r w:rsidR="0082513E" w:rsidRPr="0082513E">
        <w:rPr>
          <w:rFonts w:cs="Arial"/>
        </w:rPr>
        <w:t>, με κόστος 40 εκατ. ευρώ</w:t>
      </w:r>
      <w:r>
        <w:rPr>
          <w:rFonts w:cs="Arial"/>
        </w:rPr>
        <w:t>,</w:t>
      </w:r>
    </w:p>
    <w:p w14:paraId="5EB2C64C" w14:textId="77777777" w:rsidR="0082513E" w:rsidRPr="0082513E" w:rsidRDefault="00463133" w:rsidP="00270C2C">
      <w:pPr>
        <w:numPr>
          <w:ilvl w:val="0"/>
          <w:numId w:val="1"/>
        </w:numPr>
        <w:spacing w:before="60" w:after="60"/>
        <w:ind w:left="568" w:hanging="284"/>
        <w:rPr>
          <w:rFonts w:cs="Arial"/>
        </w:rPr>
      </w:pPr>
      <w:r>
        <w:rPr>
          <w:rFonts w:cs="Arial"/>
        </w:rPr>
        <w:t>μ</w:t>
      </w:r>
      <w:r w:rsidR="0082513E" w:rsidRPr="0082513E">
        <w:rPr>
          <w:rFonts w:cs="Arial"/>
        </w:rPr>
        <w:t xml:space="preserve">είωση των ασφαλιστικών εισφορών κατά μία (1) μονάδα και στο </w:t>
      </w:r>
      <w:r w:rsidR="00232988">
        <w:rPr>
          <w:rFonts w:cs="Arial"/>
        </w:rPr>
        <w:t>Δ</w:t>
      </w:r>
      <w:r w:rsidR="0082513E" w:rsidRPr="0082513E">
        <w:rPr>
          <w:rFonts w:cs="Arial"/>
        </w:rPr>
        <w:t>ημόσιο</w:t>
      </w:r>
      <w:r w:rsidR="00232988">
        <w:rPr>
          <w:rFonts w:cs="Arial"/>
        </w:rPr>
        <w:t>,</w:t>
      </w:r>
      <w:r w:rsidR="0082513E" w:rsidRPr="0082513E">
        <w:rPr>
          <w:rFonts w:cs="Arial"/>
        </w:rPr>
        <w:t xml:space="preserve"> με κόστος 83 εκατ. ευρώ</w:t>
      </w:r>
      <w:r>
        <w:rPr>
          <w:rFonts w:cs="Arial"/>
        </w:rPr>
        <w:t>,</w:t>
      </w:r>
    </w:p>
    <w:p w14:paraId="0B6E2FDF" w14:textId="77777777" w:rsidR="0082513E" w:rsidRPr="0082513E" w:rsidRDefault="00463133" w:rsidP="00270C2C">
      <w:pPr>
        <w:numPr>
          <w:ilvl w:val="0"/>
          <w:numId w:val="1"/>
        </w:numPr>
        <w:spacing w:before="60" w:after="60"/>
        <w:ind w:left="568" w:hanging="284"/>
        <w:rPr>
          <w:rFonts w:cs="Arial"/>
        </w:rPr>
      </w:pPr>
      <w:r>
        <w:rPr>
          <w:rFonts w:cs="Arial"/>
        </w:rPr>
        <w:t>μ</w:t>
      </w:r>
      <w:r w:rsidR="0082513E" w:rsidRPr="0082513E">
        <w:rPr>
          <w:rFonts w:cs="Arial"/>
        </w:rPr>
        <w:t>ερικός ή πλήρης μη συμψηφισμός της προσωπικής διαφοράς στη μισθολογική εξέλιξη των δημ</w:t>
      </w:r>
      <w:r w:rsidR="00232988">
        <w:rPr>
          <w:rFonts w:cs="Arial"/>
        </w:rPr>
        <w:t>όσιων</w:t>
      </w:r>
      <w:r w:rsidR="0082513E" w:rsidRPr="0082513E">
        <w:rPr>
          <w:rFonts w:cs="Arial"/>
        </w:rPr>
        <w:t xml:space="preserve"> υπαλλήλων</w:t>
      </w:r>
      <w:r w:rsidR="00232988">
        <w:rPr>
          <w:rFonts w:cs="Arial"/>
        </w:rPr>
        <w:t>,</w:t>
      </w:r>
      <w:r w:rsidR="0082513E" w:rsidRPr="0082513E">
        <w:rPr>
          <w:rFonts w:cs="Arial"/>
        </w:rPr>
        <w:t xml:space="preserve"> με ετήσιο κόστος 12 εκατ. ευρώ προσαυξανόμενο κατά 5 εκατ. ευρώ ετησίως</w:t>
      </w:r>
      <w:r>
        <w:rPr>
          <w:rFonts w:cs="Arial"/>
        </w:rPr>
        <w:t>,</w:t>
      </w:r>
    </w:p>
    <w:p w14:paraId="1D2F44D2" w14:textId="11AE3A7E" w:rsidR="0082513E" w:rsidRPr="0082513E" w:rsidRDefault="00595FB7" w:rsidP="00270C2C">
      <w:pPr>
        <w:numPr>
          <w:ilvl w:val="0"/>
          <w:numId w:val="1"/>
        </w:numPr>
        <w:spacing w:before="60" w:after="60"/>
        <w:ind w:left="568" w:hanging="284"/>
        <w:rPr>
          <w:rFonts w:cs="Arial"/>
        </w:rPr>
      </w:pPr>
      <w:r>
        <w:rPr>
          <w:rFonts w:cs="Arial"/>
        </w:rPr>
        <w:t>αύξηση του</w:t>
      </w:r>
      <w:r w:rsidR="0082513E" w:rsidRPr="0082513E">
        <w:rPr>
          <w:rFonts w:cs="Arial"/>
        </w:rPr>
        <w:t xml:space="preserve"> κινήτρου επίτευξης στόχων</w:t>
      </w:r>
      <w:r w:rsidR="00232988">
        <w:rPr>
          <w:rFonts w:cs="Arial"/>
        </w:rPr>
        <w:t>,</w:t>
      </w:r>
      <w:r w:rsidR="0082513E" w:rsidRPr="0082513E">
        <w:rPr>
          <w:rFonts w:cs="Arial"/>
        </w:rPr>
        <w:t xml:space="preserve"> με ετήσιο κόστος 40 εκατ. ευρώ</w:t>
      </w:r>
      <w:r w:rsidR="00463133">
        <w:rPr>
          <w:rFonts w:cs="Arial"/>
        </w:rPr>
        <w:t>,</w:t>
      </w:r>
    </w:p>
    <w:p w14:paraId="396FF8B7" w14:textId="553E498F" w:rsidR="0082513E" w:rsidRPr="0082513E" w:rsidRDefault="00463133" w:rsidP="00270C2C">
      <w:pPr>
        <w:numPr>
          <w:ilvl w:val="0"/>
          <w:numId w:val="1"/>
        </w:numPr>
        <w:spacing w:before="60" w:after="60"/>
        <w:ind w:left="568" w:hanging="284"/>
        <w:rPr>
          <w:rFonts w:cs="Arial"/>
        </w:rPr>
      </w:pPr>
      <w:r>
        <w:rPr>
          <w:rFonts w:cs="Arial"/>
        </w:rPr>
        <w:t>α</w:t>
      </w:r>
      <w:r w:rsidR="0082513E" w:rsidRPr="0082513E">
        <w:rPr>
          <w:rFonts w:cs="Arial"/>
        </w:rPr>
        <w:t>ύξηση της νυχτερινής αποζημίωσης των ενστόλων</w:t>
      </w:r>
      <w:r w:rsidR="00232988">
        <w:rPr>
          <w:rFonts w:cs="Arial"/>
        </w:rPr>
        <w:t>,</w:t>
      </w:r>
      <w:r w:rsidR="0082513E" w:rsidRPr="0082513E">
        <w:rPr>
          <w:rFonts w:cs="Arial"/>
        </w:rPr>
        <w:t xml:space="preserve"> με ετήσιο κόστος 25 εκατ. ευρώ</w:t>
      </w:r>
      <w:r w:rsidR="00595FB7">
        <w:rPr>
          <w:rFonts w:cs="Arial"/>
        </w:rPr>
        <w:t xml:space="preserve"> και</w:t>
      </w:r>
    </w:p>
    <w:p w14:paraId="17A568D0" w14:textId="74558D78" w:rsidR="0082513E" w:rsidRPr="0082513E" w:rsidRDefault="0082513E" w:rsidP="004103F9">
      <w:pPr>
        <w:numPr>
          <w:ilvl w:val="0"/>
          <w:numId w:val="1"/>
        </w:numPr>
        <w:spacing w:before="60"/>
        <w:ind w:left="568" w:hanging="284"/>
        <w:rPr>
          <w:rFonts w:cs="Arial"/>
        </w:rPr>
      </w:pPr>
      <w:r w:rsidRPr="0082513E">
        <w:rPr>
          <w:rFonts w:cs="Arial"/>
        </w:rPr>
        <w:t>ενίσχυση των στελεχών των Ενόπλων Δυνάμεων και των Σωμάτων Ασφαλείας με το επίδομα ιδιαίτερων συνθηκών εργασίας και επικινδυνότητας ύψους 100 ευρώ μηνιαίως</w:t>
      </w:r>
      <w:r w:rsidR="00232988">
        <w:rPr>
          <w:rFonts w:cs="Arial"/>
        </w:rPr>
        <w:t>,</w:t>
      </w:r>
      <w:r w:rsidRPr="0082513E">
        <w:rPr>
          <w:rFonts w:cs="Arial"/>
        </w:rPr>
        <w:t xml:space="preserve"> με εκτιμώμενο συνολικό κόστος 111 εκατ. ευρώ για το 2025 και 222 εκατ. ευρώ για το 2026</w:t>
      </w:r>
      <w:r w:rsidR="005D37E9">
        <w:rPr>
          <w:rFonts w:cs="Arial"/>
        </w:rPr>
        <w:t>.</w:t>
      </w:r>
    </w:p>
    <w:p w14:paraId="6169FF96" w14:textId="0359328B" w:rsidR="0082513E" w:rsidRPr="0082513E" w:rsidRDefault="005D37E9" w:rsidP="0082513E">
      <w:r>
        <w:t>Για το 2026</w:t>
      </w:r>
      <w:r w:rsidR="003C2C91">
        <w:t>,</w:t>
      </w:r>
      <w:r>
        <w:t xml:space="preserve"> </w:t>
      </w:r>
      <w:r>
        <w:rPr>
          <w:rFonts w:cs="Arial"/>
          <w:iCs/>
          <w:szCs w:val="20"/>
        </w:rPr>
        <w:t>πέραν των ωφελειών που θα έχουν οι δημόσιοι υπάλληλοι από τη φορολογική μεταρρύθμιση, εφαρμόζονται οι ακόλουθες παρεμβάσεις ύψους 613 εκατ. ευρώ</w:t>
      </w:r>
      <w:r w:rsidRPr="00444A9F">
        <w:rPr>
          <w:rFonts w:cs="Arial"/>
          <w:iCs/>
          <w:szCs w:val="20"/>
        </w:rPr>
        <w:t>:</w:t>
      </w:r>
    </w:p>
    <w:p w14:paraId="3A7F154E" w14:textId="7B05C9CF" w:rsidR="0082513E" w:rsidRPr="0082513E" w:rsidRDefault="00463133" w:rsidP="00270C2C">
      <w:pPr>
        <w:numPr>
          <w:ilvl w:val="0"/>
          <w:numId w:val="1"/>
        </w:numPr>
        <w:spacing w:before="120" w:after="60"/>
        <w:ind w:left="568" w:hanging="284"/>
        <w:rPr>
          <w:rFonts w:cs="Arial"/>
        </w:rPr>
      </w:pPr>
      <w:r>
        <w:rPr>
          <w:rFonts w:cs="Arial"/>
        </w:rPr>
        <w:t>ο</w:t>
      </w:r>
      <w:r w:rsidR="0082513E" w:rsidRPr="0082513E">
        <w:rPr>
          <w:rFonts w:cs="Arial"/>
        </w:rPr>
        <w:t>ριζόντια αύξηση των μισθών από τον Απρίλιο 2026, ανάλογα με την αύξηση του κατώτατου μισθού</w:t>
      </w:r>
      <w:r w:rsidR="000069EA">
        <w:rPr>
          <w:rFonts w:cs="Arial"/>
        </w:rPr>
        <w:t xml:space="preserve">, με </w:t>
      </w:r>
      <w:r w:rsidR="006747BC">
        <w:rPr>
          <w:rFonts w:cs="Arial"/>
        </w:rPr>
        <w:t xml:space="preserve">εκτιμώμενο </w:t>
      </w:r>
      <w:r w:rsidR="000069EA">
        <w:rPr>
          <w:rFonts w:cs="Arial"/>
        </w:rPr>
        <w:t xml:space="preserve">κόστος </w:t>
      </w:r>
      <w:r w:rsidR="0082513E" w:rsidRPr="0082513E">
        <w:rPr>
          <w:rFonts w:cs="Arial"/>
        </w:rPr>
        <w:t>358 εκατ. ευρώ</w:t>
      </w:r>
      <w:r w:rsidR="000069EA">
        <w:rPr>
          <w:rFonts w:cs="Arial"/>
        </w:rPr>
        <w:t xml:space="preserve"> </w:t>
      </w:r>
      <w:r w:rsidR="000069EA" w:rsidRPr="0082513E">
        <w:rPr>
          <w:rFonts w:cs="Arial"/>
        </w:rPr>
        <w:t>περίπου</w:t>
      </w:r>
      <w:r>
        <w:rPr>
          <w:rFonts w:cs="Arial"/>
        </w:rPr>
        <w:t>,</w:t>
      </w:r>
    </w:p>
    <w:p w14:paraId="386115D2" w14:textId="0C33365B" w:rsidR="0082513E" w:rsidRPr="006214BC" w:rsidRDefault="00463133" w:rsidP="00270C2C">
      <w:pPr>
        <w:numPr>
          <w:ilvl w:val="0"/>
          <w:numId w:val="1"/>
        </w:numPr>
        <w:spacing w:before="60" w:after="60"/>
        <w:ind w:left="568" w:hanging="284"/>
        <w:rPr>
          <w:rFonts w:cs="Arial"/>
        </w:rPr>
      </w:pPr>
      <w:r>
        <w:rPr>
          <w:rFonts w:cs="Arial"/>
        </w:rPr>
        <w:t>α</w:t>
      </w:r>
      <w:r w:rsidR="0082513E" w:rsidRPr="006214BC">
        <w:rPr>
          <w:rFonts w:cs="Arial"/>
        </w:rPr>
        <w:t xml:space="preserve">ναμόρφωση </w:t>
      </w:r>
      <w:r w:rsidR="001B7F51">
        <w:rPr>
          <w:rFonts w:cs="Arial"/>
        </w:rPr>
        <w:t>του μ</w:t>
      </w:r>
      <w:r w:rsidR="0082513E" w:rsidRPr="006214BC">
        <w:rPr>
          <w:rFonts w:cs="Arial"/>
        </w:rPr>
        <w:t xml:space="preserve">ισθολογίου </w:t>
      </w:r>
      <w:r w:rsidR="001B7F51">
        <w:rPr>
          <w:rFonts w:cs="Arial"/>
        </w:rPr>
        <w:t xml:space="preserve">των </w:t>
      </w:r>
      <w:r w:rsidR="0082513E" w:rsidRPr="006214BC">
        <w:rPr>
          <w:rFonts w:cs="Arial"/>
        </w:rPr>
        <w:t xml:space="preserve">Ενόπλων Δυνάμεων με αυξήσεις </w:t>
      </w:r>
      <w:r w:rsidR="006747BC">
        <w:rPr>
          <w:rFonts w:cs="Arial"/>
        </w:rPr>
        <w:t xml:space="preserve">εφαρμοζόμενες </w:t>
      </w:r>
      <w:r w:rsidR="0082513E" w:rsidRPr="006214BC">
        <w:rPr>
          <w:rFonts w:cs="Arial"/>
        </w:rPr>
        <w:t xml:space="preserve">από τον Οκτώβριο 2025, </w:t>
      </w:r>
      <w:r w:rsidR="001B7F51">
        <w:rPr>
          <w:rFonts w:cs="Arial"/>
        </w:rPr>
        <w:t xml:space="preserve">ετήσιου </w:t>
      </w:r>
      <w:r w:rsidR="0082513E" w:rsidRPr="006214BC">
        <w:rPr>
          <w:rFonts w:cs="Arial"/>
        </w:rPr>
        <w:t>κόστο</w:t>
      </w:r>
      <w:r w:rsidR="001B7F51">
        <w:rPr>
          <w:rFonts w:cs="Arial"/>
        </w:rPr>
        <w:t>υ</w:t>
      </w:r>
      <w:r w:rsidR="0082513E" w:rsidRPr="006214BC">
        <w:rPr>
          <w:rFonts w:cs="Arial"/>
        </w:rPr>
        <w:t>ς 162 εκατ. ευρώ</w:t>
      </w:r>
      <w:r w:rsidR="00AB013B">
        <w:rPr>
          <w:rFonts w:cs="Arial"/>
        </w:rPr>
        <w:t xml:space="preserve"> (καθαρού κόστους 85 εκατ. ευρώ μετά την αναδιάρθρωση της δομής των Ενόπλων Δυνάμεων)</w:t>
      </w:r>
      <w:r w:rsidR="0082513E" w:rsidRPr="006214BC">
        <w:rPr>
          <w:rFonts w:cs="Arial"/>
        </w:rPr>
        <w:t xml:space="preserve"> και των Σωμάτων Ασφαλείας (</w:t>
      </w:r>
      <w:r w:rsidR="001B7F51">
        <w:rPr>
          <w:rFonts w:cs="Arial"/>
        </w:rPr>
        <w:t>Ελληνική Α</w:t>
      </w:r>
      <w:r w:rsidR="0082513E" w:rsidRPr="006214BC">
        <w:rPr>
          <w:rFonts w:cs="Arial"/>
        </w:rPr>
        <w:t xml:space="preserve">στυνομία, </w:t>
      </w:r>
      <w:r w:rsidR="001B7F51">
        <w:rPr>
          <w:rFonts w:cs="Arial"/>
        </w:rPr>
        <w:t>Π</w:t>
      </w:r>
      <w:r w:rsidR="0082513E" w:rsidRPr="006214BC">
        <w:rPr>
          <w:rFonts w:cs="Arial"/>
        </w:rPr>
        <w:t>υροσβεστικ</w:t>
      </w:r>
      <w:r w:rsidR="001B7F51">
        <w:rPr>
          <w:rFonts w:cs="Arial"/>
        </w:rPr>
        <w:t>ό Σώμα, Λιμενικό Σώμα - Ελληνική Ακτοφυλακή</w:t>
      </w:r>
      <w:r w:rsidR="0082513E" w:rsidRPr="006214BC">
        <w:rPr>
          <w:rFonts w:cs="Arial"/>
        </w:rPr>
        <w:t>)</w:t>
      </w:r>
      <w:r w:rsidR="001B7F51">
        <w:rPr>
          <w:rFonts w:cs="Arial"/>
        </w:rPr>
        <w:t>,</w:t>
      </w:r>
      <w:r w:rsidR="0082513E" w:rsidRPr="006214BC">
        <w:rPr>
          <w:rFonts w:cs="Arial"/>
        </w:rPr>
        <w:t xml:space="preserve"> ετ</w:t>
      </w:r>
      <w:r w:rsidR="001B7D4C">
        <w:rPr>
          <w:rFonts w:cs="Arial"/>
        </w:rPr>
        <w:t xml:space="preserve">ήσιου </w:t>
      </w:r>
      <w:r w:rsidR="0082513E" w:rsidRPr="006214BC">
        <w:rPr>
          <w:rFonts w:cs="Arial"/>
        </w:rPr>
        <w:t>κόστο</w:t>
      </w:r>
      <w:r w:rsidR="001B7D4C">
        <w:rPr>
          <w:rFonts w:cs="Arial"/>
        </w:rPr>
        <w:t>υ</w:t>
      </w:r>
      <w:r w:rsidR="0082513E" w:rsidRPr="006214BC">
        <w:rPr>
          <w:rFonts w:cs="Arial"/>
        </w:rPr>
        <w:t>ς 127 εκατ. ευρώ</w:t>
      </w:r>
      <w:r>
        <w:rPr>
          <w:rFonts w:cs="Arial"/>
        </w:rPr>
        <w:t>,</w:t>
      </w:r>
    </w:p>
    <w:p w14:paraId="7F8EF3E0" w14:textId="4550721C" w:rsidR="0082513E" w:rsidRPr="0082513E" w:rsidRDefault="00463133" w:rsidP="00270C2C">
      <w:pPr>
        <w:numPr>
          <w:ilvl w:val="0"/>
          <w:numId w:val="1"/>
        </w:numPr>
        <w:spacing w:before="60" w:after="60"/>
        <w:ind w:left="568" w:hanging="284"/>
        <w:rPr>
          <w:rFonts w:cs="Arial"/>
        </w:rPr>
      </w:pPr>
      <w:r>
        <w:rPr>
          <w:rFonts w:cs="Arial"/>
        </w:rPr>
        <w:t>α</w:t>
      </w:r>
      <w:r w:rsidR="0082513E" w:rsidRPr="0082513E">
        <w:rPr>
          <w:rFonts w:cs="Arial"/>
        </w:rPr>
        <w:t>υξήσεις στην αποζημίωση</w:t>
      </w:r>
      <w:r w:rsidR="001B7D4C">
        <w:rPr>
          <w:rFonts w:cs="Arial"/>
        </w:rPr>
        <w:t xml:space="preserve"> υπηρεσίας </w:t>
      </w:r>
      <w:r w:rsidR="0082513E" w:rsidRPr="0082513E">
        <w:rPr>
          <w:rFonts w:cs="Arial"/>
        </w:rPr>
        <w:t>αλλοδαπή</w:t>
      </w:r>
      <w:r w:rsidR="00F94190">
        <w:rPr>
          <w:rFonts w:cs="Arial"/>
        </w:rPr>
        <w:t>ς</w:t>
      </w:r>
      <w:r w:rsidR="00AB013B">
        <w:rPr>
          <w:rFonts w:cs="Arial"/>
        </w:rPr>
        <w:t xml:space="preserve">, </w:t>
      </w:r>
      <w:r w:rsidR="0082513E" w:rsidRPr="0082513E">
        <w:rPr>
          <w:rFonts w:cs="Arial"/>
        </w:rPr>
        <w:t>στο επίδομα ειδικών καθηκόντων</w:t>
      </w:r>
      <w:r w:rsidR="00AB013B">
        <w:rPr>
          <w:rFonts w:cs="Arial"/>
        </w:rPr>
        <w:t xml:space="preserve"> και</w:t>
      </w:r>
      <w:r w:rsidR="0082513E" w:rsidRPr="0082513E">
        <w:rPr>
          <w:rFonts w:cs="Arial"/>
        </w:rPr>
        <w:t xml:space="preserve"> </w:t>
      </w:r>
      <w:r w:rsidR="003C2C91">
        <w:rPr>
          <w:rFonts w:cs="Arial"/>
        </w:rPr>
        <w:t xml:space="preserve">στις </w:t>
      </w:r>
      <w:r w:rsidR="00B010E1">
        <w:rPr>
          <w:rFonts w:cs="Arial"/>
        </w:rPr>
        <w:t>αποζημιώσε</w:t>
      </w:r>
      <w:r w:rsidR="003C2C91">
        <w:rPr>
          <w:rFonts w:cs="Arial"/>
        </w:rPr>
        <w:t>ις</w:t>
      </w:r>
      <w:r w:rsidR="00B010E1">
        <w:rPr>
          <w:rFonts w:cs="Arial"/>
        </w:rPr>
        <w:t xml:space="preserve"> για τα δίδακτρα φοίτησης των τέκνων τ</w:t>
      </w:r>
      <w:r w:rsidR="0082513E" w:rsidRPr="0082513E">
        <w:rPr>
          <w:rFonts w:cs="Arial"/>
        </w:rPr>
        <w:t>ου προσωπικού του Υπουργείου Εξωτερικών</w:t>
      </w:r>
      <w:r w:rsidR="001B7D4C">
        <w:rPr>
          <w:rFonts w:cs="Arial"/>
        </w:rPr>
        <w:t>,</w:t>
      </w:r>
      <w:r w:rsidR="0082513E" w:rsidRPr="0082513E">
        <w:rPr>
          <w:rFonts w:cs="Arial"/>
        </w:rPr>
        <w:t xml:space="preserve"> με ετήσιο κόστος 30 εκατ. ευρώ</w:t>
      </w:r>
      <w:r>
        <w:rPr>
          <w:rFonts w:cs="Arial"/>
        </w:rPr>
        <w:t>,</w:t>
      </w:r>
    </w:p>
    <w:p w14:paraId="2A2EC95E" w14:textId="77777777" w:rsidR="0082513E" w:rsidRPr="0082513E" w:rsidRDefault="00463133" w:rsidP="00270C2C">
      <w:pPr>
        <w:numPr>
          <w:ilvl w:val="0"/>
          <w:numId w:val="1"/>
        </w:numPr>
        <w:spacing w:before="60" w:after="60"/>
        <w:ind w:left="568" w:hanging="284"/>
        <w:rPr>
          <w:rFonts w:cs="Arial"/>
        </w:rPr>
      </w:pPr>
      <w:r>
        <w:rPr>
          <w:rFonts w:cs="Arial"/>
        </w:rPr>
        <w:t>μ</w:t>
      </w:r>
      <w:r w:rsidR="0082513E" w:rsidRPr="0082513E">
        <w:rPr>
          <w:rFonts w:cs="Arial"/>
        </w:rPr>
        <w:t>ισθολογική αναγνώριση (δύο μισθολογικά κλιμάκια) των αποφοίτων Πολυτεχνικών Σχολών και άλλων Πανεπιστημιακών Σχολών με πενταετή κύκλο σπουδών</w:t>
      </w:r>
      <w:r w:rsidR="001B7D4C">
        <w:rPr>
          <w:rFonts w:cs="Arial"/>
        </w:rPr>
        <w:t xml:space="preserve">, κόστους </w:t>
      </w:r>
      <w:r w:rsidR="0082513E" w:rsidRPr="0082513E">
        <w:rPr>
          <w:rFonts w:cs="Arial"/>
        </w:rPr>
        <w:t>7 εκατ. ευρώ</w:t>
      </w:r>
      <w:r>
        <w:rPr>
          <w:rFonts w:cs="Arial"/>
        </w:rPr>
        <w:t xml:space="preserve"> και</w:t>
      </w:r>
    </w:p>
    <w:p w14:paraId="5FEFF1B0" w14:textId="084C58F3" w:rsidR="0082513E" w:rsidRPr="006214BC" w:rsidRDefault="00463133" w:rsidP="00270C2C">
      <w:pPr>
        <w:numPr>
          <w:ilvl w:val="0"/>
          <w:numId w:val="2"/>
        </w:numPr>
        <w:spacing w:before="60"/>
        <w:ind w:left="568" w:hanging="284"/>
      </w:pPr>
      <w:r>
        <w:t>θ</w:t>
      </w:r>
      <w:r w:rsidR="0082513E" w:rsidRPr="006214BC">
        <w:t xml:space="preserve">έσπιση αφορολόγητου για το επίδομα βιβλιοθήκης των μελών ΔΕΠ και </w:t>
      </w:r>
      <w:r w:rsidR="001B7D4C">
        <w:t xml:space="preserve">των </w:t>
      </w:r>
      <w:r w:rsidR="0082513E" w:rsidRPr="006214BC">
        <w:t>ερευνητών</w:t>
      </w:r>
      <w:r w:rsidR="001B7D4C">
        <w:t>,</w:t>
      </w:r>
      <w:r w:rsidR="0082513E" w:rsidRPr="006214BC">
        <w:t xml:space="preserve"> με ετήσιο κόστος 6 εκατ. ευρώ</w:t>
      </w:r>
      <w:r w:rsidR="001B7D4C">
        <w:t xml:space="preserve"> περίπου</w:t>
      </w:r>
      <w:r w:rsidR="004103F9">
        <w:t xml:space="preserve"> και αναγνώριση προϋπηρεσίας ερευνητών σε </w:t>
      </w:r>
      <w:r w:rsidR="00064503">
        <w:t>Α</w:t>
      </w:r>
      <w:r w:rsidR="00D5296B">
        <w:t>νώτατα Εκπαιδευτικά Ιδρύματα (</w:t>
      </w:r>
      <w:r w:rsidR="004103F9">
        <w:t>ΑΕΙ</w:t>
      </w:r>
      <w:r w:rsidR="00D5296B">
        <w:t>)</w:t>
      </w:r>
      <w:r w:rsidR="004103F9">
        <w:t xml:space="preserve"> και </w:t>
      </w:r>
      <w:r w:rsidR="00027221">
        <w:t xml:space="preserve">σε </w:t>
      </w:r>
      <w:r w:rsidR="004103F9">
        <w:t>τεχνολογικούς φορείς</w:t>
      </w:r>
      <w:r w:rsidR="003C2C91">
        <w:t>,</w:t>
      </w:r>
      <w:r w:rsidR="004103F9">
        <w:t xml:space="preserve"> ανεξαρτήτως της σχέσης εργασίας.</w:t>
      </w:r>
    </w:p>
    <w:p w14:paraId="1317E547" w14:textId="77777777" w:rsidR="005856E3" w:rsidRPr="001B7D4C" w:rsidRDefault="005856E3" w:rsidP="00DC6F26">
      <w:pPr>
        <w:pStyle w:val="5"/>
        <w:keepNext w:val="0"/>
        <w:numPr>
          <w:ilvl w:val="0"/>
          <w:numId w:val="0"/>
        </w:numPr>
        <w:spacing w:before="360" w:after="240"/>
      </w:pPr>
      <w:bookmarkStart w:id="299" w:name="_Toc209798258"/>
      <w:bookmarkStart w:id="300" w:name="_Toc210055425"/>
      <w:bookmarkStart w:id="301" w:name="_Toc210059721"/>
      <w:bookmarkStart w:id="302" w:name="_Toc210218232"/>
      <w:bookmarkStart w:id="303" w:name="_Toc210394916"/>
      <w:bookmarkStart w:id="304" w:name="_Toc210494446"/>
      <w:bookmarkStart w:id="305" w:name="_Toc210570638"/>
      <w:bookmarkStart w:id="306" w:name="_Toc210570683"/>
      <w:r w:rsidRPr="001B7D4C">
        <w:t>Παρεμβάσεις για το στεγαστικό πρόβλημα</w:t>
      </w:r>
      <w:bookmarkEnd w:id="299"/>
      <w:bookmarkEnd w:id="300"/>
      <w:bookmarkEnd w:id="301"/>
      <w:bookmarkEnd w:id="302"/>
      <w:bookmarkEnd w:id="303"/>
      <w:bookmarkEnd w:id="304"/>
      <w:bookmarkEnd w:id="305"/>
      <w:bookmarkEnd w:id="306"/>
    </w:p>
    <w:p w14:paraId="2DE1CB1D" w14:textId="4229BEE3" w:rsidR="005856E3" w:rsidRPr="005856E3" w:rsidRDefault="00F30A87" w:rsidP="005856E3">
      <w:r>
        <w:t>Το 2025 εφαρμόστηκαν τα κάτωθι μέτρα:</w:t>
      </w:r>
    </w:p>
    <w:p w14:paraId="4A39DDE4" w14:textId="2116E605" w:rsidR="005856E3" w:rsidRPr="005856E3" w:rsidRDefault="00463133" w:rsidP="00270C2C">
      <w:pPr>
        <w:numPr>
          <w:ilvl w:val="0"/>
          <w:numId w:val="1"/>
        </w:numPr>
        <w:spacing w:before="120" w:after="60"/>
        <w:ind w:left="568" w:hanging="284"/>
        <w:rPr>
          <w:rFonts w:cs="Arial"/>
        </w:rPr>
      </w:pPr>
      <w:r>
        <w:rPr>
          <w:rFonts w:cs="Arial"/>
        </w:rPr>
        <w:t>ν</w:t>
      </w:r>
      <w:r w:rsidR="005856E3" w:rsidRPr="005856E3">
        <w:rPr>
          <w:rFonts w:cs="Arial"/>
        </w:rPr>
        <w:t xml:space="preserve">έο πρόγραμμα </w:t>
      </w:r>
      <w:r w:rsidR="006B6BFA">
        <w:rPr>
          <w:rFonts w:cs="Arial"/>
        </w:rPr>
        <w:t>«</w:t>
      </w:r>
      <w:r w:rsidR="005856E3" w:rsidRPr="005856E3">
        <w:rPr>
          <w:rFonts w:cs="Arial"/>
        </w:rPr>
        <w:t>ΣΠΙΤΙ μου ΙΙ</w:t>
      </w:r>
      <w:r w:rsidR="006B6BFA">
        <w:rPr>
          <w:rFonts w:cs="Arial"/>
        </w:rPr>
        <w:t>»</w:t>
      </w:r>
      <w:r w:rsidR="005856E3" w:rsidRPr="005856E3">
        <w:rPr>
          <w:rFonts w:cs="Arial"/>
        </w:rPr>
        <w:t>, συνολικ</w:t>
      </w:r>
      <w:r w:rsidR="00713A67">
        <w:rPr>
          <w:rFonts w:cs="Arial"/>
        </w:rPr>
        <w:t>ού</w:t>
      </w:r>
      <w:r w:rsidR="005856E3" w:rsidRPr="005856E3">
        <w:rPr>
          <w:rFonts w:cs="Arial"/>
        </w:rPr>
        <w:t xml:space="preserve"> προϋπολογισμ</w:t>
      </w:r>
      <w:r w:rsidR="00713A67">
        <w:rPr>
          <w:rFonts w:cs="Arial"/>
        </w:rPr>
        <w:t>ού</w:t>
      </w:r>
      <w:r w:rsidR="005856E3" w:rsidRPr="005856E3">
        <w:rPr>
          <w:rFonts w:cs="Arial"/>
        </w:rPr>
        <w:t xml:space="preserve"> 2 δισ. ευρώ</w:t>
      </w:r>
      <w:r w:rsidR="00713A67">
        <w:rPr>
          <w:rFonts w:cs="Arial"/>
        </w:rPr>
        <w:t>,</w:t>
      </w:r>
      <w:r w:rsidR="005856E3" w:rsidRPr="005856E3">
        <w:rPr>
          <w:rFonts w:cs="Arial"/>
        </w:rPr>
        <w:t xml:space="preserve"> </w:t>
      </w:r>
      <w:r w:rsidR="00713A67">
        <w:rPr>
          <w:rFonts w:cs="Arial"/>
        </w:rPr>
        <w:t xml:space="preserve">με </w:t>
      </w:r>
      <w:r w:rsidR="005856E3" w:rsidRPr="005856E3">
        <w:rPr>
          <w:rFonts w:cs="Arial"/>
        </w:rPr>
        <w:t>διευρυμένα ηλικιακά και εισοδηματικά κριτήρια</w:t>
      </w:r>
      <w:r w:rsidR="00F30A87">
        <w:rPr>
          <w:rFonts w:cs="Arial"/>
        </w:rPr>
        <w:t xml:space="preserve"> σε σχέση με το πρώτο πρόγραμμα</w:t>
      </w:r>
      <w:r w:rsidR="005856E3" w:rsidRPr="005856E3">
        <w:rPr>
          <w:rFonts w:cs="Arial"/>
        </w:rPr>
        <w:t xml:space="preserve"> </w:t>
      </w:r>
      <w:r w:rsidR="006B6BFA">
        <w:rPr>
          <w:rFonts w:cs="Arial"/>
        </w:rPr>
        <w:t>«</w:t>
      </w:r>
      <w:r w:rsidR="005856E3" w:rsidRPr="005856E3">
        <w:rPr>
          <w:rFonts w:cs="Arial"/>
        </w:rPr>
        <w:t>ΣΠΙΤΙ μου</w:t>
      </w:r>
      <w:r w:rsidR="006B6BFA">
        <w:rPr>
          <w:rFonts w:cs="Arial"/>
        </w:rPr>
        <w:t>»</w:t>
      </w:r>
      <w:r>
        <w:rPr>
          <w:rFonts w:cs="Arial"/>
        </w:rPr>
        <w:t>,</w:t>
      </w:r>
    </w:p>
    <w:p w14:paraId="2902632C" w14:textId="2FABACC2" w:rsidR="005856E3" w:rsidRPr="005856E3" w:rsidRDefault="00463133" w:rsidP="00270C2C">
      <w:pPr>
        <w:numPr>
          <w:ilvl w:val="0"/>
          <w:numId w:val="1"/>
        </w:numPr>
        <w:spacing w:before="60" w:after="60"/>
        <w:ind w:left="568" w:hanging="284"/>
        <w:rPr>
          <w:rFonts w:cs="Arial"/>
        </w:rPr>
      </w:pPr>
      <w:r>
        <w:rPr>
          <w:rFonts w:cs="Arial"/>
        </w:rPr>
        <w:t>α</w:t>
      </w:r>
      <w:r w:rsidR="005856E3" w:rsidRPr="005856E3">
        <w:rPr>
          <w:rFonts w:cs="Arial"/>
        </w:rPr>
        <w:t xml:space="preserve">παλλαγή </w:t>
      </w:r>
      <w:r w:rsidR="00713A67">
        <w:rPr>
          <w:rFonts w:cs="Arial"/>
        </w:rPr>
        <w:t xml:space="preserve">από τον </w:t>
      </w:r>
      <w:r w:rsidR="005856E3" w:rsidRPr="005856E3">
        <w:rPr>
          <w:rFonts w:cs="Arial"/>
        </w:rPr>
        <w:t xml:space="preserve">φόρο εισοδήματος για 3 έτη σε ιδιοκτήτες </w:t>
      </w:r>
      <w:r w:rsidR="00431F45">
        <w:rPr>
          <w:rFonts w:cs="Arial"/>
        </w:rPr>
        <w:t xml:space="preserve">οι οποίοι </w:t>
      </w:r>
      <w:r w:rsidR="00431F45" w:rsidRPr="005856E3">
        <w:rPr>
          <w:rFonts w:cs="Arial"/>
        </w:rPr>
        <w:t xml:space="preserve">από </w:t>
      </w:r>
      <w:r w:rsidR="00431F45">
        <w:rPr>
          <w:rFonts w:cs="Arial"/>
        </w:rPr>
        <w:t xml:space="preserve">τις </w:t>
      </w:r>
      <w:r w:rsidR="00431F45" w:rsidRPr="005856E3">
        <w:rPr>
          <w:rFonts w:cs="Arial"/>
        </w:rPr>
        <w:t>08</w:t>
      </w:r>
      <w:r w:rsidR="00431F45">
        <w:rPr>
          <w:rFonts w:cs="Arial"/>
        </w:rPr>
        <w:t>.</w:t>
      </w:r>
      <w:r w:rsidR="00431F45" w:rsidRPr="005856E3">
        <w:rPr>
          <w:rFonts w:cs="Arial"/>
        </w:rPr>
        <w:t>9</w:t>
      </w:r>
      <w:r w:rsidR="00431F45">
        <w:rPr>
          <w:rFonts w:cs="Arial"/>
        </w:rPr>
        <w:t>.20</w:t>
      </w:r>
      <w:r w:rsidR="00431F45" w:rsidRPr="005856E3">
        <w:rPr>
          <w:rFonts w:cs="Arial"/>
        </w:rPr>
        <w:t xml:space="preserve">24 έως </w:t>
      </w:r>
      <w:r w:rsidR="00431F45">
        <w:rPr>
          <w:rFonts w:cs="Arial"/>
        </w:rPr>
        <w:t xml:space="preserve">τις </w:t>
      </w:r>
      <w:r w:rsidR="00431F45" w:rsidRPr="005856E3">
        <w:rPr>
          <w:rFonts w:cs="Arial"/>
        </w:rPr>
        <w:t>31</w:t>
      </w:r>
      <w:r w:rsidR="00431F45">
        <w:rPr>
          <w:rFonts w:cs="Arial"/>
        </w:rPr>
        <w:t>.</w:t>
      </w:r>
      <w:r w:rsidR="00431F45" w:rsidRPr="005856E3">
        <w:rPr>
          <w:rFonts w:cs="Arial"/>
        </w:rPr>
        <w:t>12</w:t>
      </w:r>
      <w:r w:rsidR="00431F45">
        <w:rPr>
          <w:rFonts w:cs="Arial"/>
        </w:rPr>
        <w:t>.20</w:t>
      </w:r>
      <w:r w:rsidR="00431F45" w:rsidRPr="005856E3">
        <w:rPr>
          <w:rFonts w:cs="Arial"/>
        </w:rPr>
        <w:t>25</w:t>
      </w:r>
      <w:r w:rsidR="00413AE1">
        <w:rPr>
          <w:rFonts w:cs="Arial"/>
        </w:rPr>
        <w:t xml:space="preserve"> εκμισθώνουν </w:t>
      </w:r>
      <w:r w:rsidR="00F30A87">
        <w:rPr>
          <w:rFonts w:cs="Arial"/>
        </w:rPr>
        <w:t>κενά σπίτια</w:t>
      </w:r>
      <w:r w:rsidR="00413AE1">
        <w:rPr>
          <w:rFonts w:cs="Arial"/>
        </w:rPr>
        <w:t xml:space="preserve"> με μακροχρόνια μίσθωση</w:t>
      </w:r>
      <w:r w:rsidR="00F30A87">
        <w:rPr>
          <w:rFonts w:cs="Arial"/>
        </w:rPr>
        <w:t xml:space="preserve"> ή </w:t>
      </w:r>
      <w:r w:rsidR="00413AE1">
        <w:rPr>
          <w:rFonts w:cs="Arial"/>
        </w:rPr>
        <w:t xml:space="preserve">μετατρέπουν τη </w:t>
      </w:r>
      <w:r w:rsidR="005856E3" w:rsidRPr="005856E3">
        <w:rPr>
          <w:rFonts w:cs="Arial"/>
        </w:rPr>
        <w:t>βραχυχρόνια μίσθωση</w:t>
      </w:r>
      <w:r w:rsidR="00713A67">
        <w:rPr>
          <w:rFonts w:cs="Arial"/>
        </w:rPr>
        <w:t xml:space="preserve"> </w:t>
      </w:r>
      <w:r w:rsidR="00413AE1">
        <w:rPr>
          <w:rFonts w:cs="Arial"/>
        </w:rPr>
        <w:t xml:space="preserve">ακινήτων </w:t>
      </w:r>
      <w:r w:rsidR="005856E3" w:rsidRPr="005856E3">
        <w:rPr>
          <w:rFonts w:cs="Arial"/>
        </w:rPr>
        <w:t>σε μακροχρόνια</w:t>
      </w:r>
      <w:r>
        <w:rPr>
          <w:rFonts w:cs="Arial"/>
        </w:rPr>
        <w:t>,</w:t>
      </w:r>
    </w:p>
    <w:p w14:paraId="5BA365AD" w14:textId="77777777" w:rsidR="005856E3" w:rsidRPr="005856E3" w:rsidRDefault="00713A67" w:rsidP="00270C2C">
      <w:pPr>
        <w:numPr>
          <w:ilvl w:val="0"/>
          <w:numId w:val="1"/>
        </w:numPr>
        <w:spacing w:before="60" w:after="60"/>
        <w:ind w:left="568" w:hanging="284"/>
        <w:rPr>
          <w:rFonts w:cs="Arial"/>
        </w:rPr>
      </w:pPr>
      <w:r>
        <w:rPr>
          <w:rFonts w:cs="Arial"/>
        </w:rPr>
        <w:t xml:space="preserve">απαγόρευση της εγγραφής </w:t>
      </w:r>
      <w:r w:rsidR="00F443B7" w:rsidRPr="005856E3">
        <w:rPr>
          <w:rFonts w:cs="Arial"/>
        </w:rPr>
        <w:t>για το 2025</w:t>
      </w:r>
      <w:r w:rsidR="00F443B7">
        <w:rPr>
          <w:rFonts w:cs="Arial"/>
        </w:rPr>
        <w:t xml:space="preserve"> </w:t>
      </w:r>
      <w:r w:rsidR="00C74530" w:rsidRPr="005856E3">
        <w:rPr>
          <w:rFonts w:cs="Arial"/>
        </w:rPr>
        <w:t xml:space="preserve">στο μητρώο βραχυχρόνιων μισθώσεων </w:t>
      </w:r>
      <w:r>
        <w:rPr>
          <w:rFonts w:cs="Arial"/>
        </w:rPr>
        <w:t xml:space="preserve">νέων ακινήτων </w:t>
      </w:r>
      <w:r w:rsidR="00C74530">
        <w:rPr>
          <w:rFonts w:cs="Arial"/>
        </w:rPr>
        <w:t>του</w:t>
      </w:r>
      <w:r w:rsidR="005856E3" w:rsidRPr="005856E3">
        <w:rPr>
          <w:rFonts w:cs="Arial"/>
        </w:rPr>
        <w:t xml:space="preserve"> κέντρο</w:t>
      </w:r>
      <w:r w:rsidR="00C74530">
        <w:rPr>
          <w:rFonts w:cs="Arial"/>
        </w:rPr>
        <w:t>υ</w:t>
      </w:r>
      <w:r w:rsidR="005856E3" w:rsidRPr="005856E3">
        <w:rPr>
          <w:rFonts w:cs="Arial"/>
        </w:rPr>
        <w:t xml:space="preserve"> της Αθήνας (1ο, 2ο, 3ο δημοτικό διαμέρισμα)</w:t>
      </w:r>
      <w:r w:rsidR="00463133">
        <w:rPr>
          <w:rFonts w:cs="Arial"/>
        </w:rPr>
        <w:t>,</w:t>
      </w:r>
    </w:p>
    <w:p w14:paraId="26807DC2" w14:textId="3F839CCD" w:rsidR="005856E3" w:rsidRPr="005856E3" w:rsidRDefault="00463133" w:rsidP="00270C2C">
      <w:pPr>
        <w:numPr>
          <w:ilvl w:val="0"/>
          <w:numId w:val="1"/>
        </w:numPr>
        <w:spacing w:before="60" w:after="60"/>
        <w:ind w:left="568" w:hanging="284"/>
        <w:rPr>
          <w:rFonts w:cs="Arial"/>
        </w:rPr>
      </w:pPr>
      <w:r>
        <w:rPr>
          <w:rFonts w:cs="Arial"/>
        </w:rPr>
        <w:t>α</w:t>
      </w:r>
      <w:r w:rsidR="005856E3" w:rsidRPr="005856E3">
        <w:rPr>
          <w:rFonts w:cs="Arial"/>
        </w:rPr>
        <w:t>ύξηση του τέλους ανθεκτικότητας στην κλιματική κρίση για βραχυχρόνιες μισθώσεις</w:t>
      </w:r>
      <w:r w:rsidR="004363FF">
        <w:rPr>
          <w:rFonts w:cs="Arial"/>
        </w:rPr>
        <w:t>,</w:t>
      </w:r>
    </w:p>
    <w:p w14:paraId="2A654223" w14:textId="79A3E45C" w:rsidR="005856E3" w:rsidRDefault="00463133" w:rsidP="004363FF">
      <w:pPr>
        <w:numPr>
          <w:ilvl w:val="0"/>
          <w:numId w:val="2"/>
        </w:numPr>
        <w:spacing w:before="60" w:after="60"/>
        <w:ind w:left="568" w:hanging="284"/>
      </w:pPr>
      <w:r>
        <w:lastRenderedPageBreak/>
        <w:t>δ</w:t>
      </w:r>
      <w:r w:rsidR="005856E3" w:rsidRPr="00E83CCB">
        <w:t>ιπλασιασμός της μέγιστης επιδότησης του προγράμματος «Ανακαινίζω</w:t>
      </w:r>
      <w:r w:rsidR="006B6BFA">
        <w:t xml:space="preserve"> </w:t>
      </w:r>
      <w:r w:rsidR="005856E3" w:rsidRPr="00E83CCB">
        <w:t>-</w:t>
      </w:r>
      <w:r w:rsidR="006B6BFA">
        <w:t xml:space="preserve"> </w:t>
      </w:r>
      <w:r w:rsidR="005856E3" w:rsidRPr="00E83CCB">
        <w:t>Ενοικιάζω»</w:t>
      </w:r>
      <w:r w:rsidR="004363FF">
        <w:t xml:space="preserve"> και</w:t>
      </w:r>
    </w:p>
    <w:p w14:paraId="6874626D" w14:textId="6D91B081" w:rsidR="004363FF" w:rsidRPr="005856E3" w:rsidRDefault="004363FF" w:rsidP="004363FF">
      <w:pPr>
        <w:numPr>
          <w:ilvl w:val="0"/>
          <w:numId w:val="2"/>
        </w:numPr>
        <w:spacing w:before="60"/>
        <w:ind w:left="568" w:hanging="284"/>
        <w:rPr>
          <w:rFonts w:cs="Arial"/>
        </w:rPr>
      </w:pPr>
      <w:r>
        <w:rPr>
          <w:rFonts w:cs="Arial"/>
        </w:rPr>
        <w:t>επιστροφή σε ετήσια βάση, α</w:t>
      </w:r>
      <w:r w:rsidRPr="005856E3">
        <w:rPr>
          <w:rFonts w:cs="Arial"/>
        </w:rPr>
        <w:t xml:space="preserve">πό τον Νοέμβριο 2025, </w:t>
      </w:r>
      <w:r>
        <w:rPr>
          <w:rFonts w:cs="Arial"/>
        </w:rPr>
        <w:t>ενός</w:t>
      </w:r>
      <w:r w:rsidRPr="005856E3">
        <w:rPr>
          <w:rFonts w:cs="Arial"/>
        </w:rPr>
        <w:t xml:space="preserve"> </w:t>
      </w:r>
      <w:r>
        <w:rPr>
          <w:rFonts w:cs="Arial"/>
        </w:rPr>
        <w:t xml:space="preserve">μισθώματος </w:t>
      </w:r>
      <w:r w:rsidRPr="005856E3">
        <w:rPr>
          <w:rFonts w:cs="Arial"/>
        </w:rPr>
        <w:t>σε δικαιούχους ενοικιαστές (κύριας και φοιτητικής κατοικίας) με βάση εισοδηματικά και περιουσιακά κριτήρια</w:t>
      </w:r>
      <w:r w:rsidR="00EB4107">
        <w:rPr>
          <w:rFonts w:cs="Arial"/>
        </w:rPr>
        <w:t>,</w:t>
      </w:r>
      <w:r w:rsidR="00260A5D">
        <w:rPr>
          <w:rFonts w:cs="Arial"/>
        </w:rPr>
        <w:t xml:space="preserve"> που</w:t>
      </w:r>
      <w:r w:rsidR="0077519E">
        <w:rPr>
          <w:rFonts w:cs="Arial"/>
        </w:rPr>
        <w:t xml:space="preserve"> </w:t>
      </w:r>
      <w:r>
        <w:rPr>
          <w:rFonts w:cs="Arial"/>
        </w:rPr>
        <w:t xml:space="preserve">καταλαμβάνουν περίπου το 80% των ενοικιαστών, ετήσιου </w:t>
      </w:r>
      <w:bookmarkStart w:id="307" w:name="_Hlk208483316"/>
      <w:r w:rsidRPr="005856E3">
        <w:rPr>
          <w:rFonts w:cs="Arial"/>
        </w:rPr>
        <w:t>κόστο</w:t>
      </w:r>
      <w:r>
        <w:rPr>
          <w:rFonts w:cs="Arial"/>
        </w:rPr>
        <w:t>υ</w:t>
      </w:r>
      <w:r w:rsidRPr="005856E3">
        <w:rPr>
          <w:rFonts w:cs="Arial"/>
        </w:rPr>
        <w:t>ς 230 εκατ. ευρώ</w:t>
      </w:r>
      <w:r>
        <w:rPr>
          <w:rFonts w:cs="Arial"/>
        </w:rPr>
        <w:t>.</w:t>
      </w:r>
    </w:p>
    <w:bookmarkEnd w:id="307"/>
    <w:p w14:paraId="09A6F735" w14:textId="7C0CE31A" w:rsidR="005856E3" w:rsidRPr="005856E3" w:rsidRDefault="004363FF" w:rsidP="005856E3">
      <w:r>
        <w:t xml:space="preserve">Για το 2026 οι νέες </w:t>
      </w:r>
      <w:r w:rsidR="00731B81">
        <w:t>π</w:t>
      </w:r>
      <w:r w:rsidR="005856E3" w:rsidRPr="005856E3">
        <w:t xml:space="preserve">αρεμβάσεις </w:t>
      </w:r>
      <w:r>
        <w:t>περιλαμβάνουν</w:t>
      </w:r>
      <w:r w:rsidR="00731B81">
        <w:t>:</w:t>
      </w:r>
    </w:p>
    <w:p w14:paraId="2CD6B28C" w14:textId="1B9816EE" w:rsidR="004363FF" w:rsidRDefault="00DD4272" w:rsidP="004363FF">
      <w:pPr>
        <w:numPr>
          <w:ilvl w:val="0"/>
          <w:numId w:val="1"/>
        </w:numPr>
        <w:spacing w:before="60" w:after="60"/>
        <w:ind w:left="568" w:hanging="284"/>
        <w:rPr>
          <w:rFonts w:cs="Arial"/>
        </w:rPr>
      </w:pPr>
      <w:r>
        <w:rPr>
          <w:rFonts w:cs="Arial"/>
        </w:rPr>
        <w:t>ε</w:t>
      </w:r>
      <w:r w:rsidR="005856E3" w:rsidRPr="00E83CCB">
        <w:rPr>
          <w:rFonts w:cs="Arial"/>
        </w:rPr>
        <w:t>π</w:t>
      </w:r>
      <w:r w:rsidR="00731B81">
        <w:rPr>
          <w:rFonts w:cs="Arial"/>
        </w:rPr>
        <w:t xml:space="preserve">έκταση </w:t>
      </w:r>
      <w:r w:rsidR="005856E3" w:rsidRPr="00E83CCB">
        <w:rPr>
          <w:rFonts w:cs="Arial"/>
        </w:rPr>
        <w:t xml:space="preserve">και για το </w:t>
      </w:r>
      <w:r w:rsidR="00731B81">
        <w:rPr>
          <w:rFonts w:cs="Arial"/>
        </w:rPr>
        <w:t xml:space="preserve">έτος </w:t>
      </w:r>
      <w:r w:rsidR="005856E3" w:rsidRPr="00E83CCB">
        <w:rPr>
          <w:rFonts w:cs="Arial"/>
        </w:rPr>
        <w:t xml:space="preserve">2026 </w:t>
      </w:r>
      <w:r w:rsidR="00731B81">
        <w:rPr>
          <w:rFonts w:cs="Arial"/>
        </w:rPr>
        <w:t>τ</w:t>
      </w:r>
      <w:r w:rsidR="005856E3" w:rsidRPr="00E83CCB">
        <w:rPr>
          <w:rFonts w:cs="Arial"/>
        </w:rPr>
        <w:t>η</w:t>
      </w:r>
      <w:r w:rsidR="00731B81">
        <w:rPr>
          <w:rFonts w:cs="Arial"/>
        </w:rPr>
        <w:t>ς</w:t>
      </w:r>
      <w:r w:rsidR="005856E3" w:rsidRPr="00E83CCB">
        <w:rPr>
          <w:rFonts w:cs="Arial"/>
        </w:rPr>
        <w:t xml:space="preserve"> φοροαπαλλαγή</w:t>
      </w:r>
      <w:r w:rsidR="00731B81">
        <w:rPr>
          <w:rFonts w:cs="Arial"/>
        </w:rPr>
        <w:t>ς</w:t>
      </w:r>
      <w:r w:rsidR="005856E3" w:rsidRPr="00E83CCB">
        <w:rPr>
          <w:rFonts w:cs="Arial"/>
        </w:rPr>
        <w:t xml:space="preserve"> </w:t>
      </w:r>
      <w:r w:rsidR="008F2290">
        <w:rPr>
          <w:rFonts w:cs="Arial"/>
        </w:rPr>
        <w:t xml:space="preserve">διάρκειας </w:t>
      </w:r>
      <w:r w:rsidR="005856E3" w:rsidRPr="00E83CCB">
        <w:rPr>
          <w:rFonts w:cs="Arial"/>
        </w:rPr>
        <w:t>τρ</w:t>
      </w:r>
      <w:r w:rsidR="008F2290">
        <w:rPr>
          <w:rFonts w:cs="Arial"/>
        </w:rPr>
        <w:t xml:space="preserve">ιών ετών για </w:t>
      </w:r>
      <w:r w:rsidR="005856E3" w:rsidRPr="00E83CCB">
        <w:rPr>
          <w:rFonts w:cs="Arial"/>
        </w:rPr>
        <w:t>κενά ακίνητα που θα διατεθούν σε μακροχρόνια μίσθωση</w:t>
      </w:r>
      <w:r w:rsidR="008F2290">
        <w:rPr>
          <w:rFonts w:cs="Arial"/>
        </w:rPr>
        <w:t>,</w:t>
      </w:r>
      <w:r w:rsidR="005856E3" w:rsidRPr="00E83CCB">
        <w:rPr>
          <w:rFonts w:cs="Arial"/>
        </w:rPr>
        <w:t xml:space="preserve"> με κόστος 13 εκατ. ευρώ για το 2026 και 22 εκατ. ευρώ για το 2027</w:t>
      </w:r>
      <w:r w:rsidR="004363FF">
        <w:rPr>
          <w:rFonts w:cs="Arial"/>
        </w:rPr>
        <w:t>. Σε αυτ</w:t>
      </w:r>
      <w:r w:rsidR="002A0488">
        <w:rPr>
          <w:rFonts w:cs="Arial"/>
        </w:rPr>
        <w:t>ό</w:t>
      </w:r>
      <w:r w:rsidR="004363FF">
        <w:rPr>
          <w:rFonts w:cs="Arial"/>
        </w:rPr>
        <w:t xml:space="preserve"> τ</w:t>
      </w:r>
      <w:r w:rsidR="002A0488">
        <w:rPr>
          <w:rFonts w:cs="Arial"/>
        </w:rPr>
        <w:t>ο</w:t>
      </w:r>
      <w:r w:rsidR="004363FF">
        <w:rPr>
          <w:rFonts w:cs="Arial"/>
        </w:rPr>
        <w:t xml:space="preserve"> πλαίσι</w:t>
      </w:r>
      <w:r w:rsidR="002A0488">
        <w:rPr>
          <w:rFonts w:cs="Arial"/>
        </w:rPr>
        <w:t>ο</w:t>
      </w:r>
      <w:r w:rsidR="004363FF">
        <w:rPr>
          <w:rFonts w:cs="Arial"/>
        </w:rPr>
        <w:t xml:space="preserve"> διευρύνεται το πεδίο εφαρμογής του μέτρου</w:t>
      </w:r>
      <w:r w:rsidR="00472F91">
        <w:rPr>
          <w:rFonts w:cs="Arial"/>
        </w:rPr>
        <w:t>,</w:t>
      </w:r>
      <w:r w:rsidR="002A0488">
        <w:rPr>
          <w:rFonts w:cs="Arial"/>
        </w:rPr>
        <w:t xml:space="preserve"> ως ακολούθως</w:t>
      </w:r>
      <w:r w:rsidR="004363FF" w:rsidRPr="00444A9F">
        <w:rPr>
          <w:rFonts w:cs="Arial"/>
        </w:rPr>
        <w:t>:</w:t>
      </w:r>
    </w:p>
    <w:p w14:paraId="1A6033FE" w14:textId="3E69A163" w:rsidR="004363FF" w:rsidRPr="009A28C7" w:rsidRDefault="009A28C7" w:rsidP="00895207">
      <w:pPr>
        <w:pStyle w:val="Web"/>
        <w:numPr>
          <w:ilvl w:val="1"/>
          <w:numId w:val="5"/>
        </w:numPr>
        <w:tabs>
          <w:tab w:val="clear" w:pos="1440"/>
          <w:tab w:val="num" w:pos="567"/>
        </w:tabs>
        <w:spacing w:before="120" w:beforeAutospacing="0" w:after="60" w:afterAutospacing="0"/>
        <w:ind w:left="851" w:hanging="284"/>
        <w:rPr>
          <w:lang w:val="el-GR"/>
        </w:rPr>
      </w:pPr>
      <w:r>
        <w:rPr>
          <w:lang w:val="el-GR"/>
        </w:rPr>
        <w:t>σ</w:t>
      </w:r>
      <w:r w:rsidR="004363FF" w:rsidRPr="009A28C7">
        <w:rPr>
          <w:lang w:val="el-GR"/>
        </w:rPr>
        <w:t xml:space="preserve">ε περίπτωση που η </w:t>
      </w:r>
      <w:r w:rsidR="002A0488">
        <w:rPr>
          <w:lang w:val="el-GR"/>
        </w:rPr>
        <w:t xml:space="preserve">μίσθωση </w:t>
      </w:r>
      <w:r w:rsidR="004363FF" w:rsidRPr="009A28C7">
        <w:rPr>
          <w:lang w:val="el-GR"/>
        </w:rPr>
        <w:t xml:space="preserve">αφορά </w:t>
      </w:r>
      <w:r w:rsidR="002A0488">
        <w:rPr>
          <w:lang w:val="el-GR"/>
        </w:rPr>
        <w:t xml:space="preserve">σε </w:t>
      </w:r>
      <w:r w:rsidR="004363FF" w:rsidRPr="009A28C7">
        <w:rPr>
          <w:lang w:val="el-GR"/>
        </w:rPr>
        <w:t xml:space="preserve">τρίτεκνη ή πολύτεκνη οικογένεια, η απαλλαγή θα </w:t>
      </w:r>
      <w:r w:rsidR="002A0488">
        <w:rPr>
          <w:lang w:val="el-GR"/>
        </w:rPr>
        <w:t xml:space="preserve">χορηγείται </w:t>
      </w:r>
      <w:r w:rsidR="004363FF" w:rsidRPr="009A28C7">
        <w:rPr>
          <w:lang w:val="el-GR"/>
        </w:rPr>
        <w:t xml:space="preserve">και για σπίτια με μεγαλύτερο εμβαδό από 120 τ.μ., </w:t>
      </w:r>
      <w:r w:rsidR="002A0488">
        <w:rPr>
          <w:lang w:val="el-GR"/>
        </w:rPr>
        <w:t>προσαυξανόμενο κατά</w:t>
      </w:r>
      <w:r w:rsidR="004363FF" w:rsidRPr="009A28C7">
        <w:rPr>
          <w:lang w:val="el-GR"/>
        </w:rPr>
        <w:t xml:space="preserve"> 20 τ.μ. για κάθε εξαρτώμενο τέκνο άνω των δύο,</w:t>
      </w:r>
    </w:p>
    <w:p w14:paraId="77B765A5" w14:textId="60BA36A4" w:rsidR="004363FF" w:rsidRPr="009A28C7" w:rsidRDefault="004363FF" w:rsidP="009A28C7">
      <w:pPr>
        <w:pStyle w:val="Web"/>
        <w:numPr>
          <w:ilvl w:val="1"/>
          <w:numId w:val="5"/>
        </w:numPr>
        <w:tabs>
          <w:tab w:val="clear" w:pos="1440"/>
          <w:tab w:val="num" w:pos="567"/>
        </w:tabs>
        <w:spacing w:before="60" w:beforeAutospacing="0" w:after="60" w:afterAutospacing="0"/>
        <w:ind w:left="851" w:hanging="284"/>
        <w:rPr>
          <w:lang w:val="el-GR"/>
        </w:rPr>
      </w:pPr>
      <w:r w:rsidRPr="009A28C7">
        <w:rPr>
          <w:lang w:val="el-GR"/>
        </w:rPr>
        <w:t xml:space="preserve">σε περίπτωση αποχώρησης του </w:t>
      </w:r>
      <w:r w:rsidR="00763E5E">
        <w:rPr>
          <w:lang w:val="el-GR"/>
        </w:rPr>
        <w:t xml:space="preserve">μισθωτή </w:t>
      </w:r>
      <w:r w:rsidRPr="009A28C7">
        <w:rPr>
          <w:lang w:val="el-GR"/>
        </w:rPr>
        <w:t>εντός της τριετίας</w:t>
      </w:r>
      <w:r w:rsidR="009A28C7">
        <w:rPr>
          <w:lang w:val="el-GR"/>
        </w:rPr>
        <w:t>,</w:t>
      </w:r>
      <w:r w:rsidRPr="009A28C7">
        <w:rPr>
          <w:lang w:val="el-GR"/>
        </w:rPr>
        <w:t xml:space="preserve"> η απαλλαγή συνεχίζει να ισχύει για το υπολειπόμενο διάστημα και εφόσον το ακίνητο κενωθεί άπαξ και εκμισθωθεί εκ νέου</w:t>
      </w:r>
      <w:r w:rsidR="009A28C7">
        <w:rPr>
          <w:lang w:val="el-GR"/>
        </w:rPr>
        <w:t xml:space="preserve"> και</w:t>
      </w:r>
    </w:p>
    <w:p w14:paraId="51C36AFE" w14:textId="1F41C5FC" w:rsidR="004363FF" w:rsidRPr="009A28C7" w:rsidRDefault="004363FF" w:rsidP="009A28C7">
      <w:pPr>
        <w:pStyle w:val="Web"/>
        <w:numPr>
          <w:ilvl w:val="1"/>
          <w:numId w:val="5"/>
        </w:numPr>
        <w:tabs>
          <w:tab w:val="clear" w:pos="1440"/>
          <w:tab w:val="num" w:pos="567"/>
        </w:tabs>
        <w:spacing w:before="60" w:beforeAutospacing="0" w:after="120" w:afterAutospacing="0"/>
        <w:ind w:left="851" w:hanging="284"/>
        <w:rPr>
          <w:lang w:val="el-GR"/>
        </w:rPr>
      </w:pPr>
      <w:r w:rsidRPr="009A28C7">
        <w:rPr>
          <w:lang w:val="el-GR"/>
        </w:rPr>
        <w:t xml:space="preserve">ειδικά για </w:t>
      </w:r>
      <w:r w:rsidR="00472F91">
        <w:rPr>
          <w:lang w:val="el-GR"/>
        </w:rPr>
        <w:t xml:space="preserve">τις </w:t>
      </w:r>
      <w:r w:rsidRPr="009A28C7">
        <w:rPr>
          <w:lang w:val="el-GR"/>
        </w:rPr>
        <w:t xml:space="preserve">περιπτώσεις μίσθωσης σε ιατρικό ή νοσηλευτικό προσωπικό που απασχολείται σε φορείς της </w:t>
      </w:r>
      <w:r w:rsidR="009A28C7">
        <w:rPr>
          <w:lang w:val="el-GR"/>
        </w:rPr>
        <w:t>Γ</w:t>
      </w:r>
      <w:r w:rsidRPr="009A28C7">
        <w:rPr>
          <w:lang w:val="el-GR"/>
        </w:rPr>
        <w:t xml:space="preserve">ενικής </w:t>
      </w:r>
      <w:r w:rsidR="009A28C7">
        <w:rPr>
          <w:lang w:val="el-GR"/>
        </w:rPr>
        <w:t>Κ</w:t>
      </w:r>
      <w:r w:rsidRPr="009A28C7">
        <w:rPr>
          <w:lang w:val="el-GR"/>
        </w:rPr>
        <w:t xml:space="preserve">υβέρνησης, </w:t>
      </w:r>
      <w:r w:rsidR="00763E5E">
        <w:rPr>
          <w:lang w:val="el-GR"/>
        </w:rPr>
        <w:t xml:space="preserve">σε </w:t>
      </w:r>
      <w:r w:rsidRPr="009A28C7">
        <w:rPr>
          <w:lang w:val="el-GR"/>
        </w:rPr>
        <w:t xml:space="preserve">εκπαιδευτικούς όλων των βαθμίδων της δημόσιας εκπαίδευσης καθώς </w:t>
      </w:r>
      <w:r w:rsidR="00DB0E38">
        <w:rPr>
          <w:lang w:val="el-GR"/>
        </w:rPr>
        <w:t xml:space="preserve">και </w:t>
      </w:r>
      <w:r w:rsidRPr="009A28C7">
        <w:rPr>
          <w:lang w:val="el-GR"/>
        </w:rPr>
        <w:t xml:space="preserve">σε ένστολο προσωπικό των </w:t>
      </w:r>
      <w:r w:rsidR="009A28C7">
        <w:rPr>
          <w:lang w:val="el-GR"/>
        </w:rPr>
        <w:t>Ε</w:t>
      </w:r>
      <w:r w:rsidRPr="009A28C7">
        <w:rPr>
          <w:lang w:val="el-GR"/>
        </w:rPr>
        <w:t xml:space="preserve">νόπλων </w:t>
      </w:r>
      <w:r w:rsidR="009A28C7">
        <w:rPr>
          <w:lang w:val="el-GR"/>
        </w:rPr>
        <w:t>Δ</w:t>
      </w:r>
      <w:r w:rsidRPr="009A28C7">
        <w:rPr>
          <w:lang w:val="el-GR"/>
        </w:rPr>
        <w:t xml:space="preserve">υνάμεων και των </w:t>
      </w:r>
      <w:r w:rsidR="009A28C7">
        <w:rPr>
          <w:lang w:val="el-GR"/>
        </w:rPr>
        <w:t>Σ</w:t>
      </w:r>
      <w:r w:rsidRPr="009A28C7">
        <w:rPr>
          <w:lang w:val="el-GR"/>
        </w:rPr>
        <w:t xml:space="preserve">ωμάτων </w:t>
      </w:r>
      <w:r w:rsidR="009A28C7">
        <w:rPr>
          <w:lang w:val="el-GR"/>
        </w:rPr>
        <w:t>Α</w:t>
      </w:r>
      <w:r w:rsidRPr="009A28C7">
        <w:rPr>
          <w:lang w:val="el-GR"/>
        </w:rPr>
        <w:t xml:space="preserve">σφαλείας, η απαλλαγή ισχύει </w:t>
      </w:r>
      <w:r w:rsidR="00763E5E">
        <w:rPr>
          <w:lang w:val="el-GR"/>
        </w:rPr>
        <w:t xml:space="preserve">και υπό την προϋπόθεση ότι </w:t>
      </w:r>
      <w:r w:rsidRPr="009A28C7">
        <w:rPr>
          <w:lang w:val="el-GR"/>
        </w:rPr>
        <w:t xml:space="preserve">το ακίνητο μισθώνεται για τουλάχιστον έξι (6) </w:t>
      </w:r>
      <w:r w:rsidR="007D5628">
        <w:rPr>
          <w:lang w:val="el-GR"/>
        </w:rPr>
        <w:t>συναπτούς</w:t>
      </w:r>
      <w:r w:rsidRPr="009A28C7">
        <w:rPr>
          <w:lang w:val="el-GR"/>
        </w:rPr>
        <w:t xml:space="preserve"> μήνες,</w:t>
      </w:r>
    </w:p>
    <w:p w14:paraId="2641FA47" w14:textId="39D58198" w:rsidR="005856E3" w:rsidRPr="004363FF" w:rsidRDefault="004363FF" w:rsidP="00AA48E7">
      <w:pPr>
        <w:numPr>
          <w:ilvl w:val="0"/>
          <w:numId w:val="1"/>
        </w:numPr>
        <w:spacing w:before="120" w:after="60"/>
        <w:ind w:left="568" w:hanging="284"/>
        <w:rPr>
          <w:rFonts w:cs="Arial"/>
        </w:rPr>
      </w:pPr>
      <w:r w:rsidRPr="00767167">
        <w:rPr>
          <w:rFonts w:cs="Arial"/>
        </w:rPr>
        <w:t>θέσπιση από το 2026 ενδιάμεσου συντελεστή 25%</w:t>
      </w:r>
      <w:r>
        <w:rPr>
          <w:rFonts w:cs="Arial"/>
        </w:rPr>
        <w:t xml:space="preserve"> (από 35%)</w:t>
      </w:r>
      <w:r w:rsidRPr="00767167">
        <w:rPr>
          <w:rFonts w:cs="Arial"/>
        </w:rPr>
        <w:t xml:space="preserve"> για εισόδημα από μισθώματα</w:t>
      </w:r>
      <w:r w:rsidR="007D5628">
        <w:rPr>
          <w:rFonts w:cs="Arial"/>
        </w:rPr>
        <w:t xml:space="preserve">, </w:t>
      </w:r>
      <w:r w:rsidR="00F1402C">
        <w:rPr>
          <w:rFonts w:cs="Arial"/>
        </w:rPr>
        <w:t xml:space="preserve">το </w:t>
      </w:r>
      <w:r w:rsidR="007D5628">
        <w:rPr>
          <w:rFonts w:cs="Arial"/>
        </w:rPr>
        <w:t>ύψος</w:t>
      </w:r>
      <w:r w:rsidR="00F1402C">
        <w:rPr>
          <w:rFonts w:cs="Arial"/>
        </w:rPr>
        <w:t xml:space="preserve"> του οποίου κυμαίνεται από</w:t>
      </w:r>
      <w:r w:rsidRPr="00767167">
        <w:rPr>
          <w:rFonts w:cs="Arial"/>
        </w:rPr>
        <w:t xml:space="preserve"> 12.000 έως 24.000 ευρώ. Το μέτρο </w:t>
      </w:r>
      <w:r w:rsidR="007D5628">
        <w:rPr>
          <w:rFonts w:cs="Arial"/>
        </w:rPr>
        <w:t>εκτιμάται ότι θα</w:t>
      </w:r>
      <w:r w:rsidRPr="00767167">
        <w:rPr>
          <w:rFonts w:cs="Arial"/>
        </w:rPr>
        <w:t xml:space="preserve"> ωφελήσει περίπου 161.000 ιδιοκτήτες</w:t>
      </w:r>
      <w:r w:rsidR="007D5628">
        <w:rPr>
          <w:rFonts w:cs="Arial"/>
        </w:rPr>
        <w:t xml:space="preserve"> και παράλληλα</w:t>
      </w:r>
      <w:r w:rsidR="00906A98">
        <w:rPr>
          <w:rFonts w:cs="Arial"/>
        </w:rPr>
        <w:t>,</w:t>
      </w:r>
      <w:r w:rsidR="007D5628">
        <w:rPr>
          <w:rFonts w:cs="Arial"/>
        </w:rPr>
        <w:t xml:space="preserve"> </w:t>
      </w:r>
      <w:r w:rsidRPr="003E124F">
        <w:rPr>
          <w:rFonts w:cs="Arial"/>
        </w:rPr>
        <w:t xml:space="preserve">αναμένεται να </w:t>
      </w:r>
      <w:r w:rsidR="007D5628">
        <w:rPr>
          <w:rFonts w:cs="Arial"/>
        </w:rPr>
        <w:t>συμβά</w:t>
      </w:r>
      <w:r w:rsidR="00906A98">
        <w:rPr>
          <w:rFonts w:cs="Arial"/>
        </w:rPr>
        <w:t>λ</w:t>
      </w:r>
      <w:r w:rsidR="007D5628">
        <w:rPr>
          <w:rFonts w:cs="Arial"/>
        </w:rPr>
        <w:t>λει στ</w:t>
      </w:r>
      <w:r w:rsidRPr="003E124F">
        <w:rPr>
          <w:rFonts w:cs="Arial"/>
        </w:rPr>
        <w:t xml:space="preserve">η φορολογική συμμόρφωση και </w:t>
      </w:r>
      <w:r w:rsidR="00906A98">
        <w:rPr>
          <w:rFonts w:cs="Arial"/>
        </w:rPr>
        <w:t>σ</w:t>
      </w:r>
      <w:r w:rsidRPr="003E124F">
        <w:rPr>
          <w:rFonts w:cs="Arial"/>
        </w:rPr>
        <w:t>τη συγκράτηση των τιμών των ενοικίων</w:t>
      </w:r>
      <w:r>
        <w:rPr>
          <w:rFonts w:cs="Arial"/>
        </w:rPr>
        <w:t>. Το δημοσιονομικό κόστος</w:t>
      </w:r>
      <w:r w:rsidR="009A28C7">
        <w:rPr>
          <w:rFonts w:cs="Arial"/>
        </w:rPr>
        <w:t xml:space="preserve"> </w:t>
      </w:r>
      <w:r w:rsidR="00906A98">
        <w:rPr>
          <w:rFonts w:cs="Arial"/>
        </w:rPr>
        <w:t>εκτιμάται σε</w:t>
      </w:r>
      <w:r>
        <w:rPr>
          <w:rFonts w:cs="Arial"/>
        </w:rPr>
        <w:t xml:space="preserve"> 90 εκατ. ευρώ ετησίως,</w:t>
      </w:r>
    </w:p>
    <w:p w14:paraId="4C2B2E5D" w14:textId="77777777" w:rsidR="005856E3" w:rsidRPr="00E83CCB" w:rsidRDefault="00DD4272" w:rsidP="00270C2C">
      <w:pPr>
        <w:numPr>
          <w:ilvl w:val="0"/>
          <w:numId w:val="1"/>
        </w:numPr>
        <w:spacing w:before="60" w:after="60"/>
        <w:ind w:left="568" w:hanging="284"/>
        <w:rPr>
          <w:rFonts w:cs="Arial"/>
        </w:rPr>
      </w:pPr>
      <w:r>
        <w:rPr>
          <w:rFonts w:cs="Arial"/>
        </w:rPr>
        <w:t>ε</w:t>
      </w:r>
      <w:r w:rsidR="005856E3" w:rsidRPr="00E83CCB">
        <w:rPr>
          <w:rFonts w:cs="Arial"/>
        </w:rPr>
        <w:t>π</w:t>
      </w:r>
      <w:r w:rsidR="008F2290">
        <w:rPr>
          <w:rFonts w:cs="Arial"/>
        </w:rPr>
        <w:t>έκταση τ</w:t>
      </w:r>
      <w:r w:rsidR="005856E3" w:rsidRPr="00E83CCB">
        <w:rPr>
          <w:rFonts w:cs="Arial"/>
        </w:rPr>
        <w:t>η</w:t>
      </w:r>
      <w:r w:rsidR="008F2290">
        <w:rPr>
          <w:rFonts w:cs="Arial"/>
        </w:rPr>
        <w:t>ς</w:t>
      </w:r>
      <w:r w:rsidR="005856E3" w:rsidRPr="00E83CCB">
        <w:rPr>
          <w:rFonts w:cs="Arial"/>
        </w:rPr>
        <w:t xml:space="preserve"> αναστολή</w:t>
      </w:r>
      <w:r w:rsidR="008F2290">
        <w:rPr>
          <w:rFonts w:cs="Arial"/>
        </w:rPr>
        <w:t>ς</w:t>
      </w:r>
      <w:r w:rsidR="005856E3" w:rsidRPr="00E83CCB">
        <w:rPr>
          <w:rFonts w:cs="Arial"/>
        </w:rPr>
        <w:t xml:space="preserve"> του ΦΠΑ στις νέες οικοδομές μέχρι το τέλος του 2026</w:t>
      </w:r>
      <w:r w:rsidR="008F2290">
        <w:rPr>
          <w:rFonts w:cs="Arial"/>
        </w:rPr>
        <w:t>,</w:t>
      </w:r>
      <w:r w:rsidR="005856E3" w:rsidRPr="00E83CCB">
        <w:rPr>
          <w:rFonts w:cs="Arial"/>
        </w:rPr>
        <w:t xml:space="preserve"> με ετήσιο κόστος 18 εκατ. ευρώ</w:t>
      </w:r>
      <w:r>
        <w:rPr>
          <w:rFonts w:cs="Arial"/>
        </w:rPr>
        <w:t>,</w:t>
      </w:r>
    </w:p>
    <w:p w14:paraId="2F9E84F2" w14:textId="77777777" w:rsidR="005856E3" w:rsidRPr="00E83CCB" w:rsidRDefault="00DD4272" w:rsidP="00270C2C">
      <w:pPr>
        <w:numPr>
          <w:ilvl w:val="0"/>
          <w:numId w:val="1"/>
        </w:numPr>
        <w:spacing w:before="60" w:after="60"/>
        <w:ind w:left="568" w:hanging="284"/>
        <w:rPr>
          <w:rFonts w:cs="Arial"/>
        </w:rPr>
      </w:pPr>
      <w:r>
        <w:rPr>
          <w:rFonts w:cs="Arial"/>
        </w:rPr>
        <w:t>π</w:t>
      </w:r>
      <w:r w:rsidR="005856E3" w:rsidRPr="00E83CCB">
        <w:rPr>
          <w:rFonts w:cs="Arial"/>
        </w:rPr>
        <w:t>αρ</w:t>
      </w:r>
      <w:r w:rsidR="008F2290">
        <w:rPr>
          <w:rFonts w:cs="Arial"/>
        </w:rPr>
        <w:t>άταση τ</w:t>
      </w:r>
      <w:r w:rsidR="005856E3" w:rsidRPr="00E83CCB">
        <w:rPr>
          <w:rFonts w:cs="Arial"/>
        </w:rPr>
        <w:t>η</w:t>
      </w:r>
      <w:r w:rsidR="008F2290">
        <w:rPr>
          <w:rFonts w:cs="Arial"/>
        </w:rPr>
        <w:t>ς</w:t>
      </w:r>
      <w:r w:rsidR="005856E3" w:rsidRPr="00E83CCB">
        <w:rPr>
          <w:rFonts w:cs="Arial"/>
        </w:rPr>
        <w:t xml:space="preserve"> μείωση</w:t>
      </w:r>
      <w:r w:rsidR="008F2290">
        <w:rPr>
          <w:rFonts w:cs="Arial"/>
        </w:rPr>
        <w:t>ς</w:t>
      </w:r>
      <w:r w:rsidR="005856E3" w:rsidRPr="00E83CCB">
        <w:rPr>
          <w:rFonts w:cs="Arial"/>
        </w:rPr>
        <w:t xml:space="preserve"> του φόρου εισοδήματος για δαπάνες αναβάθμισης κτ</w:t>
      </w:r>
      <w:r w:rsidR="008F2290">
        <w:rPr>
          <w:rFonts w:cs="Arial"/>
        </w:rPr>
        <w:t>η</w:t>
      </w:r>
      <w:r w:rsidR="005856E3" w:rsidRPr="00E83CCB">
        <w:rPr>
          <w:rFonts w:cs="Arial"/>
        </w:rPr>
        <w:t>ρίων για τα έτη 2025 και 2026</w:t>
      </w:r>
      <w:r w:rsidR="008F2290">
        <w:rPr>
          <w:rFonts w:cs="Arial"/>
        </w:rPr>
        <w:t>,</w:t>
      </w:r>
      <w:r w:rsidR="005856E3" w:rsidRPr="00E83CCB">
        <w:rPr>
          <w:rFonts w:cs="Arial"/>
        </w:rPr>
        <w:t xml:space="preserve"> με εκτιμώμενο κόστος 5 εκατ. ευρώ</w:t>
      </w:r>
      <w:r>
        <w:rPr>
          <w:rFonts w:cs="Arial"/>
        </w:rPr>
        <w:t>,</w:t>
      </w:r>
    </w:p>
    <w:p w14:paraId="6F5F059D" w14:textId="4EEF2A65" w:rsidR="005856E3" w:rsidRPr="00E83CCB" w:rsidRDefault="00DD4272" w:rsidP="00270C2C">
      <w:pPr>
        <w:numPr>
          <w:ilvl w:val="0"/>
          <w:numId w:val="1"/>
        </w:numPr>
        <w:spacing w:before="60" w:after="60"/>
        <w:ind w:left="568" w:hanging="284"/>
        <w:rPr>
          <w:rFonts w:cs="Arial"/>
        </w:rPr>
      </w:pPr>
      <w:r>
        <w:rPr>
          <w:rFonts w:cs="Arial"/>
        </w:rPr>
        <w:t>ε</w:t>
      </w:r>
      <w:r w:rsidR="005856E3" w:rsidRPr="00E83CCB">
        <w:rPr>
          <w:rFonts w:cs="Arial"/>
        </w:rPr>
        <w:t>π</w:t>
      </w:r>
      <w:r w:rsidR="008F2290">
        <w:rPr>
          <w:rFonts w:cs="Arial"/>
        </w:rPr>
        <w:t xml:space="preserve">έκταση </w:t>
      </w:r>
      <w:r w:rsidR="005856E3" w:rsidRPr="00E83CCB">
        <w:rPr>
          <w:rFonts w:cs="Arial"/>
        </w:rPr>
        <w:t>για το</w:t>
      </w:r>
      <w:r w:rsidR="008F2290">
        <w:rPr>
          <w:rFonts w:cs="Arial"/>
        </w:rPr>
        <w:t xml:space="preserve"> έτος</w:t>
      </w:r>
      <w:r w:rsidR="005856E3" w:rsidRPr="00E83CCB">
        <w:rPr>
          <w:rFonts w:cs="Arial"/>
        </w:rPr>
        <w:t xml:space="preserve"> 2026 </w:t>
      </w:r>
      <w:r w:rsidR="008F2290">
        <w:rPr>
          <w:rFonts w:cs="Arial"/>
        </w:rPr>
        <w:t>τ</w:t>
      </w:r>
      <w:r w:rsidR="005856E3" w:rsidRPr="00E83CCB">
        <w:rPr>
          <w:rFonts w:cs="Arial"/>
        </w:rPr>
        <w:t>ο</w:t>
      </w:r>
      <w:r w:rsidR="008F2290">
        <w:rPr>
          <w:rFonts w:cs="Arial"/>
        </w:rPr>
        <w:t>υ</w:t>
      </w:r>
      <w:r w:rsidR="005856E3" w:rsidRPr="00E83CCB">
        <w:rPr>
          <w:rFonts w:cs="Arial"/>
        </w:rPr>
        <w:t xml:space="preserve"> περιορισμ</w:t>
      </w:r>
      <w:r w:rsidR="00DF3F12">
        <w:rPr>
          <w:rFonts w:cs="Arial"/>
        </w:rPr>
        <w:t xml:space="preserve">ού </w:t>
      </w:r>
      <w:r w:rsidR="005856E3" w:rsidRPr="00E83CCB">
        <w:rPr>
          <w:rFonts w:cs="Arial"/>
        </w:rPr>
        <w:t>νέων βραχυχρόνιων μισθώσεων στα τρία δημοτικά διαμερίσματα της Αθήνας</w:t>
      </w:r>
      <w:r w:rsidR="009A28C7">
        <w:rPr>
          <w:rFonts w:cs="Arial"/>
        </w:rPr>
        <w:t xml:space="preserve"> και</w:t>
      </w:r>
    </w:p>
    <w:p w14:paraId="2B673FBD" w14:textId="14974171" w:rsidR="005856E3" w:rsidRPr="00E83CCB" w:rsidRDefault="00DD4272" w:rsidP="009A28C7">
      <w:pPr>
        <w:numPr>
          <w:ilvl w:val="0"/>
          <w:numId w:val="1"/>
        </w:numPr>
        <w:spacing w:before="60"/>
        <w:ind w:left="568" w:hanging="284"/>
        <w:rPr>
          <w:rFonts w:cs="Arial"/>
        </w:rPr>
      </w:pPr>
      <w:r>
        <w:rPr>
          <w:rFonts w:cs="Arial"/>
        </w:rPr>
        <w:t>θ</w:t>
      </w:r>
      <w:r w:rsidR="00DF3F12">
        <w:rPr>
          <w:rFonts w:cs="Arial"/>
        </w:rPr>
        <w:t xml:space="preserve">έσπιση </w:t>
      </w:r>
      <w:r w:rsidR="005856E3" w:rsidRPr="00E83CCB">
        <w:rPr>
          <w:rFonts w:cs="Arial"/>
        </w:rPr>
        <w:t>νέο</w:t>
      </w:r>
      <w:r w:rsidR="00DF3F12">
        <w:rPr>
          <w:rFonts w:cs="Arial"/>
        </w:rPr>
        <w:t>υ</w:t>
      </w:r>
      <w:r w:rsidR="005856E3" w:rsidRPr="00E83CCB">
        <w:rPr>
          <w:rFonts w:cs="Arial"/>
        </w:rPr>
        <w:t xml:space="preserve"> πλα</w:t>
      </w:r>
      <w:r w:rsidR="00DF3F12">
        <w:rPr>
          <w:rFonts w:cs="Arial"/>
        </w:rPr>
        <w:t xml:space="preserve">ισίου </w:t>
      </w:r>
      <w:r w:rsidR="009A28C7">
        <w:rPr>
          <w:rFonts w:cs="Arial"/>
        </w:rPr>
        <w:t xml:space="preserve">κοινωνικής αντιπαροχής </w:t>
      </w:r>
      <w:r w:rsidR="00DF3F12">
        <w:rPr>
          <w:rFonts w:cs="Arial"/>
        </w:rPr>
        <w:t>σχετικά με τ</w:t>
      </w:r>
      <w:r w:rsidR="005856E3" w:rsidRPr="00E83CCB">
        <w:rPr>
          <w:rFonts w:cs="Arial"/>
        </w:rPr>
        <w:t>ην αξιοποίηση της δημόσιας ακίνητης περιουσίας για την κατασκευή σύγχρονων κοινωνικών κατοικιών, με στόχο την εξασφάλιση κοινωνικής μίσθωσης σε ευάλωτες ομάδες</w:t>
      </w:r>
      <w:r w:rsidR="009A28C7">
        <w:rPr>
          <w:rFonts w:cs="Arial"/>
        </w:rPr>
        <w:t>.</w:t>
      </w:r>
    </w:p>
    <w:p w14:paraId="582246C8" w14:textId="77777777" w:rsidR="002F0CDA" w:rsidRPr="00690370" w:rsidRDefault="002F0CDA" w:rsidP="00DC6F26">
      <w:pPr>
        <w:pStyle w:val="5"/>
        <w:keepNext w:val="0"/>
        <w:numPr>
          <w:ilvl w:val="0"/>
          <w:numId w:val="0"/>
        </w:numPr>
        <w:spacing w:before="360" w:after="240"/>
      </w:pPr>
      <w:bookmarkStart w:id="308" w:name="_Toc209798260"/>
      <w:bookmarkStart w:id="309" w:name="_Toc210055427"/>
      <w:bookmarkStart w:id="310" w:name="_Toc210059723"/>
      <w:bookmarkStart w:id="311" w:name="_Toc210218234"/>
      <w:bookmarkStart w:id="312" w:name="_Toc210394917"/>
      <w:bookmarkStart w:id="313" w:name="_Toc210494447"/>
      <w:bookmarkStart w:id="314" w:name="_Toc210570639"/>
      <w:bookmarkStart w:id="315" w:name="_Toc210570684"/>
      <w:r w:rsidRPr="00690370">
        <w:t>Κατάργηση ΕΝΦΙΑ σε οικισμούς</w:t>
      </w:r>
      <w:r w:rsidR="00690370">
        <w:rPr>
          <w:lang w:val="el-GR"/>
        </w:rPr>
        <w:t xml:space="preserve"> με πληθυσμό </w:t>
      </w:r>
      <w:r w:rsidRPr="00690370">
        <w:t>έως 1.500 κατοίκους</w:t>
      </w:r>
      <w:bookmarkEnd w:id="308"/>
      <w:bookmarkEnd w:id="309"/>
      <w:bookmarkEnd w:id="310"/>
      <w:bookmarkEnd w:id="311"/>
      <w:bookmarkEnd w:id="312"/>
      <w:bookmarkEnd w:id="313"/>
      <w:bookmarkEnd w:id="314"/>
      <w:bookmarkEnd w:id="315"/>
    </w:p>
    <w:p w14:paraId="36025241" w14:textId="2A9E0153" w:rsidR="002F0CDA" w:rsidRPr="00C1357B" w:rsidRDefault="002F0CDA" w:rsidP="00C1357B">
      <w:r w:rsidRPr="00C1357B">
        <w:t>Από το 2026 ο ΕΝΦΙΑ μειώνεται κατά 50%</w:t>
      </w:r>
      <w:r w:rsidR="00690370">
        <w:t>,</w:t>
      </w:r>
      <w:r w:rsidRPr="00C1357B">
        <w:t xml:space="preserve"> ενώ από το 2027 ο φόρος καταργείται πλήρως για κύριες κατοικίες σε οικισμούς με πληθυσμό έως 1.500 κατοίκους</w:t>
      </w:r>
      <w:r w:rsidR="00A82132">
        <w:t>,</w:t>
      </w:r>
      <w:r w:rsidRPr="00C1357B">
        <w:t xml:space="preserve"> εξαιρουμένων των οικισμών της Αττικής (πλην των νησιών).</w:t>
      </w:r>
      <w:r w:rsidR="00690370">
        <w:t xml:space="preserve"> </w:t>
      </w:r>
      <w:r w:rsidRPr="00C1357B">
        <w:t xml:space="preserve">Το μέτρο αφορά περίπου </w:t>
      </w:r>
      <w:r w:rsidR="00690370">
        <w:t xml:space="preserve">σε </w:t>
      </w:r>
      <w:r w:rsidRPr="00C1357B">
        <w:t>1 εκατομμύριο ακίνητα</w:t>
      </w:r>
      <w:r w:rsidR="00703EF9">
        <w:t xml:space="preserve"> εντός 1</w:t>
      </w:r>
      <w:r w:rsidRPr="00C1357B">
        <w:t>2.720 οικισμ</w:t>
      </w:r>
      <w:r w:rsidR="00703EF9">
        <w:t>ών</w:t>
      </w:r>
      <w:r w:rsidRPr="00C1357B">
        <w:t xml:space="preserve"> (σε σύνολο 13.586 οικισμών) της χώρας</w:t>
      </w:r>
      <w:r w:rsidR="00703EF9">
        <w:t>,</w:t>
      </w:r>
      <w:r w:rsidRPr="00C1357B">
        <w:t xml:space="preserve"> με ετήσιο κόστος 75 εκατ. ευρώ</w:t>
      </w:r>
      <w:r w:rsidR="00703EF9">
        <w:t xml:space="preserve"> </w:t>
      </w:r>
      <w:r w:rsidR="00703EF9" w:rsidRPr="00C1357B">
        <w:t>περίπου</w:t>
      </w:r>
      <w:r w:rsidRPr="00C1357B">
        <w:t>.</w:t>
      </w:r>
      <w:r w:rsidR="009F0808">
        <w:t xml:space="preserve"> Σημειώνεται ότι η αποκέντρωση συνδέεται άμεσα και με το στεγαστικό πρόβλημα</w:t>
      </w:r>
      <w:r w:rsidR="00067592">
        <w:t>,</w:t>
      </w:r>
      <w:r w:rsidR="009F0808">
        <w:t xml:space="preserve"> </w:t>
      </w:r>
      <w:r w:rsidR="007C1188">
        <w:t>κατά τα ως άνω</w:t>
      </w:r>
      <w:r w:rsidR="009F0808">
        <w:t>.</w:t>
      </w:r>
    </w:p>
    <w:p w14:paraId="121A5B29" w14:textId="77777777" w:rsidR="002F0CDA" w:rsidRPr="00AF4A66" w:rsidRDefault="002F0CDA" w:rsidP="003F544B">
      <w:pPr>
        <w:pStyle w:val="5"/>
        <w:numPr>
          <w:ilvl w:val="0"/>
          <w:numId w:val="0"/>
        </w:numPr>
        <w:spacing w:before="360" w:after="240"/>
      </w:pPr>
      <w:bookmarkStart w:id="316" w:name="_Toc209798261"/>
      <w:bookmarkStart w:id="317" w:name="_Toc210055428"/>
      <w:bookmarkStart w:id="318" w:name="_Toc210059724"/>
      <w:bookmarkStart w:id="319" w:name="_Toc210218235"/>
      <w:bookmarkStart w:id="320" w:name="_Toc210394918"/>
      <w:bookmarkStart w:id="321" w:name="_Toc210494448"/>
      <w:bookmarkStart w:id="322" w:name="_Toc210570640"/>
      <w:bookmarkStart w:id="323" w:name="_Toc210570685"/>
      <w:r w:rsidRPr="00AF4A66">
        <w:lastRenderedPageBreak/>
        <w:t xml:space="preserve">Μείωση ΦΠΑ </w:t>
      </w:r>
      <w:r w:rsidR="00970494">
        <w:rPr>
          <w:lang w:val="el-GR"/>
        </w:rPr>
        <w:t xml:space="preserve">κατά </w:t>
      </w:r>
      <w:r w:rsidRPr="00AF4A66">
        <w:t>30% στα ακριτικά νησιά του Αιγαίου</w:t>
      </w:r>
      <w:bookmarkEnd w:id="316"/>
      <w:bookmarkEnd w:id="317"/>
      <w:bookmarkEnd w:id="318"/>
      <w:bookmarkEnd w:id="319"/>
      <w:bookmarkEnd w:id="320"/>
      <w:bookmarkEnd w:id="321"/>
      <w:bookmarkEnd w:id="322"/>
      <w:bookmarkEnd w:id="323"/>
    </w:p>
    <w:p w14:paraId="1827FBAE" w14:textId="1F607CBD" w:rsidR="002F0CDA" w:rsidRDefault="002F0CDA" w:rsidP="00C1357B">
      <w:r w:rsidRPr="00C1357B">
        <w:t xml:space="preserve">Από την </w:t>
      </w:r>
      <w:r w:rsidR="00970494">
        <w:t>0</w:t>
      </w:r>
      <w:r w:rsidRPr="00C1357B">
        <w:t>1</w:t>
      </w:r>
      <w:r w:rsidR="00970494">
        <w:t>η.01.2026</w:t>
      </w:r>
      <w:r w:rsidRPr="00C1357B">
        <w:t xml:space="preserve"> ο ΦΠΑ μειώνεται κατά 30% στα νησιά της </w:t>
      </w:r>
      <w:r w:rsidR="007C1188">
        <w:t>π</w:t>
      </w:r>
      <w:r w:rsidRPr="00C1357B">
        <w:t xml:space="preserve">εριφέρειας </w:t>
      </w:r>
      <w:r w:rsidR="007C1188">
        <w:t xml:space="preserve">του </w:t>
      </w:r>
      <w:r w:rsidRPr="00C1357B">
        <w:t xml:space="preserve">Βορείου Αιγαίου, του </w:t>
      </w:r>
      <w:r w:rsidR="00E25689">
        <w:t>ν</w:t>
      </w:r>
      <w:r w:rsidRPr="00C1357B">
        <w:t xml:space="preserve">ομού Έβρου (Σαμοθράκη) και του </w:t>
      </w:r>
      <w:r w:rsidR="00E25689">
        <w:t>ν</w:t>
      </w:r>
      <w:r w:rsidRPr="00C1357B">
        <w:t xml:space="preserve">ομού Δωδεκανήσων με πληθυσμό έως 20.000 κατοίκους. Το ετήσιο κόστος του μέτρου υπολογίζεται σε 25 εκατ. ευρώ και </w:t>
      </w:r>
      <w:r w:rsidR="00970494">
        <w:t>αποσκοπεί στη</w:t>
      </w:r>
      <w:r w:rsidRPr="00C1357B">
        <w:t xml:space="preserve">ν ενίσχυση της οικιστικής και </w:t>
      </w:r>
      <w:r w:rsidR="00970494">
        <w:t xml:space="preserve">της </w:t>
      </w:r>
      <w:r w:rsidRPr="00C1357B">
        <w:t>επιχειρηματικής δραστηριότητας στις εν λόγω περιοχές.</w:t>
      </w:r>
    </w:p>
    <w:p w14:paraId="0FF3D7D0" w14:textId="77777777" w:rsidR="00895207" w:rsidRPr="005328EB" w:rsidRDefault="00895207" w:rsidP="00DC6F26">
      <w:pPr>
        <w:pStyle w:val="5"/>
        <w:keepNext w:val="0"/>
        <w:numPr>
          <w:ilvl w:val="0"/>
          <w:numId w:val="0"/>
        </w:numPr>
        <w:spacing w:before="360" w:after="240"/>
      </w:pPr>
      <w:bookmarkStart w:id="324" w:name="_Toc209798259"/>
      <w:bookmarkStart w:id="325" w:name="_Toc210055426"/>
      <w:bookmarkStart w:id="326" w:name="_Toc210059722"/>
      <w:bookmarkStart w:id="327" w:name="_Toc210218233"/>
      <w:bookmarkStart w:id="328" w:name="_Toc210394919"/>
      <w:bookmarkStart w:id="329" w:name="_Toc210494449"/>
      <w:bookmarkStart w:id="330" w:name="_Toc210570641"/>
      <w:bookmarkStart w:id="331" w:name="_Toc210570686"/>
      <w:r w:rsidRPr="005328EB">
        <w:t>Αναμόρφωση</w:t>
      </w:r>
      <w:r>
        <w:rPr>
          <w:lang w:val="el-GR"/>
        </w:rPr>
        <w:t xml:space="preserve"> τεκμηρίων δια</w:t>
      </w:r>
      <w:r w:rsidRPr="005328EB">
        <w:t>βίωσης</w:t>
      </w:r>
      <w:bookmarkEnd w:id="324"/>
      <w:bookmarkEnd w:id="325"/>
      <w:bookmarkEnd w:id="326"/>
      <w:bookmarkEnd w:id="327"/>
      <w:bookmarkEnd w:id="328"/>
      <w:bookmarkEnd w:id="329"/>
      <w:bookmarkEnd w:id="330"/>
      <w:bookmarkEnd w:id="331"/>
    </w:p>
    <w:p w14:paraId="18AB0B0D" w14:textId="0AA5A100" w:rsidR="00895207" w:rsidRPr="00AB5252" w:rsidRDefault="00895207" w:rsidP="00895207">
      <w:r w:rsidRPr="00AB5252">
        <w:t>Θεσπίζονται μεταρρυθμίσεις σχετικά με τα τεκμήρια διαβίωσης με στόχο τη μείωση της φορολογικής επιβάρυνσης για περίπου 477.000 φορολογούμενους</w:t>
      </w:r>
      <w:r>
        <w:t xml:space="preserve">, </w:t>
      </w:r>
      <w:r w:rsidRPr="00AB5252">
        <w:t>ετήσιο</w:t>
      </w:r>
      <w:r>
        <w:t>υ</w:t>
      </w:r>
      <w:r w:rsidRPr="00AB5252">
        <w:t xml:space="preserve"> κόστο</w:t>
      </w:r>
      <w:r>
        <w:t>υ</w:t>
      </w:r>
      <w:r w:rsidRPr="00AB5252">
        <w:t>ς 40 εκατ. ευρώ.</w:t>
      </w:r>
    </w:p>
    <w:p w14:paraId="74D3A5F2" w14:textId="77777777" w:rsidR="00895207" w:rsidRPr="007C63B1" w:rsidRDefault="00895207" w:rsidP="00895207">
      <w:pPr>
        <w:spacing w:before="120"/>
        <w:rPr>
          <w:rFonts w:ascii="Calibri" w:hAnsi="Calibri" w:cs="Calibri"/>
        </w:rPr>
      </w:pPr>
      <w:r w:rsidRPr="00AB5252">
        <w:t>Ειδικότερα</w:t>
      </w:r>
      <w:r>
        <w:t>, οι εν λόγω μεταρρυθμίσεις συνίστανται στα ακόλουθα</w:t>
      </w:r>
      <w:r w:rsidRPr="007C63B1">
        <w:rPr>
          <w:rFonts w:ascii="Calibri" w:hAnsi="Calibri" w:cs="Calibri"/>
        </w:rPr>
        <w:t>:</w:t>
      </w:r>
    </w:p>
    <w:p w14:paraId="769225E7" w14:textId="629539C6" w:rsidR="00895207" w:rsidRPr="00AB5252" w:rsidRDefault="00895207" w:rsidP="00895207">
      <w:pPr>
        <w:numPr>
          <w:ilvl w:val="0"/>
          <w:numId w:val="1"/>
        </w:numPr>
        <w:spacing w:before="120" w:after="60"/>
        <w:ind w:left="568" w:hanging="284"/>
        <w:rPr>
          <w:rFonts w:cs="Arial"/>
        </w:rPr>
      </w:pPr>
      <w:r>
        <w:rPr>
          <w:rFonts w:cs="Arial"/>
        </w:rPr>
        <w:t>μ</w:t>
      </w:r>
      <w:r w:rsidRPr="00AB5252">
        <w:rPr>
          <w:rFonts w:cs="Arial"/>
        </w:rPr>
        <w:t>ε</w:t>
      </w:r>
      <w:r>
        <w:rPr>
          <w:rFonts w:cs="Arial"/>
        </w:rPr>
        <w:t xml:space="preserve">ίωση των </w:t>
      </w:r>
      <w:r w:rsidRPr="00AB5252">
        <w:rPr>
          <w:rFonts w:cs="Arial"/>
        </w:rPr>
        <w:t>συντελεστ</w:t>
      </w:r>
      <w:r>
        <w:rPr>
          <w:rFonts w:cs="Arial"/>
        </w:rPr>
        <w:t>ών</w:t>
      </w:r>
      <w:r w:rsidRPr="00AB5252">
        <w:rPr>
          <w:rFonts w:cs="Arial"/>
        </w:rPr>
        <w:t xml:space="preserve"> που προσδιορίζουν τις αντικειμενικές δαπάνες για κατοικίες</w:t>
      </w:r>
      <w:r w:rsidR="005D0D9C">
        <w:rPr>
          <w:rFonts w:cs="Arial"/>
        </w:rPr>
        <w:t xml:space="preserve">, η οποία κυμαίνεται από </w:t>
      </w:r>
      <w:r w:rsidR="009F0808">
        <w:rPr>
          <w:rFonts w:cs="Arial"/>
        </w:rPr>
        <w:t>30% έως 35%</w:t>
      </w:r>
      <w:r>
        <w:rPr>
          <w:rFonts w:cs="Arial"/>
        </w:rPr>
        <w:t>,</w:t>
      </w:r>
    </w:p>
    <w:p w14:paraId="5FC50BD2" w14:textId="49358DEF" w:rsidR="00895207" w:rsidRPr="00AB5252" w:rsidRDefault="00895207" w:rsidP="00895207">
      <w:pPr>
        <w:numPr>
          <w:ilvl w:val="0"/>
          <w:numId w:val="1"/>
        </w:numPr>
        <w:spacing w:before="60" w:after="60"/>
        <w:ind w:left="568" w:hanging="284"/>
        <w:rPr>
          <w:rFonts w:cs="Arial"/>
        </w:rPr>
      </w:pPr>
      <w:r>
        <w:t xml:space="preserve">υπολογισμός της </w:t>
      </w:r>
      <w:r w:rsidRPr="00AB5252">
        <w:t>τεκμαρτή</w:t>
      </w:r>
      <w:r>
        <w:t xml:space="preserve">ς </w:t>
      </w:r>
      <w:r w:rsidRPr="00AB5252">
        <w:t>δαπάνη</w:t>
      </w:r>
      <w:r>
        <w:t>ς</w:t>
      </w:r>
      <w:r w:rsidRPr="00AB5252">
        <w:t xml:space="preserve"> για τα αυτοκίνητα που ταξινομήθηκαν μετά την </w:t>
      </w:r>
      <w:r>
        <w:t>01η.11.</w:t>
      </w:r>
      <w:r w:rsidRPr="00AB5252">
        <w:t>2010</w:t>
      </w:r>
      <w:r>
        <w:t xml:space="preserve"> </w:t>
      </w:r>
      <w:r w:rsidRPr="00AB5252">
        <w:t xml:space="preserve">με βάση </w:t>
      </w:r>
      <w:r>
        <w:t xml:space="preserve">εφεξής </w:t>
      </w:r>
      <w:r w:rsidRPr="00AB5252">
        <w:t xml:space="preserve">τις εκπομπές </w:t>
      </w:r>
      <w:r>
        <w:t xml:space="preserve">διοξειδίου του άνθρακα </w:t>
      </w:r>
      <w:r w:rsidRPr="00AB5252">
        <w:t>(κατ’ αναλογία</w:t>
      </w:r>
      <w:r w:rsidRPr="00AB5252" w:rsidDel="00790839">
        <w:t xml:space="preserve"> </w:t>
      </w:r>
      <w:r w:rsidRPr="00AB5252">
        <w:t xml:space="preserve">με τα τέλη κυκλοφορίας) </w:t>
      </w:r>
      <w:r>
        <w:t xml:space="preserve">και όχι με βάση </w:t>
      </w:r>
      <w:r w:rsidRPr="00AB5252">
        <w:t>τα κυβικά εκατοστά</w:t>
      </w:r>
      <w:r>
        <w:t xml:space="preserve">. Η εν λόγω παρέμβαση </w:t>
      </w:r>
      <w:r w:rsidRPr="00AB5252">
        <w:t>ευνο</w:t>
      </w:r>
      <w:r>
        <w:t xml:space="preserve">εί </w:t>
      </w:r>
      <w:r w:rsidRPr="00AB5252">
        <w:t>την αγορά νεότερων οχημάτων</w:t>
      </w:r>
      <w:r w:rsidR="005E0403">
        <w:t>,</w:t>
      </w:r>
      <w:r>
        <w:t xml:space="preserve"> </w:t>
      </w:r>
      <w:r w:rsidR="009F0808">
        <w:t>κάτω της δεκαετίας</w:t>
      </w:r>
      <w:r w:rsidR="005E0403">
        <w:t>,</w:t>
      </w:r>
      <w:r w:rsidR="008C0B5B">
        <w:t xml:space="preserve"> με χαμηλότερες εκπομπές ρύπων</w:t>
      </w:r>
      <w:r w:rsidR="009F0808">
        <w:t>,</w:t>
      </w:r>
    </w:p>
    <w:p w14:paraId="25636FB3" w14:textId="4C0E0BC8" w:rsidR="00895207" w:rsidRDefault="00895207" w:rsidP="009F0808">
      <w:pPr>
        <w:numPr>
          <w:ilvl w:val="0"/>
          <w:numId w:val="2"/>
        </w:numPr>
        <w:spacing w:before="60" w:after="60"/>
        <w:ind w:left="568" w:hanging="284"/>
      </w:pPr>
      <w:r>
        <w:t xml:space="preserve">μείωση της </w:t>
      </w:r>
      <w:r w:rsidRPr="00AB5252">
        <w:t>τεκμαρτή</w:t>
      </w:r>
      <w:r>
        <w:t>ς</w:t>
      </w:r>
      <w:r w:rsidRPr="00AB5252">
        <w:t xml:space="preserve"> δαπάνη</w:t>
      </w:r>
      <w:r>
        <w:t>ς</w:t>
      </w:r>
      <w:r w:rsidRPr="00AB5252">
        <w:t xml:space="preserve"> για τα νεότερα</w:t>
      </w:r>
      <w:r w:rsidR="00A921D3">
        <w:t xml:space="preserve"> σκάφη</w:t>
      </w:r>
      <w:r w:rsidRPr="00AB5252">
        <w:t xml:space="preserve"> </w:t>
      </w:r>
      <w:r w:rsidR="009F0808">
        <w:t>στα χαμηλότερα επίπεδα</w:t>
      </w:r>
      <w:r w:rsidR="005D0D9C">
        <w:t>,</w:t>
      </w:r>
      <w:r w:rsidR="009F0808">
        <w:t xml:space="preserve"> </w:t>
      </w:r>
      <w:r w:rsidR="005D0D9C">
        <w:t>όπως ισχύει</w:t>
      </w:r>
      <w:r w:rsidR="009F0808">
        <w:t xml:space="preserve"> για τα παλαιότερα</w:t>
      </w:r>
      <w:r w:rsidR="005D0D9C">
        <w:t xml:space="preserve"> σκάφη</w:t>
      </w:r>
      <w:r w:rsidR="009F0808">
        <w:t xml:space="preserve"> και</w:t>
      </w:r>
    </w:p>
    <w:p w14:paraId="5AC6EBE0" w14:textId="65447C5D" w:rsidR="009F0808" w:rsidRPr="00AB5252" w:rsidRDefault="009F0808" w:rsidP="009F0808">
      <w:pPr>
        <w:numPr>
          <w:ilvl w:val="0"/>
          <w:numId w:val="2"/>
        </w:numPr>
        <w:spacing w:before="60"/>
        <w:ind w:left="568" w:hanging="284"/>
      </w:pPr>
      <w:r>
        <w:t>εξαίρεση</w:t>
      </w:r>
      <w:r w:rsidRPr="00122DE4">
        <w:t xml:space="preserve"> από την ελάχιστη αντικειμενική δαπάνη τ</w:t>
      </w:r>
      <w:r>
        <w:t>ων</w:t>
      </w:r>
      <w:r w:rsidRPr="00122DE4">
        <w:t xml:space="preserve"> εξαρτώμεν</w:t>
      </w:r>
      <w:r>
        <w:t>ων</w:t>
      </w:r>
      <w:r w:rsidRPr="00122DE4">
        <w:t xml:space="preserve"> τέκν</w:t>
      </w:r>
      <w:r>
        <w:t>ων</w:t>
      </w:r>
      <w:r w:rsidRPr="00122DE4">
        <w:t xml:space="preserve"> που έχουν ίδιο εισόδημα.</w:t>
      </w:r>
    </w:p>
    <w:p w14:paraId="50EEF623" w14:textId="77777777" w:rsidR="002F0CDA" w:rsidRDefault="002F0CDA" w:rsidP="00DC6F26">
      <w:pPr>
        <w:pStyle w:val="5"/>
        <w:keepNext w:val="0"/>
        <w:numPr>
          <w:ilvl w:val="0"/>
          <w:numId w:val="0"/>
        </w:numPr>
        <w:spacing w:before="360" w:after="240"/>
      </w:pPr>
      <w:bookmarkStart w:id="332" w:name="_Toc209798262"/>
      <w:bookmarkStart w:id="333" w:name="_Toc210055429"/>
      <w:bookmarkStart w:id="334" w:name="_Toc210059725"/>
      <w:bookmarkStart w:id="335" w:name="_Toc210218236"/>
      <w:bookmarkStart w:id="336" w:name="_Toc210394920"/>
      <w:bookmarkStart w:id="337" w:name="_Toc210494450"/>
      <w:bookmarkStart w:id="338" w:name="_Toc210570642"/>
      <w:bookmarkStart w:id="339" w:name="_Toc210570687"/>
      <w:r w:rsidRPr="00AF4A66">
        <w:t>Ενίσχυση</w:t>
      </w:r>
      <w:r w:rsidR="0046178F">
        <w:rPr>
          <w:lang w:val="el-GR"/>
        </w:rPr>
        <w:t xml:space="preserve"> επενδύσεων</w:t>
      </w:r>
      <w:bookmarkEnd w:id="332"/>
      <w:bookmarkEnd w:id="333"/>
      <w:bookmarkEnd w:id="334"/>
      <w:bookmarkEnd w:id="335"/>
      <w:bookmarkEnd w:id="336"/>
      <w:bookmarkEnd w:id="337"/>
      <w:bookmarkEnd w:id="338"/>
      <w:bookmarkEnd w:id="339"/>
    </w:p>
    <w:p w14:paraId="7A6571D5" w14:textId="56D60CA2" w:rsidR="00970494" w:rsidRPr="00970494" w:rsidRDefault="00970494" w:rsidP="00970494">
      <w:pPr>
        <w:rPr>
          <w:lang w:eastAsia="x-none"/>
        </w:rPr>
      </w:pPr>
      <w:r>
        <w:rPr>
          <w:lang w:eastAsia="x-none"/>
        </w:rPr>
        <w:t xml:space="preserve">Οι παρεμβάσεις που αποβλέπουν στην ενίσχυση των </w:t>
      </w:r>
      <w:r w:rsidR="00DC4F29">
        <w:rPr>
          <w:lang w:eastAsia="x-none"/>
        </w:rPr>
        <w:t xml:space="preserve">ιδιωτικών </w:t>
      </w:r>
      <w:r>
        <w:rPr>
          <w:lang w:eastAsia="x-none"/>
        </w:rPr>
        <w:t>επενδύσεων είναι οι ακόλουθες:</w:t>
      </w:r>
    </w:p>
    <w:p w14:paraId="20CCDF68" w14:textId="22554F3A" w:rsidR="002F0CDA" w:rsidRPr="00AB5252" w:rsidRDefault="001365B7" w:rsidP="00270C2C">
      <w:pPr>
        <w:numPr>
          <w:ilvl w:val="0"/>
          <w:numId w:val="1"/>
        </w:numPr>
        <w:spacing w:before="120" w:after="60"/>
        <w:ind w:left="568" w:hanging="284"/>
        <w:rPr>
          <w:rFonts w:cs="Arial"/>
        </w:rPr>
      </w:pPr>
      <w:r>
        <w:rPr>
          <w:rFonts w:cs="Arial"/>
        </w:rPr>
        <w:t xml:space="preserve">αύξηση του </w:t>
      </w:r>
      <w:r w:rsidR="00C1357B">
        <w:rPr>
          <w:rFonts w:cs="Arial"/>
        </w:rPr>
        <w:t>ε</w:t>
      </w:r>
      <w:r w:rsidR="002F0CDA" w:rsidRPr="00AB5252">
        <w:rPr>
          <w:rFonts w:cs="Arial"/>
        </w:rPr>
        <w:t>θνικ</w:t>
      </w:r>
      <w:r>
        <w:rPr>
          <w:rFonts w:cs="Arial"/>
        </w:rPr>
        <w:t>ού</w:t>
      </w:r>
      <w:r w:rsidR="002F0CDA" w:rsidRPr="00AB5252">
        <w:rPr>
          <w:rFonts w:cs="Arial"/>
        </w:rPr>
        <w:t xml:space="preserve"> σκέλο</w:t>
      </w:r>
      <w:r>
        <w:rPr>
          <w:rFonts w:cs="Arial"/>
        </w:rPr>
        <w:t>υ</w:t>
      </w:r>
      <w:r w:rsidR="002F0CDA" w:rsidRPr="00AB5252">
        <w:rPr>
          <w:rFonts w:cs="Arial"/>
        </w:rPr>
        <w:t xml:space="preserve">ς του </w:t>
      </w:r>
      <w:r w:rsidR="00C1357B">
        <w:rPr>
          <w:rFonts w:cs="Arial"/>
        </w:rPr>
        <w:t>π</w:t>
      </w:r>
      <w:r w:rsidR="002F0CDA" w:rsidRPr="00AB5252">
        <w:rPr>
          <w:rFonts w:cs="Arial"/>
        </w:rPr>
        <w:t xml:space="preserve">ροϋπολογισμού </w:t>
      </w:r>
      <w:r w:rsidR="00C1357B">
        <w:rPr>
          <w:rFonts w:cs="Arial"/>
        </w:rPr>
        <w:t>δ</w:t>
      </w:r>
      <w:r w:rsidR="002F0CDA" w:rsidRPr="00AB5252">
        <w:rPr>
          <w:rFonts w:cs="Arial"/>
        </w:rPr>
        <w:t xml:space="preserve">ημοσίων </w:t>
      </w:r>
      <w:r w:rsidR="00C1357B">
        <w:rPr>
          <w:rFonts w:cs="Arial"/>
        </w:rPr>
        <w:t>ε</w:t>
      </w:r>
      <w:r w:rsidR="002F0CDA" w:rsidRPr="00AB5252">
        <w:rPr>
          <w:rFonts w:cs="Arial"/>
        </w:rPr>
        <w:t xml:space="preserve">πενδύσεων κατά 500 εκατ. ευρώ σε μόνιμη βάση από το 2025, </w:t>
      </w:r>
      <w:r>
        <w:rPr>
          <w:rFonts w:cs="Arial"/>
        </w:rPr>
        <w:t>ανερχόμενου σε</w:t>
      </w:r>
      <w:r w:rsidR="002F0CDA" w:rsidRPr="00AB5252">
        <w:rPr>
          <w:rFonts w:cs="Arial"/>
        </w:rPr>
        <w:t xml:space="preserve"> 3,3 δισ. ευρώ το 2026</w:t>
      </w:r>
      <w:r w:rsidR="00DC4F29">
        <w:rPr>
          <w:rFonts w:cs="Arial"/>
        </w:rPr>
        <w:t>,</w:t>
      </w:r>
    </w:p>
    <w:p w14:paraId="6EA36954" w14:textId="77777777" w:rsidR="002F0CDA" w:rsidRPr="00AB5252" w:rsidRDefault="001365B7" w:rsidP="00270C2C">
      <w:pPr>
        <w:numPr>
          <w:ilvl w:val="0"/>
          <w:numId w:val="1"/>
        </w:numPr>
        <w:spacing w:before="60" w:after="60"/>
        <w:ind w:left="568" w:hanging="284"/>
        <w:rPr>
          <w:rFonts w:cs="Arial"/>
        </w:rPr>
      </w:pPr>
      <w:r w:rsidRPr="00D02CBF">
        <w:rPr>
          <w:rFonts w:cs="Arial"/>
        </w:rPr>
        <w:t xml:space="preserve">νέα δράση </w:t>
      </w:r>
      <w:r w:rsidR="006D51D8" w:rsidRPr="00D02CBF">
        <w:rPr>
          <w:rFonts w:cs="Arial"/>
        </w:rPr>
        <w:t xml:space="preserve">του </w:t>
      </w:r>
      <w:r w:rsidR="002F0CDA" w:rsidRPr="00D02CBF">
        <w:rPr>
          <w:rFonts w:cs="Arial"/>
        </w:rPr>
        <w:t>Πρ</w:t>
      </w:r>
      <w:r w:rsidR="006D51D8" w:rsidRPr="00D02CBF">
        <w:rPr>
          <w:rFonts w:cs="Arial"/>
        </w:rPr>
        <w:t>ο</w:t>
      </w:r>
      <w:r w:rsidR="002F0CDA" w:rsidRPr="00D02CBF">
        <w:rPr>
          <w:rFonts w:cs="Arial"/>
        </w:rPr>
        <w:t>γρ</w:t>
      </w:r>
      <w:r w:rsidR="006D51D8" w:rsidRPr="00D02CBF">
        <w:rPr>
          <w:rFonts w:cs="Arial"/>
        </w:rPr>
        <w:t xml:space="preserve">άμματος </w:t>
      </w:r>
      <w:r w:rsidR="002F0CDA" w:rsidRPr="00D02CBF">
        <w:rPr>
          <w:rFonts w:cs="Arial"/>
        </w:rPr>
        <w:t>Δίκαιης Αναπτυξιακής Μετάβασης</w:t>
      </w:r>
      <w:r>
        <w:rPr>
          <w:rFonts w:cs="Arial"/>
        </w:rPr>
        <w:t xml:space="preserve"> </w:t>
      </w:r>
      <w:r w:rsidR="002F0CDA" w:rsidRPr="00AB5252">
        <w:rPr>
          <w:rFonts w:cs="Arial"/>
        </w:rPr>
        <w:t xml:space="preserve">για την ενίσχυση επενδυτικών σχεδίων για νέες αλλά και </w:t>
      </w:r>
      <w:r w:rsidR="006D51D8">
        <w:rPr>
          <w:rFonts w:cs="Arial"/>
        </w:rPr>
        <w:t xml:space="preserve">για </w:t>
      </w:r>
      <w:r w:rsidR="002F0CDA" w:rsidRPr="00AB5252">
        <w:rPr>
          <w:rFonts w:cs="Arial"/>
        </w:rPr>
        <w:t xml:space="preserve">υφιστάμενες πολύ μικρές και μικρές επιχειρήσεις σε περιοχές Δίκαιης Αναπτυξιακής Μετάβασης (Περιφέρεια Δυτικής Μακεδονίας </w:t>
      </w:r>
      <w:r w:rsidR="00E25689">
        <w:rPr>
          <w:rFonts w:cs="Arial"/>
        </w:rPr>
        <w:t>και</w:t>
      </w:r>
      <w:r w:rsidR="002F0CDA" w:rsidRPr="00AB5252">
        <w:rPr>
          <w:rFonts w:cs="Arial"/>
        </w:rPr>
        <w:t xml:space="preserve"> Δήμοι Μεγαλόπολης, Τρίπολης, Γορτυνίας και Οιχαλίας)</w:t>
      </w:r>
      <w:r w:rsidR="00DD4272">
        <w:rPr>
          <w:rFonts w:cs="Arial"/>
        </w:rPr>
        <w:t>,</w:t>
      </w:r>
    </w:p>
    <w:p w14:paraId="0E0C9F79" w14:textId="77777777" w:rsidR="002F0CDA" w:rsidRPr="00AB5252" w:rsidRDefault="0031460E" w:rsidP="00270C2C">
      <w:pPr>
        <w:numPr>
          <w:ilvl w:val="0"/>
          <w:numId w:val="1"/>
        </w:numPr>
        <w:spacing w:before="60" w:after="60"/>
        <w:ind w:left="568" w:hanging="284"/>
        <w:rPr>
          <w:rFonts w:cs="Arial"/>
        </w:rPr>
      </w:pPr>
      <w:r>
        <w:rPr>
          <w:rFonts w:cs="Arial"/>
        </w:rPr>
        <w:t>δ</w:t>
      </w:r>
      <w:r w:rsidR="006D51D8">
        <w:rPr>
          <w:rFonts w:cs="Arial"/>
        </w:rPr>
        <w:t xml:space="preserve">ράση </w:t>
      </w:r>
      <w:r w:rsidR="006D51D8" w:rsidRPr="00AB5252">
        <w:rPr>
          <w:rFonts w:cs="Arial"/>
        </w:rPr>
        <w:t xml:space="preserve">200 εκατ. ευρώ </w:t>
      </w:r>
      <w:r w:rsidR="006D51D8">
        <w:rPr>
          <w:rFonts w:cs="Arial"/>
        </w:rPr>
        <w:t xml:space="preserve">στο πλαίσιο του </w:t>
      </w:r>
      <w:r w:rsidR="002F0CDA" w:rsidRPr="00AB5252">
        <w:rPr>
          <w:rFonts w:cs="Arial"/>
        </w:rPr>
        <w:t>ΕΣΠΑ 2021</w:t>
      </w:r>
      <w:r w:rsidR="00C1357B">
        <w:rPr>
          <w:rFonts w:cs="Arial"/>
        </w:rPr>
        <w:t xml:space="preserve"> </w:t>
      </w:r>
      <w:r>
        <w:rPr>
          <w:rFonts w:cs="Arial"/>
        </w:rPr>
        <w:t>-</w:t>
      </w:r>
      <w:r w:rsidR="00C1357B">
        <w:rPr>
          <w:rFonts w:cs="Arial"/>
        </w:rPr>
        <w:t xml:space="preserve"> </w:t>
      </w:r>
      <w:r w:rsidR="002F0CDA" w:rsidRPr="00AB5252">
        <w:rPr>
          <w:rFonts w:cs="Arial"/>
        </w:rPr>
        <w:t>2027</w:t>
      </w:r>
      <w:r>
        <w:rPr>
          <w:rFonts w:cs="Arial"/>
        </w:rPr>
        <w:t>,</w:t>
      </w:r>
      <w:r w:rsidR="002F0CDA" w:rsidRPr="00AB5252">
        <w:rPr>
          <w:rFonts w:cs="Arial"/>
        </w:rPr>
        <w:t xml:space="preserve"> για την ενίσχυση της ανταγωνιστικότητας και της εξωστρέφειας των </w:t>
      </w:r>
      <w:r>
        <w:rPr>
          <w:rFonts w:cs="Arial"/>
        </w:rPr>
        <w:t>μ</w:t>
      </w:r>
      <w:r w:rsidR="002F0CDA" w:rsidRPr="00AB5252">
        <w:rPr>
          <w:rFonts w:cs="Arial"/>
        </w:rPr>
        <w:t xml:space="preserve">ικρομεσαίων </w:t>
      </w:r>
      <w:r>
        <w:rPr>
          <w:rFonts w:cs="Arial"/>
        </w:rPr>
        <w:t>ε</w:t>
      </w:r>
      <w:r w:rsidR="002F0CDA" w:rsidRPr="00AB5252">
        <w:rPr>
          <w:rFonts w:cs="Arial"/>
        </w:rPr>
        <w:t>πιχειρήσεων</w:t>
      </w:r>
      <w:r>
        <w:rPr>
          <w:rFonts w:cs="Arial"/>
        </w:rPr>
        <w:t xml:space="preserve"> </w:t>
      </w:r>
      <w:r w:rsidR="002F0CDA" w:rsidRPr="00AB5252">
        <w:rPr>
          <w:rFonts w:cs="Arial"/>
        </w:rPr>
        <w:t>στους τομείς της μεταποίησης και των υπηρεσιών</w:t>
      </w:r>
      <w:r w:rsidR="00DD4272">
        <w:rPr>
          <w:rFonts w:cs="Arial"/>
        </w:rPr>
        <w:t>,</w:t>
      </w:r>
    </w:p>
    <w:p w14:paraId="154EA46D" w14:textId="77777777" w:rsidR="002F0CDA" w:rsidRPr="00AB5252" w:rsidRDefault="00DD4272" w:rsidP="00270C2C">
      <w:pPr>
        <w:numPr>
          <w:ilvl w:val="0"/>
          <w:numId w:val="1"/>
        </w:numPr>
        <w:spacing w:before="60" w:after="60"/>
        <w:ind w:left="568" w:hanging="284"/>
        <w:rPr>
          <w:rFonts w:cs="Arial"/>
        </w:rPr>
      </w:pPr>
      <w:r>
        <w:rPr>
          <w:rFonts w:cs="Arial"/>
        </w:rPr>
        <w:t>σ</w:t>
      </w:r>
      <w:r w:rsidR="002F0CDA" w:rsidRPr="00AB5252">
        <w:rPr>
          <w:rFonts w:cs="Arial"/>
        </w:rPr>
        <w:t>τοχευμένη δράση 50 εκατ. ευρώ για κλάδους με υστέρηση στο εμπορικό ισοζύγιο</w:t>
      </w:r>
      <w:r>
        <w:rPr>
          <w:rFonts w:cs="Arial"/>
        </w:rPr>
        <w:t>,</w:t>
      </w:r>
    </w:p>
    <w:p w14:paraId="0506974F" w14:textId="77777777" w:rsidR="002F0CDA" w:rsidRPr="00AB5252" w:rsidRDefault="00DD4272" w:rsidP="00270C2C">
      <w:pPr>
        <w:numPr>
          <w:ilvl w:val="0"/>
          <w:numId w:val="1"/>
        </w:numPr>
        <w:spacing w:before="60" w:after="60"/>
        <w:ind w:left="568" w:hanging="284"/>
        <w:rPr>
          <w:rFonts w:cs="Arial"/>
        </w:rPr>
      </w:pPr>
      <w:r>
        <w:rPr>
          <w:rFonts w:cs="Arial"/>
        </w:rPr>
        <w:t>δ</w:t>
      </w:r>
      <w:r w:rsidR="002F0CDA" w:rsidRPr="00AB5252">
        <w:rPr>
          <w:rFonts w:cs="Arial"/>
        </w:rPr>
        <w:t>ράση 70 εκατ. ευρώ για την ενίσχυση της αυτοαπασχόλησης πτυχιούχων που ενδιαφέρονται να αναπτύξουν νέα επιχειρηματική δραστηριότητα</w:t>
      </w:r>
      <w:r>
        <w:rPr>
          <w:rFonts w:cs="Arial"/>
        </w:rPr>
        <w:t>,</w:t>
      </w:r>
    </w:p>
    <w:p w14:paraId="68E75D88" w14:textId="77777777" w:rsidR="002F0CDA" w:rsidRPr="00AB5252" w:rsidRDefault="002F0CDA" w:rsidP="00270C2C">
      <w:pPr>
        <w:numPr>
          <w:ilvl w:val="0"/>
          <w:numId w:val="1"/>
        </w:numPr>
        <w:spacing w:before="60" w:after="60"/>
        <w:ind w:left="568" w:hanging="284"/>
        <w:rPr>
          <w:rFonts w:cs="Arial"/>
        </w:rPr>
      </w:pPr>
      <w:r w:rsidRPr="00AB5252">
        <w:rPr>
          <w:rFonts w:cs="Arial"/>
        </w:rPr>
        <w:t xml:space="preserve">χρηματοδότηση δράσης για τις επιχειρήσεις που θα επενδύσουν στην ανάπτυξη ή/και </w:t>
      </w:r>
      <w:r w:rsidR="0031460E">
        <w:rPr>
          <w:rFonts w:cs="Arial"/>
        </w:rPr>
        <w:t xml:space="preserve">στην </w:t>
      </w:r>
      <w:r w:rsidRPr="00AB5252">
        <w:rPr>
          <w:rFonts w:cs="Arial"/>
        </w:rPr>
        <w:t>παραγωγή στους τομείς των ψηφιακών τεχνολογιών, της βιοτεχνολογίας και των καθαρών και αποδοτικών ως προς τη χρήση των πόρων τεχνολογιών</w:t>
      </w:r>
      <w:r w:rsidR="0031460E">
        <w:rPr>
          <w:rFonts w:cs="Arial"/>
        </w:rPr>
        <w:t>,</w:t>
      </w:r>
      <w:r w:rsidRPr="00AB5252">
        <w:rPr>
          <w:rFonts w:cs="Arial"/>
        </w:rPr>
        <w:t xml:space="preserve"> με προϋπολογισμό 50 εκατ. ευρώ (ευρωπαϊκή πρωτοβουλία STEP)</w:t>
      </w:r>
      <w:r w:rsidR="00DD4272">
        <w:rPr>
          <w:rFonts w:cs="Arial"/>
        </w:rPr>
        <w:t>,</w:t>
      </w:r>
    </w:p>
    <w:p w14:paraId="0EFC0E37" w14:textId="77777777" w:rsidR="002F0CDA" w:rsidRPr="00AB5252" w:rsidRDefault="0028454C" w:rsidP="00270C2C">
      <w:pPr>
        <w:numPr>
          <w:ilvl w:val="0"/>
          <w:numId w:val="1"/>
        </w:numPr>
        <w:spacing w:before="60" w:after="60"/>
        <w:ind w:left="568" w:hanging="284"/>
        <w:rPr>
          <w:rFonts w:cs="Arial"/>
        </w:rPr>
      </w:pPr>
      <w:r>
        <w:rPr>
          <w:rFonts w:cs="Arial"/>
        </w:rPr>
        <w:t>α</w:t>
      </w:r>
      <w:r w:rsidR="002F0CDA" w:rsidRPr="00AB5252">
        <w:rPr>
          <w:rFonts w:cs="Arial"/>
        </w:rPr>
        <w:t xml:space="preserve">ύξηση </w:t>
      </w:r>
      <w:r w:rsidR="0031460E" w:rsidRPr="00AB5252">
        <w:rPr>
          <w:rFonts w:cs="Arial"/>
        </w:rPr>
        <w:t xml:space="preserve">κατά 300 εκατ. ευρώ </w:t>
      </w:r>
      <w:r w:rsidR="002F0CDA" w:rsidRPr="00AB5252">
        <w:rPr>
          <w:rFonts w:cs="Arial"/>
        </w:rPr>
        <w:t>του εγγυοδοτικού προγράμματος InvestEU</w:t>
      </w:r>
      <w:r w:rsidR="0031460E">
        <w:rPr>
          <w:rFonts w:cs="Arial"/>
        </w:rPr>
        <w:t>,</w:t>
      </w:r>
      <w:r w:rsidR="002F0CDA" w:rsidRPr="00AB5252">
        <w:rPr>
          <w:rFonts w:cs="Arial"/>
        </w:rPr>
        <w:t xml:space="preserve"> </w:t>
      </w:r>
      <w:r w:rsidR="0031460E">
        <w:rPr>
          <w:rFonts w:cs="Arial"/>
        </w:rPr>
        <w:t xml:space="preserve">στο πλαίσιο του ΤΑΑ, </w:t>
      </w:r>
      <w:r w:rsidR="002F0CDA" w:rsidRPr="00AB5252">
        <w:rPr>
          <w:rFonts w:cs="Arial"/>
        </w:rPr>
        <w:t>για τη στήριξη των</w:t>
      </w:r>
      <w:r w:rsidR="0031460E">
        <w:rPr>
          <w:rFonts w:cs="Arial"/>
        </w:rPr>
        <w:t xml:space="preserve"> μικρομεσαίων επιχειρήσεων και</w:t>
      </w:r>
      <w:r w:rsidR="002F0CDA" w:rsidRPr="00AB5252">
        <w:rPr>
          <w:rFonts w:cs="Arial"/>
        </w:rPr>
        <w:t xml:space="preserve"> με στόχο να κινητοποιηθούν δάνεια ύψους </w:t>
      </w:r>
      <w:r w:rsidR="002F0CDA" w:rsidRPr="00AB5252">
        <w:rPr>
          <w:rFonts w:cs="Arial"/>
        </w:rPr>
        <w:lastRenderedPageBreak/>
        <w:t>3,6 δισ. ευρώ, τα οποία θα στηρίξουν τουλάχιστον 25.000</w:t>
      </w:r>
      <w:r w:rsidR="0031460E">
        <w:rPr>
          <w:rFonts w:cs="Arial"/>
        </w:rPr>
        <w:t xml:space="preserve"> μικρομεσαίες επιχειρήσεις </w:t>
      </w:r>
      <w:r w:rsidR="002F0CDA" w:rsidRPr="00AB5252">
        <w:rPr>
          <w:rFonts w:cs="Arial"/>
        </w:rPr>
        <w:t>σε όλη τη χώρα</w:t>
      </w:r>
      <w:r w:rsidR="00DD4272">
        <w:rPr>
          <w:rFonts w:cs="Arial"/>
        </w:rPr>
        <w:t>,</w:t>
      </w:r>
    </w:p>
    <w:p w14:paraId="2E453216" w14:textId="52FEF94F" w:rsidR="00DC4F29" w:rsidRPr="00AB5252" w:rsidRDefault="00DC4F29" w:rsidP="00DC4F29">
      <w:pPr>
        <w:numPr>
          <w:ilvl w:val="0"/>
          <w:numId w:val="1"/>
        </w:numPr>
        <w:spacing w:before="60" w:after="60"/>
        <w:ind w:left="568" w:hanging="284"/>
        <w:rPr>
          <w:rFonts w:cs="Arial"/>
        </w:rPr>
      </w:pPr>
      <w:r>
        <w:rPr>
          <w:rFonts w:cs="Arial"/>
        </w:rPr>
        <w:t xml:space="preserve">επέκταση </w:t>
      </w:r>
      <w:r w:rsidR="002F0CDA" w:rsidRPr="00AB5252">
        <w:rPr>
          <w:rFonts w:cs="Arial"/>
        </w:rPr>
        <w:t>της χρηματοδότησης</w:t>
      </w:r>
      <w:r w:rsidR="005E7CCE">
        <w:rPr>
          <w:rFonts w:cs="Arial"/>
        </w:rPr>
        <w:t xml:space="preserve"> </w:t>
      </w:r>
      <w:r w:rsidR="002F0CDA" w:rsidRPr="00AB5252">
        <w:rPr>
          <w:rFonts w:cs="Arial"/>
        </w:rPr>
        <w:t xml:space="preserve">του Ταμείου Χαρτοφυλακίου ΤΕΠΙΧ ΙΙΙ </w:t>
      </w:r>
      <w:r w:rsidR="005E7CCE">
        <w:rPr>
          <w:rFonts w:cs="Arial"/>
        </w:rPr>
        <w:t xml:space="preserve">μέσω της </w:t>
      </w:r>
      <w:r w:rsidR="005E7CCE" w:rsidRPr="00AB5252">
        <w:rPr>
          <w:rFonts w:cs="Arial"/>
        </w:rPr>
        <w:t>Ε</w:t>
      </w:r>
      <w:r w:rsidR="005D0D9C">
        <w:rPr>
          <w:rFonts w:cs="Arial"/>
        </w:rPr>
        <w:t>ΑΤ</w:t>
      </w:r>
      <w:r w:rsidR="005E7CCE">
        <w:rPr>
          <w:rFonts w:cs="Arial"/>
        </w:rPr>
        <w:t>,</w:t>
      </w:r>
      <w:r w:rsidR="005E7CCE" w:rsidRPr="00AB5252">
        <w:rPr>
          <w:rFonts w:cs="Arial"/>
        </w:rPr>
        <w:t xml:space="preserve"> </w:t>
      </w:r>
      <w:r w:rsidR="002F0CDA" w:rsidRPr="00AB5252">
        <w:rPr>
          <w:rFonts w:cs="Arial"/>
        </w:rPr>
        <w:t>με επιπλέον πόρους 780 εκατ. ευρώ</w:t>
      </w:r>
      <w:r w:rsidR="005D0D9C">
        <w:rPr>
          <w:rFonts w:cs="Arial"/>
        </w:rPr>
        <w:t>,</w:t>
      </w:r>
      <w:r>
        <w:rPr>
          <w:rFonts w:cs="Arial"/>
        </w:rPr>
        <w:t xml:space="preserve"> για επιχειρηματικά δάνεια μικρομεσαίων επιχειρήσεων,</w:t>
      </w:r>
    </w:p>
    <w:p w14:paraId="2EFD33F3" w14:textId="77777777" w:rsidR="002F0CDA" w:rsidRPr="00AB5252" w:rsidRDefault="005E7CCE" w:rsidP="00270C2C">
      <w:pPr>
        <w:numPr>
          <w:ilvl w:val="0"/>
          <w:numId w:val="1"/>
        </w:numPr>
        <w:spacing w:before="60" w:after="60"/>
        <w:ind w:left="568" w:hanging="284"/>
        <w:rPr>
          <w:rFonts w:cs="Arial"/>
        </w:rPr>
      </w:pPr>
      <w:r>
        <w:rPr>
          <w:rFonts w:cs="Arial"/>
        </w:rPr>
        <w:t xml:space="preserve">θεσμοθέτηση </w:t>
      </w:r>
      <w:r w:rsidR="002F0CDA" w:rsidRPr="00AB5252">
        <w:rPr>
          <w:rFonts w:cs="Arial"/>
        </w:rPr>
        <w:t xml:space="preserve">νέων ταμείων το 2026, όπως το Ταμείο Αγροτικής Επιχειρηματικότητας (έως 170 εκατ. ευρώ), το Ταμείο Εγγυοδοσίας DeLFI Plus (έως 500 εκατ. ευρώ) και το Patent Fund (41,4 εκατ. ευρώ) για τη στήριξη </w:t>
      </w:r>
      <w:r>
        <w:rPr>
          <w:rFonts w:cs="Arial"/>
        </w:rPr>
        <w:t xml:space="preserve">της </w:t>
      </w:r>
      <w:r w:rsidR="002F0CDA" w:rsidRPr="00AB5252">
        <w:rPr>
          <w:rFonts w:cs="Arial"/>
        </w:rPr>
        <w:t>κατοχύρωσης ευρεσιτεχνιών</w:t>
      </w:r>
      <w:r w:rsidR="00DD4272">
        <w:rPr>
          <w:rFonts w:cs="Arial"/>
        </w:rPr>
        <w:t xml:space="preserve"> και</w:t>
      </w:r>
    </w:p>
    <w:p w14:paraId="42BEC2F3" w14:textId="2E51A298" w:rsidR="002F0CDA" w:rsidRPr="00AB5252" w:rsidRDefault="005E7CCE" w:rsidP="00270C2C">
      <w:pPr>
        <w:numPr>
          <w:ilvl w:val="0"/>
          <w:numId w:val="2"/>
        </w:numPr>
        <w:spacing w:before="60"/>
        <w:ind w:left="568" w:hanging="284"/>
      </w:pPr>
      <w:r>
        <w:t>υ</w:t>
      </w:r>
      <w:r w:rsidR="002F0CDA" w:rsidRPr="00AB5252">
        <w:t xml:space="preserve">περεκπτώσεις </w:t>
      </w:r>
      <w:r>
        <w:t>ε</w:t>
      </w:r>
      <w:r w:rsidR="002F0CDA" w:rsidRPr="00AB5252">
        <w:t xml:space="preserve">πενδυτικών </w:t>
      </w:r>
      <w:r>
        <w:t>δ</w:t>
      </w:r>
      <w:r w:rsidR="002F0CDA" w:rsidRPr="00AB5252">
        <w:t>απανών</w:t>
      </w:r>
      <w:r>
        <w:t xml:space="preserve"> με στόχο την ενίσχυση των </w:t>
      </w:r>
      <w:r w:rsidR="002F0CDA" w:rsidRPr="00AB5252">
        <w:t>ιδιωτικ</w:t>
      </w:r>
      <w:r>
        <w:t>ών</w:t>
      </w:r>
      <w:r w:rsidR="002F0CDA" w:rsidRPr="00AB5252">
        <w:t xml:space="preserve"> επενδύσε</w:t>
      </w:r>
      <w:r>
        <w:t>ων</w:t>
      </w:r>
      <w:r w:rsidR="00DC4F29">
        <w:t xml:space="preserve"> σε νευραλγικούς τομείς της βιομηχανίας</w:t>
      </w:r>
      <w:r>
        <w:t xml:space="preserve">. </w:t>
      </w:r>
      <w:r w:rsidR="00E07AB4">
        <w:t>Προς αυτή την κατεύθυνση</w:t>
      </w:r>
      <w:r w:rsidR="002F0CDA" w:rsidRPr="00AB5252">
        <w:t>, οι δαπάνες σε στρατηγικούς τομείς</w:t>
      </w:r>
      <w:r w:rsidR="00E07AB4">
        <w:t>,</w:t>
      </w:r>
      <w:r w:rsidR="002F0CDA" w:rsidRPr="00AB5252">
        <w:t xml:space="preserve"> όπως η άμυνα</w:t>
      </w:r>
      <w:r w:rsidR="00D61A35">
        <w:t xml:space="preserve"> και</w:t>
      </w:r>
      <w:r w:rsidR="00DC4F29">
        <w:t xml:space="preserve"> </w:t>
      </w:r>
      <w:r w:rsidR="002F0CDA" w:rsidRPr="00AB5252">
        <w:t>η κατασκευή οχημάτων</w:t>
      </w:r>
      <w:r w:rsidR="00D61A35">
        <w:t xml:space="preserve"> καθώς </w:t>
      </w:r>
      <w:r w:rsidR="00A921D3">
        <w:t xml:space="preserve">και αεροσκαφών και </w:t>
      </w:r>
      <w:r w:rsidR="00D61A35">
        <w:t xml:space="preserve">των </w:t>
      </w:r>
      <w:r w:rsidR="00A921D3">
        <w:t>εξαρτημάτων αυτών</w:t>
      </w:r>
      <w:r w:rsidR="00E07AB4">
        <w:t>,</w:t>
      </w:r>
      <w:r w:rsidR="002F0CDA" w:rsidRPr="00AB5252">
        <w:t xml:space="preserve"> θα εκπίπτουν από τα ακαθάριστα έσοδα των επιχειρήσεων προσαυξημένες κατά 100%. Το μέτρο αφορά </w:t>
      </w:r>
      <w:r w:rsidR="00E07AB4">
        <w:t xml:space="preserve">σε </w:t>
      </w:r>
      <w:r w:rsidR="002F0CDA" w:rsidRPr="00AB5252">
        <w:t>επενδύσεις της περιόδου 2026</w:t>
      </w:r>
      <w:r w:rsidR="00596B74">
        <w:t xml:space="preserve"> </w:t>
      </w:r>
      <w:r w:rsidR="00E07AB4">
        <w:t>-</w:t>
      </w:r>
      <w:r w:rsidR="00596B74">
        <w:t xml:space="preserve"> </w:t>
      </w:r>
      <w:r w:rsidR="002F0CDA" w:rsidRPr="00AB5252">
        <w:t>2028</w:t>
      </w:r>
      <w:r w:rsidR="00E07AB4">
        <w:t>,</w:t>
      </w:r>
      <w:r w:rsidR="002F0CDA" w:rsidRPr="00AB5252">
        <w:t xml:space="preserve"> με το συνολικό ύψος της φορολογικής έκπτωσης να </w:t>
      </w:r>
      <w:r w:rsidR="00E07AB4">
        <w:t xml:space="preserve">ανέρχεται στο ποσό των </w:t>
      </w:r>
      <w:r w:rsidR="002F0CDA" w:rsidRPr="00AB5252">
        <w:t>150 εκατ. ευρώ.</w:t>
      </w:r>
    </w:p>
    <w:p w14:paraId="2B49BDAB" w14:textId="77777777" w:rsidR="002F0CDA" w:rsidRPr="00E07AB4" w:rsidRDefault="002F0CDA" w:rsidP="00DC6F26">
      <w:pPr>
        <w:pStyle w:val="5"/>
        <w:keepNext w:val="0"/>
        <w:numPr>
          <w:ilvl w:val="0"/>
          <w:numId w:val="0"/>
        </w:numPr>
        <w:spacing w:before="360" w:after="240"/>
      </w:pPr>
      <w:bookmarkStart w:id="340" w:name="_Toc209798263"/>
      <w:bookmarkStart w:id="341" w:name="_Toc210055430"/>
      <w:bookmarkStart w:id="342" w:name="_Toc210059726"/>
      <w:bookmarkStart w:id="343" w:name="_Toc210218237"/>
      <w:bookmarkStart w:id="344" w:name="_Toc210394921"/>
      <w:bookmarkStart w:id="345" w:name="_Toc210494451"/>
      <w:bookmarkStart w:id="346" w:name="_Toc210570643"/>
      <w:bookmarkStart w:id="347" w:name="_Toc210570688"/>
      <w:r w:rsidRPr="00E07AB4">
        <w:t>Λοιπές</w:t>
      </w:r>
      <w:r w:rsidR="00E70538">
        <w:rPr>
          <w:lang w:val="el-GR"/>
        </w:rPr>
        <w:t xml:space="preserve"> παρεμβάσεις</w:t>
      </w:r>
      <w:bookmarkEnd w:id="340"/>
      <w:bookmarkEnd w:id="341"/>
      <w:bookmarkEnd w:id="342"/>
      <w:bookmarkEnd w:id="343"/>
      <w:bookmarkEnd w:id="344"/>
      <w:bookmarkEnd w:id="345"/>
      <w:bookmarkEnd w:id="346"/>
      <w:bookmarkEnd w:id="347"/>
    </w:p>
    <w:p w14:paraId="46FE1759" w14:textId="08597CF2" w:rsidR="002F0CDA" w:rsidRPr="00AB5252" w:rsidRDefault="00E07AB4" w:rsidP="00AB5252">
      <w:r>
        <w:t xml:space="preserve">Οι </w:t>
      </w:r>
      <w:r w:rsidR="00A921D3">
        <w:t xml:space="preserve">λοιπές </w:t>
      </w:r>
      <w:r>
        <w:t>π</w:t>
      </w:r>
      <w:r w:rsidR="002F0CDA" w:rsidRPr="00AB5252">
        <w:t xml:space="preserve">αρεμβάσεις που έλαβαν χώρα το 2025 για </w:t>
      </w:r>
      <w:r>
        <w:t xml:space="preserve">την </w:t>
      </w:r>
      <w:r w:rsidR="002F0CDA" w:rsidRPr="00AB5252">
        <w:t xml:space="preserve">ενίσχυση του </w:t>
      </w:r>
      <w:r w:rsidR="00A921D3">
        <w:t xml:space="preserve">διαθέσιμου </w:t>
      </w:r>
      <w:r w:rsidR="002F0CDA" w:rsidRPr="00AB5252">
        <w:t>εισοδήματος</w:t>
      </w:r>
      <w:r w:rsidR="00A921D3">
        <w:t xml:space="preserve"> περιλαμβάνουν</w:t>
      </w:r>
      <w:r w:rsidR="002F0CDA" w:rsidRPr="00AB5252">
        <w:t>:</w:t>
      </w:r>
    </w:p>
    <w:p w14:paraId="6B096314" w14:textId="463DFB77" w:rsidR="00641F01" w:rsidRDefault="00D06381" w:rsidP="00641F01">
      <w:pPr>
        <w:numPr>
          <w:ilvl w:val="0"/>
          <w:numId w:val="1"/>
        </w:numPr>
        <w:spacing w:before="120" w:after="60"/>
        <w:ind w:left="568" w:hanging="284"/>
        <w:rPr>
          <w:rFonts w:cs="Arial"/>
        </w:rPr>
      </w:pPr>
      <w:r>
        <w:rPr>
          <w:rFonts w:cs="Arial"/>
        </w:rPr>
        <w:t>μ</w:t>
      </w:r>
      <w:r w:rsidR="00641F01">
        <w:rPr>
          <w:rFonts w:cs="Arial"/>
        </w:rPr>
        <w:t>είωση των ασφαλιστικών εισφορών κατά 1 μονάδα,</w:t>
      </w:r>
    </w:p>
    <w:p w14:paraId="622AF8B7" w14:textId="47CFB615" w:rsidR="00641F01" w:rsidRDefault="00641F01" w:rsidP="00641F01">
      <w:pPr>
        <w:numPr>
          <w:ilvl w:val="0"/>
          <w:numId w:val="1"/>
        </w:numPr>
        <w:spacing w:before="60" w:after="60"/>
        <w:ind w:left="568" w:hanging="284"/>
        <w:rPr>
          <w:rFonts w:cs="Arial"/>
        </w:rPr>
      </w:pPr>
      <w:r>
        <w:rPr>
          <w:rFonts w:cs="Arial"/>
        </w:rPr>
        <w:t>κ</w:t>
      </w:r>
      <w:r w:rsidRPr="007D113C">
        <w:rPr>
          <w:rFonts w:cs="Arial"/>
        </w:rPr>
        <w:t>ατάργηση</w:t>
      </w:r>
      <w:r>
        <w:rPr>
          <w:rFonts w:cs="Arial"/>
        </w:rPr>
        <w:t xml:space="preserve"> του</w:t>
      </w:r>
      <w:r w:rsidRPr="007D113C">
        <w:rPr>
          <w:rFonts w:cs="Arial"/>
        </w:rPr>
        <w:t xml:space="preserve"> τέλους επιτηδεύματος από το 2025 </w:t>
      </w:r>
      <w:r w:rsidR="008E7CDD">
        <w:rPr>
          <w:rFonts w:cs="Arial"/>
        </w:rPr>
        <w:t xml:space="preserve">σε συνέχεια της </w:t>
      </w:r>
      <w:r w:rsidRPr="007D113C">
        <w:rPr>
          <w:rFonts w:cs="Arial"/>
        </w:rPr>
        <w:t>μείωση</w:t>
      </w:r>
      <w:r w:rsidR="008E7CDD">
        <w:rPr>
          <w:rFonts w:cs="Arial"/>
        </w:rPr>
        <w:t>ς κατά</w:t>
      </w:r>
      <w:r w:rsidRPr="007D113C">
        <w:rPr>
          <w:rFonts w:cs="Arial"/>
        </w:rPr>
        <w:t xml:space="preserve"> 50% το 2024</w:t>
      </w:r>
      <w:r>
        <w:rPr>
          <w:rFonts w:cs="Arial"/>
        </w:rPr>
        <w:t>,</w:t>
      </w:r>
    </w:p>
    <w:p w14:paraId="25946776" w14:textId="068915AE" w:rsidR="00641F01" w:rsidRDefault="00641F01" w:rsidP="00641F01">
      <w:pPr>
        <w:numPr>
          <w:ilvl w:val="0"/>
          <w:numId w:val="1"/>
        </w:numPr>
        <w:spacing w:before="60" w:after="60"/>
        <w:ind w:left="568" w:hanging="284"/>
        <w:rPr>
          <w:rFonts w:cs="Arial"/>
        </w:rPr>
      </w:pPr>
      <w:r>
        <w:rPr>
          <w:rFonts w:cs="Arial"/>
        </w:rPr>
        <w:t>μ</w:t>
      </w:r>
      <w:r w:rsidRPr="007D113C">
        <w:rPr>
          <w:rFonts w:cs="Arial"/>
        </w:rPr>
        <w:t>ονιμοποίηση της επιστροφή</w:t>
      </w:r>
      <w:r w:rsidR="008E7CDD">
        <w:rPr>
          <w:rFonts w:cs="Arial"/>
        </w:rPr>
        <w:t>ς</w:t>
      </w:r>
      <w:r w:rsidRPr="007D113C">
        <w:rPr>
          <w:rFonts w:cs="Arial"/>
        </w:rPr>
        <w:t xml:space="preserve"> του ΕΦΚ στους αγρότες με νέο σύστημα</w:t>
      </w:r>
      <w:r>
        <w:rPr>
          <w:rFonts w:cs="Arial"/>
        </w:rPr>
        <w:t>,</w:t>
      </w:r>
    </w:p>
    <w:p w14:paraId="4951F1AF" w14:textId="77777777" w:rsidR="00641F01" w:rsidRDefault="00641F01" w:rsidP="00641F01">
      <w:pPr>
        <w:numPr>
          <w:ilvl w:val="0"/>
          <w:numId w:val="1"/>
        </w:numPr>
        <w:spacing w:before="60" w:after="60"/>
        <w:ind w:left="568" w:hanging="284"/>
        <w:rPr>
          <w:rFonts w:cs="Arial"/>
        </w:rPr>
      </w:pPr>
      <w:r>
        <w:rPr>
          <w:rFonts w:cs="Arial"/>
        </w:rPr>
        <w:t>α</w:t>
      </w:r>
      <w:r w:rsidRPr="007D113C">
        <w:rPr>
          <w:rFonts w:cs="Arial"/>
        </w:rPr>
        <w:t>υτοτελής φορολόγηση εφημεριών των ιατρών του ΕΣΥ</w:t>
      </w:r>
      <w:r>
        <w:rPr>
          <w:rFonts w:cs="Arial"/>
        </w:rPr>
        <w:t>,</w:t>
      </w:r>
    </w:p>
    <w:p w14:paraId="67B19BEA" w14:textId="692149BB" w:rsidR="00641F01" w:rsidRDefault="00641F01" w:rsidP="00641F01">
      <w:pPr>
        <w:numPr>
          <w:ilvl w:val="0"/>
          <w:numId w:val="1"/>
        </w:numPr>
        <w:spacing w:before="60" w:after="60"/>
        <w:ind w:left="568" w:hanging="284"/>
        <w:rPr>
          <w:rFonts w:cs="Arial"/>
        </w:rPr>
      </w:pPr>
      <w:r>
        <w:rPr>
          <w:rFonts w:cs="Arial"/>
        </w:rPr>
        <w:t>μ</w:t>
      </w:r>
      <w:r w:rsidRPr="007D113C">
        <w:rPr>
          <w:rFonts w:cs="Arial"/>
        </w:rPr>
        <w:t xml:space="preserve">είωση </w:t>
      </w:r>
      <w:r w:rsidR="008E7CDD">
        <w:rPr>
          <w:rFonts w:cs="Arial"/>
        </w:rPr>
        <w:t>του ψηφιακού τέλους συναλλαγής</w:t>
      </w:r>
      <w:r w:rsidRPr="007D113C">
        <w:rPr>
          <w:rFonts w:cs="Arial"/>
        </w:rPr>
        <w:t xml:space="preserve"> σε μία σειρά από συναλλαγές</w:t>
      </w:r>
      <w:r>
        <w:rPr>
          <w:rFonts w:cs="Arial"/>
        </w:rPr>
        <w:t>,</w:t>
      </w:r>
    </w:p>
    <w:p w14:paraId="23B75BF1" w14:textId="77777777" w:rsidR="00641F01" w:rsidRDefault="00641F01" w:rsidP="00641F01">
      <w:pPr>
        <w:numPr>
          <w:ilvl w:val="0"/>
          <w:numId w:val="1"/>
        </w:numPr>
        <w:spacing w:before="60" w:after="60"/>
        <w:ind w:left="568" w:hanging="284"/>
        <w:rPr>
          <w:rFonts w:cs="Arial"/>
        </w:rPr>
      </w:pPr>
      <w:r>
        <w:rPr>
          <w:rFonts w:cs="Arial"/>
        </w:rPr>
        <w:t>κ</w:t>
      </w:r>
      <w:r w:rsidRPr="007D113C">
        <w:rPr>
          <w:rFonts w:cs="Arial"/>
        </w:rPr>
        <w:t>ατάργηση τέλους σταθερής τηλεφωνίας (5%) για συνδέσεις με οπτική ίνα</w:t>
      </w:r>
      <w:r>
        <w:rPr>
          <w:rFonts w:cs="Arial"/>
        </w:rPr>
        <w:t>,</w:t>
      </w:r>
    </w:p>
    <w:p w14:paraId="4C4EF0A9" w14:textId="00CDBFD5" w:rsidR="00641F01" w:rsidRDefault="00641F01" w:rsidP="00641F01">
      <w:pPr>
        <w:numPr>
          <w:ilvl w:val="0"/>
          <w:numId w:val="1"/>
        </w:numPr>
        <w:spacing w:before="60" w:after="60"/>
        <w:ind w:left="568" w:hanging="284"/>
        <w:rPr>
          <w:rFonts w:cs="Arial"/>
        </w:rPr>
      </w:pPr>
      <w:r>
        <w:rPr>
          <w:rFonts w:cs="Arial"/>
        </w:rPr>
        <w:t>α</w:t>
      </w:r>
      <w:r w:rsidRPr="007D113C">
        <w:rPr>
          <w:rFonts w:cs="Arial"/>
        </w:rPr>
        <w:t xml:space="preserve">παλλαγή από τον φόρο ασφαλίστρου (15%) συμβολαίων υγείας για παιδιά </w:t>
      </w:r>
      <w:r w:rsidR="008E7CDD">
        <w:rPr>
          <w:rFonts w:cs="Arial"/>
        </w:rPr>
        <w:t xml:space="preserve">ηλικίας </w:t>
      </w:r>
      <w:r w:rsidRPr="007D113C">
        <w:rPr>
          <w:rFonts w:cs="Arial"/>
        </w:rPr>
        <w:t>έως 18 ετών</w:t>
      </w:r>
      <w:r>
        <w:rPr>
          <w:rFonts w:cs="Arial"/>
        </w:rPr>
        <w:t>,</w:t>
      </w:r>
    </w:p>
    <w:p w14:paraId="0B736182" w14:textId="547FC9CF" w:rsidR="00641F01" w:rsidRDefault="00641F01" w:rsidP="00641F01">
      <w:pPr>
        <w:numPr>
          <w:ilvl w:val="0"/>
          <w:numId w:val="1"/>
        </w:numPr>
        <w:spacing w:before="60" w:after="60"/>
        <w:ind w:left="568" w:hanging="284"/>
        <w:rPr>
          <w:rFonts w:cs="Arial"/>
        </w:rPr>
      </w:pPr>
      <w:r>
        <w:rPr>
          <w:rFonts w:cs="Arial"/>
        </w:rPr>
        <w:t>φ</w:t>
      </w:r>
      <w:r w:rsidRPr="007D113C">
        <w:rPr>
          <w:rFonts w:cs="Arial"/>
        </w:rPr>
        <w:t xml:space="preserve">οροαπαλλαγή οικειοθελών παροχών επιχειρήσεων υπέρ </w:t>
      </w:r>
      <w:r w:rsidR="008E7CDD">
        <w:rPr>
          <w:rFonts w:cs="Arial"/>
        </w:rPr>
        <w:t xml:space="preserve">των </w:t>
      </w:r>
      <w:r w:rsidRPr="007D113C">
        <w:rPr>
          <w:rFonts w:cs="Arial"/>
        </w:rPr>
        <w:t>νέων γονέων</w:t>
      </w:r>
      <w:r>
        <w:rPr>
          <w:rFonts w:cs="Arial"/>
        </w:rPr>
        <w:t>,</w:t>
      </w:r>
    </w:p>
    <w:p w14:paraId="64707118" w14:textId="77777777" w:rsidR="00641F01" w:rsidRDefault="00641F01" w:rsidP="00641F01">
      <w:pPr>
        <w:numPr>
          <w:ilvl w:val="0"/>
          <w:numId w:val="1"/>
        </w:numPr>
        <w:spacing w:before="60" w:after="60"/>
        <w:ind w:left="568" w:hanging="284"/>
        <w:rPr>
          <w:rFonts w:cs="Arial"/>
        </w:rPr>
      </w:pPr>
      <w:r>
        <w:rPr>
          <w:rFonts w:cs="Arial"/>
        </w:rPr>
        <w:t>κ</w:t>
      </w:r>
      <w:r w:rsidRPr="007D113C">
        <w:rPr>
          <w:rFonts w:cs="Arial"/>
        </w:rPr>
        <w:t>ίνητρο προσέλκυσης ιατρών σε προβληματικές και άγονες περιοχές</w:t>
      </w:r>
      <w:r>
        <w:rPr>
          <w:rFonts w:cs="Arial"/>
        </w:rPr>
        <w:t>,</w:t>
      </w:r>
    </w:p>
    <w:p w14:paraId="48AFA0C0" w14:textId="77777777" w:rsidR="00641F01" w:rsidRDefault="00641F01" w:rsidP="00641F01">
      <w:pPr>
        <w:numPr>
          <w:ilvl w:val="0"/>
          <w:numId w:val="1"/>
        </w:numPr>
        <w:spacing w:before="60" w:after="60"/>
        <w:ind w:left="568" w:hanging="284"/>
        <w:rPr>
          <w:rFonts w:cs="Arial"/>
        </w:rPr>
      </w:pPr>
      <w:r>
        <w:rPr>
          <w:rFonts w:cs="Arial"/>
        </w:rPr>
        <w:t>α</w:t>
      </w:r>
      <w:r w:rsidRPr="007D113C">
        <w:rPr>
          <w:rFonts w:cs="Arial"/>
        </w:rPr>
        <w:t>ύξηση του φοιτητικού στεγαστικού επιδόματος για τα περιφερειακά Πανεπιστήμια</w:t>
      </w:r>
      <w:r>
        <w:rPr>
          <w:rFonts w:cs="Arial"/>
        </w:rPr>
        <w:t>,</w:t>
      </w:r>
    </w:p>
    <w:p w14:paraId="14B6C955" w14:textId="6B2E9F9D" w:rsidR="00641F01" w:rsidRDefault="00641F01" w:rsidP="00641F01">
      <w:pPr>
        <w:numPr>
          <w:ilvl w:val="0"/>
          <w:numId w:val="1"/>
        </w:numPr>
        <w:spacing w:before="60" w:after="60"/>
        <w:ind w:left="568" w:hanging="284"/>
        <w:rPr>
          <w:rFonts w:cs="Arial"/>
        </w:rPr>
      </w:pPr>
      <w:r>
        <w:rPr>
          <w:rFonts w:cs="Arial"/>
        </w:rPr>
        <w:t>α</w:t>
      </w:r>
      <w:r w:rsidRPr="007D113C">
        <w:rPr>
          <w:rFonts w:cs="Arial"/>
        </w:rPr>
        <w:t xml:space="preserve">ύξηση </w:t>
      </w:r>
      <w:r w:rsidR="008E7CDD">
        <w:rPr>
          <w:rFonts w:cs="Arial"/>
        </w:rPr>
        <w:t xml:space="preserve">των </w:t>
      </w:r>
      <w:r w:rsidRPr="007D113C">
        <w:rPr>
          <w:rFonts w:cs="Arial"/>
        </w:rPr>
        <w:t xml:space="preserve">αποδοχών </w:t>
      </w:r>
      <w:r w:rsidR="008E7CDD">
        <w:rPr>
          <w:rFonts w:cs="Arial"/>
        </w:rPr>
        <w:t xml:space="preserve">των </w:t>
      </w:r>
      <w:r w:rsidRPr="007D113C">
        <w:rPr>
          <w:rFonts w:cs="Arial"/>
        </w:rPr>
        <w:t>σπουδαστών στρατιωτικών σχολών</w:t>
      </w:r>
      <w:r>
        <w:rPr>
          <w:rFonts w:cs="Arial"/>
        </w:rPr>
        <w:t>,</w:t>
      </w:r>
    </w:p>
    <w:p w14:paraId="435684B7" w14:textId="6C35C417" w:rsidR="00641F01" w:rsidRPr="007D113C" w:rsidRDefault="00641F01" w:rsidP="00641F01">
      <w:pPr>
        <w:numPr>
          <w:ilvl w:val="0"/>
          <w:numId w:val="1"/>
        </w:numPr>
        <w:spacing w:before="60" w:after="60"/>
        <w:ind w:left="568" w:hanging="284"/>
        <w:rPr>
          <w:rFonts w:cs="Arial"/>
        </w:rPr>
      </w:pPr>
      <w:r>
        <w:rPr>
          <w:rFonts w:cs="Arial"/>
        </w:rPr>
        <w:t>α</w:t>
      </w:r>
      <w:r w:rsidRPr="007D113C">
        <w:rPr>
          <w:rFonts w:cs="Arial"/>
        </w:rPr>
        <w:t xml:space="preserve">ναμόρφωση </w:t>
      </w:r>
      <w:r w:rsidR="008E7CDD">
        <w:rPr>
          <w:rFonts w:cs="Arial"/>
        </w:rPr>
        <w:t xml:space="preserve">του </w:t>
      </w:r>
      <w:r w:rsidRPr="007D113C">
        <w:rPr>
          <w:rFonts w:cs="Arial"/>
        </w:rPr>
        <w:t>επιδόματος επικίνδυνης και ανθυγιεινής εργασίας ΟΤΑ</w:t>
      </w:r>
      <w:r>
        <w:rPr>
          <w:rFonts w:cs="Arial"/>
        </w:rPr>
        <w:t>,</w:t>
      </w:r>
    </w:p>
    <w:p w14:paraId="1CD27D16" w14:textId="2E10DC20" w:rsidR="002F0CDA" w:rsidRPr="00AB5252" w:rsidRDefault="00DD4272" w:rsidP="00641F01">
      <w:pPr>
        <w:numPr>
          <w:ilvl w:val="0"/>
          <w:numId w:val="1"/>
        </w:numPr>
        <w:spacing w:before="60" w:after="60"/>
        <w:ind w:left="568" w:hanging="284"/>
        <w:rPr>
          <w:rFonts w:cs="Arial"/>
        </w:rPr>
      </w:pPr>
      <w:r>
        <w:rPr>
          <w:rFonts w:cs="Arial"/>
        </w:rPr>
        <w:t>μ</w:t>
      </w:r>
      <w:r w:rsidR="002F0CDA" w:rsidRPr="00AB5252">
        <w:rPr>
          <w:rFonts w:cs="Arial"/>
        </w:rPr>
        <w:t>είωση των τραπεζικών προμηθειών</w:t>
      </w:r>
      <w:r>
        <w:rPr>
          <w:rFonts w:cs="Arial"/>
        </w:rPr>
        <w:t>,</w:t>
      </w:r>
    </w:p>
    <w:p w14:paraId="521580F8" w14:textId="1F4BCB55" w:rsidR="002F0CDA" w:rsidRPr="00AB5252" w:rsidRDefault="00DD4272" w:rsidP="00270C2C">
      <w:pPr>
        <w:numPr>
          <w:ilvl w:val="0"/>
          <w:numId w:val="1"/>
        </w:numPr>
        <w:spacing w:before="60" w:after="60"/>
        <w:ind w:left="568" w:hanging="284"/>
        <w:rPr>
          <w:rFonts w:cs="Arial"/>
        </w:rPr>
      </w:pPr>
      <w:r>
        <w:rPr>
          <w:rFonts w:cs="Arial"/>
        </w:rPr>
        <w:t>δ</w:t>
      </w:r>
      <w:r w:rsidR="002F0CDA" w:rsidRPr="00AB5252">
        <w:rPr>
          <w:rFonts w:cs="Arial"/>
        </w:rPr>
        <w:t xml:space="preserve">ιπλασιασμός </w:t>
      </w:r>
      <w:r w:rsidR="00641F01">
        <w:rPr>
          <w:rFonts w:cs="Arial"/>
        </w:rPr>
        <w:t xml:space="preserve">των εισοδηματικών </w:t>
      </w:r>
      <w:r w:rsidR="002F0CDA" w:rsidRPr="00AB5252">
        <w:rPr>
          <w:rFonts w:cs="Arial"/>
        </w:rPr>
        <w:t xml:space="preserve">ορίων </w:t>
      </w:r>
      <w:r w:rsidR="00641F01">
        <w:rPr>
          <w:rFonts w:cs="Arial"/>
        </w:rPr>
        <w:t xml:space="preserve">του </w:t>
      </w:r>
      <w:r w:rsidR="002F0CDA" w:rsidRPr="00AB5252">
        <w:rPr>
          <w:rFonts w:cs="Arial"/>
        </w:rPr>
        <w:t>εξωδικαστικού μηχανισμού</w:t>
      </w:r>
      <w:r w:rsidR="00641F01">
        <w:rPr>
          <w:rFonts w:cs="Arial"/>
        </w:rPr>
        <w:t xml:space="preserve"> και</w:t>
      </w:r>
    </w:p>
    <w:p w14:paraId="1B987840" w14:textId="239B1665" w:rsidR="002F0CDA" w:rsidRPr="00AB5252" w:rsidRDefault="00DD4272" w:rsidP="00D06381">
      <w:pPr>
        <w:numPr>
          <w:ilvl w:val="0"/>
          <w:numId w:val="2"/>
        </w:numPr>
        <w:spacing w:before="60"/>
        <w:ind w:left="568" w:hanging="284"/>
      </w:pPr>
      <w:r w:rsidRPr="00641F01">
        <w:rPr>
          <w:rFonts w:cs="Arial"/>
        </w:rPr>
        <w:t>μ</w:t>
      </w:r>
      <w:r w:rsidR="002F0CDA" w:rsidRPr="00641F01">
        <w:rPr>
          <w:rFonts w:cs="Arial"/>
        </w:rPr>
        <w:t>είωση των ασφαλιστικών εισφορών για υπερεργασία, υπερωρίες, νυ</w:t>
      </w:r>
      <w:r w:rsidR="005E0621">
        <w:rPr>
          <w:rFonts w:cs="Arial"/>
        </w:rPr>
        <w:t>χ</w:t>
      </w:r>
      <w:r w:rsidR="002F0CDA" w:rsidRPr="00641F01">
        <w:rPr>
          <w:rFonts w:cs="Arial"/>
        </w:rPr>
        <w:t>τερινή απασχόληση και απασχόληση σε ημέρες αργίας ή Κυριακές για εργαζόμενους πλήρους απασχόλησης</w:t>
      </w:r>
      <w:r w:rsidR="002F0CDA" w:rsidRPr="00AB5252">
        <w:t>.</w:t>
      </w:r>
    </w:p>
    <w:p w14:paraId="4349FA54" w14:textId="7B17DCA4" w:rsidR="002F0CDA" w:rsidRPr="00AB5252" w:rsidRDefault="002F0CDA" w:rsidP="00D06381">
      <w:pPr>
        <w:spacing w:before="120"/>
      </w:pPr>
      <w:r w:rsidRPr="00AB5252">
        <w:t xml:space="preserve">Για το 2026 θεσπίζονται οι ακόλουθες </w:t>
      </w:r>
      <w:r w:rsidR="00D06381">
        <w:t xml:space="preserve">νέες </w:t>
      </w:r>
      <w:r w:rsidRPr="00AB5252">
        <w:t>παρεμβάσεις:</w:t>
      </w:r>
    </w:p>
    <w:p w14:paraId="08154282" w14:textId="77777777" w:rsidR="002F0CDA" w:rsidRPr="00AB5252" w:rsidRDefault="00DD4272" w:rsidP="00DC2AF5">
      <w:pPr>
        <w:numPr>
          <w:ilvl w:val="0"/>
          <w:numId w:val="1"/>
        </w:numPr>
        <w:spacing w:before="120" w:after="60"/>
        <w:ind w:left="568" w:hanging="284"/>
        <w:rPr>
          <w:rFonts w:cs="Arial"/>
        </w:rPr>
      </w:pPr>
      <w:r>
        <w:rPr>
          <w:rFonts w:cs="Arial"/>
        </w:rPr>
        <w:t>κ</w:t>
      </w:r>
      <w:r w:rsidR="002F0CDA" w:rsidRPr="00AB5252">
        <w:rPr>
          <w:rFonts w:cs="Arial"/>
        </w:rPr>
        <w:t xml:space="preserve">ατάργηση </w:t>
      </w:r>
      <w:r w:rsidR="00A65F7D">
        <w:rPr>
          <w:rFonts w:cs="Arial"/>
        </w:rPr>
        <w:t>α</w:t>
      </w:r>
      <w:r w:rsidR="00A65F7D" w:rsidRPr="00AB5252">
        <w:rPr>
          <w:rFonts w:cs="Arial"/>
        </w:rPr>
        <w:t>πό τον Ιανουάριο 2026</w:t>
      </w:r>
      <w:r w:rsidR="00A65F7D">
        <w:rPr>
          <w:rFonts w:cs="Arial"/>
        </w:rPr>
        <w:t xml:space="preserve"> του </w:t>
      </w:r>
      <w:r w:rsidR="002F0CDA" w:rsidRPr="00AB5252">
        <w:rPr>
          <w:rFonts w:cs="Arial"/>
        </w:rPr>
        <w:t>τέλους</w:t>
      </w:r>
      <w:r w:rsidR="00A65F7D">
        <w:rPr>
          <w:rFonts w:cs="Arial"/>
        </w:rPr>
        <w:t xml:space="preserve"> 10%</w:t>
      </w:r>
      <w:r w:rsidR="002F0CDA" w:rsidRPr="00AB5252">
        <w:rPr>
          <w:rFonts w:cs="Arial"/>
        </w:rPr>
        <w:t xml:space="preserve"> </w:t>
      </w:r>
      <w:r w:rsidR="00A65F7D">
        <w:rPr>
          <w:rFonts w:cs="Arial"/>
        </w:rPr>
        <w:t xml:space="preserve">στη </w:t>
      </w:r>
      <w:r w:rsidR="002F0CDA" w:rsidRPr="00AB5252">
        <w:rPr>
          <w:rFonts w:cs="Arial"/>
        </w:rPr>
        <w:t>συνδρομητική τηλεόραση, με ετήσιο κόστος 22 εκατ. ευρώ</w:t>
      </w:r>
      <w:r>
        <w:rPr>
          <w:rFonts w:cs="Arial"/>
        </w:rPr>
        <w:t>,</w:t>
      </w:r>
    </w:p>
    <w:p w14:paraId="3C1932BB" w14:textId="04FE2799" w:rsidR="00DC7B31" w:rsidRDefault="00A65F7D" w:rsidP="00DC2AF5">
      <w:pPr>
        <w:numPr>
          <w:ilvl w:val="0"/>
          <w:numId w:val="1"/>
        </w:numPr>
        <w:spacing w:before="60" w:after="60"/>
        <w:ind w:left="568" w:hanging="284"/>
        <w:rPr>
          <w:rFonts w:cs="Arial"/>
        </w:rPr>
      </w:pPr>
      <w:r w:rsidRPr="00DC2AF5">
        <w:rPr>
          <w:rFonts w:cs="Arial"/>
        </w:rPr>
        <w:t xml:space="preserve">επέκταση της μείωσης κατά 50% </w:t>
      </w:r>
      <w:r w:rsidR="00DC2AF5" w:rsidRPr="00DC2AF5">
        <w:rPr>
          <w:rFonts w:cs="Arial"/>
        </w:rPr>
        <w:t xml:space="preserve">του </w:t>
      </w:r>
      <w:r w:rsidR="00D06381">
        <w:rPr>
          <w:rFonts w:cs="Arial"/>
        </w:rPr>
        <w:t>ελάχιστου</w:t>
      </w:r>
      <w:r w:rsidR="00DC2AF5" w:rsidRPr="00DC2AF5">
        <w:rPr>
          <w:rFonts w:cs="Arial"/>
        </w:rPr>
        <w:t xml:space="preserve"> εισοδήματος για τους ελεύθερους επαγγελματίες στους οικισμούς εκτός Αττικής με πληθυσμό έως 1.500 κατοίκους</w:t>
      </w:r>
      <w:r w:rsidR="00D06381">
        <w:rPr>
          <w:rFonts w:cs="Arial"/>
        </w:rPr>
        <w:t xml:space="preserve"> και τα σχολικά κυλικεία</w:t>
      </w:r>
      <w:r w:rsidR="00FE7714">
        <w:rPr>
          <w:rFonts w:cs="Arial"/>
        </w:rPr>
        <w:t>,</w:t>
      </w:r>
    </w:p>
    <w:p w14:paraId="32A52E79" w14:textId="7193433D" w:rsidR="002F0CDA" w:rsidRDefault="00DC7B31" w:rsidP="00DC2AF5">
      <w:pPr>
        <w:numPr>
          <w:ilvl w:val="0"/>
          <w:numId w:val="1"/>
        </w:numPr>
        <w:spacing w:before="60" w:after="60"/>
        <w:ind w:left="568" w:hanging="284"/>
        <w:rPr>
          <w:rFonts w:cs="Arial"/>
        </w:rPr>
      </w:pPr>
      <w:r>
        <w:rPr>
          <w:rFonts w:cs="Arial"/>
        </w:rPr>
        <w:t>ε</w:t>
      </w:r>
      <w:r w:rsidR="002F0CDA" w:rsidRPr="00AB5252">
        <w:rPr>
          <w:rFonts w:cs="Arial"/>
        </w:rPr>
        <w:t>ξα</w:t>
      </w:r>
      <w:r>
        <w:rPr>
          <w:rFonts w:cs="Arial"/>
        </w:rPr>
        <w:t xml:space="preserve">ίρεση από το ελάχιστο εισόδημα για τις νέες μητέρες που ασκούν ελεύθερο επάγγελμα κατά το έτος γέννησης </w:t>
      </w:r>
      <w:r w:rsidR="00EF5220">
        <w:rPr>
          <w:rFonts w:cs="Arial"/>
        </w:rPr>
        <w:t xml:space="preserve">του </w:t>
      </w:r>
      <w:r>
        <w:rPr>
          <w:rFonts w:cs="Arial"/>
        </w:rPr>
        <w:t>τέκνου</w:t>
      </w:r>
      <w:r w:rsidR="00EF5220">
        <w:rPr>
          <w:rFonts w:cs="Arial"/>
        </w:rPr>
        <w:t xml:space="preserve"> καθώς</w:t>
      </w:r>
      <w:r>
        <w:rPr>
          <w:rFonts w:cs="Arial"/>
        </w:rPr>
        <w:t xml:space="preserve"> και</w:t>
      </w:r>
      <w:r w:rsidR="00EF5220">
        <w:rPr>
          <w:rFonts w:cs="Arial"/>
        </w:rPr>
        <w:t xml:space="preserve"> για </w:t>
      </w:r>
      <w:r>
        <w:rPr>
          <w:rFonts w:cs="Arial"/>
        </w:rPr>
        <w:t>τα επόμενα δύο έτη,</w:t>
      </w:r>
    </w:p>
    <w:p w14:paraId="0F772709" w14:textId="71C2779C" w:rsidR="00DC7B31" w:rsidRDefault="00DC7B31" w:rsidP="00DC7B31">
      <w:pPr>
        <w:numPr>
          <w:ilvl w:val="0"/>
          <w:numId w:val="1"/>
        </w:numPr>
        <w:spacing w:before="60" w:after="60"/>
        <w:ind w:left="568" w:hanging="284"/>
        <w:rPr>
          <w:rFonts w:cs="Arial"/>
        </w:rPr>
      </w:pPr>
      <w:r>
        <w:rPr>
          <w:rFonts w:cs="Arial"/>
        </w:rPr>
        <w:t>α</w:t>
      </w:r>
      <w:r w:rsidRPr="00391747">
        <w:rPr>
          <w:rFonts w:cs="Arial"/>
        </w:rPr>
        <w:t>ύξηση της αποζημίωσης των οπλιτών από 8,8</w:t>
      </w:r>
      <w:r w:rsidR="00EF5220">
        <w:rPr>
          <w:rFonts w:cs="Arial"/>
        </w:rPr>
        <w:t xml:space="preserve"> ευρώ</w:t>
      </w:r>
      <w:r w:rsidRPr="00391747">
        <w:rPr>
          <w:rFonts w:cs="Arial"/>
        </w:rPr>
        <w:t xml:space="preserve"> σε 50 έως 100 ευρώ</w:t>
      </w:r>
      <w:r>
        <w:rPr>
          <w:rFonts w:cs="Arial"/>
        </w:rPr>
        <w:t xml:space="preserve"> μηνιαίως, με </w:t>
      </w:r>
      <w:r w:rsidR="00FD0E37">
        <w:rPr>
          <w:rFonts w:cs="Arial"/>
        </w:rPr>
        <w:t xml:space="preserve">ετήσιο </w:t>
      </w:r>
      <w:r>
        <w:rPr>
          <w:rFonts w:cs="Arial"/>
        </w:rPr>
        <w:t xml:space="preserve">δημοσιονομικό κόστος 25 εκατ. ευρώ </w:t>
      </w:r>
      <w:r w:rsidR="00FD0E37">
        <w:rPr>
          <w:rFonts w:cs="Arial"/>
        </w:rPr>
        <w:t>περίπου</w:t>
      </w:r>
      <w:r>
        <w:rPr>
          <w:rFonts w:cs="Arial"/>
        </w:rPr>
        <w:t>,</w:t>
      </w:r>
    </w:p>
    <w:p w14:paraId="05F4A91C" w14:textId="0612FCEA" w:rsidR="002F0CDA" w:rsidRPr="00AB5252" w:rsidRDefault="008273E7" w:rsidP="00270C2C">
      <w:pPr>
        <w:numPr>
          <w:ilvl w:val="0"/>
          <w:numId w:val="1"/>
        </w:numPr>
        <w:spacing w:before="60" w:after="60"/>
        <w:ind w:left="568" w:hanging="284"/>
        <w:rPr>
          <w:rFonts w:cs="Arial"/>
        </w:rPr>
      </w:pPr>
      <w:r>
        <w:rPr>
          <w:rFonts w:cs="Arial"/>
        </w:rPr>
        <w:lastRenderedPageBreak/>
        <w:t>έναρξη λειτουργίας από</w:t>
      </w:r>
      <w:r w:rsidR="00A82132">
        <w:rPr>
          <w:rFonts w:cs="Arial"/>
        </w:rPr>
        <w:t xml:space="preserve"> τον</w:t>
      </w:r>
      <w:r>
        <w:rPr>
          <w:rFonts w:cs="Arial"/>
        </w:rPr>
        <w:t xml:space="preserve"> Ιανουάριο 2026 του </w:t>
      </w:r>
      <w:r w:rsidR="002F0CDA" w:rsidRPr="00AB5252">
        <w:rPr>
          <w:rFonts w:cs="Arial"/>
        </w:rPr>
        <w:t>Ταμείο</w:t>
      </w:r>
      <w:r>
        <w:rPr>
          <w:rFonts w:cs="Arial"/>
        </w:rPr>
        <w:t>υ</w:t>
      </w:r>
      <w:r w:rsidR="002F0CDA" w:rsidRPr="00AB5252">
        <w:rPr>
          <w:rFonts w:cs="Arial"/>
        </w:rPr>
        <w:t xml:space="preserve"> Καινοτομίας Φαρμάκων</w:t>
      </w:r>
      <w:r>
        <w:rPr>
          <w:rFonts w:cs="Arial"/>
        </w:rPr>
        <w:t xml:space="preserve">, </w:t>
      </w:r>
      <w:r w:rsidR="002F0CDA" w:rsidRPr="00AB5252">
        <w:rPr>
          <w:rFonts w:cs="Arial"/>
        </w:rPr>
        <w:t>με ετήσι</w:t>
      </w:r>
      <w:r w:rsidR="00DC7B31">
        <w:rPr>
          <w:rFonts w:cs="Arial"/>
        </w:rPr>
        <w:t>ο</w:t>
      </w:r>
      <w:r w:rsidR="002F0CDA" w:rsidRPr="00AB5252">
        <w:rPr>
          <w:rFonts w:cs="Arial"/>
        </w:rPr>
        <w:t xml:space="preserve"> </w:t>
      </w:r>
      <w:r w:rsidR="00DC7B31">
        <w:rPr>
          <w:rFonts w:cs="Arial"/>
        </w:rPr>
        <w:t xml:space="preserve">κόστος </w:t>
      </w:r>
      <w:r w:rsidR="002F0CDA" w:rsidRPr="00AB5252">
        <w:rPr>
          <w:rFonts w:cs="Arial"/>
        </w:rPr>
        <w:t xml:space="preserve">50 εκατ. ευρώ, </w:t>
      </w:r>
      <w:r>
        <w:rPr>
          <w:rFonts w:cs="Arial"/>
        </w:rPr>
        <w:t xml:space="preserve">για την ευχερέστερη </w:t>
      </w:r>
      <w:r w:rsidR="002F0CDA" w:rsidRPr="00AB5252">
        <w:rPr>
          <w:rFonts w:cs="Arial"/>
        </w:rPr>
        <w:t>πρόσβαση των ασθενών σε καινοτόμες θεραπείες</w:t>
      </w:r>
      <w:r w:rsidR="00DD4272">
        <w:rPr>
          <w:rFonts w:cs="Arial"/>
        </w:rPr>
        <w:t xml:space="preserve"> και</w:t>
      </w:r>
    </w:p>
    <w:p w14:paraId="16083FC9" w14:textId="53866014" w:rsidR="00BC23DC" w:rsidRDefault="008273E7" w:rsidP="005D4043">
      <w:pPr>
        <w:numPr>
          <w:ilvl w:val="0"/>
          <w:numId w:val="2"/>
        </w:numPr>
        <w:spacing w:before="60" w:after="240"/>
        <w:ind w:left="568" w:hanging="284"/>
      </w:pPr>
      <w:r>
        <w:t xml:space="preserve">απαλλαγή, από το φορολογικό έτος 2026, των </w:t>
      </w:r>
      <w:r w:rsidRPr="00AB5252">
        <w:t>ιδρ</w:t>
      </w:r>
      <w:r>
        <w:t>υ</w:t>
      </w:r>
      <w:r w:rsidRPr="00AB5252">
        <w:t>μ</w:t>
      </w:r>
      <w:r>
        <w:t xml:space="preserve">άτων </w:t>
      </w:r>
      <w:r w:rsidRPr="00AB5252">
        <w:t>και</w:t>
      </w:r>
      <w:r>
        <w:t xml:space="preserve"> των</w:t>
      </w:r>
      <w:r w:rsidRPr="00AB5252">
        <w:t xml:space="preserve"> κληροδοτ</w:t>
      </w:r>
      <w:r>
        <w:t>ημάτων α</w:t>
      </w:r>
      <w:r w:rsidR="002F0CDA" w:rsidRPr="00AB5252">
        <w:t>πό το</w:t>
      </w:r>
      <w:r>
        <w:t xml:space="preserve">ν </w:t>
      </w:r>
      <w:r w:rsidRPr="00AB5252">
        <w:t>φόρο εισοδήματο</w:t>
      </w:r>
      <w:r>
        <w:t xml:space="preserve">ς καθώς και μη φορολόγηση των </w:t>
      </w:r>
      <w:r w:rsidR="002F0CDA" w:rsidRPr="00AB5252">
        <w:t>δωρε</w:t>
      </w:r>
      <w:r>
        <w:t>ών</w:t>
      </w:r>
      <w:r w:rsidR="002F0CDA" w:rsidRPr="00AB5252">
        <w:t xml:space="preserve"> προς αυτά. Το </w:t>
      </w:r>
      <w:r w:rsidR="00A82132">
        <w:t xml:space="preserve">εν λόγω </w:t>
      </w:r>
      <w:r w:rsidR="002F0CDA" w:rsidRPr="00AB5252">
        <w:t>μέτρο έχει ετήσιο κόστος 43 εκατ. ευρώ.</w:t>
      </w:r>
    </w:p>
    <w:tbl>
      <w:tblPr>
        <w:tblW w:w="9353" w:type="dxa"/>
        <w:jc w:val="center"/>
        <w:tblBorders>
          <w:top w:val="single" w:sz="2" w:space="0" w:color="808080" w:themeColor="background1" w:themeShade="80"/>
          <w:left w:val="single" w:sz="2" w:space="0" w:color="808080" w:themeColor="background1" w:themeShade="80"/>
          <w:right w:val="single" w:sz="2" w:space="0" w:color="808080" w:themeColor="background1" w:themeShade="80"/>
          <w:insideH w:val="single" w:sz="2" w:space="0" w:color="808080" w:themeColor="background1" w:themeShade="80"/>
        </w:tblBorders>
        <w:tblLook w:val="04A0" w:firstRow="1" w:lastRow="0" w:firstColumn="1" w:lastColumn="0" w:noHBand="0" w:noVBand="1"/>
      </w:tblPr>
      <w:tblGrid>
        <w:gridCol w:w="7142"/>
        <w:gridCol w:w="737"/>
        <w:gridCol w:w="737"/>
        <w:gridCol w:w="737"/>
      </w:tblGrid>
      <w:tr w:rsidR="00397D6E" w:rsidRPr="00900BF4" w14:paraId="3B6BBD10" w14:textId="77777777" w:rsidTr="00327F03">
        <w:trPr>
          <w:cantSplit/>
          <w:trHeight w:val="567"/>
          <w:tblHeader/>
          <w:jc w:val="center"/>
        </w:trPr>
        <w:tc>
          <w:tcPr>
            <w:tcW w:w="9353" w:type="dxa"/>
            <w:gridSpan w:val="4"/>
            <w:tcBorders>
              <w:bottom w:val="nil"/>
            </w:tcBorders>
            <w:shd w:val="clear" w:color="auto" w:fill="D5DCE4"/>
            <w:vAlign w:val="center"/>
          </w:tcPr>
          <w:p w14:paraId="5583C6BA" w14:textId="07F409C1" w:rsidR="00397D6E" w:rsidRPr="00900BF4" w:rsidRDefault="00A97E76" w:rsidP="0070601D">
            <w:pPr>
              <w:spacing w:after="0" w:line="276" w:lineRule="auto"/>
              <w:jc w:val="center"/>
              <w:rPr>
                <w:rFonts w:cs="Arial"/>
                <w:b/>
                <w:bCs/>
                <w:color w:val="000000"/>
                <w:sz w:val="22"/>
                <w:szCs w:val="22"/>
              </w:rPr>
            </w:pPr>
            <w:bookmarkStart w:id="348" w:name="_Toc210570900"/>
            <w:r w:rsidRPr="00A97E76">
              <w:rPr>
                <w:b/>
                <w:sz w:val="18"/>
                <w:szCs w:val="18"/>
              </w:rPr>
              <w:t>Πίνακας 2.</w:t>
            </w:r>
            <w:r w:rsidRPr="00A97E76">
              <w:rPr>
                <w:b/>
                <w:sz w:val="18"/>
                <w:szCs w:val="18"/>
              </w:rPr>
              <w:fldChar w:fldCharType="begin"/>
            </w:r>
            <w:r w:rsidRPr="00A97E76">
              <w:rPr>
                <w:b/>
                <w:sz w:val="18"/>
                <w:szCs w:val="18"/>
              </w:rPr>
              <w:instrText xml:space="preserve"> SEQ Πίνακας_2. \* ARABIC </w:instrText>
            </w:r>
            <w:r w:rsidRPr="00A97E76">
              <w:rPr>
                <w:b/>
                <w:sz w:val="18"/>
                <w:szCs w:val="18"/>
              </w:rPr>
              <w:fldChar w:fldCharType="separate"/>
            </w:r>
            <w:r w:rsidR="00C42930">
              <w:rPr>
                <w:b/>
                <w:noProof/>
                <w:sz w:val="18"/>
                <w:szCs w:val="18"/>
              </w:rPr>
              <w:t>4</w:t>
            </w:r>
            <w:r w:rsidRPr="00A97E76">
              <w:rPr>
                <w:b/>
                <w:sz w:val="18"/>
                <w:szCs w:val="18"/>
              </w:rPr>
              <w:fldChar w:fldCharType="end"/>
            </w:r>
            <w:r w:rsidRPr="00A97E76">
              <w:rPr>
                <w:b/>
                <w:sz w:val="18"/>
                <w:szCs w:val="18"/>
              </w:rPr>
              <w:t>.:</w:t>
            </w:r>
            <w:r>
              <w:rPr>
                <w:b/>
                <w:sz w:val="18"/>
                <w:szCs w:val="18"/>
              </w:rPr>
              <w:t xml:space="preserve"> </w:t>
            </w:r>
            <w:r w:rsidR="00397D6E" w:rsidRPr="00900BF4">
              <w:rPr>
                <w:rFonts w:cs="Arial"/>
                <w:b/>
                <w:bCs/>
                <w:color w:val="000000"/>
                <w:sz w:val="18"/>
                <w:szCs w:val="22"/>
              </w:rPr>
              <w:t>Κυριότερες μόνιμες δημοσιονομικές παρεμβάσεις 2025</w:t>
            </w:r>
            <w:r w:rsidR="00397D6E" w:rsidRPr="00397D6E">
              <w:rPr>
                <w:rFonts w:cs="Arial"/>
                <w:b/>
                <w:bCs/>
                <w:color w:val="000000"/>
                <w:sz w:val="18"/>
                <w:szCs w:val="22"/>
              </w:rPr>
              <w:t xml:space="preserve"> </w:t>
            </w:r>
            <w:r w:rsidR="00EC6B93">
              <w:rPr>
                <w:rFonts w:cs="Arial"/>
                <w:b/>
                <w:bCs/>
                <w:color w:val="000000"/>
                <w:sz w:val="18"/>
                <w:szCs w:val="22"/>
              </w:rPr>
              <w:t>-</w:t>
            </w:r>
            <w:r w:rsidR="00397D6E" w:rsidRPr="00397D6E">
              <w:rPr>
                <w:rFonts w:cs="Arial"/>
                <w:b/>
                <w:bCs/>
                <w:color w:val="000000"/>
                <w:sz w:val="18"/>
                <w:szCs w:val="22"/>
              </w:rPr>
              <w:t xml:space="preserve"> </w:t>
            </w:r>
            <w:r w:rsidR="00397D6E" w:rsidRPr="00900BF4">
              <w:rPr>
                <w:rFonts w:cs="Arial"/>
                <w:b/>
                <w:bCs/>
                <w:color w:val="000000"/>
                <w:sz w:val="18"/>
                <w:szCs w:val="22"/>
              </w:rPr>
              <w:t>2027</w:t>
            </w:r>
            <w:bookmarkEnd w:id="348"/>
          </w:p>
        </w:tc>
      </w:tr>
      <w:tr w:rsidR="00CC6520" w:rsidRPr="00900BF4" w14:paraId="1CC6952D" w14:textId="77777777" w:rsidTr="00327F03">
        <w:trPr>
          <w:cantSplit/>
          <w:trHeight w:val="340"/>
          <w:tblHeader/>
          <w:jc w:val="center"/>
        </w:trPr>
        <w:tc>
          <w:tcPr>
            <w:tcW w:w="7142" w:type="dxa"/>
            <w:tcBorders>
              <w:top w:val="nil"/>
            </w:tcBorders>
            <w:shd w:val="clear" w:color="auto" w:fill="FFFFFF"/>
            <w:vAlign w:val="center"/>
            <w:hideMark/>
          </w:tcPr>
          <w:p w14:paraId="2F40F371" w14:textId="77777777" w:rsidR="00900BF4" w:rsidRPr="00900BF4" w:rsidRDefault="00397D6E" w:rsidP="0070601D">
            <w:pPr>
              <w:spacing w:after="0" w:line="276" w:lineRule="auto"/>
              <w:jc w:val="center"/>
              <w:rPr>
                <w:rFonts w:cs="Arial"/>
                <w:b/>
                <w:bCs/>
                <w:color w:val="000000"/>
                <w:sz w:val="16"/>
                <w:szCs w:val="22"/>
              </w:rPr>
            </w:pPr>
            <w:r w:rsidRPr="00397D6E">
              <w:rPr>
                <w:rFonts w:cs="Arial"/>
                <w:b/>
                <w:bCs/>
                <w:color w:val="000000"/>
                <w:sz w:val="16"/>
                <w:szCs w:val="22"/>
              </w:rPr>
              <w:t>Περιγραφή</w:t>
            </w:r>
          </w:p>
        </w:tc>
        <w:tc>
          <w:tcPr>
            <w:tcW w:w="737" w:type="dxa"/>
            <w:tcBorders>
              <w:top w:val="nil"/>
            </w:tcBorders>
            <w:shd w:val="clear" w:color="auto" w:fill="FFFFFF"/>
            <w:noWrap/>
            <w:vAlign w:val="center"/>
            <w:hideMark/>
          </w:tcPr>
          <w:p w14:paraId="69C80DB7" w14:textId="77777777" w:rsidR="00900BF4" w:rsidRPr="00900BF4" w:rsidRDefault="00900BF4" w:rsidP="0070601D">
            <w:pPr>
              <w:spacing w:after="0" w:line="276" w:lineRule="auto"/>
              <w:jc w:val="center"/>
              <w:rPr>
                <w:rFonts w:cs="Arial"/>
                <w:b/>
                <w:bCs/>
                <w:color w:val="000000"/>
                <w:sz w:val="16"/>
                <w:szCs w:val="22"/>
              </w:rPr>
            </w:pPr>
            <w:r w:rsidRPr="00900BF4">
              <w:rPr>
                <w:rFonts w:cs="Arial"/>
                <w:b/>
                <w:bCs/>
                <w:color w:val="000000"/>
                <w:sz w:val="16"/>
                <w:szCs w:val="22"/>
              </w:rPr>
              <w:t>2025</w:t>
            </w:r>
          </w:p>
        </w:tc>
        <w:tc>
          <w:tcPr>
            <w:tcW w:w="737" w:type="dxa"/>
            <w:tcBorders>
              <w:top w:val="nil"/>
            </w:tcBorders>
            <w:shd w:val="clear" w:color="auto" w:fill="FFFFFF"/>
            <w:noWrap/>
            <w:vAlign w:val="center"/>
            <w:hideMark/>
          </w:tcPr>
          <w:p w14:paraId="3AC31340" w14:textId="77777777" w:rsidR="00900BF4" w:rsidRPr="00900BF4" w:rsidRDefault="00900BF4" w:rsidP="0070601D">
            <w:pPr>
              <w:spacing w:after="0" w:line="276" w:lineRule="auto"/>
              <w:jc w:val="center"/>
              <w:rPr>
                <w:rFonts w:cs="Arial"/>
                <w:b/>
                <w:bCs/>
                <w:color w:val="000000"/>
                <w:sz w:val="16"/>
                <w:szCs w:val="22"/>
              </w:rPr>
            </w:pPr>
            <w:r w:rsidRPr="00900BF4">
              <w:rPr>
                <w:rFonts w:cs="Arial"/>
                <w:b/>
                <w:bCs/>
                <w:color w:val="000000"/>
                <w:sz w:val="16"/>
                <w:szCs w:val="22"/>
              </w:rPr>
              <w:t>2026</w:t>
            </w:r>
          </w:p>
        </w:tc>
        <w:tc>
          <w:tcPr>
            <w:tcW w:w="737" w:type="dxa"/>
            <w:tcBorders>
              <w:top w:val="nil"/>
            </w:tcBorders>
            <w:shd w:val="clear" w:color="auto" w:fill="FFFFFF"/>
            <w:noWrap/>
            <w:vAlign w:val="center"/>
            <w:hideMark/>
          </w:tcPr>
          <w:p w14:paraId="68C65C0F" w14:textId="77777777" w:rsidR="00900BF4" w:rsidRPr="00900BF4" w:rsidRDefault="00900BF4" w:rsidP="0070601D">
            <w:pPr>
              <w:spacing w:after="0" w:line="276" w:lineRule="auto"/>
              <w:jc w:val="center"/>
              <w:rPr>
                <w:rFonts w:cs="Arial"/>
                <w:b/>
                <w:bCs/>
                <w:color w:val="000000"/>
                <w:sz w:val="16"/>
                <w:szCs w:val="22"/>
              </w:rPr>
            </w:pPr>
            <w:r w:rsidRPr="00900BF4">
              <w:rPr>
                <w:rFonts w:cs="Arial"/>
                <w:b/>
                <w:bCs/>
                <w:color w:val="000000"/>
                <w:sz w:val="16"/>
                <w:szCs w:val="22"/>
              </w:rPr>
              <w:t>2027</w:t>
            </w:r>
          </w:p>
        </w:tc>
      </w:tr>
      <w:tr w:rsidR="00C920F2" w:rsidRPr="00900BF4" w14:paraId="22031AAE" w14:textId="77777777" w:rsidTr="00BD4758">
        <w:trPr>
          <w:cantSplit/>
          <w:jc w:val="center"/>
        </w:trPr>
        <w:tc>
          <w:tcPr>
            <w:tcW w:w="7142" w:type="dxa"/>
            <w:shd w:val="clear" w:color="auto" w:fill="D9D9D9" w:themeFill="background1" w:themeFillShade="D9"/>
            <w:vAlign w:val="center"/>
            <w:hideMark/>
          </w:tcPr>
          <w:p w14:paraId="09559E24" w14:textId="77777777" w:rsidR="00900BF4" w:rsidRPr="00900BF4" w:rsidRDefault="000F330B" w:rsidP="00F259BF">
            <w:pPr>
              <w:spacing w:after="0" w:line="276" w:lineRule="auto"/>
              <w:jc w:val="left"/>
              <w:rPr>
                <w:rFonts w:cs="Arial"/>
                <w:b/>
                <w:iCs/>
                <w:color w:val="000000"/>
                <w:sz w:val="16"/>
                <w:szCs w:val="16"/>
              </w:rPr>
            </w:pPr>
            <w:r w:rsidRPr="00B95507">
              <w:rPr>
                <w:rFonts w:cs="Arial"/>
                <w:b/>
                <w:iCs/>
                <w:color w:val="000000"/>
                <w:sz w:val="16"/>
                <w:szCs w:val="16"/>
              </w:rPr>
              <w:t xml:space="preserve">Α. </w:t>
            </w:r>
            <w:r w:rsidR="00900BF4" w:rsidRPr="00B95507">
              <w:rPr>
                <w:rFonts w:cs="Arial"/>
                <w:b/>
                <w:iCs/>
                <w:color w:val="000000"/>
                <w:sz w:val="16"/>
                <w:szCs w:val="16"/>
              </w:rPr>
              <w:t>Νέες παρεμβάσεις</w:t>
            </w:r>
            <w:r w:rsidR="00715918" w:rsidRPr="00B95507">
              <w:rPr>
                <w:rFonts w:cs="Arial"/>
                <w:b/>
                <w:bCs/>
                <w:color w:val="000000"/>
                <w:sz w:val="18"/>
                <w:szCs w:val="22"/>
              </w:rPr>
              <w:t>*</w:t>
            </w:r>
          </w:p>
        </w:tc>
        <w:tc>
          <w:tcPr>
            <w:tcW w:w="737" w:type="dxa"/>
            <w:shd w:val="clear" w:color="auto" w:fill="D9D9D9" w:themeFill="background1" w:themeFillShade="D9"/>
            <w:noWrap/>
            <w:vAlign w:val="center"/>
            <w:hideMark/>
          </w:tcPr>
          <w:p w14:paraId="34A086CC" w14:textId="77777777" w:rsidR="00900BF4" w:rsidRPr="00900BF4" w:rsidRDefault="00900BF4" w:rsidP="00F259BF">
            <w:pPr>
              <w:spacing w:after="0" w:line="276" w:lineRule="auto"/>
              <w:jc w:val="left"/>
              <w:rPr>
                <w:rFonts w:cs="Arial"/>
                <w:b/>
                <w:color w:val="000000"/>
                <w:sz w:val="16"/>
                <w:szCs w:val="16"/>
              </w:rPr>
            </w:pPr>
            <w:r w:rsidRPr="00900BF4">
              <w:rPr>
                <w:rFonts w:cs="Arial"/>
                <w:b/>
                <w:color w:val="000000"/>
                <w:sz w:val="16"/>
                <w:szCs w:val="16"/>
              </w:rPr>
              <w:t> </w:t>
            </w:r>
          </w:p>
        </w:tc>
        <w:tc>
          <w:tcPr>
            <w:tcW w:w="737" w:type="dxa"/>
            <w:shd w:val="clear" w:color="auto" w:fill="D9D9D9" w:themeFill="background1" w:themeFillShade="D9"/>
            <w:noWrap/>
            <w:vAlign w:val="center"/>
            <w:hideMark/>
          </w:tcPr>
          <w:p w14:paraId="0D601109" w14:textId="77777777" w:rsidR="00900BF4" w:rsidRPr="00900BF4" w:rsidRDefault="00900BF4" w:rsidP="00F259BF">
            <w:pPr>
              <w:spacing w:after="0" w:line="276" w:lineRule="auto"/>
              <w:jc w:val="left"/>
              <w:rPr>
                <w:rFonts w:cs="Arial"/>
                <w:b/>
                <w:color w:val="000000"/>
                <w:sz w:val="16"/>
                <w:szCs w:val="16"/>
              </w:rPr>
            </w:pPr>
            <w:r w:rsidRPr="00900BF4">
              <w:rPr>
                <w:rFonts w:cs="Arial"/>
                <w:b/>
                <w:color w:val="000000"/>
                <w:sz w:val="16"/>
                <w:szCs w:val="16"/>
              </w:rPr>
              <w:t> </w:t>
            </w:r>
          </w:p>
        </w:tc>
        <w:tc>
          <w:tcPr>
            <w:tcW w:w="737" w:type="dxa"/>
            <w:shd w:val="clear" w:color="auto" w:fill="D9D9D9" w:themeFill="background1" w:themeFillShade="D9"/>
            <w:noWrap/>
            <w:vAlign w:val="center"/>
            <w:hideMark/>
          </w:tcPr>
          <w:p w14:paraId="397A4057" w14:textId="77777777" w:rsidR="00900BF4" w:rsidRPr="00900BF4" w:rsidRDefault="00900BF4" w:rsidP="00F259BF">
            <w:pPr>
              <w:spacing w:after="0" w:line="276" w:lineRule="auto"/>
              <w:jc w:val="left"/>
              <w:rPr>
                <w:rFonts w:cs="Arial"/>
                <w:b/>
                <w:color w:val="000000"/>
                <w:sz w:val="16"/>
                <w:szCs w:val="16"/>
              </w:rPr>
            </w:pPr>
            <w:r w:rsidRPr="00900BF4">
              <w:rPr>
                <w:rFonts w:cs="Arial"/>
                <w:b/>
                <w:color w:val="000000"/>
                <w:sz w:val="16"/>
                <w:szCs w:val="16"/>
              </w:rPr>
              <w:t> </w:t>
            </w:r>
          </w:p>
        </w:tc>
      </w:tr>
      <w:tr w:rsidR="00C920F2" w:rsidRPr="00900BF4" w14:paraId="1B0AE97E" w14:textId="77777777" w:rsidTr="00BD4758">
        <w:trPr>
          <w:cantSplit/>
          <w:jc w:val="center"/>
        </w:trPr>
        <w:tc>
          <w:tcPr>
            <w:tcW w:w="7142" w:type="dxa"/>
            <w:vAlign w:val="center"/>
            <w:hideMark/>
          </w:tcPr>
          <w:p w14:paraId="6C234D37" w14:textId="27AFDE0E"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Αναμόρφωση κλίμακας φορολογίας εισοδήματος</w:t>
            </w:r>
            <w:r w:rsidR="00EE15EC">
              <w:rPr>
                <w:rFonts w:cs="Arial"/>
                <w:color w:val="000000"/>
                <w:sz w:val="16"/>
                <w:szCs w:val="16"/>
              </w:rPr>
              <w:t xml:space="preserve"> με έμφαση στις οικογένειες με παιδιά, στους νέους και στη μεσαία τάξη</w:t>
            </w:r>
          </w:p>
        </w:tc>
        <w:tc>
          <w:tcPr>
            <w:tcW w:w="737" w:type="dxa"/>
            <w:noWrap/>
            <w:vAlign w:val="center"/>
            <w:hideMark/>
          </w:tcPr>
          <w:p w14:paraId="2156262D"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0103551B" w14:textId="62003A20"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w:t>
            </w:r>
            <w:r w:rsidR="007F5AE4">
              <w:rPr>
                <w:rFonts w:cs="Arial"/>
                <w:color w:val="000000"/>
                <w:sz w:val="16"/>
                <w:szCs w:val="16"/>
              </w:rPr>
              <w:t>.</w:t>
            </w:r>
            <w:r w:rsidRPr="00900BF4">
              <w:rPr>
                <w:rFonts w:cs="Arial"/>
                <w:color w:val="000000"/>
                <w:sz w:val="16"/>
                <w:szCs w:val="16"/>
              </w:rPr>
              <w:t>2</w:t>
            </w:r>
            <w:r w:rsidR="00EE15EC">
              <w:rPr>
                <w:rFonts w:cs="Arial"/>
                <w:color w:val="000000"/>
                <w:sz w:val="16"/>
                <w:szCs w:val="16"/>
              </w:rPr>
              <w:t>18</w:t>
            </w:r>
          </w:p>
        </w:tc>
        <w:tc>
          <w:tcPr>
            <w:tcW w:w="737" w:type="dxa"/>
            <w:noWrap/>
            <w:vAlign w:val="center"/>
            <w:hideMark/>
          </w:tcPr>
          <w:p w14:paraId="77E4AE98" w14:textId="75B1179C"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w:t>
            </w:r>
            <w:r w:rsidR="007F5AE4">
              <w:rPr>
                <w:rFonts w:cs="Arial"/>
                <w:color w:val="000000"/>
                <w:sz w:val="16"/>
                <w:szCs w:val="16"/>
              </w:rPr>
              <w:t>.</w:t>
            </w:r>
            <w:r w:rsidRPr="00900BF4">
              <w:rPr>
                <w:rFonts w:cs="Arial"/>
                <w:color w:val="000000"/>
                <w:sz w:val="16"/>
                <w:szCs w:val="16"/>
              </w:rPr>
              <w:t>62</w:t>
            </w:r>
            <w:r w:rsidR="00EE15EC">
              <w:rPr>
                <w:rFonts w:cs="Arial"/>
                <w:color w:val="000000"/>
                <w:sz w:val="16"/>
                <w:szCs w:val="16"/>
              </w:rPr>
              <w:t>4</w:t>
            </w:r>
          </w:p>
        </w:tc>
      </w:tr>
      <w:tr w:rsidR="00C920F2" w:rsidRPr="00900BF4" w14:paraId="6D2CC311" w14:textId="77777777" w:rsidTr="00BD4758">
        <w:trPr>
          <w:cantSplit/>
          <w:jc w:val="center"/>
        </w:trPr>
        <w:tc>
          <w:tcPr>
            <w:tcW w:w="7142" w:type="dxa"/>
            <w:vAlign w:val="center"/>
            <w:hideMark/>
          </w:tcPr>
          <w:p w14:paraId="0CAC57ED" w14:textId="71664021" w:rsidR="00900BF4" w:rsidRPr="00900BF4" w:rsidRDefault="00256B33" w:rsidP="00F259BF">
            <w:pPr>
              <w:spacing w:after="0" w:line="276" w:lineRule="auto"/>
              <w:jc w:val="left"/>
              <w:rPr>
                <w:rFonts w:cs="Arial"/>
                <w:color w:val="000000"/>
                <w:sz w:val="16"/>
                <w:szCs w:val="16"/>
              </w:rPr>
            </w:pPr>
            <w:r>
              <w:rPr>
                <w:rFonts w:cs="Arial"/>
                <w:color w:val="000000"/>
                <w:sz w:val="16"/>
                <w:szCs w:val="16"/>
              </w:rPr>
              <w:t xml:space="preserve">Μείωση </w:t>
            </w:r>
            <w:r w:rsidR="00F44A3C">
              <w:rPr>
                <w:rFonts w:cs="Arial"/>
                <w:color w:val="000000"/>
                <w:sz w:val="16"/>
                <w:szCs w:val="16"/>
              </w:rPr>
              <w:t xml:space="preserve">του </w:t>
            </w:r>
            <w:r>
              <w:rPr>
                <w:rFonts w:cs="Arial"/>
                <w:color w:val="000000"/>
                <w:sz w:val="16"/>
                <w:szCs w:val="16"/>
              </w:rPr>
              <w:t>φόρου εισοδήματος ακινήτων με ε</w:t>
            </w:r>
            <w:r w:rsidR="00900BF4" w:rsidRPr="00900BF4">
              <w:rPr>
                <w:rFonts w:cs="Arial"/>
                <w:color w:val="000000"/>
                <w:sz w:val="16"/>
                <w:szCs w:val="16"/>
              </w:rPr>
              <w:t xml:space="preserve">ισαγωγή ενδιάμεσου συντελεστή </w:t>
            </w:r>
            <w:r w:rsidR="00B95507">
              <w:rPr>
                <w:rFonts w:cs="Arial"/>
                <w:color w:val="000000"/>
                <w:sz w:val="16"/>
                <w:szCs w:val="16"/>
              </w:rPr>
              <w:t>25%</w:t>
            </w:r>
          </w:p>
        </w:tc>
        <w:tc>
          <w:tcPr>
            <w:tcW w:w="737" w:type="dxa"/>
            <w:noWrap/>
            <w:vAlign w:val="center"/>
            <w:hideMark/>
          </w:tcPr>
          <w:p w14:paraId="4AB5C7B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3ABB55D4"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3FD86F2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-90</w:t>
            </w:r>
          </w:p>
        </w:tc>
      </w:tr>
      <w:tr w:rsidR="00C920F2" w:rsidRPr="00900BF4" w14:paraId="102B7257" w14:textId="77777777" w:rsidTr="00BD4758">
        <w:trPr>
          <w:cantSplit/>
          <w:jc w:val="center"/>
        </w:trPr>
        <w:tc>
          <w:tcPr>
            <w:tcW w:w="7142" w:type="dxa"/>
            <w:vAlign w:val="center"/>
            <w:hideMark/>
          </w:tcPr>
          <w:p w14:paraId="69446134" w14:textId="77777777" w:rsidR="00900BF4" w:rsidRPr="00900BF4" w:rsidRDefault="00B95507" w:rsidP="00F259BF">
            <w:pPr>
              <w:spacing w:after="0" w:line="276" w:lineRule="auto"/>
              <w:jc w:val="left"/>
              <w:rPr>
                <w:rFonts w:cs="Arial"/>
                <w:color w:val="000000"/>
                <w:sz w:val="16"/>
                <w:szCs w:val="16"/>
              </w:rPr>
            </w:pPr>
            <w:r>
              <w:rPr>
                <w:rFonts w:cs="Arial"/>
                <w:color w:val="000000"/>
                <w:sz w:val="16"/>
                <w:szCs w:val="16"/>
              </w:rPr>
              <w:t>Σταδιακή κ</w:t>
            </w:r>
            <w:r w:rsidR="00900BF4" w:rsidRPr="00900BF4">
              <w:rPr>
                <w:rFonts w:cs="Arial"/>
                <w:color w:val="000000"/>
                <w:sz w:val="16"/>
                <w:szCs w:val="16"/>
              </w:rPr>
              <w:t xml:space="preserve">ατάργηση </w:t>
            </w:r>
            <w:r>
              <w:rPr>
                <w:rFonts w:cs="Arial"/>
                <w:color w:val="000000"/>
                <w:sz w:val="16"/>
                <w:szCs w:val="16"/>
              </w:rPr>
              <w:t xml:space="preserve">του </w:t>
            </w:r>
            <w:r w:rsidR="00900BF4" w:rsidRPr="00900BF4">
              <w:rPr>
                <w:rFonts w:cs="Arial"/>
                <w:color w:val="000000"/>
                <w:sz w:val="16"/>
                <w:szCs w:val="16"/>
              </w:rPr>
              <w:t>ΕΝΦΙΑ για κύριες κατοικίες σε οικισμούς με πληθυσμό έως 1.500 κατοίκους</w:t>
            </w:r>
            <w:r>
              <w:rPr>
                <w:rFonts w:cs="Arial"/>
                <w:color w:val="000000"/>
                <w:sz w:val="16"/>
                <w:szCs w:val="16"/>
              </w:rPr>
              <w:t xml:space="preserve"> (</w:t>
            </w:r>
            <w:r w:rsidR="00900BF4" w:rsidRPr="00900BF4">
              <w:rPr>
                <w:rFonts w:cs="Arial"/>
                <w:color w:val="000000"/>
                <w:sz w:val="16"/>
                <w:szCs w:val="16"/>
              </w:rPr>
              <w:t>50% μείωση το 2026 και</w:t>
            </w:r>
            <w:r>
              <w:rPr>
                <w:rFonts w:cs="Arial"/>
                <w:color w:val="000000"/>
                <w:sz w:val="16"/>
                <w:szCs w:val="16"/>
              </w:rPr>
              <w:t xml:space="preserve"> πλήρης</w:t>
            </w:r>
            <w:r w:rsidR="00900BF4" w:rsidRPr="00900BF4">
              <w:rPr>
                <w:rFonts w:cs="Arial"/>
                <w:color w:val="000000"/>
                <w:sz w:val="16"/>
                <w:szCs w:val="16"/>
              </w:rPr>
              <w:t xml:space="preserve"> κατάργηση το 2027</w:t>
            </w:r>
            <w:r>
              <w:rPr>
                <w:rFonts w:cs="Arial"/>
                <w:color w:val="000000"/>
                <w:sz w:val="16"/>
                <w:szCs w:val="16"/>
              </w:rPr>
              <w:t>)</w:t>
            </w:r>
          </w:p>
        </w:tc>
        <w:tc>
          <w:tcPr>
            <w:tcW w:w="737" w:type="dxa"/>
            <w:noWrap/>
            <w:vAlign w:val="center"/>
            <w:hideMark/>
          </w:tcPr>
          <w:p w14:paraId="7F51F5CF"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064FF1F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-38</w:t>
            </w:r>
          </w:p>
        </w:tc>
        <w:tc>
          <w:tcPr>
            <w:tcW w:w="737" w:type="dxa"/>
            <w:noWrap/>
            <w:vAlign w:val="center"/>
            <w:hideMark/>
          </w:tcPr>
          <w:p w14:paraId="4401B28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-75</w:t>
            </w:r>
          </w:p>
        </w:tc>
      </w:tr>
      <w:tr w:rsidR="00C920F2" w:rsidRPr="00900BF4" w14:paraId="2D6C9529" w14:textId="77777777" w:rsidTr="00BD4758">
        <w:trPr>
          <w:cantSplit/>
          <w:jc w:val="center"/>
        </w:trPr>
        <w:tc>
          <w:tcPr>
            <w:tcW w:w="7142" w:type="dxa"/>
            <w:vAlign w:val="center"/>
            <w:hideMark/>
          </w:tcPr>
          <w:p w14:paraId="6DCE2009"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Αναπροσαρμογή και εξορθολογισμός </w:t>
            </w:r>
            <w:r w:rsidR="00B95507">
              <w:rPr>
                <w:rFonts w:cs="Arial"/>
                <w:color w:val="000000"/>
                <w:sz w:val="16"/>
                <w:szCs w:val="16"/>
              </w:rPr>
              <w:t xml:space="preserve">του </w:t>
            </w:r>
            <w:r w:rsidRPr="00900BF4">
              <w:rPr>
                <w:rFonts w:cs="Arial"/>
                <w:color w:val="000000"/>
                <w:sz w:val="16"/>
                <w:szCs w:val="16"/>
              </w:rPr>
              <w:t>συστήματος τεκμηρίων διαβίωσης</w:t>
            </w:r>
          </w:p>
        </w:tc>
        <w:tc>
          <w:tcPr>
            <w:tcW w:w="737" w:type="dxa"/>
            <w:noWrap/>
            <w:vAlign w:val="center"/>
            <w:hideMark/>
          </w:tcPr>
          <w:p w14:paraId="17AFEE76"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535BDBA4"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-40</w:t>
            </w:r>
          </w:p>
        </w:tc>
        <w:tc>
          <w:tcPr>
            <w:tcW w:w="737" w:type="dxa"/>
            <w:noWrap/>
            <w:vAlign w:val="center"/>
            <w:hideMark/>
          </w:tcPr>
          <w:p w14:paraId="0605F3F4"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-40</w:t>
            </w:r>
          </w:p>
        </w:tc>
      </w:tr>
      <w:tr w:rsidR="00C920F2" w:rsidRPr="00900BF4" w14:paraId="32EDCD3E" w14:textId="77777777" w:rsidTr="00BD4758">
        <w:trPr>
          <w:cantSplit/>
          <w:jc w:val="center"/>
        </w:trPr>
        <w:tc>
          <w:tcPr>
            <w:tcW w:w="7142" w:type="dxa"/>
            <w:vAlign w:val="center"/>
            <w:hideMark/>
          </w:tcPr>
          <w:p w14:paraId="39A2FE3E" w14:textId="7D135D56"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Μη συμψηφισμός του 50% της </w:t>
            </w:r>
            <w:r w:rsidR="009D4AB7">
              <w:rPr>
                <w:rFonts w:cs="Arial"/>
                <w:color w:val="000000"/>
                <w:sz w:val="16"/>
                <w:szCs w:val="16"/>
              </w:rPr>
              <w:t xml:space="preserve">αύξησης των συντάξεων με την </w:t>
            </w:r>
            <w:r w:rsidRPr="00900BF4">
              <w:rPr>
                <w:rFonts w:cs="Arial"/>
                <w:color w:val="000000"/>
                <w:sz w:val="16"/>
                <w:szCs w:val="16"/>
              </w:rPr>
              <w:t>προσωπική διαφορά</w:t>
            </w:r>
            <w:r w:rsidR="009D4AB7">
              <w:rPr>
                <w:rFonts w:cs="Arial"/>
                <w:color w:val="000000"/>
                <w:sz w:val="16"/>
                <w:szCs w:val="16"/>
              </w:rPr>
              <w:t xml:space="preserve"> των</w:t>
            </w:r>
            <w:r w:rsidRPr="00900BF4">
              <w:rPr>
                <w:rFonts w:cs="Arial"/>
                <w:color w:val="000000"/>
                <w:sz w:val="16"/>
                <w:szCs w:val="16"/>
              </w:rPr>
              <w:t xml:space="preserve"> συνταξιούχων </w:t>
            </w:r>
            <w:r w:rsidR="009D4AB7">
              <w:rPr>
                <w:rFonts w:cs="Arial"/>
                <w:color w:val="000000"/>
                <w:sz w:val="16"/>
                <w:szCs w:val="16"/>
              </w:rPr>
              <w:t>τ</w:t>
            </w:r>
            <w:r w:rsidRPr="00900BF4">
              <w:rPr>
                <w:rFonts w:cs="Arial"/>
                <w:color w:val="000000"/>
                <w:sz w:val="16"/>
                <w:szCs w:val="16"/>
              </w:rPr>
              <w:t>ο 2026 και κατάργηση του συμψηφισμού από το 2027</w:t>
            </w:r>
          </w:p>
        </w:tc>
        <w:tc>
          <w:tcPr>
            <w:tcW w:w="737" w:type="dxa"/>
            <w:noWrap/>
            <w:vAlign w:val="center"/>
            <w:hideMark/>
          </w:tcPr>
          <w:p w14:paraId="3D005AC7"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51A75E5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-75</w:t>
            </w:r>
          </w:p>
        </w:tc>
        <w:tc>
          <w:tcPr>
            <w:tcW w:w="737" w:type="dxa"/>
            <w:noWrap/>
            <w:vAlign w:val="center"/>
            <w:hideMark/>
          </w:tcPr>
          <w:p w14:paraId="1CDBAFA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-210</w:t>
            </w:r>
          </w:p>
        </w:tc>
      </w:tr>
      <w:tr w:rsidR="00C920F2" w:rsidRPr="00900BF4" w14:paraId="16E66AF8" w14:textId="77777777" w:rsidTr="00BD4758">
        <w:trPr>
          <w:cantSplit/>
          <w:jc w:val="center"/>
        </w:trPr>
        <w:tc>
          <w:tcPr>
            <w:tcW w:w="7142" w:type="dxa"/>
            <w:vAlign w:val="center"/>
            <w:hideMark/>
          </w:tcPr>
          <w:p w14:paraId="67E792DF" w14:textId="1285A9DA"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Μείωση ΦΠΑ κατά 30% στα νησιά της </w:t>
            </w:r>
            <w:r w:rsidR="009D4AB7">
              <w:rPr>
                <w:rFonts w:cs="Arial"/>
                <w:color w:val="000000"/>
                <w:sz w:val="16"/>
                <w:szCs w:val="16"/>
              </w:rPr>
              <w:t>π</w:t>
            </w:r>
            <w:r w:rsidRPr="00900BF4">
              <w:rPr>
                <w:rFonts w:cs="Arial"/>
                <w:color w:val="000000"/>
                <w:sz w:val="16"/>
                <w:szCs w:val="16"/>
              </w:rPr>
              <w:t>εριφέρειας</w:t>
            </w:r>
            <w:r w:rsidR="009D4AB7">
              <w:rPr>
                <w:rFonts w:cs="Arial"/>
                <w:color w:val="000000"/>
                <w:sz w:val="16"/>
                <w:szCs w:val="16"/>
              </w:rPr>
              <w:t xml:space="preserve"> του</w:t>
            </w:r>
            <w:r w:rsidRPr="00900BF4">
              <w:rPr>
                <w:rFonts w:cs="Arial"/>
                <w:color w:val="000000"/>
                <w:sz w:val="16"/>
                <w:szCs w:val="16"/>
              </w:rPr>
              <w:t xml:space="preserve"> Β</w:t>
            </w:r>
            <w:r w:rsidR="00B95507">
              <w:rPr>
                <w:rFonts w:cs="Arial"/>
                <w:color w:val="000000"/>
                <w:sz w:val="16"/>
                <w:szCs w:val="16"/>
              </w:rPr>
              <w:t>ο</w:t>
            </w:r>
            <w:r w:rsidRPr="00900BF4">
              <w:rPr>
                <w:rFonts w:cs="Arial"/>
                <w:color w:val="000000"/>
                <w:sz w:val="16"/>
                <w:szCs w:val="16"/>
              </w:rPr>
              <w:t>ρε</w:t>
            </w:r>
            <w:r w:rsidR="00B95507">
              <w:rPr>
                <w:rFonts w:cs="Arial"/>
                <w:color w:val="000000"/>
                <w:sz w:val="16"/>
                <w:szCs w:val="16"/>
              </w:rPr>
              <w:t>ί</w:t>
            </w:r>
            <w:r w:rsidRPr="00900BF4">
              <w:rPr>
                <w:rFonts w:cs="Arial"/>
                <w:color w:val="000000"/>
                <w:sz w:val="16"/>
                <w:szCs w:val="16"/>
              </w:rPr>
              <w:t xml:space="preserve">ου Αιγαίου, του </w:t>
            </w:r>
            <w:r w:rsidR="002059F7">
              <w:rPr>
                <w:rFonts w:cs="Arial"/>
                <w:color w:val="000000"/>
                <w:sz w:val="16"/>
                <w:szCs w:val="16"/>
              </w:rPr>
              <w:t>ν</w:t>
            </w:r>
            <w:r w:rsidRPr="00900BF4">
              <w:rPr>
                <w:rFonts w:cs="Arial"/>
                <w:color w:val="000000"/>
                <w:sz w:val="16"/>
                <w:szCs w:val="16"/>
              </w:rPr>
              <w:t xml:space="preserve">ομού Έβρου </w:t>
            </w:r>
            <w:r w:rsidR="009D4AB7">
              <w:rPr>
                <w:rFonts w:cs="Arial"/>
                <w:color w:val="000000"/>
                <w:sz w:val="16"/>
                <w:szCs w:val="16"/>
              </w:rPr>
              <w:t xml:space="preserve">(Σαμοθράκη) </w:t>
            </w:r>
            <w:r w:rsidRPr="00900BF4">
              <w:rPr>
                <w:rFonts w:cs="Arial"/>
                <w:color w:val="000000"/>
                <w:sz w:val="16"/>
                <w:szCs w:val="16"/>
              </w:rPr>
              <w:t>και του νομού Δωδεκανήσων με πληθυσμό έως 20.000 κατοίκους</w:t>
            </w:r>
          </w:p>
        </w:tc>
        <w:tc>
          <w:tcPr>
            <w:tcW w:w="737" w:type="dxa"/>
            <w:noWrap/>
            <w:vAlign w:val="center"/>
            <w:hideMark/>
          </w:tcPr>
          <w:p w14:paraId="39FA5C9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54BDDB3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-25</w:t>
            </w:r>
          </w:p>
        </w:tc>
        <w:tc>
          <w:tcPr>
            <w:tcW w:w="737" w:type="dxa"/>
            <w:noWrap/>
            <w:vAlign w:val="center"/>
            <w:hideMark/>
          </w:tcPr>
          <w:p w14:paraId="128F1A08"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-25</w:t>
            </w:r>
          </w:p>
        </w:tc>
      </w:tr>
      <w:tr w:rsidR="00C920F2" w:rsidRPr="00900BF4" w14:paraId="51309087" w14:textId="77777777" w:rsidTr="00BD4758">
        <w:trPr>
          <w:cantSplit/>
          <w:jc w:val="center"/>
        </w:trPr>
        <w:tc>
          <w:tcPr>
            <w:tcW w:w="7142" w:type="dxa"/>
            <w:vAlign w:val="center"/>
            <w:hideMark/>
          </w:tcPr>
          <w:p w14:paraId="20A25934" w14:textId="20808DD9"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Μείωση κατά 50% του </w:t>
            </w:r>
            <w:r w:rsidR="009D4AB7">
              <w:rPr>
                <w:rFonts w:cs="Arial"/>
                <w:color w:val="000000"/>
                <w:sz w:val="16"/>
                <w:szCs w:val="16"/>
              </w:rPr>
              <w:t>ελάχιστου</w:t>
            </w:r>
            <w:r w:rsidRPr="00900BF4">
              <w:rPr>
                <w:rFonts w:cs="Arial"/>
                <w:color w:val="000000"/>
                <w:sz w:val="16"/>
                <w:szCs w:val="16"/>
              </w:rPr>
              <w:t xml:space="preserve"> εισοδήματος για τους ελεύθερους επαγγελματίες στους οικισμούς εκτός Αττικής </w:t>
            </w:r>
            <w:r w:rsidR="00B95507">
              <w:rPr>
                <w:rFonts w:cs="Arial"/>
                <w:color w:val="000000"/>
                <w:sz w:val="16"/>
                <w:szCs w:val="16"/>
              </w:rPr>
              <w:t xml:space="preserve">με πληθυσμό </w:t>
            </w:r>
            <w:r w:rsidRPr="00900BF4">
              <w:rPr>
                <w:rFonts w:cs="Arial"/>
                <w:color w:val="000000"/>
                <w:sz w:val="16"/>
                <w:szCs w:val="16"/>
              </w:rPr>
              <w:t xml:space="preserve">έως 1.500 κατοίκους </w:t>
            </w:r>
            <w:r w:rsidR="009D4AB7">
              <w:rPr>
                <w:rFonts w:cs="Arial"/>
                <w:color w:val="000000"/>
                <w:sz w:val="16"/>
                <w:szCs w:val="16"/>
              </w:rPr>
              <w:t xml:space="preserve">και τα σχολικά κυλικεία </w:t>
            </w:r>
            <w:r w:rsidRPr="00900BF4">
              <w:rPr>
                <w:rFonts w:cs="Arial"/>
                <w:color w:val="000000"/>
                <w:sz w:val="16"/>
                <w:szCs w:val="16"/>
              </w:rPr>
              <w:t xml:space="preserve">καθώς και εξαίρεση από το </w:t>
            </w:r>
            <w:r w:rsidR="009D4AB7">
              <w:rPr>
                <w:rFonts w:cs="Arial"/>
                <w:color w:val="000000"/>
                <w:sz w:val="16"/>
                <w:szCs w:val="16"/>
              </w:rPr>
              <w:t xml:space="preserve">ελάχιστο </w:t>
            </w:r>
            <w:r w:rsidRPr="00900BF4">
              <w:rPr>
                <w:rFonts w:cs="Arial"/>
                <w:color w:val="000000"/>
                <w:sz w:val="16"/>
                <w:szCs w:val="16"/>
              </w:rPr>
              <w:t xml:space="preserve">εισόδημα </w:t>
            </w:r>
            <w:r w:rsidR="009D4AB7">
              <w:rPr>
                <w:rFonts w:cs="Arial"/>
                <w:color w:val="000000"/>
                <w:sz w:val="16"/>
                <w:szCs w:val="16"/>
              </w:rPr>
              <w:t xml:space="preserve">για τις </w:t>
            </w:r>
            <w:r w:rsidRPr="00900BF4">
              <w:rPr>
                <w:rFonts w:cs="Arial"/>
                <w:color w:val="000000"/>
                <w:sz w:val="16"/>
                <w:szCs w:val="16"/>
              </w:rPr>
              <w:t>νέ</w:t>
            </w:r>
            <w:r w:rsidR="009D4AB7">
              <w:rPr>
                <w:rFonts w:cs="Arial"/>
                <w:color w:val="000000"/>
                <w:sz w:val="16"/>
                <w:szCs w:val="16"/>
              </w:rPr>
              <w:t>ε</w:t>
            </w:r>
            <w:r w:rsidRPr="00900BF4">
              <w:rPr>
                <w:rFonts w:cs="Arial"/>
                <w:color w:val="000000"/>
                <w:sz w:val="16"/>
                <w:szCs w:val="16"/>
              </w:rPr>
              <w:t>ς μητέρ</w:t>
            </w:r>
            <w:r w:rsidR="009D4AB7">
              <w:rPr>
                <w:rFonts w:cs="Arial"/>
                <w:color w:val="000000"/>
                <w:sz w:val="16"/>
                <w:szCs w:val="16"/>
              </w:rPr>
              <w:t>ε</w:t>
            </w:r>
            <w:r w:rsidRPr="00900BF4">
              <w:rPr>
                <w:rFonts w:cs="Arial"/>
                <w:color w:val="000000"/>
                <w:sz w:val="16"/>
                <w:szCs w:val="16"/>
              </w:rPr>
              <w:t xml:space="preserve">ς </w:t>
            </w:r>
            <w:r w:rsidR="00DF2B45">
              <w:rPr>
                <w:rFonts w:cs="Arial"/>
                <w:color w:val="000000"/>
                <w:sz w:val="16"/>
                <w:szCs w:val="16"/>
              </w:rPr>
              <w:t xml:space="preserve">τόσο </w:t>
            </w:r>
            <w:r w:rsidRPr="00900BF4">
              <w:rPr>
                <w:rFonts w:cs="Arial"/>
                <w:color w:val="000000"/>
                <w:sz w:val="16"/>
                <w:szCs w:val="16"/>
              </w:rPr>
              <w:t>κατά το έτος γένν</w:t>
            </w:r>
            <w:r w:rsidR="009D4AB7">
              <w:rPr>
                <w:rFonts w:cs="Arial"/>
                <w:color w:val="000000"/>
                <w:sz w:val="16"/>
                <w:szCs w:val="16"/>
              </w:rPr>
              <w:t>ησης του τέκνου</w:t>
            </w:r>
            <w:r w:rsidR="00DF2B45">
              <w:rPr>
                <w:rFonts w:cs="Arial"/>
                <w:color w:val="000000"/>
                <w:sz w:val="16"/>
                <w:szCs w:val="16"/>
              </w:rPr>
              <w:t xml:space="preserve"> όσο </w:t>
            </w:r>
            <w:r w:rsidRPr="00900BF4">
              <w:rPr>
                <w:rFonts w:cs="Arial"/>
                <w:color w:val="000000"/>
                <w:sz w:val="16"/>
                <w:szCs w:val="16"/>
              </w:rPr>
              <w:t xml:space="preserve">και </w:t>
            </w:r>
            <w:r w:rsidR="00B95507">
              <w:rPr>
                <w:rFonts w:cs="Arial"/>
                <w:color w:val="000000"/>
                <w:sz w:val="16"/>
                <w:szCs w:val="16"/>
              </w:rPr>
              <w:t xml:space="preserve">για </w:t>
            </w:r>
            <w:r w:rsidRPr="00900BF4">
              <w:rPr>
                <w:rFonts w:cs="Arial"/>
                <w:color w:val="000000"/>
                <w:sz w:val="16"/>
                <w:szCs w:val="16"/>
              </w:rPr>
              <w:t>τα επόμενα 2 έτη</w:t>
            </w:r>
          </w:p>
        </w:tc>
        <w:tc>
          <w:tcPr>
            <w:tcW w:w="737" w:type="dxa"/>
            <w:noWrap/>
            <w:vAlign w:val="center"/>
            <w:hideMark/>
          </w:tcPr>
          <w:p w14:paraId="0F44E0B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606D37C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-10</w:t>
            </w:r>
          </w:p>
        </w:tc>
        <w:tc>
          <w:tcPr>
            <w:tcW w:w="737" w:type="dxa"/>
            <w:noWrap/>
            <w:vAlign w:val="center"/>
            <w:hideMark/>
          </w:tcPr>
          <w:p w14:paraId="59028837"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-10</w:t>
            </w:r>
          </w:p>
        </w:tc>
      </w:tr>
      <w:tr w:rsidR="00C920F2" w:rsidRPr="00900BF4" w14:paraId="68F0CA8E" w14:textId="77777777" w:rsidTr="00BD4758">
        <w:trPr>
          <w:cantSplit/>
          <w:jc w:val="center"/>
        </w:trPr>
        <w:tc>
          <w:tcPr>
            <w:tcW w:w="7142" w:type="dxa"/>
            <w:vAlign w:val="center"/>
            <w:hideMark/>
          </w:tcPr>
          <w:p w14:paraId="4F25701F" w14:textId="502662E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Αναμόρφωση </w:t>
            </w:r>
            <w:r w:rsidR="004D6A14">
              <w:rPr>
                <w:rFonts w:cs="Arial"/>
                <w:color w:val="000000"/>
                <w:sz w:val="16"/>
                <w:szCs w:val="16"/>
              </w:rPr>
              <w:t xml:space="preserve">του </w:t>
            </w:r>
            <w:r w:rsidRPr="00900BF4">
              <w:rPr>
                <w:rFonts w:cs="Arial"/>
                <w:color w:val="000000"/>
                <w:sz w:val="16"/>
                <w:szCs w:val="16"/>
              </w:rPr>
              <w:t>μισθολογίου</w:t>
            </w:r>
            <w:r w:rsidR="004D6A14">
              <w:rPr>
                <w:rFonts w:cs="Arial"/>
                <w:color w:val="000000"/>
                <w:sz w:val="16"/>
                <w:szCs w:val="16"/>
              </w:rPr>
              <w:t xml:space="preserve"> των</w:t>
            </w:r>
            <w:r w:rsidRPr="00900BF4">
              <w:rPr>
                <w:rFonts w:cs="Arial"/>
                <w:color w:val="000000"/>
                <w:sz w:val="16"/>
                <w:szCs w:val="16"/>
              </w:rPr>
              <w:t xml:space="preserve"> </w:t>
            </w:r>
            <w:r w:rsidR="00DC2AF5">
              <w:rPr>
                <w:rFonts w:cs="Arial"/>
                <w:color w:val="000000"/>
                <w:sz w:val="16"/>
                <w:szCs w:val="16"/>
              </w:rPr>
              <w:t>Ε</w:t>
            </w:r>
            <w:r w:rsidRPr="00900BF4">
              <w:rPr>
                <w:rFonts w:cs="Arial"/>
                <w:color w:val="000000"/>
                <w:sz w:val="16"/>
                <w:szCs w:val="16"/>
              </w:rPr>
              <w:t xml:space="preserve">νόπλων </w:t>
            </w:r>
            <w:r w:rsidR="00DC2AF5">
              <w:rPr>
                <w:rFonts w:cs="Arial"/>
                <w:color w:val="000000"/>
                <w:sz w:val="16"/>
                <w:szCs w:val="16"/>
              </w:rPr>
              <w:t>Δ</w:t>
            </w:r>
            <w:r w:rsidRPr="00900BF4">
              <w:rPr>
                <w:rFonts w:cs="Arial"/>
                <w:color w:val="000000"/>
                <w:sz w:val="16"/>
                <w:szCs w:val="16"/>
              </w:rPr>
              <w:t>υνάμεων</w:t>
            </w:r>
          </w:p>
        </w:tc>
        <w:tc>
          <w:tcPr>
            <w:tcW w:w="737" w:type="dxa"/>
            <w:noWrap/>
            <w:vAlign w:val="center"/>
            <w:hideMark/>
          </w:tcPr>
          <w:p w14:paraId="6A4B305F"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-41</w:t>
            </w:r>
          </w:p>
        </w:tc>
        <w:tc>
          <w:tcPr>
            <w:tcW w:w="737" w:type="dxa"/>
            <w:noWrap/>
            <w:vAlign w:val="center"/>
            <w:hideMark/>
          </w:tcPr>
          <w:p w14:paraId="618BA7E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-162</w:t>
            </w:r>
          </w:p>
        </w:tc>
        <w:tc>
          <w:tcPr>
            <w:tcW w:w="737" w:type="dxa"/>
            <w:noWrap/>
            <w:vAlign w:val="center"/>
            <w:hideMark/>
          </w:tcPr>
          <w:p w14:paraId="45B5C26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-162</w:t>
            </w:r>
          </w:p>
        </w:tc>
      </w:tr>
      <w:tr w:rsidR="00C920F2" w:rsidRPr="00900BF4" w14:paraId="498D003B" w14:textId="77777777" w:rsidTr="00BD4758">
        <w:trPr>
          <w:cantSplit/>
          <w:jc w:val="center"/>
        </w:trPr>
        <w:tc>
          <w:tcPr>
            <w:tcW w:w="7142" w:type="dxa"/>
            <w:vAlign w:val="center"/>
            <w:hideMark/>
          </w:tcPr>
          <w:p w14:paraId="78978632"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Εξοικονόμηση από </w:t>
            </w:r>
            <w:r w:rsidR="00DC2AF5">
              <w:rPr>
                <w:rFonts w:cs="Arial"/>
                <w:color w:val="000000"/>
                <w:sz w:val="16"/>
                <w:szCs w:val="16"/>
              </w:rPr>
              <w:t xml:space="preserve">την </w:t>
            </w:r>
            <w:r w:rsidRPr="00900BF4">
              <w:rPr>
                <w:rFonts w:cs="Arial"/>
                <w:color w:val="000000"/>
                <w:sz w:val="16"/>
                <w:szCs w:val="16"/>
              </w:rPr>
              <w:t xml:space="preserve">αναμόρφωση </w:t>
            </w:r>
            <w:r w:rsidR="00DC2AF5">
              <w:rPr>
                <w:rFonts w:cs="Arial"/>
                <w:color w:val="000000"/>
                <w:sz w:val="16"/>
                <w:szCs w:val="16"/>
              </w:rPr>
              <w:t xml:space="preserve">της </w:t>
            </w:r>
            <w:r w:rsidRPr="00900BF4">
              <w:rPr>
                <w:rFonts w:cs="Arial"/>
                <w:color w:val="000000"/>
                <w:sz w:val="16"/>
                <w:szCs w:val="16"/>
              </w:rPr>
              <w:t>δομής</w:t>
            </w:r>
            <w:r w:rsidR="00DC2AF5">
              <w:rPr>
                <w:rFonts w:cs="Arial"/>
                <w:color w:val="000000"/>
                <w:sz w:val="16"/>
                <w:szCs w:val="16"/>
              </w:rPr>
              <w:t xml:space="preserve"> των Ε</w:t>
            </w:r>
            <w:r w:rsidRPr="00900BF4">
              <w:rPr>
                <w:rFonts w:cs="Arial"/>
                <w:color w:val="000000"/>
                <w:sz w:val="16"/>
                <w:szCs w:val="16"/>
              </w:rPr>
              <w:t xml:space="preserve">νόπλων </w:t>
            </w:r>
            <w:r w:rsidR="00DC2AF5">
              <w:rPr>
                <w:rFonts w:cs="Arial"/>
                <w:color w:val="000000"/>
                <w:sz w:val="16"/>
                <w:szCs w:val="16"/>
              </w:rPr>
              <w:t>Δ</w:t>
            </w:r>
            <w:r w:rsidRPr="00900BF4">
              <w:rPr>
                <w:rFonts w:cs="Arial"/>
                <w:color w:val="000000"/>
                <w:sz w:val="16"/>
                <w:szCs w:val="16"/>
              </w:rPr>
              <w:t>υνάμεων</w:t>
            </w:r>
          </w:p>
        </w:tc>
        <w:tc>
          <w:tcPr>
            <w:tcW w:w="737" w:type="dxa"/>
            <w:noWrap/>
            <w:vAlign w:val="center"/>
            <w:hideMark/>
          </w:tcPr>
          <w:p w14:paraId="6804197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19</w:t>
            </w:r>
          </w:p>
        </w:tc>
        <w:tc>
          <w:tcPr>
            <w:tcW w:w="737" w:type="dxa"/>
            <w:noWrap/>
            <w:vAlign w:val="center"/>
            <w:hideMark/>
          </w:tcPr>
          <w:p w14:paraId="0052847D"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77</w:t>
            </w:r>
          </w:p>
        </w:tc>
        <w:tc>
          <w:tcPr>
            <w:tcW w:w="737" w:type="dxa"/>
            <w:noWrap/>
            <w:vAlign w:val="center"/>
            <w:hideMark/>
          </w:tcPr>
          <w:p w14:paraId="78B16C1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77</w:t>
            </w:r>
          </w:p>
        </w:tc>
      </w:tr>
      <w:tr w:rsidR="00C920F2" w:rsidRPr="00900BF4" w14:paraId="7BA7D1C6" w14:textId="77777777" w:rsidTr="00BD4758">
        <w:trPr>
          <w:cantSplit/>
          <w:jc w:val="center"/>
        </w:trPr>
        <w:tc>
          <w:tcPr>
            <w:tcW w:w="7142" w:type="dxa"/>
            <w:vAlign w:val="center"/>
            <w:hideMark/>
          </w:tcPr>
          <w:p w14:paraId="414EB71E" w14:textId="7ECE8443"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Αύξηση της αποζημίωσης των οπλιτών από 8,8</w:t>
            </w:r>
            <w:r w:rsidR="00DC2AF5">
              <w:rPr>
                <w:rFonts w:cs="Arial"/>
                <w:color w:val="000000"/>
                <w:sz w:val="16"/>
                <w:szCs w:val="16"/>
              </w:rPr>
              <w:t xml:space="preserve"> ευρώ</w:t>
            </w:r>
            <w:r w:rsidRPr="00900BF4">
              <w:rPr>
                <w:rFonts w:cs="Arial"/>
                <w:color w:val="000000"/>
                <w:sz w:val="16"/>
                <w:szCs w:val="16"/>
              </w:rPr>
              <w:t xml:space="preserve"> σε 50 έως 100 ευρώ</w:t>
            </w:r>
          </w:p>
        </w:tc>
        <w:tc>
          <w:tcPr>
            <w:tcW w:w="737" w:type="dxa"/>
            <w:noWrap/>
            <w:vAlign w:val="center"/>
            <w:hideMark/>
          </w:tcPr>
          <w:p w14:paraId="03D3D20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702CAE4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-25</w:t>
            </w:r>
          </w:p>
        </w:tc>
        <w:tc>
          <w:tcPr>
            <w:tcW w:w="737" w:type="dxa"/>
            <w:noWrap/>
            <w:vAlign w:val="center"/>
            <w:hideMark/>
          </w:tcPr>
          <w:p w14:paraId="7D27D1C8"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-25</w:t>
            </w:r>
          </w:p>
        </w:tc>
      </w:tr>
      <w:tr w:rsidR="00C920F2" w:rsidRPr="00900BF4" w14:paraId="6946D836" w14:textId="77777777" w:rsidTr="00BD4758">
        <w:trPr>
          <w:cantSplit/>
          <w:jc w:val="center"/>
        </w:trPr>
        <w:tc>
          <w:tcPr>
            <w:tcW w:w="7142" w:type="dxa"/>
            <w:vAlign w:val="center"/>
            <w:hideMark/>
          </w:tcPr>
          <w:p w14:paraId="70279D53"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Αναμόρφωση </w:t>
            </w:r>
            <w:r w:rsidR="00DC2AF5">
              <w:rPr>
                <w:rFonts w:cs="Arial"/>
                <w:color w:val="000000"/>
                <w:sz w:val="16"/>
                <w:szCs w:val="16"/>
              </w:rPr>
              <w:t xml:space="preserve">του </w:t>
            </w:r>
            <w:r w:rsidRPr="00900BF4">
              <w:rPr>
                <w:rFonts w:cs="Arial"/>
                <w:color w:val="000000"/>
                <w:sz w:val="16"/>
                <w:szCs w:val="16"/>
              </w:rPr>
              <w:t xml:space="preserve">μισθολογίου </w:t>
            </w:r>
            <w:r w:rsidR="00DC2AF5">
              <w:rPr>
                <w:rFonts w:cs="Arial"/>
                <w:color w:val="000000"/>
                <w:sz w:val="16"/>
                <w:szCs w:val="16"/>
              </w:rPr>
              <w:t>των Σωμάτων Ασφαλείας (ΕΛΑΣ, ΠΣ, ΛΣ - ΕΛΑΚΤ)</w:t>
            </w:r>
          </w:p>
        </w:tc>
        <w:tc>
          <w:tcPr>
            <w:tcW w:w="737" w:type="dxa"/>
            <w:noWrap/>
            <w:vAlign w:val="center"/>
            <w:hideMark/>
          </w:tcPr>
          <w:p w14:paraId="3ACB77D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-32</w:t>
            </w:r>
          </w:p>
        </w:tc>
        <w:tc>
          <w:tcPr>
            <w:tcW w:w="737" w:type="dxa"/>
            <w:noWrap/>
            <w:vAlign w:val="center"/>
            <w:hideMark/>
          </w:tcPr>
          <w:p w14:paraId="2AC1EC6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-127</w:t>
            </w:r>
          </w:p>
        </w:tc>
        <w:tc>
          <w:tcPr>
            <w:tcW w:w="737" w:type="dxa"/>
            <w:noWrap/>
            <w:vAlign w:val="center"/>
            <w:hideMark/>
          </w:tcPr>
          <w:p w14:paraId="6C969E6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-127</w:t>
            </w:r>
          </w:p>
        </w:tc>
      </w:tr>
      <w:tr w:rsidR="00C920F2" w:rsidRPr="00900BF4" w14:paraId="36786EFE" w14:textId="77777777" w:rsidTr="00BD4758">
        <w:trPr>
          <w:cantSplit/>
          <w:jc w:val="center"/>
        </w:trPr>
        <w:tc>
          <w:tcPr>
            <w:tcW w:w="7142" w:type="dxa"/>
            <w:vAlign w:val="center"/>
            <w:hideMark/>
          </w:tcPr>
          <w:p w14:paraId="5DE17BE3" w14:textId="592DE48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Αναμόρφωση </w:t>
            </w:r>
            <w:r w:rsidR="00DC2AF5">
              <w:rPr>
                <w:rFonts w:cs="Arial"/>
                <w:color w:val="000000"/>
                <w:sz w:val="16"/>
                <w:szCs w:val="16"/>
              </w:rPr>
              <w:t xml:space="preserve">των </w:t>
            </w:r>
            <w:r w:rsidRPr="00900BF4">
              <w:rPr>
                <w:rFonts w:cs="Arial"/>
                <w:color w:val="000000"/>
                <w:sz w:val="16"/>
                <w:szCs w:val="16"/>
              </w:rPr>
              <w:t xml:space="preserve">αποδοχών </w:t>
            </w:r>
            <w:r w:rsidR="004A1275">
              <w:rPr>
                <w:rFonts w:cs="Arial"/>
                <w:color w:val="000000"/>
                <w:sz w:val="16"/>
                <w:szCs w:val="16"/>
              </w:rPr>
              <w:t xml:space="preserve">των υπαλλήλων </w:t>
            </w:r>
            <w:r w:rsidR="00DC2AF5">
              <w:rPr>
                <w:rFonts w:cs="Arial"/>
                <w:color w:val="000000"/>
                <w:sz w:val="16"/>
                <w:szCs w:val="16"/>
              </w:rPr>
              <w:t>του</w:t>
            </w:r>
            <w:r w:rsidRPr="00900BF4">
              <w:rPr>
                <w:rFonts w:cs="Arial"/>
                <w:color w:val="000000"/>
                <w:sz w:val="16"/>
                <w:szCs w:val="16"/>
              </w:rPr>
              <w:t xml:space="preserve"> Υπουργείου Εξωτερικών</w:t>
            </w:r>
          </w:p>
        </w:tc>
        <w:tc>
          <w:tcPr>
            <w:tcW w:w="737" w:type="dxa"/>
            <w:noWrap/>
            <w:vAlign w:val="center"/>
            <w:hideMark/>
          </w:tcPr>
          <w:p w14:paraId="2E5A9F5D"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65A07BD7"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-30</w:t>
            </w:r>
          </w:p>
        </w:tc>
        <w:tc>
          <w:tcPr>
            <w:tcW w:w="737" w:type="dxa"/>
            <w:noWrap/>
            <w:vAlign w:val="center"/>
            <w:hideMark/>
          </w:tcPr>
          <w:p w14:paraId="58BBC4C4"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-30</w:t>
            </w:r>
          </w:p>
        </w:tc>
      </w:tr>
      <w:tr w:rsidR="00C920F2" w:rsidRPr="00900BF4" w14:paraId="7DC9C7C1" w14:textId="77777777" w:rsidTr="00BD4758">
        <w:trPr>
          <w:cantSplit/>
          <w:jc w:val="center"/>
        </w:trPr>
        <w:tc>
          <w:tcPr>
            <w:tcW w:w="7142" w:type="dxa"/>
            <w:vAlign w:val="center"/>
            <w:hideMark/>
          </w:tcPr>
          <w:p w14:paraId="4546CD4E" w14:textId="6C7BC822"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Αναγνώριση μισθολογικά integrated master του Πολυτεχνείου και λοιπών </w:t>
            </w:r>
            <w:r w:rsidR="00A82132">
              <w:rPr>
                <w:rFonts w:cs="Arial"/>
                <w:color w:val="000000"/>
                <w:sz w:val="16"/>
                <w:szCs w:val="16"/>
              </w:rPr>
              <w:t>Π</w:t>
            </w:r>
            <w:r w:rsidR="0055459E">
              <w:rPr>
                <w:rFonts w:cs="Arial"/>
                <w:color w:val="000000"/>
                <w:sz w:val="16"/>
                <w:szCs w:val="16"/>
              </w:rPr>
              <w:t xml:space="preserve">ανεπιστημιακών </w:t>
            </w:r>
            <w:r w:rsidR="00A82132">
              <w:rPr>
                <w:rFonts w:cs="Arial"/>
                <w:color w:val="000000"/>
                <w:sz w:val="16"/>
                <w:szCs w:val="16"/>
              </w:rPr>
              <w:t>Σ</w:t>
            </w:r>
            <w:r w:rsidR="0055459E">
              <w:rPr>
                <w:rFonts w:cs="Arial"/>
                <w:color w:val="000000"/>
                <w:sz w:val="16"/>
                <w:szCs w:val="16"/>
              </w:rPr>
              <w:t xml:space="preserve">χολών με </w:t>
            </w:r>
            <w:r w:rsidRPr="00900BF4">
              <w:rPr>
                <w:rFonts w:cs="Arial"/>
                <w:color w:val="000000"/>
                <w:sz w:val="16"/>
                <w:szCs w:val="16"/>
              </w:rPr>
              <w:t>πενταετ</w:t>
            </w:r>
            <w:r w:rsidR="0055459E">
              <w:rPr>
                <w:rFonts w:cs="Arial"/>
                <w:color w:val="000000"/>
                <w:sz w:val="16"/>
                <w:szCs w:val="16"/>
              </w:rPr>
              <w:t xml:space="preserve">ή κύκλο </w:t>
            </w:r>
            <w:r w:rsidRPr="00900BF4">
              <w:rPr>
                <w:rFonts w:cs="Arial"/>
                <w:color w:val="000000"/>
                <w:sz w:val="16"/>
                <w:szCs w:val="16"/>
              </w:rPr>
              <w:t>σπουδών</w:t>
            </w:r>
          </w:p>
        </w:tc>
        <w:tc>
          <w:tcPr>
            <w:tcW w:w="737" w:type="dxa"/>
            <w:noWrap/>
            <w:vAlign w:val="center"/>
            <w:hideMark/>
          </w:tcPr>
          <w:p w14:paraId="483F0AA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35891A16"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-7</w:t>
            </w:r>
          </w:p>
        </w:tc>
        <w:tc>
          <w:tcPr>
            <w:tcW w:w="737" w:type="dxa"/>
            <w:noWrap/>
            <w:vAlign w:val="center"/>
            <w:hideMark/>
          </w:tcPr>
          <w:p w14:paraId="67BAA14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-7</w:t>
            </w:r>
          </w:p>
        </w:tc>
      </w:tr>
      <w:tr w:rsidR="00C920F2" w:rsidRPr="00900BF4" w14:paraId="1D94CFB7" w14:textId="77777777" w:rsidTr="00BD4758">
        <w:trPr>
          <w:cantSplit/>
          <w:jc w:val="center"/>
        </w:trPr>
        <w:tc>
          <w:tcPr>
            <w:tcW w:w="7142" w:type="dxa"/>
            <w:vAlign w:val="center"/>
            <w:hideMark/>
          </w:tcPr>
          <w:p w14:paraId="41012256"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Θέσπιση αφορολόγητου επιδόματος βιβλιοθήκης μελών ΔΕΠ και ερευνητών</w:t>
            </w:r>
          </w:p>
        </w:tc>
        <w:tc>
          <w:tcPr>
            <w:tcW w:w="737" w:type="dxa"/>
            <w:noWrap/>
            <w:vAlign w:val="center"/>
            <w:hideMark/>
          </w:tcPr>
          <w:p w14:paraId="638F146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030DD6F6"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-6</w:t>
            </w:r>
          </w:p>
        </w:tc>
        <w:tc>
          <w:tcPr>
            <w:tcW w:w="737" w:type="dxa"/>
            <w:noWrap/>
            <w:vAlign w:val="center"/>
            <w:hideMark/>
          </w:tcPr>
          <w:p w14:paraId="44FC494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-6</w:t>
            </w:r>
          </w:p>
        </w:tc>
      </w:tr>
      <w:tr w:rsidR="00C920F2" w:rsidRPr="00900BF4" w14:paraId="4BEA3FF4" w14:textId="77777777" w:rsidTr="00BD4758">
        <w:trPr>
          <w:cantSplit/>
          <w:jc w:val="center"/>
        </w:trPr>
        <w:tc>
          <w:tcPr>
            <w:tcW w:w="7142" w:type="dxa"/>
            <w:vAlign w:val="center"/>
            <w:hideMark/>
          </w:tcPr>
          <w:p w14:paraId="70F1678F"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Απαλλαγή </w:t>
            </w:r>
            <w:r w:rsidR="0055459E">
              <w:rPr>
                <w:rFonts w:cs="Arial"/>
                <w:color w:val="000000"/>
                <w:sz w:val="16"/>
                <w:szCs w:val="16"/>
              </w:rPr>
              <w:t xml:space="preserve">από τον </w:t>
            </w:r>
            <w:r w:rsidRPr="00900BF4">
              <w:rPr>
                <w:rFonts w:cs="Arial"/>
                <w:color w:val="000000"/>
                <w:sz w:val="16"/>
                <w:szCs w:val="16"/>
              </w:rPr>
              <w:t>φόρο εισοδήματος ιδρ</w:t>
            </w:r>
            <w:r w:rsidR="0055459E">
              <w:rPr>
                <w:rFonts w:cs="Arial"/>
                <w:color w:val="000000"/>
                <w:sz w:val="16"/>
                <w:szCs w:val="16"/>
              </w:rPr>
              <w:t xml:space="preserve">υμάτων </w:t>
            </w:r>
            <w:r w:rsidRPr="00900BF4">
              <w:rPr>
                <w:rFonts w:cs="Arial"/>
                <w:color w:val="000000"/>
                <w:sz w:val="16"/>
                <w:szCs w:val="16"/>
              </w:rPr>
              <w:t>και κληροδοτ</w:t>
            </w:r>
            <w:r w:rsidR="0055459E">
              <w:rPr>
                <w:rFonts w:cs="Arial"/>
                <w:color w:val="000000"/>
                <w:sz w:val="16"/>
                <w:szCs w:val="16"/>
              </w:rPr>
              <w:t>ημάτων</w:t>
            </w:r>
          </w:p>
        </w:tc>
        <w:tc>
          <w:tcPr>
            <w:tcW w:w="737" w:type="dxa"/>
            <w:noWrap/>
            <w:vAlign w:val="center"/>
            <w:hideMark/>
          </w:tcPr>
          <w:p w14:paraId="781ECF1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50FC503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7A9F4A17"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-43</w:t>
            </w:r>
          </w:p>
        </w:tc>
      </w:tr>
      <w:tr w:rsidR="00C920F2" w:rsidRPr="00900BF4" w14:paraId="1A4A35E7" w14:textId="77777777" w:rsidTr="00BD4758">
        <w:trPr>
          <w:cantSplit/>
          <w:jc w:val="center"/>
        </w:trPr>
        <w:tc>
          <w:tcPr>
            <w:tcW w:w="7142" w:type="dxa"/>
            <w:vAlign w:val="center"/>
            <w:hideMark/>
          </w:tcPr>
          <w:p w14:paraId="74A4472F"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Ταμείο </w:t>
            </w:r>
            <w:r w:rsidR="0055459E">
              <w:rPr>
                <w:rFonts w:cs="Arial"/>
                <w:color w:val="000000"/>
                <w:sz w:val="16"/>
                <w:szCs w:val="16"/>
              </w:rPr>
              <w:t>Κ</w:t>
            </w:r>
            <w:r w:rsidRPr="00900BF4">
              <w:rPr>
                <w:rFonts w:cs="Arial"/>
                <w:color w:val="000000"/>
                <w:sz w:val="16"/>
                <w:szCs w:val="16"/>
              </w:rPr>
              <w:t xml:space="preserve">αινοτομίας </w:t>
            </w:r>
            <w:r w:rsidR="0055459E">
              <w:rPr>
                <w:rFonts w:cs="Arial"/>
                <w:color w:val="000000"/>
                <w:sz w:val="16"/>
                <w:szCs w:val="16"/>
              </w:rPr>
              <w:t>Φ</w:t>
            </w:r>
            <w:r w:rsidRPr="00900BF4">
              <w:rPr>
                <w:rFonts w:cs="Arial"/>
                <w:color w:val="000000"/>
                <w:sz w:val="16"/>
                <w:szCs w:val="16"/>
              </w:rPr>
              <w:t>αρμάκων</w:t>
            </w:r>
          </w:p>
        </w:tc>
        <w:tc>
          <w:tcPr>
            <w:tcW w:w="737" w:type="dxa"/>
            <w:noWrap/>
            <w:vAlign w:val="center"/>
            <w:hideMark/>
          </w:tcPr>
          <w:p w14:paraId="5D4BC438"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3EB372C8"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-50</w:t>
            </w:r>
          </w:p>
        </w:tc>
        <w:tc>
          <w:tcPr>
            <w:tcW w:w="737" w:type="dxa"/>
            <w:noWrap/>
            <w:vAlign w:val="center"/>
            <w:hideMark/>
          </w:tcPr>
          <w:p w14:paraId="054745B7"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-50</w:t>
            </w:r>
          </w:p>
        </w:tc>
      </w:tr>
      <w:tr w:rsidR="00C920F2" w:rsidRPr="00900BF4" w14:paraId="55E83376" w14:textId="77777777" w:rsidTr="00BD4758">
        <w:trPr>
          <w:cantSplit/>
          <w:jc w:val="center"/>
        </w:trPr>
        <w:tc>
          <w:tcPr>
            <w:tcW w:w="7142" w:type="dxa"/>
            <w:vAlign w:val="center"/>
            <w:hideMark/>
          </w:tcPr>
          <w:p w14:paraId="2C02B024"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Κατάργηση τέλους συνδρομητικής τηλεόρασης</w:t>
            </w:r>
          </w:p>
        </w:tc>
        <w:tc>
          <w:tcPr>
            <w:tcW w:w="737" w:type="dxa"/>
            <w:noWrap/>
            <w:vAlign w:val="center"/>
            <w:hideMark/>
          </w:tcPr>
          <w:p w14:paraId="7E2C2B04"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7F7B45C4"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-22</w:t>
            </w:r>
          </w:p>
        </w:tc>
        <w:tc>
          <w:tcPr>
            <w:tcW w:w="737" w:type="dxa"/>
            <w:noWrap/>
            <w:vAlign w:val="center"/>
            <w:hideMark/>
          </w:tcPr>
          <w:p w14:paraId="3730603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-22</w:t>
            </w:r>
          </w:p>
        </w:tc>
      </w:tr>
      <w:tr w:rsidR="00C920F2" w:rsidRPr="00900BF4" w14:paraId="1FCEA3F3" w14:textId="77777777" w:rsidTr="00BD4758">
        <w:trPr>
          <w:cantSplit/>
          <w:jc w:val="center"/>
        </w:trPr>
        <w:tc>
          <w:tcPr>
            <w:tcW w:w="7142" w:type="dxa"/>
            <w:shd w:val="clear" w:color="auto" w:fill="F2F2F2" w:themeFill="background1" w:themeFillShade="F2"/>
            <w:vAlign w:val="center"/>
            <w:hideMark/>
          </w:tcPr>
          <w:p w14:paraId="480B1E04" w14:textId="77777777" w:rsidR="00900BF4" w:rsidRPr="00900BF4" w:rsidRDefault="00900BF4" w:rsidP="00F259BF">
            <w:pPr>
              <w:spacing w:after="0" w:line="276" w:lineRule="auto"/>
              <w:jc w:val="left"/>
              <w:rPr>
                <w:rFonts w:cs="Arial"/>
                <w:b/>
                <w:bCs/>
                <w:color w:val="000000"/>
                <w:sz w:val="16"/>
                <w:szCs w:val="16"/>
              </w:rPr>
            </w:pPr>
            <w:r w:rsidRPr="00900BF4">
              <w:rPr>
                <w:rFonts w:cs="Arial"/>
                <w:b/>
                <w:bCs/>
                <w:color w:val="000000"/>
                <w:sz w:val="16"/>
                <w:szCs w:val="16"/>
              </w:rPr>
              <w:t>Α</w:t>
            </w:r>
            <w:r w:rsidR="000F330B" w:rsidRPr="000F330B">
              <w:rPr>
                <w:rFonts w:cs="Arial"/>
                <w:b/>
                <w:bCs/>
                <w:color w:val="000000"/>
                <w:sz w:val="16"/>
                <w:szCs w:val="16"/>
              </w:rPr>
              <w:t>.</w:t>
            </w:r>
            <w:r w:rsidRPr="00900BF4">
              <w:rPr>
                <w:rFonts w:cs="Arial"/>
                <w:b/>
                <w:bCs/>
                <w:color w:val="000000"/>
                <w:sz w:val="16"/>
                <w:szCs w:val="16"/>
              </w:rPr>
              <w:t xml:space="preserve"> Σ</w:t>
            </w:r>
            <w:r w:rsidR="000F330B" w:rsidRPr="000F330B">
              <w:rPr>
                <w:rFonts w:cs="Arial"/>
                <w:b/>
                <w:bCs/>
                <w:color w:val="000000"/>
                <w:sz w:val="16"/>
                <w:szCs w:val="16"/>
              </w:rPr>
              <w:t>ύνολο</w:t>
            </w:r>
          </w:p>
        </w:tc>
        <w:tc>
          <w:tcPr>
            <w:tcW w:w="737" w:type="dxa"/>
            <w:shd w:val="clear" w:color="auto" w:fill="F2F2F2" w:themeFill="background1" w:themeFillShade="F2"/>
            <w:noWrap/>
            <w:vAlign w:val="center"/>
            <w:hideMark/>
          </w:tcPr>
          <w:p w14:paraId="6D8B6BB9" w14:textId="77777777"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-53</w:t>
            </w:r>
          </w:p>
        </w:tc>
        <w:tc>
          <w:tcPr>
            <w:tcW w:w="737" w:type="dxa"/>
            <w:shd w:val="clear" w:color="auto" w:fill="F2F2F2" w:themeFill="background1" w:themeFillShade="F2"/>
            <w:noWrap/>
            <w:vAlign w:val="center"/>
            <w:hideMark/>
          </w:tcPr>
          <w:p w14:paraId="18B0841B" w14:textId="29CC8901"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-1</w:t>
            </w:r>
            <w:r w:rsidR="007F5AE4">
              <w:rPr>
                <w:rFonts w:cs="Arial"/>
                <w:b/>
                <w:bCs/>
                <w:color w:val="000000"/>
                <w:sz w:val="16"/>
                <w:szCs w:val="16"/>
              </w:rPr>
              <w:t>.</w:t>
            </w:r>
            <w:r w:rsidRPr="00900BF4">
              <w:rPr>
                <w:rFonts w:cs="Arial"/>
                <w:b/>
                <w:bCs/>
                <w:color w:val="000000"/>
                <w:sz w:val="16"/>
                <w:szCs w:val="16"/>
              </w:rPr>
              <w:t>7</w:t>
            </w:r>
            <w:r w:rsidR="00256B33">
              <w:rPr>
                <w:rFonts w:cs="Arial"/>
                <w:b/>
                <w:bCs/>
                <w:color w:val="000000"/>
                <w:sz w:val="16"/>
                <w:szCs w:val="16"/>
              </w:rPr>
              <w:t>58</w:t>
            </w:r>
          </w:p>
        </w:tc>
        <w:tc>
          <w:tcPr>
            <w:tcW w:w="737" w:type="dxa"/>
            <w:shd w:val="clear" w:color="auto" w:fill="F2F2F2" w:themeFill="background1" w:themeFillShade="F2"/>
            <w:noWrap/>
            <w:vAlign w:val="center"/>
            <w:hideMark/>
          </w:tcPr>
          <w:p w14:paraId="46C8C8DD" w14:textId="731AD3F4"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-2</w:t>
            </w:r>
            <w:r w:rsidR="007F5AE4">
              <w:rPr>
                <w:rFonts w:cs="Arial"/>
                <w:b/>
                <w:bCs/>
                <w:color w:val="000000"/>
                <w:sz w:val="16"/>
                <w:szCs w:val="16"/>
              </w:rPr>
              <w:t>.</w:t>
            </w:r>
            <w:r w:rsidRPr="00900BF4">
              <w:rPr>
                <w:rFonts w:cs="Arial"/>
                <w:b/>
                <w:bCs/>
                <w:color w:val="000000"/>
                <w:sz w:val="16"/>
                <w:szCs w:val="16"/>
              </w:rPr>
              <w:t>4</w:t>
            </w:r>
            <w:r w:rsidR="00256B33">
              <w:rPr>
                <w:rFonts w:cs="Arial"/>
                <w:b/>
                <w:bCs/>
                <w:color w:val="000000"/>
                <w:sz w:val="16"/>
                <w:szCs w:val="16"/>
              </w:rPr>
              <w:t>65</w:t>
            </w:r>
          </w:p>
        </w:tc>
      </w:tr>
      <w:tr w:rsidR="00C920F2" w:rsidRPr="00900BF4" w14:paraId="6F5FE6BA" w14:textId="77777777" w:rsidTr="00BD4758">
        <w:trPr>
          <w:cantSplit/>
          <w:jc w:val="center"/>
        </w:trPr>
        <w:tc>
          <w:tcPr>
            <w:tcW w:w="7142" w:type="dxa"/>
            <w:shd w:val="clear" w:color="auto" w:fill="D9D9D9" w:themeFill="background1" w:themeFillShade="D9"/>
            <w:vAlign w:val="center"/>
            <w:hideMark/>
          </w:tcPr>
          <w:p w14:paraId="557456B3" w14:textId="77777777" w:rsidR="00900BF4" w:rsidRPr="00900BF4" w:rsidRDefault="000F330B" w:rsidP="00F259BF">
            <w:pPr>
              <w:spacing w:after="0" w:line="276" w:lineRule="auto"/>
              <w:jc w:val="left"/>
              <w:rPr>
                <w:rFonts w:cs="Arial"/>
                <w:b/>
                <w:iCs/>
                <w:color w:val="000000"/>
                <w:sz w:val="16"/>
                <w:szCs w:val="16"/>
              </w:rPr>
            </w:pPr>
            <w:r w:rsidRPr="000F330B">
              <w:rPr>
                <w:rFonts w:cs="Arial"/>
                <w:b/>
                <w:iCs/>
                <w:color w:val="000000"/>
                <w:sz w:val="16"/>
                <w:szCs w:val="16"/>
              </w:rPr>
              <w:t xml:space="preserve">Β. </w:t>
            </w:r>
            <w:r w:rsidR="00900BF4" w:rsidRPr="00900BF4">
              <w:rPr>
                <w:rFonts w:cs="Arial"/>
                <w:b/>
                <w:iCs/>
                <w:color w:val="000000"/>
                <w:sz w:val="16"/>
                <w:szCs w:val="16"/>
              </w:rPr>
              <w:t xml:space="preserve">Παρεμβάσεις που θεσμοθετήθηκαν κατά την εκτέλεση του </w:t>
            </w:r>
            <w:r w:rsidRPr="000F330B">
              <w:rPr>
                <w:rFonts w:cs="Arial"/>
                <w:b/>
                <w:iCs/>
                <w:color w:val="000000"/>
                <w:sz w:val="16"/>
                <w:szCs w:val="16"/>
              </w:rPr>
              <w:t>π</w:t>
            </w:r>
            <w:r w:rsidR="00900BF4" w:rsidRPr="00900BF4">
              <w:rPr>
                <w:rFonts w:cs="Arial"/>
                <w:b/>
                <w:iCs/>
                <w:color w:val="000000"/>
                <w:sz w:val="16"/>
                <w:szCs w:val="16"/>
              </w:rPr>
              <w:t>ροϋπολογισμού 2025</w:t>
            </w:r>
          </w:p>
        </w:tc>
        <w:tc>
          <w:tcPr>
            <w:tcW w:w="737" w:type="dxa"/>
            <w:shd w:val="clear" w:color="auto" w:fill="D9D9D9" w:themeFill="background1" w:themeFillShade="D9"/>
            <w:noWrap/>
            <w:vAlign w:val="center"/>
            <w:hideMark/>
          </w:tcPr>
          <w:p w14:paraId="6B2EFE6C" w14:textId="77777777" w:rsidR="00900BF4" w:rsidRPr="00900BF4" w:rsidRDefault="00900BF4" w:rsidP="00F259BF">
            <w:pPr>
              <w:spacing w:after="0" w:line="276" w:lineRule="auto"/>
              <w:jc w:val="right"/>
              <w:rPr>
                <w:rFonts w:cs="Arial"/>
                <w:b/>
                <w:color w:val="000000"/>
                <w:sz w:val="16"/>
                <w:szCs w:val="16"/>
              </w:rPr>
            </w:pPr>
          </w:p>
        </w:tc>
        <w:tc>
          <w:tcPr>
            <w:tcW w:w="737" w:type="dxa"/>
            <w:shd w:val="clear" w:color="auto" w:fill="D9D9D9" w:themeFill="background1" w:themeFillShade="D9"/>
            <w:noWrap/>
            <w:vAlign w:val="center"/>
            <w:hideMark/>
          </w:tcPr>
          <w:p w14:paraId="04E35692" w14:textId="77777777" w:rsidR="00900BF4" w:rsidRPr="00900BF4" w:rsidRDefault="00900BF4" w:rsidP="00F259BF">
            <w:pPr>
              <w:spacing w:after="0" w:line="276" w:lineRule="auto"/>
              <w:jc w:val="right"/>
              <w:rPr>
                <w:rFonts w:cs="Arial"/>
                <w:b/>
                <w:color w:val="000000"/>
                <w:sz w:val="16"/>
                <w:szCs w:val="16"/>
              </w:rPr>
            </w:pPr>
          </w:p>
        </w:tc>
        <w:tc>
          <w:tcPr>
            <w:tcW w:w="737" w:type="dxa"/>
            <w:shd w:val="clear" w:color="auto" w:fill="D9D9D9" w:themeFill="background1" w:themeFillShade="D9"/>
            <w:noWrap/>
            <w:vAlign w:val="center"/>
            <w:hideMark/>
          </w:tcPr>
          <w:p w14:paraId="207CD0B8" w14:textId="77777777" w:rsidR="00900BF4" w:rsidRPr="00900BF4" w:rsidRDefault="00900BF4" w:rsidP="00F259BF">
            <w:pPr>
              <w:spacing w:after="0" w:line="276" w:lineRule="auto"/>
              <w:jc w:val="right"/>
              <w:rPr>
                <w:rFonts w:cs="Arial"/>
                <w:b/>
                <w:color w:val="000000"/>
                <w:sz w:val="16"/>
                <w:szCs w:val="16"/>
              </w:rPr>
            </w:pPr>
          </w:p>
        </w:tc>
      </w:tr>
      <w:tr w:rsidR="00C920F2" w:rsidRPr="00900BF4" w14:paraId="4AFD23A2" w14:textId="77777777" w:rsidTr="00BD4758">
        <w:trPr>
          <w:cantSplit/>
          <w:jc w:val="center"/>
        </w:trPr>
        <w:tc>
          <w:tcPr>
            <w:tcW w:w="7142" w:type="dxa"/>
            <w:vAlign w:val="center"/>
            <w:hideMark/>
          </w:tcPr>
          <w:p w14:paraId="4D235D23"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Επιστροφή ενός ενοικίου ετησίως</w:t>
            </w:r>
          </w:p>
        </w:tc>
        <w:tc>
          <w:tcPr>
            <w:tcW w:w="737" w:type="dxa"/>
            <w:noWrap/>
            <w:vAlign w:val="center"/>
            <w:hideMark/>
          </w:tcPr>
          <w:p w14:paraId="60B8F36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-230</w:t>
            </w:r>
          </w:p>
        </w:tc>
        <w:tc>
          <w:tcPr>
            <w:tcW w:w="737" w:type="dxa"/>
            <w:noWrap/>
            <w:vAlign w:val="center"/>
            <w:hideMark/>
          </w:tcPr>
          <w:p w14:paraId="325DF77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-230</w:t>
            </w:r>
          </w:p>
        </w:tc>
        <w:tc>
          <w:tcPr>
            <w:tcW w:w="737" w:type="dxa"/>
            <w:noWrap/>
            <w:vAlign w:val="center"/>
            <w:hideMark/>
          </w:tcPr>
          <w:p w14:paraId="59EBED58"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-230</w:t>
            </w:r>
          </w:p>
        </w:tc>
      </w:tr>
      <w:tr w:rsidR="00C920F2" w:rsidRPr="00900BF4" w14:paraId="035C129E" w14:textId="77777777" w:rsidTr="00BD4758">
        <w:trPr>
          <w:cantSplit/>
          <w:jc w:val="center"/>
        </w:trPr>
        <w:tc>
          <w:tcPr>
            <w:tcW w:w="7142" w:type="dxa"/>
            <w:vAlign w:val="center"/>
            <w:hideMark/>
          </w:tcPr>
          <w:p w14:paraId="6C4CCF72"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Κοινωνική ενίσχυση ύψους 250 ευρώ κάθε Νοέμβριο σε συνταξιούχους, ανασφάλιστους υπερήλικες και </w:t>
            </w:r>
            <w:r w:rsidR="00B4070D">
              <w:rPr>
                <w:rFonts w:cs="Arial"/>
                <w:color w:val="000000"/>
                <w:sz w:val="16"/>
                <w:szCs w:val="16"/>
              </w:rPr>
              <w:t xml:space="preserve">σε </w:t>
            </w:r>
            <w:r w:rsidRPr="00900BF4">
              <w:rPr>
                <w:rFonts w:cs="Arial"/>
                <w:color w:val="000000"/>
                <w:sz w:val="16"/>
                <w:szCs w:val="16"/>
              </w:rPr>
              <w:t>άτομα με αναπηρία</w:t>
            </w:r>
          </w:p>
        </w:tc>
        <w:tc>
          <w:tcPr>
            <w:tcW w:w="737" w:type="dxa"/>
            <w:noWrap/>
            <w:vAlign w:val="center"/>
            <w:hideMark/>
          </w:tcPr>
          <w:p w14:paraId="59BF413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-360</w:t>
            </w:r>
          </w:p>
        </w:tc>
        <w:tc>
          <w:tcPr>
            <w:tcW w:w="737" w:type="dxa"/>
            <w:noWrap/>
            <w:vAlign w:val="center"/>
            <w:hideMark/>
          </w:tcPr>
          <w:p w14:paraId="193513E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-360</w:t>
            </w:r>
          </w:p>
        </w:tc>
        <w:tc>
          <w:tcPr>
            <w:tcW w:w="737" w:type="dxa"/>
            <w:noWrap/>
            <w:vAlign w:val="center"/>
            <w:hideMark/>
          </w:tcPr>
          <w:p w14:paraId="244843C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-360</w:t>
            </w:r>
          </w:p>
        </w:tc>
      </w:tr>
      <w:tr w:rsidR="00C920F2" w:rsidRPr="00900BF4" w14:paraId="27E44BB3" w14:textId="77777777" w:rsidTr="00BD4758">
        <w:trPr>
          <w:cantSplit/>
          <w:jc w:val="center"/>
        </w:trPr>
        <w:tc>
          <w:tcPr>
            <w:tcW w:w="7142" w:type="dxa"/>
            <w:vAlign w:val="center"/>
            <w:hideMark/>
          </w:tcPr>
          <w:p w14:paraId="7E42E028" w14:textId="0594E4DF"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Αύξηση </w:t>
            </w:r>
            <w:r w:rsidR="00FE20FB">
              <w:rPr>
                <w:rFonts w:cs="Arial"/>
                <w:color w:val="000000"/>
                <w:sz w:val="16"/>
                <w:szCs w:val="16"/>
              </w:rPr>
              <w:t xml:space="preserve">του </w:t>
            </w:r>
            <w:r w:rsidR="002059F7">
              <w:rPr>
                <w:rFonts w:cs="Arial"/>
                <w:color w:val="000000"/>
                <w:sz w:val="16"/>
                <w:szCs w:val="16"/>
              </w:rPr>
              <w:t>ε</w:t>
            </w:r>
            <w:r w:rsidRPr="00900BF4">
              <w:rPr>
                <w:rFonts w:cs="Arial"/>
                <w:color w:val="000000"/>
                <w:sz w:val="16"/>
                <w:szCs w:val="16"/>
              </w:rPr>
              <w:t xml:space="preserve">θνικού σκέλους του </w:t>
            </w:r>
            <w:r w:rsidR="002059F7">
              <w:rPr>
                <w:rFonts w:cs="Arial"/>
                <w:color w:val="000000"/>
                <w:sz w:val="16"/>
                <w:szCs w:val="16"/>
              </w:rPr>
              <w:t>π</w:t>
            </w:r>
            <w:r w:rsidRPr="00900BF4">
              <w:rPr>
                <w:rFonts w:cs="Arial"/>
                <w:color w:val="000000"/>
                <w:sz w:val="16"/>
                <w:szCs w:val="16"/>
              </w:rPr>
              <w:t>ρο</w:t>
            </w:r>
            <w:r w:rsidR="002059F7">
              <w:rPr>
                <w:rFonts w:cs="Arial"/>
                <w:color w:val="000000"/>
                <w:sz w:val="16"/>
                <w:szCs w:val="16"/>
              </w:rPr>
              <w:t>ϋ</w:t>
            </w:r>
            <w:r w:rsidRPr="00900BF4">
              <w:rPr>
                <w:rFonts w:cs="Arial"/>
                <w:color w:val="000000"/>
                <w:sz w:val="16"/>
                <w:szCs w:val="16"/>
              </w:rPr>
              <w:t xml:space="preserve">πολογισμού </w:t>
            </w:r>
            <w:r w:rsidR="002059F7">
              <w:rPr>
                <w:rFonts w:cs="Arial"/>
                <w:color w:val="000000"/>
                <w:sz w:val="16"/>
                <w:szCs w:val="16"/>
              </w:rPr>
              <w:t>δ</w:t>
            </w:r>
            <w:r w:rsidRPr="00900BF4">
              <w:rPr>
                <w:rFonts w:cs="Arial"/>
                <w:color w:val="000000"/>
                <w:sz w:val="16"/>
                <w:szCs w:val="16"/>
              </w:rPr>
              <w:t xml:space="preserve">ημοσίων </w:t>
            </w:r>
            <w:r w:rsidR="002059F7">
              <w:rPr>
                <w:rFonts w:cs="Arial"/>
                <w:color w:val="000000"/>
                <w:sz w:val="16"/>
                <w:szCs w:val="16"/>
              </w:rPr>
              <w:t>ε</w:t>
            </w:r>
            <w:r w:rsidRPr="00900BF4">
              <w:rPr>
                <w:rFonts w:cs="Arial"/>
                <w:color w:val="000000"/>
                <w:sz w:val="16"/>
                <w:szCs w:val="16"/>
              </w:rPr>
              <w:t>πενδύσεων</w:t>
            </w:r>
            <w:r w:rsidR="00F01826">
              <w:rPr>
                <w:rFonts w:cs="Arial"/>
                <w:color w:val="000000"/>
                <w:sz w:val="16"/>
                <w:szCs w:val="16"/>
              </w:rPr>
              <w:t xml:space="preserve"> (σε σχέση με το ΜΔΣ)</w:t>
            </w:r>
          </w:p>
        </w:tc>
        <w:tc>
          <w:tcPr>
            <w:tcW w:w="737" w:type="dxa"/>
            <w:noWrap/>
            <w:vAlign w:val="center"/>
            <w:hideMark/>
          </w:tcPr>
          <w:p w14:paraId="669E578A"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-500</w:t>
            </w:r>
          </w:p>
        </w:tc>
        <w:tc>
          <w:tcPr>
            <w:tcW w:w="737" w:type="dxa"/>
            <w:noWrap/>
            <w:vAlign w:val="center"/>
            <w:hideMark/>
          </w:tcPr>
          <w:p w14:paraId="6391307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-500</w:t>
            </w:r>
          </w:p>
        </w:tc>
        <w:tc>
          <w:tcPr>
            <w:tcW w:w="737" w:type="dxa"/>
            <w:noWrap/>
            <w:vAlign w:val="center"/>
            <w:hideMark/>
          </w:tcPr>
          <w:p w14:paraId="53FCE4D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-600</w:t>
            </w:r>
          </w:p>
        </w:tc>
      </w:tr>
      <w:tr w:rsidR="00C920F2" w:rsidRPr="00900BF4" w14:paraId="616EE2E1" w14:textId="77777777" w:rsidTr="00BD4758">
        <w:trPr>
          <w:cantSplit/>
          <w:jc w:val="center"/>
        </w:trPr>
        <w:tc>
          <w:tcPr>
            <w:tcW w:w="7142" w:type="dxa"/>
            <w:vAlign w:val="center"/>
            <w:hideMark/>
          </w:tcPr>
          <w:p w14:paraId="7C38D6F5"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Επέκταση του μέτρου της αύξησης του ορίου φαρμακευτικής δαπάνης κατά 100 εκατ. ετησίως και μετά το 2025</w:t>
            </w:r>
          </w:p>
        </w:tc>
        <w:tc>
          <w:tcPr>
            <w:tcW w:w="737" w:type="dxa"/>
            <w:noWrap/>
            <w:vAlign w:val="center"/>
            <w:hideMark/>
          </w:tcPr>
          <w:p w14:paraId="2B9B7967"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c>
          <w:tcPr>
            <w:tcW w:w="737" w:type="dxa"/>
            <w:noWrap/>
            <w:vAlign w:val="center"/>
            <w:hideMark/>
          </w:tcPr>
          <w:p w14:paraId="068D3CC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-100</w:t>
            </w:r>
          </w:p>
        </w:tc>
        <w:tc>
          <w:tcPr>
            <w:tcW w:w="737" w:type="dxa"/>
            <w:noWrap/>
            <w:vAlign w:val="center"/>
            <w:hideMark/>
          </w:tcPr>
          <w:p w14:paraId="7360BE3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-200</w:t>
            </w:r>
          </w:p>
        </w:tc>
      </w:tr>
      <w:tr w:rsidR="00C920F2" w:rsidRPr="00900BF4" w14:paraId="5623FBBA" w14:textId="77777777" w:rsidTr="00BD4758">
        <w:trPr>
          <w:cantSplit/>
          <w:jc w:val="center"/>
        </w:trPr>
        <w:tc>
          <w:tcPr>
            <w:tcW w:w="7142" w:type="dxa"/>
            <w:vAlign w:val="center"/>
            <w:hideMark/>
          </w:tcPr>
          <w:p w14:paraId="7602BEE8"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Αύξηση</w:t>
            </w:r>
            <w:r w:rsidR="00B4070D">
              <w:rPr>
                <w:rFonts w:cs="Arial"/>
                <w:color w:val="000000"/>
                <w:sz w:val="16"/>
                <w:szCs w:val="16"/>
              </w:rPr>
              <w:t xml:space="preserve"> του</w:t>
            </w:r>
            <w:r w:rsidRPr="00900BF4">
              <w:rPr>
                <w:rFonts w:cs="Arial"/>
                <w:color w:val="000000"/>
                <w:sz w:val="16"/>
                <w:szCs w:val="16"/>
              </w:rPr>
              <w:t xml:space="preserve"> ορίου υγειονομικής δαπάνης διαγνωστικών και ιδιωτικών κλινικών</w:t>
            </w:r>
          </w:p>
        </w:tc>
        <w:tc>
          <w:tcPr>
            <w:tcW w:w="737" w:type="dxa"/>
            <w:noWrap/>
            <w:vAlign w:val="center"/>
            <w:hideMark/>
          </w:tcPr>
          <w:p w14:paraId="6262BD1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-35</w:t>
            </w:r>
          </w:p>
        </w:tc>
        <w:tc>
          <w:tcPr>
            <w:tcW w:w="737" w:type="dxa"/>
            <w:noWrap/>
            <w:vAlign w:val="center"/>
            <w:hideMark/>
          </w:tcPr>
          <w:p w14:paraId="00FC3FDF"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-35</w:t>
            </w:r>
          </w:p>
        </w:tc>
        <w:tc>
          <w:tcPr>
            <w:tcW w:w="737" w:type="dxa"/>
            <w:noWrap/>
            <w:vAlign w:val="center"/>
            <w:hideMark/>
          </w:tcPr>
          <w:p w14:paraId="682B09CD"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-35</w:t>
            </w:r>
          </w:p>
        </w:tc>
      </w:tr>
      <w:tr w:rsidR="00C920F2" w:rsidRPr="00900BF4" w14:paraId="7F4FA5EC" w14:textId="77777777" w:rsidTr="00BD4758">
        <w:trPr>
          <w:cantSplit/>
          <w:jc w:val="center"/>
        </w:trPr>
        <w:tc>
          <w:tcPr>
            <w:tcW w:w="7142" w:type="dxa"/>
            <w:vAlign w:val="center"/>
            <w:hideMark/>
          </w:tcPr>
          <w:p w14:paraId="3D7CF659"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Χορήγηση φαρμάκων υψηλού κόστους </w:t>
            </w:r>
            <w:r w:rsidR="00684F6D">
              <w:rPr>
                <w:rFonts w:cs="Arial"/>
                <w:color w:val="000000"/>
                <w:sz w:val="16"/>
                <w:szCs w:val="16"/>
              </w:rPr>
              <w:t xml:space="preserve">από τον </w:t>
            </w:r>
            <w:r w:rsidRPr="00900BF4">
              <w:rPr>
                <w:rFonts w:cs="Arial"/>
                <w:color w:val="000000"/>
                <w:sz w:val="16"/>
                <w:szCs w:val="16"/>
              </w:rPr>
              <w:t>ΕΟΠ</w:t>
            </w:r>
            <w:r w:rsidR="00684F6D">
              <w:rPr>
                <w:rFonts w:cs="Arial"/>
                <w:color w:val="000000"/>
                <w:sz w:val="16"/>
                <w:szCs w:val="16"/>
              </w:rPr>
              <w:t>Υ</w:t>
            </w:r>
            <w:r w:rsidRPr="00900BF4">
              <w:rPr>
                <w:rFonts w:cs="Arial"/>
                <w:color w:val="000000"/>
                <w:sz w:val="16"/>
                <w:szCs w:val="16"/>
              </w:rPr>
              <w:t>Υ μέσω ιδιωτικών φαρμακείων</w:t>
            </w:r>
          </w:p>
        </w:tc>
        <w:tc>
          <w:tcPr>
            <w:tcW w:w="737" w:type="dxa"/>
            <w:noWrap/>
            <w:vAlign w:val="center"/>
            <w:hideMark/>
          </w:tcPr>
          <w:p w14:paraId="7E037DC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-12</w:t>
            </w:r>
          </w:p>
        </w:tc>
        <w:tc>
          <w:tcPr>
            <w:tcW w:w="737" w:type="dxa"/>
            <w:noWrap/>
            <w:vAlign w:val="center"/>
            <w:hideMark/>
          </w:tcPr>
          <w:p w14:paraId="66FC7BFA"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-12</w:t>
            </w:r>
          </w:p>
        </w:tc>
        <w:tc>
          <w:tcPr>
            <w:tcW w:w="737" w:type="dxa"/>
            <w:noWrap/>
            <w:vAlign w:val="center"/>
            <w:hideMark/>
          </w:tcPr>
          <w:p w14:paraId="7F2D137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-12</w:t>
            </w:r>
          </w:p>
        </w:tc>
      </w:tr>
      <w:tr w:rsidR="00C920F2" w:rsidRPr="00900BF4" w14:paraId="23B27778" w14:textId="77777777" w:rsidTr="00BD4758">
        <w:trPr>
          <w:cantSplit/>
          <w:jc w:val="center"/>
        </w:trPr>
        <w:tc>
          <w:tcPr>
            <w:tcW w:w="7142" w:type="dxa"/>
            <w:vAlign w:val="center"/>
            <w:hideMark/>
          </w:tcPr>
          <w:p w14:paraId="2D9D40DA"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Επίδομα επικινδυνότητας ενστόλων ύψους 100 ευρώ μηνιαίως</w:t>
            </w:r>
          </w:p>
        </w:tc>
        <w:tc>
          <w:tcPr>
            <w:tcW w:w="737" w:type="dxa"/>
            <w:noWrap/>
            <w:vAlign w:val="center"/>
            <w:hideMark/>
          </w:tcPr>
          <w:p w14:paraId="04CDB74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-111</w:t>
            </w:r>
          </w:p>
        </w:tc>
        <w:tc>
          <w:tcPr>
            <w:tcW w:w="737" w:type="dxa"/>
            <w:noWrap/>
            <w:vAlign w:val="center"/>
            <w:hideMark/>
          </w:tcPr>
          <w:p w14:paraId="62FBD3B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-222</w:t>
            </w:r>
          </w:p>
        </w:tc>
        <w:tc>
          <w:tcPr>
            <w:tcW w:w="737" w:type="dxa"/>
            <w:noWrap/>
            <w:vAlign w:val="center"/>
            <w:hideMark/>
          </w:tcPr>
          <w:p w14:paraId="71F6CA0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-222</w:t>
            </w:r>
          </w:p>
        </w:tc>
      </w:tr>
      <w:tr w:rsidR="00C920F2" w:rsidRPr="00900BF4" w14:paraId="260F1C49" w14:textId="77777777" w:rsidTr="00BD4758">
        <w:trPr>
          <w:cantSplit/>
          <w:jc w:val="center"/>
        </w:trPr>
        <w:tc>
          <w:tcPr>
            <w:tcW w:w="7142" w:type="dxa"/>
            <w:vAlign w:val="center"/>
            <w:hideMark/>
          </w:tcPr>
          <w:p w14:paraId="109DFE27"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Επέκταση απαλλαγής </w:t>
            </w:r>
            <w:r w:rsidR="00684F6D">
              <w:rPr>
                <w:rFonts w:cs="Arial"/>
                <w:color w:val="000000"/>
                <w:sz w:val="16"/>
                <w:szCs w:val="16"/>
              </w:rPr>
              <w:t xml:space="preserve">από τη </w:t>
            </w:r>
            <w:r w:rsidRPr="00900BF4">
              <w:rPr>
                <w:rFonts w:cs="Arial"/>
                <w:color w:val="000000"/>
                <w:sz w:val="16"/>
                <w:szCs w:val="16"/>
              </w:rPr>
              <w:t>φαρμακευτική δαπάνη στους χαμηλοσυνταξιούχους</w:t>
            </w:r>
          </w:p>
        </w:tc>
        <w:tc>
          <w:tcPr>
            <w:tcW w:w="737" w:type="dxa"/>
            <w:noWrap/>
            <w:vAlign w:val="center"/>
            <w:hideMark/>
          </w:tcPr>
          <w:p w14:paraId="182BE38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-23</w:t>
            </w:r>
          </w:p>
        </w:tc>
        <w:tc>
          <w:tcPr>
            <w:tcW w:w="737" w:type="dxa"/>
            <w:noWrap/>
            <w:vAlign w:val="center"/>
            <w:hideMark/>
          </w:tcPr>
          <w:p w14:paraId="66C579B4"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-23</w:t>
            </w:r>
          </w:p>
        </w:tc>
        <w:tc>
          <w:tcPr>
            <w:tcW w:w="737" w:type="dxa"/>
            <w:noWrap/>
            <w:vAlign w:val="center"/>
            <w:hideMark/>
          </w:tcPr>
          <w:p w14:paraId="40DAD44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-23</w:t>
            </w:r>
          </w:p>
        </w:tc>
      </w:tr>
      <w:tr w:rsidR="00C920F2" w:rsidRPr="00900BF4" w14:paraId="36945EF3" w14:textId="77777777" w:rsidTr="00BD4758">
        <w:trPr>
          <w:cantSplit/>
          <w:jc w:val="center"/>
        </w:trPr>
        <w:tc>
          <w:tcPr>
            <w:tcW w:w="7142" w:type="dxa"/>
            <w:vAlign w:val="center"/>
            <w:hideMark/>
          </w:tcPr>
          <w:p w14:paraId="2CBCEA99"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Μη συμψηφισμός </w:t>
            </w:r>
            <w:r w:rsidR="00684F6D">
              <w:rPr>
                <w:rFonts w:cs="Arial"/>
                <w:color w:val="000000"/>
                <w:sz w:val="16"/>
                <w:szCs w:val="16"/>
              </w:rPr>
              <w:t xml:space="preserve">της </w:t>
            </w:r>
            <w:r w:rsidRPr="00900BF4">
              <w:rPr>
                <w:rFonts w:cs="Arial"/>
                <w:color w:val="000000"/>
                <w:sz w:val="16"/>
                <w:szCs w:val="16"/>
              </w:rPr>
              <w:t xml:space="preserve">προσωπικής διαφοράς </w:t>
            </w:r>
            <w:r w:rsidR="00684F6D">
              <w:rPr>
                <w:rFonts w:cs="Arial"/>
                <w:color w:val="000000"/>
                <w:sz w:val="16"/>
                <w:szCs w:val="16"/>
              </w:rPr>
              <w:t xml:space="preserve">των </w:t>
            </w:r>
            <w:r w:rsidRPr="00900BF4">
              <w:rPr>
                <w:rFonts w:cs="Arial"/>
                <w:color w:val="000000"/>
                <w:sz w:val="16"/>
                <w:szCs w:val="16"/>
              </w:rPr>
              <w:t>δημ</w:t>
            </w:r>
            <w:r w:rsidR="00684F6D">
              <w:rPr>
                <w:rFonts w:cs="Arial"/>
                <w:color w:val="000000"/>
                <w:sz w:val="16"/>
                <w:szCs w:val="16"/>
              </w:rPr>
              <w:t>ό</w:t>
            </w:r>
            <w:r w:rsidRPr="00900BF4">
              <w:rPr>
                <w:rFonts w:cs="Arial"/>
                <w:color w:val="000000"/>
                <w:sz w:val="16"/>
                <w:szCs w:val="16"/>
              </w:rPr>
              <w:t>σ</w:t>
            </w:r>
            <w:r w:rsidR="00684F6D">
              <w:rPr>
                <w:rFonts w:cs="Arial"/>
                <w:color w:val="000000"/>
                <w:sz w:val="16"/>
                <w:szCs w:val="16"/>
              </w:rPr>
              <w:t>ι</w:t>
            </w:r>
            <w:r w:rsidRPr="00900BF4">
              <w:rPr>
                <w:rFonts w:cs="Arial"/>
                <w:color w:val="000000"/>
                <w:sz w:val="16"/>
                <w:szCs w:val="16"/>
              </w:rPr>
              <w:t>ων υπαλλήλων</w:t>
            </w:r>
          </w:p>
        </w:tc>
        <w:tc>
          <w:tcPr>
            <w:tcW w:w="737" w:type="dxa"/>
            <w:noWrap/>
            <w:vAlign w:val="center"/>
            <w:hideMark/>
          </w:tcPr>
          <w:p w14:paraId="6680AD6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-12</w:t>
            </w:r>
          </w:p>
        </w:tc>
        <w:tc>
          <w:tcPr>
            <w:tcW w:w="737" w:type="dxa"/>
            <w:noWrap/>
            <w:vAlign w:val="center"/>
            <w:hideMark/>
          </w:tcPr>
          <w:p w14:paraId="7188F64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-17</w:t>
            </w:r>
          </w:p>
        </w:tc>
        <w:tc>
          <w:tcPr>
            <w:tcW w:w="737" w:type="dxa"/>
            <w:noWrap/>
            <w:vAlign w:val="center"/>
            <w:hideMark/>
          </w:tcPr>
          <w:p w14:paraId="2E5CBB9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-22</w:t>
            </w:r>
          </w:p>
        </w:tc>
      </w:tr>
      <w:tr w:rsidR="00C920F2" w:rsidRPr="00900BF4" w14:paraId="487D85C1" w14:textId="77777777" w:rsidTr="00BD4758">
        <w:trPr>
          <w:cantSplit/>
          <w:jc w:val="center"/>
        </w:trPr>
        <w:tc>
          <w:tcPr>
            <w:tcW w:w="7142" w:type="dxa"/>
            <w:vAlign w:val="center"/>
            <w:hideMark/>
          </w:tcPr>
          <w:p w14:paraId="750B6FBC"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Κατάργηση των ηλικιακών περιορισμών για τη χορήγηση του επιδόματος κώφωσης </w:t>
            </w:r>
            <w:r w:rsidR="00684F6D">
              <w:rPr>
                <w:rFonts w:cs="Arial"/>
                <w:color w:val="000000"/>
                <w:sz w:val="16"/>
                <w:szCs w:val="16"/>
              </w:rPr>
              <w:t>-</w:t>
            </w:r>
            <w:r w:rsidRPr="00900BF4">
              <w:rPr>
                <w:rFonts w:cs="Arial"/>
                <w:color w:val="000000"/>
                <w:sz w:val="16"/>
                <w:szCs w:val="16"/>
              </w:rPr>
              <w:t xml:space="preserve"> βαρηκοΐας</w:t>
            </w:r>
          </w:p>
        </w:tc>
        <w:tc>
          <w:tcPr>
            <w:tcW w:w="737" w:type="dxa"/>
            <w:noWrap/>
            <w:vAlign w:val="center"/>
            <w:hideMark/>
          </w:tcPr>
          <w:p w14:paraId="52CA68DF"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w:t>
            </w:r>
          </w:p>
        </w:tc>
        <w:tc>
          <w:tcPr>
            <w:tcW w:w="737" w:type="dxa"/>
            <w:noWrap/>
            <w:vAlign w:val="center"/>
            <w:hideMark/>
          </w:tcPr>
          <w:p w14:paraId="3A260A4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w:t>
            </w:r>
          </w:p>
        </w:tc>
        <w:tc>
          <w:tcPr>
            <w:tcW w:w="737" w:type="dxa"/>
            <w:noWrap/>
            <w:vAlign w:val="center"/>
            <w:hideMark/>
          </w:tcPr>
          <w:p w14:paraId="60661D4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w:t>
            </w:r>
          </w:p>
        </w:tc>
      </w:tr>
      <w:tr w:rsidR="00C920F2" w:rsidRPr="00900BF4" w14:paraId="3BF189E7" w14:textId="77777777" w:rsidTr="00BD4758">
        <w:trPr>
          <w:cantSplit/>
          <w:jc w:val="center"/>
        </w:trPr>
        <w:tc>
          <w:tcPr>
            <w:tcW w:w="7142" w:type="dxa"/>
            <w:vAlign w:val="center"/>
            <w:hideMark/>
          </w:tcPr>
          <w:p w14:paraId="128124F8"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Παράταση ισχύος της μείωσης του φόρου εισοδήματος για δαπάνες αναβάθμισης κτ</w:t>
            </w:r>
            <w:r w:rsidR="00684F6D">
              <w:rPr>
                <w:rFonts w:cs="Arial"/>
                <w:color w:val="000000"/>
                <w:sz w:val="16"/>
                <w:szCs w:val="16"/>
              </w:rPr>
              <w:t>η</w:t>
            </w:r>
            <w:r w:rsidRPr="00900BF4">
              <w:rPr>
                <w:rFonts w:cs="Arial"/>
                <w:color w:val="000000"/>
                <w:sz w:val="16"/>
                <w:szCs w:val="16"/>
              </w:rPr>
              <w:t>ρίων για τα έτη 2025 και 2026</w:t>
            </w:r>
          </w:p>
        </w:tc>
        <w:tc>
          <w:tcPr>
            <w:tcW w:w="737" w:type="dxa"/>
            <w:noWrap/>
            <w:vAlign w:val="center"/>
            <w:hideMark/>
          </w:tcPr>
          <w:p w14:paraId="7F73E82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-5</w:t>
            </w:r>
          </w:p>
        </w:tc>
        <w:tc>
          <w:tcPr>
            <w:tcW w:w="737" w:type="dxa"/>
            <w:noWrap/>
            <w:vAlign w:val="center"/>
            <w:hideMark/>
          </w:tcPr>
          <w:p w14:paraId="1C9D100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-5</w:t>
            </w:r>
          </w:p>
        </w:tc>
        <w:tc>
          <w:tcPr>
            <w:tcW w:w="737" w:type="dxa"/>
            <w:noWrap/>
            <w:vAlign w:val="center"/>
            <w:hideMark/>
          </w:tcPr>
          <w:p w14:paraId="507BE448"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r>
      <w:tr w:rsidR="00C920F2" w:rsidRPr="00900BF4" w14:paraId="15D1C6B9" w14:textId="77777777" w:rsidTr="00BD4758">
        <w:trPr>
          <w:cantSplit/>
          <w:jc w:val="center"/>
        </w:trPr>
        <w:tc>
          <w:tcPr>
            <w:tcW w:w="7142" w:type="dxa"/>
            <w:shd w:val="clear" w:color="auto" w:fill="F2F2F2" w:themeFill="background1" w:themeFillShade="F2"/>
            <w:vAlign w:val="center"/>
            <w:hideMark/>
          </w:tcPr>
          <w:p w14:paraId="3C444466" w14:textId="77777777" w:rsidR="00900BF4" w:rsidRPr="00900BF4" w:rsidRDefault="00900BF4" w:rsidP="00F259BF">
            <w:pPr>
              <w:spacing w:after="0" w:line="276" w:lineRule="auto"/>
              <w:jc w:val="left"/>
              <w:rPr>
                <w:rFonts w:cs="Arial"/>
                <w:b/>
                <w:bCs/>
                <w:color w:val="000000"/>
                <w:sz w:val="16"/>
                <w:szCs w:val="16"/>
              </w:rPr>
            </w:pPr>
            <w:r w:rsidRPr="00900BF4">
              <w:rPr>
                <w:rFonts w:cs="Arial"/>
                <w:b/>
                <w:bCs/>
                <w:color w:val="000000"/>
                <w:sz w:val="16"/>
                <w:szCs w:val="16"/>
              </w:rPr>
              <w:t>Β</w:t>
            </w:r>
            <w:r w:rsidR="000F330B">
              <w:rPr>
                <w:rFonts w:cs="Arial"/>
                <w:b/>
                <w:bCs/>
                <w:color w:val="000000"/>
                <w:sz w:val="16"/>
                <w:szCs w:val="16"/>
              </w:rPr>
              <w:t>.</w:t>
            </w:r>
            <w:r w:rsidRPr="00900BF4">
              <w:rPr>
                <w:rFonts w:cs="Arial"/>
                <w:b/>
                <w:bCs/>
                <w:color w:val="000000"/>
                <w:sz w:val="16"/>
                <w:szCs w:val="16"/>
              </w:rPr>
              <w:t xml:space="preserve"> Σ</w:t>
            </w:r>
            <w:r w:rsidR="000F330B">
              <w:rPr>
                <w:rFonts w:cs="Arial"/>
                <w:b/>
                <w:bCs/>
                <w:color w:val="000000"/>
                <w:sz w:val="16"/>
                <w:szCs w:val="16"/>
              </w:rPr>
              <w:t>ύνολο</w:t>
            </w:r>
          </w:p>
        </w:tc>
        <w:tc>
          <w:tcPr>
            <w:tcW w:w="737" w:type="dxa"/>
            <w:shd w:val="clear" w:color="auto" w:fill="F2F2F2" w:themeFill="background1" w:themeFillShade="F2"/>
            <w:noWrap/>
            <w:vAlign w:val="center"/>
            <w:hideMark/>
          </w:tcPr>
          <w:p w14:paraId="2200E2F6" w14:textId="77777777"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-1</w:t>
            </w:r>
            <w:r w:rsidR="007F5AE4">
              <w:rPr>
                <w:rFonts w:cs="Arial"/>
                <w:b/>
                <w:bCs/>
                <w:color w:val="000000"/>
                <w:sz w:val="16"/>
                <w:szCs w:val="16"/>
              </w:rPr>
              <w:t>.</w:t>
            </w:r>
            <w:r w:rsidRPr="00900BF4">
              <w:rPr>
                <w:rFonts w:cs="Arial"/>
                <w:b/>
                <w:bCs/>
                <w:color w:val="000000"/>
                <w:sz w:val="16"/>
                <w:szCs w:val="16"/>
              </w:rPr>
              <w:t>292</w:t>
            </w:r>
          </w:p>
        </w:tc>
        <w:tc>
          <w:tcPr>
            <w:tcW w:w="737" w:type="dxa"/>
            <w:shd w:val="clear" w:color="auto" w:fill="F2F2F2" w:themeFill="background1" w:themeFillShade="F2"/>
            <w:noWrap/>
            <w:vAlign w:val="center"/>
            <w:hideMark/>
          </w:tcPr>
          <w:p w14:paraId="170FAC0B" w14:textId="77777777"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-1</w:t>
            </w:r>
            <w:r w:rsidR="007F5AE4">
              <w:rPr>
                <w:rFonts w:cs="Arial"/>
                <w:b/>
                <w:bCs/>
                <w:color w:val="000000"/>
                <w:sz w:val="16"/>
                <w:szCs w:val="16"/>
              </w:rPr>
              <w:t>.</w:t>
            </w:r>
            <w:r w:rsidRPr="00900BF4">
              <w:rPr>
                <w:rFonts w:cs="Arial"/>
                <w:b/>
                <w:bCs/>
                <w:color w:val="000000"/>
                <w:sz w:val="16"/>
                <w:szCs w:val="16"/>
              </w:rPr>
              <w:t>508</w:t>
            </w:r>
          </w:p>
        </w:tc>
        <w:tc>
          <w:tcPr>
            <w:tcW w:w="737" w:type="dxa"/>
            <w:shd w:val="clear" w:color="auto" w:fill="F2F2F2" w:themeFill="background1" w:themeFillShade="F2"/>
            <w:noWrap/>
            <w:vAlign w:val="center"/>
            <w:hideMark/>
          </w:tcPr>
          <w:p w14:paraId="4F47F012" w14:textId="77777777"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-1</w:t>
            </w:r>
            <w:r w:rsidR="007F5AE4">
              <w:rPr>
                <w:rFonts w:cs="Arial"/>
                <w:b/>
                <w:bCs/>
                <w:color w:val="000000"/>
                <w:sz w:val="16"/>
                <w:szCs w:val="16"/>
              </w:rPr>
              <w:t>.</w:t>
            </w:r>
            <w:r w:rsidRPr="00900BF4">
              <w:rPr>
                <w:rFonts w:cs="Arial"/>
                <w:b/>
                <w:bCs/>
                <w:color w:val="000000"/>
                <w:sz w:val="16"/>
                <w:szCs w:val="16"/>
              </w:rPr>
              <w:t>708</w:t>
            </w:r>
          </w:p>
        </w:tc>
      </w:tr>
      <w:tr w:rsidR="00C920F2" w:rsidRPr="00900BF4" w14:paraId="48ECA7E5" w14:textId="77777777" w:rsidTr="00BD4758">
        <w:trPr>
          <w:cantSplit/>
          <w:jc w:val="center"/>
        </w:trPr>
        <w:tc>
          <w:tcPr>
            <w:tcW w:w="7142" w:type="dxa"/>
            <w:shd w:val="clear" w:color="auto" w:fill="D9D9D9" w:themeFill="background1" w:themeFillShade="D9"/>
            <w:vAlign w:val="center"/>
            <w:hideMark/>
          </w:tcPr>
          <w:p w14:paraId="2BC15511" w14:textId="77777777" w:rsidR="00900BF4" w:rsidRPr="00900BF4" w:rsidRDefault="000F330B" w:rsidP="00F259BF">
            <w:pPr>
              <w:spacing w:after="0" w:line="276" w:lineRule="auto"/>
              <w:jc w:val="left"/>
              <w:rPr>
                <w:rFonts w:cs="Arial"/>
                <w:b/>
                <w:iCs/>
                <w:color w:val="000000"/>
                <w:sz w:val="16"/>
                <w:szCs w:val="16"/>
              </w:rPr>
            </w:pPr>
            <w:r w:rsidRPr="000F330B">
              <w:rPr>
                <w:rFonts w:cs="Arial"/>
                <w:b/>
                <w:iCs/>
                <w:color w:val="000000"/>
                <w:sz w:val="16"/>
                <w:szCs w:val="16"/>
              </w:rPr>
              <w:t xml:space="preserve">Γ. </w:t>
            </w:r>
            <w:r w:rsidR="00900BF4" w:rsidRPr="00900BF4">
              <w:rPr>
                <w:rFonts w:cs="Arial"/>
                <w:b/>
                <w:iCs/>
                <w:color w:val="000000"/>
                <w:sz w:val="16"/>
                <w:szCs w:val="16"/>
              </w:rPr>
              <w:t>Παρεμβάσεις που ενσωματώθηκαν στον προϋπολογισμό 2025</w:t>
            </w:r>
          </w:p>
        </w:tc>
        <w:tc>
          <w:tcPr>
            <w:tcW w:w="737" w:type="dxa"/>
            <w:shd w:val="clear" w:color="auto" w:fill="D9D9D9" w:themeFill="background1" w:themeFillShade="D9"/>
            <w:noWrap/>
            <w:vAlign w:val="center"/>
            <w:hideMark/>
          </w:tcPr>
          <w:p w14:paraId="32E926F2" w14:textId="77777777" w:rsidR="00900BF4" w:rsidRPr="00900BF4" w:rsidRDefault="00900BF4" w:rsidP="00F259BF">
            <w:pPr>
              <w:spacing w:after="0" w:line="276" w:lineRule="auto"/>
              <w:jc w:val="right"/>
              <w:rPr>
                <w:rFonts w:cs="Arial"/>
                <w:b/>
                <w:color w:val="000000"/>
                <w:sz w:val="16"/>
                <w:szCs w:val="16"/>
              </w:rPr>
            </w:pPr>
          </w:p>
        </w:tc>
        <w:tc>
          <w:tcPr>
            <w:tcW w:w="737" w:type="dxa"/>
            <w:shd w:val="clear" w:color="auto" w:fill="D9D9D9" w:themeFill="background1" w:themeFillShade="D9"/>
            <w:noWrap/>
            <w:vAlign w:val="center"/>
            <w:hideMark/>
          </w:tcPr>
          <w:p w14:paraId="3587ED7A" w14:textId="77777777" w:rsidR="00900BF4" w:rsidRPr="00900BF4" w:rsidRDefault="00900BF4" w:rsidP="00F259BF">
            <w:pPr>
              <w:spacing w:after="0" w:line="276" w:lineRule="auto"/>
              <w:jc w:val="right"/>
              <w:rPr>
                <w:rFonts w:cs="Arial"/>
                <w:b/>
                <w:color w:val="000000"/>
                <w:sz w:val="16"/>
                <w:szCs w:val="16"/>
              </w:rPr>
            </w:pPr>
          </w:p>
        </w:tc>
        <w:tc>
          <w:tcPr>
            <w:tcW w:w="737" w:type="dxa"/>
            <w:shd w:val="clear" w:color="auto" w:fill="D9D9D9" w:themeFill="background1" w:themeFillShade="D9"/>
            <w:noWrap/>
            <w:vAlign w:val="center"/>
            <w:hideMark/>
          </w:tcPr>
          <w:p w14:paraId="3AAE39D0" w14:textId="77777777" w:rsidR="00900BF4" w:rsidRPr="00900BF4" w:rsidRDefault="00900BF4" w:rsidP="00F259BF">
            <w:pPr>
              <w:spacing w:after="0" w:line="276" w:lineRule="auto"/>
              <w:jc w:val="right"/>
              <w:rPr>
                <w:rFonts w:cs="Arial"/>
                <w:b/>
                <w:color w:val="000000"/>
                <w:sz w:val="16"/>
                <w:szCs w:val="16"/>
              </w:rPr>
            </w:pPr>
          </w:p>
        </w:tc>
      </w:tr>
      <w:tr w:rsidR="00C920F2" w:rsidRPr="00900BF4" w14:paraId="37BF9C78" w14:textId="77777777" w:rsidTr="00BD4758">
        <w:trPr>
          <w:cantSplit/>
          <w:jc w:val="center"/>
        </w:trPr>
        <w:tc>
          <w:tcPr>
            <w:tcW w:w="7142" w:type="dxa"/>
            <w:vAlign w:val="center"/>
            <w:hideMark/>
          </w:tcPr>
          <w:p w14:paraId="39F1D309"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Οριζόντια αύξηση μισθολογίου </w:t>
            </w:r>
            <w:r w:rsidR="00684F6D">
              <w:rPr>
                <w:rFonts w:cs="Arial"/>
                <w:color w:val="000000"/>
                <w:sz w:val="16"/>
                <w:szCs w:val="16"/>
              </w:rPr>
              <w:t xml:space="preserve">του </w:t>
            </w:r>
            <w:r w:rsidRPr="00900BF4">
              <w:rPr>
                <w:rFonts w:cs="Arial"/>
                <w:color w:val="000000"/>
                <w:sz w:val="16"/>
                <w:szCs w:val="16"/>
              </w:rPr>
              <w:t>δημόσιου τομέα, ώστε ο εισαγωγικός μισθός να μην υπολείπεται του επιπέδου του κατώτατου μισθού</w:t>
            </w:r>
          </w:p>
        </w:tc>
        <w:tc>
          <w:tcPr>
            <w:tcW w:w="737" w:type="dxa"/>
            <w:noWrap/>
            <w:vAlign w:val="center"/>
            <w:hideMark/>
          </w:tcPr>
          <w:p w14:paraId="0D39C7C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-215</w:t>
            </w:r>
          </w:p>
        </w:tc>
        <w:tc>
          <w:tcPr>
            <w:tcW w:w="737" w:type="dxa"/>
            <w:noWrap/>
            <w:vAlign w:val="center"/>
            <w:hideMark/>
          </w:tcPr>
          <w:p w14:paraId="7CB0F586"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-572</w:t>
            </w:r>
          </w:p>
        </w:tc>
        <w:tc>
          <w:tcPr>
            <w:tcW w:w="737" w:type="dxa"/>
            <w:noWrap/>
            <w:vAlign w:val="center"/>
            <w:hideMark/>
          </w:tcPr>
          <w:p w14:paraId="2BC821A6"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-882</w:t>
            </w:r>
          </w:p>
        </w:tc>
      </w:tr>
      <w:tr w:rsidR="00C920F2" w:rsidRPr="00900BF4" w14:paraId="7648A390" w14:textId="77777777" w:rsidTr="00BD4758">
        <w:trPr>
          <w:cantSplit/>
          <w:jc w:val="center"/>
        </w:trPr>
        <w:tc>
          <w:tcPr>
            <w:tcW w:w="7142" w:type="dxa"/>
            <w:vAlign w:val="center"/>
            <w:hideMark/>
          </w:tcPr>
          <w:p w14:paraId="4CE28627"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Αύξηση των συντάξεων με βάση τον ρυθμό μεταβολής του ΑΕΠ και του πληθωρισμού</w:t>
            </w:r>
          </w:p>
        </w:tc>
        <w:tc>
          <w:tcPr>
            <w:tcW w:w="737" w:type="dxa"/>
            <w:noWrap/>
            <w:vAlign w:val="center"/>
            <w:hideMark/>
          </w:tcPr>
          <w:p w14:paraId="294168DA" w14:textId="1CC37AF1" w:rsidR="00900BF4" w:rsidRPr="008A5688" w:rsidRDefault="00900BF4" w:rsidP="00F259BF">
            <w:pPr>
              <w:spacing w:after="0" w:line="276" w:lineRule="auto"/>
              <w:jc w:val="right"/>
              <w:rPr>
                <w:rFonts w:cs="Arial"/>
                <w:color w:val="000000"/>
                <w:sz w:val="16"/>
                <w:szCs w:val="16"/>
              </w:rPr>
            </w:pPr>
            <w:r w:rsidRPr="008A5688">
              <w:rPr>
                <w:rFonts w:cs="Arial"/>
                <w:color w:val="000000"/>
                <w:sz w:val="16"/>
                <w:szCs w:val="16"/>
              </w:rPr>
              <w:t>-4</w:t>
            </w:r>
            <w:r w:rsidR="00A337A5" w:rsidRPr="008A5688">
              <w:rPr>
                <w:rFonts w:cs="Arial"/>
                <w:color w:val="000000"/>
                <w:sz w:val="16"/>
                <w:szCs w:val="16"/>
              </w:rPr>
              <w:t>7</w:t>
            </w:r>
            <w:r w:rsidRPr="008A5688">
              <w:rPr>
                <w:rFonts w:cs="Arial"/>
                <w:color w:val="000000"/>
                <w:sz w:val="16"/>
                <w:szCs w:val="16"/>
              </w:rPr>
              <w:t>4</w:t>
            </w:r>
          </w:p>
        </w:tc>
        <w:tc>
          <w:tcPr>
            <w:tcW w:w="737" w:type="dxa"/>
            <w:noWrap/>
            <w:vAlign w:val="center"/>
            <w:hideMark/>
          </w:tcPr>
          <w:p w14:paraId="4D602F23" w14:textId="7824E5A1" w:rsidR="00900BF4" w:rsidRPr="008A5688" w:rsidRDefault="00267361" w:rsidP="00F259BF">
            <w:pPr>
              <w:spacing w:after="0" w:line="276" w:lineRule="auto"/>
              <w:jc w:val="right"/>
              <w:rPr>
                <w:rFonts w:cs="Arial"/>
                <w:color w:val="000000"/>
                <w:sz w:val="16"/>
                <w:szCs w:val="16"/>
              </w:rPr>
            </w:pPr>
            <w:r>
              <w:rPr>
                <w:rFonts w:cs="Arial"/>
                <w:color w:val="000000"/>
                <w:sz w:val="16"/>
                <w:szCs w:val="16"/>
              </w:rPr>
              <w:t>-</w:t>
            </w:r>
            <w:r w:rsidR="008A5688" w:rsidRPr="008A5688">
              <w:rPr>
                <w:rFonts w:cs="Arial"/>
                <w:color w:val="000000"/>
                <w:sz w:val="16"/>
                <w:szCs w:val="16"/>
              </w:rPr>
              <w:t>1.028</w:t>
            </w:r>
          </w:p>
        </w:tc>
        <w:tc>
          <w:tcPr>
            <w:tcW w:w="737" w:type="dxa"/>
            <w:noWrap/>
            <w:vAlign w:val="center"/>
            <w:hideMark/>
          </w:tcPr>
          <w:p w14:paraId="7DFD378A" w14:textId="17D7EF99" w:rsidR="00900BF4" w:rsidRPr="008A5688" w:rsidRDefault="00900BF4" w:rsidP="00F259BF">
            <w:pPr>
              <w:spacing w:after="0" w:line="276" w:lineRule="auto"/>
              <w:jc w:val="right"/>
              <w:rPr>
                <w:rFonts w:cs="Arial"/>
                <w:color w:val="000000"/>
                <w:sz w:val="16"/>
                <w:szCs w:val="16"/>
              </w:rPr>
            </w:pPr>
            <w:r w:rsidRPr="008A5688">
              <w:rPr>
                <w:rFonts w:cs="Arial"/>
                <w:color w:val="000000"/>
                <w:sz w:val="16"/>
                <w:szCs w:val="16"/>
              </w:rPr>
              <w:t>-1</w:t>
            </w:r>
            <w:r w:rsidR="007F5AE4" w:rsidRPr="008A5688">
              <w:rPr>
                <w:rFonts w:cs="Arial"/>
                <w:color w:val="000000"/>
                <w:sz w:val="16"/>
                <w:szCs w:val="16"/>
              </w:rPr>
              <w:t>.</w:t>
            </w:r>
            <w:r w:rsidR="00A337A5" w:rsidRPr="008A5688">
              <w:rPr>
                <w:rFonts w:cs="Arial"/>
                <w:color w:val="000000"/>
                <w:sz w:val="16"/>
                <w:szCs w:val="16"/>
              </w:rPr>
              <w:t>562</w:t>
            </w:r>
          </w:p>
        </w:tc>
      </w:tr>
      <w:tr w:rsidR="00C920F2" w:rsidRPr="00900BF4" w14:paraId="733BC0C4" w14:textId="77777777" w:rsidTr="00BD4758">
        <w:trPr>
          <w:cantSplit/>
          <w:jc w:val="center"/>
        </w:trPr>
        <w:tc>
          <w:tcPr>
            <w:tcW w:w="7142" w:type="dxa"/>
            <w:vAlign w:val="center"/>
            <w:hideMark/>
          </w:tcPr>
          <w:p w14:paraId="5BB7C405" w14:textId="149AA801"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Μείωση </w:t>
            </w:r>
            <w:r w:rsidR="004A1275">
              <w:rPr>
                <w:rFonts w:cs="Arial"/>
                <w:color w:val="000000"/>
                <w:sz w:val="16"/>
                <w:szCs w:val="16"/>
              </w:rPr>
              <w:t xml:space="preserve">των </w:t>
            </w:r>
            <w:r w:rsidRPr="00900BF4">
              <w:rPr>
                <w:rFonts w:cs="Arial"/>
                <w:color w:val="000000"/>
                <w:sz w:val="16"/>
                <w:szCs w:val="16"/>
              </w:rPr>
              <w:t>ασφαλιστικών εισφορών κατά 1% το 2025</w:t>
            </w:r>
          </w:p>
        </w:tc>
        <w:tc>
          <w:tcPr>
            <w:tcW w:w="737" w:type="dxa"/>
            <w:noWrap/>
            <w:vAlign w:val="center"/>
            <w:hideMark/>
          </w:tcPr>
          <w:p w14:paraId="33E7E5A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-448</w:t>
            </w:r>
          </w:p>
        </w:tc>
        <w:tc>
          <w:tcPr>
            <w:tcW w:w="737" w:type="dxa"/>
            <w:noWrap/>
            <w:vAlign w:val="center"/>
            <w:hideMark/>
          </w:tcPr>
          <w:p w14:paraId="62614E5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-448</w:t>
            </w:r>
          </w:p>
        </w:tc>
        <w:tc>
          <w:tcPr>
            <w:tcW w:w="737" w:type="dxa"/>
            <w:noWrap/>
            <w:vAlign w:val="center"/>
            <w:hideMark/>
          </w:tcPr>
          <w:p w14:paraId="4A066AC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-448</w:t>
            </w:r>
          </w:p>
        </w:tc>
      </w:tr>
      <w:tr w:rsidR="00C920F2" w:rsidRPr="00900BF4" w14:paraId="772C6A96" w14:textId="77777777" w:rsidTr="00BD4758">
        <w:trPr>
          <w:cantSplit/>
          <w:jc w:val="center"/>
        </w:trPr>
        <w:tc>
          <w:tcPr>
            <w:tcW w:w="7142" w:type="dxa"/>
            <w:vAlign w:val="center"/>
            <w:hideMark/>
          </w:tcPr>
          <w:p w14:paraId="565F02EF" w14:textId="58EB670B"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Κατάργηση</w:t>
            </w:r>
            <w:r w:rsidR="00684F6D">
              <w:rPr>
                <w:rFonts w:cs="Arial"/>
                <w:color w:val="000000"/>
                <w:sz w:val="16"/>
                <w:szCs w:val="16"/>
              </w:rPr>
              <w:t xml:space="preserve"> του</w:t>
            </w:r>
            <w:r w:rsidRPr="00900BF4">
              <w:rPr>
                <w:rFonts w:cs="Arial"/>
                <w:color w:val="000000"/>
                <w:sz w:val="16"/>
                <w:szCs w:val="16"/>
              </w:rPr>
              <w:t xml:space="preserve"> τέλους επιτηδεύματος από το 2025</w:t>
            </w:r>
            <w:r w:rsidR="00684F6D">
              <w:rPr>
                <w:rFonts w:cs="Arial"/>
                <w:color w:val="000000"/>
                <w:sz w:val="16"/>
                <w:szCs w:val="16"/>
              </w:rPr>
              <w:t xml:space="preserve"> σε συνέχεια </w:t>
            </w:r>
            <w:r w:rsidRPr="00900BF4">
              <w:rPr>
                <w:rFonts w:cs="Arial"/>
                <w:color w:val="000000"/>
                <w:sz w:val="16"/>
                <w:szCs w:val="16"/>
              </w:rPr>
              <w:t>τη</w:t>
            </w:r>
            <w:r w:rsidR="00684F6D">
              <w:rPr>
                <w:rFonts w:cs="Arial"/>
                <w:color w:val="000000"/>
                <w:sz w:val="16"/>
                <w:szCs w:val="16"/>
              </w:rPr>
              <w:t>ς</w:t>
            </w:r>
            <w:r w:rsidRPr="00900BF4">
              <w:rPr>
                <w:rFonts w:cs="Arial"/>
                <w:color w:val="000000"/>
                <w:sz w:val="16"/>
                <w:szCs w:val="16"/>
              </w:rPr>
              <w:t xml:space="preserve"> μείωση</w:t>
            </w:r>
            <w:r w:rsidR="00684F6D">
              <w:rPr>
                <w:rFonts w:cs="Arial"/>
                <w:color w:val="000000"/>
                <w:sz w:val="16"/>
                <w:szCs w:val="16"/>
              </w:rPr>
              <w:t xml:space="preserve">ς κατά </w:t>
            </w:r>
            <w:r w:rsidRPr="00900BF4">
              <w:rPr>
                <w:rFonts w:cs="Arial"/>
                <w:color w:val="000000"/>
                <w:sz w:val="16"/>
                <w:szCs w:val="16"/>
              </w:rPr>
              <w:t>50% το 2024</w:t>
            </w:r>
          </w:p>
        </w:tc>
        <w:tc>
          <w:tcPr>
            <w:tcW w:w="737" w:type="dxa"/>
            <w:noWrap/>
            <w:vAlign w:val="center"/>
            <w:hideMark/>
          </w:tcPr>
          <w:p w14:paraId="16005BAD"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-125</w:t>
            </w:r>
          </w:p>
        </w:tc>
        <w:tc>
          <w:tcPr>
            <w:tcW w:w="737" w:type="dxa"/>
            <w:noWrap/>
            <w:vAlign w:val="center"/>
            <w:hideMark/>
          </w:tcPr>
          <w:p w14:paraId="26C9AEF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-144</w:t>
            </w:r>
          </w:p>
        </w:tc>
        <w:tc>
          <w:tcPr>
            <w:tcW w:w="737" w:type="dxa"/>
            <w:noWrap/>
            <w:vAlign w:val="center"/>
            <w:hideMark/>
          </w:tcPr>
          <w:p w14:paraId="2249757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-150</w:t>
            </w:r>
          </w:p>
        </w:tc>
      </w:tr>
      <w:tr w:rsidR="00C920F2" w:rsidRPr="00900BF4" w14:paraId="345A85B2" w14:textId="77777777" w:rsidTr="00BD4758">
        <w:trPr>
          <w:cantSplit/>
          <w:jc w:val="center"/>
        </w:trPr>
        <w:tc>
          <w:tcPr>
            <w:tcW w:w="7142" w:type="dxa"/>
            <w:vAlign w:val="center"/>
            <w:hideMark/>
          </w:tcPr>
          <w:p w14:paraId="7E01EF34" w14:textId="0DFB64F5"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Μείωση του ΕΝΦΙΑ κατά 20% για κατοικίες φυσικών προσώπων με φορολογητέα αξία έως 500.000 ευρώ</w:t>
            </w:r>
            <w:r w:rsidR="00FE20FB">
              <w:rPr>
                <w:rFonts w:cs="Arial"/>
                <w:color w:val="000000"/>
                <w:sz w:val="16"/>
                <w:szCs w:val="16"/>
              </w:rPr>
              <w:t>,</w:t>
            </w:r>
            <w:r w:rsidRPr="00900BF4">
              <w:rPr>
                <w:rFonts w:cs="Arial"/>
                <w:color w:val="000000"/>
                <w:sz w:val="16"/>
                <w:szCs w:val="16"/>
              </w:rPr>
              <w:t xml:space="preserve"> που ασφαλίζονται για φυσικές καταστροφές</w:t>
            </w:r>
          </w:p>
        </w:tc>
        <w:tc>
          <w:tcPr>
            <w:tcW w:w="737" w:type="dxa"/>
            <w:noWrap/>
            <w:vAlign w:val="center"/>
            <w:hideMark/>
          </w:tcPr>
          <w:p w14:paraId="2B42A1B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-21</w:t>
            </w:r>
          </w:p>
        </w:tc>
        <w:tc>
          <w:tcPr>
            <w:tcW w:w="737" w:type="dxa"/>
            <w:noWrap/>
            <w:vAlign w:val="center"/>
            <w:hideMark/>
          </w:tcPr>
          <w:p w14:paraId="3641CA4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-41</w:t>
            </w:r>
          </w:p>
        </w:tc>
        <w:tc>
          <w:tcPr>
            <w:tcW w:w="737" w:type="dxa"/>
            <w:noWrap/>
            <w:vAlign w:val="center"/>
            <w:hideMark/>
          </w:tcPr>
          <w:p w14:paraId="14F92058"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-45</w:t>
            </w:r>
          </w:p>
        </w:tc>
      </w:tr>
      <w:tr w:rsidR="00C920F2" w:rsidRPr="00900BF4" w14:paraId="132CF47B" w14:textId="77777777" w:rsidTr="003F544B">
        <w:trPr>
          <w:cantSplit/>
          <w:jc w:val="center"/>
        </w:trPr>
        <w:tc>
          <w:tcPr>
            <w:tcW w:w="7142" w:type="dxa"/>
            <w:tcBorders>
              <w:bottom w:val="single" w:sz="2" w:space="0" w:color="808080" w:themeColor="background1" w:themeShade="80"/>
            </w:tcBorders>
            <w:vAlign w:val="center"/>
            <w:hideMark/>
          </w:tcPr>
          <w:p w14:paraId="0FC7BA36"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Μονιμοποίηση της επιστροφή</w:t>
            </w:r>
            <w:r w:rsidR="00684F6D">
              <w:rPr>
                <w:rFonts w:cs="Arial"/>
                <w:color w:val="000000"/>
                <w:sz w:val="16"/>
                <w:szCs w:val="16"/>
              </w:rPr>
              <w:t>ς</w:t>
            </w:r>
            <w:r w:rsidRPr="00900BF4">
              <w:rPr>
                <w:rFonts w:cs="Arial"/>
                <w:color w:val="000000"/>
                <w:sz w:val="16"/>
                <w:szCs w:val="16"/>
              </w:rPr>
              <w:t xml:space="preserve"> του ΕΦΚ στους αγρότες με νέο σύστημα</w:t>
            </w:r>
          </w:p>
        </w:tc>
        <w:tc>
          <w:tcPr>
            <w:tcW w:w="737" w:type="dxa"/>
            <w:tcBorders>
              <w:bottom w:val="single" w:sz="2" w:space="0" w:color="808080" w:themeColor="background1" w:themeShade="80"/>
            </w:tcBorders>
            <w:noWrap/>
            <w:vAlign w:val="center"/>
            <w:hideMark/>
          </w:tcPr>
          <w:p w14:paraId="7C3F541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-100</w:t>
            </w:r>
          </w:p>
        </w:tc>
        <w:tc>
          <w:tcPr>
            <w:tcW w:w="737" w:type="dxa"/>
            <w:tcBorders>
              <w:bottom w:val="single" w:sz="2" w:space="0" w:color="808080" w:themeColor="background1" w:themeShade="80"/>
            </w:tcBorders>
            <w:noWrap/>
            <w:vAlign w:val="center"/>
            <w:hideMark/>
          </w:tcPr>
          <w:p w14:paraId="248A42E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-100</w:t>
            </w:r>
          </w:p>
        </w:tc>
        <w:tc>
          <w:tcPr>
            <w:tcW w:w="737" w:type="dxa"/>
            <w:tcBorders>
              <w:bottom w:val="single" w:sz="2" w:space="0" w:color="808080" w:themeColor="background1" w:themeShade="80"/>
            </w:tcBorders>
            <w:noWrap/>
            <w:vAlign w:val="center"/>
            <w:hideMark/>
          </w:tcPr>
          <w:p w14:paraId="6735B9F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-100</w:t>
            </w:r>
          </w:p>
        </w:tc>
      </w:tr>
      <w:tr w:rsidR="00C920F2" w:rsidRPr="00900BF4" w14:paraId="58665916" w14:textId="77777777" w:rsidTr="003F544B">
        <w:trPr>
          <w:cantSplit/>
          <w:jc w:val="center"/>
        </w:trPr>
        <w:tc>
          <w:tcPr>
            <w:tcW w:w="7142" w:type="dxa"/>
            <w:tcBorders>
              <w:bottom w:val="single" w:sz="2" w:space="0" w:color="808080" w:themeColor="background1" w:themeShade="80"/>
            </w:tcBorders>
            <w:vAlign w:val="center"/>
            <w:hideMark/>
          </w:tcPr>
          <w:p w14:paraId="3EABD6CB"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Αυτοτελής φορολόγηση εφημεριών των ιατρών του ΕΣΥ</w:t>
            </w:r>
          </w:p>
        </w:tc>
        <w:tc>
          <w:tcPr>
            <w:tcW w:w="737" w:type="dxa"/>
            <w:tcBorders>
              <w:bottom w:val="single" w:sz="2" w:space="0" w:color="808080" w:themeColor="background1" w:themeShade="80"/>
            </w:tcBorders>
            <w:noWrap/>
            <w:vAlign w:val="center"/>
            <w:hideMark/>
          </w:tcPr>
          <w:p w14:paraId="615C07D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-40</w:t>
            </w:r>
          </w:p>
        </w:tc>
        <w:tc>
          <w:tcPr>
            <w:tcW w:w="737" w:type="dxa"/>
            <w:tcBorders>
              <w:bottom w:val="single" w:sz="2" w:space="0" w:color="808080" w:themeColor="background1" w:themeShade="80"/>
            </w:tcBorders>
            <w:noWrap/>
            <w:vAlign w:val="center"/>
            <w:hideMark/>
          </w:tcPr>
          <w:p w14:paraId="22A63BC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-40</w:t>
            </w:r>
          </w:p>
        </w:tc>
        <w:tc>
          <w:tcPr>
            <w:tcW w:w="737" w:type="dxa"/>
            <w:tcBorders>
              <w:bottom w:val="single" w:sz="2" w:space="0" w:color="808080" w:themeColor="background1" w:themeShade="80"/>
            </w:tcBorders>
            <w:noWrap/>
            <w:vAlign w:val="center"/>
            <w:hideMark/>
          </w:tcPr>
          <w:p w14:paraId="5E50AF6A"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-40</w:t>
            </w:r>
          </w:p>
        </w:tc>
      </w:tr>
      <w:tr w:rsidR="00C920F2" w:rsidRPr="00900BF4" w14:paraId="21C4C03D" w14:textId="77777777" w:rsidTr="003F544B">
        <w:trPr>
          <w:cantSplit/>
          <w:jc w:val="center"/>
        </w:trPr>
        <w:tc>
          <w:tcPr>
            <w:tcW w:w="7142" w:type="dxa"/>
            <w:tcBorders>
              <w:top w:val="single" w:sz="2" w:space="0" w:color="808080" w:themeColor="background1" w:themeShade="80"/>
            </w:tcBorders>
            <w:vAlign w:val="center"/>
            <w:hideMark/>
          </w:tcPr>
          <w:p w14:paraId="69748A30" w14:textId="1EFA2DF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lastRenderedPageBreak/>
              <w:t xml:space="preserve">Μείωση </w:t>
            </w:r>
            <w:r w:rsidR="00C80854">
              <w:rPr>
                <w:rFonts w:cs="Arial"/>
                <w:color w:val="000000"/>
                <w:sz w:val="16"/>
                <w:szCs w:val="16"/>
              </w:rPr>
              <w:t xml:space="preserve">του ψηφιακού τέλους συναλλαγής </w:t>
            </w:r>
            <w:r w:rsidRPr="00900BF4">
              <w:rPr>
                <w:rFonts w:cs="Arial"/>
                <w:color w:val="000000"/>
                <w:sz w:val="16"/>
                <w:szCs w:val="16"/>
              </w:rPr>
              <w:t>σε μία σειρά από συναλλαγές (τόκους εταιρικών δανείων, οικοδομικές άδειες, χρησιδάνεια, γάμους, ασφαλιστήρια συμβόλαια κ.λπ.)</w:t>
            </w:r>
          </w:p>
        </w:tc>
        <w:tc>
          <w:tcPr>
            <w:tcW w:w="737" w:type="dxa"/>
            <w:tcBorders>
              <w:top w:val="single" w:sz="2" w:space="0" w:color="808080" w:themeColor="background1" w:themeShade="80"/>
            </w:tcBorders>
            <w:noWrap/>
            <w:vAlign w:val="center"/>
            <w:hideMark/>
          </w:tcPr>
          <w:p w14:paraId="36E6548A"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-32</w:t>
            </w:r>
          </w:p>
        </w:tc>
        <w:tc>
          <w:tcPr>
            <w:tcW w:w="737" w:type="dxa"/>
            <w:tcBorders>
              <w:top w:val="single" w:sz="2" w:space="0" w:color="808080" w:themeColor="background1" w:themeShade="80"/>
            </w:tcBorders>
            <w:noWrap/>
            <w:vAlign w:val="center"/>
            <w:hideMark/>
          </w:tcPr>
          <w:p w14:paraId="3D460AB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-32</w:t>
            </w:r>
          </w:p>
        </w:tc>
        <w:tc>
          <w:tcPr>
            <w:tcW w:w="737" w:type="dxa"/>
            <w:tcBorders>
              <w:top w:val="single" w:sz="2" w:space="0" w:color="808080" w:themeColor="background1" w:themeShade="80"/>
            </w:tcBorders>
            <w:noWrap/>
            <w:vAlign w:val="center"/>
            <w:hideMark/>
          </w:tcPr>
          <w:p w14:paraId="43154354"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-32</w:t>
            </w:r>
          </w:p>
        </w:tc>
      </w:tr>
      <w:tr w:rsidR="00C920F2" w:rsidRPr="00900BF4" w14:paraId="5FD68423" w14:textId="77777777" w:rsidTr="00BD4758">
        <w:trPr>
          <w:cantSplit/>
          <w:jc w:val="center"/>
        </w:trPr>
        <w:tc>
          <w:tcPr>
            <w:tcW w:w="7142" w:type="dxa"/>
            <w:vAlign w:val="center"/>
            <w:hideMark/>
          </w:tcPr>
          <w:p w14:paraId="140FAC05"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Κίνητρα για την καινοτομία, τις συγχωνεύσεις και τις εξαγορές</w:t>
            </w:r>
          </w:p>
        </w:tc>
        <w:tc>
          <w:tcPr>
            <w:tcW w:w="737" w:type="dxa"/>
            <w:noWrap/>
            <w:vAlign w:val="center"/>
            <w:hideMark/>
          </w:tcPr>
          <w:p w14:paraId="3846F6B6"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-41</w:t>
            </w:r>
          </w:p>
        </w:tc>
        <w:tc>
          <w:tcPr>
            <w:tcW w:w="737" w:type="dxa"/>
            <w:noWrap/>
            <w:vAlign w:val="center"/>
            <w:hideMark/>
          </w:tcPr>
          <w:p w14:paraId="1573751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-41</w:t>
            </w:r>
          </w:p>
        </w:tc>
        <w:tc>
          <w:tcPr>
            <w:tcW w:w="737" w:type="dxa"/>
            <w:noWrap/>
            <w:vAlign w:val="center"/>
            <w:hideMark/>
          </w:tcPr>
          <w:p w14:paraId="0960C0F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-41</w:t>
            </w:r>
          </w:p>
        </w:tc>
      </w:tr>
      <w:tr w:rsidR="00C920F2" w:rsidRPr="00900BF4" w14:paraId="5E8E68A7" w14:textId="77777777" w:rsidTr="00BD4758">
        <w:trPr>
          <w:cantSplit/>
          <w:jc w:val="center"/>
        </w:trPr>
        <w:tc>
          <w:tcPr>
            <w:tcW w:w="7142" w:type="dxa"/>
            <w:vAlign w:val="center"/>
            <w:hideMark/>
          </w:tcPr>
          <w:p w14:paraId="43982175"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Κατάργηση τέλους σταθερής τηλεφωνίας (5%) για συνδέσεις με οπτική ίνα (≥100 mbps)</w:t>
            </w:r>
          </w:p>
        </w:tc>
        <w:tc>
          <w:tcPr>
            <w:tcW w:w="737" w:type="dxa"/>
            <w:noWrap/>
            <w:vAlign w:val="center"/>
            <w:hideMark/>
          </w:tcPr>
          <w:p w14:paraId="3E48712D"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-24</w:t>
            </w:r>
          </w:p>
        </w:tc>
        <w:tc>
          <w:tcPr>
            <w:tcW w:w="737" w:type="dxa"/>
            <w:noWrap/>
            <w:vAlign w:val="center"/>
            <w:hideMark/>
          </w:tcPr>
          <w:p w14:paraId="7C2AA5D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-24</w:t>
            </w:r>
          </w:p>
        </w:tc>
        <w:tc>
          <w:tcPr>
            <w:tcW w:w="737" w:type="dxa"/>
            <w:noWrap/>
            <w:vAlign w:val="center"/>
            <w:hideMark/>
          </w:tcPr>
          <w:p w14:paraId="0B29D2F3"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-24</w:t>
            </w:r>
          </w:p>
        </w:tc>
      </w:tr>
      <w:tr w:rsidR="00C920F2" w:rsidRPr="00900BF4" w14:paraId="665CE18E" w14:textId="77777777" w:rsidTr="00A34538">
        <w:trPr>
          <w:cantSplit/>
          <w:jc w:val="center"/>
        </w:trPr>
        <w:tc>
          <w:tcPr>
            <w:tcW w:w="7142" w:type="dxa"/>
            <w:tcBorders>
              <w:bottom w:val="single" w:sz="2" w:space="0" w:color="808080" w:themeColor="background1" w:themeShade="80"/>
            </w:tcBorders>
            <w:vAlign w:val="center"/>
            <w:hideMark/>
          </w:tcPr>
          <w:p w14:paraId="1851A73C"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Απαλλαγή από τον φόρο ασφαλίστρου (15%) συμβολαίων υγείας για παιδιά </w:t>
            </w:r>
            <w:r w:rsidR="00684F6D">
              <w:rPr>
                <w:rFonts w:cs="Arial"/>
                <w:color w:val="000000"/>
                <w:sz w:val="16"/>
                <w:szCs w:val="16"/>
              </w:rPr>
              <w:t xml:space="preserve">ηλικίας </w:t>
            </w:r>
            <w:r w:rsidRPr="00900BF4">
              <w:rPr>
                <w:rFonts w:cs="Arial"/>
                <w:color w:val="000000"/>
                <w:sz w:val="16"/>
                <w:szCs w:val="16"/>
              </w:rPr>
              <w:t>έως 18 ετών</w:t>
            </w:r>
          </w:p>
        </w:tc>
        <w:tc>
          <w:tcPr>
            <w:tcW w:w="737" w:type="dxa"/>
            <w:tcBorders>
              <w:bottom w:val="single" w:sz="2" w:space="0" w:color="808080" w:themeColor="background1" w:themeShade="80"/>
            </w:tcBorders>
            <w:noWrap/>
            <w:vAlign w:val="center"/>
            <w:hideMark/>
          </w:tcPr>
          <w:p w14:paraId="0F89771A"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-17</w:t>
            </w:r>
          </w:p>
        </w:tc>
        <w:tc>
          <w:tcPr>
            <w:tcW w:w="737" w:type="dxa"/>
            <w:tcBorders>
              <w:bottom w:val="single" w:sz="2" w:space="0" w:color="808080" w:themeColor="background1" w:themeShade="80"/>
            </w:tcBorders>
            <w:noWrap/>
            <w:vAlign w:val="center"/>
            <w:hideMark/>
          </w:tcPr>
          <w:p w14:paraId="27AACCC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-17</w:t>
            </w:r>
          </w:p>
        </w:tc>
        <w:tc>
          <w:tcPr>
            <w:tcW w:w="737" w:type="dxa"/>
            <w:tcBorders>
              <w:bottom w:val="single" w:sz="2" w:space="0" w:color="808080" w:themeColor="background1" w:themeShade="80"/>
            </w:tcBorders>
            <w:noWrap/>
            <w:vAlign w:val="center"/>
            <w:hideMark/>
          </w:tcPr>
          <w:p w14:paraId="5E7FC2B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-17</w:t>
            </w:r>
          </w:p>
        </w:tc>
      </w:tr>
      <w:tr w:rsidR="00C920F2" w:rsidRPr="00900BF4" w14:paraId="39883812" w14:textId="77777777" w:rsidTr="00A34538">
        <w:trPr>
          <w:cantSplit/>
          <w:jc w:val="center"/>
        </w:trPr>
        <w:tc>
          <w:tcPr>
            <w:tcW w:w="7142" w:type="dxa"/>
            <w:tcBorders>
              <w:bottom w:val="single" w:sz="2" w:space="0" w:color="808080" w:themeColor="background1" w:themeShade="80"/>
            </w:tcBorders>
            <w:vAlign w:val="center"/>
            <w:hideMark/>
          </w:tcPr>
          <w:p w14:paraId="1445FBF3"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Φοροαπαλλαγή οικειοθελών παροχών επιχειρήσεων υπέρ </w:t>
            </w:r>
            <w:r w:rsidR="00684F6D">
              <w:rPr>
                <w:rFonts w:cs="Arial"/>
                <w:color w:val="000000"/>
                <w:sz w:val="16"/>
                <w:szCs w:val="16"/>
              </w:rPr>
              <w:t xml:space="preserve">των </w:t>
            </w:r>
            <w:r w:rsidRPr="00900BF4">
              <w:rPr>
                <w:rFonts w:cs="Arial"/>
                <w:color w:val="000000"/>
                <w:sz w:val="16"/>
                <w:szCs w:val="16"/>
              </w:rPr>
              <w:t>νέων γονέων</w:t>
            </w:r>
          </w:p>
        </w:tc>
        <w:tc>
          <w:tcPr>
            <w:tcW w:w="737" w:type="dxa"/>
            <w:tcBorders>
              <w:bottom w:val="single" w:sz="2" w:space="0" w:color="808080" w:themeColor="background1" w:themeShade="80"/>
            </w:tcBorders>
            <w:noWrap/>
            <w:vAlign w:val="center"/>
            <w:hideMark/>
          </w:tcPr>
          <w:p w14:paraId="5BDF5A5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-6</w:t>
            </w:r>
          </w:p>
        </w:tc>
        <w:tc>
          <w:tcPr>
            <w:tcW w:w="737" w:type="dxa"/>
            <w:tcBorders>
              <w:bottom w:val="single" w:sz="2" w:space="0" w:color="808080" w:themeColor="background1" w:themeShade="80"/>
            </w:tcBorders>
            <w:noWrap/>
            <w:vAlign w:val="center"/>
            <w:hideMark/>
          </w:tcPr>
          <w:p w14:paraId="2298A26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-6</w:t>
            </w:r>
          </w:p>
        </w:tc>
        <w:tc>
          <w:tcPr>
            <w:tcW w:w="737" w:type="dxa"/>
            <w:tcBorders>
              <w:bottom w:val="single" w:sz="2" w:space="0" w:color="808080" w:themeColor="background1" w:themeShade="80"/>
            </w:tcBorders>
            <w:noWrap/>
            <w:vAlign w:val="center"/>
            <w:hideMark/>
          </w:tcPr>
          <w:p w14:paraId="549A2B9E"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-6</w:t>
            </w:r>
          </w:p>
        </w:tc>
      </w:tr>
      <w:tr w:rsidR="00C920F2" w:rsidRPr="00900BF4" w14:paraId="66045B35" w14:textId="77777777" w:rsidTr="00A34538">
        <w:trPr>
          <w:cantSplit/>
          <w:jc w:val="center"/>
        </w:trPr>
        <w:tc>
          <w:tcPr>
            <w:tcW w:w="7142" w:type="dxa"/>
            <w:tcBorders>
              <w:top w:val="single" w:sz="2" w:space="0" w:color="808080" w:themeColor="background1" w:themeShade="80"/>
            </w:tcBorders>
            <w:vAlign w:val="center"/>
            <w:hideMark/>
          </w:tcPr>
          <w:p w14:paraId="39DBE50E"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Απαλλαγή </w:t>
            </w:r>
            <w:r w:rsidR="00684F6D">
              <w:rPr>
                <w:rFonts w:cs="Arial"/>
                <w:color w:val="000000"/>
                <w:sz w:val="16"/>
                <w:szCs w:val="16"/>
              </w:rPr>
              <w:t xml:space="preserve">από τον </w:t>
            </w:r>
            <w:r w:rsidRPr="00900BF4">
              <w:rPr>
                <w:rFonts w:cs="Arial"/>
                <w:color w:val="000000"/>
                <w:sz w:val="16"/>
                <w:szCs w:val="16"/>
              </w:rPr>
              <w:t>φόρο εισοδήματος για κενά ακίνητα ή ακίνητα σε βραχυχρόνια μίσθωση</w:t>
            </w:r>
            <w:r w:rsidR="008D41D7">
              <w:rPr>
                <w:rFonts w:cs="Arial"/>
                <w:color w:val="000000"/>
                <w:sz w:val="16"/>
                <w:szCs w:val="16"/>
              </w:rPr>
              <w:t>,</w:t>
            </w:r>
            <w:r w:rsidRPr="00900BF4">
              <w:rPr>
                <w:rFonts w:cs="Arial"/>
                <w:color w:val="000000"/>
                <w:sz w:val="16"/>
                <w:szCs w:val="16"/>
              </w:rPr>
              <w:t xml:space="preserve"> </w:t>
            </w:r>
            <w:r w:rsidR="008D41D7">
              <w:rPr>
                <w:rFonts w:cs="Arial"/>
                <w:color w:val="000000"/>
                <w:sz w:val="16"/>
                <w:szCs w:val="16"/>
              </w:rPr>
              <w:t xml:space="preserve">η οποία θα μετατραπεί </w:t>
            </w:r>
            <w:r w:rsidRPr="00900BF4">
              <w:rPr>
                <w:rFonts w:cs="Arial"/>
                <w:color w:val="000000"/>
                <w:sz w:val="16"/>
                <w:szCs w:val="16"/>
              </w:rPr>
              <w:t>σε μακροχρόνια μίσθωση (επέκταση και για το έτος 2026)</w:t>
            </w:r>
          </w:p>
        </w:tc>
        <w:tc>
          <w:tcPr>
            <w:tcW w:w="737" w:type="dxa"/>
            <w:tcBorders>
              <w:top w:val="single" w:sz="2" w:space="0" w:color="808080" w:themeColor="background1" w:themeShade="80"/>
            </w:tcBorders>
            <w:noWrap/>
            <w:vAlign w:val="center"/>
            <w:hideMark/>
          </w:tcPr>
          <w:p w14:paraId="43EF0DBF"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w:t>
            </w:r>
          </w:p>
        </w:tc>
        <w:tc>
          <w:tcPr>
            <w:tcW w:w="737" w:type="dxa"/>
            <w:tcBorders>
              <w:top w:val="single" w:sz="2" w:space="0" w:color="808080" w:themeColor="background1" w:themeShade="80"/>
            </w:tcBorders>
            <w:noWrap/>
            <w:vAlign w:val="center"/>
            <w:hideMark/>
          </w:tcPr>
          <w:p w14:paraId="44EF330D"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-13</w:t>
            </w:r>
          </w:p>
        </w:tc>
        <w:tc>
          <w:tcPr>
            <w:tcW w:w="737" w:type="dxa"/>
            <w:tcBorders>
              <w:top w:val="single" w:sz="2" w:space="0" w:color="808080" w:themeColor="background1" w:themeShade="80"/>
            </w:tcBorders>
            <w:noWrap/>
            <w:vAlign w:val="center"/>
            <w:hideMark/>
          </w:tcPr>
          <w:p w14:paraId="27864B5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-22</w:t>
            </w:r>
          </w:p>
        </w:tc>
      </w:tr>
      <w:tr w:rsidR="00C920F2" w:rsidRPr="00900BF4" w14:paraId="72BBA051" w14:textId="77777777" w:rsidTr="00BD4758">
        <w:trPr>
          <w:cantSplit/>
          <w:jc w:val="center"/>
        </w:trPr>
        <w:tc>
          <w:tcPr>
            <w:tcW w:w="7142" w:type="dxa"/>
            <w:vAlign w:val="center"/>
            <w:hideMark/>
          </w:tcPr>
          <w:p w14:paraId="502BF8F6"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Επέκταση της απαλλαγής </w:t>
            </w:r>
            <w:r w:rsidR="008D41D7">
              <w:rPr>
                <w:rFonts w:cs="Arial"/>
                <w:color w:val="000000"/>
                <w:sz w:val="16"/>
                <w:szCs w:val="16"/>
              </w:rPr>
              <w:t xml:space="preserve">από τον </w:t>
            </w:r>
            <w:r w:rsidRPr="00900BF4">
              <w:rPr>
                <w:rFonts w:cs="Arial"/>
                <w:color w:val="000000"/>
                <w:sz w:val="16"/>
                <w:szCs w:val="16"/>
              </w:rPr>
              <w:t>ΦΠΑ στα νέα κτ</w:t>
            </w:r>
            <w:r w:rsidR="008D41D7">
              <w:rPr>
                <w:rFonts w:cs="Arial"/>
                <w:color w:val="000000"/>
                <w:sz w:val="16"/>
                <w:szCs w:val="16"/>
              </w:rPr>
              <w:t>ή</w:t>
            </w:r>
            <w:r w:rsidRPr="00900BF4">
              <w:rPr>
                <w:rFonts w:cs="Arial"/>
                <w:color w:val="000000"/>
                <w:sz w:val="16"/>
                <w:szCs w:val="16"/>
              </w:rPr>
              <w:t>ρια (επέκταση και για το έτος 2026)</w:t>
            </w:r>
          </w:p>
        </w:tc>
        <w:tc>
          <w:tcPr>
            <w:tcW w:w="737" w:type="dxa"/>
            <w:noWrap/>
            <w:vAlign w:val="center"/>
            <w:hideMark/>
          </w:tcPr>
          <w:p w14:paraId="41FAE71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-18</w:t>
            </w:r>
          </w:p>
        </w:tc>
        <w:tc>
          <w:tcPr>
            <w:tcW w:w="737" w:type="dxa"/>
            <w:noWrap/>
            <w:vAlign w:val="center"/>
            <w:hideMark/>
          </w:tcPr>
          <w:p w14:paraId="5180ECA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-18</w:t>
            </w:r>
          </w:p>
        </w:tc>
        <w:tc>
          <w:tcPr>
            <w:tcW w:w="737" w:type="dxa"/>
            <w:noWrap/>
            <w:vAlign w:val="center"/>
            <w:hideMark/>
          </w:tcPr>
          <w:p w14:paraId="5A04519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0</w:t>
            </w:r>
          </w:p>
        </w:tc>
      </w:tr>
      <w:tr w:rsidR="00C920F2" w:rsidRPr="00900BF4" w14:paraId="6263C6AB" w14:textId="77777777" w:rsidTr="00BD4758">
        <w:trPr>
          <w:cantSplit/>
          <w:jc w:val="center"/>
        </w:trPr>
        <w:tc>
          <w:tcPr>
            <w:tcW w:w="7142" w:type="dxa"/>
            <w:vAlign w:val="center"/>
            <w:hideMark/>
          </w:tcPr>
          <w:p w14:paraId="23022AAE"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Κίνητρο προσέλκυσης ιατρών σε προβληματικές και άγονες περιοχές</w:t>
            </w:r>
          </w:p>
        </w:tc>
        <w:tc>
          <w:tcPr>
            <w:tcW w:w="737" w:type="dxa"/>
            <w:noWrap/>
            <w:vAlign w:val="center"/>
            <w:hideMark/>
          </w:tcPr>
          <w:p w14:paraId="252C146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-16</w:t>
            </w:r>
          </w:p>
        </w:tc>
        <w:tc>
          <w:tcPr>
            <w:tcW w:w="737" w:type="dxa"/>
            <w:noWrap/>
            <w:vAlign w:val="center"/>
            <w:hideMark/>
          </w:tcPr>
          <w:p w14:paraId="2716857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-16</w:t>
            </w:r>
          </w:p>
        </w:tc>
        <w:tc>
          <w:tcPr>
            <w:tcW w:w="737" w:type="dxa"/>
            <w:noWrap/>
            <w:vAlign w:val="center"/>
            <w:hideMark/>
          </w:tcPr>
          <w:p w14:paraId="2609D60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-16</w:t>
            </w:r>
          </w:p>
        </w:tc>
      </w:tr>
      <w:tr w:rsidR="00C920F2" w:rsidRPr="00900BF4" w14:paraId="23DCC393" w14:textId="77777777" w:rsidTr="00BD4758">
        <w:trPr>
          <w:cantSplit/>
          <w:jc w:val="center"/>
        </w:trPr>
        <w:tc>
          <w:tcPr>
            <w:tcW w:w="7142" w:type="dxa"/>
            <w:vAlign w:val="center"/>
            <w:hideMark/>
          </w:tcPr>
          <w:p w14:paraId="28C973F3"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Αύξηση κατά 20% της αποζημίωσης νυχτερινής απασχόλησης των ενστόλων από τον Ιανουάριο 2025</w:t>
            </w:r>
          </w:p>
        </w:tc>
        <w:tc>
          <w:tcPr>
            <w:tcW w:w="737" w:type="dxa"/>
            <w:noWrap/>
            <w:vAlign w:val="center"/>
            <w:hideMark/>
          </w:tcPr>
          <w:p w14:paraId="5372055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-25</w:t>
            </w:r>
          </w:p>
        </w:tc>
        <w:tc>
          <w:tcPr>
            <w:tcW w:w="737" w:type="dxa"/>
            <w:noWrap/>
            <w:vAlign w:val="center"/>
            <w:hideMark/>
          </w:tcPr>
          <w:p w14:paraId="5843F987"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-25</w:t>
            </w:r>
          </w:p>
        </w:tc>
        <w:tc>
          <w:tcPr>
            <w:tcW w:w="737" w:type="dxa"/>
            <w:noWrap/>
            <w:vAlign w:val="center"/>
            <w:hideMark/>
          </w:tcPr>
          <w:p w14:paraId="42C893D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-25</w:t>
            </w:r>
          </w:p>
        </w:tc>
      </w:tr>
      <w:tr w:rsidR="00C920F2" w:rsidRPr="00900BF4" w14:paraId="4DA1F3DC" w14:textId="77777777" w:rsidTr="00BD4758">
        <w:trPr>
          <w:cantSplit/>
          <w:jc w:val="center"/>
        </w:trPr>
        <w:tc>
          <w:tcPr>
            <w:tcW w:w="7142" w:type="dxa"/>
            <w:vAlign w:val="center"/>
            <w:hideMark/>
          </w:tcPr>
          <w:p w14:paraId="6747ACC6"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Αύξηση του φοιτητικού στεγαστικού επιδόματος για τα περιφερειακά Πανεπιστήμια (από 1.500 ευρώ σε 2.000 ευρώ ετησίως και σε 2.500 ευρώ σε περίπτωση συγκατοίκησης)</w:t>
            </w:r>
          </w:p>
        </w:tc>
        <w:tc>
          <w:tcPr>
            <w:tcW w:w="737" w:type="dxa"/>
            <w:noWrap/>
            <w:vAlign w:val="center"/>
            <w:hideMark/>
          </w:tcPr>
          <w:p w14:paraId="43BC27FB"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-15</w:t>
            </w:r>
          </w:p>
        </w:tc>
        <w:tc>
          <w:tcPr>
            <w:tcW w:w="737" w:type="dxa"/>
            <w:noWrap/>
            <w:vAlign w:val="center"/>
            <w:hideMark/>
          </w:tcPr>
          <w:p w14:paraId="2456B24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-15</w:t>
            </w:r>
          </w:p>
        </w:tc>
        <w:tc>
          <w:tcPr>
            <w:tcW w:w="737" w:type="dxa"/>
            <w:noWrap/>
            <w:vAlign w:val="center"/>
            <w:hideMark/>
          </w:tcPr>
          <w:p w14:paraId="2D0255CA"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-15</w:t>
            </w:r>
          </w:p>
        </w:tc>
      </w:tr>
      <w:tr w:rsidR="00C920F2" w:rsidRPr="00900BF4" w14:paraId="2A54E637" w14:textId="77777777" w:rsidTr="00BD4758">
        <w:trPr>
          <w:cantSplit/>
          <w:jc w:val="center"/>
        </w:trPr>
        <w:tc>
          <w:tcPr>
            <w:tcW w:w="7142" w:type="dxa"/>
            <w:vAlign w:val="center"/>
            <w:hideMark/>
          </w:tcPr>
          <w:p w14:paraId="591511B7" w14:textId="4706F790"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Αύξηση </w:t>
            </w:r>
            <w:r w:rsidR="004A1275">
              <w:rPr>
                <w:rFonts w:cs="Arial"/>
                <w:color w:val="000000"/>
                <w:sz w:val="16"/>
                <w:szCs w:val="16"/>
              </w:rPr>
              <w:t xml:space="preserve">των </w:t>
            </w:r>
            <w:r w:rsidRPr="00900BF4">
              <w:rPr>
                <w:rFonts w:cs="Arial"/>
                <w:color w:val="000000"/>
                <w:sz w:val="16"/>
                <w:szCs w:val="16"/>
              </w:rPr>
              <w:t xml:space="preserve">αποδοχών </w:t>
            </w:r>
            <w:r w:rsidR="008D41D7">
              <w:rPr>
                <w:rFonts w:cs="Arial"/>
                <w:color w:val="000000"/>
                <w:sz w:val="16"/>
                <w:szCs w:val="16"/>
              </w:rPr>
              <w:t xml:space="preserve">των </w:t>
            </w:r>
            <w:r w:rsidRPr="00900BF4">
              <w:rPr>
                <w:rFonts w:cs="Arial"/>
                <w:color w:val="000000"/>
                <w:sz w:val="16"/>
                <w:szCs w:val="16"/>
              </w:rPr>
              <w:t xml:space="preserve">σπουδαστών στρατιωτικών σχολών </w:t>
            </w:r>
          </w:p>
        </w:tc>
        <w:tc>
          <w:tcPr>
            <w:tcW w:w="737" w:type="dxa"/>
            <w:noWrap/>
            <w:vAlign w:val="center"/>
            <w:hideMark/>
          </w:tcPr>
          <w:p w14:paraId="18558EAC"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-14</w:t>
            </w:r>
          </w:p>
        </w:tc>
        <w:tc>
          <w:tcPr>
            <w:tcW w:w="737" w:type="dxa"/>
            <w:noWrap/>
            <w:vAlign w:val="center"/>
            <w:hideMark/>
          </w:tcPr>
          <w:p w14:paraId="254F134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-14</w:t>
            </w:r>
          </w:p>
        </w:tc>
        <w:tc>
          <w:tcPr>
            <w:tcW w:w="737" w:type="dxa"/>
            <w:noWrap/>
            <w:vAlign w:val="center"/>
            <w:hideMark/>
          </w:tcPr>
          <w:p w14:paraId="65A29C59"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-14</w:t>
            </w:r>
          </w:p>
        </w:tc>
      </w:tr>
      <w:tr w:rsidR="00C920F2" w:rsidRPr="00900BF4" w14:paraId="170B1F34" w14:textId="77777777" w:rsidTr="00BD4758">
        <w:trPr>
          <w:cantSplit/>
          <w:jc w:val="center"/>
        </w:trPr>
        <w:tc>
          <w:tcPr>
            <w:tcW w:w="7142" w:type="dxa"/>
            <w:vAlign w:val="center"/>
            <w:hideMark/>
          </w:tcPr>
          <w:p w14:paraId="16108454"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Αναμόρφωση του </w:t>
            </w:r>
            <w:r w:rsidR="000F330B">
              <w:rPr>
                <w:rFonts w:cs="Arial"/>
                <w:color w:val="000000"/>
                <w:sz w:val="16"/>
                <w:szCs w:val="16"/>
              </w:rPr>
              <w:t>κ</w:t>
            </w:r>
            <w:r w:rsidRPr="00900BF4">
              <w:rPr>
                <w:rFonts w:cs="Arial"/>
                <w:color w:val="000000"/>
                <w:sz w:val="16"/>
                <w:szCs w:val="16"/>
              </w:rPr>
              <w:t xml:space="preserve">ινήτρου επίτευξης στόχων στο </w:t>
            </w:r>
            <w:r w:rsidR="008D41D7">
              <w:rPr>
                <w:rFonts w:cs="Arial"/>
                <w:color w:val="000000"/>
                <w:sz w:val="16"/>
                <w:szCs w:val="16"/>
              </w:rPr>
              <w:t>Δ</w:t>
            </w:r>
            <w:r w:rsidRPr="00900BF4">
              <w:rPr>
                <w:rFonts w:cs="Arial"/>
                <w:color w:val="000000"/>
                <w:sz w:val="16"/>
                <w:szCs w:val="16"/>
              </w:rPr>
              <w:t>ημόσιο</w:t>
            </w:r>
          </w:p>
        </w:tc>
        <w:tc>
          <w:tcPr>
            <w:tcW w:w="737" w:type="dxa"/>
            <w:noWrap/>
            <w:vAlign w:val="center"/>
            <w:hideMark/>
          </w:tcPr>
          <w:p w14:paraId="12B154C6"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-20</w:t>
            </w:r>
          </w:p>
        </w:tc>
        <w:tc>
          <w:tcPr>
            <w:tcW w:w="737" w:type="dxa"/>
            <w:noWrap/>
            <w:vAlign w:val="center"/>
            <w:hideMark/>
          </w:tcPr>
          <w:p w14:paraId="380DE3A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-40</w:t>
            </w:r>
          </w:p>
        </w:tc>
        <w:tc>
          <w:tcPr>
            <w:tcW w:w="737" w:type="dxa"/>
            <w:noWrap/>
            <w:vAlign w:val="center"/>
            <w:hideMark/>
          </w:tcPr>
          <w:p w14:paraId="07E27E12"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-40</w:t>
            </w:r>
          </w:p>
        </w:tc>
      </w:tr>
      <w:tr w:rsidR="00C920F2" w:rsidRPr="00900BF4" w14:paraId="7972D393" w14:textId="77777777" w:rsidTr="00BD4758">
        <w:trPr>
          <w:cantSplit/>
          <w:jc w:val="center"/>
        </w:trPr>
        <w:tc>
          <w:tcPr>
            <w:tcW w:w="7142" w:type="dxa"/>
            <w:vAlign w:val="center"/>
            <w:hideMark/>
          </w:tcPr>
          <w:p w14:paraId="20B8DD3E" w14:textId="77777777" w:rsidR="00900BF4" w:rsidRPr="00900BF4" w:rsidRDefault="00900BF4" w:rsidP="00F259BF">
            <w:pPr>
              <w:spacing w:after="0" w:line="276" w:lineRule="auto"/>
              <w:jc w:val="left"/>
              <w:rPr>
                <w:rFonts w:cs="Arial"/>
                <w:color w:val="000000"/>
                <w:sz w:val="16"/>
                <w:szCs w:val="16"/>
              </w:rPr>
            </w:pPr>
            <w:r w:rsidRPr="00900BF4">
              <w:rPr>
                <w:rFonts w:cs="Arial"/>
                <w:color w:val="000000"/>
                <w:sz w:val="16"/>
                <w:szCs w:val="16"/>
              </w:rPr>
              <w:t xml:space="preserve">Αναμόρφωση </w:t>
            </w:r>
            <w:r w:rsidR="008D41D7">
              <w:rPr>
                <w:rFonts w:cs="Arial"/>
                <w:color w:val="000000"/>
                <w:sz w:val="16"/>
                <w:szCs w:val="16"/>
              </w:rPr>
              <w:t xml:space="preserve">του </w:t>
            </w:r>
            <w:r w:rsidRPr="00900BF4">
              <w:rPr>
                <w:rFonts w:cs="Arial"/>
                <w:color w:val="000000"/>
                <w:sz w:val="16"/>
                <w:szCs w:val="16"/>
              </w:rPr>
              <w:t xml:space="preserve">επιδόματος επικίνδυνης και ανθυγιεινής εργασίας </w:t>
            </w:r>
            <w:r w:rsidR="008D41D7">
              <w:rPr>
                <w:rFonts w:cs="Arial"/>
                <w:color w:val="000000"/>
                <w:sz w:val="16"/>
                <w:szCs w:val="16"/>
              </w:rPr>
              <w:t xml:space="preserve">στους </w:t>
            </w:r>
            <w:r w:rsidRPr="00900BF4">
              <w:rPr>
                <w:rFonts w:cs="Arial"/>
                <w:color w:val="000000"/>
                <w:sz w:val="16"/>
                <w:szCs w:val="16"/>
              </w:rPr>
              <w:t>ΟΤΑ</w:t>
            </w:r>
          </w:p>
        </w:tc>
        <w:tc>
          <w:tcPr>
            <w:tcW w:w="737" w:type="dxa"/>
            <w:noWrap/>
            <w:vAlign w:val="center"/>
            <w:hideMark/>
          </w:tcPr>
          <w:p w14:paraId="6F0C54B5"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-37</w:t>
            </w:r>
          </w:p>
        </w:tc>
        <w:tc>
          <w:tcPr>
            <w:tcW w:w="737" w:type="dxa"/>
            <w:noWrap/>
            <w:vAlign w:val="center"/>
            <w:hideMark/>
          </w:tcPr>
          <w:p w14:paraId="471AA501"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-37</w:t>
            </w:r>
          </w:p>
        </w:tc>
        <w:tc>
          <w:tcPr>
            <w:tcW w:w="737" w:type="dxa"/>
            <w:noWrap/>
            <w:vAlign w:val="center"/>
            <w:hideMark/>
          </w:tcPr>
          <w:p w14:paraId="6438FDF0" w14:textId="77777777" w:rsidR="00900BF4" w:rsidRPr="00900BF4" w:rsidRDefault="00900BF4" w:rsidP="00F259BF">
            <w:pPr>
              <w:spacing w:after="0" w:line="276" w:lineRule="auto"/>
              <w:jc w:val="right"/>
              <w:rPr>
                <w:rFonts w:cs="Arial"/>
                <w:color w:val="000000"/>
                <w:sz w:val="16"/>
                <w:szCs w:val="16"/>
              </w:rPr>
            </w:pPr>
            <w:r w:rsidRPr="00900BF4">
              <w:rPr>
                <w:rFonts w:cs="Arial"/>
                <w:color w:val="000000"/>
                <w:sz w:val="16"/>
                <w:szCs w:val="16"/>
              </w:rPr>
              <w:t>-37</w:t>
            </w:r>
          </w:p>
        </w:tc>
      </w:tr>
      <w:tr w:rsidR="00C920F2" w:rsidRPr="00900BF4" w14:paraId="3874C0C9" w14:textId="77777777" w:rsidTr="00BD4758">
        <w:trPr>
          <w:cantSplit/>
          <w:jc w:val="center"/>
        </w:trPr>
        <w:tc>
          <w:tcPr>
            <w:tcW w:w="7142" w:type="dxa"/>
            <w:shd w:val="clear" w:color="auto" w:fill="F2F2F2" w:themeFill="background1" w:themeFillShade="F2"/>
            <w:vAlign w:val="center"/>
            <w:hideMark/>
          </w:tcPr>
          <w:p w14:paraId="452BA41D" w14:textId="77777777" w:rsidR="00900BF4" w:rsidRPr="00900BF4" w:rsidRDefault="00900BF4" w:rsidP="00F259BF">
            <w:pPr>
              <w:spacing w:after="0" w:line="276" w:lineRule="auto"/>
              <w:jc w:val="left"/>
              <w:rPr>
                <w:rFonts w:cs="Arial"/>
                <w:b/>
                <w:bCs/>
                <w:color w:val="000000"/>
                <w:sz w:val="16"/>
                <w:szCs w:val="16"/>
              </w:rPr>
            </w:pPr>
            <w:r w:rsidRPr="00900BF4">
              <w:rPr>
                <w:rFonts w:cs="Arial"/>
                <w:b/>
                <w:bCs/>
                <w:color w:val="000000"/>
                <w:sz w:val="16"/>
                <w:szCs w:val="16"/>
              </w:rPr>
              <w:t>Γ</w:t>
            </w:r>
            <w:r w:rsidR="000F330B">
              <w:rPr>
                <w:rFonts w:cs="Arial"/>
                <w:b/>
                <w:bCs/>
                <w:color w:val="000000"/>
                <w:sz w:val="16"/>
                <w:szCs w:val="16"/>
              </w:rPr>
              <w:t>.</w:t>
            </w:r>
            <w:r w:rsidRPr="00900BF4">
              <w:rPr>
                <w:rFonts w:cs="Arial"/>
                <w:b/>
                <w:bCs/>
                <w:color w:val="000000"/>
                <w:sz w:val="16"/>
                <w:szCs w:val="16"/>
              </w:rPr>
              <w:t xml:space="preserve"> Σ</w:t>
            </w:r>
            <w:r w:rsidR="000F330B">
              <w:rPr>
                <w:rFonts w:cs="Arial"/>
                <w:b/>
                <w:bCs/>
                <w:color w:val="000000"/>
                <w:sz w:val="16"/>
                <w:szCs w:val="16"/>
              </w:rPr>
              <w:t>ύνολο</w:t>
            </w:r>
          </w:p>
        </w:tc>
        <w:tc>
          <w:tcPr>
            <w:tcW w:w="737" w:type="dxa"/>
            <w:shd w:val="clear" w:color="auto" w:fill="F2F2F2" w:themeFill="background1" w:themeFillShade="F2"/>
            <w:noWrap/>
            <w:vAlign w:val="center"/>
            <w:hideMark/>
          </w:tcPr>
          <w:p w14:paraId="3643D429" w14:textId="3B12AD23"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-1</w:t>
            </w:r>
            <w:r w:rsidR="00C920F2">
              <w:rPr>
                <w:rFonts w:cs="Arial"/>
                <w:b/>
                <w:bCs/>
                <w:color w:val="000000"/>
                <w:sz w:val="16"/>
                <w:szCs w:val="16"/>
              </w:rPr>
              <w:t>.</w:t>
            </w:r>
            <w:r w:rsidRPr="00900BF4">
              <w:rPr>
                <w:rFonts w:cs="Arial"/>
                <w:b/>
                <w:bCs/>
                <w:color w:val="000000"/>
                <w:sz w:val="16"/>
                <w:szCs w:val="16"/>
              </w:rPr>
              <w:t>6</w:t>
            </w:r>
            <w:r w:rsidR="00A337A5">
              <w:rPr>
                <w:rFonts w:cs="Arial"/>
                <w:b/>
                <w:bCs/>
                <w:color w:val="000000"/>
                <w:sz w:val="16"/>
                <w:szCs w:val="16"/>
              </w:rPr>
              <w:t>9</w:t>
            </w:r>
            <w:r w:rsidRPr="00900BF4">
              <w:rPr>
                <w:rFonts w:cs="Arial"/>
                <w:b/>
                <w:bCs/>
                <w:color w:val="000000"/>
                <w:sz w:val="16"/>
                <w:szCs w:val="16"/>
              </w:rPr>
              <w:t>1</w:t>
            </w:r>
          </w:p>
        </w:tc>
        <w:tc>
          <w:tcPr>
            <w:tcW w:w="737" w:type="dxa"/>
            <w:shd w:val="clear" w:color="auto" w:fill="F2F2F2" w:themeFill="background1" w:themeFillShade="F2"/>
            <w:noWrap/>
            <w:vAlign w:val="center"/>
            <w:hideMark/>
          </w:tcPr>
          <w:p w14:paraId="632F0AC0" w14:textId="18075E51"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-2</w:t>
            </w:r>
            <w:r w:rsidR="00C920F2">
              <w:rPr>
                <w:rFonts w:cs="Arial"/>
                <w:b/>
                <w:bCs/>
                <w:color w:val="000000"/>
                <w:sz w:val="16"/>
                <w:szCs w:val="16"/>
              </w:rPr>
              <w:t>.</w:t>
            </w:r>
            <w:r w:rsidR="00A337A5">
              <w:rPr>
                <w:rFonts w:cs="Arial"/>
                <w:b/>
                <w:bCs/>
                <w:color w:val="000000"/>
                <w:sz w:val="16"/>
                <w:szCs w:val="16"/>
              </w:rPr>
              <w:t>671</w:t>
            </w:r>
          </w:p>
        </w:tc>
        <w:tc>
          <w:tcPr>
            <w:tcW w:w="737" w:type="dxa"/>
            <w:shd w:val="clear" w:color="auto" w:fill="F2F2F2" w:themeFill="background1" w:themeFillShade="F2"/>
            <w:noWrap/>
            <w:vAlign w:val="center"/>
            <w:hideMark/>
          </w:tcPr>
          <w:p w14:paraId="1EBC4A22" w14:textId="03D079FE"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-3</w:t>
            </w:r>
            <w:r w:rsidR="00C920F2">
              <w:rPr>
                <w:rFonts w:cs="Arial"/>
                <w:b/>
                <w:bCs/>
                <w:color w:val="000000"/>
                <w:sz w:val="16"/>
                <w:szCs w:val="16"/>
              </w:rPr>
              <w:t>.</w:t>
            </w:r>
            <w:r w:rsidR="00A337A5">
              <w:rPr>
                <w:rFonts w:cs="Arial"/>
                <w:b/>
                <w:bCs/>
                <w:color w:val="000000"/>
                <w:sz w:val="16"/>
                <w:szCs w:val="16"/>
              </w:rPr>
              <w:t>517</w:t>
            </w:r>
          </w:p>
        </w:tc>
      </w:tr>
      <w:tr w:rsidR="00C920F2" w:rsidRPr="00900BF4" w14:paraId="34BD8562" w14:textId="77777777" w:rsidTr="00B87393">
        <w:trPr>
          <w:cantSplit/>
          <w:jc w:val="center"/>
        </w:trPr>
        <w:tc>
          <w:tcPr>
            <w:tcW w:w="7142" w:type="dxa"/>
            <w:tcBorders>
              <w:bottom w:val="single" w:sz="2" w:space="0" w:color="808080" w:themeColor="background1" w:themeShade="80"/>
            </w:tcBorders>
            <w:shd w:val="clear" w:color="auto" w:fill="D5DCE4"/>
            <w:vAlign w:val="center"/>
            <w:hideMark/>
          </w:tcPr>
          <w:p w14:paraId="7214AEF7" w14:textId="77777777" w:rsidR="00900BF4" w:rsidRPr="00900BF4" w:rsidRDefault="00900BF4" w:rsidP="00F259BF">
            <w:pPr>
              <w:spacing w:after="0" w:line="276" w:lineRule="auto"/>
              <w:jc w:val="left"/>
              <w:rPr>
                <w:rFonts w:cs="Arial"/>
                <w:b/>
                <w:bCs/>
                <w:color w:val="000000"/>
                <w:sz w:val="16"/>
                <w:szCs w:val="16"/>
              </w:rPr>
            </w:pPr>
            <w:r w:rsidRPr="00900BF4">
              <w:rPr>
                <w:rFonts w:cs="Arial"/>
                <w:b/>
                <w:bCs/>
                <w:color w:val="000000"/>
                <w:sz w:val="16"/>
                <w:szCs w:val="16"/>
              </w:rPr>
              <w:t>Γενικό σύνολο (Α+Β+Γ)</w:t>
            </w:r>
          </w:p>
        </w:tc>
        <w:tc>
          <w:tcPr>
            <w:tcW w:w="737" w:type="dxa"/>
            <w:tcBorders>
              <w:bottom w:val="single" w:sz="2" w:space="0" w:color="808080" w:themeColor="background1" w:themeShade="80"/>
            </w:tcBorders>
            <w:shd w:val="clear" w:color="auto" w:fill="D5DCE4"/>
            <w:noWrap/>
            <w:vAlign w:val="center"/>
            <w:hideMark/>
          </w:tcPr>
          <w:p w14:paraId="1E8932AB" w14:textId="7E46FB48"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w:t>
            </w:r>
            <w:r w:rsidR="00A337A5">
              <w:rPr>
                <w:rFonts w:cs="Arial"/>
                <w:b/>
                <w:bCs/>
                <w:color w:val="000000"/>
                <w:sz w:val="16"/>
                <w:szCs w:val="16"/>
              </w:rPr>
              <w:t>3</w:t>
            </w:r>
            <w:r w:rsidR="00C920F2">
              <w:rPr>
                <w:rFonts w:cs="Arial"/>
                <w:b/>
                <w:bCs/>
                <w:color w:val="000000"/>
                <w:sz w:val="16"/>
                <w:szCs w:val="16"/>
              </w:rPr>
              <w:t>.</w:t>
            </w:r>
            <w:r w:rsidR="00A337A5">
              <w:rPr>
                <w:rFonts w:cs="Arial"/>
                <w:b/>
                <w:bCs/>
                <w:color w:val="000000"/>
                <w:sz w:val="16"/>
                <w:szCs w:val="16"/>
              </w:rPr>
              <w:t>036</w:t>
            </w:r>
          </w:p>
        </w:tc>
        <w:tc>
          <w:tcPr>
            <w:tcW w:w="737" w:type="dxa"/>
            <w:tcBorders>
              <w:bottom w:val="single" w:sz="2" w:space="0" w:color="808080" w:themeColor="background1" w:themeShade="80"/>
            </w:tcBorders>
            <w:shd w:val="clear" w:color="auto" w:fill="D5DCE4"/>
            <w:noWrap/>
            <w:vAlign w:val="center"/>
            <w:hideMark/>
          </w:tcPr>
          <w:p w14:paraId="10698432" w14:textId="52BCE4CC"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-5</w:t>
            </w:r>
            <w:r w:rsidR="00C920F2">
              <w:rPr>
                <w:rFonts w:cs="Arial"/>
                <w:b/>
                <w:bCs/>
                <w:color w:val="000000"/>
                <w:sz w:val="16"/>
                <w:szCs w:val="16"/>
              </w:rPr>
              <w:t>.</w:t>
            </w:r>
            <w:r w:rsidR="00A337A5">
              <w:rPr>
                <w:rFonts w:cs="Arial"/>
                <w:b/>
                <w:bCs/>
                <w:color w:val="000000"/>
                <w:sz w:val="16"/>
                <w:szCs w:val="16"/>
              </w:rPr>
              <w:t>937</w:t>
            </w:r>
          </w:p>
        </w:tc>
        <w:tc>
          <w:tcPr>
            <w:tcW w:w="737" w:type="dxa"/>
            <w:tcBorders>
              <w:bottom w:val="single" w:sz="2" w:space="0" w:color="808080" w:themeColor="background1" w:themeShade="80"/>
            </w:tcBorders>
            <w:shd w:val="clear" w:color="auto" w:fill="D5DCE4"/>
            <w:noWrap/>
            <w:vAlign w:val="center"/>
            <w:hideMark/>
          </w:tcPr>
          <w:p w14:paraId="3B011CE0" w14:textId="6EE6BC35" w:rsidR="00900BF4" w:rsidRPr="00900BF4" w:rsidRDefault="00900BF4" w:rsidP="00F259BF">
            <w:pPr>
              <w:spacing w:after="0" w:line="276" w:lineRule="auto"/>
              <w:jc w:val="right"/>
              <w:rPr>
                <w:rFonts w:cs="Arial"/>
                <w:b/>
                <w:bCs/>
                <w:color w:val="000000"/>
                <w:sz w:val="16"/>
                <w:szCs w:val="16"/>
              </w:rPr>
            </w:pPr>
            <w:r w:rsidRPr="00900BF4">
              <w:rPr>
                <w:rFonts w:cs="Arial"/>
                <w:b/>
                <w:bCs/>
                <w:color w:val="000000"/>
                <w:sz w:val="16"/>
                <w:szCs w:val="16"/>
              </w:rPr>
              <w:t>-7</w:t>
            </w:r>
            <w:r w:rsidR="00C920F2">
              <w:rPr>
                <w:rFonts w:cs="Arial"/>
                <w:b/>
                <w:bCs/>
                <w:color w:val="000000"/>
                <w:sz w:val="16"/>
                <w:szCs w:val="16"/>
              </w:rPr>
              <w:t>.</w:t>
            </w:r>
            <w:r w:rsidRPr="00900BF4">
              <w:rPr>
                <w:rFonts w:cs="Arial"/>
                <w:b/>
                <w:bCs/>
                <w:color w:val="000000"/>
                <w:sz w:val="16"/>
                <w:szCs w:val="16"/>
              </w:rPr>
              <w:t>6</w:t>
            </w:r>
            <w:r w:rsidR="00A337A5">
              <w:rPr>
                <w:rFonts w:cs="Arial"/>
                <w:b/>
                <w:bCs/>
                <w:color w:val="000000"/>
                <w:sz w:val="16"/>
                <w:szCs w:val="16"/>
              </w:rPr>
              <w:t>9</w:t>
            </w:r>
            <w:r w:rsidRPr="00900BF4">
              <w:rPr>
                <w:rFonts w:cs="Arial"/>
                <w:b/>
                <w:bCs/>
                <w:color w:val="000000"/>
                <w:sz w:val="16"/>
                <w:szCs w:val="16"/>
              </w:rPr>
              <w:t>1</w:t>
            </w:r>
          </w:p>
        </w:tc>
      </w:tr>
      <w:tr w:rsidR="000559A9" w:rsidRPr="000559A9" w14:paraId="16E67015" w14:textId="77777777" w:rsidTr="00B87393">
        <w:trPr>
          <w:cantSplit/>
          <w:jc w:val="center"/>
        </w:trPr>
        <w:tc>
          <w:tcPr>
            <w:tcW w:w="9353" w:type="dxa"/>
            <w:gridSpan w:val="4"/>
            <w:tcBorders>
              <w:left w:val="nil"/>
              <w:bottom w:val="nil"/>
              <w:right w:val="nil"/>
            </w:tcBorders>
            <w:vAlign w:val="center"/>
          </w:tcPr>
          <w:p w14:paraId="65B2C96E" w14:textId="77777777" w:rsidR="000559A9" w:rsidRPr="000559A9" w:rsidRDefault="000559A9" w:rsidP="00E678AF">
            <w:pPr>
              <w:tabs>
                <w:tab w:val="left" w:pos="142"/>
              </w:tabs>
              <w:spacing w:before="60" w:after="0" w:line="276" w:lineRule="auto"/>
              <w:jc w:val="left"/>
              <w:rPr>
                <w:rFonts w:cs="Arial"/>
                <w:b/>
                <w:bCs/>
                <w:color w:val="000000"/>
                <w:sz w:val="16"/>
                <w:szCs w:val="16"/>
              </w:rPr>
            </w:pPr>
            <w:r w:rsidRPr="00B95507">
              <w:rPr>
                <w:rFonts w:cs="Arial"/>
                <w:color w:val="000000"/>
                <w:sz w:val="16"/>
                <w:szCs w:val="16"/>
              </w:rPr>
              <w:t>*</w:t>
            </w:r>
            <w:r w:rsidRPr="00B95507">
              <w:rPr>
                <w:rFonts w:cs="Arial"/>
                <w:color w:val="000000"/>
                <w:sz w:val="16"/>
                <w:szCs w:val="16"/>
              </w:rPr>
              <w:tab/>
              <w:t>όπως ανακοινώθηκαν στη ΔΕΘ 2025</w:t>
            </w:r>
          </w:p>
        </w:tc>
      </w:tr>
    </w:tbl>
    <w:p w14:paraId="2166976B" w14:textId="060B7181" w:rsidR="008F4469" w:rsidRDefault="008F4469">
      <w:pPr>
        <w:spacing w:after="0" w:line="240" w:lineRule="auto"/>
        <w:jc w:val="left"/>
        <w:rPr>
          <w:highlight w:val="yellow"/>
        </w:rPr>
      </w:pPr>
    </w:p>
    <w:p w14:paraId="000E1E1C" w14:textId="77777777" w:rsidR="008F4469" w:rsidRDefault="008F4469">
      <w:pPr>
        <w:spacing w:after="0" w:line="240" w:lineRule="auto"/>
        <w:jc w:val="left"/>
        <w:rPr>
          <w:highlight w:val="yellow"/>
        </w:rPr>
      </w:pPr>
      <w:r>
        <w:rPr>
          <w:highlight w:val="yellow"/>
        </w:rPr>
        <w:br w:type="page"/>
      </w:r>
    </w:p>
    <w:p w14:paraId="5023BCB6" w14:textId="77777777" w:rsidR="00900BF4" w:rsidRDefault="00900BF4">
      <w:pPr>
        <w:spacing w:after="0" w:line="240" w:lineRule="auto"/>
        <w:jc w:val="left"/>
        <w:rPr>
          <w:highlight w:val="yellow"/>
        </w:rPr>
      </w:pPr>
    </w:p>
    <w:p w14:paraId="77CBA9C7" w14:textId="77777777" w:rsidR="003377C3" w:rsidRPr="003652CF" w:rsidRDefault="003377C3" w:rsidP="004F40E8">
      <w:pPr>
        <w:rPr>
          <w:strike/>
          <w:szCs w:val="22"/>
          <w:highlight w:val="yellow"/>
        </w:rPr>
        <w:sectPr w:rsidR="003377C3" w:rsidRPr="003652CF" w:rsidSect="00B87393">
          <w:headerReference w:type="even" r:id="rId26"/>
          <w:headerReference w:type="default" r:id="rId27"/>
          <w:footerReference w:type="even" r:id="rId28"/>
          <w:footerReference w:type="default" r:id="rId29"/>
          <w:footnotePr>
            <w:numRestart w:val="eachSect"/>
          </w:footnotePr>
          <w:pgSz w:w="11906" w:h="16838" w:code="9"/>
          <w:pgMar w:top="1310" w:right="1418" w:bottom="1310" w:left="1418" w:header="652" w:footer="652" w:gutter="0"/>
          <w:cols w:space="708"/>
          <w:docGrid w:linePitch="360"/>
        </w:sectPr>
      </w:pPr>
    </w:p>
    <w:p w14:paraId="5B3D2330" w14:textId="77777777" w:rsidR="007F09F7" w:rsidRDefault="007F09F7" w:rsidP="00960EEB">
      <w:pPr>
        <w:pStyle w:val="1"/>
        <w:keepNext w:val="0"/>
      </w:pPr>
      <w:bookmarkStart w:id="349" w:name="_Toc210570689"/>
      <w:bookmarkEnd w:id="349"/>
    </w:p>
    <w:p w14:paraId="537BD7DB" w14:textId="77777777" w:rsidR="00F463A0" w:rsidRPr="00190BA5" w:rsidRDefault="00F463A0" w:rsidP="00960EEB">
      <w:pPr>
        <w:pStyle w:val="2"/>
        <w:keepNext w:val="0"/>
      </w:pPr>
      <w:bookmarkStart w:id="350" w:name="_Toc210570690"/>
      <w:r w:rsidRPr="006A035C">
        <w:t>ΔΗΜΟΣΙΟ</w:t>
      </w:r>
      <w:r w:rsidRPr="00190BA5">
        <w:t xml:space="preserve"> ΧΡΕΟΣ</w:t>
      </w:r>
      <w:bookmarkEnd w:id="350"/>
    </w:p>
    <w:p w14:paraId="5114CA38" w14:textId="77777777" w:rsidR="00FE53B3" w:rsidRPr="000F3475" w:rsidRDefault="00FE53B3" w:rsidP="00FE53B3">
      <w:r>
        <w:t>Η</w:t>
      </w:r>
      <w:r w:rsidRPr="00F67FBA">
        <w:t xml:space="preserve"> εκδοτική δραστηριότητα </w:t>
      </w:r>
      <w:r>
        <w:t>του</w:t>
      </w:r>
      <w:r w:rsidRPr="00835C57">
        <w:t xml:space="preserve"> Ελληνικ</w:t>
      </w:r>
      <w:r>
        <w:t>ού</w:t>
      </w:r>
      <w:r w:rsidRPr="00835C57">
        <w:t xml:space="preserve"> Δημ</w:t>
      </w:r>
      <w:r>
        <w:t>ο</w:t>
      </w:r>
      <w:r w:rsidRPr="00835C57">
        <w:t>σ</w:t>
      </w:r>
      <w:r>
        <w:t>ί</w:t>
      </w:r>
      <w:r w:rsidRPr="00835C57">
        <w:t>ο</w:t>
      </w:r>
      <w:r>
        <w:t>υ</w:t>
      </w:r>
      <w:r w:rsidRPr="00835C57">
        <w:t xml:space="preserve"> συν</w:t>
      </w:r>
      <w:r>
        <w:t>ε</w:t>
      </w:r>
      <w:r w:rsidRPr="00835C57">
        <w:t>χ</w:t>
      </w:r>
      <w:r>
        <w:t>ί</w:t>
      </w:r>
      <w:r w:rsidRPr="00835C57">
        <w:t>σ</w:t>
      </w:r>
      <w:r>
        <w:t>τηκ</w:t>
      </w:r>
      <w:r w:rsidRPr="00835C57">
        <w:t xml:space="preserve">ε </w:t>
      </w:r>
      <w:r>
        <w:t>ομαλά</w:t>
      </w:r>
      <w:r w:rsidRPr="00835C57">
        <w:t xml:space="preserve"> </w:t>
      </w:r>
      <w:r>
        <w:t>καθ</w:t>
      </w:r>
      <w:r w:rsidR="00A00A8A">
        <w:t xml:space="preserve">’ </w:t>
      </w:r>
      <w:r>
        <w:t xml:space="preserve">όλη τη διάρκεια του τρέχοντος έτους </w:t>
      </w:r>
      <w:r w:rsidRPr="00AA658E">
        <w:t>καλύπτοντας τις χαμηλές χρηματοδοτικές του ανάγκες, κατά κύριο λόγο με κοινοπρακτικές εκδόσεις</w:t>
      </w:r>
      <w:r w:rsidR="005C7AFC">
        <w:t>,</w:t>
      </w:r>
      <w:r w:rsidRPr="00AA658E">
        <w:t xml:space="preserve"> οι οποίες είχαν υψηλό ποσοστό υπερκάλυψης του βιβλίου</w:t>
      </w:r>
      <w:r w:rsidRPr="006C73A5">
        <w:t xml:space="preserve"> προσφορών τους</w:t>
      </w:r>
      <w:r>
        <w:t>,</w:t>
      </w:r>
      <w:r w:rsidRPr="006C73A5">
        <w:t xml:space="preserve"> </w:t>
      </w:r>
      <w:r>
        <w:t>ενώ</w:t>
      </w:r>
      <w:r w:rsidRPr="006C73A5">
        <w:t xml:space="preserve"> διατέθηκαν κατά προτεραιότητα σε τελικούς επενδυτές. </w:t>
      </w:r>
      <w:r>
        <w:t>Σημαντική</w:t>
      </w:r>
      <w:r w:rsidRPr="006C73A5">
        <w:t xml:space="preserve"> συνεισφορά στην αναχρηματοδότηση των δανειακών αναγκών </w:t>
      </w:r>
      <w:r>
        <w:t xml:space="preserve">είχαν και κατά το τρέχον έτος </w:t>
      </w:r>
      <w:r w:rsidRPr="006C73A5">
        <w:t xml:space="preserve">οι </w:t>
      </w:r>
      <w:r>
        <w:t xml:space="preserve">μηνιαίες </w:t>
      </w:r>
      <w:r w:rsidRPr="006C73A5">
        <w:t>δημοπρασίες επανέκδοσης ομολόγων</w:t>
      </w:r>
      <w:r>
        <w:t>,</w:t>
      </w:r>
      <w:r w:rsidRPr="006C73A5">
        <w:t xml:space="preserve"> οι οποίες </w:t>
      </w:r>
      <w:r>
        <w:t xml:space="preserve">συνεχίζουν να </w:t>
      </w:r>
      <w:r w:rsidRPr="006C73A5">
        <w:t>διενεργ</w:t>
      </w:r>
      <w:r>
        <w:t>ούνται</w:t>
      </w:r>
      <w:r w:rsidRPr="006C73A5">
        <w:t xml:space="preserve"> σύμφωνα με το πρόγραμμα</w:t>
      </w:r>
      <w:r w:rsidR="00BC4093">
        <w:t xml:space="preserve"> που έχει ήδη ανακοινωθεί</w:t>
      </w:r>
      <w:r w:rsidRPr="006C73A5">
        <w:t xml:space="preserve">. </w:t>
      </w:r>
      <w:r w:rsidRPr="008E7809">
        <w:t>Τα συνολικά ταμειακά διαθέσιμα του Ελληνικού Δημοσίου παρέμειναν στα υψηλά επίπεδα των τελευταίων ετών</w:t>
      </w:r>
      <w:r w:rsidRPr="00835C57">
        <w:t xml:space="preserve">, ενώ </w:t>
      </w:r>
      <w:r>
        <w:t>ξεκίνησε από το προηγούμενο έτος η χρήση μέρους του αποθεματικού</w:t>
      </w:r>
      <w:r w:rsidR="00CA6C18" w:rsidRPr="00CA6C18">
        <w:t xml:space="preserve"> </w:t>
      </w:r>
      <w:r>
        <w:t>προσόδων από τις αγορές κεφαλαίου για προ</w:t>
      </w:r>
      <w:r w:rsidRPr="00835C57">
        <w:t>πληρωμές των ευρωπαϊκών δανείων</w:t>
      </w:r>
      <w:r>
        <w:t xml:space="preserve"> του </w:t>
      </w:r>
      <w:r w:rsidR="005C7AFC">
        <w:t xml:space="preserve">μηχανισμού </w:t>
      </w:r>
      <w:r w:rsidR="005C7AFC">
        <w:rPr>
          <w:lang w:val="en-US"/>
        </w:rPr>
        <w:t>Greek</w:t>
      </w:r>
      <w:r w:rsidR="005C7AFC" w:rsidRPr="005C7AFC">
        <w:t xml:space="preserve"> </w:t>
      </w:r>
      <w:r w:rsidR="005C7AFC">
        <w:rPr>
          <w:lang w:val="en-US"/>
        </w:rPr>
        <w:t>Loan</w:t>
      </w:r>
      <w:r w:rsidR="005C7AFC" w:rsidRPr="005C7AFC">
        <w:t xml:space="preserve"> </w:t>
      </w:r>
      <w:r w:rsidR="005C7AFC">
        <w:rPr>
          <w:lang w:val="en-US"/>
        </w:rPr>
        <w:t>Facility</w:t>
      </w:r>
      <w:r w:rsidR="005C7AFC" w:rsidRPr="005C7AFC">
        <w:t xml:space="preserve"> (</w:t>
      </w:r>
      <w:r>
        <w:rPr>
          <w:lang w:val="en-US"/>
        </w:rPr>
        <w:t>GLF</w:t>
      </w:r>
      <w:r w:rsidR="005C7AFC" w:rsidRPr="005C7AFC">
        <w:t>)</w:t>
      </w:r>
      <w:r w:rsidRPr="00835C57">
        <w:t>.</w:t>
      </w:r>
    </w:p>
    <w:p w14:paraId="259EA222" w14:textId="77777777" w:rsidR="00FE53B3" w:rsidRPr="00F53DCB" w:rsidRDefault="00FE53B3" w:rsidP="00FE53B3">
      <w:r>
        <w:t xml:space="preserve">Τον Δεκέμβριο 2025 αναμένεται να υλοποιηθεί νέα πρόωρη αποπληρωμή των </w:t>
      </w:r>
      <w:r w:rsidRPr="00C72F86">
        <w:t>ευρωπαϊκών δανείων του GLF</w:t>
      </w:r>
      <w:r>
        <w:t xml:space="preserve">, τα οποία έχουν κυμαινόμενο επιτόκιο, με την αναλογική αποπληρωμή δανείων που λήγουν κατά τα έτη </w:t>
      </w:r>
      <w:r w:rsidRPr="00166406">
        <w:t>2033</w:t>
      </w:r>
      <w:r w:rsidR="00275987">
        <w:t xml:space="preserve"> </w:t>
      </w:r>
      <w:r>
        <w:t>-</w:t>
      </w:r>
      <w:r w:rsidR="00275987">
        <w:t xml:space="preserve"> </w:t>
      </w:r>
      <w:r w:rsidRPr="00166406">
        <w:t>2041</w:t>
      </w:r>
      <w:r>
        <w:t xml:space="preserve">, συνολικού </w:t>
      </w:r>
      <w:r w:rsidRPr="00332130">
        <w:t>ύψους 5</w:t>
      </w:r>
      <w:r>
        <w:t>.290 εκατ. ευρώ.</w:t>
      </w:r>
      <w:r w:rsidRPr="00C72F86">
        <w:t xml:space="preserve"> </w:t>
      </w:r>
      <w:r>
        <w:t xml:space="preserve">Έχουν προηγηθεί οι αποπληρωμές </w:t>
      </w:r>
      <w:r w:rsidRPr="00C72F86">
        <w:t xml:space="preserve">δανείων ύψους </w:t>
      </w:r>
      <w:r>
        <w:t xml:space="preserve">7.935 εκατ. ευρώ τον Δεκέμβριο 2024, </w:t>
      </w:r>
      <w:r w:rsidRPr="00C72F86">
        <w:t>5.290 εκατ. ευρώ</w:t>
      </w:r>
      <w:r>
        <w:t xml:space="preserve"> τον Δεκέμβριο 2023 και</w:t>
      </w:r>
      <w:r w:rsidRPr="00F53DCB">
        <w:t xml:space="preserve"> 2.645 εκατ. ευρώ </w:t>
      </w:r>
      <w:r>
        <w:t>τον Δεκέμβριο 2022.</w:t>
      </w:r>
    </w:p>
    <w:p w14:paraId="51BEB962" w14:textId="54737C18" w:rsidR="00FE53B3" w:rsidRDefault="00FE53B3" w:rsidP="00FE53B3">
      <w:r>
        <w:t xml:space="preserve">Σε συνέχεια της ανάκτησης </w:t>
      </w:r>
      <w:r w:rsidRPr="00365715">
        <w:t>τη</w:t>
      </w:r>
      <w:r>
        <w:t>ς</w:t>
      </w:r>
      <w:r w:rsidRPr="00365715">
        <w:t xml:space="preserve"> επενδυτική</w:t>
      </w:r>
      <w:r w:rsidR="00BC7D5B">
        <w:t>ς</w:t>
      </w:r>
      <w:r w:rsidRPr="00365715">
        <w:t xml:space="preserve"> βαθμίδα</w:t>
      </w:r>
      <w:r>
        <w:t>ς</w:t>
      </w:r>
      <w:r w:rsidRPr="00365715">
        <w:t xml:space="preserve"> (ΒΒΒ-)</w:t>
      </w:r>
      <w:r>
        <w:t xml:space="preserve"> από το Ελληνικό Δημόσιο το 2023 από τους οίκους αξιολόγησης </w:t>
      </w:r>
      <w:r w:rsidRPr="00365715">
        <w:rPr>
          <w:lang w:val="en-US"/>
        </w:rPr>
        <w:t>DBRS</w:t>
      </w:r>
      <w:r w:rsidRPr="00365715">
        <w:t xml:space="preserve">, </w:t>
      </w:r>
      <w:r w:rsidRPr="00365715">
        <w:rPr>
          <w:lang w:val="en-US"/>
        </w:rPr>
        <w:t>Standard</w:t>
      </w:r>
      <w:r w:rsidRPr="00365715">
        <w:t xml:space="preserve"> &amp; </w:t>
      </w:r>
      <w:r w:rsidRPr="00365715">
        <w:rPr>
          <w:lang w:val="en-US"/>
        </w:rPr>
        <w:t>Poor</w:t>
      </w:r>
      <w:r w:rsidRPr="00365715">
        <w:t>’</w:t>
      </w:r>
      <w:r w:rsidRPr="00365715">
        <w:rPr>
          <w:lang w:val="en-US"/>
        </w:rPr>
        <w:t>s</w:t>
      </w:r>
      <w:r>
        <w:t>,</w:t>
      </w:r>
      <w:r w:rsidRPr="00365715">
        <w:t xml:space="preserve"> </w:t>
      </w:r>
      <w:r w:rsidRPr="00365715">
        <w:rPr>
          <w:lang w:val="en-US"/>
        </w:rPr>
        <w:t>Fitch</w:t>
      </w:r>
      <w:r w:rsidRPr="00365715">
        <w:t>,</w:t>
      </w:r>
      <w:r>
        <w:t xml:space="preserve"> </w:t>
      </w:r>
      <w:r>
        <w:rPr>
          <w:lang w:val="en-US"/>
        </w:rPr>
        <w:t>R</w:t>
      </w:r>
      <w:r w:rsidRPr="00365715">
        <w:t xml:space="preserve"> &amp; </w:t>
      </w:r>
      <w:r>
        <w:rPr>
          <w:lang w:val="en-US"/>
        </w:rPr>
        <w:t>I</w:t>
      </w:r>
      <w:r w:rsidRPr="00365715">
        <w:t xml:space="preserve"> </w:t>
      </w:r>
      <w:r>
        <w:t xml:space="preserve">και </w:t>
      </w:r>
      <w:r>
        <w:rPr>
          <w:lang w:val="en-US"/>
        </w:rPr>
        <w:t>Scope</w:t>
      </w:r>
      <w:r>
        <w:t xml:space="preserve">, ακολούθησαν περαιτέρω αναβαθμίσεις κατά μία θέση, στη βαθμίδα </w:t>
      </w:r>
      <w:r>
        <w:rPr>
          <w:lang w:val="en-US"/>
        </w:rPr>
        <w:t>BBB</w:t>
      </w:r>
      <w:r w:rsidRPr="006538EA">
        <w:t xml:space="preserve"> </w:t>
      </w:r>
      <w:r>
        <w:t>με σταθερή προοπτική</w:t>
      </w:r>
      <w:r w:rsidR="00BC7D5B">
        <w:t>,</w:t>
      </w:r>
      <w:r>
        <w:t xml:space="preserve"> τον Δεκέμβριο 2024 από τ</w:t>
      </w:r>
      <w:r w:rsidR="003B3E9B">
        <w:t>ον οίκο</w:t>
      </w:r>
      <w:r w:rsidR="002C2325">
        <w:t xml:space="preserve"> αξιολόγησης</w:t>
      </w:r>
      <w:r>
        <w:t xml:space="preserve"> </w:t>
      </w:r>
      <w:r>
        <w:rPr>
          <w:lang w:val="en-US"/>
        </w:rPr>
        <w:t>Scope</w:t>
      </w:r>
      <w:r w:rsidRPr="00166406">
        <w:t xml:space="preserve"> </w:t>
      </w:r>
      <w:r>
        <w:t xml:space="preserve">και τον Μάρτιο και Απρίλιο 2025 από τους οίκους αξιολόγησης </w:t>
      </w:r>
      <w:r>
        <w:rPr>
          <w:lang w:val="en-US"/>
        </w:rPr>
        <w:t>DBRS</w:t>
      </w:r>
      <w:r w:rsidRPr="00166406">
        <w:t xml:space="preserve"> </w:t>
      </w:r>
      <w:r>
        <w:t>και</w:t>
      </w:r>
      <w:r w:rsidRPr="00166406">
        <w:t xml:space="preserve"> </w:t>
      </w:r>
      <w:r w:rsidRPr="00365715">
        <w:rPr>
          <w:lang w:val="en-US"/>
        </w:rPr>
        <w:t>Standard</w:t>
      </w:r>
      <w:r w:rsidRPr="00365715">
        <w:t xml:space="preserve"> &amp; </w:t>
      </w:r>
      <w:r w:rsidRPr="00365715">
        <w:rPr>
          <w:lang w:val="en-US"/>
        </w:rPr>
        <w:t>Poor</w:t>
      </w:r>
      <w:r w:rsidRPr="00365715">
        <w:t>’</w:t>
      </w:r>
      <w:r w:rsidRPr="00365715">
        <w:rPr>
          <w:lang w:val="en-US"/>
        </w:rPr>
        <w:t>s</w:t>
      </w:r>
      <w:r>
        <w:t xml:space="preserve">, αντίστοιχα. Επιπλέον, ο οίκος </w:t>
      </w:r>
      <w:r w:rsidRPr="00365715">
        <w:t xml:space="preserve">Moody’s </w:t>
      </w:r>
      <w:r>
        <w:t xml:space="preserve">αναβάθμισε το αξιόχρεο του Ελληνικού Δημοσίου στην επενδυτική βαθμίδα </w:t>
      </w:r>
      <w:r>
        <w:rPr>
          <w:lang w:val="en-US"/>
        </w:rPr>
        <w:t>Baa</w:t>
      </w:r>
      <w:r w:rsidRPr="00004B98">
        <w:t>3</w:t>
      </w:r>
      <w:r w:rsidRPr="00166406">
        <w:t xml:space="preserve"> </w:t>
      </w:r>
      <w:r>
        <w:t xml:space="preserve">με σταθερή προοπτική τον Μάρτιο 2025. Περαιτέρω, τον Μάιο του τρέχοντος έτους ο οίκος </w:t>
      </w:r>
      <w:r>
        <w:rPr>
          <w:lang w:val="en-US"/>
        </w:rPr>
        <w:t>Fitch</w:t>
      </w:r>
      <w:r w:rsidRPr="00166406">
        <w:t xml:space="preserve"> </w:t>
      </w:r>
      <w:r>
        <w:t>προχώρησε σε αναβάθμιση των προοπτικών της ελληνικής οικονομίας από σταθερές σε θετικές.</w:t>
      </w:r>
    </w:p>
    <w:p w14:paraId="1CDAC5F0" w14:textId="6C259673" w:rsidR="00FE53B3" w:rsidRPr="008A5F71" w:rsidRDefault="00FE53B3" w:rsidP="00FE53B3">
      <w:bookmarkStart w:id="351" w:name="_Hlk82161702"/>
      <w:r>
        <w:t>Ο</w:t>
      </w:r>
      <w:r w:rsidRPr="008C3C41">
        <w:t>ι χρηματοδοτικές ανάγκες του Ελληνικού Δημοσίου κατά τη διάρκεια του 202</w:t>
      </w:r>
      <w:r>
        <w:t>5</w:t>
      </w:r>
      <w:r w:rsidRPr="008C3C41">
        <w:t xml:space="preserve"> καλύφθηκαν</w:t>
      </w:r>
      <w:r>
        <w:t>,</w:t>
      </w:r>
      <w:r w:rsidRPr="008C3C41">
        <w:t xml:space="preserve"> </w:t>
      </w:r>
      <w:r>
        <w:t>κατά κύριο λόγο,</w:t>
      </w:r>
      <w:r w:rsidRPr="008C3C41">
        <w:t xml:space="preserve"> από </w:t>
      </w:r>
      <w:r>
        <w:t xml:space="preserve">κοινοπρακτικές εκδόσεις και επανεκδόσεις </w:t>
      </w:r>
      <w:r w:rsidRPr="00737C4B">
        <w:t xml:space="preserve">ομολόγων σταθερού επιτοκίου </w:t>
      </w:r>
      <w:r>
        <w:t>δεκαε</w:t>
      </w:r>
      <w:r w:rsidRPr="00737C4B">
        <w:t>τούς</w:t>
      </w:r>
      <w:r w:rsidRPr="00166406">
        <w:t xml:space="preserve">, </w:t>
      </w:r>
      <w:r>
        <w:t>δεκαπενταετούς και</w:t>
      </w:r>
      <w:r w:rsidRPr="00737C4B">
        <w:t xml:space="preserve"> </w:t>
      </w:r>
      <w:r>
        <w:t>τριακοντ</w:t>
      </w:r>
      <w:r w:rsidRPr="00737C4B">
        <w:t>αετούς</w:t>
      </w:r>
      <w:r>
        <w:t xml:space="preserve"> </w:t>
      </w:r>
      <w:r w:rsidRPr="00737C4B">
        <w:t>διάρκειας</w:t>
      </w:r>
      <w:r w:rsidR="007F1120">
        <w:t>,</w:t>
      </w:r>
      <w:r w:rsidRPr="00737C4B">
        <w:t xml:space="preserve"> συνολικής ονομαστικής αξίας </w:t>
      </w:r>
      <w:r>
        <w:t>7</w:t>
      </w:r>
      <w:r w:rsidRPr="00737C4B">
        <w:t>.</w:t>
      </w:r>
      <w:r>
        <w:t>000</w:t>
      </w:r>
      <w:r w:rsidRPr="00737C4B">
        <w:t xml:space="preserve"> εκατ. ευρώ</w:t>
      </w:r>
      <w:bookmarkEnd w:id="351"/>
      <w:r>
        <w:t xml:space="preserve">. Επιπλέον, καλύφθηκαν από επανεκδόσεις μεσοπρόθεσμων και μακροπρόθεσμων ομολόγων μέσω δημοπρασιών </w:t>
      </w:r>
      <w:r w:rsidRPr="003325DD">
        <w:t xml:space="preserve">συνολικής ονομαστικής αξίας </w:t>
      </w:r>
      <w:r w:rsidRPr="00623F2A">
        <w:t>7</w:t>
      </w:r>
      <w:r w:rsidRPr="004C31E8">
        <w:t>0</w:t>
      </w:r>
      <w:r>
        <w:t>0</w:t>
      </w:r>
      <w:r w:rsidRPr="003325DD">
        <w:t xml:space="preserve"> εκατ. ευρώ</w:t>
      </w:r>
      <w:r w:rsidRPr="008C3C41">
        <w:t xml:space="preserve"> καθώς επίσης και</w:t>
      </w:r>
      <w:r>
        <w:t xml:space="preserve"> από</w:t>
      </w:r>
      <w:r w:rsidRPr="008C3C41">
        <w:t xml:space="preserve"> αναχρηματοδότηση βραχυπρόθεσμου χρέους. Ο βραχυπρόθεσμος δανεισμός του Ελληνικού Δημοσίου πραγματοποιήθηκε μέσω εκδόσεων εντόκων</w:t>
      </w:r>
      <w:r w:rsidRPr="00082FCC">
        <w:t xml:space="preserve"> γραμματίων τρίμηνης, εξάμηνης και ετήσιας διάρκειας καθώς επίσης και μέσω πράξεων διαχείρισης ταμειακής ρευστότητας υπό τη μορφή repo agreements, τις οποίες συνάπτει ο Οργανισμός Διαχείρισης Δημοσίου Χρέους (ΟΔΔΗΧ) για την αξιοποίηση των διαθεσίμων</w:t>
      </w:r>
      <w:r w:rsidR="00813C74">
        <w:t>,</w:t>
      </w:r>
      <w:r w:rsidRPr="00082FCC">
        <w:t xml:space="preserve"> κυρίως</w:t>
      </w:r>
      <w:r w:rsidR="00813C74">
        <w:t>,</w:t>
      </w:r>
      <w:r w:rsidRPr="00082FCC">
        <w:t xml:space="preserve"> των φορέων της Γενικής Κυβέρνησης.</w:t>
      </w:r>
    </w:p>
    <w:p w14:paraId="0FE839CB" w14:textId="77777777" w:rsidR="00DE5652" w:rsidRPr="00983D03" w:rsidRDefault="00FE53B3" w:rsidP="002F3D63">
      <w:pPr>
        <w:rPr>
          <w:highlight w:val="yellow"/>
        </w:rPr>
      </w:pPr>
      <w:bookmarkStart w:id="352" w:name="_Hlk144728498"/>
      <w:r w:rsidRPr="00CB54C9">
        <w:t>Στις 31</w:t>
      </w:r>
      <w:r w:rsidR="00275987">
        <w:t>.</w:t>
      </w:r>
      <w:r w:rsidRPr="00CB54C9">
        <w:t>8</w:t>
      </w:r>
      <w:r w:rsidR="00275987">
        <w:t>.</w:t>
      </w:r>
      <w:r w:rsidRPr="00CB54C9">
        <w:t>2025 το σύνολο των δανείων που έχουν χορηγηθεί από τον Μηχανισμό Στήριξης διαμορφώθηκε σε 216.708,7 εκατ. ευρώ, τα οποία συνίστανται αποκλειστικά σε ευρωπαϊκά δάνεια των κρατών</w:t>
      </w:r>
      <w:r w:rsidR="00813C74">
        <w:t xml:space="preserve"> -</w:t>
      </w:r>
      <w:r w:rsidRPr="00CB54C9">
        <w:t xml:space="preserve"> μελών της Ευρωζώνης</w:t>
      </w:r>
      <w:bookmarkEnd w:id="352"/>
      <w:r w:rsidRPr="00CB54C9">
        <w:t>.</w:t>
      </w:r>
    </w:p>
    <w:p w14:paraId="582D9015" w14:textId="77777777" w:rsidR="003E7B61" w:rsidRPr="00612EBA" w:rsidRDefault="003E7B61" w:rsidP="00FE4476">
      <w:pPr>
        <w:pStyle w:val="3"/>
      </w:pPr>
      <w:bookmarkStart w:id="353" w:name="_Toc114142042"/>
      <w:bookmarkStart w:id="354" w:name="_Toc114142305"/>
      <w:bookmarkStart w:id="355" w:name="_Toc114142380"/>
      <w:bookmarkStart w:id="356" w:name="_Toc114142428"/>
      <w:bookmarkStart w:id="357" w:name="_Toc114149885"/>
      <w:bookmarkStart w:id="358" w:name="_Toc114219140"/>
      <w:bookmarkStart w:id="359" w:name="_Toc114219173"/>
      <w:bookmarkStart w:id="360" w:name="_Toc114219349"/>
      <w:bookmarkStart w:id="361" w:name="_Toc114219398"/>
      <w:bookmarkStart w:id="362" w:name="_Toc114219881"/>
      <w:bookmarkStart w:id="363" w:name="_Toc114234874"/>
      <w:bookmarkStart w:id="364" w:name="_Toc114489544"/>
      <w:bookmarkStart w:id="365" w:name="_Toc114489631"/>
      <w:bookmarkStart w:id="366" w:name="_Toc114489719"/>
      <w:bookmarkStart w:id="367" w:name="_Toc115338190"/>
      <w:bookmarkStart w:id="368" w:name="_Toc115358169"/>
      <w:bookmarkStart w:id="369" w:name="_Toc115424397"/>
      <w:bookmarkStart w:id="370" w:name="_Toc115435263"/>
      <w:bookmarkStart w:id="371" w:name="_Toc115437997"/>
      <w:bookmarkStart w:id="372" w:name="_Toc115526161"/>
      <w:bookmarkStart w:id="373" w:name="_Toc146645080"/>
      <w:bookmarkStart w:id="374" w:name="_Toc146819108"/>
      <w:bookmarkStart w:id="375" w:name="_Toc147015747"/>
      <w:bookmarkStart w:id="376" w:name="_Toc178751235"/>
      <w:bookmarkStart w:id="377" w:name="_Toc210570691"/>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106E60">
        <w:lastRenderedPageBreak/>
        <w:t>Σύνθεση</w:t>
      </w:r>
      <w:r w:rsidRPr="00612EBA">
        <w:t xml:space="preserve"> </w:t>
      </w:r>
      <w:r w:rsidRPr="00744E41">
        <w:t>δημόσιου</w:t>
      </w:r>
      <w:r w:rsidRPr="00612EBA">
        <w:t xml:space="preserve"> χρέους</w:t>
      </w:r>
      <w:bookmarkEnd w:id="377"/>
    </w:p>
    <w:p w14:paraId="66FD60D9" w14:textId="77777777" w:rsidR="00C575BA" w:rsidRPr="00612EBA" w:rsidRDefault="00C575BA" w:rsidP="00FE4476">
      <w:pPr>
        <w:pStyle w:val="4"/>
      </w:pPr>
      <w:bookmarkStart w:id="378" w:name="_Toc114142044"/>
      <w:bookmarkStart w:id="379" w:name="_Toc114142307"/>
      <w:bookmarkStart w:id="380" w:name="_Toc114142382"/>
      <w:bookmarkStart w:id="381" w:name="_Toc114142430"/>
      <w:bookmarkStart w:id="382" w:name="_Toc114149887"/>
      <w:bookmarkStart w:id="383" w:name="_Toc114219175"/>
      <w:bookmarkStart w:id="384" w:name="_Toc114219351"/>
      <w:bookmarkStart w:id="385" w:name="_Toc114219400"/>
      <w:bookmarkStart w:id="386" w:name="_Toc114219883"/>
      <w:bookmarkStart w:id="387" w:name="_Toc114234876"/>
      <w:bookmarkStart w:id="388" w:name="_Toc114489546"/>
      <w:bookmarkStart w:id="389" w:name="_Toc114489633"/>
      <w:bookmarkStart w:id="390" w:name="_Toc114489721"/>
      <w:bookmarkStart w:id="391" w:name="_Toc115338192"/>
      <w:bookmarkStart w:id="392" w:name="_Toc115358171"/>
      <w:bookmarkStart w:id="393" w:name="_Toc115424399"/>
      <w:bookmarkStart w:id="394" w:name="_Toc115435265"/>
      <w:bookmarkStart w:id="395" w:name="_Toc115437999"/>
      <w:bookmarkStart w:id="396" w:name="_Toc115526163"/>
      <w:bookmarkStart w:id="397" w:name="_Toc146645082"/>
      <w:bookmarkStart w:id="398" w:name="_Toc146819110"/>
      <w:bookmarkStart w:id="399" w:name="_Toc147015749"/>
      <w:bookmarkStart w:id="400" w:name="_Toc178751237"/>
      <w:bookmarkStart w:id="401" w:name="_Toc114142045"/>
      <w:bookmarkStart w:id="402" w:name="_Toc114142308"/>
      <w:bookmarkStart w:id="403" w:name="_Toc114142383"/>
      <w:bookmarkStart w:id="404" w:name="_Toc114142431"/>
      <w:bookmarkStart w:id="405" w:name="_Toc114149888"/>
      <w:bookmarkStart w:id="406" w:name="_Toc114219176"/>
      <w:bookmarkStart w:id="407" w:name="_Toc114219352"/>
      <w:bookmarkStart w:id="408" w:name="_Toc114219401"/>
      <w:bookmarkStart w:id="409" w:name="_Toc114219884"/>
      <w:bookmarkStart w:id="410" w:name="_Toc114234877"/>
      <w:bookmarkStart w:id="411" w:name="_Toc114489547"/>
      <w:bookmarkStart w:id="412" w:name="_Toc114489634"/>
      <w:bookmarkStart w:id="413" w:name="_Toc114489722"/>
      <w:bookmarkStart w:id="414" w:name="_Toc115338193"/>
      <w:bookmarkStart w:id="415" w:name="_Toc115358172"/>
      <w:bookmarkStart w:id="416" w:name="_Toc115424400"/>
      <w:bookmarkStart w:id="417" w:name="_Toc115435266"/>
      <w:bookmarkStart w:id="418" w:name="_Toc115438000"/>
      <w:bookmarkStart w:id="419" w:name="_Toc115526164"/>
      <w:bookmarkStart w:id="420" w:name="_Toc146645083"/>
      <w:bookmarkStart w:id="421" w:name="_Toc146819111"/>
      <w:bookmarkStart w:id="422" w:name="_Toc147015750"/>
      <w:bookmarkStart w:id="423" w:name="_Toc178751238"/>
      <w:bookmarkStart w:id="424" w:name="_Toc114142046"/>
      <w:bookmarkStart w:id="425" w:name="_Toc114142309"/>
      <w:bookmarkStart w:id="426" w:name="_Toc114142384"/>
      <w:bookmarkStart w:id="427" w:name="_Toc114142432"/>
      <w:bookmarkStart w:id="428" w:name="_Toc114149889"/>
      <w:bookmarkStart w:id="429" w:name="_Toc114219177"/>
      <w:bookmarkStart w:id="430" w:name="_Toc114219353"/>
      <w:bookmarkStart w:id="431" w:name="_Toc114219402"/>
      <w:bookmarkStart w:id="432" w:name="_Toc114219885"/>
      <w:bookmarkStart w:id="433" w:name="_Toc114234878"/>
      <w:bookmarkStart w:id="434" w:name="_Toc114489548"/>
      <w:bookmarkStart w:id="435" w:name="_Toc114489635"/>
      <w:bookmarkStart w:id="436" w:name="_Toc114489723"/>
      <w:bookmarkStart w:id="437" w:name="_Toc115338194"/>
      <w:bookmarkStart w:id="438" w:name="_Toc115358173"/>
      <w:bookmarkStart w:id="439" w:name="_Toc115424401"/>
      <w:bookmarkStart w:id="440" w:name="_Toc115435267"/>
      <w:bookmarkStart w:id="441" w:name="_Toc115438001"/>
      <w:bookmarkStart w:id="442" w:name="_Toc115526165"/>
      <w:bookmarkStart w:id="443" w:name="_Toc146645084"/>
      <w:bookmarkStart w:id="444" w:name="_Toc146819112"/>
      <w:bookmarkStart w:id="445" w:name="_Toc147015751"/>
      <w:bookmarkStart w:id="446" w:name="_Toc178751239"/>
      <w:bookmarkStart w:id="447" w:name="_Toc114142047"/>
      <w:bookmarkStart w:id="448" w:name="_Toc114142310"/>
      <w:bookmarkStart w:id="449" w:name="_Toc114142385"/>
      <w:bookmarkStart w:id="450" w:name="_Toc114142433"/>
      <w:bookmarkStart w:id="451" w:name="_Toc114149890"/>
      <w:bookmarkStart w:id="452" w:name="_Toc114219178"/>
      <w:bookmarkStart w:id="453" w:name="_Toc114219354"/>
      <w:bookmarkStart w:id="454" w:name="_Toc114219403"/>
      <w:bookmarkStart w:id="455" w:name="_Toc114219886"/>
      <w:bookmarkStart w:id="456" w:name="_Toc114234879"/>
      <w:bookmarkStart w:id="457" w:name="_Toc114489549"/>
      <w:bookmarkStart w:id="458" w:name="_Toc114489636"/>
      <w:bookmarkStart w:id="459" w:name="_Toc114489724"/>
      <w:bookmarkStart w:id="460" w:name="_Toc115338195"/>
      <w:bookmarkStart w:id="461" w:name="_Toc115358174"/>
      <w:bookmarkStart w:id="462" w:name="_Toc115424402"/>
      <w:bookmarkStart w:id="463" w:name="_Toc115435268"/>
      <w:bookmarkStart w:id="464" w:name="_Toc115438002"/>
      <w:bookmarkStart w:id="465" w:name="_Toc115526166"/>
      <w:bookmarkStart w:id="466" w:name="_Toc146645085"/>
      <w:bookmarkStart w:id="467" w:name="_Toc146819113"/>
      <w:bookmarkStart w:id="468" w:name="_Toc147015752"/>
      <w:bookmarkStart w:id="469" w:name="_Toc178751240"/>
      <w:bookmarkStart w:id="470" w:name="_Toc114219887"/>
      <w:bookmarkStart w:id="471" w:name="_Toc114234880"/>
      <w:bookmarkStart w:id="472" w:name="_Toc114489550"/>
      <w:bookmarkStart w:id="473" w:name="_Toc114489637"/>
      <w:bookmarkStart w:id="474" w:name="_Toc114489725"/>
      <w:bookmarkStart w:id="475" w:name="_Toc115338196"/>
      <w:bookmarkStart w:id="476" w:name="_Toc115358175"/>
      <w:bookmarkStart w:id="477" w:name="_Toc115424403"/>
      <w:bookmarkStart w:id="478" w:name="_Toc115435269"/>
      <w:bookmarkStart w:id="479" w:name="_Toc115438003"/>
      <w:bookmarkStart w:id="480" w:name="_Toc115526167"/>
      <w:bookmarkStart w:id="481" w:name="_Toc146645086"/>
      <w:bookmarkStart w:id="482" w:name="_Toc146819114"/>
      <w:bookmarkStart w:id="483" w:name="_Toc147015753"/>
      <w:bookmarkStart w:id="484" w:name="_Toc178751241"/>
      <w:bookmarkStart w:id="485" w:name="_Toc114219888"/>
      <w:bookmarkStart w:id="486" w:name="_Toc114234881"/>
      <w:bookmarkStart w:id="487" w:name="_Toc114489551"/>
      <w:bookmarkStart w:id="488" w:name="_Toc114489638"/>
      <w:bookmarkStart w:id="489" w:name="_Toc114489726"/>
      <w:bookmarkStart w:id="490" w:name="_Toc115338197"/>
      <w:bookmarkStart w:id="491" w:name="_Toc115358176"/>
      <w:bookmarkStart w:id="492" w:name="_Toc115424404"/>
      <w:bookmarkStart w:id="493" w:name="_Toc115435270"/>
      <w:bookmarkStart w:id="494" w:name="_Toc115438004"/>
      <w:bookmarkStart w:id="495" w:name="_Toc115526168"/>
      <w:bookmarkStart w:id="496" w:name="_Toc146645087"/>
      <w:bookmarkStart w:id="497" w:name="_Toc146819115"/>
      <w:bookmarkStart w:id="498" w:name="_Toc147015754"/>
      <w:bookmarkStart w:id="499" w:name="_Toc178751242"/>
      <w:bookmarkStart w:id="500" w:name="_Toc114219889"/>
      <w:bookmarkStart w:id="501" w:name="_Toc114234882"/>
      <w:bookmarkStart w:id="502" w:name="_Toc114489552"/>
      <w:bookmarkStart w:id="503" w:name="_Toc114489639"/>
      <w:bookmarkStart w:id="504" w:name="_Toc114489727"/>
      <w:bookmarkStart w:id="505" w:name="_Toc115338198"/>
      <w:bookmarkStart w:id="506" w:name="_Toc115358177"/>
      <w:bookmarkStart w:id="507" w:name="_Toc115424405"/>
      <w:bookmarkStart w:id="508" w:name="_Toc115435271"/>
      <w:bookmarkStart w:id="509" w:name="_Toc115438005"/>
      <w:bookmarkStart w:id="510" w:name="_Toc115526169"/>
      <w:bookmarkStart w:id="511" w:name="_Toc146645088"/>
      <w:bookmarkStart w:id="512" w:name="_Toc146819116"/>
      <w:bookmarkStart w:id="513" w:name="_Toc147015755"/>
      <w:bookmarkStart w:id="514" w:name="_Toc178751243"/>
      <w:bookmarkStart w:id="515" w:name="_Toc114219890"/>
      <w:bookmarkStart w:id="516" w:name="_Toc114234883"/>
      <w:bookmarkStart w:id="517" w:name="_Toc114489553"/>
      <w:bookmarkStart w:id="518" w:name="_Toc114489640"/>
      <w:bookmarkStart w:id="519" w:name="_Toc114489728"/>
      <w:bookmarkStart w:id="520" w:name="_Toc115338199"/>
      <w:bookmarkStart w:id="521" w:name="_Toc115358178"/>
      <w:bookmarkStart w:id="522" w:name="_Toc115424406"/>
      <w:bookmarkStart w:id="523" w:name="_Toc115435272"/>
      <w:bookmarkStart w:id="524" w:name="_Toc115438006"/>
      <w:bookmarkStart w:id="525" w:name="_Toc115526170"/>
      <w:bookmarkStart w:id="526" w:name="_Toc146645089"/>
      <w:bookmarkStart w:id="527" w:name="_Toc146819117"/>
      <w:bookmarkStart w:id="528" w:name="_Toc147015756"/>
      <w:bookmarkStart w:id="529" w:name="_Toc178751244"/>
      <w:bookmarkStart w:id="530" w:name="_Toc115526171"/>
      <w:bookmarkStart w:id="531" w:name="_Toc146645090"/>
      <w:bookmarkStart w:id="532" w:name="_Toc146819118"/>
      <w:bookmarkStart w:id="533" w:name="_Toc147015757"/>
      <w:bookmarkStart w:id="534" w:name="_Toc178751245"/>
      <w:bookmarkStart w:id="535" w:name="_Toc115526172"/>
      <w:bookmarkStart w:id="536" w:name="_Toc146645091"/>
      <w:bookmarkStart w:id="537" w:name="_Toc146819119"/>
      <w:bookmarkStart w:id="538" w:name="_Toc147015758"/>
      <w:bookmarkStart w:id="539" w:name="_Toc178751246"/>
      <w:bookmarkStart w:id="540" w:name="_Toc21057069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612EBA">
        <w:t xml:space="preserve">Το χρέος της </w:t>
      </w:r>
      <w:r w:rsidR="00C26E20">
        <w:rPr>
          <w:lang w:val="el-GR"/>
        </w:rPr>
        <w:t xml:space="preserve">Κεντρικής </w:t>
      </w:r>
      <w:r w:rsidR="00604869">
        <w:rPr>
          <w:lang w:val="el-GR"/>
        </w:rPr>
        <w:t xml:space="preserve">Διοίκησης </w:t>
      </w:r>
      <w:r w:rsidR="00835E1C">
        <w:rPr>
          <w:lang w:val="el-GR"/>
        </w:rPr>
        <w:t xml:space="preserve">και της </w:t>
      </w:r>
      <w:r w:rsidRPr="00612EBA">
        <w:t>Γενικής Κυβέρνησης</w:t>
      </w:r>
      <w:bookmarkEnd w:id="540"/>
    </w:p>
    <w:p w14:paraId="48BB80BA" w14:textId="4419C797" w:rsidR="00F14049" w:rsidRDefault="00FE53B3" w:rsidP="002F4D9B">
      <w:r w:rsidRPr="00C84B8E">
        <w:t>Το χρέος της Γενικής Κυβέρνησης εκτιμάται ότι θα διαμορφωθεί σ</w:t>
      </w:r>
      <w:r w:rsidR="00927A42">
        <w:t xml:space="preserve">ε </w:t>
      </w:r>
      <w:r w:rsidRPr="00C84B8E">
        <w:t>3</w:t>
      </w:r>
      <w:r>
        <w:t>62</w:t>
      </w:r>
      <w:r w:rsidRPr="00C84B8E">
        <w:t>.</w:t>
      </w:r>
      <w:r>
        <w:t>8</w:t>
      </w:r>
      <w:r w:rsidRPr="00C84B8E">
        <w:t>00 εκατ. ευρώ ή 1</w:t>
      </w:r>
      <w:r>
        <w:t>45</w:t>
      </w:r>
      <w:r w:rsidRPr="00C84B8E">
        <w:t>,</w:t>
      </w:r>
      <w:r>
        <w:t>4</w:t>
      </w:r>
      <w:r w:rsidRPr="00C84B8E">
        <w:t>% ως ποσοστό του ΑΕΠ στο τέλος του 202</w:t>
      </w:r>
      <w:r>
        <w:t>5</w:t>
      </w:r>
      <w:r w:rsidRPr="00C84B8E">
        <w:t xml:space="preserve"> έναντι 3</w:t>
      </w:r>
      <w:r>
        <w:t>64</w:t>
      </w:r>
      <w:r w:rsidRPr="00C84B8E">
        <w:t>.</w:t>
      </w:r>
      <w:r>
        <w:t>885</w:t>
      </w:r>
      <w:r w:rsidRPr="00C84B8E">
        <w:t xml:space="preserve"> εκατ. ευρώ ή 1</w:t>
      </w:r>
      <w:r>
        <w:t>53</w:t>
      </w:r>
      <w:r w:rsidRPr="00C84B8E">
        <w:t>,</w:t>
      </w:r>
      <w:r>
        <w:t>6</w:t>
      </w:r>
      <w:r w:rsidRPr="00C84B8E">
        <w:t>% ως ποσοστό του ΑΕΠ το 202</w:t>
      </w:r>
      <w:r>
        <w:t>4</w:t>
      </w:r>
      <w:r w:rsidRPr="00C84B8E">
        <w:t xml:space="preserve">, παρουσιάζοντας μείωση κατά </w:t>
      </w:r>
      <w:r w:rsidRPr="007C78E5">
        <w:t>8</w:t>
      </w:r>
      <w:r w:rsidRPr="00C84B8E">
        <w:t>,</w:t>
      </w:r>
      <w:r w:rsidRPr="007C78E5">
        <w:t>2</w:t>
      </w:r>
      <w:r w:rsidRPr="00C84B8E">
        <w:t xml:space="preserve"> ποσοστιαίες μονάδες έναντι του 202</w:t>
      </w:r>
      <w:r>
        <w:t>4</w:t>
      </w:r>
      <w:r w:rsidRPr="00C84B8E">
        <w:t>. Το 202</w:t>
      </w:r>
      <w:r>
        <w:t>6</w:t>
      </w:r>
      <w:r w:rsidRPr="00C84B8E">
        <w:t xml:space="preserve"> το χρέος της </w:t>
      </w:r>
      <w:r w:rsidRPr="001B6A7C">
        <w:t>Γενικής Κυβέρνησης προβλέπεται ότι θα διαμορφωθεί σ</w:t>
      </w:r>
      <w:r w:rsidR="00927A42">
        <w:t xml:space="preserve">ε </w:t>
      </w:r>
      <w:r w:rsidRPr="001B6A7C">
        <w:t>3</w:t>
      </w:r>
      <w:r>
        <w:t>59</w:t>
      </w:r>
      <w:r w:rsidRPr="001B6A7C">
        <w:t>.</w:t>
      </w:r>
      <w:r>
        <w:t>0</w:t>
      </w:r>
      <w:r w:rsidRPr="001B6A7C">
        <w:t>00 εκατ. ευρώ ή 1</w:t>
      </w:r>
      <w:r>
        <w:t>37</w:t>
      </w:r>
      <w:r w:rsidRPr="001B6A7C">
        <w:t>,</w:t>
      </w:r>
      <w:r>
        <w:t>6</w:t>
      </w:r>
      <w:r w:rsidRPr="001B6A7C">
        <w:t xml:space="preserve">% ως ποσοστό του ΑΕΠ, παρουσιάζοντας μείωση κατά </w:t>
      </w:r>
      <w:r>
        <w:t>7</w:t>
      </w:r>
      <w:r w:rsidRPr="001B6A7C">
        <w:t>,</w:t>
      </w:r>
      <w:r>
        <w:t>8</w:t>
      </w:r>
      <w:r w:rsidRPr="001B6A7C">
        <w:t xml:space="preserve"> ποσοστιαίες μονάδες του ΑΕΠ έναντι του 202</w:t>
      </w:r>
      <w:r>
        <w:t>5</w:t>
      </w:r>
      <w:r w:rsidRPr="001B6A7C">
        <w:t xml:space="preserve"> </w:t>
      </w:r>
      <w:r w:rsidR="00C1556C" w:rsidRPr="0090691C">
        <w:t>(</w:t>
      </w:r>
      <w:r w:rsidR="00C1556C" w:rsidRPr="0090691C">
        <w:fldChar w:fldCharType="begin"/>
      </w:r>
      <w:r w:rsidR="00C1556C" w:rsidRPr="0090691C">
        <w:instrText xml:space="preserve"> REF _Ref178696263 \h  \* MERGEFORMAT </w:instrText>
      </w:r>
      <w:r w:rsidR="00C1556C" w:rsidRPr="0090691C">
        <w:fldChar w:fldCharType="separate"/>
      </w:r>
      <w:r w:rsidR="00C42930" w:rsidRPr="00C42930">
        <w:t>Πίνακας 3.1</w:t>
      </w:r>
      <w:r w:rsidR="00C1556C" w:rsidRPr="0090691C">
        <w:fldChar w:fldCharType="end"/>
      </w:r>
      <w:r w:rsidRPr="0090691C">
        <w:t>.</w:t>
      </w:r>
      <w:r w:rsidR="00C1556C" w:rsidRPr="0090691C">
        <w:t>).</w:t>
      </w:r>
    </w:p>
    <w:p w14:paraId="5771288E" w14:textId="77777777" w:rsidR="002F4D9B" w:rsidRPr="00C84B8E" w:rsidRDefault="002F4D9B" w:rsidP="002F4D9B">
      <w:pPr>
        <w:spacing w:before="120" w:after="240"/>
      </w:pPr>
      <w:r w:rsidRPr="00C84B8E">
        <w:t>Το χρέος της Κεντρικής Διοίκησης εκτιμάται ότι θα διαμορφωθεί σ</w:t>
      </w:r>
      <w:r>
        <w:t>ε</w:t>
      </w:r>
      <w:r w:rsidRPr="00C84B8E">
        <w:t xml:space="preserve"> </w:t>
      </w:r>
      <w:r>
        <w:t>398</w:t>
      </w:r>
      <w:r w:rsidRPr="00C84B8E">
        <w:t>.</w:t>
      </w:r>
      <w:r>
        <w:t>4</w:t>
      </w:r>
      <w:r w:rsidRPr="00C84B8E">
        <w:t>00 εκατ. ευρώ ή 1</w:t>
      </w:r>
      <w:r>
        <w:t>59</w:t>
      </w:r>
      <w:r w:rsidRPr="00C84B8E">
        <w:t>,</w:t>
      </w:r>
      <w:r>
        <w:t>6</w:t>
      </w:r>
      <w:r w:rsidRPr="00C84B8E">
        <w:t>% ως ποσοστό του ΑΕΠ στο τέλος του 202</w:t>
      </w:r>
      <w:r>
        <w:t>5</w:t>
      </w:r>
      <w:r w:rsidRPr="00C84B8E">
        <w:t xml:space="preserve"> έναντι 40</w:t>
      </w:r>
      <w:r>
        <w:t>3</w:t>
      </w:r>
      <w:r w:rsidRPr="00C84B8E">
        <w:t>.</w:t>
      </w:r>
      <w:r>
        <w:t>861</w:t>
      </w:r>
      <w:r w:rsidRPr="00C84B8E">
        <w:t xml:space="preserve"> εκατ. ευρώ ή 1</w:t>
      </w:r>
      <w:r>
        <w:t>70</w:t>
      </w:r>
      <w:r w:rsidRPr="00C84B8E">
        <w:t>,</w:t>
      </w:r>
      <w:r>
        <w:t>0</w:t>
      </w:r>
      <w:r w:rsidRPr="00C84B8E">
        <w:t>% ως ποσοστό του ΑΕΠ το 202</w:t>
      </w:r>
      <w:r>
        <w:t>4</w:t>
      </w:r>
      <w:r w:rsidRPr="00C84B8E">
        <w:t xml:space="preserve">, παρουσιάζοντας μείωση κατά </w:t>
      </w:r>
      <w:r>
        <w:t>1</w:t>
      </w:r>
      <w:r w:rsidRPr="001C023C">
        <w:t>0</w:t>
      </w:r>
      <w:r w:rsidRPr="00C84B8E">
        <w:t>,</w:t>
      </w:r>
      <w:r>
        <w:t>4</w:t>
      </w:r>
      <w:r w:rsidRPr="00C84B8E">
        <w:t xml:space="preserve"> ποσοστιαίες μονάδες έναντι του 202</w:t>
      </w:r>
      <w:r>
        <w:t>4</w:t>
      </w:r>
      <w:r w:rsidRPr="00C84B8E">
        <w:t>.</w:t>
      </w:r>
      <w:r>
        <w:t xml:space="preserve"> </w:t>
      </w:r>
      <w:r w:rsidRPr="00C84B8E">
        <w:t>Το 202</w:t>
      </w:r>
      <w:r>
        <w:t>6</w:t>
      </w:r>
      <w:r w:rsidRPr="00C84B8E">
        <w:t xml:space="preserve"> το ύψος του χρέους της Κεντρικής Διοίκησης προβλέπεται ότι θα διαμορφωθεί σ</w:t>
      </w:r>
      <w:r>
        <w:t>ε</w:t>
      </w:r>
      <w:r w:rsidRPr="00C84B8E">
        <w:t xml:space="preserve"> </w:t>
      </w:r>
      <w:r>
        <w:t>394</w:t>
      </w:r>
      <w:r w:rsidRPr="00C84B8E">
        <w:t>.</w:t>
      </w:r>
      <w:r>
        <w:t>6</w:t>
      </w:r>
      <w:r w:rsidRPr="00C84B8E">
        <w:t>00 εκατ. ευρώ ή 1</w:t>
      </w:r>
      <w:r>
        <w:t>51</w:t>
      </w:r>
      <w:r w:rsidRPr="00C84B8E">
        <w:t>,</w:t>
      </w:r>
      <w:r>
        <w:t>2</w:t>
      </w:r>
      <w:r w:rsidRPr="00C84B8E">
        <w:t xml:space="preserve">% ως ποσοστό του ΑΕΠ, παρουσιάζοντας μείωση κατά </w:t>
      </w:r>
      <w:r>
        <w:t>8</w:t>
      </w:r>
      <w:r w:rsidRPr="00C84B8E">
        <w:t>,</w:t>
      </w:r>
      <w:r>
        <w:t>4</w:t>
      </w:r>
      <w:r w:rsidRPr="00C84B8E">
        <w:t xml:space="preserve"> ποσοστιαίες μονάδες έναντι του 202</w:t>
      </w:r>
      <w:r>
        <w:t>5</w:t>
      </w:r>
      <w:r w:rsidRPr="00C84B8E">
        <w:t>.</w:t>
      </w:r>
    </w:p>
    <w:tbl>
      <w:tblPr>
        <w:tblW w:w="8499"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ook w:val="04A0" w:firstRow="1" w:lastRow="0" w:firstColumn="1" w:lastColumn="0" w:noHBand="0" w:noVBand="1"/>
      </w:tblPr>
      <w:tblGrid>
        <w:gridCol w:w="3495"/>
        <w:gridCol w:w="835"/>
        <w:gridCol w:w="835"/>
        <w:gridCol w:w="835"/>
        <w:gridCol w:w="835"/>
        <w:gridCol w:w="835"/>
        <w:gridCol w:w="829"/>
      </w:tblGrid>
      <w:tr w:rsidR="00EC6BE6" w:rsidRPr="00C41AD3" w14:paraId="54774964" w14:textId="77777777" w:rsidTr="0090691C">
        <w:trPr>
          <w:trHeight w:val="567"/>
          <w:jc w:val="center"/>
        </w:trPr>
        <w:tc>
          <w:tcPr>
            <w:tcW w:w="8499" w:type="dxa"/>
            <w:gridSpan w:val="7"/>
            <w:tcBorders>
              <w:top w:val="single" w:sz="2" w:space="0" w:color="808080" w:themeColor="background1" w:themeShade="80"/>
              <w:bottom w:val="nil"/>
            </w:tcBorders>
            <w:shd w:val="clear" w:color="auto" w:fill="D5DCE4"/>
            <w:noWrap/>
            <w:vAlign w:val="center"/>
            <w:hideMark/>
          </w:tcPr>
          <w:p w14:paraId="5C4637FC" w14:textId="1D7723D0" w:rsidR="00EC6BE6" w:rsidRPr="00C41AD3" w:rsidRDefault="00C1556C" w:rsidP="0095207B">
            <w:pPr>
              <w:spacing w:after="0" w:line="276" w:lineRule="auto"/>
              <w:jc w:val="center"/>
              <w:rPr>
                <w:rFonts w:cs="Arial"/>
                <w:b/>
                <w:bCs/>
                <w:sz w:val="18"/>
                <w:szCs w:val="18"/>
              </w:rPr>
            </w:pPr>
            <w:bookmarkStart w:id="541" w:name="_Ref178696263"/>
            <w:bookmarkStart w:id="542" w:name="_Ref146821385"/>
            <w:bookmarkStart w:id="543" w:name="_Toc210570901"/>
            <w:r w:rsidRPr="00C1556C">
              <w:rPr>
                <w:b/>
                <w:sz w:val="18"/>
                <w:szCs w:val="18"/>
              </w:rPr>
              <w:t>Πίνακας 3.</w:t>
            </w:r>
            <w:r w:rsidRPr="00C1556C">
              <w:rPr>
                <w:b/>
                <w:sz w:val="18"/>
                <w:szCs w:val="18"/>
              </w:rPr>
              <w:fldChar w:fldCharType="begin"/>
            </w:r>
            <w:r w:rsidRPr="00C1556C">
              <w:rPr>
                <w:b/>
                <w:sz w:val="18"/>
                <w:szCs w:val="18"/>
              </w:rPr>
              <w:instrText xml:space="preserve"> SEQ Πίνακας_3. \* ARABIC </w:instrText>
            </w:r>
            <w:r w:rsidRPr="00C1556C">
              <w:rPr>
                <w:b/>
                <w:sz w:val="18"/>
                <w:szCs w:val="18"/>
              </w:rPr>
              <w:fldChar w:fldCharType="separate"/>
            </w:r>
            <w:r w:rsidR="00C42930">
              <w:rPr>
                <w:b/>
                <w:noProof/>
                <w:sz w:val="18"/>
                <w:szCs w:val="18"/>
              </w:rPr>
              <w:t>1</w:t>
            </w:r>
            <w:r w:rsidRPr="00C1556C">
              <w:rPr>
                <w:b/>
                <w:sz w:val="18"/>
                <w:szCs w:val="18"/>
              </w:rPr>
              <w:fldChar w:fldCharType="end"/>
            </w:r>
            <w:bookmarkEnd w:id="541"/>
            <w:r w:rsidR="00C65368" w:rsidRPr="00C1556C">
              <w:rPr>
                <w:rFonts w:cs="Arial"/>
                <w:b/>
                <w:bCs/>
                <w:sz w:val="18"/>
                <w:szCs w:val="18"/>
              </w:rPr>
              <w:t>.</w:t>
            </w:r>
            <w:bookmarkEnd w:id="542"/>
            <w:r w:rsidR="00722859" w:rsidRPr="00C1556C">
              <w:rPr>
                <w:rFonts w:cs="Arial"/>
                <w:b/>
                <w:bCs/>
                <w:sz w:val="18"/>
                <w:szCs w:val="18"/>
              </w:rPr>
              <w:t>:</w:t>
            </w:r>
            <w:r w:rsidR="00722859" w:rsidRPr="00C41AD3">
              <w:rPr>
                <w:rFonts w:cs="Arial"/>
                <w:b/>
                <w:bCs/>
                <w:sz w:val="18"/>
                <w:szCs w:val="18"/>
              </w:rPr>
              <w:t xml:space="preserve"> </w:t>
            </w:r>
            <w:r w:rsidR="00EC6BE6" w:rsidRPr="00C41AD3">
              <w:rPr>
                <w:rFonts w:cs="Arial"/>
                <w:b/>
                <w:bCs/>
                <w:sz w:val="18"/>
                <w:szCs w:val="18"/>
              </w:rPr>
              <w:t>Σύνθεση δημόσιου χρέους</w:t>
            </w:r>
            <w:bookmarkEnd w:id="543"/>
          </w:p>
          <w:p w14:paraId="0CDEA547" w14:textId="77777777" w:rsidR="00EC6BE6" w:rsidRPr="00C41AD3" w:rsidRDefault="00EC6BE6" w:rsidP="0095207B">
            <w:pPr>
              <w:spacing w:after="0" w:line="276" w:lineRule="auto"/>
              <w:jc w:val="center"/>
              <w:rPr>
                <w:rFonts w:ascii="Arial Narrow" w:hAnsi="Arial Narrow" w:cs="Arial"/>
                <w:b/>
                <w:bCs/>
                <w:szCs w:val="20"/>
              </w:rPr>
            </w:pPr>
            <w:r w:rsidRPr="00C41AD3">
              <w:rPr>
                <w:rFonts w:cs="Arial"/>
                <w:b/>
                <w:bCs/>
                <w:sz w:val="18"/>
                <w:szCs w:val="18"/>
              </w:rPr>
              <w:t>(σε εκατ. ευρώ)</w:t>
            </w:r>
          </w:p>
        </w:tc>
      </w:tr>
      <w:tr w:rsidR="00EC6BE6" w:rsidRPr="00C41AD3" w14:paraId="2118BE29" w14:textId="77777777" w:rsidTr="00D355D7">
        <w:trPr>
          <w:trHeight w:val="230"/>
          <w:jc w:val="center"/>
        </w:trPr>
        <w:tc>
          <w:tcPr>
            <w:tcW w:w="3495" w:type="dxa"/>
            <w:vMerge w:val="restart"/>
            <w:tcBorders>
              <w:top w:val="nil"/>
              <w:bottom w:val="nil"/>
            </w:tcBorders>
            <w:shd w:val="clear" w:color="auto" w:fill="F2F2F2" w:themeFill="background1" w:themeFillShade="F2"/>
            <w:noWrap/>
            <w:vAlign w:val="center"/>
            <w:hideMark/>
          </w:tcPr>
          <w:p w14:paraId="7F476ECB" w14:textId="77777777" w:rsidR="00EC6BE6" w:rsidRPr="00C41AD3" w:rsidRDefault="00EC6BE6" w:rsidP="00E3214A">
            <w:pPr>
              <w:spacing w:after="0" w:line="240" w:lineRule="auto"/>
              <w:jc w:val="center"/>
              <w:rPr>
                <w:rFonts w:cs="Arial"/>
                <w:sz w:val="16"/>
                <w:szCs w:val="16"/>
              </w:rPr>
            </w:pPr>
          </w:p>
        </w:tc>
        <w:tc>
          <w:tcPr>
            <w:tcW w:w="835" w:type="dxa"/>
            <w:vMerge w:val="restart"/>
            <w:tcBorders>
              <w:top w:val="nil"/>
              <w:bottom w:val="nil"/>
            </w:tcBorders>
            <w:shd w:val="clear" w:color="auto" w:fill="F2F2F2" w:themeFill="background1" w:themeFillShade="F2"/>
            <w:vAlign w:val="center"/>
            <w:hideMark/>
          </w:tcPr>
          <w:p w14:paraId="72727068" w14:textId="77777777" w:rsidR="00EC6BE6" w:rsidRPr="006C2C99" w:rsidRDefault="008927CE" w:rsidP="00E3214A">
            <w:pPr>
              <w:spacing w:after="0" w:line="240" w:lineRule="auto"/>
              <w:jc w:val="center"/>
              <w:rPr>
                <w:rFonts w:cs="Arial"/>
                <w:b/>
                <w:bCs/>
                <w:sz w:val="18"/>
                <w:szCs w:val="18"/>
              </w:rPr>
            </w:pPr>
            <w:r w:rsidRPr="006C2C99">
              <w:rPr>
                <w:rFonts w:cs="Arial"/>
                <w:b/>
                <w:bCs/>
                <w:sz w:val="18"/>
                <w:szCs w:val="18"/>
              </w:rPr>
              <w:t>202</w:t>
            </w:r>
            <w:r w:rsidR="00FE53B3">
              <w:rPr>
                <w:rFonts w:cs="Arial"/>
                <w:b/>
                <w:bCs/>
                <w:sz w:val="18"/>
                <w:szCs w:val="18"/>
              </w:rPr>
              <w:t>1</w:t>
            </w:r>
          </w:p>
        </w:tc>
        <w:tc>
          <w:tcPr>
            <w:tcW w:w="835" w:type="dxa"/>
            <w:vMerge w:val="restart"/>
            <w:tcBorders>
              <w:top w:val="nil"/>
              <w:bottom w:val="nil"/>
            </w:tcBorders>
            <w:shd w:val="clear" w:color="auto" w:fill="F2F2F2" w:themeFill="background1" w:themeFillShade="F2"/>
            <w:vAlign w:val="center"/>
            <w:hideMark/>
          </w:tcPr>
          <w:p w14:paraId="2B4F3FFE" w14:textId="77777777" w:rsidR="00EC6BE6" w:rsidRPr="006C2C99" w:rsidRDefault="00FE53B3" w:rsidP="00E3214A">
            <w:pPr>
              <w:spacing w:after="0" w:line="240" w:lineRule="auto"/>
              <w:jc w:val="center"/>
              <w:rPr>
                <w:rFonts w:cs="Arial"/>
                <w:b/>
                <w:bCs/>
                <w:sz w:val="18"/>
                <w:szCs w:val="18"/>
              </w:rPr>
            </w:pPr>
            <w:r>
              <w:rPr>
                <w:rFonts w:cs="Arial"/>
                <w:b/>
                <w:bCs/>
                <w:sz w:val="18"/>
                <w:szCs w:val="18"/>
              </w:rPr>
              <w:t>2022</w:t>
            </w:r>
          </w:p>
        </w:tc>
        <w:tc>
          <w:tcPr>
            <w:tcW w:w="835" w:type="dxa"/>
            <w:vMerge w:val="restart"/>
            <w:tcBorders>
              <w:top w:val="nil"/>
              <w:bottom w:val="nil"/>
            </w:tcBorders>
            <w:shd w:val="clear" w:color="auto" w:fill="F2F2F2" w:themeFill="background1" w:themeFillShade="F2"/>
            <w:vAlign w:val="center"/>
            <w:hideMark/>
          </w:tcPr>
          <w:p w14:paraId="1A56B0A4" w14:textId="77777777" w:rsidR="00EC6BE6" w:rsidRPr="006C2C99" w:rsidRDefault="00FE53B3" w:rsidP="00E3214A">
            <w:pPr>
              <w:spacing w:after="0" w:line="240" w:lineRule="auto"/>
              <w:jc w:val="center"/>
              <w:rPr>
                <w:rFonts w:cs="Arial"/>
                <w:b/>
                <w:bCs/>
                <w:sz w:val="18"/>
                <w:szCs w:val="18"/>
              </w:rPr>
            </w:pPr>
            <w:r>
              <w:rPr>
                <w:rFonts w:cs="Arial"/>
                <w:b/>
                <w:bCs/>
                <w:sz w:val="18"/>
                <w:szCs w:val="18"/>
              </w:rPr>
              <w:t>2023</w:t>
            </w:r>
          </w:p>
        </w:tc>
        <w:tc>
          <w:tcPr>
            <w:tcW w:w="835" w:type="dxa"/>
            <w:vMerge w:val="restart"/>
            <w:tcBorders>
              <w:top w:val="nil"/>
              <w:bottom w:val="nil"/>
            </w:tcBorders>
            <w:shd w:val="clear" w:color="auto" w:fill="F2F2F2" w:themeFill="background1" w:themeFillShade="F2"/>
            <w:vAlign w:val="center"/>
            <w:hideMark/>
          </w:tcPr>
          <w:p w14:paraId="0AC3545B" w14:textId="77777777" w:rsidR="00EC6BE6" w:rsidRPr="006C2C99" w:rsidRDefault="00FE53B3" w:rsidP="00E3214A">
            <w:pPr>
              <w:spacing w:after="0" w:line="240" w:lineRule="auto"/>
              <w:jc w:val="center"/>
              <w:rPr>
                <w:rFonts w:cs="Arial"/>
                <w:b/>
                <w:bCs/>
                <w:sz w:val="18"/>
                <w:szCs w:val="18"/>
              </w:rPr>
            </w:pPr>
            <w:r>
              <w:rPr>
                <w:rFonts w:cs="Arial"/>
                <w:b/>
                <w:bCs/>
                <w:sz w:val="18"/>
                <w:szCs w:val="18"/>
              </w:rPr>
              <w:t>2024</w:t>
            </w:r>
          </w:p>
        </w:tc>
        <w:tc>
          <w:tcPr>
            <w:tcW w:w="835" w:type="dxa"/>
            <w:vMerge w:val="restart"/>
            <w:tcBorders>
              <w:top w:val="nil"/>
              <w:bottom w:val="nil"/>
            </w:tcBorders>
            <w:shd w:val="clear" w:color="auto" w:fill="F2F2F2" w:themeFill="background1" w:themeFillShade="F2"/>
            <w:vAlign w:val="center"/>
            <w:hideMark/>
          </w:tcPr>
          <w:p w14:paraId="0287D332" w14:textId="77777777" w:rsidR="00EC6BE6" w:rsidRPr="006C2C99" w:rsidRDefault="00EC6BE6" w:rsidP="00E3214A">
            <w:pPr>
              <w:spacing w:after="0" w:line="240" w:lineRule="auto"/>
              <w:jc w:val="center"/>
              <w:rPr>
                <w:rFonts w:cs="Arial"/>
                <w:b/>
                <w:bCs/>
                <w:sz w:val="18"/>
                <w:szCs w:val="18"/>
              </w:rPr>
            </w:pPr>
            <w:r w:rsidRPr="006C2C99">
              <w:rPr>
                <w:rFonts w:cs="Arial"/>
                <w:b/>
                <w:bCs/>
                <w:sz w:val="18"/>
                <w:szCs w:val="18"/>
              </w:rPr>
              <w:t>202</w:t>
            </w:r>
            <w:r w:rsidR="00451AF5">
              <w:rPr>
                <w:rFonts w:cs="Arial"/>
                <w:b/>
                <w:bCs/>
                <w:sz w:val="18"/>
                <w:szCs w:val="18"/>
              </w:rPr>
              <w:t>5</w:t>
            </w:r>
            <w:r w:rsidRPr="006C2C99">
              <w:rPr>
                <w:rFonts w:cs="Arial"/>
                <w:b/>
                <w:bCs/>
                <w:sz w:val="18"/>
                <w:szCs w:val="18"/>
              </w:rPr>
              <w:t>*</w:t>
            </w:r>
          </w:p>
        </w:tc>
        <w:tc>
          <w:tcPr>
            <w:tcW w:w="829" w:type="dxa"/>
            <w:vMerge w:val="restart"/>
            <w:tcBorders>
              <w:top w:val="nil"/>
              <w:bottom w:val="nil"/>
            </w:tcBorders>
            <w:shd w:val="clear" w:color="auto" w:fill="F2F2F2" w:themeFill="background1" w:themeFillShade="F2"/>
            <w:vAlign w:val="center"/>
            <w:hideMark/>
          </w:tcPr>
          <w:p w14:paraId="2FBDD81E" w14:textId="77777777" w:rsidR="00EC6BE6" w:rsidRPr="006C2C99" w:rsidRDefault="00EC6BE6" w:rsidP="00E3214A">
            <w:pPr>
              <w:spacing w:after="0" w:line="240" w:lineRule="auto"/>
              <w:jc w:val="center"/>
              <w:rPr>
                <w:rFonts w:cs="Arial"/>
                <w:b/>
                <w:bCs/>
                <w:sz w:val="18"/>
                <w:szCs w:val="18"/>
                <w:lang w:val="en-US"/>
              </w:rPr>
            </w:pPr>
            <w:r w:rsidRPr="006C2C99">
              <w:rPr>
                <w:rFonts w:cs="Arial"/>
                <w:b/>
                <w:bCs/>
                <w:sz w:val="18"/>
                <w:szCs w:val="18"/>
              </w:rPr>
              <w:t>202</w:t>
            </w:r>
            <w:r w:rsidR="00451AF5">
              <w:rPr>
                <w:rFonts w:cs="Arial"/>
                <w:b/>
                <w:bCs/>
                <w:sz w:val="18"/>
                <w:szCs w:val="18"/>
              </w:rPr>
              <w:t>6</w:t>
            </w:r>
            <w:r w:rsidRPr="006C2C99">
              <w:rPr>
                <w:rFonts w:cs="Arial"/>
                <w:b/>
                <w:bCs/>
                <w:sz w:val="18"/>
                <w:szCs w:val="18"/>
              </w:rPr>
              <w:t>*</w:t>
            </w:r>
            <w:r w:rsidR="00DA215C" w:rsidRPr="006C2C99">
              <w:rPr>
                <w:rFonts w:cs="Arial"/>
                <w:b/>
                <w:bCs/>
                <w:sz w:val="18"/>
                <w:szCs w:val="18"/>
                <w:lang w:val="en-US"/>
              </w:rPr>
              <w:t>*</w:t>
            </w:r>
          </w:p>
        </w:tc>
      </w:tr>
      <w:tr w:rsidR="00EC6BE6" w:rsidRPr="00C41AD3" w14:paraId="0D4844D2" w14:textId="77777777" w:rsidTr="00B87393">
        <w:trPr>
          <w:trHeight w:val="230"/>
          <w:jc w:val="center"/>
        </w:trPr>
        <w:tc>
          <w:tcPr>
            <w:tcW w:w="3495" w:type="dxa"/>
            <w:vMerge/>
            <w:tcBorders>
              <w:top w:val="nil"/>
              <w:bottom w:val="nil"/>
            </w:tcBorders>
            <w:shd w:val="clear" w:color="auto" w:fill="F2F2F2" w:themeFill="background1" w:themeFillShade="F2"/>
            <w:vAlign w:val="center"/>
            <w:hideMark/>
          </w:tcPr>
          <w:p w14:paraId="4D43EB68" w14:textId="77777777" w:rsidR="00EC6BE6" w:rsidRPr="00C41AD3" w:rsidRDefault="00EC6BE6" w:rsidP="0095207B">
            <w:pPr>
              <w:spacing w:after="0" w:line="276" w:lineRule="auto"/>
              <w:jc w:val="left"/>
              <w:rPr>
                <w:rFonts w:cs="Arial"/>
                <w:sz w:val="16"/>
                <w:szCs w:val="16"/>
              </w:rPr>
            </w:pPr>
          </w:p>
        </w:tc>
        <w:tc>
          <w:tcPr>
            <w:tcW w:w="835" w:type="dxa"/>
            <w:vMerge/>
            <w:tcBorders>
              <w:top w:val="nil"/>
              <w:bottom w:val="nil"/>
            </w:tcBorders>
            <w:shd w:val="clear" w:color="auto" w:fill="F2F2F2" w:themeFill="background1" w:themeFillShade="F2"/>
            <w:vAlign w:val="center"/>
            <w:hideMark/>
          </w:tcPr>
          <w:p w14:paraId="41AADDAE" w14:textId="77777777" w:rsidR="00EC6BE6" w:rsidRPr="00C41AD3" w:rsidRDefault="00EC6BE6" w:rsidP="0095207B">
            <w:pPr>
              <w:spacing w:after="0" w:line="276" w:lineRule="auto"/>
              <w:jc w:val="left"/>
              <w:rPr>
                <w:rFonts w:cs="Arial"/>
                <w:b/>
                <w:bCs/>
                <w:sz w:val="16"/>
                <w:szCs w:val="16"/>
              </w:rPr>
            </w:pPr>
          </w:p>
        </w:tc>
        <w:tc>
          <w:tcPr>
            <w:tcW w:w="835" w:type="dxa"/>
            <w:vMerge/>
            <w:tcBorders>
              <w:top w:val="nil"/>
              <w:bottom w:val="nil"/>
            </w:tcBorders>
            <w:shd w:val="clear" w:color="auto" w:fill="F2F2F2" w:themeFill="background1" w:themeFillShade="F2"/>
            <w:vAlign w:val="center"/>
            <w:hideMark/>
          </w:tcPr>
          <w:p w14:paraId="53074170" w14:textId="77777777" w:rsidR="00EC6BE6" w:rsidRPr="00C41AD3" w:rsidRDefault="00EC6BE6" w:rsidP="0095207B">
            <w:pPr>
              <w:spacing w:after="0" w:line="276" w:lineRule="auto"/>
              <w:jc w:val="left"/>
              <w:rPr>
                <w:rFonts w:cs="Arial"/>
                <w:b/>
                <w:bCs/>
                <w:sz w:val="16"/>
                <w:szCs w:val="16"/>
              </w:rPr>
            </w:pPr>
          </w:p>
        </w:tc>
        <w:tc>
          <w:tcPr>
            <w:tcW w:w="835" w:type="dxa"/>
            <w:vMerge/>
            <w:tcBorders>
              <w:top w:val="nil"/>
              <w:bottom w:val="nil"/>
            </w:tcBorders>
            <w:shd w:val="clear" w:color="auto" w:fill="F2F2F2" w:themeFill="background1" w:themeFillShade="F2"/>
            <w:vAlign w:val="center"/>
            <w:hideMark/>
          </w:tcPr>
          <w:p w14:paraId="58664EBC" w14:textId="77777777" w:rsidR="00EC6BE6" w:rsidRPr="00C41AD3" w:rsidRDefault="00EC6BE6" w:rsidP="0095207B">
            <w:pPr>
              <w:spacing w:after="0" w:line="276" w:lineRule="auto"/>
              <w:jc w:val="left"/>
              <w:rPr>
                <w:rFonts w:cs="Arial"/>
                <w:b/>
                <w:bCs/>
                <w:sz w:val="16"/>
                <w:szCs w:val="16"/>
              </w:rPr>
            </w:pPr>
          </w:p>
        </w:tc>
        <w:tc>
          <w:tcPr>
            <w:tcW w:w="835" w:type="dxa"/>
            <w:vMerge/>
            <w:tcBorders>
              <w:top w:val="nil"/>
              <w:bottom w:val="nil"/>
            </w:tcBorders>
            <w:shd w:val="clear" w:color="auto" w:fill="F2F2F2" w:themeFill="background1" w:themeFillShade="F2"/>
            <w:vAlign w:val="center"/>
            <w:hideMark/>
          </w:tcPr>
          <w:p w14:paraId="67E77576" w14:textId="77777777" w:rsidR="00EC6BE6" w:rsidRPr="00C41AD3" w:rsidRDefault="00EC6BE6" w:rsidP="0095207B">
            <w:pPr>
              <w:spacing w:after="0" w:line="276" w:lineRule="auto"/>
              <w:jc w:val="left"/>
              <w:rPr>
                <w:rFonts w:cs="Arial"/>
                <w:b/>
                <w:bCs/>
                <w:sz w:val="16"/>
                <w:szCs w:val="16"/>
              </w:rPr>
            </w:pPr>
          </w:p>
        </w:tc>
        <w:tc>
          <w:tcPr>
            <w:tcW w:w="835" w:type="dxa"/>
            <w:vMerge/>
            <w:tcBorders>
              <w:top w:val="nil"/>
              <w:bottom w:val="nil"/>
            </w:tcBorders>
            <w:shd w:val="clear" w:color="auto" w:fill="F2F2F2" w:themeFill="background1" w:themeFillShade="F2"/>
            <w:vAlign w:val="center"/>
            <w:hideMark/>
          </w:tcPr>
          <w:p w14:paraId="359210AD" w14:textId="77777777" w:rsidR="00EC6BE6" w:rsidRPr="00C41AD3" w:rsidRDefault="00EC6BE6" w:rsidP="0095207B">
            <w:pPr>
              <w:spacing w:after="0" w:line="276" w:lineRule="auto"/>
              <w:jc w:val="left"/>
              <w:rPr>
                <w:rFonts w:cs="Arial"/>
                <w:b/>
                <w:bCs/>
                <w:sz w:val="16"/>
                <w:szCs w:val="16"/>
              </w:rPr>
            </w:pPr>
          </w:p>
        </w:tc>
        <w:tc>
          <w:tcPr>
            <w:tcW w:w="829" w:type="dxa"/>
            <w:vMerge/>
            <w:tcBorders>
              <w:top w:val="nil"/>
              <w:bottom w:val="nil"/>
            </w:tcBorders>
            <w:shd w:val="clear" w:color="auto" w:fill="F2F2F2" w:themeFill="background1" w:themeFillShade="F2"/>
            <w:vAlign w:val="center"/>
            <w:hideMark/>
          </w:tcPr>
          <w:p w14:paraId="3F968A66" w14:textId="77777777" w:rsidR="00EC6BE6" w:rsidRPr="00C41AD3" w:rsidRDefault="00EC6BE6" w:rsidP="0095207B">
            <w:pPr>
              <w:spacing w:after="0" w:line="276" w:lineRule="auto"/>
              <w:jc w:val="left"/>
              <w:rPr>
                <w:rFonts w:cs="Arial"/>
                <w:b/>
                <w:bCs/>
                <w:sz w:val="16"/>
                <w:szCs w:val="16"/>
              </w:rPr>
            </w:pPr>
          </w:p>
        </w:tc>
      </w:tr>
      <w:tr w:rsidR="00451AF5" w:rsidRPr="00C41AD3" w14:paraId="58DF6AB8" w14:textId="77777777" w:rsidTr="00B87393">
        <w:trPr>
          <w:trHeight w:val="260"/>
          <w:jc w:val="center"/>
        </w:trPr>
        <w:tc>
          <w:tcPr>
            <w:tcW w:w="3495" w:type="dxa"/>
            <w:tcBorders>
              <w:top w:val="nil"/>
              <w:bottom w:val="nil"/>
            </w:tcBorders>
            <w:noWrap/>
            <w:vAlign w:val="center"/>
            <w:hideMark/>
          </w:tcPr>
          <w:p w14:paraId="2884F6FF" w14:textId="77777777" w:rsidR="00451AF5" w:rsidRPr="00C41AD3" w:rsidRDefault="00451AF5" w:rsidP="0095207B">
            <w:pPr>
              <w:spacing w:after="0" w:line="276" w:lineRule="auto"/>
              <w:jc w:val="left"/>
              <w:rPr>
                <w:rFonts w:cs="Arial"/>
                <w:sz w:val="16"/>
                <w:szCs w:val="16"/>
              </w:rPr>
            </w:pPr>
            <w:r w:rsidRPr="00C41AD3">
              <w:rPr>
                <w:rFonts w:cs="Arial"/>
                <w:sz w:val="16"/>
                <w:szCs w:val="16"/>
              </w:rPr>
              <w:t>Ομόλογα</w:t>
            </w:r>
          </w:p>
        </w:tc>
        <w:tc>
          <w:tcPr>
            <w:tcW w:w="835" w:type="dxa"/>
            <w:tcBorders>
              <w:top w:val="nil"/>
              <w:bottom w:val="nil"/>
            </w:tcBorders>
            <w:noWrap/>
            <w:vAlign w:val="center"/>
          </w:tcPr>
          <w:p w14:paraId="10044BCA"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80.794</w:t>
            </w:r>
          </w:p>
        </w:tc>
        <w:tc>
          <w:tcPr>
            <w:tcW w:w="835" w:type="dxa"/>
            <w:tcBorders>
              <w:top w:val="nil"/>
              <w:bottom w:val="nil"/>
            </w:tcBorders>
            <w:noWrap/>
            <w:vAlign w:val="center"/>
          </w:tcPr>
          <w:p w14:paraId="0FDC2BE0"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84.933</w:t>
            </w:r>
          </w:p>
        </w:tc>
        <w:tc>
          <w:tcPr>
            <w:tcW w:w="835" w:type="dxa"/>
            <w:tcBorders>
              <w:top w:val="nil"/>
              <w:bottom w:val="nil"/>
            </w:tcBorders>
            <w:noWrap/>
            <w:vAlign w:val="center"/>
          </w:tcPr>
          <w:p w14:paraId="0C8BD94A"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90.459</w:t>
            </w:r>
          </w:p>
        </w:tc>
        <w:tc>
          <w:tcPr>
            <w:tcW w:w="835" w:type="dxa"/>
            <w:tcBorders>
              <w:top w:val="nil"/>
              <w:bottom w:val="nil"/>
            </w:tcBorders>
            <w:noWrap/>
            <w:vAlign w:val="center"/>
          </w:tcPr>
          <w:p w14:paraId="6C1BA61A"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96.870</w:t>
            </w:r>
          </w:p>
        </w:tc>
        <w:tc>
          <w:tcPr>
            <w:tcW w:w="835" w:type="dxa"/>
            <w:tcBorders>
              <w:top w:val="nil"/>
              <w:bottom w:val="nil"/>
            </w:tcBorders>
            <w:noWrap/>
            <w:vAlign w:val="center"/>
          </w:tcPr>
          <w:p w14:paraId="7BC01273"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100.502</w:t>
            </w:r>
          </w:p>
        </w:tc>
        <w:tc>
          <w:tcPr>
            <w:tcW w:w="829" w:type="dxa"/>
            <w:tcBorders>
              <w:top w:val="nil"/>
              <w:bottom w:val="nil"/>
            </w:tcBorders>
            <w:noWrap/>
            <w:vAlign w:val="center"/>
          </w:tcPr>
          <w:p w14:paraId="1290D245"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102.007</w:t>
            </w:r>
          </w:p>
        </w:tc>
      </w:tr>
      <w:tr w:rsidR="00451AF5" w:rsidRPr="00C41AD3" w14:paraId="2690EC00" w14:textId="77777777" w:rsidTr="00B87393">
        <w:trPr>
          <w:trHeight w:val="260"/>
          <w:jc w:val="center"/>
        </w:trPr>
        <w:tc>
          <w:tcPr>
            <w:tcW w:w="3495" w:type="dxa"/>
            <w:tcBorders>
              <w:top w:val="nil"/>
              <w:bottom w:val="nil"/>
            </w:tcBorders>
            <w:vAlign w:val="center"/>
            <w:hideMark/>
          </w:tcPr>
          <w:p w14:paraId="0E0E03E4" w14:textId="77777777" w:rsidR="00451AF5" w:rsidRPr="00C41AD3" w:rsidRDefault="00451AF5" w:rsidP="0095207B">
            <w:pPr>
              <w:spacing w:after="0" w:line="276" w:lineRule="auto"/>
              <w:jc w:val="left"/>
              <w:rPr>
                <w:rFonts w:cs="Arial"/>
                <w:sz w:val="16"/>
                <w:szCs w:val="16"/>
              </w:rPr>
            </w:pPr>
            <w:r w:rsidRPr="00C41AD3">
              <w:rPr>
                <w:rFonts w:cs="Arial"/>
                <w:sz w:val="16"/>
                <w:szCs w:val="16"/>
              </w:rPr>
              <w:t>Βραχυπρόθεσμοι τίτλοι</w:t>
            </w:r>
          </w:p>
        </w:tc>
        <w:tc>
          <w:tcPr>
            <w:tcW w:w="835" w:type="dxa"/>
            <w:tcBorders>
              <w:top w:val="nil"/>
              <w:bottom w:val="nil"/>
            </w:tcBorders>
            <w:noWrap/>
            <w:vAlign w:val="center"/>
          </w:tcPr>
          <w:p w14:paraId="4AB7FCA6"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11.800</w:t>
            </w:r>
          </w:p>
        </w:tc>
        <w:tc>
          <w:tcPr>
            <w:tcW w:w="835" w:type="dxa"/>
            <w:tcBorders>
              <w:top w:val="nil"/>
              <w:bottom w:val="nil"/>
            </w:tcBorders>
            <w:noWrap/>
            <w:vAlign w:val="center"/>
          </w:tcPr>
          <w:p w14:paraId="0F643656"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11.800</w:t>
            </w:r>
          </w:p>
        </w:tc>
        <w:tc>
          <w:tcPr>
            <w:tcW w:w="835" w:type="dxa"/>
            <w:tcBorders>
              <w:top w:val="nil"/>
              <w:bottom w:val="nil"/>
            </w:tcBorders>
            <w:noWrap/>
            <w:vAlign w:val="center"/>
          </w:tcPr>
          <w:p w14:paraId="12854667"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11.988</w:t>
            </w:r>
          </w:p>
        </w:tc>
        <w:tc>
          <w:tcPr>
            <w:tcW w:w="835" w:type="dxa"/>
            <w:tcBorders>
              <w:top w:val="nil"/>
              <w:bottom w:val="nil"/>
            </w:tcBorders>
            <w:noWrap/>
            <w:vAlign w:val="center"/>
          </w:tcPr>
          <w:p w14:paraId="1DEAA9FF"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8.416</w:t>
            </w:r>
          </w:p>
        </w:tc>
        <w:tc>
          <w:tcPr>
            <w:tcW w:w="835" w:type="dxa"/>
            <w:tcBorders>
              <w:top w:val="nil"/>
              <w:bottom w:val="nil"/>
            </w:tcBorders>
            <w:noWrap/>
            <w:vAlign w:val="center"/>
          </w:tcPr>
          <w:p w14:paraId="4E88678A"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8.100</w:t>
            </w:r>
          </w:p>
        </w:tc>
        <w:tc>
          <w:tcPr>
            <w:tcW w:w="829" w:type="dxa"/>
            <w:tcBorders>
              <w:top w:val="nil"/>
              <w:bottom w:val="nil"/>
            </w:tcBorders>
            <w:noWrap/>
            <w:vAlign w:val="center"/>
          </w:tcPr>
          <w:p w14:paraId="61F8F30C"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8.100</w:t>
            </w:r>
          </w:p>
        </w:tc>
      </w:tr>
      <w:tr w:rsidR="00451AF5" w:rsidRPr="00C41AD3" w14:paraId="34781AEA" w14:textId="77777777" w:rsidTr="00B87393">
        <w:trPr>
          <w:trHeight w:val="260"/>
          <w:jc w:val="center"/>
        </w:trPr>
        <w:tc>
          <w:tcPr>
            <w:tcW w:w="3495" w:type="dxa"/>
            <w:tcBorders>
              <w:top w:val="nil"/>
              <w:bottom w:val="nil"/>
            </w:tcBorders>
            <w:vAlign w:val="center"/>
            <w:hideMark/>
          </w:tcPr>
          <w:p w14:paraId="20BA9145" w14:textId="77777777" w:rsidR="00451AF5" w:rsidRPr="00C41AD3" w:rsidRDefault="00451AF5" w:rsidP="0095207B">
            <w:pPr>
              <w:spacing w:after="0" w:line="276" w:lineRule="auto"/>
              <w:jc w:val="left"/>
              <w:rPr>
                <w:rFonts w:cs="Arial"/>
                <w:sz w:val="16"/>
                <w:szCs w:val="16"/>
              </w:rPr>
            </w:pPr>
            <w:r w:rsidRPr="00C41AD3">
              <w:rPr>
                <w:rFonts w:cs="Arial"/>
                <w:sz w:val="16"/>
                <w:szCs w:val="16"/>
              </w:rPr>
              <w:t>Δάνεια</w:t>
            </w:r>
          </w:p>
        </w:tc>
        <w:tc>
          <w:tcPr>
            <w:tcW w:w="835" w:type="dxa"/>
            <w:tcBorders>
              <w:top w:val="nil"/>
              <w:bottom w:val="nil"/>
            </w:tcBorders>
            <w:noWrap/>
            <w:vAlign w:val="center"/>
          </w:tcPr>
          <w:p w14:paraId="3063D2AB"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258.786</w:t>
            </w:r>
          </w:p>
        </w:tc>
        <w:tc>
          <w:tcPr>
            <w:tcW w:w="835" w:type="dxa"/>
            <w:tcBorders>
              <w:top w:val="nil"/>
              <w:bottom w:val="nil"/>
            </w:tcBorders>
            <w:noWrap/>
            <w:vAlign w:val="center"/>
          </w:tcPr>
          <w:p w14:paraId="0095B25B"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253.618</w:t>
            </w:r>
          </w:p>
        </w:tc>
        <w:tc>
          <w:tcPr>
            <w:tcW w:w="835" w:type="dxa"/>
            <w:tcBorders>
              <w:top w:val="nil"/>
              <w:bottom w:val="nil"/>
            </w:tcBorders>
            <w:noWrap/>
            <w:vAlign w:val="center"/>
          </w:tcPr>
          <w:p w14:paraId="09E8046F"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249.537</w:t>
            </w:r>
          </w:p>
        </w:tc>
        <w:tc>
          <w:tcPr>
            <w:tcW w:w="835" w:type="dxa"/>
            <w:tcBorders>
              <w:top w:val="nil"/>
              <w:bottom w:val="nil"/>
            </w:tcBorders>
            <w:noWrap/>
            <w:vAlign w:val="center"/>
          </w:tcPr>
          <w:p w14:paraId="24FED2B8"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241.631</w:t>
            </w:r>
          </w:p>
        </w:tc>
        <w:tc>
          <w:tcPr>
            <w:tcW w:w="835" w:type="dxa"/>
            <w:tcBorders>
              <w:top w:val="nil"/>
              <w:bottom w:val="nil"/>
            </w:tcBorders>
            <w:noWrap/>
            <w:vAlign w:val="center"/>
          </w:tcPr>
          <w:p w14:paraId="5EE6AB41"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234.798</w:t>
            </w:r>
          </w:p>
        </w:tc>
        <w:tc>
          <w:tcPr>
            <w:tcW w:w="829" w:type="dxa"/>
            <w:tcBorders>
              <w:top w:val="nil"/>
              <w:bottom w:val="nil"/>
            </w:tcBorders>
            <w:noWrap/>
            <w:vAlign w:val="center"/>
          </w:tcPr>
          <w:p w14:paraId="5244CCF8"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227.493</w:t>
            </w:r>
          </w:p>
        </w:tc>
      </w:tr>
      <w:tr w:rsidR="00451AF5" w:rsidRPr="00C41AD3" w14:paraId="72652CDA" w14:textId="77777777" w:rsidTr="00B87393">
        <w:trPr>
          <w:trHeight w:val="260"/>
          <w:jc w:val="center"/>
        </w:trPr>
        <w:tc>
          <w:tcPr>
            <w:tcW w:w="3495" w:type="dxa"/>
            <w:tcBorders>
              <w:top w:val="nil"/>
              <w:bottom w:val="nil"/>
            </w:tcBorders>
            <w:vAlign w:val="center"/>
            <w:hideMark/>
          </w:tcPr>
          <w:p w14:paraId="7EAD4E28" w14:textId="23A19DD5" w:rsidR="00451AF5" w:rsidRPr="00C41AD3" w:rsidRDefault="00451AF5" w:rsidP="0095207B">
            <w:pPr>
              <w:spacing w:after="0" w:line="276" w:lineRule="auto"/>
              <w:jc w:val="left"/>
              <w:rPr>
                <w:rFonts w:cs="Arial"/>
                <w:sz w:val="16"/>
                <w:szCs w:val="16"/>
              </w:rPr>
            </w:pPr>
            <w:r w:rsidRPr="00C41AD3">
              <w:rPr>
                <w:rFonts w:cs="Arial"/>
                <w:sz w:val="16"/>
                <w:szCs w:val="16"/>
              </w:rPr>
              <w:t xml:space="preserve">Βραχυπρόθεσμα </w:t>
            </w:r>
            <w:r w:rsidR="005343F1">
              <w:rPr>
                <w:rFonts w:cs="Arial"/>
                <w:sz w:val="16"/>
                <w:szCs w:val="16"/>
              </w:rPr>
              <w:t>δ</w:t>
            </w:r>
            <w:r w:rsidRPr="00C41AD3">
              <w:rPr>
                <w:rFonts w:cs="Arial"/>
                <w:sz w:val="16"/>
                <w:szCs w:val="16"/>
              </w:rPr>
              <w:t>άνεια</w:t>
            </w:r>
          </w:p>
        </w:tc>
        <w:tc>
          <w:tcPr>
            <w:tcW w:w="835" w:type="dxa"/>
            <w:tcBorders>
              <w:top w:val="nil"/>
              <w:bottom w:val="nil"/>
            </w:tcBorders>
            <w:noWrap/>
            <w:vAlign w:val="center"/>
          </w:tcPr>
          <w:p w14:paraId="599C5BDA"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36.957</w:t>
            </w:r>
          </w:p>
        </w:tc>
        <w:tc>
          <w:tcPr>
            <w:tcW w:w="835" w:type="dxa"/>
            <w:tcBorders>
              <w:top w:val="nil"/>
              <w:bottom w:val="nil"/>
            </w:tcBorders>
            <w:noWrap/>
            <w:vAlign w:val="center"/>
          </w:tcPr>
          <w:p w14:paraId="5E7C95D5"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49.925</w:t>
            </w:r>
          </w:p>
        </w:tc>
        <w:tc>
          <w:tcPr>
            <w:tcW w:w="835" w:type="dxa"/>
            <w:tcBorders>
              <w:top w:val="nil"/>
              <w:bottom w:val="nil"/>
            </w:tcBorders>
            <w:noWrap/>
            <w:vAlign w:val="center"/>
          </w:tcPr>
          <w:p w14:paraId="6C8CEBD6"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54.539</w:t>
            </w:r>
          </w:p>
        </w:tc>
        <w:tc>
          <w:tcPr>
            <w:tcW w:w="835" w:type="dxa"/>
            <w:tcBorders>
              <w:top w:val="nil"/>
              <w:bottom w:val="nil"/>
            </w:tcBorders>
            <w:noWrap/>
            <w:vAlign w:val="center"/>
          </w:tcPr>
          <w:p w14:paraId="75405A50"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56.944</w:t>
            </w:r>
          </w:p>
        </w:tc>
        <w:tc>
          <w:tcPr>
            <w:tcW w:w="835" w:type="dxa"/>
            <w:tcBorders>
              <w:top w:val="nil"/>
              <w:bottom w:val="nil"/>
            </w:tcBorders>
            <w:noWrap/>
            <w:vAlign w:val="center"/>
          </w:tcPr>
          <w:p w14:paraId="40D5ACB8"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55.000</w:t>
            </w:r>
          </w:p>
        </w:tc>
        <w:tc>
          <w:tcPr>
            <w:tcW w:w="829" w:type="dxa"/>
            <w:tcBorders>
              <w:top w:val="nil"/>
              <w:bottom w:val="nil"/>
            </w:tcBorders>
            <w:noWrap/>
            <w:vAlign w:val="center"/>
          </w:tcPr>
          <w:p w14:paraId="604FD9D8"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57.000</w:t>
            </w:r>
          </w:p>
        </w:tc>
      </w:tr>
      <w:tr w:rsidR="00451AF5" w:rsidRPr="00C41AD3" w14:paraId="60247426" w14:textId="77777777" w:rsidTr="00B87393">
        <w:trPr>
          <w:trHeight w:val="260"/>
          <w:jc w:val="center"/>
        </w:trPr>
        <w:tc>
          <w:tcPr>
            <w:tcW w:w="3495" w:type="dxa"/>
            <w:tcBorders>
              <w:top w:val="nil"/>
              <w:bottom w:val="nil"/>
            </w:tcBorders>
            <w:noWrap/>
            <w:vAlign w:val="center"/>
            <w:hideMark/>
          </w:tcPr>
          <w:p w14:paraId="2E768AED" w14:textId="77777777" w:rsidR="00451AF5" w:rsidRPr="00C41AD3" w:rsidRDefault="00451AF5" w:rsidP="0095207B">
            <w:pPr>
              <w:spacing w:after="0" w:line="276" w:lineRule="auto"/>
              <w:jc w:val="left"/>
              <w:rPr>
                <w:rFonts w:cs="Arial"/>
                <w:b/>
                <w:bCs/>
                <w:sz w:val="16"/>
                <w:szCs w:val="16"/>
              </w:rPr>
            </w:pPr>
            <w:r w:rsidRPr="00C41AD3">
              <w:rPr>
                <w:rFonts w:cs="Arial"/>
                <w:b/>
                <w:bCs/>
                <w:sz w:val="16"/>
                <w:szCs w:val="16"/>
              </w:rPr>
              <w:t>Α. Χρέος Κεντρικής Διοίκησης</w:t>
            </w:r>
          </w:p>
        </w:tc>
        <w:tc>
          <w:tcPr>
            <w:tcW w:w="835" w:type="dxa"/>
            <w:tcBorders>
              <w:top w:val="nil"/>
              <w:bottom w:val="nil"/>
            </w:tcBorders>
            <w:noWrap/>
            <w:vAlign w:val="center"/>
          </w:tcPr>
          <w:p w14:paraId="14BC76F3"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388.337</w:t>
            </w:r>
          </w:p>
        </w:tc>
        <w:tc>
          <w:tcPr>
            <w:tcW w:w="835" w:type="dxa"/>
            <w:tcBorders>
              <w:top w:val="nil"/>
              <w:bottom w:val="nil"/>
            </w:tcBorders>
            <w:noWrap/>
            <w:vAlign w:val="center"/>
          </w:tcPr>
          <w:p w14:paraId="1D2BFB62"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400.276</w:t>
            </w:r>
          </w:p>
        </w:tc>
        <w:tc>
          <w:tcPr>
            <w:tcW w:w="835" w:type="dxa"/>
            <w:tcBorders>
              <w:top w:val="nil"/>
              <w:bottom w:val="nil"/>
            </w:tcBorders>
            <w:noWrap/>
            <w:vAlign w:val="center"/>
          </w:tcPr>
          <w:p w14:paraId="3B578D6F"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406.523</w:t>
            </w:r>
          </w:p>
        </w:tc>
        <w:tc>
          <w:tcPr>
            <w:tcW w:w="835" w:type="dxa"/>
            <w:tcBorders>
              <w:top w:val="nil"/>
              <w:bottom w:val="nil"/>
            </w:tcBorders>
            <w:noWrap/>
            <w:vAlign w:val="center"/>
          </w:tcPr>
          <w:p w14:paraId="28D9A2F5"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403.861</w:t>
            </w:r>
          </w:p>
        </w:tc>
        <w:tc>
          <w:tcPr>
            <w:tcW w:w="835" w:type="dxa"/>
            <w:tcBorders>
              <w:top w:val="nil"/>
              <w:bottom w:val="nil"/>
            </w:tcBorders>
            <w:noWrap/>
            <w:vAlign w:val="center"/>
          </w:tcPr>
          <w:p w14:paraId="404D5D5B"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398.400</w:t>
            </w:r>
          </w:p>
        </w:tc>
        <w:tc>
          <w:tcPr>
            <w:tcW w:w="829" w:type="dxa"/>
            <w:tcBorders>
              <w:top w:val="nil"/>
              <w:bottom w:val="nil"/>
            </w:tcBorders>
            <w:noWrap/>
            <w:vAlign w:val="center"/>
          </w:tcPr>
          <w:p w14:paraId="7303496B"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394.600</w:t>
            </w:r>
          </w:p>
        </w:tc>
      </w:tr>
      <w:tr w:rsidR="00451AF5" w:rsidRPr="00C41AD3" w14:paraId="3A4AA724" w14:textId="77777777" w:rsidTr="00B87393">
        <w:trPr>
          <w:trHeight w:val="260"/>
          <w:jc w:val="center"/>
        </w:trPr>
        <w:tc>
          <w:tcPr>
            <w:tcW w:w="3495" w:type="dxa"/>
            <w:tcBorders>
              <w:top w:val="nil"/>
              <w:bottom w:val="nil"/>
            </w:tcBorders>
            <w:noWrap/>
            <w:vAlign w:val="center"/>
            <w:hideMark/>
          </w:tcPr>
          <w:p w14:paraId="7188AD65" w14:textId="77777777" w:rsidR="00451AF5" w:rsidRPr="00C41AD3" w:rsidRDefault="00451AF5" w:rsidP="0095207B">
            <w:pPr>
              <w:spacing w:after="0" w:line="276" w:lineRule="auto"/>
              <w:jc w:val="left"/>
              <w:rPr>
                <w:rFonts w:cs="Arial"/>
                <w:b/>
                <w:bCs/>
                <w:sz w:val="16"/>
                <w:szCs w:val="16"/>
              </w:rPr>
            </w:pPr>
            <w:r w:rsidRPr="00C41AD3">
              <w:rPr>
                <w:rFonts w:cs="Arial"/>
                <w:b/>
                <w:bCs/>
                <w:sz w:val="16"/>
                <w:szCs w:val="16"/>
              </w:rPr>
              <w:t>(ως % του ΑΕΠ)</w:t>
            </w:r>
          </w:p>
        </w:tc>
        <w:tc>
          <w:tcPr>
            <w:tcW w:w="835" w:type="dxa"/>
            <w:tcBorders>
              <w:top w:val="nil"/>
              <w:bottom w:val="nil"/>
            </w:tcBorders>
            <w:noWrap/>
            <w:vAlign w:val="center"/>
          </w:tcPr>
          <w:p w14:paraId="2370E27F"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210,4%</w:t>
            </w:r>
          </w:p>
        </w:tc>
        <w:tc>
          <w:tcPr>
            <w:tcW w:w="835" w:type="dxa"/>
            <w:tcBorders>
              <w:top w:val="nil"/>
              <w:bottom w:val="nil"/>
            </w:tcBorders>
            <w:noWrap/>
            <w:vAlign w:val="center"/>
          </w:tcPr>
          <w:p w14:paraId="3CADDDB5"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192,6%</w:t>
            </w:r>
          </w:p>
        </w:tc>
        <w:tc>
          <w:tcPr>
            <w:tcW w:w="835" w:type="dxa"/>
            <w:tcBorders>
              <w:top w:val="nil"/>
              <w:bottom w:val="nil"/>
            </w:tcBorders>
            <w:noWrap/>
            <w:vAlign w:val="center"/>
          </w:tcPr>
          <w:p w14:paraId="751F2BBD"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180,5%</w:t>
            </w:r>
          </w:p>
        </w:tc>
        <w:tc>
          <w:tcPr>
            <w:tcW w:w="835" w:type="dxa"/>
            <w:tcBorders>
              <w:top w:val="nil"/>
              <w:bottom w:val="nil"/>
            </w:tcBorders>
            <w:noWrap/>
            <w:vAlign w:val="center"/>
          </w:tcPr>
          <w:p w14:paraId="47DDDA56"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170,0%</w:t>
            </w:r>
          </w:p>
        </w:tc>
        <w:tc>
          <w:tcPr>
            <w:tcW w:w="835" w:type="dxa"/>
            <w:tcBorders>
              <w:top w:val="nil"/>
              <w:bottom w:val="nil"/>
            </w:tcBorders>
            <w:noWrap/>
            <w:vAlign w:val="center"/>
          </w:tcPr>
          <w:p w14:paraId="250DE5A4"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159,6%</w:t>
            </w:r>
          </w:p>
        </w:tc>
        <w:tc>
          <w:tcPr>
            <w:tcW w:w="829" w:type="dxa"/>
            <w:tcBorders>
              <w:top w:val="nil"/>
              <w:bottom w:val="nil"/>
            </w:tcBorders>
            <w:noWrap/>
            <w:vAlign w:val="center"/>
          </w:tcPr>
          <w:p w14:paraId="212F9A99"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151,2%</w:t>
            </w:r>
          </w:p>
        </w:tc>
      </w:tr>
      <w:tr w:rsidR="00451AF5" w:rsidRPr="00C41AD3" w14:paraId="520A4E75" w14:textId="77777777" w:rsidTr="00B87393">
        <w:trPr>
          <w:trHeight w:val="260"/>
          <w:jc w:val="center"/>
        </w:trPr>
        <w:tc>
          <w:tcPr>
            <w:tcW w:w="3495" w:type="dxa"/>
            <w:tcBorders>
              <w:top w:val="nil"/>
              <w:bottom w:val="nil"/>
            </w:tcBorders>
            <w:vAlign w:val="center"/>
            <w:hideMark/>
          </w:tcPr>
          <w:p w14:paraId="5CFAD576" w14:textId="77777777" w:rsidR="00451AF5" w:rsidRPr="00C41AD3" w:rsidRDefault="00451AF5" w:rsidP="0095207B">
            <w:pPr>
              <w:spacing w:after="0" w:line="276" w:lineRule="auto"/>
              <w:jc w:val="left"/>
              <w:rPr>
                <w:rFonts w:cs="Arial"/>
                <w:sz w:val="16"/>
                <w:szCs w:val="16"/>
              </w:rPr>
            </w:pPr>
            <w:r w:rsidRPr="00C41AD3">
              <w:rPr>
                <w:rFonts w:cs="Arial"/>
                <w:sz w:val="16"/>
                <w:szCs w:val="16"/>
              </w:rPr>
              <w:t>Β. Χρέος ΝΠΔΔ, κέρματα κ.λπ. μείον επενδύσεις σε τίτλους Ελληνικού Δημοσίου</w:t>
            </w:r>
          </w:p>
        </w:tc>
        <w:tc>
          <w:tcPr>
            <w:tcW w:w="835" w:type="dxa"/>
            <w:tcBorders>
              <w:top w:val="nil"/>
              <w:bottom w:val="nil"/>
            </w:tcBorders>
            <w:noWrap/>
            <w:vAlign w:val="center"/>
          </w:tcPr>
          <w:p w14:paraId="1DDBF15A"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-4.062</w:t>
            </w:r>
          </w:p>
        </w:tc>
        <w:tc>
          <w:tcPr>
            <w:tcW w:w="835" w:type="dxa"/>
            <w:tcBorders>
              <w:top w:val="nil"/>
              <w:bottom w:val="nil"/>
            </w:tcBorders>
            <w:noWrap/>
            <w:vAlign w:val="center"/>
          </w:tcPr>
          <w:p w14:paraId="19C6C93D"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-7.720</w:t>
            </w:r>
          </w:p>
        </w:tc>
        <w:tc>
          <w:tcPr>
            <w:tcW w:w="835" w:type="dxa"/>
            <w:tcBorders>
              <w:top w:val="nil"/>
              <w:bottom w:val="nil"/>
            </w:tcBorders>
            <w:noWrap/>
            <w:vAlign w:val="center"/>
          </w:tcPr>
          <w:p w14:paraId="7A22DDD5"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-11.913</w:t>
            </w:r>
          </w:p>
        </w:tc>
        <w:tc>
          <w:tcPr>
            <w:tcW w:w="835" w:type="dxa"/>
            <w:tcBorders>
              <w:top w:val="nil"/>
              <w:bottom w:val="nil"/>
            </w:tcBorders>
            <w:noWrap/>
            <w:vAlign w:val="center"/>
          </w:tcPr>
          <w:p w14:paraId="26A528D2"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-14.587</w:t>
            </w:r>
          </w:p>
        </w:tc>
        <w:tc>
          <w:tcPr>
            <w:tcW w:w="835" w:type="dxa"/>
            <w:tcBorders>
              <w:top w:val="nil"/>
              <w:bottom w:val="nil"/>
            </w:tcBorders>
            <w:noWrap/>
            <w:vAlign w:val="center"/>
          </w:tcPr>
          <w:p w14:paraId="291BBE42"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-13.100</w:t>
            </w:r>
          </w:p>
        </w:tc>
        <w:tc>
          <w:tcPr>
            <w:tcW w:w="829" w:type="dxa"/>
            <w:tcBorders>
              <w:top w:val="nil"/>
              <w:bottom w:val="nil"/>
            </w:tcBorders>
            <w:noWrap/>
            <w:vAlign w:val="center"/>
          </w:tcPr>
          <w:p w14:paraId="285EA5C5"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-11.350</w:t>
            </w:r>
          </w:p>
        </w:tc>
      </w:tr>
      <w:tr w:rsidR="00451AF5" w:rsidRPr="00C41AD3" w14:paraId="157E01FF" w14:textId="77777777" w:rsidTr="00B87393">
        <w:trPr>
          <w:trHeight w:val="260"/>
          <w:jc w:val="center"/>
        </w:trPr>
        <w:tc>
          <w:tcPr>
            <w:tcW w:w="3495" w:type="dxa"/>
            <w:tcBorders>
              <w:top w:val="nil"/>
              <w:bottom w:val="nil"/>
            </w:tcBorders>
            <w:vAlign w:val="center"/>
            <w:hideMark/>
          </w:tcPr>
          <w:p w14:paraId="7070BAD0" w14:textId="6425C7CF" w:rsidR="00451AF5" w:rsidRPr="00C41AD3" w:rsidRDefault="00451AF5" w:rsidP="0095207B">
            <w:pPr>
              <w:spacing w:after="0" w:line="276" w:lineRule="auto"/>
              <w:jc w:val="left"/>
              <w:rPr>
                <w:rFonts w:cs="Arial"/>
                <w:b/>
                <w:bCs/>
                <w:sz w:val="16"/>
                <w:szCs w:val="16"/>
              </w:rPr>
            </w:pPr>
            <w:r w:rsidRPr="00C41AD3">
              <w:rPr>
                <w:rFonts w:cs="Arial"/>
                <w:b/>
                <w:bCs/>
                <w:sz w:val="16"/>
                <w:szCs w:val="16"/>
              </w:rPr>
              <w:t>Γ. Χρέος Κεντρικής Κυβέρνησης κατά ESA (A+B)</w:t>
            </w:r>
          </w:p>
        </w:tc>
        <w:tc>
          <w:tcPr>
            <w:tcW w:w="835" w:type="dxa"/>
            <w:tcBorders>
              <w:top w:val="nil"/>
              <w:bottom w:val="nil"/>
            </w:tcBorders>
            <w:vAlign w:val="center"/>
          </w:tcPr>
          <w:p w14:paraId="2FBBB560"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384.275</w:t>
            </w:r>
          </w:p>
        </w:tc>
        <w:tc>
          <w:tcPr>
            <w:tcW w:w="835" w:type="dxa"/>
            <w:tcBorders>
              <w:top w:val="nil"/>
              <w:bottom w:val="nil"/>
            </w:tcBorders>
            <w:vAlign w:val="center"/>
          </w:tcPr>
          <w:p w14:paraId="4F29E86F"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392.556</w:t>
            </w:r>
          </w:p>
        </w:tc>
        <w:tc>
          <w:tcPr>
            <w:tcW w:w="835" w:type="dxa"/>
            <w:tcBorders>
              <w:top w:val="nil"/>
              <w:bottom w:val="nil"/>
            </w:tcBorders>
            <w:vAlign w:val="center"/>
          </w:tcPr>
          <w:p w14:paraId="15C6CBE2"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394.610</w:t>
            </w:r>
          </w:p>
        </w:tc>
        <w:tc>
          <w:tcPr>
            <w:tcW w:w="835" w:type="dxa"/>
            <w:tcBorders>
              <w:top w:val="nil"/>
              <w:bottom w:val="nil"/>
            </w:tcBorders>
            <w:vAlign w:val="center"/>
          </w:tcPr>
          <w:p w14:paraId="0688639D"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389.274</w:t>
            </w:r>
          </w:p>
        </w:tc>
        <w:tc>
          <w:tcPr>
            <w:tcW w:w="835" w:type="dxa"/>
            <w:tcBorders>
              <w:top w:val="nil"/>
              <w:bottom w:val="nil"/>
            </w:tcBorders>
            <w:vAlign w:val="center"/>
          </w:tcPr>
          <w:p w14:paraId="39622E97"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385.300</w:t>
            </w:r>
          </w:p>
        </w:tc>
        <w:tc>
          <w:tcPr>
            <w:tcW w:w="829" w:type="dxa"/>
            <w:tcBorders>
              <w:top w:val="nil"/>
              <w:bottom w:val="nil"/>
            </w:tcBorders>
            <w:vAlign w:val="center"/>
          </w:tcPr>
          <w:p w14:paraId="06A2254F"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383.250</w:t>
            </w:r>
          </w:p>
        </w:tc>
      </w:tr>
      <w:tr w:rsidR="00451AF5" w:rsidRPr="00C41AD3" w14:paraId="21BD6DA0" w14:textId="77777777" w:rsidTr="00B87393">
        <w:trPr>
          <w:trHeight w:val="260"/>
          <w:jc w:val="center"/>
        </w:trPr>
        <w:tc>
          <w:tcPr>
            <w:tcW w:w="3495" w:type="dxa"/>
            <w:tcBorders>
              <w:top w:val="nil"/>
              <w:bottom w:val="nil"/>
            </w:tcBorders>
            <w:noWrap/>
            <w:vAlign w:val="center"/>
            <w:hideMark/>
          </w:tcPr>
          <w:p w14:paraId="1E1F5341" w14:textId="77777777" w:rsidR="00451AF5" w:rsidRPr="00C41AD3" w:rsidRDefault="00451AF5" w:rsidP="0095207B">
            <w:pPr>
              <w:spacing w:after="0" w:line="276" w:lineRule="auto"/>
              <w:jc w:val="left"/>
              <w:rPr>
                <w:rFonts w:cs="Arial"/>
                <w:b/>
                <w:bCs/>
                <w:sz w:val="16"/>
                <w:szCs w:val="16"/>
              </w:rPr>
            </w:pPr>
            <w:r w:rsidRPr="00C41AD3">
              <w:rPr>
                <w:rFonts w:cs="Arial"/>
                <w:b/>
                <w:bCs/>
                <w:sz w:val="16"/>
                <w:szCs w:val="16"/>
              </w:rPr>
              <w:t>(ως % του ΑΕΠ)</w:t>
            </w:r>
          </w:p>
        </w:tc>
        <w:tc>
          <w:tcPr>
            <w:tcW w:w="835" w:type="dxa"/>
            <w:tcBorders>
              <w:top w:val="nil"/>
              <w:bottom w:val="nil"/>
            </w:tcBorders>
            <w:noWrap/>
            <w:vAlign w:val="center"/>
          </w:tcPr>
          <w:p w14:paraId="32C9A042"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208,2%</w:t>
            </w:r>
          </w:p>
        </w:tc>
        <w:tc>
          <w:tcPr>
            <w:tcW w:w="835" w:type="dxa"/>
            <w:tcBorders>
              <w:top w:val="nil"/>
              <w:bottom w:val="nil"/>
            </w:tcBorders>
            <w:noWrap/>
            <w:vAlign w:val="center"/>
          </w:tcPr>
          <w:p w14:paraId="7C15CDED"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188,9%</w:t>
            </w:r>
          </w:p>
        </w:tc>
        <w:tc>
          <w:tcPr>
            <w:tcW w:w="835" w:type="dxa"/>
            <w:tcBorders>
              <w:top w:val="nil"/>
              <w:bottom w:val="nil"/>
            </w:tcBorders>
            <w:noWrap/>
            <w:vAlign w:val="center"/>
          </w:tcPr>
          <w:p w14:paraId="6B8A0803"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175,2%</w:t>
            </w:r>
          </w:p>
        </w:tc>
        <w:tc>
          <w:tcPr>
            <w:tcW w:w="835" w:type="dxa"/>
            <w:tcBorders>
              <w:top w:val="nil"/>
              <w:bottom w:val="nil"/>
            </w:tcBorders>
            <w:noWrap/>
            <w:vAlign w:val="center"/>
          </w:tcPr>
          <w:p w14:paraId="2962524D"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163,9%</w:t>
            </w:r>
          </w:p>
        </w:tc>
        <w:tc>
          <w:tcPr>
            <w:tcW w:w="835" w:type="dxa"/>
            <w:tcBorders>
              <w:top w:val="nil"/>
              <w:bottom w:val="nil"/>
            </w:tcBorders>
            <w:noWrap/>
            <w:vAlign w:val="center"/>
          </w:tcPr>
          <w:p w14:paraId="3BFC2D83"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154,4%</w:t>
            </w:r>
          </w:p>
        </w:tc>
        <w:tc>
          <w:tcPr>
            <w:tcW w:w="829" w:type="dxa"/>
            <w:tcBorders>
              <w:top w:val="nil"/>
              <w:bottom w:val="nil"/>
            </w:tcBorders>
            <w:noWrap/>
            <w:vAlign w:val="center"/>
          </w:tcPr>
          <w:p w14:paraId="546AD6C0"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146,9%</w:t>
            </w:r>
          </w:p>
        </w:tc>
      </w:tr>
      <w:tr w:rsidR="00451AF5" w:rsidRPr="00C41AD3" w14:paraId="65A76407" w14:textId="77777777" w:rsidTr="00B87393">
        <w:trPr>
          <w:trHeight w:val="260"/>
          <w:jc w:val="center"/>
        </w:trPr>
        <w:tc>
          <w:tcPr>
            <w:tcW w:w="3495" w:type="dxa"/>
            <w:tcBorders>
              <w:top w:val="nil"/>
              <w:bottom w:val="nil"/>
            </w:tcBorders>
            <w:noWrap/>
            <w:vAlign w:val="center"/>
            <w:hideMark/>
          </w:tcPr>
          <w:p w14:paraId="7B235FD9" w14:textId="77777777" w:rsidR="00451AF5" w:rsidRPr="00C41AD3" w:rsidRDefault="00451AF5" w:rsidP="0095207B">
            <w:pPr>
              <w:spacing w:after="0" w:line="276" w:lineRule="auto"/>
              <w:jc w:val="left"/>
              <w:rPr>
                <w:rFonts w:cs="Arial"/>
                <w:sz w:val="16"/>
                <w:szCs w:val="16"/>
              </w:rPr>
            </w:pPr>
            <w:r w:rsidRPr="00C41AD3">
              <w:rPr>
                <w:rFonts w:cs="Arial"/>
                <w:sz w:val="16"/>
                <w:szCs w:val="16"/>
              </w:rPr>
              <w:t>Δ. Χρέος ΟΤΑ, ΟΚΑ μείον ενδοκυβερνητικό χρέος</w:t>
            </w:r>
          </w:p>
        </w:tc>
        <w:tc>
          <w:tcPr>
            <w:tcW w:w="835" w:type="dxa"/>
            <w:tcBorders>
              <w:top w:val="nil"/>
              <w:bottom w:val="nil"/>
            </w:tcBorders>
            <w:noWrap/>
            <w:vAlign w:val="center"/>
          </w:tcPr>
          <w:p w14:paraId="1721080A"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-20.134</w:t>
            </w:r>
          </w:p>
        </w:tc>
        <w:tc>
          <w:tcPr>
            <w:tcW w:w="835" w:type="dxa"/>
            <w:tcBorders>
              <w:top w:val="nil"/>
              <w:bottom w:val="nil"/>
            </w:tcBorders>
            <w:noWrap/>
            <w:vAlign w:val="center"/>
          </w:tcPr>
          <w:p w14:paraId="693E1304"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-24.551</w:t>
            </w:r>
          </w:p>
        </w:tc>
        <w:tc>
          <w:tcPr>
            <w:tcW w:w="835" w:type="dxa"/>
            <w:tcBorders>
              <w:top w:val="nil"/>
              <w:bottom w:val="nil"/>
            </w:tcBorders>
            <w:noWrap/>
            <w:vAlign w:val="center"/>
          </w:tcPr>
          <w:p w14:paraId="0D6C60D0"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-25.500</w:t>
            </w:r>
          </w:p>
        </w:tc>
        <w:tc>
          <w:tcPr>
            <w:tcW w:w="835" w:type="dxa"/>
            <w:tcBorders>
              <w:top w:val="nil"/>
              <w:bottom w:val="nil"/>
            </w:tcBorders>
            <w:noWrap/>
            <w:vAlign w:val="center"/>
          </w:tcPr>
          <w:p w14:paraId="11CAD5AB"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-24.389</w:t>
            </w:r>
          </w:p>
        </w:tc>
        <w:tc>
          <w:tcPr>
            <w:tcW w:w="835" w:type="dxa"/>
            <w:tcBorders>
              <w:top w:val="nil"/>
              <w:bottom w:val="nil"/>
            </w:tcBorders>
            <w:noWrap/>
            <w:vAlign w:val="center"/>
          </w:tcPr>
          <w:p w14:paraId="2D73CD40"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-22.500</w:t>
            </w:r>
          </w:p>
        </w:tc>
        <w:tc>
          <w:tcPr>
            <w:tcW w:w="829" w:type="dxa"/>
            <w:tcBorders>
              <w:top w:val="nil"/>
              <w:bottom w:val="nil"/>
            </w:tcBorders>
            <w:noWrap/>
            <w:vAlign w:val="center"/>
          </w:tcPr>
          <w:p w14:paraId="4E95D8B5"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-24.250</w:t>
            </w:r>
          </w:p>
        </w:tc>
      </w:tr>
      <w:tr w:rsidR="00451AF5" w:rsidRPr="00C41AD3" w14:paraId="505AFB9C" w14:textId="77777777" w:rsidTr="00B87393">
        <w:trPr>
          <w:trHeight w:val="260"/>
          <w:jc w:val="center"/>
        </w:trPr>
        <w:tc>
          <w:tcPr>
            <w:tcW w:w="3495" w:type="dxa"/>
            <w:tcBorders>
              <w:top w:val="nil"/>
              <w:bottom w:val="nil"/>
            </w:tcBorders>
            <w:vAlign w:val="center"/>
            <w:hideMark/>
          </w:tcPr>
          <w:p w14:paraId="61B55D4C" w14:textId="32C4E60A" w:rsidR="00451AF5" w:rsidRPr="00C41AD3" w:rsidRDefault="00451AF5" w:rsidP="0095207B">
            <w:pPr>
              <w:spacing w:after="0" w:line="276" w:lineRule="auto"/>
              <w:jc w:val="left"/>
              <w:rPr>
                <w:rFonts w:cs="Arial"/>
                <w:b/>
                <w:bCs/>
                <w:sz w:val="16"/>
                <w:szCs w:val="16"/>
              </w:rPr>
            </w:pPr>
            <w:r w:rsidRPr="00C41AD3">
              <w:rPr>
                <w:rFonts w:cs="Arial"/>
                <w:b/>
                <w:bCs/>
                <w:sz w:val="16"/>
                <w:szCs w:val="16"/>
              </w:rPr>
              <w:t>Ε. Χρέος Γενικής Κυβέρνησης (Γ+Δ)</w:t>
            </w:r>
          </w:p>
        </w:tc>
        <w:tc>
          <w:tcPr>
            <w:tcW w:w="835" w:type="dxa"/>
            <w:tcBorders>
              <w:top w:val="nil"/>
              <w:bottom w:val="nil"/>
            </w:tcBorders>
            <w:noWrap/>
            <w:vAlign w:val="center"/>
          </w:tcPr>
          <w:p w14:paraId="05C91703"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364.141</w:t>
            </w:r>
          </w:p>
        </w:tc>
        <w:tc>
          <w:tcPr>
            <w:tcW w:w="835" w:type="dxa"/>
            <w:tcBorders>
              <w:top w:val="nil"/>
              <w:bottom w:val="nil"/>
            </w:tcBorders>
            <w:noWrap/>
            <w:vAlign w:val="center"/>
          </w:tcPr>
          <w:p w14:paraId="0E847EDF"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368.005</w:t>
            </w:r>
          </w:p>
        </w:tc>
        <w:tc>
          <w:tcPr>
            <w:tcW w:w="835" w:type="dxa"/>
            <w:tcBorders>
              <w:top w:val="nil"/>
              <w:bottom w:val="nil"/>
            </w:tcBorders>
            <w:noWrap/>
            <w:vAlign w:val="center"/>
          </w:tcPr>
          <w:p w14:paraId="0C03EE02"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369.110</w:t>
            </w:r>
          </w:p>
        </w:tc>
        <w:tc>
          <w:tcPr>
            <w:tcW w:w="835" w:type="dxa"/>
            <w:tcBorders>
              <w:top w:val="nil"/>
              <w:bottom w:val="nil"/>
            </w:tcBorders>
            <w:noWrap/>
            <w:vAlign w:val="center"/>
          </w:tcPr>
          <w:p w14:paraId="0DCE70A9"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364.885</w:t>
            </w:r>
          </w:p>
        </w:tc>
        <w:tc>
          <w:tcPr>
            <w:tcW w:w="835" w:type="dxa"/>
            <w:tcBorders>
              <w:top w:val="nil"/>
              <w:bottom w:val="nil"/>
            </w:tcBorders>
            <w:noWrap/>
            <w:vAlign w:val="center"/>
          </w:tcPr>
          <w:p w14:paraId="43C4C422"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362.800</w:t>
            </w:r>
          </w:p>
        </w:tc>
        <w:tc>
          <w:tcPr>
            <w:tcW w:w="829" w:type="dxa"/>
            <w:tcBorders>
              <w:top w:val="nil"/>
              <w:bottom w:val="nil"/>
            </w:tcBorders>
            <w:noWrap/>
            <w:vAlign w:val="center"/>
          </w:tcPr>
          <w:p w14:paraId="6EA523CA"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359.000</w:t>
            </w:r>
          </w:p>
        </w:tc>
      </w:tr>
      <w:tr w:rsidR="00451AF5" w:rsidRPr="00C41AD3" w14:paraId="7E36471F" w14:textId="77777777" w:rsidTr="00B87393">
        <w:trPr>
          <w:trHeight w:val="260"/>
          <w:jc w:val="center"/>
        </w:trPr>
        <w:tc>
          <w:tcPr>
            <w:tcW w:w="3495" w:type="dxa"/>
            <w:tcBorders>
              <w:top w:val="nil"/>
              <w:bottom w:val="nil"/>
            </w:tcBorders>
            <w:noWrap/>
            <w:vAlign w:val="center"/>
            <w:hideMark/>
          </w:tcPr>
          <w:p w14:paraId="4D7379FF" w14:textId="77777777" w:rsidR="00451AF5" w:rsidRPr="00C41AD3" w:rsidRDefault="00451AF5" w:rsidP="0095207B">
            <w:pPr>
              <w:spacing w:after="0" w:line="276" w:lineRule="auto"/>
              <w:jc w:val="left"/>
              <w:rPr>
                <w:rFonts w:cs="Arial"/>
                <w:b/>
                <w:bCs/>
                <w:sz w:val="16"/>
                <w:szCs w:val="16"/>
              </w:rPr>
            </w:pPr>
            <w:r w:rsidRPr="00C41AD3">
              <w:rPr>
                <w:rFonts w:cs="Arial"/>
                <w:b/>
                <w:bCs/>
                <w:sz w:val="16"/>
                <w:szCs w:val="16"/>
              </w:rPr>
              <w:t>(ως % του ΑΕΠ)</w:t>
            </w:r>
          </w:p>
        </w:tc>
        <w:tc>
          <w:tcPr>
            <w:tcW w:w="835" w:type="dxa"/>
            <w:tcBorders>
              <w:top w:val="nil"/>
              <w:bottom w:val="nil"/>
            </w:tcBorders>
            <w:noWrap/>
            <w:vAlign w:val="center"/>
          </w:tcPr>
          <w:p w14:paraId="621BFBCF"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197,3%</w:t>
            </w:r>
          </w:p>
        </w:tc>
        <w:tc>
          <w:tcPr>
            <w:tcW w:w="835" w:type="dxa"/>
            <w:tcBorders>
              <w:top w:val="nil"/>
              <w:bottom w:val="nil"/>
            </w:tcBorders>
            <w:noWrap/>
            <w:vAlign w:val="center"/>
          </w:tcPr>
          <w:p w14:paraId="66981BAC"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177,0%</w:t>
            </w:r>
          </w:p>
        </w:tc>
        <w:tc>
          <w:tcPr>
            <w:tcW w:w="835" w:type="dxa"/>
            <w:tcBorders>
              <w:top w:val="nil"/>
              <w:bottom w:val="nil"/>
            </w:tcBorders>
            <w:noWrap/>
            <w:vAlign w:val="center"/>
          </w:tcPr>
          <w:p w14:paraId="746A8FC4"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163,9%</w:t>
            </w:r>
          </w:p>
        </w:tc>
        <w:tc>
          <w:tcPr>
            <w:tcW w:w="835" w:type="dxa"/>
            <w:tcBorders>
              <w:top w:val="nil"/>
              <w:bottom w:val="nil"/>
            </w:tcBorders>
            <w:noWrap/>
            <w:vAlign w:val="center"/>
          </w:tcPr>
          <w:p w14:paraId="371A3CD4"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153,6%</w:t>
            </w:r>
          </w:p>
        </w:tc>
        <w:tc>
          <w:tcPr>
            <w:tcW w:w="835" w:type="dxa"/>
            <w:tcBorders>
              <w:top w:val="nil"/>
              <w:bottom w:val="nil"/>
            </w:tcBorders>
            <w:noWrap/>
            <w:vAlign w:val="center"/>
          </w:tcPr>
          <w:p w14:paraId="049C56C7"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145,4%</w:t>
            </w:r>
          </w:p>
        </w:tc>
        <w:tc>
          <w:tcPr>
            <w:tcW w:w="829" w:type="dxa"/>
            <w:tcBorders>
              <w:top w:val="nil"/>
              <w:bottom w:val="nil"/>
            </w:tcBorders>
            <w:noWrap/>
            <w:vAlign w:val="center"/>
          </w:tcPr>
          <w:p w14:paraId="7CB9C7E3" w14:textId="77777777" w:rsidR="00451AF5" w:rsidRPr="001100CB" w:rsidRDefault="00451AF5" w:rsidP="0095207B">
            <w:pPr>
              <w:spacing w:after="0" w:line="276" w:lineRule="auto"/>
              <w:jc w:val="right"/>
              <w:rPr>
                <w:rFonts w:ascii="Arial Narrow" w:hAnsi="Arial Narrow" w:cs="Arial"/>
                <w:b/>
                <w:bCs/>
                <w:sz w:val="16"/>
                <w:szCs w:val="16"/>
              </w:rPr>
            </w:pPr>
            <w:r w:rsidRPr="001100CB">
              <w:rPr>
                <w:rFonts w:ascii="Arial Narrow" w:hAnsi="Arial Narrow" w:cs="Arial"/>
                <w:b/>
                <w:bCs/>
                <w:sz w:val="16"/>
                <w:szCs w:val="16"/>
              </w:rPr>
              <w:t>137,6%</w:t>
            </w:r>
          </w:p>
        </w:tc>
      </w:tr>
      <w:tr w:rsidR="00451AF5" w:rsidRPr="00C41AD3" w14:paraId="6886855F" w14:textId="77777777" w:rsidTr="00B87393">
        <w:trPr>
          <w:trHeight w:val="260"/>
          <w:jc w:val="center"/>
        </w:trPr>
        <w:tc>
          <w:tcPr>
            <w:tcW w:w="3495" w:type="dxa"/>
            <w:tcBorders>
              <w:top w:val="nil"/>
              <w:bottom w:val="single" w:sz="2" w:space="0" w:color="808080" w:themeColor="background1" w:themeShade="80"/>
            </w:tcBorders>
            <w:noWrap/>
            <w:vAlign w:val="center"/>
            <w:hideMark/>
          </w:tcPr>
          <w:p w14:paraId="0353739D" w14:textId="5D5C7FF9" w:rsidR="00451AF5" w:rsidRPr="00C41AD3" w:rsidRDefault="00451AF5" w:rsidP="0095207B">
            <w:pPr>
              <w:spacing w:after="0" w:line="276" w:lineRule="auto"/>
              <w:jc w:val="left"/>
              <w:rPr>
                <w:rFonts w:cs="Arial"/>
                <w:sz w:val="16"/>
                <w:szCs w:val="16"/>
              </w:rPr>
            </w:pPr>
            <w:r w:rsidRPr="00C41AD3">
              <w:rPr>
                <w:rFonts w:cs="Arial"/>
                <w:sz w:val="16"/>
                <w:szCs w:val="16"/>
              </w:rPr>
              <w:t>ΑΕΠ</w:t>
            </w:r>
          </w:p>
        </w:tc>
        <w:tc>
          <w:tcPr>
            <w:tcW w:w="835" w:type="dxa"/>
            <w:tcBorders>
              <w:top w:val="nil"/>
              <w:bottom w:val="single" w:sz="2" w:space="0" w:color="808080" w:themeColor="background1" w:themeShade="80"/>
            </w:tcBorders>
            <w:noWrap/>
            <w:vAlign w:val="center"/>
          </w:tcPr>
          <w:p w14:paraId="3387118C"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184.575</w:t>
            </w:r>
          </w:p>
        </w:tc>
        <w:tc>
          <w:tcPr>
            <w:tcW w:w="835" w:type="dxa"/>
            <w:tcBorders>
              <w:top w:val="nil"/>
              <w:bottom w:val="single" w:sz="2" w:space="0" w:color="808080" w:themeColor="background1" w:themeShade="80"/>
            </w:tcBorders>
            <w:noWrap/>
            <w:vAlign w:val="center"/>
          </w:tcPr>
          <w:p w14:paraId="5FB8F496"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207.854</w:t>
            </w:r>
          </w:p>
        </w:tc>
        <w:tc>
          <w:tcPr>
            <w:tcW w:w="835" w:type="dxa"/>
            <w:tcBorders>
              <w:top w:val="nil"/>
              <w:bottom w:val="single" w:sz="2" w:space="0" w:color="808080" w:themeColor="background1" w:themeShade="80"/>
            </w:tcBorders>
            <w:noWrap/>
            <w:vAlign w:val="center"/>
          </w:tcPr>
          <w:p w14:paraId="558C0F55"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225.197</w:t>
            </w:r>
          </w:p>
        </w:tc>
        <w:tc>
          <w:tcPr>
            <w:tcW w:w="835" w:type="dxa"/>
            <w:tcBorders>
              <w:top w:val="nil"/>
              <w:bottom w:val="single" w:sz="2" w:space="0" w:color="808080" w:themeColor="background1" w:themeShade="80"/>
            </w:tcBorders>
            <w:noWrap/>
            <w:vAlign w:val="center"/>
          </w:tcPr>
          <w:p w14:paraId="79351ED8"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237.573</w:t>
            </w:r>
          </w:p>
        </w:tc>
        <w:tc>
          <w:tcPr>
            <w:tcW w:w="835" w:type="dxa"/>
            <w:tcBorders>
              <w:top w:val="nil"/>
              <w:bottom w:val="single" w:sz="2" w:space="0" w:color="808080" w:themeColor="background1" w:themeShade="80"/>
            </w:tcBorders>
            <w:noWrap/>
            <w:vAlign w:val="center"/>
          </w:tcPr>
          <w:p w14:paraId="05ED450D"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249.576</w:t>
            </w:r>
          </w:p>
        </w:tc>
        <w:tc>
          <w:tcPr>
            <w:tcW w:w="829" w:type="dxa"/>
            <w:tcBorders>
              <w:top w:val="nil"/>
              <w:bottom w:val="single" w:sz="2" w:space="0" w:color="808080" w:themeColor="background1" w:themeShade="80"/>
            </w:tcBorders>
            <w:noWrap/>
            <w:vAlign w:val="center"/>
          </w:tcPr>
          <w:p w14:paraId="7A7EAB82" w14:textId="77777777" w:rsidR="00451AF5" w:rsidRPr="001100CB" w:rsidRDefault="00451AF5" w:rsidP="0095207B">
            <w:pPr>
              <w:spacing w:after="0" w:line="276" w:lineRule="auto"/>
              <w:jc w:val="right"/>
              <w:rPr>
                <w:rFonts w:ascii="Arial Narrow" w:hAnsi="Arial Narrow" w:cs="Arial"/>
                <w:sz w:val="16"/>
                <w:szCs w:val="16"/>
              </w:rPr>
            </w:pPr>
            <w:r w:rsidRPr="001100CB">
              <w:rPr>
                <w:rFonts w:ascii="Arial Narrow" w:hAnsi="Arial Narrow" w:cs="Arial"/>
                <w:sz w:val="16"/>
                <w:szCs w:val="16"/>
              </w:rPr>
              <w:t>260.959</w:t>
            </w:r>
          </w:p>
        </w:tc>
      </w:tr>
      <w:tr w:rsidR="00451AF5" w:rsidRPr="00C41AD3" w14:paraId="1A5487B5" w14:textId="77777777" w:rsidTr="00BD4758">
        <w:trPr>
          <w:trHeight w:val="260"/>
          <w:jc w:val="center"/>
        </w:trPr>
        <w:tc>
          <w:tcPr>
            <w:tcW w:w="8499" w:type="dxa"/>
            <w:gridSpan w:val="7"/>
            <w:tcBorders>
              <w:top w:val="single" w:sz="2" w:space="0" w:color="808080" w:themeColor="background1" w:themeShade="80"/>
              <w:left w:val="nil"/>
              <w:bottom w:val="nil"/>
              <w:right w:val="nil"/>
            </w:tcBorders>
            <w:noWrap/>
            <w:vAlign w:val="center"/>
          </w:tcPr>
          <w:p w14:paraId="0BB78420" w14:textId="77777777" w:rsidR="00451AF5" w:rsidRPr="00C41AD3" w:rsidRDefault="00451AF5" w:rsidP="009B5C19">
            <w:pPr>
              <w:tabs>
                <w:tab w:val="left" w:pos="170"/>
              </w:tabs>
              <w:spacing w:before="60" w:after="0" w:line="276" w:lineRule="auto"/>
              <w:ind w:right="249"/>
              <w:rPr>
                <w:rFonts w:cs="Arial"/>
                <w:sz w:val="16"/>
                <w:szCs w:val="16"/>
              </w:rPr>
            </w:pPr>
            <w:r w:rsidRPr="00C41AD3">
              <w:rPr>
                <w:rFonts w:cs="Arial"/>
                <w:sz w:val="16"/>
                <w:szCs w:val="16"/>
              </w:rPr>
              <w:t>*</w:t>
            </w:r>
            <w:r w:rsidR="00C1556C">
              <w:rPr>
                <w:rFonts w:cs="Arial"/>
                <w:sz w:val="16"/>
                <w:szCs w:val="16"/>
              </w:rPr>
              <w:tab/>
            </w:r>
            <w:r w:rsidRPr="00C41AD3">
              <w:rPr>
                <w:rFonts w:cs="Arial"/>
                <w:sz w:val="16"/>
                <w:szCs w:val="16"/>
              </w:rPr>
              <w:t>Εκτιμήσεις</w:t>
            </w:r>
          </w:p>
        </w:tc>
      </w:tr>
      <w:tr w:rsidR="00451AF5" w:rsidRPr="00C33BC9" w14:paraId="3326DE39" w14:textId="77777777" w:rsidTr="00BD4758">
        <w:trPr>
          <w:trHeight w:val="260"/>
          <w:jc w:val="center"/>
        </w:trPr>
        <w:tc>
          <w:tcPr>
            <w:tcW w:w="8499" w:type="dxa"/>
            <w:gridSpan w:val="7"/>
            <w:tcBorders>
              <w:top w:val="nil"/>
              <w:left w:val="nil"/>
              <w:bottom w:val="nil"/>
              <w:right w:val="nil"/>
            </w:tcBorders>
            <w:noWrap/>
            <w:vAlign w:val="center"/>
          </w:tcPr>
          <w:p w14:paraId="37E6FA8E" w14:textId="77777777" w:rsidR="00451AF5" w:rsidRPr="00D6687B" w:rsidRDefault="00451AF5" w:rsidP="0095207B">
            <w:pPr>
              <w:tabs>
                <w:tab w:val="left" w:pos="170"/>
              </w:tabs>
              <w:spacing w:after="0" w:line="276" w:lineRule="auto"/>
              <w:ind w:right="249"/>
              <w:rPr>
                <w:rFonts w:cs="Arial"/>
                <w:sz w:val="16"/>
                <w:szCs w:val="16"/>
              </w:rPr>
            </w:pPr>
            <w:r w:rsidRPr="00C41AD3">
              <w:rPr>
                <w:rFonts w:cs="Arial"/>
                <w:sz w:val="16"/>
                <w:szCs w:val="16"/>
              </w:rPr>
              <w:t>**</w:t>
            </w:r>
            <w:r w:rsidR="00C1556C">
              <w:rPr>
                <w:rFonts w:cs="Arial"/>
                <w:sz w:val="16"/>
                <w:szCs w:val="16"/>
              </w:rPr>
              <w:tab/>
            </w:r>
            <w:r w:rsidRPr="00C41AD3">
              <w:rPr>
                <w:rFonts w:cs="Arial"/>
                <w:sz w:val="16"/>
                <w:szCs w:val="16"/>
              </w:rPr>
              <w:t>Προβλέψεις</w:t>
            </w:r>
          </w:p>
        </w:tc>
      </w:tr>
    </w:tbl>
    <w:p w14:paraId="7527F2DE" w14:textId="77777777" w:rsidR="009A6D53" w:rsidRPr="00B81C79" w:rsidRDefault="009A6D53" w:rsidP="001758A7">
      <w:pPr>
        <w:pStyle w:val="4"/>
        <w:keepNext w:val="0"/>
      </w:pPr>
      <w:bookmarkStart w:id="544" w:name="_Toc210570693"/>
      <w:r w:rsidRPr="00B81C79">
        <w:t>Δομή και χαρακτηριστικά του χρέους της Κεντρικής Διοίκησης</w:t>
      </w:r>
      <w:bookmarkEnd w:id="544"/>
    </w:p>
    <w:p w14:paraId="189D1767" w14:textId="1F8E7E9A" w:rsidR="00F17175" w:rsidRDefault="00451AF5" w:rsidP="00CD41E9">
      <w:pPr>
        <w:spacing w:after="240"/>
      </w:pPr>
      <w:r w:rsidRPr="00451AF5">
        <w:rPr>
          <w:szCs w:val="22"/>
        </w:rPr>
        <w:t xml:space="preserve">Ο χρονικός ορίζοντας των λήξεων του χρέους </w:t>
      </w:r>
      <w:r w:rsidRPr="00D355D7">
        <w:rPr>
          <w:szCs w:val="22"/>
        </w:rPr>
        <w:t>της Κεντρικής Διοίκησης</w:t>
      </w:r>
      <w:r w:rsidRPr="00D355D7">
        <w:rPr>
          <w:rStyle w:val="ab"/>
          <w:szCs w:val="22"/>
        </w:rPr>
        <w:footnoteReference w:id="7"/>
      </w:r>
      <w:r w:rsidRPr="00D355D7">
        <w:rPr>
          <w:szCs w:val="22"/>
        </w:rPr>
        <w:t xml:space="preserve"> στις</w:t>
      </w:r>
      <w:r w:rsidRPr="00451AF5">
        <w:rPr>
          <w:szCs w:val="22"/>
        </w:rPr>
        <w:t xml:space="preserve"> 31</w:t>
      </w:r>
      <w:r w:rsidR="00275987">
        <w:rPr>
          <w:szCs w:val="22"/>
        </w:rPr>
        <w:t>.</w:t>
      </w:r>
      <w:r w:rsidRPr="00451AF5">
        <w:rPr>
          <w:szCs w:val="22"/>
        </w:rPr>
        <w:t>8</w:t>
      </w:r>
      <w:r w:rsidR="00275987">
        <w:rPr>
          <w:szCs w:val="22"/>
        </w:rPr>
        <w:t>.</w:t>
      </w:r>
      <w:r w:rsidRPr="00451AF5">
        <w:rPr>
          <w:szCs w:val="22"/>
        </w:rPr>
        <w:t xml:space="preserve">2025 εκτείνεται μέχρι το έτος 2070. Η περαιτέρω δανειοδότηση του Ελληνικού Δημοσίου μέσω των αγορών τα επόμενα έτη αναμένεται να αντικαταστήσει σταδιακά τα δάνεια με </w:t>
      </w:r>
      <w:r w:rsidRPr="00D355D7">
        <w:rPr>
          <w:szCs w:val="22"/>
        </w:rPr>
        <w:t xml:space="preserve">ομόλογα </w:t>
      </w:r>
      <w:r w:rsidR="005E45FA" w:rsidRPr="00D355D7">
        <w:rPr>
          <w:szCs w:val="22"/>
        </w:rPr>
        <w:t>(</w:t>
      </w:r>
      <w:r w:rsidR="005E45FA" w:rsidRPr="00D355D7">
        <w:fldChar w:fldCharType="begin"/>
      </w:r>
      <w:r w:rsidR="005E45FA" w:rsidRPr="00D355D7">
        <w:rPr>
          <w:szCs w:val="22"/>
        </w:rPr>
        <w:instrText xml:space="preserve"> REF _Ref210047042 \h </w:instrText>
      </w:r>
      <w:r w:rsidR="005E45FA" w:rsidRPr="00D355D7">
        <w:instrText xml:space="preserve"> \* MERGEFORMAT </w:instrText>
      </w:r>
      <w:r w:rsidR="005E45FA" w:rsidRPr="00D355D7">
        <w:fldChar w:fldCharType="separate"/>
      </w:r>
      <w:r w:rsidR="00C42930" w:rsidRPr="00C42930">
        <w:t>Διάγραμμα 3.1</w:t>
      </w:r>
      <w:r w:rsidR="005E45FA" w:rsidRPr="00D355D7">
        <w:fldChar w:fldCharType="end"/>
      </w:r>
      <w:r w:rsidRPr="00D355D7">
        <w:t>.</w:t>
      </w:r>
      <w:r w:rsidR="005E45FA" w:rsidRPr="00D355D7">
        <w:t>).</w:t>
      </w:r>
      <w:r w:rsidRPr="00D355D7">
        <w:rPr>
          <w:noProof/>
        </w:rPr>
        <mc:AlternateContent>
          <mc:Choice Requires="wps">
            <w:drawing>
              <wp:anchor distT="0" distB="0" distL="114300" distR="114300" simplePos="0" relativeHeight="251663360" behindDoc="0" locked="0" layoutInCell="1" allowOverlap="1" wp14:anchorId="0DCFE001" wp14:editId="7AD144DA">
                <wp:simplePos x="0" y="0"/>
                <wp:positionH relativeFrom="column">
                  <wp:posOffset>328295</wp:posOffset>
                </wp:positionH>
                <wp:positionV relativeFrom="paragraph">
                  <wp:posOffset>3861436</wp:posOffset>
                </wp:positionV>
                <wp:extent cx="1502388" cy="229870"/>
                <wp:effectExtent l="0" t="0" r="0" b="0"/>
                <wp:wrapNone/>
                <wp:docPr id="3" name="TextBox 1"/>
                <wp:cNvGraphicFramePr xmlns:a="http://schemas.openxmlformats.org/drawingml/2006/main"/>
                <a:graphic xmlns:a="http://schemas.openxmlformats.org/drawingml/2006/main">
                  <a:graphicData uri="http://schemas.microsoft.com/office/word/2010/wordprocessingShape">
                    <wps:wsp>
                      <wps:cNvSpPr txBox="1"/>
                      <wps:spPr>
                        <a:xfrm>
                          <a:off x="0" y="0"/>
                          <a:ext cx="1502388" cy="229870"/>
                        </a:xfrm>
                        <a:prstGeom prst="rect">
                          <a:avLst/>
                        </a:prstGeom>
                      </wps:spPr>
                      <wps:txbx>
                        <w:txbxContent>
                          <w:p w14:paraId="53C6B7F9" w14:textId="77777777" w:rsidR="00DB7252" w:rsidRDefault="00DB7252" w:rsidP="00451AF5">
                            <w:pPr>
                              <w:pStyle w:val="Web"/>
                              <w:spacing w:before="0" w:beforeAutospacing="0" w:after="0" w:afterAutospacing="0"/>
                              <w:rPr>
                                <w:sz w:val="24"/>
                              </w:rPr>
                            </w:pPr>
                            <w:r w:rsidRPr="00451AF5">
                              <w:rPr>
                                <w:rFonts w:cs="Arial"/>
                                <w:sz w:val="15"/>
                                <w:szCs w:val="15"/>
                                <w:highlight w:val="cyan"/>
                              </w:rPr>
                              <w:t>Πηγή: ΟΔΔΗΧ</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DCFE001" id="TextBox 1" o:spid="_x0000_s1028" type="#_x0000_t202" style="position:absolute;left:0;text-align:left;margin-left:25.85pt;margin-top:304.05pt;width:118.3pt;height: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cApAEAADMDAAAOAAAAZHJzL2Uyb0RvYy54bWysUk1vEzEQvSP1P1i+N95sRQmrOBVQwQVR&#10;pJYf4HjtrKW1x9iT7ObfM3bSFMoNcRl/zPj5vTezvpv9yA4mZQdB8uWi4cwEDb0LO8l/PH2+XnGW&#10;UYVejRCM5EeT+d3m6s16ip1pYYCxN4kRSMjdFCUfEGMnRNaD8SovIJpASQvJK6Rj2ok+qYnQ/Sja&#10;prkVE6Q+JtAmZ7q9PyX5puJbazQ+WJsNslFy4oY1phq3JYrNWnW7pOLg9JmG+gcWXrlAn16g7hUq&#10;tk/uLyjvdIIMFhcavABrnTZVA6lZNq/UPA4qmqqFzMnxYlP+f7D62+F7Yq6X/IazoDy16MnM+BFm&#10;tqyC6PA1I9kkppi7Wl7MrdvHSG9xpmJqfbGy3Ge6LE7MNvmykkZGeTL/eDGcQJkuj9427c2KRkRT&#10;rm3fr97VjoiX1zFl/GLAs7KRPFFDKy11OLNS3XPJmeLp/8IE5+1cpbXP3LbQH4kyzSs+ULAjTJLr&#10;0UXOJpoByfPPvUqGs4TjJ6gjUyQE+LBHsO5iwwnn/CF1hnZ/tP73c616mfXNLwAAAP//AwBQSwME&#10;FAAGAAgAAAAhAFYhyiTfAAAACgEAAA8AAABkcnMvZG93bnJldi54bWxMj01PwzAMhu9I+w+RJ3Fj&#10;SbdudF3TCYG4ghgfEres8dqKxqmabC3/HnOCo+1Hr5+32E+uExccQutJQ7JQIJAqb1uqNby9Pt5k&#10;IEI0ZE3nCTV8Y4B9ObsqTG79SC94OcRacAiF3GhoYuxzKUPVoDNh4Xskvp384EzkcailHczI4a6T&#10;S6U20pmW+ENjerxvsPo6nJ2G96fT50eqnusHt+5HPylJbiu1vp5PdzsQEaf4B8OvPqtDyU5HfyYb&#10;RKdhndwyqWGjsgQEA8ssW4E48iZNVyDLQv6vUP4AAAD//wMAUEsBAi0AFAAGAAgAAAAhALaDOJL+&#10;AAAA4QEAABMAAAAAAAAAAAAAAAAAAAAAAFtDb250ZW50X1R5cGVzXS54bWxQSwECLQAUAAYACAAA&#10;ACEAOP0h/9YAAACUAQAACwAAAAAAAAAAAAAAAAAvAQAAX3JlbHMvLnJlbHNQSwECLQAUAAYACAAA&#10;ACEADZdHAKQBAAAzAwAADgAAAAAAAAAAAAAAAAAuAgAAZHJzL2Uyb0RvYy54bWxQSwECLQAUAAYA&#10;CAAAACEAViHKJN8AAAAKAQAADwAAAAAAAAAAAAAAAAD+AwAAZHJzL2Rvd25yZXYueG1sUEsFBgAA&#10;AAAEAAQA8wAAAAoFAAAAAA==&#10;" filled="f" stroked="f">
                <v:textbox>
                  <w:txbxContent>
                    <w:p w14:paraId="53C6B7F9" w14:textId="77777777" w:rsidR="00DB7252" w:rsidRDefault="00DB7252" w:rsidP="00451AF5">
                      <w:pPr>
                        <w:pStyle w:val="Web"/>
                        <w:spacing w:before="0" w:beforeAutospacing="0" w:after="0" w:afterAutospacing="0"/>
                        <w:rPr>
                          <w:sz w:val="24"/>
                        </w:rPr>
                      </w:pPr>
                      <w:proofErr w:type="spellStart"/>
                      <w:r w:rsidRPr="00451AF5">
                        <w:rPr>
                          <w:rFonts w:cs="Arial"/>
                          <w:sz w:val="15"/>
                          <w:szCs w:val="15"/>
                          <w:highlight w:val="cyan"/>
                        </w:rPr>
                        <w:t>Πηγή</w:t>
                      </w:r>
                      <w:proofErr w:type="spellEnd"/>
                      <w:r w:rsidRPr="00451AF5">
                        <w:rPr>
                          <w:rFonts w:cs="Arial"/>
                          <w:sz w:val="15"/>
                          <w:szCs w:val="15"/>
                          <w:highlight w:val="cyan"/>
                        </w:rPr>
                        <w:t xml:space="preserve">: </w:t>
                      </w:r>
                      <w:proofErr w:type="spellStart"/>
                      <w:r w:rsidRPr="00451AF5">
                        <w:rPr>
                          <w:rFonts w:cs="Arial"/>
                          <w:sz w:val="15"/>
                          <w:szCs w:val="15"/>
                          <w:highlight w:val="cyan"/>
                        </w:rPr>
                        <w:t>ΟΔΔΗΧ</w:t>
                      </w:r>
                      <w:proofErr w:type="spellEnd"/>
                    </w:p>
                  </w:txbxContent>
                </v:textbox>
              </v:shape>
            </w:pict>
          </mc:Fallback>
        </mc:AlternateContent>
      </w:r>
    </w:p>
    <w:p w14:paraId="5D977B7F" w14:textId="17906EEC" w:rsidR="00C32D6B" w:rsidRPr="00183732" w:rsidRDefault="00C32D6B" w:rsidP="0095207B">
      <w:pPr>
        <w:pStyle w:val="afc"/>
        <w:keepNext/>
        <w:keepLines/>
        <w:spacing w:after="60" w:line="276" w:lineRule="auto"/>
        <w:jc w:val="center"/>
        <w:rPr>
          <w:rFonts w:cs="Arial"/>
          <w:sz w:val="18"/>
          <w:szCs w:val="18"/>
        </w:rPr>
      </w:pPr>
      <w:bookmarkStart w:id="545" w:name="_Ref210047042"/>
      <w:bookmarkStart w:id="546" w:name="_Toc210570708"/>
      <w:r w:rsidRPr="00183732">
        <w:rPr>
          <w:sz w:val="18"/>
          <w:szCs w:val="18"/>
        </w:rPr>
        <w:lastRenderedPageBreak/>
        <w:t>Διάγραμμα 3.</w:t>
      </w:r>
      <w:r w:rsidR="00E863CD" w:rsidRPr="00183732">
        <w:rPr>
          <w:sz w:val="18"/>
          <w:szCs w:val="18"/>
        </w:rPr>
        <w:fldChar w:fldCharType="begin"/>
      </w:r>
      <w:r w:rsidR="00E863CD" w:rsidRPr="00183732">
        <w:rPr>
          <w:sz w:val="18"/>
          <w:szCs w:val="18"/>
        </w:rPr>
        <w:instrText xml:space="preserve"> SEQ Διάγραμμα_3. \* ARABIC </w:instrText>
      </w:r>
      <w:r w:rsidR="00E863CD" w:rsidRPr="00183732">
        <w:rPr>
          <w:sz w:val="18"/>
          <w:szCs w:val="18"/>
        </w:rPr>
        <w:fldChar w:fldCharType="separate"/>
      </w:r>
      <w:r w:rsidR="00C42930">
        <w:rPr>
          <w:noProof/>
          <w:sz w:val="18"/>
          <w:szCs w:val="18"/>
        </w:rPr>
        <w:t>1</w:t>
      </w:r>
      <w:r w:rsidR="00E863CD" w:rsidRPr="00183732">
        <w:rPr>
          <w:noProof/>
          <w:sz w:val="18"/>
          <w:szCs w:val="18"/>
        </w:rPr>
        <w:fldChar w:fldCharType="end"/>
      </w:r>
      <w:bookmarkEnd w:id="545"/>
      <w:r w:rsidRPr="00183732">
        <w:rPr>
          <w:sz w:val="18"/>
          <w:szCs w:val="18"/>
        </w:rPr>
        <w:t>.:</w:t>
      </w:r>
      <w:r w:rsidRPr="00183732">
        <w:rPr>
          <w:rFonts w:cs="Arial"/>
          <w:sz w:val="18"/>
          <w:szCs w:val="18"/>
        </w:rPr>
        <w:t xml:space="preserve"> Χρονοδιάγραμμα λήξης χρέους της Κεντρικής Διοίκησης την 31</w:t>
      </w:r>
      <w:r w:rsidR="005D3166" w:rsidRPr="00183732">
        <w:rPr>
          <w:rFonts w:cs="Arial"/>
          <w:sz w:val="18"/>
          <w:szCs w:val="18"/>
        </w:rPr>
        <w:t>η</w:t>
      </w:r>
      <w:r w:rsidRPr="00183732">
        <w:rPr>
          <w:rFonts w:cs="Arial"/>
          <w:sz w:val="18"/>
          <w:szCs w:val="18"/>
        </w:rPr>
        <w:t>.8.2025 (σε εκατ. ευρώ)</w:t>
      </w:r>
      <w:bookmarkEnd w:id="546"/>
    </w:p>
    <w:p w14:paraId="17699001" w14:textId="77777777" w:rsidR="00BC5FA0" w:rsidRDefault="00BC5FA0" w:rsidP="00A57D18">
      <w:pPr>
        <w:spacing w:after="0"/>
        <w:jc w:val="center"/>
      </w:pPr>
      <w:r>
        <w:rPr>
          <w:noProof/>
        </w:rPr>
        <w:drawing>
          <wp:inline distT="0" distB="0" distL="0" distR="0" wp14:anchorId="494B4BC4" wp14:editId="68A67FAF">
            <wp:extent cx="5759450" cy="2687541"/>
            <wp:effectExtent l="0" t="0" r="12700" b="17780"/>
            <wp:docPr id="4" name="Γράφημα 4">
              <a:extLst xmlns:a="http://schemas.openxmlformats.org/drawingml/2006/main">
                <a:ext uri="{FF2B5EF4-FFF2-40B4-BE49-F238E27FC236}">
                  <a16:creationId xmlns:a16="http://schemas.microsoft.com/office/drawing/2014/main" id="{BE20F248-D6C7-49A0-B4DF-0D1674B94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C63A2C" w14:textId="77777777" w:rsidR="00183732" w:rsidRPr="00183732" w:rsidRDefault="00183732" w:rsidP="007B11B4">
      <w:pPr>
        <w:spacing w:before="60" w:after="0" w:line="276" w:lineRule="auto"/>
        <w:rPr>
          <w:sz w:val="16"/>
        </w:rPr>
      </w:pPr>
      <w:r w:rsidRPr="00183732">
        <w:rPr>
          <w:sz w:val="16"/>
        </w:rPr>
        <w:t>Πηγή: ΟΔΔΗΧ</w:t>
      </w:r>
    </w:p>
    <w:p w14:paraId="1AB29296" w14:textId="77777777" w:rsidR="009A6D53" w:rsidRPr="00AB1AA8" w:rsidRDefault="009A6D53" w:rsidP="001758A7">
      <w:pPr>
        <w:pStyle w:val="3"/>
        <w:keepNext w:val="0"/>
      </w:pPr>
      <w:bookmarkStart w:id="547" w:name="_Toc210570694"/>
      <w:r w:rsidRPr="00D348F3">
        <w:t>Δαπάνες</w:t>
      </w:r>
      <w:r w:rsidRPr="00AB1AA8">
        <w:t xml:space="preserve"> εξυπηρέτησης χρέους</w:t>
      </w:r>
      <w:bookmarkEnd w:id="547"/>
    </w:p>
    <w:p w14:paraId="4FAE4DD9" w14:textId="1644D648" w:rsidR="00BB06F4" w:rsidRDefault="00BB06F4" w:rsidP="00C4014C">
      <w:pPr>
        <w:spacing w:after="240"/>
      </w:pPr>
      <w:r w:rsidRPr="00B82F37">
        <w:t xml:space="preserve">Όπως </w:t>
      </w:r>
      <w:r w:rsidR="00D404F7">
        <w:t xml:space="preserve">αποτυπώνεται παρακάτω </w:t>
      </w:r>
      <w:r w:rsidR="00D404F7" w:rsidRPr="00D355D7">
        <w:t>(</w:t>
      </w:r>
      <w:r w:rsidR="00D404F7" w:rsidRPr="00D355D7">
        <w:fldChar w:fldCharType="begin"/>
      </w:r>
      <w:r w:rsidR="00D404F7" w:rsidRPr="00D355D7">
        <w:instrText xml:space="preserve"> REF _Ref146821971 \h  \* MERGEFORMAT </w:instrText>
      </w:r>
      <w:r w:rsidR="00D404F7" w:rsidRPr="00D355D7">
        <w:fldChar w:fldCharType="separate"/>
      </w:r>
      <w:r w:rsidR="00C42930" w:rsidRPr="00C42930">
        <w:t>Πίνακας 3.2</w:t>
      </w:r>
      <w:r w:rsidR="00D404F7" w:rsidRPr="00D355D7">
        <w:fldChar w:fldCharType="end"/>
      </w:r>
      <w:r w:rsidR="00D404F7" w:rsidRPr="00D355D7">
        <w:t>.)</w:t>
      </w:r>
      <w:r w:rsidRPr="00D355D7">
        <w:t>,</w:t>
      </w:r>
      <w:r w:rsidRPr="00B82F37">
        <w:t xml:space="preserve"> οι δαπάνες για τόκους του χρέους της Κεντρικής Διοίκησης</w:t>
      </w:r>
      <w:r>
        <w:t xml:space="preserve"> μετά το 2021</w:t>
      </w:r>
      <w:r w:rsidRPr="00B82F37">
        <w:t xml:space="preserve"> διαμορφώνονται κοντά στα επίπεδα των </w:t>
      </w:r>
      <w:r>
        <w:t>6</w:t>
      </w:r>
      <w:r w:rsidRPr="00B82F37">
        <w:t>.</w:t>
      </w:r>
      <w:r>
        <w:t>0</w:t>
      </w:r>
      <w:r w:rsidRPr="00B82F37">
        <w:t>00</w:t>
      </w:r>
      <w:r w:rsidR="00D404F7">
        <w:t xml:space="preserve"> </w:t>
      </w:r>
      <w:r w:rsidRPr="00B82F37">
        <w:t>-</w:t>
      </w:r>
      <w:r w:rsidR="00D404F7">
        <w:t xml:space="preserve"> </w:t>
      </w:r>
      <w:r>
        <w:t>7</w:t>
      </w:r>
      <w:r w:rsidRPr="00B82F37">
        <w:t>.</w:t>
      </w:r>
      <w:r>
        <w:t>00</w:t>
      </w:r>
      <w:r w:rsidRPr="00B82F37">
        <w:t>0 εκατ. ευρώ, ήτοι 2,</w:t>
      </w:r>
      <w:r>
        <w:t>9</w:t>
      </w:r>
      <w:r w:rsidRPr="00B82F37">
        <w:t>%</w:t>
      </w:r>
      <w:r w:rsidR="00D404F7">
        <w:t xml:space="preserve"> </w:t>
      </w:r>
      <w:r w:rsidRPr="00B82F37">
        <w:t>-</w:t>
      </w:r>
      <w:r w:rsidR="00D404F7">
        <w:t xml:space="preserve"> </w:t>
      </w:r>
      <w:r w:rsidRPr="00B82F37">
        <w:t>3,</w:t>
      </w:r>
      <w:r>
        <w:t>0</w:t>
      </w:r>
      <w:r w:rsidRPr="00B82F37">
        <w:t xml:space="preserve">% </w:t>
      </w:r>
      <w:r w:rsidR="00D404F7">
        <w:t xml:space="preserve">περίπου </w:t>
      </w:r>
      <w:r w:rsidRPr="00B82F37">
        <w:t xml:space="preserve">ως ποσοστό του </w:t>
      </w:r>
      <w:r w:rsidRPr="00F17175">
        <w:t>ΑΕΠ</w:t>
      </w:r>
      <w:r w:rsidR="00F17175" w:rsidRPr="00F17175">
        <w:t xml:space="preserve">. </w:t>
      </w:r>
      <w:r w:rsidRPr="00F17175">
        <w:t>Σε</w:t>
      </w:r>
      <w:r w:rsidRPr="00DF29FA">
        <w:t xml:space="preserve"> επίπεδο Γενικής Κυβέρνησης οι δαπάνες για τόκους μετά swap αναμένεται να </w:t>
      </w:r>
      <w:r w:rsidRPr="00C103C4">
        <w:t>διαμορφωθούν κοντά στα επίπεδα των 5.000 εκατ. ευρώ για τα έτη 2025 και 2026.</w:t>
      </w:r>
      <w:r w:rsidRPr="00DF29FA">
        <w:t xml:space="preserve"> </w:t>
      </w:r>
      <w:r w:rsidRPr="00B82F37">
        <w:t>Οι μειωμένες δαπάνες τόκων τα τελευταία χρόνια οφείλονται στη μείωση του ύψους του δημόσιου χρέους μετά την ανταλλαγή των ομολόγων (</w:t>
      </w:r>
      <w:r w:rsidRPr="00B82F37">
        <w:rPr>
          <w:lang w:val="en-US"/>
        </w:rPr>
        <w:t>PSI</w:t>
      </w:r>
      <w:r w:rsidRPr="00B82F37">
        <w:t>) του Μαρτίου 2012 και την επαναγορά του Δεκεμβρίου 2012, στη μείωση των επιτοκίων των δανείων του Μηχανισμού Στήριξης και την αναβολή καταβολής τόκων για τα δάνεια που χορηγήθηκαν από το Ευρωπαϊκό Ταμείο Χρηματοπιστωτικής Σταθερότητας</w:t>
      </w:r>
      <w:r w:rsidR="00BB7E55">
        <w:t xml:space="preserve"> (ΕΤΧΣ)</w:t>
      </w:r>
      <w:r w:rsidRPr="00B82F37">
        <w:t xml:space="preserve"> καθώς επίσης και στις συμφωνίες ανταλλαγής επιτοκίων.</w:t>
      </w:r>
    </w:p>
    <w:tbl>
      <w:tblPr>
        <w:tblW w:w="0" w:type="auto"/>
        <w:jc w:val="center"/>
        <w:tblLook w:val="04A0" w:firstRow="1" w:lastRow="0" w:firstColumn="1" w:lastColumn="0" w:noHBand="0" w:noVBand="1"/>
      </w:tblPr>
      <w:tblGrid>
        <w:gridCol w:w="3321"/>
        <w:gridCol w:w="954"/>
        <w:gridCol w:w="965"/>
        <w:gridCol w:w="965"/>
        <w:gridCol w:w="939"/>
        <w:gridCol w:w="939"/>
        <w:gridCol w:w="939"/>
      </w:tblGrid>
      <w:tr w:rsidR="00EC6BE6" w:rsidRPr="007E1D14" w14:paraId="04C18EBB" w14:textId="77777777" w:rsidTr="00BD4758">
        <w:trPr>
          <w:cantSplit/>
          <w:trHeight w:val="283"/>
          <w:jc w:val="center"/>
        </w:trPr>
        <w:tc>
          <w:tcPr>
            <w:tcW w:w="9022" w:type="dxa"/>
            <w:gridSpan w:val="7"/>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D5DCE4"/>
            <w:noWrap/>
            <w:vAlign w:val="center"/>
            <w:hideMark/>
          </w:tcPr>
          <w:p w14:paraId="6CED5100" w14:textId="61A734BC" w:rsidR="0046639F" w:rsidRDefault="00EA0338" w:rsidP="0095207B">
            <w:pPr>
              <w:spacing w:after="0" w:line="276" w:lineRule="auto"/>
              <w:jc w:val="center"/>
              <w:rPr>
                <w:b/>
                <w:bCs/>
                <w:sz w:val="18"/>
                <w:szCs w:val="18"/>
              </w:rPr>
            </w:pPr>
            <w:bookmarkStart w:id="548" w:name="_Ref146821971"/>
            <w:bookmarkStart w:id="549" w:name="_Toc210570902"/>
            <w:r w:rsidRPr="00EA0338">
              <w:rPr>
                <w:b/>
                <w:bCs/>
                <w:sz w:val="18"/>
                <w:szCs w:val="18"/>
              </w:rPr>
              <w:t>Πίνακας 3.</w:t>
            </w:r>
            <w:r w:rsidRPr="00EA0338">
              <w:rPr>
                <w:b/>
                <w:bCs/>
                <w:sz w:val="18"/>
                <w:szCs w:val="18"/>
              </w:rPr>
              <w:fldChar w:fldCharType="begin"/>
            </w:r>
            <w:r w:rsidRPr="00EA0338">
              <w:rPr>
                <w:b/>
                <w:bCs/>
                <w:sz w:val="18"/>
                <w:szCs w:val="18"/>
              </w:rPr>
              <w:instrText xml:space="preserve"> SEQ Πίνακας_3. \* ARABIC </w:instrText>
            </w:r>
            <w:r w:rsidRPr="00EA0338">
              <w:rPr>
                <w:b/>
                <w:bCs/>
                <w:sz w:val="18"/>
                <w:szCs w:val="18"/>
              </w:rPr>
              <w:fldChar w:fldCharType="separate"/>
            </w:r>
            <w:r w:rsidR="00C42930">
              <w:rPr>
                <w:b/>
                <w:bCs/>
                <w:noProof/>
                <w:sz w:val="18"/>
                <w:szCs w:val="18"/>
              </w:rPr>
              <w:t>2</w:t>
            </w:r>
            <w:r w:rsidRPr="00EA0338">
              <w:rPr>
                <w:b/>
                <w:bCs/>
                <w:sz w:val="18"/>
                <w:szCs w:val="18"/>
              </w:rPr>
              <w:fldChar w:fldCharType="end"/>
            </w:r>
            <w:bookmarkEnd w:id="548"/>
            <w:r w:rsidR="00551A4F" w:rsidRPr="00EA0338">
              <w:rPr>
                <w:b/>
                <w:bCs/>
                <w:sz w:val="18"/>
                <w:szCs w:val="18"/>
              </w:rPr>
              <w:t xml:space="preserve">.: </w:t>
            </w:r>
            <w:r w:rsidR="00EC6BE6" w:rsidRPr="007E1D14">
              <w:rPr>
                <w:b/>
                <w:bCs/>
                <w:sz w:val="18"/>
                <w:szCs w:val="18"/>
              </w:rPr>
              <w:t xml:space="preserve">Ύψος δαπανών για τόκους χρέους </w:t>
            </w:r>
            <w:r w:rsidR="0057085D">
              <w:rPr>
                <w:b/>
                <w:bCs/>
                <w:sz w:val="18"/>
                <w:szCs w:val="18"/>
              </w:rPr>
              <w:t xml:space="preserve">της </w:t>
            </w:r>
            <w:r w:rsidR="00EC6BE6" w:rsidRPr="007E1D14">
              <w:rPr>
                <w:b/>
                <w:bCs/>
                <w:sz w:val="18"/>
                <w:szCs w:val="18"/>
              </w:rPr>
              <w:t>Κεντρικής Διοίκησης</w:t>
            </w:r>
            <w:bookmarkEnd w:id="549"/>
          </w:p>
          <w:p w14:paraId="67495EAA" w14:textId="77777777" w:rsidR="00EC6BE6" w:rsidRPr="007E1D14" w:rsidRDefault="00C845A5" w:rsidP="0095207B">
            <w:pPr>
              <w:spacing w:after="0" w:line="276" w:lineRule="auto"/>
              <w:jc w:val="center"/>
              <w:rPr>
                <w:b/>
                <w:bCs/>
                <w:sz w:val="18"/>
                <w:szCs w:val="18"/>
              </w:rPr>
            </w:pPr>
            <w:r w:rsidRPr="007E1D14">
              <w:rPr>
                <w:b/>
                <w:bCs/>
                <w:sz w:val="18"/>
                <w:szCs w:val="18"/>
              </w:rPr>
              <w:t>(ποσά σε εκατ. ευρώ)</w:t>
            </w:r>
          </w:p>
        </w:tc>
      </w:tr>
      <w:tr w:rsidR="00EC6BE6" w:rsidRPr="007E1D14" w14:paraId="4DD778A3" w14:textId="77777777" w:rsidTr="00BD4758">
        <w:trPr>
          <w:cantSplit/>
          <w:trHeight w:val="304"/>
          <w:jc w:val="center"/>
        </w:trPr>
        <w:tc>
          <w:tcPr>
            <w:tcW w:w="3321" w:type="dxa"/>
            <w:tcBorders>
              <w:left w:val="single" w:sz="2" w:space="0" w:color="808080" w:themeColor="background1" w:themeShade="80"/>
            </w:tcBorders>
            <w:shd w:val="clear" w:color="auto" w:fill="F2F2F2" w:themeFill="background1" w:themeFillShade="F2"/>
            <w:noWrap/>
            <w:vAlign w:val="center"/>
            <w:hideMark/>
          </w:tcPr>
          <w:p w14:paraId="108D4FCA" w14:textId="01BE7010" w:rsidR="00EC6BE6" w:rsidRPr="007E1D14" w:rsidRDefault="00EC6BE6" w:rsidP="00BD4A3B">
            <w:pPr>
              <w:spacing w:after="0" w:line="240" w:lineRule="auto"/>
              <w:jc w:val="center"/>
              <w:rPr>
                <w:sz w:val="16"/>
                <w:szCs w:val="16"/>
              </w:rPr>
            </w:pPr>
          </w:p>
        </w:tc>
        <w:tc>
          <w:tcPr>
            <w:tcW w:w="954" w:type="dxa"/>
            <w:shd w:val="clear" w:color="auto" w:fill="F2F2F2" w:themeFill="background1" w:themeFillShade="F2"/>
            <w:vAlign w:val="center"/>
            <w:hideMark/>
          </w:tcPr>
          <w:p w14:paraId="183AA02C" w14:textId="77777777" w:rsidR="00EC6BE6" w:rsidRPr="006C2C99" w:rsidRDefault="00EC6BE6" w:rsidP="00BD4A3B">
            <w:pPr>
              <w:spacing w:after="0" w:line="240" w:lineRule="auto"/>
              <w:jc w:val="center"/>
              <w:rPr>
                <w:b/>
                <w:bCs/>
                <w:sz w:val="18"/>
                <w:szCs w:val="18"/>
              </w:rPr>
            </w:pPr>
            <w:r w:rsidRPr="006C2C99">
              <w:rPr>
                <w:b/>
                <w:bCs/>
                <w:sz w:val="18"/>
                <w:szCs w:val="18"/>
              </w:rPr>
              <w:t>20</w:t>
            </w:r>
            <w:r w:rsidR="008927CE" w:rsidRPr="006C2C99">
              <w:rPr>
                <w:b/>
                <w:bCs/>
                <w:sz w:val="18"/>
                <w:szCs w:val="18"/>
              </w:rPr>
              <w:t>2</w:t>
            </w:r>
            <w:r w:rsidR="00BB06F4">
              <w:rPr>
                <w:b/>
                <w:bCs/>
                <w:sz w:val="18"/>
                <w:szCs w:val="18"/>
              </w:rPr>
              <w:t>1</w:t>
            </w:r>
          </w:p>
        </w:tc>
        <w:tc>
          <w:tcPr>
            <w:tcW w:w="965" w:type="dxa"/>
            <w:shd w:val="clear" w:color="auto" w:fill="F2F2F2" w:themeFill="background1" w:themeFillShade="F2"/>
            <w:vAlign w:val="center"/>
            <w:hideMark/>
          </w:tcPr>
          <w:p w14:paraId="1C1F7CC5" w14:textId="77777777" w:rsidR="00EC6BE6" w:rsidRPr="006C2C99" w:rsidRDefault="00BB06F4" w:rsidP="00BD4A3B">
            <w:pPr>
              <w:spacing w:after="0" w:line="240" w:lineRule="auto"/>
              <w:jc w:val="center"/>
              <w:rPr>
                <w:b/>
                <w:bCs/>
                <w:sz w:val="18"/>
                <w:szCs w:val="18"/>
              </w:rPr>
            </w:pPr>
            <w:r>
              <w:rPr>
                <w:b/>
                <w:bCs/>
                <w:sz w:val="18"/>
                <w:szCs w:val="18"/>
              </w:rPr>
              <w:t>2022</w:t>
            </w:r>
          </w:p>
        </w:tc>
        <w:tc>
          <w:tcPr>
            <w:tcW w:w="965" w:type="dxa"/>
            <w:shd w:val="clear" w:color="auto" w:fill="F2F2F2" w:themeFill="background1" w:themeFillShade="F2"/>
            <w:vAlign w:val="center"/>
            <w:hideMark/>
          </w:tcPr>
          <w:p w14:paraId="7F0261A9" w14:textId="77777777" w:rsidR="00EC6BE6" w:rsidRPr="006C2C99" w:rsidRDefault="00BB06F4" w:rsidP="00BD4A3B">
            <w:pPr>
              <w:spacing w:after="0" w:line="240" w:lineRule="auto"/>
              <w:jc w:val="center"/>
              <w:rPr>
                <w:b/>
                <w:bCs/>
                <w:sz w:val="18"/>
                <w:szCs w:val="18"/>
              </w:rPr>
            </w:pPr>
            <w:r>
              <w:rPr>
                <w:b/>
                <w:bCs/>
                <w:sz w:val="18"/>
                <w:szCs w:val="18"/>
              </w:rPr>
              <w:t>2023</w:t>
            </w:r>
          </w:p>
        </w:tc>
        <w:tc>
          <w:tcPr>
            <w:tcW w:w="939" w:type="dxa"/>
            <w:shd w:val="clear" w:color="auto" w:fill="F2F2F2" w:themeFill="background1" w:themeFillShade="F2"/>
            <w:noWrap/>
            <w:vAlign w:val="center"/>
            <w:hideMark/>
          </w:tcPr>
          <w:p w14:paraId="19699745" w14:textId="77777777" w:rsidR="00EC6BE6" w:rsidRPr="006C2C99" w:rsidRDefault="00BB06F4" w:rsidP="00BD4A3B">
            <w:pPr>
              <w:spacing w:after="0" w:line="240" w:lineRule="auto"/>
              <w:jc w:val="center"/>
              <w:rPr>
                <w:b/>
                <w:bCs/>
                <w:sz w:val="18"/>
                <w:szCs w:val="18"/>
              </w:rPr>
            </w:pPr>
            <w:r>
              <w:rPr>
                <w:b/>
                <w:bCs/>
                <w:sz w:val="18"/>
                <w:szCs w:val="18"/>
              </w:rPr>
              <w:t>2024</w:t>
            </w:r>
          </w:p>
        </w:tc>
        <w:tc>
          <w:tcPr>
            <w:tcW w:w="939" w:type="dxa"/>
            <w:shd w:val="clear" w:color="auto" w:fill="F2F2F2" w:themeFill="background1" w:themeFillShade="F2"/>
            <w:noWrap/>
            <w:vAlign w:val="center"/>
            <w:hideMark/>
          </w:tcPr>
          <w:p w14:paraId="02DCE3BF" w14:textId="77777777" w:rsidR="00EC6BE6" w:rsidRPr="006C2C99" w:rsidRDefault="00EC6BE6" w:rsidP="00BD4A3B">
            <w:pPr>
              <w:spacing w:after="0" w:line="240" w:lineRule="auto"/>
              <w:jc w:val="center"/>
              <w:rPr>
                <w:b/>
                <w:bCs/>
                <w:sz w:val="18"/>
                <w:szCs w:val="18"/>
              </w:rPr>
            </w:pPr>
            <w:r w:rsidRPr="006C2C99">
              <w:rPr>
                <w:b/>
                <w:bCs/>
                <w:sz w:val="18"/>
                <w:szCs w:val="18"/>
              </w:rPr>
              <w:t>202</w:t>
            </w:r>
            <w:r w:rsidR="00BB06F4">
              <w:rPr>
                <w:b/>
                <w:bCs/>
                <w:sz w:val="18"/>
                <w:szCs w:val="18"/>
              </w:rPr>
              <w:t>5</w:t>
            </w:r>
            <w:r w:rsidRPr="006C2C99">
              <w:rPr>
                <w:b/>
                <w:bCs/>
                <w:sz w:val="18"/>
                <w:szCs w:val="18"/>
              </w:rPr>
              <w:t>*</w:t>
            </w:r>
          </w:p>
        </w:tc>
        <w:tc>
          <w:tcPr>
            <w:tcW w:w="939" w:type="dxa"/>
            <w:tcBorders>
              <w:right w:val="single" w:sz="2" w:space="0" w:color="808080" w:themeColor="background1" w:themeShade="80"/>
            </w:tcBorders>
            <w:shd w:val="clear" w:color="auto" w:fill="F2F2F2" w:themeFill="background1" w:themeFillShade="F2"/>
            <w:noWrap/>
            <w:vAlign w:val="center"/>
            <w:hideMark/>
          </w:tcPr>
          <w:p w14:paraId="6F19DA45" w14:textId="77777777" w:rsidR="00EC6BE6" w:rsidRPr="006C2C99" w:rsidRDefault="00EC6BE6" w:rsidP="00BD4A3B">
            <w:pPr>
              <w:spacing w:after="0" w:line="240" w:lineRule="auto"/>
              <w:jc w:val="center"/>
              <w:rPr>
                <w:b/>
                <w:bCs/>
                <w:sz w:val="18"/>
                <w:szCs w:val="18"/>
              </w:rPr>
            </w:pPr>
            <w:r w:rsidRPr="006C2C99">
              <w:rPr>
                <w:b/>
                <w:bCs/>
                <w:sz w:val="18"/>
                <w:szCs w:val="18"/>
              </w:rPr>
              <w:t>202</w:t>
            </w:r>
            <w:r w:rsidR="00BB06F4">
              <w:rPr>
                <w:b/>
                <w:bCs/>
                <w:sz w:val="18"/>
                <w:szCs w:val="18"/>
              </w:rPr>
              <w:t>6</w:t>
            </w:r>
            <w:r w:rsidRPr="006C2C99">
              <w:rPr>
                <w:b/>
                <w:bCs/>
                <w:sz w:val="18"/>
                <w:szCs w:val="18"/>
              </w:rPr>
              <w:t>**</w:t>
            </w:r>
          </w:p>
        </w:tc>
      </w:tr>
      <w:tr w:rsidR="00BB06F4" w:rsidRPr="00EC6BE6" w14:paraId="1DB9B25E" w14:textId="77777777" w:rsidTr="00BD4C4C">
        <w:trPr>
          <w:cantSplit/>
          <w:trHeight w:val="283"/>
          <w:jc w:val="center"/>
        </w:trPr>
        <w:tc>
          <w:tcPr>
            <w:tcW w:w="3321" w:type="dxa"/>
            <w:tcBorders>
              <w:left w:val="single" w:sz="2" w:space="0" w:color="808080" w:themeColor="background1" w:themeShade="80"/>
            </w:tcBorders>
            <w:noWrap/>
            <w:vAlign w:val="center"/>
            <w:hideMark/>
          </w:tcPr>
          <w:p w14:paraId="5E3BE173" w14:textId="77777777" w:rsidR="00BB06F4" w:rsidRPr="007E1D14" w:rsidRDefault="00BB06F4" w:rsidP="00BD4C4C">
            <w:pPr>
              <w:spacing w:after="0" w:line="276" w:lineRule="auto"/>
              <w:jc w:val="left"/>
              <w:rPr>
                <w:sz w:val="16"/>
                <w:szCs w:val="16"/>
              </w:rPr>
            </w:pPr>
            <w:r w:rsidRPr="007E1D14">
              <w:rPr>
                <w:sz w:val="16"/>
                <w:szCs w:val="16"/>
              </w:rPr>
              <w:t>Τόκοι προ SWAP</w:t>
            </w:r>
          </w:p>
        </w:tc>
        <w:tc>
          <w:tcPr>
            <w:tcW w:w="954" w:type="dxa"/>
            <w:shd w:val="clear" w:color="000000" w:fill="FFFFFF"/>
            <w:noWrap/>
            <w:vAlign w:val="center"/>
          </w:tcPr>
          <w:p w14:paraId="3A44E99F" w14:textId="77777777" w:rsidR="00BB06F4" w:rsidRPr="00BB7E55" w:rsidRDefault="00BB06F4" w:rsidP="00BD4C4C">
            <w:pPr>
              <w:spacing w:after="0" w:line="276" w:lineRule="auto"/>
              <w:jc w:val="right"/>
              <w:rPr>
                <w:rFonts w:cs="Arial"/>
                <w:sz w:val="16"/>
                <w:szCs w:val="16"/>
              </w:rPr>
            </w:pPr>
            <w:r w:rsidRPr="00BB7E55">
              <w:rPr>
                <w:rFonts w:cs="Arial"/>
                <w:sz w:val="16"/>
                <w:szCs w:val="16"/>
              </w:rPr>
              <w:t>4.504</w:t>
            </w:r>
          </w:p>
        </w:tc>
        <w:tc>
          <w:tcPr>
            <w:tcW w:w="965" w:type="dxa"/>
            <w:shd w:val="clear" w:color="000000" w:fill="FFFFFF"/>
            <w:noWrap/>
            <w:vAlign w:val="center"/>
          </w:tcPr>
          <w:p w14:paraId="00C3415F" w14:textId="77777777" w:rsidR="00BB06F4" w:rsidRPr="00BB7E55" w:rsidRDefault="00BB06F4" w:rsidP="00BD4C4C">
            <w:pPr>
              <w:spacing w:after="0" w:line="276" w:lineRule="auto"/>
              <w:jc w:val="right"/>
              <w:rPr>
                <w:rFonts w:cs="Arial"/>
                <w:sz w:val="16"/>
                <w:szCs w:val="16"/>
              </w:rPr>
            </w:pPr>
            <w:r w:rsidRPr="00BB7E55">
              <w:rPr>
                <w:rFonts w:cs="Arial"/>
                <w:sz w:val="16"/>
                <w:szCs w:val="16"/>
              </w:rPr>
              <w:t>4.917</w:t>
            </w:r>
          </w:p>
        </w:tc>
        <w:tc>
          <w:tcPr>
            <w:tcW w:w="965" w:type="dxa"/>
            <w:shd w:val="clear" w:color="000000" w:fill="FFFFFF"/>
            <w:noWrap/>
            <w:vAlign w:val="center"/>
          </w:tcPr>
          <w:p w14:paraId="5DAF8D5C" w14:textId="77777777" w:rsidR="00BB06F4" w:rsidRPr="00BB7E55" w:rsidRDefault="00BB06F4" w:rsidP="00BD4C4C">
            <w:pPr>
              <w:spacing w:after="0" w:line="276" w:lineRule="auto"/>
              <w:jc w:val="right"/>
              <w:rPr>
                <w:rFonts w:cs="Arial"/>
                <w:sz w:val="16"/>
                <w:szCs w:val="16"/>
              </w:rPr>
            </w:pPr>
            <w:r w:rsidRPr="00BB7E55">
              <w:rPr>
                <w:rFonts w:cs="Arial"/>
                <w:sz w:val="16"/>
                <w:szCs w:val="16"/>
              </w:rPr>
              <w:t>7.652</w:t>
            </w:r>
          </w:p>
        </w:tc>
        <w:tc>
          <w:tcPr>
            <w:tcW w:w="939" w:type="dxa"/>
            <w:noWrap/>
            <w:vAlign w:val="center"/>
          </w:tcPr>
          <w:p w14:paraId="32CEF6F0" w14:textId="77777777" w:rsidR="00BB06F4" w:rsidRPr="00BB7E55" w:rsidRDefault="00BB06F4" w:rsidP="00BD4C4C">
            <w:pPr>
              <w:spacing w:after="0" w:line="276" w:lineRule="auto"/>
              <w:jc w:val="right"/>
              <w:rPr>
                <w:rFonts w:cs="Arial"/>
                <w:sz w:val="16"/>
                <w:szCs w:val="16"/>
              </w:rPr>
            </w:pPr>
            <w:r w:rsidRPr="00BB7E55">
              <w:rPr>
                <w:rFonts w:cs="Arial"/>
                <w:sz w:val="16"/>
                <w:szCs w:val="16"/>
              </w:rPr>
              <w:t>8.279</w:t>
            </w:r>
          </w:p>
        </w:tc>
        <w:tc>
          <w:tcPr>
            <w:tcW w:w="939" w:type="dxa"/>
            <w:noWrap/>
            <w:vAlign w:val="center"/>
          </w:tcPr>
          <w:p w14:paraId="48E4256F" w14:textId="77777777" w:rsidR="00BB06F4" w:rsidRPr="00BB7E55" w:rsidRDefault="00BB06F4" w:rsidP="00BD4C4C">
            <w:pPr>
              <w:spacing w:after="0" w:line="276" w:lineRule="auto"/>
              <w:jc w:val="right"/>
              <w:rPr>
                <w:rFonts w:cs="Arial"/>
                <w:sz w:val="16"/>
                <w:szCs w:val="16"/>
              </w:rPr>
            </w:pPr>
            <w:r w:rsidRPr="00BB7E55">
              <w:rPr>
                <w:rFonts w:cs="Arial"/>
                <w:sz w:val="16"/>
                <w:szCs w:val="16"/>
              </w:rPr>
              <w:t>8.004</w:t>
            </w:r>
          </w:p>
        </w:tc>
        <w:tc>
          <w:tcPr>
            <w:tcW w:w="939" w:type="dxa"/>
            <w:tcBorders>
              <w:right w:val="single" w:sz="2" w:space="0" w:color="808080" w:themeColor="background1" w:themeShade="80"/>
            </w:tcBorders>
            <w:noWrap/>
            <w:vAlign w:val="center"/>
          </w:tcPr>
          <w:p w14:paraId="737D01C4" w14:textId="77777777" w:rsidR="00BB06F4" w:rsidRPr="00BB7E55" w:rsidRDefault="00BB06F4" w:rsidP="00BD4C4C">
            <w:pPr>
              <w:spacing w:after="0" w:line="276" w:lineRule="auto"/>
              <w:jc w:val="right"/>
              <w:rPr>
                <w:rFonts w:cs="Arial"/>
                <w:sz w:val="16"/>
                <w:szCs w:val="16"/>
              </w:rPr>
            </w:pPr>
            <w:r w:rsidRPr="00BB7E55">
              <w:rPr>
                <w:rFonts w:cs="Arial"/>
                <w:sz w:val="16"/>
                <w:szCs w:val="16"/>
              </w:rPr>
              <w:t>7.876</w:t>
            </w:r>
          </w:p>
        </w:tc>
      </w:tr>
      <w:tr w:rsidR="00BB06F4" w:rsidRPr="007E1D14" w14:paraId="796965D7" w14:textId="77777777" w:rsidTr="00BD4C4C">
        <w:trPr>
          <w:cantSplit/>
          <w:trHeight w:val="283"/>
          <w:jc w:val="center"/>
        </w:trPr>
        <w:tc>
          <w:tcPr>
            <w:tcW w:w="3321" w:type="dxa"/>
            <w:tcBorders>
              <w:left w:val="single" w:sz="2" w:space="0" w:color="808080" w:themeColor="background1" w:themeShade="80"/>
            </w:tcBorders>
            <w:noWrap/>
            <w:vAlign w:val="center"/>
            <w:hideMark/>
          </w:tcPr>
          <w:p w14:paraId="77FC84DB" w14:textId="77777777" w:rsidR="00BB06F4" w:rsidRPr="007E1D14" w:rsidRDefault="00BB06F4" w:rsidP="00BD4C4C">
            <w:pPr>
              <w:spacing w:after="0" w:line="276" w:lineRule="auto"/>
              <w:jc w:val="left"/>
              <w:rPr>
                <w:sz w:val="16"/>
                <w:szCs w:val="16"/>
              </w:rPr>
            </w:pPr>
            <w:r w:rsidRPr="007E1D14">
              <w:rPr>
                <w:sz w:val="16"/>
                <w:szCs w:val="16"/>
              </w:rPr>
              <w:t>Τόκοι μετά SWAP</w:t>
            </w:r>
          </w:p>
        </w:tc>
        <w:tc>
          <w:tcPr>
            <w:tcW w:w="954" w:type="dxa"/>
            <w:noWrap/>
            <w:vAlign w:val="center"/>
          </w:tcPr>
          <w:p w14:paraId="2D81B50E" w14:textId="77777777" w:rsidR="00BB06F4" w:rsidRPr="00BB7E55" w:rsidRDefault="00BB06F4" w:rsidP="00BD4C4C">
            <w:pPr>
              <w:spacing w:after="0" w:line="276" w:lineRule="auto"/>
              <w:jc w:val="right"/>
              <w:rPr>
                <w:rFonts w:cs="Arial"/>
                <w:sz w:val="16"/>
                <w:szCs w:val="16"/>
              </w:rPr>
            </w:pPr>
            <w:r w:rsidRPr="00BB7E55">
              <w:rPr>
                <w:rFonts w:cs="Arial"/>
                <w:sz w:val="16"/>
                <w:szCs w:val="16"/>
              </w:rPr>
              <w:t>5.967</w:t>
            </w:r>
          </w:p>
        </w:tc>
        <w:tc>
          <w:tcPr>
            <w:tcW w:w="965" w:type="dxa"/>
            <w:noWrap/>
            <w:vAlign w:val="center"/>
          </w:tcPr>
          <w:p w14:paraId="640B9859" w14:textId="77777777" w:rsidR="00BB06F4" w:rsidRPr="00BB7E55" w:rsidRDefault="00BB06F4" w:rsidP="00BD4C4C">
            <w:pPr>
              <w:spacing w:after="0" w:line="276" w:lineRule="auto"/>
              <w:jc w:val="right"/>
              <w:rPr>
                <w:rFonts w:cs="Arial"/>
                <w:sz w:val="16"/>
                <w:szCs w:val="16"/>
              </w:rPr>
            </w:pPr>
            <w:r w:rsidRPr="00BB7E55">
              <w:rPr>
                <w:rFonts w:cs="Arial"/>
                <w:sz w:val="16"/>
                <w:szCs w:val="16"/>
              </w:rPr>
              <w:t>6.060</w:t>
            </w:r>
          </w:p>
        </w:tc>
        <w:tc>
          <w:tcPr>
            <w:tcW w:w="965" w:type="dxa"/>
            <w:noWrap/>
            <w:vAlign w:val="center"/>
          </w:tcPr>
          <w:p w14:paraId="2BE08C5D" w14:textId="77777777" w:rsidR="00BB06F4" w:rsidRPr="00BB7E55" w:rsidRDefault="00BB06F4" w:rsidP="00BD4C4C">
            <w:pPr>
              <w:spacing w:after="0" w:line="276" w:lineRule="auto"/>
              <w:jc w:val="right"/>
              <w:rPr>
                <w:rFonts w:cs="Arial"/>
                <w:sz w:val="16"/>
                <w:szCs w:val="16"/>
              </w:rPr>
            </w:pPr>
            <w:r w:rsidRPr="00BB7E55">
              <w:rPr>
                <w:rFonts w:cs="Arial"/>
                <w:sz w:val="16"/>
                <w:szCs w:val="16"/>
              </w:rPr>
              <w:t>6.475</w:t>
            </w:r>
          </w:p>
        </w:tc>
        <w:tc>
          <w:tcPr>
            <w:tcW w:w="939" w:type="dxa"/>
            <w:noWrap/>
            <w:vAlign w:val="center"/>
          </w:tcPr>
          <w:p w14:paraId="60759331" w14:textId="77777777" w:rsidR="00BB06F4" w:rsidRPr="00BB7E55" w:rsidRDefault="00BB06F4" w:rsidP="00BD4C4C">
            <w:pPr>
              <w:spacing w:after="0" w:line="276" w:lineRule="auto"/>
              <w:jc w:val="right"/>
              <w:rPr>
                <w:rFonts w:cs="Arial"/>
                <w:sz w:val="16"/>
                <w:szCs w:val="16"/>
              </w:rPr>
            </w:pPr>
            <w:r w:rsidRPr="00BB7E55">
              <w:rPr>
                <w:rFonts w:cs="Arial"/>
                <w:sz w:val="16"/>
                <w:szCs w:val="16"/>
              </w:rPr>
              <w:t>7.045</w:t>
            </w:r>
          </w:p>
        </w:tc>
        <w:tc>
          <w:tcPr>
            <w:tcW w:w="939" w:type="dxa"/>
            <w:noWrap/>
            <w:vAlign w:val="center"/>
          </w:tcPr>
          <w:p w14:paraId="199C9C9D" w14:textId="77777777" w:rsidR="00BB06F4" w:rsidRPr="00BB7E55" w:rsidRDefault="00BB06F4" w:rsidP="00BD4C4C">
            <w:pPr>
              <w:spacing w:after="0" w:line="276" w:lineRule="auto"/>
              <w:jc w:val="right"/>
              <w:rPr>
                <w:rFonts w:cs="Arial"/>
                <w:sz w:val="16"/>
                <w:szCs w:val="16"/>
              </w:rPr>
            </w:pPr>
            <w:r w:rsidRPr="00BB7E55">
              <w:rPr>
                <w:rFonts w:cs="Arial"/>
                <w:sz w:val="16"/>
                <w:szCs w:val="16"/>
              </w:rPr>
              <w:t>7.422</w:t>
            </w:r>
          </w:p>
        </w:tc>
        <w:tc>
          <w:tcPr>
            <w:tcW w:w="939" w:type="dxa"/>
            <w:tcBorders>
              <w:right w:val="single" w:sz="2" w:space="0" w:color="808080" w:themeColor="background1" w:themeShade="80"/>
            </w:tcBorders>
            <w:noWrap/>
            <w:vAlign w:val="center"/>
          </w:tcPr>
          <w:p w14:paraId="2830F666" w14:textId="77777777" w:rsidR="00BB06F4" w:rsidRPr="00BB7E55" w:rsidRDefault="00BB06F4" w:rsidP="00BD4C4C">
            <w:pPr>
              <w:spacing w:after="0" w:line="276" w:lineRule="auto"/>
              <w:jc w:val="right"/>
              <w:rPr>
                <w:rFonts w:cs="Arial"/>
                <w:sz w:val="16"/>
                <w:szCs w:val="16"/>
              </w:rPr>
            </w:pPr>
            <w:r w:rsidRPr="00BB7E55">
              <w:rPr>
                <w:rFonts w:cs="Arial"/>
                <w:sz w:val="16"/>
                <w:szCs w:val="16"/>
              </w:rPr>
              <w:t>7.240</w:t>
            </w:r>
          </w:p>
        </w:tc>
      </w:tr>
      <w:tr w:rsidR="00BB06F4" w:rsidRPr="007E1D14" w14:paraId="7C240FC8" w14:textId="77777777" w:rsidTr="00BD4C4C">
        <w:trPr>
          <w:cantSplit/>
          <w:trHeight w:val="283"/>
          <w:jc w:val="center"/>
        </w:trPr>
        <w:tc>
          <w:tcPr>
            <w:tcW w:w="3321" w:type="dxa"/>
            <w:tcBorders>
              <w:left w:val="single" w:sz="2" w:space="0" w:color="808080" w:themeColor="background1" w:themeShade="80"/>
            </w:tcBorders>
            <w:noWrap/>
            <w:vAlign w:val="center"/>
            <w:hideMark/>
          </w:tcPr>
          <w:p w14:paraId="5B74F18C" w14:textId="77777777" w:rsidR="00BB06F4" w:rsidRPr="007E1D14" w:rsidRDefault="00BB06F4" w:rsidP="00BD4C4C">
            <w:pPr>
              <w:spacing w:after="0" w:line="276" w:lineRule="auto"/>
              <w:jc w:val="left"/>
              <w:rPr>
                <w:sz w:val="16"/>
                <w:szCs w:val="16"/>
              </w:rPr>
            </w:pPr>
            <w:r w:rsidRPr="007E1D14">
              <w:rPr>
                <w:sz w:val="16"/>
                <w:szCs w:val="16"/>
              </w:rPr>
              <w:t>Τόκοι μετά SWAP ως % του ΑΕΠ</w:t>
            </w:r>
          </w:p>
        </w:tc>
        <w:tc>
          <w:tcPr>
            <w:tcW w:w="954" w:type="dxa"/>
            <w:noWrap/>
            <w:vAlign w:val="center"/>
          </w:tcPr>
          <w:p w14:paraId="30637F39" w14:textId="77777777" w:rsidR="00BB06F4" w:rsidRPr="00BB7E55" w:rsidRDefault="00BB06F4" w:rsidP="00BD4C4C">
            <w:pPr>
              <w:spacing w:after="0" w:line="276" w:lineRule="auto"/>
              <w:jc w:val="right"/>
              <w:rPr>
                <w:rFonts w:cs="Arial"/>
                <w:sz w:val="16"/>
                <w:szCs w:val="16"/>
              </w:rPr>
            </w:pPr>
            <w:r w:rsidRPr="00BB7E55">
              <w:rPr>
                <w:rFonts w:cs="Arial"/>
                <w:sz w:val="16"/>
                <w:szCs w:val="16"/>
              </w:rPr>
              <w:t>3,2%</w:t>
            </w:r>
          </w:p>
        </w:tc>
        <w:tc>
          <w:tcPr>
            <w:tcW w:w="965" w:type="dxa"/>
            <w:noWrap/>
            <w:vAlign w:val="center"/>
          </w:tcPr>
          <w:p w14:paraId="74146EBE" w14:textId="77777777" w:rsidR="00BB06F4" w:rsidRPr="00BB7E55" w:rsidRDefault="00BB06F4" w:rsidP="00BD4C4C">
            <w:pPr>
              <w:spacing w:after="0" w:line="276" w:lineRule="auto"/>
              <w:jc w:val="right"/>
              <w:rPr>
                <w:rFonts w:cs="Arial"/>
                <w:sz w:val="16"/>
                <w:szCs w:val="16"/>
              </w:rPr>
            </w:pPr>
            <w:r w:rsidRPr="00BB7E55">
              <w:rPr>
                <w:rFonts w:cs="Arial"/>
                <w:sz w:val="16"/>
                <w:szCs w:val="16"/>
              </w:rPr>
              <w:t>2,9%</w:t>
            </w:r>
          </w:p>
        </w:tc>
        <w:tc>
          <w:tcPr>
            <w:tcW w:w="965" w:type="dxa"/>
            <w:noWrap/>
            <w:vAlign w:val="center"/>
          </w:tcPr>
          <w:p w14:paraId="4EE96256" w14:textId="77777777" w:rsidR="00BB06F4" w:rsidRPr="00BB7E55" w:rsidRDefault="00BB06F4" w:rsidP="00BD4C4C">
            <w:pPr>
              <w:spacing w:after="0" w:line="276" w:lineRule="auto"/>
              <w:jc w:val="right"/>
              <w:rPr>
                <w:rFonts w:cs="Arial"/>
                <w:sz w:val="16"/>
                <w:szCs w:val="16"/>
              </w:rPr>
            </w:pPr>
            <w:r w:rsidRPr="00BB7E55">
              <w:rPr>
                <w:rFonts w:cs="Arial"/>
                <w:sz w:val="16"/>
                <w:szCs w:val="16"/>
              </w:rPr>
              <w:t>2,9%</w:t>
            </w:r>
          </w:p>
        </w:tc>
        <w:tc>
          <w:tcPr>
            <w:tcW w:w="939" w:type="dxa"/>
            <w:noWrap/>
            <w:vAlign w:val="center"/>
          </w:tcPr>
          <w:p w14:paraId="6A6E6C0F" w14:textId="77777777" w:rsidR="00BB06F4" w:rsidRPr="00BB7E55" w:rsidRDefault="00BB06F4" w:rsidP="00BD4C4C">
            <w:pPr>
              <w:spacing w:after="0" w:line="276" w:lineRule="auto"/>
              <w:jc w:val="right"/>
              <w:rPr>
                <w:rFonts w:cs="Arial"/>
                <w:sz w:val="16"/>
                <w:szCs w:val="16"/>
              </w:rPr>
            </w:pPr>
            <w:r w:rsidRPr="00BB7E55">
              <w:rPr>
                <w:rFonts w:cs="Arial"/>
                <w:sz w:val="16"/>
                <w:szCs w:val="16"/>
              </w:rPr>
              <w:t>3,0%</w:t>
            </w:r>
          </w:p>
        </w:tc>
        <w:tc>
          <w:tcPr>
            <w:tcW w:w="939" w:type="dxa"/>
            <w:noWrap/>
            <w:vAlign w:val="center"/>
          </w:tcPr>
          <w:p w14:paraId="29346E17" w14:textId="77777777" w:rsidR="00BB06F4" w:rsidRPr="00BB7E55" w:rsidRDefault="00BB06F4" w:rsidP="00BD4C4C">
            <w:pPr>
              <w:spacing w:after="0" w:line="276" w:lineRule="auto"/>
              <w:jc w:val="right"/>
              <w:rPr>
                <w:rFonts w:cs="Arial"/>
                <w:sz w:val="16"/>
                <w:szCs w:val="16"/>
              </w:rPr>
            </w:pPr>
            <w:r w:rsidRPr="00BB7E55">
              <w:rPr>
                <w:rFonts w:cs="Arial"/>
                <w:sz w:val="16"/>
                <w:szCs w:val="16"/>
              </w:rPr>
              <w:t>3,0%</w:t>
            </w:r>
          </w:p>
        </w:tc>
        <w:tc>
          <w:tcPr>
            <w:tcW w:w="939" w:type="dxa"/>
            <w:tcBorders>
              <w:right w:val="single" w:sz="2" w:space="0" w:color="808080" w:themeColor="background1" w:themeShade="80"/>
            </w:tcBorders>
            <w:noWrap/>
            <w:vAlign w:val="center"/>
          </w:tcPr>
          <w:p w14:paraId="5B703EBF" w14:textId="77777777" w:rsidR="00BB06F4" w:rsidRPr="00BB7E55" w:rsidRDefault="00BB06F4" w:rsidP="00BD4C4C">
            <w:pPr>
              <w:spacing w:after="0" w:line="276" w:lineRule="auto"/>
              <w:jc w:val="right"/>
              <w:rPr>
                <w:rFonts w:cs="Arial"/>
                <w:sz w:val="16"/>
                <w:szCs w:val="16"/>
              </w:rPr>
            </w:pPr>
            <w:r w:rsidRPr="00BB7E55">
              <w:rPr>
                <w:rFonts w:cs="Arial"/>
                <w:sz w:val="16"/>
                <w:szCs w:val="16"/>
              </w:rPr>
              <w:t>2,8%</w:t>
            </w:r>
          </w:p>
        </w:tc>
      </w:tr>
      <w:tr w:rsidR="00BB06F4" w:rsidRPr="007E1D14" w14:paraId="247B3940" w14:textId="77777777" w:rsidTr="00BD4C4C">
        <w:trPr>
          <w:cantSplit/>
          <w:trHeight w:val="283"/>
          <w:jc w:val="center"/>
        </w:trPr>
        <w:tc>
          <w:tcPr>
            <w:tcW w:w="3321" w:type="dxa"/>
            <w:tcBorders>
              <w:left w:val="single" w:sz="2" w:space="0" w:color="808080" w:themeColor="background1" w:themeShade="80"/>
              <w:bottom w:val="single" w:sz="2" w:space="0" w:color="808080" w:themeColor="background1" w:themeShade="80"/>
            </w:tcBorders>
            <w:noWrap/>
            <w:vAlign w:val="center"/>
            <w:hideMark/>
          </w:tcPr>
          <w:p w14:paraId="0E7E692A" w14:textId="77777777" w:rsidR="00BB06F4" w:rsidRPr="007E1D14" w:rsidRDefault="00BB06F4" w:rsidP="00BD4C4C">
            <w:pPr>
              <w:spacing w:after="0" w:line="276" w:lineRule="auto"/>
              <w:jc w:val="left"/>
              <w:rPr>
                <w:sz w:val="16"/>
                <w:szCs w:val="16"/>
              </w:rPr>
            </w:pPr>
            <w:r w:rsidRPr="00BB06F4">
              <w:rPr>
                <w:sz w:val="16"/>
                <w:szCs w:val="16"/>
              </w:rPr>
              <w:t>Τόκοι Γενικής Κυβέρνησης,</w:t>
            </w:r>
            <w:r w:rsidR="001C6DA3">
              <w:rPr>
                <w:sz w:val="16"/>
                <w:szCs w:val="16"/>
              </w:rPr>
              <w:t xml:space="preserve"> </w:t>
            </w:r>
            <w:r w:rsidRPr="00BB06F4">
              <w:rPr>
                <w:sz w:val="16"/>
                <w:szCs w:val="16"/>
              </w:rPr>
              <w:t>σε ταμειακή βάση, μετά SWAP</w:t>
            </w:r>
          </w:p>
        </w:tc>
        <w:tc>
          <w:tcPr>
            <w:tcW w:w="954" w:type="dxa"/>
            <w:tcBorders>
              <w:bottom w:val="single" w:sz="2" w:space="0" w:color="808080" w:themeColor="background1" w:themeShade="80"/>
            </w:tcBorders>
            <w:noWrap/>
            <w:vAlign w:val="center"/>
          </w:tcPr>
          <w:p w14:paraId="22952D54" w14:textId="77777777" w:rsidR="00BB06F4" w:rsidRPr="00BB7E55" w:rsidRDefault="00BB06F4" w:rsidP="00BD4C4C">
            <w:pPr>
              <w:spacing w:after="0" w:line="276" w:lineRule="auto"/>
              <w:jc w:val="right"/>
              <w:rPr>
                <w:rFonts w:cs="Arial"/>
                <w:sz w:val="16"/>
                <w:szCs w:val="16"/>
              </w:rPr>
            </w:pPr>
            <w:r w:rsidRPr="00BB7E55">
              <w:rPr>
                <w:rFonts w:cs="Arial"/>
                <w:sz w:val="16"/>
                <w:szCs w:val="16"/>
              </w:rPr>
              <w:t> </w:t>
            </w:r>
          </w:p>
        </w:tc>
        <w:tc>
          <w:tcPr>
            <w:tcW w:w="965" w:type="dxa"/>
            <w:tcBorders>
              <w:bottom w:val="single" w:sz="2" w:space="0" w:color="808080" w:themeColor="background1" w:themeShade="80"/>
            </w:tcBorders>
            <w:noWrap/>
            <w:vAlign w:val="center"/>
          </w:tcPr>
          <w:p w14:paraId="4FF8A46A" w14:textId="77777777" w:rsidR="00BB06F4" w:rsidRPr="00BB7E55" w:rsidRDefault="00BB06F4" w:rsidP="00BD4C4C">
            <w:pPr>
              <w:spacing w:after="0" w:line="276" w:lineRule="auto"/>
              <w:jc w:val="right"/>
              <w:rPr>
                <w:rFonts w:cs="Arial"/>
                <w:sz w:val="16"/>
                <w:szCs w:val="16"/>
              </w:rPr>
            </w:pPr>
            <w:r w:rsidRPr="00BB7E55">
              <w:rPr>
                <w:rFonts w:cs="Arial"/>
                <w:sz w:val="16"/>
                <w:szCs w:val="16"/>
              </w:rPr>
              <w:t> </w:t>
            </w:r>
          </w:p>
        </w:tc>
        <w:tc>
          <w:tcPr>
            <w:tcW w:w="965" w:type="dxa"/>
            <w:tcBorders>
              <w:bottom w:val="single" w:sz="2" w:space="0" w:color="808080" w:themeColor="background1" w:themeShade="80"/>
            </w:tcBorders>
            <w:noWrap/>
            <w:vAlign w:val="center"/>
          </w:tcPr>
          <w:p w14:paraId="10C8597E" w14:textId="77777777" w:rsidR="00BB06F4" w:rsidRPr="00BB7E55" w:rsidRDefault="00BB06F4" w:rsidP="00BD4C4C">
            <w:pPr>
              <w:spacing w:after="0" w:line="276" w:lineRule="auto"/>
              <w:jc w:val="right"/>
              <w:rPr>
                <w:rFonts w:cs="Arial"/>
                <w:sz w:val="16"/>
                <w:szCs w:val="16"/>
              </w:rPr>
            </w:pPr>
            <w:r w:rsidRPr="00BB7E55">
              <w:rPr>
                <w:rFonts w:cs="Arial"/>
                <w:sz w:val="16"/>
                <w:szCs w:val="16"/>
              </w:rPr>
              <w:t> </w:t>
            </w:r>
          </w:p>
        </w:tc>
        <w:tc>
          <w:tcPr>
            <w:tcW w:w="939" w:type="dxa"/>
            <w:tcBorders>
              <w:bottom w:val="single" w:sz="2" w:space="0" w:color="808080" w:themeColor="background1" w:themeShade="80"/>
            </w:tcBorders>
            <w:noWrap/>
            <w:vAlign w:val="center"/>
          </w:tcPr>
          <w:p w14:paraId="711DE839" w14:textId="77777777" w:rsidR="00BB06F4" w:rsidRPr="00BB7E55" w:rsidRDefault="00BB06F4" w:rsidP="00BD4C4C">
            <w:pPr>
              <w:spacing w:after="0" w:line="276" w:lineRule="auto"/>
              <w:jc w:val="right"/>
              <w:rPr>
                <w:rFonts w:cs="Arial"/>
                <w:sz w:val="16"/>
                <w:szCs w:val="16"/>
              </w:rPr>
            </w:pPr>
            <w:r w:rsidRPr="00BB7E55">
              <w:rPr>
                <w:rFonts w:cs="Arial"/>
                <w:sz w:val="16"/>
                <w:szCs w:val="16"/>
              </w:rPr>
              <w:t> </w:t>
            </w:r>
          </w:p>
        </w:tc>
        <w:tc>
          <w:tcPr>
            <w:tcW w:w="939" w:type="dxa"/>
            <w:tcBorders>
              <w:bottom w:val="single" w:sz="2" w:space="0" w:color="808080" w:themeColor="background1" w:themeShade="80"/>
            </w:tcBorders>
            <w:noWrap/>
            <w:vAlign w:val="center"/>
          </w:tcPr>
          <w:p w14:paraId="2362CE6A" w14:textId="77777777" w:rsidR="00BB06F4" w:rsidRPr="00BB7E55" w:rsidRDefault="00BB06F4" w:rsidP="00BD4C4C">
            <w:pPr>
              <w:spacing w:after="0" w:line="276" w:lineRule="auto"/>
              <w:jc w:val="right"/>
              <w:rPr>
                <w:rFonts w:cs="Arial"/>
                <w:sz w:val="16"/>
                <w:szCs w:val="16"/>
              </w:rPr>
            </w:pPr>
            <w:r w:rsidRPr="00BB7E55">
              <w:rPr>
                <w:rFonts w:cs="Arial"/>
                <w:sz w:val="16"/>
                <w:szCs w:val="16"/>
              </w:rPr>
              <w:t>5.050</w:t>
            </w:r>
          </w:p>
        </w:tc>
        <w:tc>
          <w:tcPr>
            <w:tcW w:w="939" w:type="dxa"/>
            <w:tcBorders>
              <w:bottom w:val="single" w:sz="2" w:space="0" w:color="808080" w:themeColor="background1" w:themeShade="80"/>
              <w:right w:val="single" w:sz="2" w:space="0" w:color="808080" w:themeColor="background1" w:themeShade="80"/>
            </w:tcBorders>
            <w:noWrap/>
            <w:vAlign w:val="center"/>
          </w:tcPr>
          <w:p w14:paraId="20958E27" w14:textId="77777777" w:rsidR="00BB06F4" w:rsidRPr="00BB7E55" w:rsidRDefault="00BB06F4" w:rsidP="00BD4C4C">
            <w:pPr>
              <w:spacing w:after="0" w:line="276" w:lineRule="auto"/>
              <w:jc w:val="right"/>
              <w:rPr>
                <w:rFonts w:cs="Arial"/>
                <w:sz w:val="16"/>
                <w:szCs w:val="16"/>
              </w:rPr>
            </w:pPr>
            <w:r w:rsidRPr="00BB7E55">
              <w:rPr>
                <w:rFonts w:cs="Arial"/>
                <w:sz w:val="16"/>
                <w:szCs w:val="16"/>
              </w:rPr>
              <w:t>4.950</w:t>
            </w:r>
          </w:p>
        </w:tc>
      </w:tr>
      <w:tr w:rsidR="00BB06F4" w:rsidRPr="007E1D14" w14:paraId="661813FB" w14:textId="77777777" w:rsidTr="00EA6D6E">
        <w:trPr>
          <w:cantSplit/>
          <w:trHeight w:val="170"/>
          <w:jc w:val="center"/>
        </w:trPr>
        <w:tc>
          <w:tcPr>
            <w:tcW w:w="9022" w:type="dxa"/>
            <w:gridSpan w:val="7"/>
            <w:tcBorders>
              <w:top w:val="single" w:sz="2" w:space="0" w:color="808080" w:themeColor="background1" w:themeShade="80"/>
            </w:tcBorders>
            <w:noWrap/>
          </w:tcPr>
          <w:p w14:paraId="264FFFE1" w14:textId="77777777" w:rsidR="00BB06F4" w:rsidRPr="00EA0338" w:rsidRDefault="00BB06F4" w:rsidP="00087C3B">
            <w:pPr>
              <w:tabs>
                <w:tab w:val="left" w:pos="825"/>
              </w:tabs>
              <w:spacing w:before="60" w:after="0" w:line="276" w:lineRule="auto"/>
              <w:rPr>
                <w:i/>
                <w:sz w:val="16"/>
                <w:szCs w:val="16"/>
              </w:rPr>
            </w:pPr>
            <w:r w:rsidRPr="00EA0338">
              <w:rPr>
                <w:i/>
                <w:sz w:val="16"/>
                <w:szCs w:val="16"/>
              </w:rPr>
              <w:t>Σημείωση:</w:t>
            </w:r>
            <w:r>
              <w:rPr>
                <w:i/>
                <w:sz w:val="16"/>
                <w:szCs w:val="16"/>
              </w:rPr>
              <w:tab/>
            </w:r>
            <w:r w:rsidRPr="00BB06F4">
              <w:rPr>
                <w:i/>
                <w:sz w:val="16"/>
                <w:szCs w:val="16"/>
              </w:rPr>
              <w:t xml:space="preserve">Οι τόκοι προ SWAP υπολογίζονται συμψηφιστικά και αφορούν </w:t>
            </w:r>
            <w:r w:rsidR="007D2B63">
              <w:rPr>
                <w:i/>
                <w:sz w:val="16"/>
                <w:szCs w:val="16"/>
              </w:rPr>
              <w:t>σ</w:t>
            </w:r>
            <w:r w:rsidRPr="00BB06F4">
              <w:rPr>
                <w:i/>
                <w:sz w:val="16"/>
                <w:szCs w:val="16"/>
              </w:rPr>
              <w:t>τις πληρωμές τόκων μείον τις εισπράξεις από επανεκδόσεις ομολόγων κ.λπ.</w:t>
            </w:r>
          </w:p>
        </w:tc>
      </w:tr>
      <w:tr w:rsidR="00BB06F4" w:rsidRPr="007E1D14" w14:paraId="1A6D2AA4" w14:textId="77777777" w:rsidTr="00EA6D6E">
        <w:trPr>
          <w:cantSplit/>
          <w:trHeight w:val="227"/>
          <w:jc w:val="center"/>
        </w:trPr>
        <w:tc>
          <w:tcPr>
            <w:tcW w:w="9022" w:type="dxa"/>
            <w:gridSpan w:val="7"/>
            <w:noWrap/>
          </w:tcPr>
          <w:p w14:paraId="44C37BB2" w14:textId="77777777" w:rsidR="00BB06F4" w:rsidRPr="007E1D14" w:rsidRDefault="00BB06F4" w:rsidP="0095207B">
            <w:pPr>
              <w:tabs>
                <w:tab w:val="left" w:pos="170"/>
              </w:tabs>
              <w:spacing w:after="0" w:line="276" w:lineRule="auto"/>
              <w:rPr>
                <w:sz w:val="16"/>
                <w:szCs w:val="16"/>
              </w:rPr>
            </w:pPr>
            <w:r w:rsidRPr="008E474A">
              <w:rPr>
                <w:rFonts w:cs="Arial"/>
                <w:sz w:val="16"/>
                <w:szCs w:val="16"/>
              </w:rPr>
              <w:t>*</w:t>
            </w:r>
            <w:r>
              <w:rPr>
                <w:rFonts w:cs="Arial"/>
                <w:sz w:val="16"/>
                <w:szCs w:val="16"/>
              </w:rPr>
              <w:tab/>
            </w:r>
            <w:r w:rsidRPr="008E474A">
              <w:rPr>
                <w:rFonts w:cs="Arial"/>
                <w:sz w:val="16"/>
                <w:szCs w:val="16"/>
              </w:rPr>
              <w:t>Εκτιμήσεις</w:t>
            </w:r>
          </w:p>
        </w:tc>
      </w:tr>
      <w:tr w:rsidR="00BB06F4" w:rsidRPr="007E1D14" w14:paraId="3070D204" w14:textId="77777777" w:rsidTr="00EA6D6E">
        <w:trPr>
          <w:cantSplit/>
          <w:trHeight w:val="227"/>
          <w:jc w:val="center"/>
        </w:trPr>
        <w:tc>
          <w:tcPr>
            <w:tcW w:w="9022" w:type="dxa"/>
            <w:gridSpan w:val="7"/>
            <w:noWrap/>
          </w:tcPr>
          <w:p w14:paraId="69099A49" w14:textId="77777777" w:rsidR="00BB06F4" w:rsidRPr="00EA0338" w:rsidRDefault="00BB06F4" w:rsidP="0095207B">
            <w:pPr>
              <w:tabs>
                <w:tab w:val="left" w:pos="170"/>
              </w:tabs>
              <w:spacing w:after="0" w:line="276" w:lineRule="auto"/>
              <w:rPr>
                <w:rFonts w:cs="Arial"/>
                <w:sz w:val="16"/>
                <w:szCs w:val="16"/>
              </w:rPr>
            </w:pPr>
            <w:r w:rsidRPr="008E474A">
              <w:rPr>
                <w:rFonts w:cs="Arial"/>
                <w:sz w:val="16"/>
                <w:szCs w:val="16"/>
              </w:rPr>
              <w:t>**</w:t>
            </w:r>
            <w:r>
              <w:rPr>
                <w:rFonts w:cs="Arial"/>
                <w:sz w:val="16"/>
                <w:szCs w:val="16"/>
              </w:rPr>
              <w:tab/>
            </w:r>
            <w:r w:rsidRPr="008E474A">
              <w:rPr>
                <w:rFonts w:cs="Arial"/>
                <w:sz w:val="16"/>
                <w:szCs w:val="16"/>
              </w:rPr>
              <w:t>Προβλέψεις</w:t>
            </w:r>
          </w:p>
        </w:tc>
      </w:tr>
      <w:tr w:rsidR="00BB06F4" w:rsidRPr="007E1D14" w14:paraId="6B89E782" w14:textId="77777777" w:rsidTr="00EA6D6E">
        <w:trPr>
          <w:cantSplit/>
          <w:trHeight w:val="227"/>
          <w:jc w:val="center"/>
        </w:trPr>
        <w:tc>
          <w:tcPr>
            <w:tcW w:w="9022" w:type="dxa"/>
            <w:gridSpan w:val="7"/>
            <w:noWrap/>
          </w:tcPr>
          <w:p w14:paraId="7335A1B7" w14:textId="77777777" w:rsidR="00BB06F4" w:rsidRDefault="00BB06F4" w:rsidP="0095207B">
            <w:pPr>
              <w:tabs>
                <w:tab w:val="left" w:pos="1660"/>
                <w:tab w:val="left" w:pos="2740"/>
                <w:tab w:val="left" w:pos="3820"/>
                <w:tab w:val="left" w:pos="4900"/>
                <w:tab w:val="left" w:pos="5980"/>
                <w:tab w:val="left" w:pos="7060"/>
              </w:tabs>
              <w:spacing w:after="0" w:line="276" w:lineRule="auto"/>
              <w:ind w:firstLine="17"/>
              <w:rPr>
                <w:rFonts w:cs="Arial"/>
                <w:sz w:val="16"/>
                <w:szCs w:val="16"/>
              </w:rPr>
            </w:pPr>
            <w:r w:rsidRPr="00EA0338">
              <w:rPr>
                <w:rFonts w:cs="Arial"/>
                <w:sz w:val="16"/>
                <w:szCs w:val="16"/>
              </w:rPr>
              <w:t>Πηγή: ΟΔΔΗΧ</w:t>
            </w:r>
          </w:p>
        </w:tc>
      </w:tr>
    </w:tbl>
    <w:p w14:paraId="24835426" w14:textId="77777777" w:rsidR="00C7416A" w:rsidRPr="00054D38" w:rsidRDefault="00C7416A" w:rsidP="001758A7">
      <w:pPr>
        <w:pStyle w:val="3"/>
        <w:keepNext w:val="0"/>
      </w:pPr>
      <w:bookmarkStart w:id="550" w:name="_Toc210570695"/>
      <w:r w:rsidRPr="00054D38">
        <w:t xml:space="preserve">Οι </w:t>
      </w:r>
      <w:r w:rsidRPr="00D348F3">
        <w:t>αγορές</w:t>
      </w:r>
      <w:r w:rsidRPr="00054D38">
        <w:t xml:space="preserve"> τίτλων του Ελληνικού Δημοσίου</w:t>
      </w:r>
      <w:bookmarkEnd w:id="550"/>
    </w:p>
    <w:p w14:paraId="5D3FFB43" w14:textId="4C153648" w:rsidR="003D0435" w:rsidRPr="00374BA6" w:rsidRDefault="003D0435" w:rsidP="003D0435">
      <w:pPr>
        <w:rPr>
          <w:bCs/>
          <w:highlight w:val="lightGray"/>
        </w:rPr>
      </w:pPr>
      <w:bookmarkStart w:id="551" w:name="_Toc114142052"/>
      <w:bookmarkStart w:id="552" w:name="_Toc114142315"/>
      <w:bookmarkStart w:id="553" w:name="_Toc114142390"/>
      <w:bookmarkStart w:id="554" w:name="_Toc114142438"/>
      <w:bookmarkStart w:id="555" w:name="_Toc114142053"/>
      <w:bookmarkStart w:id="556" w:name="_Toc114142316"/>
      <w:bookmarkStart w:id="557" w:name="_Toc114142391"/>
      <w:bookmarkStart w:id="558" w:name="_Toc114142439"/>
      <w:bookmarkStart w:id="559" w:name="_Toc114142054"/>
      <w:bookmarkStart w:id="560" w:name="_Toc114142317"/>
      <w:bookmarkStart w:id="561" w:name="_Toc114142392"/>
      <w:bookmarkStart w:id="562" w:name="_Toc114142440"/>
      <w:bookmarkStart w:id="563" w:name="_Toc114142055"/>
      <w:bookmarkStart w:id="564" w:name="_Toc114142318"/>
      <w:bookmarkStart w:id="565" w:name="_Toc114142393"/>
      <w:bookmarkStart w:id="566" w:name="_Toc114142441"/>
      <w:bookmarkStart w:id="567" w:name="_Toc114142056"/>
      <w:bookmarkStart w:id="568" w:name="_Toc114142319"/>
      <w:bookmarkStart w:id="569" w:name="_Toc114142394"/>
      <w:bookmarkStart w:id="570" w:name="_Toc114142442"/>
      <w:bookmarkStart w:id="571" w:name="_Toc114142057"/>
      <w:bookmarkStart w:id="572" w:name="_Toc114142320"/>
      <w:bookmarkStart w:id="573" w:name="_Toc114142395"/>
      <w:bookmarkStart w:id="574" w:name="_Toc114142443"/>
      <w:bookmarkStart w:id="575" w:name="_Toc114149895"/>
      <w:bookmarkStart w:id="576" w:name="_Toc114219183"/>
      <w:bookmarkStart w:id="577" w:name="_Toc114219357"/>
      <w:bookmarkStart w:id="578" w:name="_Toc114219406"/>
      <w:bookmarkStart w:id="579" w:name="_Toc114219895"/>
      <w:bookmarkStart w:id="580" w:name="_Toc114234888"/>
      <w:bookmarkStart w:id="581" w:name="_Toc114489558"/>
      <w:bookmarkStart w:id="582" w:name="_Toc114489645"/>
      <w:bookmarkStart w:id="583" w:name="_Toc114489733"/>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476493">
        <w:rPr>
          <w:bCs/>
        </w:rPr>
        <w:t>Η Ε</w:t>
      </w:r>
      <w:r w:rsidR="007D2B63">
        <w:rPr>
          <w:bCs/>
        </w:rPr>
        <w:t xml:space="preserve">ΚΤ </w:t>
      </w:r>
      <w:r w:rsidRPr="00476493">
        <w:rPr>
          <w:bCs/>
        </w:rPr>
        <w:t xml:space="preserve">εξακολούθησε την επεκτατική νομισματική πολιτική της και κατά το τρέχον έτος, ανακοινώνοντας τέσσερις </w:t>
      </w:r>
      <w:r>
        <w:rPr>
          <w:bCs/>
        </w:rPr>
        <w:t>επιπ</w:t>
      </w:r>
      <w:r w:rsidR="007D2B63">
        <w:rPr>
          <w:bCs/>
        </w:rPr>
        <w:t xml:space="preserve">ρόσθετες </w:t>
      </w:r>
      <w:r w:rsidRPr="00476493">
        <w:rPr>
          <w:bCs/>
        </w:rPr>
        <w:t xml:space="preserve">μειώσεις του επιτοκίου καταθέσεων εντός του πρώτου εξαμήνου. Το εν λόγω </w:t>
      </w:r>
      <w:r w:rsidRPr="00476493">
        <w:rPr>
          <w:bCs/>
        </w:rPr>
        <w:lastRenderedPageBreak/>
        <w:t xml:space="preserve">επιτόκιο, </w:t>
      </w:r>
      <w:r w:rsidR="007D2B63">
        <w:rPr>
          <w:bCs/>
        </w:rPr>
        <w:t>το οποίο</w:t>
      </w:r>
      <w:r w:rsidRPr="00476493">
        <w:rPr>
          <w:bCs/>
        </w:rPr>
        <w:t xml:space="preserve"> διαμορφώνεται πλέον σ</w:t>
      </w:r>
      <w:r w:rsidR="007D2B63">
        <w:rPr>
          <w:bCs/>
        </w:rPr>
        <w:t>ε</w:t>
      </w:r>
      <w:r w:rsidRPr="00476493">
        <w:rPr>
          <w:bCs/>
        </w:rPr>
        <w:t xml:space="preserve"> 2%, μειώθηκε οκτώ </w:t>
      </w:r>
      <w:r>
        <w:rPr>
          <w:bCs/>
        </w:rPr>
        <w:t>συν</w:t>
      </w:r>
      <w:r w:rsidR="007D2B63">
        <w:rPr>
          <w:bCs/>
        </w:rPr>
        <w:t xml:space="preserve">απτές </w:t>
      </w:r>
      <w:r w:rsidRPr="00476493">
        <w:rPr>
          <w:bCs/>
        </w:rPr>
        <w:t>φορές από τα μέσα Μαΐου 2024</w:t>
      </w:r>
      <w:r>
        <w:rPr>
          <w:bCs/>
        </w:rPr>
        <w:t xml:space="preserve"> έως τις αρχές Ιουνίου 2025</w:t>
      </w:r>
      <w:r w:rsidRPr="00476493">
        <w:rPr>
          <w:bCs/>
        </w:rPr>
        <w:t>, επιστρέφοντας στα επίπεδα του Δεκεμβρίου 2022. Παράλληλα, από τα τέλη του 2024 η ΕΚΤ έχει παύσει πλήρως να επανεπενδύε</w:t>
      </w:r>
      <w:r w:rsidR="007D2B63">
        <w:rPr>
          <w:bCs/>
        </w:rPr>
        <w:t>ι</w:t>
      </w:r>
      <w:r w:rsidRPr="00476493">
        <w:rPr>
          <w:bCs/>
        </w:rPr>
        <w:t xml:space="preserve"> κατά τη λήξη τους τα ποσά κεφαλαίου από την εξόφληση των τίτλων που αποκτήθηκαν στο πλαίσιο του έκτακτου προγράμματος αγοράς κρατικών χρεογράφων (“Pandemic Emergency Purchase Programme” </w:t>
      </w:r>
      <w:r>
        <w:rPr>
          <w:bCs/>
        </w:rPr>
        <w:t xml:space="preserve">- </w:t>
      </w:r>
      <w:r w:rsidRPr="00476493">
        <w:rPr>
          <w:bCs/>
        </w:rPr>
        <w:t>PEPP).</w:t>
      </w:r>
    </w:p>
    <w:p w14:paraId="7A9721C9" w14:textId="77777777" w:rsidR="003D0435" w:rsidRPr="0051396C" w:rsidRDefault="003D0435" w:rsidP="003D0435">
      <w:pPr>
        <w:rPr>
          <w:bCs/>
        </w:rPr>
      </w:pPr>
      <w:r w:rsidRPr="00174DAA">
        <w:rPr>
          <w:bCs/>
          <w:lang w:val="en-US"/>
        </w:rPr>
        <w:t>H</w:t>
      </w:r>
      <w:r w:rsidRPr="00174DAA">
        <w:rPr>
          <w:bCs/>
        </w:rPr>
        <w:t xml:space="preserve"> συνολική συμμετοχή των ελληνικών ομολόγων στο έκτακτο πρόγραμμα ποσοτικής χαλάρωσης της ΕΚΤ </w:t>
      </w:r>
      <w:r>
        <w:rPr>
          <w:bCs/>
        </w:rPr>
        <w:t xml:space="preserve">εξακολουθεί </w:t>
      </w:r>
      <w:r w:rsidRPr="00835C57">
        <w:rPr>
          <w:bCs/>
        </w:rPr>
        <w:t xml:space="preserve">να παραμένει </w:t>
      </w:r>
      <w:r>
        <w:rPr>
          <w:bCs/>
        </w:rPr>
        <w:t xml:space="preserve">σχετικά </w:t>
      </w:r>
      <w:r w:rsidRPr="00835C57">
        <w:rPr>
          <w:bCs/>
        </w:rPr>
        <w:t>υψηλή</w:t>
      </w:r>
      <w:r>
        <w:rPr>
          <w:bCs/>
        </w:rPr>
        <w:t xml:space="preserve"> </w:t>
      </w:r>
      <w:r w:rsidRPr="009050BC">
        <w:rPr>
          <w:bCs/>
        </w:rPr>
        <w:t xml:space="preserve">παρά τη μη επανεπένδυση των ποσών των επερχόμενων λήξεων </w:t>
      </w:r>
      <w:r>
        <w:rPr>
          <w:bCs/>
        </w:rPr>
        <w:t xml:space="preserve">και εκτιμάται σε περίπου 32 δισ. ευρώ, </w:t>
      </w:r>
      <w:r w:rsidRPr="00835C57">
        <w:rPr>
          <w:bCs/>
        </w:rPr>
        <w:t>γεγονός</w:t>
      </w:r>
      <w:r w:rsidRPr="00174DAA">
        <w:rPr>
          <w:bCs/>
        </w:rPr>
        <w:t xml:space="preserve"> που καθιστά αναγκαία την κατά το δυνατόν συχνότερη έκδοση νέων τίτλων από το Ελληνικό Δημόσιο</w:t>
      </w:r>
      <w:r>
        <w:rPr>
          <w:bCs/>
        </w:rPr>
        <w:t>,</w:t>
      </w:r>
      <w:r w:rsidRPr="00174DAA">
        <w:rPr>
          <w:bCs/>
        </w:rPr>
        <w:t xml:space="preserve"> προκειμένου να διασφαλίζεται η επάρκειά τους για διαπραγμάτευση στη δευτερογενή αγορά. </w:t>
      </w:r>
      <w:r w:rsidRPr="00A30AAB">
        <w:rPr>
          <w:bCs/>
        </w:rPr>
        <w:t>Κατά το τρέχον έτος οι αποδόσεις των μακροπρόθεσμων κρατικών τίτλων των χωρών της Ευρωζώνης παρουσίασαν ανοδική τάση συγκριτικά με το προηγούμενο έτος.</w:t>
      </w:r>
    </w:p>
    <w:p w14:paraId="12F8242B" w14:textId="77777777" w:rsidR="003D0435" w:rsidRPr="00E86228" w:rsidRDefault="003D0435" w:rsidP="003D0435">
      <w:pPr>
        <w:rPr>
          <w:bCs/>
        </w:rPr>
      </w:pPr>
      <w:r w:rsidRPr="00E86228">
        <w:rPr>
          <w:bCs/>
        </w:rPr>
        <w:t xml:space="preserve">Η διαφορά απόδοσης (yield spread) μεταξύ του δεκαετούς ελληνικού και του αντίστοιχου γερμανικού ομολόγου αναφοράς κινήθηκε σε αρκετά </w:t>
      </w:r>
      <w:r w:rsidRPr="006225B0">
        <w:rPr>
          <w:bCs/>
        </w:rPr>
        <w:t>χαμηλότερα επίπεδα συγκριτικά με το προηγούμενο έτος και διαμορφώθηκε κατά μέσο όρο στα επίπεδα των 77 μονάδων</w:t>
      </w:r>
      <w:r w:rsidRPr="00E86228">
        <w:rPr>
          <w:bCs/>
        </w:rPr>
        <w:t xml:space="preserve"> βάσης κατά τη διάρκεια του 2025. Στο τέλος Σεπτεμβρίου η διαφορά απόδοσης διαμορφώνεται στα επίπεδα </w:t>
      </w:r>
      <w:r w:rsidRPr="00CB518B">
        <w:rPr>
          <w:bCs/>
        </w:rPr>
        <w:t>των 66 μονάδων</w:t>
      </w:r>
      <w:r w:rsidRPr="00E86228">
        <w:rPr>
          <w:bCs/>
        </w:rPr>
        <w:t xml:space="preserve"> βάσης, με την τρέχουσα απόδοση του δεκαετούς ομολόγου να διαμορφώνεται σ</w:t>
      </w:r>
      <w:r w:rsidR="0029566F">
        <w:rPr>
          <w:bCs/>
        </w:rPr>
        <w:t>ε ποσοστό</w:t>
      </w:r>
      <w:r w:rsidRPr="00E86228">
        <w:rPr>
          <w:bCs/>
        </w:rPr>
        <w:t xml:space="preserve"> </w:t>
      </w:r>
      <w:r w:rsidRPr="00CB518B">
        <w:rPr>
          <w:bCs/>
        </w:rPr>
        <w:t>3,38%</w:t>
      </w:r>
      <w:r w:rsidR="0029566F">
        <w:rPr>
          <w:bCs/>
        </w:rPr>
        <w:t xml:space="preserve"> περίπου</w:t>
      </w:r>
      <w:r w:rsidRPr="00CB518B">
        <w:rPr>
          <w:bCs/>
        </w:rPr>
        <w:t>.</w:t>
      </w:r>
    </w:p>
    <w:p w14:paraId="54903ABF" w14:textId="77777777" w:rsidR="0037311C" w:rsidRPr="00983D03" w:rsidRDefault="003D0435" w:rsidP="0037311C">
      <w:pPr>
        <w:rPr>
          <w:highlight w:val="yellow"/>
        </w:rPr>
      </w:pPr>
      <w:r w:rsidRPr="00E86228">
        <w:rPr>
          <w:bCs/>
        </w:rPr>
        <w:t xml:space="preserve">Το βραχυχρόνιο κόστος δανεισμού του Ελληνικού Δημοσίου, όπως διαμορφώνεται στις δημοπρασίες εντόκων γραμματίων 13, 26 και 52 εβδομάδων, παρουσίασε σημαντική πτώση κατά τη διάρκεια του 2025, ακολουθώντας παρόμοια πορεία με αυτή των αντίστοιχων ευρωπαϊκών επιτοκίων βραχυπρόθεσμης διάρκειας. H πτωτική τάση των βραχυπρόθεσμων επιτοκίων αποτυπώθηκε και στις πρόσφατες δημοπρασίες του Ιουλίου, του Αυγούστου και του Σεπτεμβρίου 2025, </w:t>
      </w:r>
      <w:r w:rsidR="00C82FB6">
        <w:rPr>
          <w:bCs/>
        </w:rPr>
        <w:t>δεδομένου ότι</w:t>
      </w:r>
      <w:r w:rsidRPr="00E86228">
        <w:rPr>
          <w:bCs/>
        </w:rPr>
        <w:t xml:space="preserve"> τα επιτόκια διαμορφώθηκαν σε 1,76% για τα τρίμηνα, 1,74% για τα εξάμηνα και 1,97% για τα ετήσια έντοκα γραμμάτια.</w:t>
      </w:r>
    </w:p>
    <w:p w14:paraId="3C2A82E9" w14:textId="77777777" w:rsidR="00CD3EEC" w:rsidRPr="00B81C79" w:rsidRDefault="00CD3EEC" w:rsidP="001758A7">
      <w:pPr>
        <w:pStyle w:val="4"/>
        <w:keepNext w:val="0"/>
      </w:pPr>
      <w:bookmarkStart w:id="584" w:name="_Toc115338204"/>
      <w:bookmarkStart w:id="585" w:name="_Toc115358183"/>
      <w:bookmarkStart w:id="586" w:name="_Toc115424411"/>
      <w:bookmarkStart w:id="587" w:name="_Toc115435277"/>
      <w:bookmarkStart w:id="588" w:name="_Toc115438011"/>
      <w:bookmarkStart w:id="589" w:name="_Toc114219906"/>
      <w:bookmarkStart w:id="590" w:name="_Toc114234899"/>
      <w:bookmarkStart w:id="591" w:name="_Toc114489569"/>
      <w:bookmarkStart w:id="592" w:name="_Toc114489660"/>
      <w:bookmarkStart w:id="593" w:name="_Toc114489748"/>
      <w:bookmarkStart w:id="594" w:name="_Toc115338219"/>
      <w:bookmarkStart w:id="595" w:name="_Toc115358198"/>
      <w:bookmarkStart w:id="596" w:name="_Toc115424426"/>
      <w:bookmarkStart w:id="597" w:name="_Toc115435292"/>
      <w:bookmarkStart w:id="598" w:name="_Toc115438026"/>
      <w:bookmarkStart w:id="599" w:name="_Toc115526177"/>
      <w:bookmarkStart w:id="600" w:name="_Toc146645096"/>
      <w:bookmarkStart w:id="601" w:name="_Toc146819124"/>
      <w:bookmarkStart w:id="602" w:name="_Toc147015763"/>
      <w:bookmarkStart w:id="603" w:name="_Toc178751251"/>
      <w:bookmarkStart w:id="604" w:name="_Toc115526178"/>
      <w:bookmarkStart w:id="605" w:name="_Toc146645097"/>
      <w:bookmarkStart w:id="606" w:name="_Toc146819125"/>
      <w:bookmarkStart w:id="607" w:name="_Toc147015764"/>
      <w:bookmarkStart w:id="608" w:name="_Toc178751252"/>
      <w:bookmarkStart w:id="609" w:name="_Toc210570696"/>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Pr="00B81C79">
        <w:t>Πρωτογενής αγορά τίτλων</w:t>
      </w:r>
      <w:bookmarkEnd w:id="609"/>
    </w:p>
    <w:p w14:paraId="45ECF019" w14:textId="1444ADFF" w:rsidR="003D0435" w:rsidRDefault="003D0435" w:rsidP="003D0435">
      <w:pPr>
        <w:rPr>
          <w:lang w:eastAsia="x-none"/>
        </w:rPr>
      </w:pPr>
      <w:r>
        <w:rPr>
          <w:lang w:eastAsia="x-none"/>
        </w:rPr>
        <w:t>Το Ελληνικό Δημόσιο πραγματοποίησε τον Ιανουάριο 2025 κοινοπρακτική έκδοση δεκαετούς ομολόγου ονομαστικής αξίας 4.000 εκατ. ευρώ με σταθερό επιτόκιο 3,625% και ακολούθησε τον Μάρτιο 2025 κοινοπρακτική επανέκδοση ομολόγων δεκαπενταετούς και τριακονταετούς διάρκειας,</w:t>
      </w:r>
      <w:r w:rsidR="001C6DA3">
        <w:rPr>
          <w:lang w:eastAsia="x-none"/>
        </w:rPr>
        <w:t xml:space="preserve"> </w:t>
      </w:r>
      <w:r w:rsidR="00C41DCA">
        <w:rPr>
          <w:lang w:eastAsia="x-none"/>
        </w:rPr>
        <w:t xml:space="preserve">αντίστοιχης </w:t>
      </w:r>
      <w:r>
        <w:rPr>
          <w:lang w:eastAsia="x-none"/>
        </w:rPr>
        <w:t>ονομαστικής αξίας 2.000 εκατ. ευρώ και 1.000 εκατ. ευρώ</w:t>
      </w:r>
      <w:r w:rsidR="00C41DCA">
        <w:rPr>
          <w:lang w:eastAsia="x-none"/>
        </w:rPr>
        <w:t xml:space="preserve"> και </w:t>
      </w:r>
      <w:r>
        <w:rPr>
          <w:lang w:eastAsia="x-none"/>
        </w:rPr>
        <w:t>με απόδοση 4,057% και 4,408%, αντίστοιχα. Επιπλέον, τον Φεβρουάριο</w:t>
      </w:r>
      <w:r w:rsidRPr="004C31E8">
        <w:rPr>
          <w:lang w:eastAsia="x-none"/>
        </w:rPr>
        <w:t>,</w:t>
      </w:r>
      <w:r>
        <w:rPr>
          <w:lang w:eastAsia="x-none"/>
        </w:rPr>
        <w:t xml:space="preserve"> τον Απρίλιο</w:t>
      </w:r>
      <w:r w:rsidRPr="004C31E8">
        <w:rPr>
          <w:lang w:eastAsia="x-none"/>
        </w:rPr>
        <w:t xml:space="preserve"> </w:t>
      </w:r>
      <w:r>
        <w:rPr>
          <w:lang w:eastAsia="x-none"/>
        </w:rPr>
        <w:t>και τον Σεπτέμβριο του τρέχοντος έτους πραγματοποιήθηκαν μέσω δημοπρασίας επανεκδόσεις ομολόγων λήξεως 15</w:t>
      </w:r>
      <w:r w:rsidR="00C82FB6">
        <w:rPr>
          <w:lang w:eastAsia="x-none"/>
        </w:rPr>
        <w:t>.</w:t>
      </w:r>
      <w:r>
        <w:rPr>
          <w:lang w:eastAsia="x-none"/>
        </w:rPr>
        <w:t>6</w:t>
      </w:r>
      <w:r w:rsidR="00C82FB6">
        <w:rPr>
          <w:lang w:eastAsia="x-none"/>
        </w:rPr>
        <w:t>.</w:t>
      </w:r>
      <w:r>
        <w:rPr>
          <w:lang w:eastAsia="x-none"/>
        </w:rPr>
        <w:t>2035, 12</w:t>
      </w:r>
      <w:r w:rsidR="00C82FB6">
        <w:rPr>
          <w:lang w:eastAsia="x-none"/>
        </w:rPr>
        <w:t>.</w:t>
      </w:r>
      <w:r>
        <w:rPr>
          <w:lang w:eastAsia="x-none"/>
        </w:rPr>
        <w:t>3</w:t>
      </w:r>
      <w:r w:rsidR="00C82FB6">
        <w:rPr>
          <w:lang w:eastAsia="x-none"/>
        </w:rPr>
        <w:t>.</w:t>
      </w:r>
      <w:r>
        <w:rPr>
          <w:lang w:eastAsia="x-none"/>
        </w:rPr>
        <w:t>2029 και 15</w:t>
      </w:r>
      <w:r w:rsidR="00C82FB6">
        <w:rPr>
          <w:lang w:eastAsia="x-none"/>
        </w:rPr>
        <w:t>.</w:t>
      </w:r>
      <w:r>
        <w:rPr>
          <w:lang w:eastAsia="x-none"/>
        </w:rPr>
        <w:t>6</w:t>
      </w:r>
      <w:r w:rsidR="00C82FB6">
        <w:rPr>
          <w:lang w:eastAsia="x-none"/>
        </w:rPr>
        <w:t>.</w:t>
      </w:r>
      <w:r>
        <w:rPr>
          <w:lang w:eastAsia="x-none"/>
        </w:rPr>
        <w:t>2035, συνολικής ονομαστικής αξίας 700 εκατ. ευρώ, με αποδόσεις 3,237%, 2,34% και 3,26%, αντίστοιχα.</w:t>
      </w:r>
    </w:p>
    <w:p w14:paraId="2DC3C58D" w14:textId="77777777" w:rsidR="00656A21" w:rsidRPr="00983D03" w:rsidRDefault="003D0435" w:rsidP="003D0435">
      <w:pPr>
        <w:rPr>
          <w:highlight w:val="yellow"/>
        </w:rPr>
      </w:pPr>
      <w:r>
        <w:rPr>
          <w:lang w:eastAsia="x-none"/>
        </w:rPr>
        <w:t>Η έκδοση τίτλων βραχυπρόθεσμης διάρκειας από το Ελληνικό Δημόσιο συνεχίστηκε κατά τη διάρκεια του τρέχοντος έτους. Στις 31</w:t>
      </w:r>
      <w:r w:rsidR="00C82FB6">
        <w:rPr>
          <w:lang w:eastAsia="x-none"/>
        </w:rPr>
        <w:t>.</w:t>
      </w:r>
      <w:r>
        <w:rPr>
          <w:lang w:eastAsia="x-none"/>
        </w:rPr>
        <w:t>8</w:t>
      </w:r>
      <w:r w:rsidR="00C82FB6">
        <w:rPr>
          <w:lang w:eastAsia="x-none"/>
        </w:rPr>
        <w:t>.</w:t>
      </w:r>
      <w:r>
        <w:rPr>
          <w:lang w:eastAsia="x-none"/>
        </w:rPr>
        <w:t xml:space="preserve">2025 το ανεξόφλητο υπόλοιπο των </w:t>
      </w:r>
      <w:r w:rsidR="00C82FB6">
        <w:rPr>
          <w:lang w:eastAsia="x-none"/>
        </w:rPr>
        <w:t>εντόκων γραμματίων του Ελληνικού Δημοσίου (ΕΓΕΔ)</w:t>
      </w:r>
      <w:r>
        <w:rPr>
          <w:lang w:eastAsia="x-none"/>
        </w:rPr>
        <w:t xml:space="preserve"> ανερχόταν σε 8.099,8 εκατ. ευρώ, ενώ τα repos ανήλθαν σε 58.295,14 εκατ. ευρώ.</w:t>
      </w:r>
    </w:p>
    <w:p w14:paraId="4A7E7D3A" w14:textId="77777777" w:rsidR="00C7416A" w:rsidRPr="00B81C79" w:rsidRDefault="00C7416A" w:rsidP="001758A7">
      <w:pPr>
        <w:pStyle w:val="4"/>
        <w:keepNext w:val="0"/>
      </w:pPr>
      <w:bookmarkStart w:id="610" w:name="_Toc210570697"/>
      <w:r w:rsidRPr="00B81C79">
        <w:t>Δευτερογενής αγορά τίτλων</w:t>
      </w:r>
      <w:bookmarkEnd w:id="610"/>
    </w:p>
    <w:p w14:paraId="7196ED17" w14:textId="77777777" w:rsidR="003D0435" w:rsidRPr="00E66268" w:rsidRDefault="003D0435" w:rsidP="003D0435">
      <w:pPr>
        <w:rPr>
          <w:bCs/>
        </w:rPr>
      </w:pPr>
      <w:r w:rsidRPr="00E66268">
        <w:rPr>
          <w:bCs/>
        </w:rPr>
        <w:t>Η συνολική αξία των συναλλαγών που καταγράφηκε στο Σύστημα Άυλων Τίτλων της Τ</w:t>
      </w:r>
      <w:r w:rsidR="00A5645C">
        <w:rPr>
          <w:bCs/>
        </w:rPr>
        <w:t>τΕ</w:t>
      </w:r>
      <w:r w:rsidRPr="00E66268">
        <w:rPr>
          <w:bCs/>
        </w:rPr>
        <w:t xml:space="preserve">, η οποία περιλαμβάνει τις αγοραπωλησίες τίτλων και τις συμφωνίες επαναγοράς στην εξωχρηματιστηριακή αγορά (over-the-counter) και </w:t>
      </w:r>
      <w:r w:rsidR="008734E5">
        <w:rPr>
          <w:bCs/>
        </w:rPr>
        <w:t>σ</w:t>
      </w:r>
      <w:r w:rsidRPr="00E66268">
        <w:rPr>
          <w:bCs/>
        </w:rPr>
        <w:t xml:space="preserve">τις ηλεκτρονικές πλατφόρμες διαπραγμάτευσης, διαμορφώθηκε σε 948,2 δισ. ευρώ το </w:t>
      </w:r>
      <w:r w:rsidR="008734E5">
        <w:rPr>
          <w:bCs/>
        </w:rPr>
        <w:t>2ο</w:t>
      </w:r>
      <w:r w:rsidRPr="00E66268">
        <w:rPr>
          <w:bCs/>
        </w:rPr>
        <w:t xml:space="preserve"> τρίμηνο του 2025 έναντι 867,5 δισ. ευρώ το </w:t>
      </w:r>
      <w:r w:rsidR="008734E5">
        <w:rPr>
          <w:bCs/>
        </w:rPr>
        <w:t>1ο</w:t>
      </w:r>
      <w:r w:rsidRPr="00E66268">
        <w:rPr>
          <w:bCs/>
        </w:rPr>
        <w:t xml:space="preserve"> τρίμηνο του 2025, ενώ το </w:t>
      </w:r>
      <w:r w:rsidR="008734E5">
        <w:rPr>
          <w:bCs/>
        </w:rPr>
        <w:t>2ο</w:t>
      </w:r>
      <w:r w:rsidRPr="00E66268">
        <w:rPr>
          <w:bCs/>
        </w:rPr>
        <w:t xml:space="preserve"> τρίμηνο του 2024 είχε διαμορφωθεί σε 711,7 δισ. ευρώ.</w:t>
      </w:r>
    </w:p>
    <w:p w14:paraId="46126F16" w14:textId="77777777" w:rsidR="003D0435" w:rsidRPr="00E66268" w:rsidRDefault="003D0435" w:rsidP="003D0435">
      <w:pPr>
        <w:rPr>
          <w:bCs/>
        </w:rPr>
      </w:pPr>
      <w:r w:rsidRPr="00E66268">
        <w:rPr>
          <w:bCs/>
        </w:rPr>
        <w:lastRenderedPageBreak/>
        <w:t xml:space="preserve">Κατά το </w:t>
      </w:r>
      <w:r w:rsidR="008734E5">
        <w:rPr>
          <w:bCs/>
        </w:rPr>
        <w:t>2ο</w:t>
      </w:r>
      <w:r w:rsidRPr="00E66268">
        <w:rPr>
          <w:bCs/>
        </w:rPr>
        <w:t xml:space="preserve"> τρίμηνο του 2025 το 10,71% της συναλλακτικής δραστηριότητας στην Ηλεκτρονική Δευτερογενή Αγορά Τίτλων (ΗΔΑΤ) επικεντρώθηκε στους τίτλους με διάρκεια έως 5 έτη, το 37,57% στους τίτλους με διάρκεια από 5 έως 10 έτη και το 51,72% σε τίτλους με διάρκεια από 10 έως 30 έτη.</w:t>
      </w:r>
    </w:p>
    <w:p w14:paraId="4C3C6FD7" w14:textId="77777777" w:rsidR="0037311C" w:rsidRPr="003D0435" w:rsidRDefault="003D0435" w:rsidP="00EA0338">
      <w:pPr>
        <w:rPr>
          <w:bCs/>
        </w:rPr>
      </w:pPr>
      <w:r w:rsidRPr="00E66268">
        <w:rPr>
          <w:bCs/>
        </w:rPr>
        <w:t xml:space="preserve">Η σύνθεση της ομάδας των βασικών διαπραγματευτών αγοράς κατά το τρέχον έτος αποτελείται από 4 </w:t>
      </w:r>
      <w:r w:rsidR="008734E5">
        <w:rPr>
          <w:bCs/>
        </w:rPr>
        <w:t>ε</w:t>
      </w:r>
      <w:r w:rsidRPr="00E66268">
        <w:rPr>
          <w:bCs/>
        </w:rPr>
        <w:t>λληνικά και 14 διεθνή πιστωτικά ιδρύματα.</w:t>
      </w:r>
    </w:p>
    <w:p w14:paraId="459B6492" w14:textId="77777777" w:rsidR="00C7416A" w:rsidRPr="00726F24" w:rsidRDefault="00C7416A" w:rsidP="001758A7">
      <w:pPr>
        <w:pStyle w:val="3"/>
        <w:keepNext w:val="0"/>
        <w:rPr>
          <w:lang w:val="el-GR"/>
        </w:rPr>
      </w:pPr>
      <w:bookmarkStart w:id="611" w:name="_Toc210570698"/>
      <w:r w:rsidRPr="002201F0">
        <w:t>Βασικές</w:t>
      </w:r>
      <w:r w:rsidRPr="00726F24">
        <w:t xml:space="preserve"> κατευθύνσεις δανεισμού και διαχειριστικών στόχων για το </w:t>
      </w:r>
      <w:r w:rsidRPr="003D0435">
        <w:t>202</w:t>
      </w:r>
      <w:r w:rsidR="003D0435" w:rsidRPr="003D0435">
        <w:rPr>
          <w:lang w:val="el-GR"/>
        </w:rPr>
        <w:t>6</w:t>
      </w:r>
      <w:bookmarkEnd w:id="611"/>
    </w:p>
    <w:p w14:paraId="756E0A3B" w14:textId="29D3C1EA" w:rsidR="003D0435" w:rsidRDefault="003D0435" w:rsidP="003D0435">
      <w:r>
        <w:t xml:space="preserve">Κατά το έτος 2025 το χρέος της </w:t>
      </w:r>
      <w:r w:rsidR="00A65F55">
        <w:t>Γ</w:t>
      </w:r>
      <w:r>
        <w:t xml:space="preserve">ενικής </w:t>
      </w:r>
      <w:r w:rsidR="00A65F55">
        <w:t>Κ</w:t>
      </w:r>
      <w:r>
        <w:t>υβέρνησης παρουσιάζεται μειωμένο σε απόλυτο μέγεθος, ενώ συνεχίστηκε η μείωσή του και ως ποσοστ</w:t>
      </w:r>
      <w:r w:rsidR="00A65F55">
        <w:t>ού</w:t>
      </w:r>
      <w:r>
        <w:t xml:space="preserve"> του ΑΕΠ λόγω της νέας αύξησης τόσο του ονομαστικού όσο και του πραγματικού ΑΕΠ. Παράλληλα, το ύψος των συνολικών ταμειακών διαθεσίμων του Ε</w:t>
      </w:r>
      <w:r w:rsidR="00A65F55">
        <w:t xml:space="preserve">λληνικού Δημοσίου </w:t>
      </w:r>
      <w:r>
        <w:t>διατηρήθηκε στα υψηλά επίπεδα των προηγούμενων ετών.</w:t>
      </w:r>
    </w:p>
    <w:p w14:paraId="198B676E" w14:textId="3BC30347" w:rsidR="003D0435" w:rsidRDefault="003D0435" w:rsidP="003D0435">
      <w:r>
        <w:t xml:space="preserve">Η βραχυπρόθεσμη χρηματοδότηση του Ελληνικού Δημοσίου για όλο το έτος 2025 </w:t>
      </w:r>
      <w:r w:rsidR="00BB5CCD">
        <w:t>εξασφάλισε</w:t>
      </w:r>
      <w:r>
        <w:t xml:space="preserve"> συνεχή εκδοτική παρουσία σε όλο το βραχυχρόνιο τμήμα της καμπύλης αποδόσεων, σταθεροποιώντας παράλληλα τη μέση σταθμική ωρίμανση του βραχυχρόνιου δανεισμού καθώς και τους δείκτες κινδύνου αναχρηματοδότησης σε χαμηλά επίπεδα. Επιπλέον, συνεχίστηκε και το τρέχον έτος η διαδικασία των δημόσιων εγγραφών για ιδιώτες μικροεπενδυτές στις δημοπρασίες Ε</w:t>
      </w:r>
      <w:r w:rsidR="00A65F55">
        <w:t>ΓΕΔ</w:t>
      </w:r>
      <w:r>
        <w:t>, διάρκει</w:t>
      </w:r>
      <w:r w:rsidR="008B286E">
        <w:t>α</w:t>
      </w:r>
      <w:r>
        <w:t>ς 3, 6 και 12 μηνών, για απόκτηση τίτλων έως του ποσού των 15.000 ευρώ ανά ΑΦΜ.</w:t>
      </w:r>
    </w:p>
    <w:p w14:paraId="140BB351" w14:textId="3B9F8385" w:rsidR="003D0435" w:rsidRDefault="003D0435" w:rsidP="003D0435">
      <w:r>
        <w:t xml:space="preserve">Οι μικτές χρηματοδοτικές ανάγκες του Ελληνικού Δημοσίου για το 2025, περιλαμβανομένης και της επικείμενης πρόωρης εξόφλησης των διμερών δανείων με τις χώρες της Ευρωζώνης (GLF), ύψους 5.290 εκατ. ευρώ, που αφορά αναλογικά </w:t>
      </w:r>
      <w:r w:rsidRPr="008E60F7">
        <w:t>(pro rata)</w:t>
      </w:r>
      <w:r>
        <w:t xml:space="preserve"> </w:t>
      </w:r>
      <w:r w:rsidR="008B286E">
        <w:t>σ</w:t>
      </w:r>
      <w:r>
        <w:t xml:space="preserve">τις λήξεις από το 2033 έως και το 2041, καλύφθηκαν κυρίως από δύο κοινοπρακτικές εκδόσεις ομολόγων σταθερού επιτοκίου. Συγκεκριμένα, η πρώτη έκδοση ύψους 4.000 εκατ. ευρώ αφορούσε </w:t>
      </w:r>
      <w:r w:rsidR="00EF3AF4">
        <w:t xml:space="preserve">σε </w:t>
      </w:r>
      <w:r>
        <w:t>νέο δεκαετές ομόλογο λήξης 2035</w:t>
      </w:r>
      <w:r w:rsidR="00EF3AF4">
        <w:t>,</w:t>
      </w:r>
      <w:r>
        <w:t xml:space="preserve"> ενώ η δεύτερη αφορούσε </w:t>
      </w:r>
      <w:r w:rsidR="00EF3AF4">
        <w:t xml:space="preserve">σε </w:t>
      </w:r>
      <w:r>
        <w:t xml:space="preserve">διπλή έκδοση συνολικού ύψους 3.000 εκατ. ευρώ με επανέκδοση (re-opening) υφιστάμενων ομολόγων δεκαπενταετούς και τριακονταετούς διάρκειας, λήξης 2038 και 2054 αντίστοιχα, σε συνδυασμό με επαναγορά υφιστάμενων ομολόγων ύψους 1.500 εκατ. ευρώ, λήξης 2026 (dual trance + switch </w:t>
      </w:r>
      <w:r w:rsidR="00EF3AF4">
        <w:rPr>
          <w:lang w:val="en-US"/>
        </w:rPr>
        <w:t>and</w:t>
      </w:r>
      <w:r>
        <w:t xml:space="preserve"> tender offer).</w:t>
      </w:r>
    </w:p>
    <w:p w14:paraId="1FEAE16D" w14:textId="50AAD86A" w:rsidR="003D0435" w:rsidRDefault="003D0435" w:rsidP="003D0435">
      <w:r>
        <w:t>Με τις ανωτέρω εκδόσεις σε συνδυασμό με τη χρήση μέρους των ταμ</w:t>
      </w:r>
      <w:r w:rsidR="00DE1ABA">
        <w:t>ε</w:t>
      </w:r>
      <w:r>
        <w:t>ιακών διαθεσίμων, υλοποιήθηκε</w:t>
      </w:r>
      <w:r w:rsidR="001C6DA3">
        <w:t xml:space="preserve"> </w:t>
      </w:r>
      <w:r>
        <w:t>το σύνολο σχεδόν του εγκεκριμένου δανειακού προγράμματος του έτους</w:t>
      </w:r>
      <w:r w:rsidR="00FE788F">
        <w:t>,</w:t>
      </w:r>
      <w:r>
        <w:t xml:space="preserve"> περιλαμβανομένων και των ποσών για πρόωρες εξοφλήσεις δημ</w:t>
      </w:r>
      <w:r w:rsidR="00DE1ABA">
        <w:t>όσιου</w:t>
      </w:r>
      <w:r>
        <w:t xml:space="preserve"> χρέους, </w:t>
      </w:r>
      <w:r w:rsidR="00DE1ABA">
        <w:t>με ταυτόχρονη κάλυψη των κενών</w:t>
      </w:r>
      <w:r>
        <w:t xml:space="preserve"> ληκτότητας της καμπύλης αποδόσεων με επαρκούς ρευστότητας ομολογιακές εκδόσεις αναφοράς (benchmark issues) και </w:t>
      </w:r>
      <w:r w:rsidR="00DE1ABA">
        <w:t xml:space="preserve">με περαιτέρω βελτίωση </w:t>
      </w:r>
      <w:r>
        <w:t>τ</w:t>
      </w:r>
      <w:r w:rsidR="00DE1ABA">
        <w:t>ων</w:t>
      </w:r>
      <w:r>
        <w:t xml:space="preserve"> όγκ</w:t>
      </w:r>
      <w:r w:rsidR="00DE1ABA">
        <w:t>ων</w:t>
      </w:r>
      <w:r>
        <w:t xml:space="preserve"> συναλλαγών της δευτερογενούς αγοράς ελληνικών κρατικών χρεογράφων. Επιπλέον, διενεργήθηκαν τρεις δημοπρασίες επανέκδοσης ομολόγων σε προκαθορισμένα τακτά χρονικά διαστήματα (3η εβδομάδα κάθε μήνα)</w:t>
      </w:r>
      <w:r w:rsidR="007F68D3">
        <w:t>,</w:t>
      </w:r>
      <w:r>
        <w:t xml:space="preserve"> μέσω των οποίων αντλήθηκε συνολικό ποσό 700 εκατ. ευρώ. Οι εν λόγω δημοπρασίες </w:t>
      </w:r>
      <w:r w:rsidR="00DE1ABA">
        <w:t>αποσκοπούν κυρίως σ</w:t>
      </w:r>
      <w:r>
        <w:t xml:space="preserve">την ικανοποίηση της επενδυτικής ζήτησης και ταυτόχρονα </w:t>
      </w:r>
      <w:r w:rsidR="00DE1ABA">
        <w:t>σ</w:t>
      </w:r>
      <w:r>
        <w:t>τη</w:t>
      </w:r>
      <w:r w:rsidR="00495E08">
        <w:t>ν</w:t>
      </w:r>
      <w:r>
        <w:t xml:space="preserve"> </w:t>
      </w:r>
      <w:r w:rsidR="00495E08">
        <w:t xml:space="preserve">ευχερέστερη </w:t>
      </w:r>
      <w:r>
        <w:t>λειτουργία της δευτερογενούς αγοράς ομολόγων, με παροχή περαιτέρω ρευστότητας σε επιλεγμένα σημεία της καμπύλης αποδόσεων, ενώ η ανακοίνωση του χρονικού προγραμματισμού τους πιστοποιεί την επιστροφή του Ε</w:t>
      </w:r>
      <w:r w:rsidR="00495E08">
        <w:t xml:space="preserve">λληνικού </w:t>
      </w:r>
      <w:r>
        <w:t>Δ</w:t>
      </w:r>
      <w:r w:rsidR="00495E08">
        <w:t>ημοσίου</w:t>
      </w:r>
      <w:r>
        <w:t xml:space="preserve"> στην εκδοτική κανονικότητα.</w:t>
      </w:r>
    </w:p>
    <w:p w14:paraId="10D6D284" w14:textId="2F63CF99" w:rsidR="003D0435" w:rsidRDefault="003D0435" w:rsidP="003D0435">
      <w:r>
        <w:t xml:space="preserve">Δεδομένων των υψηλών ταμειακών διαθεσίμων του </w:t>
      </w:r>
      <w:r w:rsidR="00495E08">
        <w:t>Ελληνικού Δημοσίου</w:t>
      </w:r>
      <w:r>
        <w:t xml:space="preserve"> καθώς και των σχετικά περιορισμένων χρηματοδοτικών αναγκών του για το έτος 2026</w:t>
      </w:r>
      <w:r w:rsidR="00495E08">
        <w:t xml:space="preserve"> συνεπεία </w:t>
      </w:r>
      <w:r>
        <w:t xml:space="preserve">και των προαναφερόμενων προπληρωμών, η δανειακή στρατηγική για το επόμενο έτος αναμένεται να είναι και πάλι περιορισμένη. Συγκεκριμένα, η στόχευση της δανειακής στρατηγικής </w:t>
      </w:r>
      <w:r w:rsidR="00495E08">
        <w:t>συνίσταται στ</w:t>
      </w:r>
      <w:r>
        <w:t xml:space="preserve">η διασφάλιση της συνεχούς εκδοτικής παρουσίας του </w:t>
      </w:r>
      <w:r w:rsidR="00495E08">
        <w:t xml:space="preserve">Ελληνικού Δημοσίου </w:t>
      </w:r>
      <w:r>
        <w:t xml:space="preserve">στις διεθνείς αγορές κεφαλαίων, </w:t>
      </w:r>
      <w:r w:rsidR="00495E08">
        <w:t>στ</w:t>
      </w:r>
      <w:r>
        <w:t>η</w:t>
      </w:r>
      <w:r w:rsidR="00495E08">
        <w:t>ν</w:t>
      </w:r>
      <w:r>
        <w:t xml:space="preserve"> περαιτέρω παροχή εκδόσεων υψηλής ρευστότητας με διατήρηση κατά το δυνατόν της ήδη εκτεταμένης φυσικής ωρίμανσής τους, </w:t>
      </w:r>
      <w:r w:rsidR="00495E08">
        <w:t>στ</w:t>
      </w:r>
      <w:r>
        <w:t xml:space="preserve">η μείωση των περιθωρίων δανεισμού του </w:t>
      </w:r>
      <w:r w:rsidR="00495E08">
        <w:t>Ελληνικού Δημοσίου</w:t>
      </w:r>
      <w:r>
        <w:t xml:space="preserve"> καθώς και </w:t>
      </w:r>
      <w:r w:rsidR="00495E08">
        <w:t>στ</w:t>
      </w:r>
      <w:r>
        <w:t>η</w:t>
      </w:r>
      <w:r w:rsidR="00495E08">
        <w:t>ν</w:t>
      </w:r>
      <w:r>
        <w:t xml:space="preserve"> </w:t>
      </w:r>
      <w:r w:rsidR="0003771A">
        <w:t>επιπρόσθετη</w:t>
      </w:r>
      <w:r>
        <w:t xml:space="preserve"> </w:t>
      </w:r>
      <w:r>
        <w:lastRenderedPageBreak/>
        <w:t xml:space="preserve">διασφάλιση της συνέπειας του </w:t>
      </w:r>
      <w:r w:rsidR="00495E08">
        <w:t xml:space="preserve">Ελληνικού Δημοσίου </w:t>
      </w:r>
      <w:r>
        <w:t xml:space="preserve">ως κρατικού εκδότη με χαρακτηριστικά χώρας της </w:t>
      </w:r>
      <w:r w:rsidR="00495E08">
        <w:t>Ε</w:t>
      </w:r>
      <w:r>
        <w:t>υρωζώνης. Ταυτόχρονα</w:t>
      </w:r>
      <w:r w:rsidR="0003771A">
        <w:t>,</w:t>
      </w:r>
      <w:r>
        <w:t xml:space="preserve"> </w:t>
      </w:r>
      <w:r w:rsidR="005E33EC">
        <w:t xml:space="preserve">στο πλαίσιο </w:t>
      </w:r>
      <w:r>
        <w:t xml:space="preserve">των ευκαιριών που παρέχονται στο βραχυχρόνιο τμήμα της ευρωπαϊκής καμπύλης, </w:t>
      </w:r>
      <w:r w:rsidR="005E33EC">
        <w:t xml:space="preserve">θα </w:t>
      </w:r>
      <w:r>
        <w:t>αξιοποι</w:t>
      </w:r>
      <w:r w:rsidR="005E33EC">
        <w:t xml:space="preserve">ηθούν </w:t>
      </w:r>
      <w:r>
        <w:t>στο</w:t>
      </w:r>
      <w:r w:rsidR="0003771A">
        <w:t>ν</w:t>
      </w:r>
      <w:r>
        <w:t xml:space="preserve"> μέγιστο δυνατό βαθμό </w:t>
      </w:r>
      <w:r w:rsidR="005E33EC">
        <w:t>οι</w:t>
      </w:r>
      <w:r>
        <w:t xml:space="preserve"> υφιστάμεν</w:t>
      </w:r>
      <w:r w:rsidR="005E33EC">
        <w:t>ες</w:t>
      </w:r>
      <w:r>
        <w:t xml:space="preserve"> θέσε</w:t>
      </w:r>
      <w:r w:rsidR="005E33EC">
        <w:t xml:space="preserve">ις </w:t>
      </w:r>
      <w:r>
        <w:t>και τ</w:t>
      </w:r>
      <w:r w:rsidR="005E33EC">
        <w:t>α</w:t>
      </w:r>
      <w:r>
        <w:t xml:space="preserve"> χαρακτηριστικ</w:t>
      </w:r>
      <w:r w:rsidR="005E33EC">
        <w:t>ά</w:t>
      </w:r>
      <w:r>
        <w:t xml:space="preserve"> του ελληνικού χαρτοφυλακίου δημ</w:t>
      </w:r>
      <w:r w:rsidR="0003771A">
        <w:t>ό</w:t>
      </w:r>
      <w:r>
        <w:t>σ</w:t>
      </w:r>
      <w:r w:rsidR="0003771A">
        <w:t>ι</w:t>
      </w:r>
      <w:r>
        <w:t xml:space="preserve">ου χρέους. Τέλος, θα συνεχιστεί η πολιτική πρόωρων αποπληρωμών χρέους με χρήση και μέρους των ταμειακών διαθεσίμων και συγκεκριμένα των δανείων που προέρχονται από τον επίσημο τομέα, δηλαδή των διμερών δανείων με τις χώρες της </w:t>
      </w:r>
      <w:r w:rsidR="005E33EC">
        <w:t>Ε</w:t>
      </w:r>
      <w:r>
        <w:t>υρωζώνης</w:t>
      </w:r>
      <w:r w:rsidR="005E33EC">
        <w:t xml:space="preserve">. Κύριος στόχος είναι η αποπληρωμή των εν λόγω διμερών δανείων </w:t>
      </w:r>
      <w:r>
        <w:t xml:space="preserve">μία δεκαετία νωρίτερα από την τελική ημερομηνία λήξης τους, ήτοι το αργότερο έως το 2031, </w:t>
      </w:r>
      <w:r w:rsidR="00FE788F">
        <w:t>ούτως</w:t>
      </w:r>
      <w:r>
        <w:t xml:space="preserve"> ώστε το χρέος</w:t>
      </w:r>
      <w:r w:rsidR="005E33EC">
        <w:t xml:space="preserve"> της</w:t>
      </w:r>
      <w:r>
        <w:t xml:space="preserve"> </w:t>
      </w:r>
      <w:r w:rsidR="005E33EC">
        <w:t>Γ</w:t>
      </w:r>
      <w:r>
        <w:t xml:space="preserve">ενικής </w:t>
      </w:r>
      <w:r w:rsidR="005E33EC">
        <w:t>Κ</w:t>
      </w:r>
      <w:r>
        <w:t>υβέρνησης να μειωθεί τόσο ως απόλυτο μέγεθος όσο και ως ποσοστό.</w:t>
      </w:r>
    </w:p>
    <w:p w14:paraId="1C56C31C" w14:textId="21367A85" w:rsidR="003D0435" w:rsidRDefault="003D0435" w:rsidP="003D0435">
      <w:r>
        <w:t xml:space="preserve">Για την επίτευξη των </w:t>
      </w:r>
      <w:r w:rsidR="00EC1BF3">
        <w:t xml:space="preserve">ανωτέρω </w:t>
      </w:r>
      <w:r>
        <w:t xml:space="preserve">στόχων θα επιδιωχθεί στο πλαίσιο λειτουργίας της πρωτογενούς αγοράς, πλέον της εκδοτικής δραστηριότητας, </w:t>
      </w:r>
      <w:r w:rsidR="00EC1BF3">
        <w:t>η εφαρμογή της</w:t>
      </w:r>
      <w:r>
        <w:t xml:space="preserve"> πολιτική</w:t>
      </w:r>
      <w:r w:rsidR="00EC1BF3">
        <w:t>ς</w:t>
      </w:r>
      <w:r>
        <w:t xml:space="preserve"> διαχείρισης χαρτοφυλακίου μέσω της οποίας θα διασφαλίζ</w:t>
      </w:r>
      <w:r w:rsidR="00EC1BF3">
        <w:t>ονται</w:t>
      </w:r>
      <w:r>
        <w:t xml:space="preserve"> ο αναγκαίος χώρος για τη συνεχή παρουσία του </w:t>
      </w:r>
      <w:r w:rsidR="00EC1BF3">
        <w:t xml:space="preserve">Ελληνικού Δημοσίου </w:t>
      </w:r>
      <w:r>
        <w:t>στις αγορές, η περαιτέρω μείωση του κινδύνου αναχρηματοδότησης, η παροχή της αναγκαίας ρευστότητας και η βελτίωση της λειτουργίας της δευτερογενούς αγοράς των ελληνικών ομολόγων, με ταυτόχρονη αξιοποίηση της εκάστοτε κλίσης της ελληνικής καμπύλης αποδόσεων για τη διασφάλιση βέλτιστου αποτελέσματος αναφορικά με το κόστος δανεισμού.</w:t>
      </w:r>
    </w:p>
    <w:p w14:paraId="4787C2A4" w14:textId="77777777" w:rsidR="0037311C" w:rsidRPr="003D0435" w:rsidRDefault="003D0435" w:rsidP="00EA0338">
      <w:r>
        <w:t>Κατά το επόμενο έτος θα διατηρηθούν οι βασικοί μεσοπρόθεσμοι στόχοι διαχείρισης του χαρτοφυλακίου δημ</w:t>
      </w:r>
      <w:r w:rsidR="00EC1BF3">
        <w:t xml:space="preserve">όσιου </w:t>
      </w:r>
      <w:r>
        <w:t>χρέους, όπως είναι η πλήρης αντιστάθμιση του συναλλαγματικού κινδύνου για τα δάνεια εκτός ευρώ και η διατήρηση της υφιστάμενης αναλογίας χρέους σταθερού επιτοκίου στο σύνολο του χαρτοφυλακίου.</w:t>
      </w:r>
    </w:p>
    <w:sectPr w:rsidR="0037311C" w:rsidRPr="003D0435" w:rsidSect="00B87393">
      <w:headerReference w:type="even" r:id="rId31"/>
      <w:headerReference w:type="default" r:id="rId32"/>
      <w:footerReference w:type="even" r:id="rId33"/>
      <w:footerReference w:type="default" r:id="rId34"/>
      <w:footnotePr>
        <w:numRestart w:val="eachSect"/>
      </w:footnotePr>
      <w:pgSz w:w="11906" w:h="16838" w:code="9"/>
      <w:pgMar w:top="1310" w:right="1418" w:bottom="1310" w:left="1418" w:header="652"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030AC" w14:textId="77777777" w:rsidR="00DD2E05" w:rsidRDefault="00DD2E05">
      <w:r>
        <w:separator/>
      </w:r>
    </w:p>
  </w:endnote>
  <w:endnote w:type="continuationSeparator" w:id="0">
    <w:p w14:paraId="74DAB48A" w14:textId="77777777" w:rsidR="00DD2E05" w:rsidRDefault="00DD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CC"/>
    <w:family w:val="swiss"/>
    <w:pitch w:val="variable"/>
    <w:sig w:usb0="E0002EFF" w:usb1="0000785B"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8F8C" w14:textId="3468FF12" w:rsidR="00DB7252" w:rsidRPr="002B5330" w:rsidRDefault="00DB7252" w:rsidP="00C86660">
    <w:pPr>
      <w:pStyle w:val="a4"/>
      <w:pBdr>
        <w:top w:val="single" w:sz="12" w:space="1" w:color="2F5496"/>
      </w:pBdr>
      <w:tabs>
        <w:tab w:val="clear" w:pos="4153"/>
        <w:tab w:val="clear" w:pos="8306"/>
        <w:tab w:val="left" w:pos="0"/>
        <w:tab w:val="left" w:pos="1134"/>
      </w:tabs>
      <w:spacing w:line="276" w:lineRule="auto"/>
      <w:rPr>
        <w:color w:val="2F5496"/>
        <w:sz w:val="16"/>
        <w:szCs w:val="16"/>
        <w:lang w:val="el-GR"/>
      </w:rPr>
    </w:pPr>
    <w:r w:rsidRPr="002B5330">
      <w:rPr>
        <w:b/>
        <w:color w:val="2F5496"/>
        <w:sz w:val="16"/>
        <w:szCs w:val="16"/>
      </w:rPr>
      <w:fldChar w:fldCharType="begin"/>
    </w:r>
    <w:r w:rsidRPr="002B5330">
      <w:rPr>
        <w:b/>
        <w:color w:val="2F5496"/>
        <w:sz w:val="16"/>
        <w:szCs w:val="16"/>
      </w:rPr>
      <w:instrText>PAGE   \* MERGEFORMAT</w:instrText>
    </w:r>
    <w:r w:rsidRPr="002B5330">
      <w:rPr>
        <w:b/>
        <w:color w:val="2F5496"/>
        <w:sz w:val="16"/>
        <w:szCs w:val="16"/>
      </w:rPr>
      <w:fldChar w:fldCharType="separate"/>
    </w:r>
    <w:r w:rsidRPr="004375F0">
      <w:rPr>
        <w:b/>
        <w:noProof/>
        <w:color w:val="2F5496"/>
        <w:sz w:val="16"/>
        <w:szCs w:val="16"/>
        <w:lang w:val="el-GR"/>
      </w:rPr>
      <w:t>28</w:t>
    </w:r>
    <w:r w:rsidRPr="002B5330">
      <w:rPr>
        <w:b/>
        <w:color w:val="2F5496"/>
        <w:sz w:val="16"/>
        <w:szCs w:val="16"/>
      </w:rPr>
      <w:fldChar w:fldCharType="end"/>
    </w:r>
    <w:r>
      <w:rPr>
        <w:b/>
        <w:color w:val="2F5496"/>
        <w:sz w:val="16"/>
        <w:szCs w:val="16"/>
      </w:rPr>
      <w:tab/>
    </w:r>
    <w:r w:rsidRPr="002B5330">
      <w:rPr>
        <w:b/>
        <w:color w:val="2F5496"/>
        <w:sz w:val="16"/>
        <w:szCs w:val="16"/>
        <w:lang w:val="el-GR"/>
      </w:rPr>
      <w:t>ΠΡΟΣΧΕΔΙΟ ΚΡΑΤΙΚΟΥ ΠΡΟΫΠΟΛΟΓΙΣΜΟΥ 202</w:t>
    </w:r>
    <w:r>
      <w:rPr>
        <w:b/>
        <w:color w:val="2F5496"/>
        <w:sz w:val="16"/>
        <w:szCs w:val="16"/>
        <w:lang w:val="el-GR"/>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7249" w14:textId="5A7D6653" w:rsidR="00DB7252" w:rsidRPr="002B5330" w:rsidRDefault="00DB7252" w:rsidP="00FC35E5">
    <w:pPr>
      <w:pStyle w:val="a4"/>
      <w:pBdr>
        <w:top w:val="single" w:sz="12" w:space="1" w:color="2F5496"/>
      </w:pBdr>
      <w:tabs>
        <w:tab w:val="clear" w:pos="4153"/>
        <w:tab w:val="clear" w:pos="8306"/>
        <w:tab w:val="right" w:pos="7938"/>
        <w:tab w:val="right" w:pos="9072"/>
      </w:tabs>
      <w:spacing w:line="276" w:lineRule="auto"/>
      <w:rPr>
        <w:color w:val="2F5496"/>
        <w:sz w:val="16"/>
        <w:szCs w:val="16"/>
      </w:rPr>
    </w:pPr>
    <w:r>
      <w:rPr>
        <w:b/>
        <w:color w:val="2F5496"/>
        <w:sz w:val="16"/>
        <w:szCs w:val="16"/>
        <w:lang w:val="el-GR"/>
      </w:rPr>
      <w:tab/>
    </w:r>
    <w:r w:rsidRPr="002B5330">
      <w:rPr>
        <w:b/>
        <w:color w:val="2F5496"/>
        <w:sz w:val="16"/>
        <w:szCs w:val="16"/>
        <w:lang w:val="el-GR"/>
      </w:rPr>
      <w:t>ΠΡΟΣΧΕΔΙΟ ΚΡΑΤΙΚΟΥ ΠΡΟΫΠΟΛΟΓΙΣΜΟΥ 202</w:t>
    </w:r>
    <w:r>
      <w:rPr>
        <w:b/>
        <w:color w:val="2F5496"/>
        <w:sz w:val="16"/>
        <w:szCs w:val="16"/>
        <w:lang w:val="el-GR"/>
      </w:rPr>
      <w:t>6</w:t>
    </w:r>
    <w:r>
      <w:rPr>
        <w:b/>
        <w:color w:val="2F5496"/>
        <w:sz w:val="16"/>
        <w:szCs w:val="16"/>
        <w:lang w:val="el-GR"/>
      </w:rPr>
      <w:tab/>
    </w:r>
    <w:r w:rsidRPr="002B5330">
      <w:rPr>
        <w:b/>
        <w:color w:val="2F5496"/>
        <w:sz w:val="16"/>
        <w:szCs w:val="16"/>
      </w:rPr>
      <w:fldChar w:fldCharType="begin"/>
    </w:r>
    <w:r w:rsidRPr="002B5330">
      <w:rPr>
        <w:b/>
        <w:color w:val="2F5496"/>
        <w:sz w:val="16"/>
        <w:szCs w:val="16"/>
      </w:rPr>
      <w:instrText>PAGE   \* MERGEFORMAT</w:instrText>
    </w:r>
    <w:r w:rsidRPr="002B5330">
      <w:rPr>
        <w:b/>
        <w:color w:val="2F5496"/>
        <w:sz w:val="16"/>
        <w:szCs w:val="16"/>
      </w:rPr>
      <w:fldChar w:fldCharType="separate"/>
    </w:r>
    <w:r w:rsidRPr="004375F0">
      <w:rPr>
        <w:b/>
        <w:noProof/>
        <w:color w:val="2F5496"/>
        <w:sz w:val="16"/>
        <w:szCs w:val="16"/>
        <w:lang w:val="el-GR"/>
      </w:rPr>
      <w:t>21</w:t>
    </w:r>
    <w:r w:rsidRPr="002B5330">
      <w:rPr>
        <w:b/>
        <w:color w:val="2F5496"/>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095F" w14:textId="52291A67" w:rsidR="00DB7252" w:rsidRPr="002B5330" w:rsidRDefault="00DB7252" w:rsidP="00D72EAF">
    <w:pPr>
      <w:pStyle w:val="a4"/>
      <w:pBdr>
        <w:top w:val="single" w:sz="12" w:space="1" w:color="2F5496"/>
      </w:pBdr>
      <w:tabs>
        <w:tab w:val="clear" w:pos="4153"/>
        <w:tab w:val="clear" w:pos="8306"/>
        <w:tab w:val="left" w:pos="0"/>
        <w:tab w:val="left" w:pos="1134"/>
      </w:tabs>
      <w:spacing w:line="276" w:lineRule="auto"/>
      <w:rPr>
        <w:color w:val="2F5496"/>
        <w:sz w:val="16"/>
        <w:szCs w:val="16"/>
        <w:lang w:val="el-GR"/>
      </w:rPr>
    </w:pPr>
    <w:r w:rsidRPr="002B5330">
      <w:rPr>
        <w:b/>
        <w:color w:val="2F5496"/>
        <w:sz w:val="16"/>
        <w:szCs w:val="16"/>
      </w:rPr>
      <w:fldChar w:fldCharType="begin"/>
    </w:r>
    <w:r w:rsidRPr="002B5330">
      <w:rPr>
        <w:b/>
        <w:color w:val="2F5496"/>
        <w:sz w:val="16"/>
        <w:szCs w:val="16"/>
      </w:rPr>
      <w:instrText>PAGE   \* MERGEFORMAT</w:instrText>
    </w:r>
    <w:r w:rsidRPr="002B5330">
      <w:rPr>
        <w:b/>
        <w:color w:val="2F5496"/>
        <w:sz w:val="16"/>
        <w:szCs w:val="16"/>
      </w:rPr>
      <w:fldChar w:fldCharType="separate"/>
    </w:r>
    <w:r w:rsidRPr="004375F0">
      <w:rPr>
        <w:b/>
        <w:noProof/>
        <w:color w:val="2F5496"/>
        <w:sz w:val="16"/>
        <w:szCs w:val="16"/>
        <w:lang w:val="el-GR"/>
      </w:rPr>
      <w:t>28</w:t>
    </w:r>
    <w:r w:rsidRPr="002B5330">
      <w:rPr>
        <w:b/>
        <w:color w:val="2F5496"/>
        <w:sz w:val="16"/>
        <w:szCs w:val="16"/>
      </w:rPr>
      <w:fldChar w:fldCharType="end"/>
    </w:r>
    <w:r>
      <w:rPr>
        <w:b/>
        <w:color w:val="2F5496"/>
        <w:sz w:val="16"/>
        <w:szCs w:val="16"/>
      </w:rPr>
      <w:tab/>
    </w:r>
    <w:r w:rsidRPr="002B5330">
      <w:rPr>
        <w:b/>
        <w:color w:val="2F5496"/>
        <w:sz w:val="16"/>
        <w:szCs w:val="16"/>
        <w:lang w:val="el-GR"/>
      </w:rPr>
      <w:t>ΠΡΟΣΧΕΔΙΟ ΚΡΑΤΙΚΟΥ ΠΡΟΫΠΟΛΟΓΙΣΜΟΥ 202</w:t>
    </w:r>
    <w:r>
      <w:rPr>
        <w:b/>
        <w:color w:val="2F5496"/>
        <w:sz w:val="16"/>
        <w:szCs w:val="16"/>
        <w:lang w:val="el-GR"/>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85B8" w14:textId="5FA268CA" w:rsidR="00DB7252" w:rsidRPr="003D1FC5" w:rsidRDefault="00DB7252" w:rsidP="00745892">
    <w:pPr>
      <w:pStyle w:val="a4"/>
      <w:pBdr>
        <w:top w:val="single" w:sz="12" w:space="1" w:color="2F5496"/>
      </w:pBdr>
      <w:tabs>
        <w:tab w:val="clear" w:pos="4153"/>
        <w:tab w:val="clear" w:pos="8306"/>
        <w:tab w:val="right" w:pos="7938"/>
        <w:tab w:val="right" w:pos="9072"/>
      </w:tabs>
      <w:spacing w:line="276" w:lineRule="auto"/>
    </w:pPr>
    <w:r>
      <w:rPr>
        <w:b/>
        <w:color w:val="2F5496"/>
        <w:sz w:val="16"/>
        <w:szCs w:val="16"/>
        <w:lang w:val="el-GR"/>
      </w:rPr>
      <w:tab/>
    </w:r>
    <w:r w:rsidRPr="002B5330">
      <w:rPr>
        <w:b/>
        <w:color w:val="2F5496"/>
        <w:sz w:val="16"/>
        <w:szCs w:val="16"/>
        <w:lang w:val="el-GR"/>
      </w:rPr>
      <w:t>ΠΡΟΣΧΕΔΙΟ ΚΡΑΤΙΚΟΥ ΠΡΟΫΠΟΛΟΓΙΣΜΟΥ 202</w:t>
    </w:r>
    <w:r>
      <w:rPr>
        <w:b/>
        <w:color w:val="2F5496"/>
        <w:sz w:val="16"/>
        <w:szCs w:val="16"/>
        <w:lang w:val="el-GR"/>
      </w:rPr>
      <w:t>6</w:t>
    </w:r>
    <w:r>
      <w:rPr>
        <w:b/>
        <w:color w:val="2F5496"/>
        <w:sz w:val="16"/>
        <w:szCs w:val="16"/>
        <w:lang w:val="el-GR"/>
      </w:rPr>
      <w:tab/>
    </w:r>
    <w:r w:rsidRPr="002B5330">
      <w:rPr>
        <w:b/>
        <w:color w:val="2F5496"/>
        <w:sz w:val="16"/>
        <w:szCs w:val="16"/>
      </w:rPr>
      <w:fldChar w:fldCharType="begin"/>
    </w:r>
    <w:r w:rsidRPr="002B5330">
      <w:rPr>
        <w:b/>
        <w:color w:val="2F5496"/>
        <w:sz w:val="16"/>
        <w:szCs w:val="16"/>
      </w:rPr>
      <w:instrText>PAGE   \* MERGEFORMAT</w:instrText>
    </w:r>
    <w:r w:rsidRPr="002B5330">
      <w:rPr>
        <w:b/>
        <w:color w:val="2F5496"/>
        <w:sz w:val="16"/>
        <w:szCs w:val="16"/>
      </w:rPr>
      <w:fldChar w:fldCharType="separate"/>
    </w:r>
    <w:r>
      <w:rPr>
        <w:b/>
        <w:noProof/>
        <w:color w:val="2F5496"/>
        <w:sz w:val="16"/>
        <w:szCs w:val="16"/>
      </w:rPr>
      <w:t>29</w:t>
    </w:r>
    <w:r w:rsidRPr="002B5330">
      <w:rPr>
        <w:b/>
        <w:color w:val="2F5496"/>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3797" w14:textId="0F8EAA62" w:rsidR="00DB7252" w:rsidRPr="00A72F1C" w:rsidRDefault="00DB7252" w:rsidP="00A6377F">
    <w:pPr>
      <w:pStyle w:val="a4"/>
      <w:pBdr>
        <w:top w:val="single" w:sz="12" w:space="1" w:color="2F5496"/>
      </w:pBdr>
      <w:tabs>
        <w:tab w:val="clear" w:pos="4153"/>
        <w:tab w:val="clear" w:pos="8306"/>
        <w:tab w:val="left" w:pos="0"/>
        <w:tab w:val="left" w:pos="1134"/>
      </w:tabs>
      <w:spacing w:line="276" w:lineRule="auto"/>
      <w:rPr>
        <w:b/>
        <w:color w:val="2F5496"/>
        <w:sz w:val="16"/>
        <w:szCs w:val="16"/>
        <w:lang w:val="el-GR"/>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sidRPr="004375F0">
      <w:rPr>
        <w:b/>
        <w:noProof/>
        <w:color w:val="2F5496"/>
        <w:sz w:val="16"/>
        <w:szCs w:val="16"/>
        <w:lang w:val="el-GR"/>
      </w:rPr>
      <w:t>56</w:t>
    </w:r>
    <w:r w:rsidRPr="00A72F1C">
      <w:rPr>
        <w:b/>
        <w:color w:val="2F5496"/>
        <w:sz w:val="16"/>
        <w:szCs w:val="16"/>
      </w:rPr>
      <w:fldChar w:fldCharType="end"/>
    </w:r>
    <w:r>
      <w:rPr>
        <w:b/>
        <w:color w:val="2F5496"/>
        <w:sz w:val="16"/>
        <w:szCs w:val="16"/>
      </w:rPr>
      <w:tab/>
    </w:r>
    <w:r w:rsidRPr="00A72F1C">
      <w:rPr>
        <w:b/>
        <w:color w:val="2F5496"/>
        <w:sz w:val="16"/>
        <w:szCs w:val="16"/>
        <w:lang w:val="el-GR"/>
      </w:rPr>
      <w:t>ΠΡΟΣΧΕΔΙΟ ΚΡΑΤΙΚΟΥ ΠΡΟΫΠΟΛΟΓΙΣΜΟΥ 202</w:t>
    </w:r>
    <w:r>
      <w:rPr>
        <w:b/>
        <w:color w:val="2F5496"/>
        <w:sz w:val="16"/>
        <w:szCs w:val="16"/>
        <w:lang w:val="el-GR"/>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44F4" w14:textId="4A9DD5EC" w:rsidR="00DB7252" w:rsidRPr="00A72F1C" w:rsidRDefault="00DB7252" w:rsidP="00FC3B68">
    <w:pPr>
      <w:pStyle w:val="a4"/>
      <w:pBdr>
        <w:top w:val="single" w:sz="12" w:space="1" w:color="2F5496"/>
      </w:pBdr>
      <w:tabs>
        <w:tab w:val="clear" w:pos="4153"/>
        <w:tab w:val="clear" w:pos="8306"/>
        <w:tab w:val="right" w:pos="7938"/>
        <w:tab w:val="right" w:pos="9072"/>
      </w:tabs>
      <w:spacing w:line="276" w:lineRule="auto"/>
      <w:rPr>
        <w:b/>
        <w:color w:val="2F5496"/>
        <w:sz w:val="16"/>
        <w:szCs w:val="16"/>
      </w:rPr>
    </w:pPr>
    <w:r>
      <w:rPr>
        <w:b/>
        <w:color w:val="2F5496"/>
        <w:sz w:val="16"/>
        <w:szCs w:val="16"/>
        <w:lang w:val="el-GR"/>
      </w:rPr>
      <w:tab/>
    </w:r>
    <w:r w:rsidRPr="00A72F1C">
      <w:rPr>
        <w:b/>
        <w:color w:val="2F5496"/>
        <w:sz w:val="16"/>
        <w:szCs w:val="16"/>
        <w:lang w:val="el-GR"/>
      </w:rPr>
      <w:t>ΠΡΟΣΧΕΔΙΟ ΚΡΑΤΙΚΟΥ ΠΡΟΫΠΟΛΟΓΙΣΜΟΥ 202</w:t>
    </w:r>
    <w:r>
      <w:rPr>
        <w:b/>
        <w:color w:val="2F5496"/>
        <w:sz w:val="16"/>
        <w:szCs w:val="16"/>
        <w:lang w:val="el-GR"/>
      </w:rPr>
      <w:t>6</w:t>
    </w:r>
    <w:r>
      <w:rPr>
        <w:b/>
        <w:color w:val="2F5496"/>
        <w:sz w:val="16"/>
        <w:szCs w:val="16"/>
        <w:lang w:val="el-GR"/>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sidRPr="004375F0">
      <w:rPr>
        <w:b/>
        <w:noProof/>
        <w:color w:val="2F5496"/>
        <w:sz w:val="16"/>
        <w:szCs w:val="16"/>
        <w:lang w:val="el-GR"/>
      </w:rPr>
      <w:t>57</w:t>
    </w:r>
    <w:r w:rsidRPr="00A72F1C">
      <w:rPr>
        <w:b/>
        <w:color w:val="2F549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BE725" w14:textId="77777777" w:rsidR="00DD2E05" w:rsidRPr="00A139FC" w:rsidRDefault="00DD2E05" w:rsidP="00A139FC">
      <w:pPr>
        <w:pStyle w:val="a4"/>
        <w:tabs>
          <w:tab w:val="clear" w:pos="4153"/>
          <w:tab w:val="clear" w:pos="8306"/>
        </w:tabs>
        <w:spacing w:after="0" w:line="276" w:lineRule="auto"/>
        <w:rPr>
          <w:color w:val="2F5496"/>
          <w:sz w:val="16"/>
          <w:szCs w:val="16"/>
        </w:rPr>
      </w:pPr>
      <w:r w:rsidRPr="00A139FC">
        <w:rPr>
          <w:color w:val="2F5496"/>
          <w:sz w:val="16"/>
          <w:szCs w:val="16"/>
        </w:rPr>
        <w:separator/>
      </w:r>
    </w:p>
  </w:footnote>
  <w:footnote w:type="continuationSeparator" w:id="0">
    <w:p w14:paraId="424419AB" w14:textId="77777777" w:rsidR="00DD2E05" w:rsidRPr="008F22B4" w:rsidRDefault="00DD2E05" w:rsidP="008F22B4">
      <w:pPr>
        <w:pStyle w:val="a4"/>
        <w:tabs>
          <w:tab w:val="clear" w:pos="4153"/>
          <w:tab w:val="clear" w:pos="8306"/>
        </w:tabs>
        <w:spacing w:after="0" w:line="276" w:lineRule="auto"/>
        <w:rPr>
          <w:color w:val="2F5496"/>
          <w:sz w:val="16"/>
          <w:szCs w:val="16"/>
          <w:lang w:val="en-US"/>
        </w:rPr>
      </w:pPr>
      <w:r w:rsidRPr="008F22B4">
        <w:rPr>
          <w:color w:val="2F5496"/>
          <w:sz w:val="16"/>
          <w:szCs w:val="16"/>
          <w:lang w:val="en-US"/>
        </w:rPr>
        <w:t>-----------------------------------------</w:t>
      </w:r>
    </w:p>
  </w:footnote>
  <w:footnote w:type="continuationNotice" w:id="1">
    <w:p w14:paraId="20148750" w14:textId="77777777" w:rsidR="00DD2E05" w:rsidRPr="009F60BE" w:rsidRDefault="00DD2E05" w:rsidP="009F60BE">
      <w:pPr>
        <w:pStyle w:val="a4"/>
      </w:pPr>
    </w:p>
  </w:footnote>
  <w:footnote w:id="2">
    <w:p w14:paraId="671D9601" w14:textId="77777777" w:rsidR="00DB7252" w:rsidRPr="00037F79" w:rsidRDefault="00DB7252" w:rsidP="00037F79">
      <w:pPr>
        <w:pStyle w:val="aa"/>
        <w:tabs>
          <w:tab w:val="left" w:pos="142"/>
        </w:tabs>
        <w:spacing w:after="0" w:line="276" w:lineRule="auto"/>
        <w:ind w:left="142" w:hanging="142"/>
        <w:rPr>
          <w:rStyle w:val="ab"/>
          <w:sz w:val="16"/>
          <w:szCs w:val="16"/>
        </w:rPr>
      </w:pPr>
      <w:r w:rsidRPr="00037F79">
        <w:rPr>
          <w:rStyle w:val="ab"/>
          <w:sz w:val="16"/>
          <w:szCs w:val="16"/>
        </w:rPr>
        <w:footnoteRef/>
      </w:r>
      <w:r>
        <w:rPr>
          <w:sz w:val="16"/>
          <w:szCs w:val="16"/>
        </w:rPr>
        <w:tab/>
      </w:r>
      <w:r w:rsidRPr="00681736">
        <w:rPr>
          <w:rStyle w:val="ab"/>
          <w:sz w:val="16"/>
          <w:szCs w:val="16"/>
          <w:vertAlign w:val="baseline"/>
        </w:rPr>
        <w:t>Eurostat, Euro Indicators, September 2025.</w:t>
      </w:r>
    </w:p>
  </w:footnote>
  <w:footnote w:id="3">
    <w:p w14:paraId="75109BDF" w14:textId="77777777" w:rsidR="00DB7252" w:rsidRPr="00037F79" w:rsidRDefault="00DB7252" w:rsidP="00037F79">
      <w:pPr>
        <w:pStyle w:val="aa"/>
        <w:tabs>
          <w:tab w:val="left" w:pos="142"/>
        </w:tabs>
        <w:spacing w:after="0" w:line="276" w:lineRule="auto"/>
        <w:ind w:left="142" w:hanging="142"/>
        <w:rPr>
          <w:rStyle w:val="ab"/>
          <w:sz w:val="16"/>
          <w:szCs w:val="16"/>
        </w:rPr>
      </w:pPr>
      <w:r w:rsidRPr="00037F79">
        <w:rPr>
          <w:rStyle w:val="ab"/>
          <w:sz w:val="16"/>
          <w:szCs w:val="16"/>
        </w:rPr>
        <w:footnoteRef/>
      </w:r>
      <w:r>
        <w:rPr>
          <w:sz w:val="16"/>
          <w:szCs w:val="16"/>
        </w:rPr>
        <w:tab/>
      </w:r>
      <w:r w:rsidRPr="00681736">
        <w:rPr>
          <w:rStyle w:val="ab"/>
          <w:sz w:val="16"/>
          <w:szCs w:val="16"/>
          <w:vertAlign w:val="baseline"/>
        </w:rPr>
        <w:t>European Commission, Business and consumer survey results for August 2025 - Statistical Annex.</w:t>
      </w:r>
    </w:p>
  </w:footnote>
  <w:footnote w:id="4">
    <w:p w14:paraId="1938AF5A" w14:textId="77777777" w:rsidR="00DB7252" w:rsidRPr="003F3619" w:rsidRDefault="00DB7252" w:rsidP="00DF421C">
      <w:pPr>
        <w:pStyle w:val="aa"/>
        <w:tabs>
          <w:tab w:val="left" w:pos="142"/>
        </w:tabs>
        <w:spacing w:after="0" w:line="276" w:lineRule="auto"/>
        <w:ind w:left="142" w:hanging="142"/>
        <w:rPr>
          <w:rStyle w:val="ab"/>
          <w:sz w:val="16"/>
          <w:szCs w:val="16"/>
          <w:lang w:val="el-GR"/>
        </w:rPr>
      </w:pPr>
      <w:r w:rsidRPr="007C118D">
        <w:rPr>
          <w:rStyle w:val="ab"/>
          <w:sz w:val="16"/>
          <w:szCs w:val="16"/>
        </w:rPr>
        <w:footnoteRef/>
      </w:r>
      <w:r w:rsidRPr="003F3619">
        <w:rPr>
          <w:sz w:val="16"/>
          <w:szCs w:val="16"/>
          <w:lang w:val="el-GR"/>
        </w:rPr>
        <w:tab/>
      </w:r>
      <w:r>
        <w:rPr>
          <w:sz w:val="16"/>
          <w:szCs w:val="16"/>
          <w:lang w:val="el-GR"/>
        </w:rPr>
        <w:t xml:space="preserve">Χωρίς το </w:t>
      </w:r>
      <w:r w:rsidRPr="003F3619">
        <w:rPr>
          <w:rStyle w:val="ab"/>
          <w:sz w:val="16"/>
          <w:szCs w:val="16"/>
          <w:vertAlign w:val="baseline"/>
          <w:lang w:val="el-GR"/>
        </w:rPr>
        <w:t>νόμισμα σε κυκλοφορία.</w:t>
      </w:r>
    </w:p>
  </w:footnote>
  <w:footnote w:id="5">
    <w:p w14:paraId="2EABD48E" w14:textId="337B6F74" w:rsidR="00DB7252" w:rsidRPr="0031674A" w:rsidRDefault="00DB7252" w:rsidP="00DF421C">
      <w:pPr>
        <w:pStyle w:val="aa"/>
        <w:tabs>
          <w:tab w:val="left" w:pos="142"/>
        </w:tabs>
        <w:spacing w:after="0" w:line="276" w:lineRule="auto"/>
        <w:ind w:left="142" w:hanging="142"/>
        <w:rPr>
          <w:rStyle w:val="ab"/>
          <w:sz w:val="16"/>
          <w:szCs w:val="16"/>
          <w:vertAlign w:val="baseline"/>
          <w:lang w:val="el-GR"/>
        </w:rPr>
      </w:pPr>
      <w:r w:rsidRPr="007C118D">
        <w:rPr>
          <w:rStyle w:val="ab"/>
          <w:sz w:val="16"/>
          <w:szCs w:val="16"/>
        </w:rPr>
        <w:footnoteRef/>
      </w:r>
      <w:r w:rsidRPr="0031674A">
        <w:rPr>
          <w:rStyle w:val="ab"/>
          <w:sz w:val="16"/>
          <w:szCs w:val="16"/>
          <w:lang w:val="el-GR"/>
        </w:rPr>
        <w:t xml:space="preserve"> </w:t>
      </w:r>
      <w:r w:rsidRPr="0031674A">
        <w:rPr>
          <w:rStyle w:val="ab"/>
          <w:sz w:val="16"/>
          <w:szCs w:val="16"/>
          <w:vertAlign w:val="baseline"/>
          <w:lang w:val="el-GR"/>
        </w:rPr>
        <w:t>Στις</w:t>
      </w:r>
      <w:r>
        <w:rPr>
          <w:rStyle w:val="ab"/>
          <w:sz w:val="16"/>
          <w:szCs w:val="16"/>
          <w:vertAlign w:val="baseline"/>
          <w:lang w:val="el-GR"/>
        </w:rPr>
        <w:t xml:space="preserve"> </w:t>
      </w:r>
      <w:r w:rsidRPr="0031674A">
        <w:rPr>
          <w:rStyle w:val="ab"/>
          <w:sz w:val="16"/>
          <w:szCs w:val="16"/>
          <w:vertAlign w:val="baseline"/>
          <w:lang w:val="el-GR"/>
        </w:rPr>
        <w:t>καταθέσεις</w:t>
      </w:r>
      <w:r>
        <w:rPr>
          <w:sz w:val="16"/>
          <w:szCs w:val="16"/>
          <w:lang w:val="el-GR"/>
        </w:rPr>
        <w:t xml:space="preserve"> </w:t>
      </w:r>
      <w:r w:rsidRPr="0031674A">
        <w:rPr>
          <w:rStyle w:val="ab"/>
          <w:sz w:val="16"/>
          <w:szCs w:val="16"/>
          <w:vertAlign w:val="baseline"/>
          <w:lang w:val="el-GR"/>
        </w:rPr>
        <w:t>μίας ημέρας περιλαμβάνονται οι τρεχούμενοι λογαριασμοί, οι λογαριασμοί όψεως και οι λογαριασμοί ταμιευτ</w:t>
      </w:r>
      <w:r>
        <w:rPr>
          <w:sz w:val="16"/>
          <w:szCs w:val="16"/>
          <w:lang w:val="el-GR"/>
        </w:rPr>
        <w:t>η</w:t>
      </w:r>
      <w:r w:rsidRPr="0031674A">
        <w:rPr>
          <w:rStyle w:val="ab"/>
          <w:sz w:val="16"/>
          <w:szCs w:val="16"/>
          <w:vertAlign w:val="baseline"/>
          <w:lang w:val="el-GR"/>
        </w:rPr>
        <w:t>ρ</w:t>
      </w:r>
      <w:r>
        <w:rPr>
          <w:rStyle w:val="ab"/>
          <w:sz w:val="16"/>
          <w:szCs w:val="16"/>
          <w:vertAlign w:val="baseline"/>
          <w:lang w:val="el-GR"/>
        </w:rPr>
        <w:t>ί</w:t>
      </w:r>
      <w:r w:rsidRPr="0031674A">
        <w:rPr>
          <w:rStyle w:val="ab"/>
          <w:sz w:val="16"/>
          <w:szCs w:val="16"/>
          <w:vertAlign w:val="baseline"/>
          <w:lang w:val="el-GR"/>
        </w:rPr>
        <w:t>ου.</w:t>
      </w:r>
    </w:p>
  </w:footnote>
  <w:footnote w:id="6">
    <w:p w14:paraId="42002E72" w14:textId="7D6E8205" w:rsidR="00DB7252" w:rsidRPr="00DC6F26" w:rsidRDefault="00DB7252" w:rsidP="00DF421C">
      <w:pPr>
        <w:pStyle w:val="aa"/>
        <w:tabs>
          <w:tab w:val="left" w:pos="142"/>
        </w:tabs>
        <w:spacing w:after="0" w:line="276" w:lineRule="auto"/>
        <w:ind w:left="142" w:hanging="142"/>
        <w:rPr>
          <w:rStyle w:val="ab"/>
          <w:sz w:val="16"/>
          <w:szCs w:val="16"/>
          <w:vertAlign w:val="baseline"/>
          <w:lang w:val="el-GR"/>
        </w:rPr>
      </w:pPr>
      <w:r w:rsidRPr="00483D5C">
        <w:rPr>
          <w:rStyle w:val="ab"/>
          <w:sz w:val="16"/>
          <w:szCs w:val="16"/>
        </w:rPr>
        <w:footnoteRef/>
      </w:r>
      <w:r w:rsidRPr="000E106F">
        <w:rPr>
          <w:rStyle w:val="ab"/>
          <w:sz w:val="16"/>
          <w:szCs w:val="16"/>
          <w:vertAlign w:val="baseline"/>
          <w:lang w:val="el-GR"/>
        </w:rPr>
        <w:tab/>
      </w:r>
      <w:r w:rsidRPr="00483D5C">
        <w:rPr>
          <w:rStyle w:val="ab"/>
          <w:sz w:val="16"/>
          <w:szCs w:val="16"/>
          <w:vertAlign w:val="baseline"/>
          <w:lang w:val="el-GR"/>
        </w:rPr>
        <w:t xml:space="preserve">α) </w:t>
      </w:r>
      <w:r>
        <w:rPr>
          <w:sz w:val="16"/>
          <w:szCs w:val="16"/>
          <w:lang w:val="el-GR"/>
        </w:rPr>
        <w:t>μ</w:t>
      </w:r>
      <w:r w:rsidRPr="00483D5C">
        <w:rPr>
          <w:rStyle w:val="ab"/>
          <w:sz w:val="16"/>
          <w:szCs w:val="16"/>
          <w:vertAlign w:val="baseline"/>
          <w:lang w:val="el-GR"/>
        </w:rPr>
        <w:t>ετριασμός της κλιματικής αλλαγής, β) προσαρμογή στην κλιματική αλλαγή, γ) βιώσιμη χρήση και προστασία των υδάτινων και των θαλάσσιων πόρων, δ) μετάβαση σε κυκλική οικονομία, ε) πρόληψη και έλεγχος της ρύπανσης και στ) προστασία και αποκατάσταση της βιοποικιλότητας και των οικοσυστημάτων (Κανονισμός (ΕΕ) 2020/852 του Ευρωπαϊκού Κοινοβουλίου και του Συμβουλίου της 18ης Ιουνίου 2020).</w:t>
      </w:r>
    </w:p>
  </w:footnote>
  <w:footnote w:id="7">
    <w:p w14:paraId="336C3D0E" w14:textId="77777777" w:rsidR="00DB7252" w:rsidRPr="00451AF5" w:rsidRDefault="00DB7252" w:rsidP="00DF421C">
      <w:pPr>
        <w:pStyle w:val="aa"/>
        <w:tabs>
          <w:tab w:val="left" w:pos="142"/>
        </w:tabs>
        <w:spacing w:after="0" w:line="276" w:lineRule="auto"/>
        <w:rPr>
          <w:lang w:val="el-GR"/>
        </w:rPr>
      </w:pPr>
      <w:r w:rsidRPr="000E106F">
        <w:rPr>
          <w:rStyle w:val="ab"/>
          <w:sz w:val="16"/>
        </w:rPr>
        <w:footnoteRef/>
      </w:r>
      <w:r w:rsidRPr="000E106F">
        <w:rPr>
          <w:sz w:val="16"/>
          <w:lang w:val="el-GR"/>
        </w:rPr>
        <w:t xml:space="preserve"> </w:t>
      </w:r>
      <w:r w:rsidRPr="00DF421C">
        <w:rPr>
          <w:sz w:val="16"/>
          <w:szCs w:val="16"/>
          <w:lang w:val="el-GR"/>
        </w:rPr>
        <w:t xml:space="preserve">Μη περιλαμβανομένων των </w:t>
      </w:r>
      <w:r w:rsidRPr="00DF421C">
        <w:rPr>
          <w:sz w:val="16"/>
          <w:szCs w:val="16"/>
          <w:lang w:val="en-US"/>
        </w:rPr>
        <w:t>Repos</w:t>
      </w:r>
      <w:r w:rsidRPr="00DF421C">
        <w:rPr>
          <w:sz w:val="16"/>
          <w:szCs w:val="16"/>
          <w:lang w:val="el-GR"/>
        </w:rPr>
        <w:t xml:space="preserve"> του Ελληνικού Δημοσίου με τους φορείς της Γενικής Κυβέρνησης.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0669" w14:textId="77777777" w:rsidR="00DB7252" w:rsidRPr="007B4361" w:rsidRDefault="00DB7252" w:rsidP="00C61707">
    <w:pPr>
      <w:pStyle w:val="a3"/>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F715" w14:textId="77777777" w:rsidR="00DB7252" w:rsidRPr="002B5330" w:rsidRDefault="00DB7252" w:rsidP="00C86660">
    <w:pPr>
      <w:pStyle w:val="a3"/>
      <w:pBdr>
        <w:bottom w:val="single" w:sz="12" w:space="1" w:color="2F5496"/>
      </w:pBdr>
      <w:spacing w:line="276" w:lineRule="auto"/>
      <w:jc w:val="left"/>
      <w:rPr>
        <w:b/>
        <w:color w:val="2F5496"/>
        <w:sz w:val="16"/>
        <w:szCs w:val="16"/>
        <w:lang w:val="el-GR"/>
      </w:rPr>
    </w:pPr>
    <w:r w:rsidRPr="002B5330">
      <w:rPr>
        <w:b/>
        <w:color w:val="2F5496"/>
        <w:sz w:val="16"/>
        <w:szCs w:val="16"/>
        <w:lang w:val="el-GR"/>
      </w:rPr>
      <w:t>ΚΕΦΑΛΑΙΟ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9E7D" w14:textId="77777777" w:rsidR="00DB7252" w:rsidRPr="00676A5D" w:rsidRDefault="00DB7252" w:rsidP="00676A5D">
    <w:pPr>
      <w:pStyle w:val="a3"/>
      <w:pBdr>
        <w:bottom w:val="single" w:sz="12" w:space="1" w:color="2F5496"/>
      </w:pBdr>
      <w:tabs>
        <w:tab w:val="clear" w:pos="4153"/>
        <w:tab w:val="clear" w:pos="8306"/>
        <w:tab w:val="right" w:pos="9072"/>
      </w:tabs>
      <w:spacing w:line="276" w:lineRule="auto"/>
      <w:jc w:val="right"/>
      <w:rPr>
        <w:b/>
        <w:color w:val="2F5496"/>
        <w:sz w:val="16"/>
        <w:szCs w:val="16"/>
        <w:lang w:val="el-GR"/>
      </w:rPr>
    </w:pPr>
    <w:r w:rsidRPr="00676A5D">
      <w:rPr>
        <w:b/>
        <w:color w:val="2F5496"/>
        <w:sz w:val="16"/>
        <w:szCs w:val="16"/>
        <w:lang w:val="el-GR"/>
      </w:rPr>
      <w:t>ΚΕΦΑΛΑΙΟ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B60B" w14:textId="77777777" w:rsidR="00DB7252" w:rsidRPr="002B5330" w:rsidRDefault="00DB7252" w:rsidP="00D432A5">
    <w:pPr>
      <w:pStyle w:val="a3"/>
      <w:pBdr>
        <w:bottom w:val="single" w:sz="12" w:space="1" w:color="2F5496"/>
      </w:pBdr>
      <w:spacing w:line="276" w:lineRule="auto"/>
      <w:jc w:val="left"/>
      <w:rPr>
        <w:b/>
        <w:color w:val="2F5496"/>
        <w:sz w:val="16"/>
        <w:szCs w:val="16"/>
        <w:lang w:val="el-GR"/>
      </w:rPr>
    </w:pPr>
    <w:r w:rsidRPr="002B5330">
      <w:rPr>
        <w:b/>
        <w:color w:val="2F5496"/>
        <w:sz w:val="16"/>
        <w:szCs w:val="16"/>
        <w:lang w:val="el-GR"/>
      </w:rPr>
      <w:t xml:space="preserve">ΚΕΦΑΛΑΙΟ </w:t>
    </w:r>
    <w:r>
      <w:rPr>
        <w:b/>
        <w:color w:val="2F5496"/>
        <w:sz w:val="16"/>
        <w:szCs w:val="16"/>
        <w:lang w:val="el-G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0F97" w14:textId="77777777" w:rsidR="00DB7252" w:rsidRPr="00DD1604" w:rsidRDefault="00DB7252" w:rsidP="008B5784">
    <w:pPr>
      <w:pStyle w:val="a3"/>
      <w:pBdr>
        <w:bottom w:val="single" w:sz="12" w:space="1" w:color="2F5496"/>
      </w:pBdr>
      <w:tabs>
        <w:tab w:val="clear" w:pos="4153"/>
        <w:tab w:val="clear" w:pos="8306"/>
        <w:tab w:val="right" w:pos="9072"/>
      </w:tabs>
      <w:spacing w:line="276" w:lineRule="auto"/>
      <w:jc w:val="right"/>
      <w:rPr>
        <w:b/>
        <w:color w:val="2F5496"/>
        <w:sz w:val="16"/>
        <w:szCs w:val="16"/>
        <w:lang w:val="el-GR"/>
      </w:rPr>
    </w:pPr>
    <w:r w:rsidRPr="002B5330">
      <w:rPr>
        <w:b/>
        <w:color w:val="2F5496"/>
        <w:sz w:val="16"/>
        <w:szCs w:val="16"/>
        <w:lang w:val="el-GR"/>
      </w:rPr>
      <w:t xml:space="preserve">ΚΕΦΑΛΑΙΟ </w:t>
    </w:r>
    <w:r>
      <w:rPr>
        <w:b/>
        <w:color w:val="2F5496"/>
        <w:sz w:val="16"/>
        <w:szCs w:val="16"/>
        <w:lang w:val="el-GR"/>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54D7" w14:textId="77777777" w:rsidR="00DB7252" w:rsidRPr="00A72F1C" w:rsidRDefault="00DB7252" w:rsidP="00C458FD">
    <w:pPr>
      <w:pStyle w:val="a3"/>
      <w:pBdr>
        <w:bottom w:val="single" w:sz="12" w:space="1" w:color="2F5496"/>
      </w:pBdr>
      <w:tabs>
        <w:tab w:val="clear" w:pos="4153"/>
        <w:tab w:val="clear" w:pos="8306"/>
        <w:tab w:val="left" w:pos="0"/>
      </w:tabs>
      <w:spacing w:line="276" w:lineRule="auto"/>
      <w:jc w:val="left"/>
      <w:rPr>
        <w:b/>
        <w:color w:val="2F5496"/>
        <w:sz w:val="16"/>
        <w:szCs w:val="16"/>
        <w:lang w:val="el-GR"/>
      </w:rPr>
    </w:pPr>
    <w:r w:rsidRPr="00A72F1C">
      <w:rPr>
        <w:b/>
        <w:color w:val="2F5496"/>
        <w:sz w:val="16"/>
        <w:szCs w:val="16"/>
        <w:lang w:val="el-GR"/>
      </w:rPr>
      <w:t>ΚΕΦΑΛΑΙΟ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0B4EC" w14:textId="77777777" w:rsidR="00DB7252" w:rsidRPr="00A72F1C" w:rsidRDefault="00DB7252" w:rsidP="00BD20EB">
    <w:pPr>
      <w:pStyle w:val="a3"/>
      <w:pBdr>
        <w:bottom w:val="single" w:sz="12" w:space="1" w:color="2F5496"/>
      </w:pBdr>
      <w:tabs>
        <w:tab w:val="clear" w:pos="4153"/>
        <w:tab w:val="clear" w:pos="8306"/>
        <w:tab w:val="right" w:pos="9072"/>
      </w:tabs>
      <w:spacing w:line="276" w:lineRule="auto"/>
      <w:jc w:val="right"/>
      <w:rPr>
        <w:b/>
        <w:color w:val="2F5496"/>
        <w:sz w:val="16"/>
        <w:szCs w:val="16"/>
        <w:lang w:val="el-GR"/>
      </w:rPr>
    </w:pPr>
    <w:r w:rsidRPr="00A72F1C">
      <w:rPr>
        <w:b/>
        <w:color w:val="2F5496"/>
        <w:sz w:val="16"/>
        <w:szCs w:val="16"/>
        <w:lang w:val="el-GR"/>
      </w:rPr>
      <w:t>ΚΕΦΑΛΑΙΟ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65" w:hanging="360"/>
      </w:pPr>
      <w:rPr>
        <w:rFonts w:ascii="Wingdings" w:hAnsi="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rPr>
    </w:lvl>
  </w:abstractNum>
  <w:abstractNum w:abstractNumId="2" w15:restartNumberingAfterBreak="0">
    <w:nsid w:val="03FD351E"/>
    <w:multiLevelType w:val="multilevel"/>
    <w:tmpl w:val="A1B8AAB2"/>
    <w:lvl w:ilvl="0">
      <w:start w:val="1"/>
      <w:numFmt w:val="decimal"/>
      <w:pStyle w:val="1"/>
      <w:lvlText w:val="ΚΕΦΑΛΑΙΟ %1"/>
      <w:lvlJc w:val="left"/>
      <w:pPr>
        <w:tabs>
          <w:tab w:val="num" w:pos="851"/>
        </w:tabs>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3"/>
      <w:lvlText w:val="%1.%2."/>
      <w:lvlJc w:val="left"/>
      <w:pPr>
        <w:tabs>
          <w:tab w:val="num" w:pos="851"/>
        </w:tabs>
        <w:ind w:left="0" w:firstLine="0"/>
      </w:pPr>
      <w:rPr>
        <w:rFonts w:hint="default"/>
      </w:rPr>
    </w:lvl>
    <w:lvl w:ilvl="2">
      <w:start w:val="1"/>
      <w:numFmt w:val="decimal"/>
      <w:pStyle w:val="4"/>
      <w:lvlText w:val="%1.%2.%3."/>
      <w:lvlJc w:val="left"/>
      <w:pPr>
        <w:tabs>
          <w:tab w:val="num" w:pos="851"/>
        </w:tabs>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
      <w:lvlText w:val="%1.%2.%3.%4."/>
      <w:lvlJc w:val="left"/>
      <w:pPr>
        <w:tabs>
          <w:tab w:val="num" w:pos="851"/>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117971A4"/>
    <w:multiLevelType w:val="hybridMultilevel"/>
    <w:tmpl w:val="D76033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D1566B"/>
    <w:multiLevelType w:val="hybridMultilevel"/>
    <w:tmpl w:val="547A605A"/>
    <w:lvl w:ilvl="0" w:tplc="04080001">
      <w:start w:val="1"/>
      <w:numFmt w:val="bullet"/>
      <w:lvlText w:val=""/>
      <w:lvlJc w:val="left"/>
      <w:pPr>
        <w:ind w:left="5039"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D267CA4"/>
    <w:multiLevelType w:val="multilevel"/>
    <w:tmpl w:val="D1B25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BD0F9C"/>
    <w:multiLevelType w:val="hybridMultilevel"/>
    <w:tmpl w:val="0C92B6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2903693"/>
    <w:multiLevelType w:val="hybridMultilevel"/>
    <w:tmpl w:val="D9F8794C"/>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8" w15:restartNumberingAfterBreak="0">
    <w:nsid w:val="56AD7663"/>
    <w:multiLevelType w:val="hybridMultilevel"/>
    <w:tmpl w:val="1862DD6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9" w15:restartNumberingAfterBreak="0">
    <w:nsid w:val="6ED23F77"/>
    <w:multiLevelType w:val="hybridMultilevel"/>
    <w:tmpl w:val="16E4A7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39137966">
    <w:abstractNumId w:val="4"/>
  </w:num>
  <w:num w:numId="2" w16cid:durableId="975449926">
    <w:abstractNumId w:val="6"/>
  </w:num>
  <w:num w:numId="3" w16cid:durableId="427772496">
    <w:abstractNumId w:val="2"/>
  </w:num>
  <w:num w:numId="4" w16cid:durableId="82740163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8968923">
    <w:abstractNumId w:val="5"/>
  </w:num>
  <w:num w:numId="6" w16cid:durableId="850292783">
    <w:abstractNumId w:val="9"/>
  </w:num>
  <w:num w:numId="7" w16cid:durableId="1139033608">
    <w:abstractNumId w:val="2"/>
  </w:num>
  <w:num w:numId="8" w16cid:durableId="1303071984">
    <w:abstractNumId w:val="2"/>
  </w:num>
  <w:num w:numId="9" w16cid:durableId="903370877">
    <w:abstractNumId w:val="2"/>
  </w:num>
  <w:num w:numId="10" w16cid:durableId="1396316589">
    <w:abstractNumId w:val="2"/>
  </w:num>
  <w:num w:numId="11" w16cid:durableId="1516647495">
    <w:abstractNumId w:val="2"/>
  </w:num>
  <w:num w:numId="12" w16cid:durableId="885683215">
    <w:abstractNumId w:val="2"/>
  </w:num>
  <w:num w:numId="13" w16cid:durableId="1889994683">
    <w:abstractNumId w:val="2"/>
  </w:num>
  <w:num w:numId="14" w16cid:durableId="413665375">
    <w:abstractNumId w:val="2"/>
  </w:num>
  <w:num w:numId="15" w16cid:durableId="709768834">
    <w:abstractNumId w:val="2"/>
  </w:num>
  <w:num w:numId="16" w16cid:durableId="1583637116">
    <w:abstractNumId w:val="7"/>
  </w:num>
  <w:num w:numId="17" w16cid:durableId="1952666149">
    <w:abstractNumId w:val="8"/>
  </w:num>
  <w:num w:numId="18" w16cid:durableId="26006566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4"/>
  <w:doNotHyphenateCaps/>
  <w:evenAndOddHeaders/>
  <w:noPunctuationKerning/>
  <w:characterSpacingControl w:val="doNotCompress"/>
  <w:hdrShapeDefaults>
    <o:shapedefaults v:ext="edit" spidmax="2050">
      <o:colormru v:ext="edit" colors="#d5dce4"/>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846"/>
    <w:rsid w:val="000004BF"/>
    <w:rsid w:val="000008DC"/>
    <w:rsid w:val="00000C78"/>
    <w:rsid w:val="00001826"/>
    <w:rsid w:val="00001FA2"/>
    <w:rsid w:val="000024E4"/>
    <w:rsid w:val="000028A4"/>
    <w:rsid w:val="00002974"/>
    <w:rsid w:val="000029B2"/>
    <w:rsid w:val="00002CA7"/>
    <w:rsid w:val="00003291"/>
    <w:rsid w:val="000038E8"/>
    <w:rsid w:val="00003AF3"/>
    <w:rsid w:val="00003B7E"/>
    <w:rsid w:val="00003B83"/>
    <w:rsid w:val="00003E7D"/>
    <w:rsid w:val="00004132"/>
    <w:rsid w:val="000046CC"/>
    <w:rsid w:val="000048CD"/>
    <w:rsid w:val="00004CBE"/>
    <w:rsid w:val="00005048"/>
    <w:rsid w:val="00005975"/>
    <w:rsid w:val="000061BC"/>
    <w:rsid w:val="00006369"/>
    <w:rsid w:val="0000686E"/>
    <w:rsid w:val="000069EA"/>
    <w:rsid w:val="00007046"/>
    <w:rsid w:val="000074EA"/>
    <w:rsid w:val="000077E9"/>
    <w:rsid w:val="00007AB1"/>
    <w:rsid w:val="0001006D"/>
    <w:rsid w:val="0001018D"/>
    <w:rsid w:val="000111AD"/>
    <w:rsid w:val="000113D3"/>
    <w:rsid w:val="0001189B"/>
    <w:rsid w:val="00011912"/>
    <w:rsid w:val="00011AC2"/>
    <w:rsid w:val="00012220"/>
    <w:rsid w:val="00012808"/>
    <w:rsid w:val="00012888"/>
    <w:rsid w:val="00012972"/>
    <w:rsid w:val="000129E6"/>
    <w:rsid w:val="00012E7A"/>
    <w:rsid w:val="00013159"/>
    <w:rsid w:val="00013EFD"/>
    <w:rsid w:val="00014099"/>
    <w:rsid w:val="000145C1"/>
    <w:rsid w:val="00014BC9"/>
    <w:rsid w:val="00014BE1"/>
    <w:rsid w:val="000151B3"/>
    <w:rsid w:val="000157E3"/>
    <w:rsid w:val="000160CD"/>
    <w:rsid w:val="00016214"/>
    <w:rsid w:val="00016992"/>
    <w:rsid w:val="000171BB"/>
    <w:rsid w:val="000171DC"/>
    <w:rsid w:val="00017527"/>
    <w:rsid w:val="00017836"/>
    <w:rsid w:val="00020064"/>
    <w:rsid w:val="00020E7B"/>
    <w:rsid w:val="0002125F"/>
    <w:rsid w:val="0002134F"/>
    <w:rsid w:val="00022096"/>
    <w:rsid w:val="00022329"/>
    <w:rsid w:val="000229F7"/>
    <w:rsid w:val="00022E0A"/>
    <w:rsid w:val="00022F08"/>
    <w:rsid w:val="000231F1"/>
    <w:rsid w:val="00023B7D"/>
    <w:rsid w:val="0002414A"/>
    <w:rsid w:val="000241F0"/>
    <w:rsid w:val="00024335"/>
    <w:rsid w:val="00024500"/>
    <w:rsid w:val="00024D6D"/>
    <w:rsid w:val="000262CF"/>
    <w:rsid w:val="000263B8"/>
    <w:rsid w:val="000268CC"/>
    <w:rsid w:val="00026F7F"/>
    <w:rsid w:val="00027089"/>
    <w:rsid w:val="00027221"/>
    <w:rsid w:val="000275FD"/>
    <w:rsid w:val="00030228"/>
    <w:rsid w:val="00030713"/>
    <w:rsid w:val="0003090A"/>
    <w:rsid w:val="0003091A"/>
    <w:rsid w:val="00030EDD"/>
    <w:rsid w:val="00030F31"/>
    <w:rsid w:val="000311AB"/>
    <w:rsid w:val="00031FED"/>
    <w:rsid w:val="00032633"/>
    <w:rsid w:val="000328DE"/>
    <w:rsid w:val="00033025"/>
    <w:rsid w:val="0003319F"/>
    <w:rsid w:val="000331CE"/>
    <w:rsid w:val="00033BD0"/>
    <w:rsid w:val="00033C6F"/>
    <w:rsid w:val="0003403C"/>
    <w:rsid w:val="000341A6"/>
    <w:rsid w:val="00034326"/>
    <w:rsid w:val="00034C84"/>
    <w:rsid w:val="000351F3"/>
    <w:rsid w:val="00035521"/>
    <w:rsid w:val="000356C4"/>
    <w:rsid w:val="00035BA0"/>
    <w:rsid w:val="00035FD6"/>
    <w:rsid w:val="00036278"/>
    <w:rsid w:val="000367DF"/>
    <w:rsid w:val="0003696D"/>
    <w:rsid w:val="00036C9F"/>
    <w:rsid w:val="000371FE"/>
    <w:rsid w:val="0003732B"/>
    <w:rsid w:val="00037331"/>
    <w:rsid w:val="000373C6"/>
    <w:rsid w:val="0003754B"/>
    <w:rsid w:val="0003771A"/>
    <w:rsid w:val="0003780F"/>
    <w:rsid w:val="00037CC7"/>
    <w:rsid w:val="00037F79"/>
    <w:rsid w:val="00040E5A"/>
    <w:rsid w:val="00040EDC"/>
    <w:rsid w:val="00041061"/>
    <w:rsid w:val="000417CF"/>
    <w:rsid w:val="00041D3F"/>
    <w:rsid w:val="000426BD"/>
    <w:rsid w:val="00042B29"/>
    <w:rsid w:val="00043348"/>
    <w:rsid w:val="0004353F"/>
    <w:rsid w:val="000435CB"/>
    <w:rsid w:val="000439A3"/>
    <w:rsid w:val="00043F75"/>
    <w:rsid w:val="00044A01"/>
    <w:rsid w:val="00044B79"/>
    <w:rsid w:val="00045302"/>
    <w:rsid w:val="0004598E"/>
    <w:rsid w:val="00045F2C"/>
    <w:rsid w:val="00046032"/>
    <w:rsid w:val="00046881"/>
    <w:rsid w:val="00046AB4"/>
    <w:rsid w:val="0004768D"/>
    <w:rsid w:val="000478F0"/>
    <w:rsid w:val="00047957"/>
    <w:rsid w:val="00047F2B"/>
    <w:rsid w:val="000503F0"/>
    <w:rsid w:val="00050866"/>
    <w:rsid w:val="00050B00"/>
    <w:rsid w:val="00050C4F"/>
    <w:rsid w:val="00050D32"/>
    <w:rsid w:val="00050E37"/>
    <w:rsid w:val="0005103E"/>
    <w:rsid w:val="0005104D"/>
    <w:rsid w:val="00051119"/>
    <w:rsid w:val="00051433"/>
    <w:rsid w:val="000515FC"/>
    <w:rsid w:val="00051B4B"/>
    <w:rsid w:val="00051C8D"/>
    <w:rsid w:val="00051E22"/>
    <w:rsid w:val="000522D9"/>
    <w:rsid w:val="0005295B"/>
    <w:rsid w:val="00053542"/>
    <w:rsid w:val="00053BBE"/>
    <w:rsid w:val="00053F64"/>
    <w:rsid w:val="0005418C"/>
    <w:rsid w:val="000544AC"/>
    <w:rsid w:val="00054587"/>
    <w:rsid w:val="0005472A"/>
    <w:rsid w:val="000547E7"/>
    <w:rsid w:val="000549FA"/>
    <w:rsid w:val="00054D38"/>
    <w:rsid w:val="00055029"/>
    <w:rsid w:val="00055229"/>
    <w:rsid w:val="000553BA"/>
    <w:rsid w:val="000559A9"/>
    <w:rsid w:val="00056014"/>
    <w:rsid w:val="000560F6"/>
    <w:rsid w:val="0005626E"/>
    <w:rsid w:val="000564A6"/>
    <w:rsid w:val="000564DE"/>
    <w:rsid w:val="00056723"/>
    <w:rsid w:val="00056740"/>
    <w:rsid w:val="000572C2"/>
    <w:rsid w:val="00057FCB"/>
    <w:rsid w:val="0006012B"/>
    <w:rsid w:val="00060D04"/>
    <w:rsid w:val="000614BC"/>
    <w:rsid w:val="0006161C"/>
    <w:rsid w:val="00061944"/>
    <w:rsid w:val="00061E32"/>
    <w:rsid w:val="00061E6F"/>
    <w:rsid w:val="000620E4"/>
    <w:rsid w:val="00062DB8"/>
    <w:rsid w:val="00063047"/>
    <w:rsid w:val="00063AF4"/>
    <w:rsid w:val="00063D3D"/>
    <w:rsid w:val="00064503"/>
    <w:rsid w:val="00064F7A"/>
    <w:rsid w:val="00065AA4"/>
    <w:rsid w:val="00065CFC"/>
    <w:rsid w:val="000664E6"/>
    <w:rsid w:val="00066B9B"/>
    <w:rsid w:val="00067592"/>
    <w:rsid w:val="0006775F"/>
    <w:rsid w:val="00067947"/>
    <w:rsid w:val="00067F43"/>
    <w:rsid w:val="00070381"/>
    <w:rsid w:val="00070452"/>
    <w:rsid w:val="00070691"/>
    <w:rsid w:val="00071BD7"/>
    <w:rsid w:val="00071C9D"/>
    <w:rsid w:val="00072522"/>
    <w:rsid w:val="00072809"/>
    <w:rsid w:val="00072F21"/>
    <w:rsid w:val="00073A7B"/>
    <w:rsid w:val="00073ACF"/>
    <w:rsid w:val="0007406E"/>
    <w:rsid w:val="000748D9"/>
    <w:rsid w:val="00074933"/>
    <w:rsid w:val="000753A7"/>
    <w:rsid w:val="00075721"/>
    <w:rsid w:val="00076037"/>
    <w:rsid w:val="000760ED"/>
    <w:rsid w:val="00076103"/>
    <w:rsid w:val="000763C3"/>
    <w:rsid w:val="00076728"/>
    <w:rsid w:val="00076798"/>
    <w:rsid w:val="00076D7F"/>
    <w:rsid w:val="00077346"/>
    <w:rsid w:val="00077404"/>
    <w:rsid w:val="0008086A"/>
    <w:rsid w:val="000811B7"/>
    <w:rsid w:val="00081704"/>
    <w:rsid w:val="000817B3"/>
    <w:rsid w:val="000820BA"/>
    <w:rsid w:val="00082CBA"/>
    <w:rsid w:val="00082CE2"/>
    <w:rsid w:val="00082D1F"/>
    <w:rsid w:val="00082E83"/>
    <w:rsid w:val="000831F0"/>
    <w:rsid w:val="0008325E"/>
    <w:rsid w:val="00083850"/>
    <w:rsid w:val="00083965"/>
    <w:rsid w:val="00083CF2"/>
    <w:rsid w:val="000852A7"/>
    <w:rsid w:val="00085483"/>
    <w:rsid w:val="000857A3"/>
    <w:rsid w:val="000857FB"/>
    <w:rsid w:val="000875E6"/>
    <w:rsid w:val="00087C3B"/>
    <w:rsid w:val="000901EE"/>
    <w:rsid w:val="000907D4"/>
    <w:rsid w:val="000908A9"/>
    <w:rsid w:val="000908D0"/>
    <w:rsid w:val="00090B8B"/>
    <w:rsid w:val="00090CD1"/>
    <w:rsid w:val="000917DA"/>
    <w:rsid w:val="0009240F"/>
    <w:rsid w:val="000928C0"/>
    <w:rsid w:val="00092B59"/>
    <w:rsid w:val="00092C42"/>
    <w:rsid w:val="0009361C"/>
    <w:rsid w:val="00093D9F"/>
    <w:rsid w:val="00094024"/>
    <w:rsid w:val="0009435E"/>
    <w:rsid w:val="000948E7"/>
    <w:rsid w:val="00094C9E"/>
    <w:rsid w:val="00094F63"/>
    <w:rsid w:val="000952C2"/>
    <w:rsid w:val="00095356"/>
    <w:rsid w:val="00095574"/>
    <w:rsid w:val="0009559A"/>
    <w:rsid w:val="00095D6A"/>
    <w:rsid w:val="000965DC"/>
    <w:rsid w:val="000975B7"/>
    <w:rsid w:val="00097BAC"/>
    <w:rsid w:val="00097DF4"/>
    <w:rsid w:val="000A0098"/>
    <w:rsid w:val="000A0165"/>
    <w:rsid w:val="000A0A20"/>
    <w:rsid w:val="000A0E01"/>
    <w:rsid w:val="000A1191"/>
    <w:rsid w:val="000A12D0"/>
    <w:rsid w:val="000A158D"/>
    <w:rsid w:val="000A1A50"/>
    <w:rsid w:val="000A22BD"/>
    <w:rsid w:val="000A34CC"/>
    <w:rsid w:val="000A385A"/>
    <w:rsid w:val="000A3E4C"/>
    <w:rsid w:val="000A4576"/>
    <w:rsid w:val="000A462C"/>
    <w:rsid w:val="000A4791"/>
    <w:rsid w:val="000A4F47"/>
    <w:rsid w:val="000A518C"/>
    <w:rsid w:val="000A58EB"/>
    <w:rsid w:val="000A5B4F"/>
    <w:rsid w:val="000A6B22"/>
    <w:rsid w:val="000B0052"/>
    <w:rsid w:val="000B0AD8"/>
    <w:rsid w:val="000B0B0D"/>
    <w:rsid w:val="000B0D4A"/>
    <w:rsid w:val="000B0F5E"/>
    <w:rsid w:val="000B0F64"/>
    <w:rsid w:val="000B119A"/>
    <w:rsid w:val="000B14B5"/>
    <w:rsid w:val="000B17E6"/>
    <w:rsid w:val="000B1A75"/>
    <w:rsid w:val="000B2215"/>
    <w:rsid w:val="000B2A2F"/>
    <w:rsid w:val="000B2ACB"/>
    <w:rsid w:val="000B2B1F"/>
    <w:rsid w:val="000B3341"/>
    <w:rsid w:val="000B33E3"/>
    <w:rsid w:val="000B34AF"/>
    <w:rsid w:val="000B34FE"/>
    <w:rsid w:val="000B3ABD"/>
    <w:rsid w:val="000B3AFE"/>
    <w:rsid w:val="000B3C6B"/>
    <w:rsid w:val="000B3D66"/>
    <w:rsid w:val="000B3E70"/>
    <w:rsid w:val="000B3F7D"/>
    <w:rsid w:val="000B40DA"/>
    <w:rsid w:val="000B46C6"/>
    <w:rsid w:val="000B4765"/>
    <w:rsid w:val="000B4A3F"/>
    <w:rsid w:val="000B4DDB"/>
    <w:rsid w:val="000B4FC8"/>
    <w:rsid w:val="000B627B"/>
    <w:rsid w:val="000B6CFC"/>
    <w:rsid w:val="000B71B1"/>
    <w:rsid w:val="000B7C24"/>
    <w:rsid w:val="000B7ED4"/>
    <w:rsid w:val="000C0017"/>
    <w:rsid w:val="000C08FF"/>
    <w:rsid w:val="000C0FEC"/>
    <w:rsid w:val="000C1262"/>
    <w:rsid w:val="000C1D0F"/>
    <w:rsid w:val="000C1F1D"/>
    <w:rsid w:val="000C2532"/>
    <w:rsid w:val="000C27CC"/>
    <w:rsid w:val="000C2A0D"/>
    <w:rsid w:val="000C2BB7"/>
    <w:rsid w:val="000C37F6"/>
    <w:rsid w:val="000C398F"/>
    <w:rsid w:val="000C3A41"/>
    <w:rsid w:val="000C4232"/>
    <w:rsid w:val="000C46B8"/>
    <w:rsid w:val="000C46E6"/>
    <w:rsid w:val="000C49EC"/>
    <w:rsid w:val="000C4C26"/>
    <w:rsid w:val="000C4EE8"/>
    <w:rsid w:val="000C54E9"/>
    <w:rsid w:val="000C570D"/>
    <w:rsid w:val="000C600F"/>
    <w:rsid w:val="000C6882"/>
    <w:rsid w:val="000C6ADC"/>
    <w:rsid w:val="000C6BC0"/>
    <w:rsid w:val="000C6FDE"/>
    <w:rsid w:val="000C7268"/>
    <w:rsid w:val="000C72C7"/>
    <w:rsid w:val="000C7A32"/>
    <w:rsid w:val="000D05B1"/>
    <w:rsid w:val="000D0671"/>
    <w:rsid w:val="000D08E7"/>
    <w:rsid w:val="000D1992"/>
    <w:rsid w:val="000D1997"/>
    <w:rsid w:val="000D1C5F"/>
    <w:rsid w:val="000D214E"/>
    <w:rsid w:val="000D2BB5"/>
    <w:rsid w:val="000D3222"/>
    <w:rsid w:val="000D3989"/>
    <w:rsid w:val="000D3B0B"/>
    <w:rsid w:val="000D3B3F"/>
    <w:rsid w:val="000D3F4E"/>
    <w:rsid w:val="000D42A6"/>
    <w:rsid w:val="000D4494"/>
    <w:rsid w:val="000D457E"/>
    <w:rsid w:val="000D49B1"/>
    <w:rsid w:val="000D5094"/>
    <w:rsid w:val="000D5C0D"/>
    <w:rsid w:val="000D63C9"/>
    <w:rsid w:val="000D654B"/>
    <w:rsid w:val="000D6860"/>
    <w:rsid w:val="000D68DC"/>
    <w:rsid w:val="000D771F"/>
    <w:rsid w:val="000D7A4B"/>
    <w:rsid w:val="000E090D"/>
    <w:rsid w:val="000E0CCA"/>
    <w:rsid w:val="000E106F"/>
    <w:rsid w:val="000E1216"/>
    <w:rsid w:val="000E27E9"/>
    <w:rsid w:val="000E2BD3"/>
    <w:rsid w:val="000E405C"/>
    <w:rsid w:val="000E429F"/>
    <w:rsid w:val="000E42D3"/>
    <w:rsid w:val="000E4629"/>
    <w:rsid w:val="000E463F"/>
    <w:rsid w:val="000E54DA"/>
    <w:rsid w:val="000E58EE"/>
    <w:rsid w:val="000E5B8C"/>
    <w:rsid w:val="000E5E14"/>
    <w:rsid w:val="000E7A45"/>
    <w:rsid w:val="000E7EB0"/>
    <w:rsid w:val="000E7FE0"/>
    <w:rsid w:val="000F0221"/>
    <w:rsid w:val="000F0B20"/>
    <w:rsid w:val="000F1448"/>
    <w:rsid w:val="000F1732"/>
    <w:rsid w:val="000F17AC"/>
    <w:rsid w:val="000F1B8C"/>
    <w:rsid w:val="000F230A"/>
    <w:rsid w:val="000F26A9"/>
    <w:rsid w:val="000F2A4D"/>
    <w:rsid w:val="000F2D44"/>
    <w:rsid w:val="000F304C"/>
    <w:rsid w:val="000F330B"/>
    <w:rsid w:val="000F36C5"/>
    <w:rsid w:val="000F39EA"/>
    <w:rsid w:val="000F3AEB"/>
    <w:rsid w:val="000F3E64"/>
    <w:rsid w:val="000F4311"/>
    <w:rsid w:val="000F431C"/>
    <w:rsid w:val="000F44DF"/>
    <w:rsid w:val="000F4740"/>
    <w:rsid w:val="000F4DFA"/>
    <w:rsid w:val="000F5072"/>
    <w:rsid w:val="000F51FD"/>
    <w:rsid w:val="000F56FF"/>
    <w:rsid w:val="000F5B4E"/>
    <w:rsid w:val="000F5DA2"/>
    <w:rsid w:val="000F60D0"/>
    <w:rsid w:val="000F6106"/>
    <w:rsid w:val="000F6332"/>
    <w:rsid w:val="000F7FBD"/>
    <w:rsid w:val="00100E56"/>
    <w:rsid w:val="0010172E"/>
    <w:rsid w:val="00101750"/>
    <w:rsid w:val="00101B6F"/>
    <w:rsid w:val="00102031"/>
    <w:rsid w:val="001025C1"/>
    <w:rsid w:val="0010395E"/>
    <w:rsid w:val="00104210"/>
    <w:rsid w:val="001042E7"/>
    <w:rsid w:val="00104ADE"/>
    <w:rsid w:val="00104B20"/>
    <w:rsid w:val="00104BB2"/>
    <w:rsid w:val="00105018"/>
    <w:rsid w:val="00105626"/>
    <w:rsid w:val="00105F96"/>
    <w:rsid w:val="00106416"/>
    <w:rsid w:val="00106C40"/>
    <w:rsid w:val="00106E60"/>
    <w:rsid w:val="00106F2B"/>
    <w:rsid w:val="0010708D"/>
    <w:rsid w:val="00107345"/>
    <w:rsid w:val="00107971"/>
    <w:rsid w:val="00110381"/>
    <w:rsid w:val="00110565"/>
    <w:rsid w:val="00110B7D"/>
    <w:rsid w:val="00111140"/>
    <w:rsid w:val="0011170C"/>
    <w:rsid w:val="00111867"/>
    <w:rsid w:val="00112AE5"/>
    <w:rsid w:val="0011316D"/>
    <w:rsid w:val="00113596"/>
    <w:rsid w:val="001141F6"/>
    <w:rsid w:val="001144B4"/>
    <w:rsid w:val="001145F3"/>
    <w:rsid w:val="00114ACA"/>
    <w:rsid w:val="00115C25"/>
    <w:rsid w:val="00115CF5"/>
    <w:rsid w:val="00115ED9"/>
    <w:rsid w:val="001165C7"/>
    <w:rsid w:val="0011705A"/>
    <w:rsid w:val="001170FB"/>
    <w:rsid w:val="001172AF"/>
    <w:rsid w:val="001174E5"/>
    <w:rsid w:val="00117C9F"/>
    <w:rsid w:val="00117EF0"/>
    <w:rsid w:val="001202AC"/>
    <w:rsid w:val="0012051C"/>
    <w:rsid w:val="00120AB8"/>
    <w:rsid w:val="00121BB8"/>
    <w:rsid w:val="0012216E"/>
    <w:rsid w:val="001222EE"/>
    <w:rsid w:val="001222FA"/>
    <w:rsid w:val="0012247C"/>
    <w:rsid w:val="00122836"/>
    <w:rsid w:val="00122C15"/>
    <w:rsid w:val="00122E25"/>
    <w:rsid w:val="0012359B"/>
    <w:rsid w:val="001236A7"/>
    <w:rsid w:val="00123C75"/>
    <w:rsid w:val="00123FD2"/>
    <w:rsid w:val="001246A4"/>
    <w:rsid w:val="00124A2A"/>
    <w:rsid w:val="00124B63"/>
    <w:rsid w:val="00124F6A"/>
    <w:rsid w:val="00125796"/>
    <w:rsid w:val="00125951"/>
    <w:rsid w:val="00125DC3"/>
    <w:rsid w:val="00125E87"/>
    <w:rsid w:val="00125F40"/>
    <w:rsid w:val="00126059"/>
    <w:rsid w:val="001268AA"/>
    <w:rsid w:val="00126C04"/>
    <w:rsid w:val="00126D34"/>
    <w:rsid w:val="00127387"/>
    <w:rsid w:val="0012739D"/>
    <w:rsid w:val="00127433"/>
    <w:rsid w:val="001275C3"/>
    <w:rsid w:val="001278B7"/>
    <w:rsid w:val="00127CEA"/>
    <w:rsid w:val="00130903"/>
    <w:rsid w:val="00131645"/>
    <w:rsid w:val="00132BB5"/>
    <w:rsid w:val="00132E40"/>
    <w:rsid w:val="00133172"/>
    <w:rsid w:val="0013352E"/>
    <w:rsid w:val="001337F0"/>
    <w:rsid w:val="00133899"/>
    <w:rsid w:val="00133C15"/>
    <w:rsid w:val="00133F39"/>
    <w:rsid w:val="0013446C"/>
    <w:rsid w:val="00134978"/>
    <w:rsid w:val="00134A4C"/>
    <w:rsid w:val="001350F6"/>
    <w:rsid w:val="00135757"/>
    <w:rsid w:val="0013587E"/>
    <w:rsid w:val="00135E6D"/>
    <w:rsid w:val="00135F46"/>
    <w:rsid w:val="00136025"/>
    <w:rsid w:val="001365B7"/>
    <w:rsid w:val="0013735C"/>
    <w:rsid w:val="00137531"/>
    <w:rsid w:val="001378C5"/>
    <w:rsid w:val="001402FF"/>
    <w:rsid w:val="001403EA"/>
    <w:rsid w:val="001408A3"/>
    <w:rsid w:val="00140CAB"/>
    <w:rsid w:val="00140DEC"/>
    <w:rsid w:val="00140F70"/>
    <w:rsid w:val="001415A2"/>
    <w:rsid w:val="00141EFE"/>
    <w:rsid w:val="00141F7C"/>
    <w:rsid w:val="00141F97"/>
    <w:rsid w:val="00142D44"/>
    <w:rsid w:val="00142DB8"/>
    <w:rsid w:val="00142FCD"/>
    <w:rsid w:val="001435E3"/>
    <w:rsid w:val="001436C1"/>
    <w:rsid w:val="001440C5"/>
    <w:rsid w:val="0014432E"/>
    <w:rsid w:val="0014450A"/>
    <w:rsid w:val="00144673"/>
    <w:rsid w:val="00144AD4"/>
    <w:rsid w:val="001455D2"/>
    <w:rsid w:val="001464A1"/>
    <w:rsid w:val="0014792D"/>
    <w:rsid w:val="001479E7"/>
    <w:rsid w:val="00147DD9"/>
    <w:rsid w:val="00147F68"/>
    <w:rsid w:val="00150362"/>
    <w:rsid w:val="00150F64"/>
    <w:rsid w:val="001510A6"/>
    <w:rsid w:val="001512B7"/>
    <w:rsid w:val="00151397"/>
    <w:rsid w:val="001515C2"/>
    <w:rsid w:val="001515D4"/>
    <w:rsid w:val="001518D4"/>
    <w:rsid w:val="00151E2C"/>
    <w:rsid w:val="00152CD5"/>
    <w:rsid w:val="00153974"/>
    <w:rsid w:val="00153A8B"/>
    <w:rsid w:val="001546A9"/>
    <w:rsid w:val="00154EA1"/>
    <w:rsid w:val="0015513E"/>
    <w:rsid w:val="001552A5"/>
    <w:rsid w:val="001555CA"/>
    <w:rsid w:val="00155CE6"/>
    <w:rsid w:val="0015659D"/>
    <w:rsid w:val="00156DD1"/>
    <w:rsid w:val="00156FCA"/>
    <w:rsid w:val="00157BF7"/>
    <w:rsid w:val="00157EC4"/>
    <w:rsid w:val="00157ECC"/>
    <w:rsid w:val="0016025A"/>
    <w:rsid w:val="001602C9"/>
    <w:rsid w:val="00160AAA"/>
    <w:rsid w:val="00161012"/>
    <w:rsid w:val="0016142C"/>
    <w:rsid w:val="00161526"/>
    <w:rsid w:val="001628C4"/>
    <w:rsid w:val="00162D63"/>
    <w:rsid w:val="001630D5"/>
    <w:rsid w:val="00163356"/>
    <w:rsid w:val="00163604"/>
    <w:rsid w:val="00163ABA"/>
    <w:rsid w:val="00163CF0"/>
    <w:rsid w:val="0016411D"/>
    <w:rsid w:val="00165A7C"/>
    <w:rsid w:val="001667B5"/>
    <w:rsid w:val="00166E9F"/>
    <w:rsid w:val="00167013"/>
    <w:rsid w:val="00167707"/>
    <w:rsid w:val="00167E20"/>
    <w:rsid w:val="00167F58"/>
    <w:rsid w:val="00170133"/>
    <w:rsid w:val="00171107"/>
    <w:rsid w:val="00171931"/>
    <w:rsid w:val="00172191"/>
    <w:rsid w:val="001721C6"/>
    <w:rsid w:val="001727E0"/>
    <w:rsid w:val="001729AC"/>
    <w:rsid w:val="001729EB"/>
    <w:rsid w:val="00173461"/>
    <w:rsid w:val="001738D1"/>
    <w:rsid w:val="00173BBA"/>
    <w:rsid w:val="00173F9D"/>
    <w:rsid w:val="00174A68"/>
    <w:rsid w:val="00174C63"/>
    <w:rsid w:val="001758A7"/>
    <w:rsid w:val="0017639A"/>
    <w:rsid w:val="001769F5"/>
    <w:rsid w:val="00176F9B"/>
    <w:rsid w:val="00177294"/>
    <w:rsid w:val="00177440"/>
    <w:rsid w:val="0017757D"/>
    <w:rsid w:val="0018015F"/>
    <w:rsid w:val="00180571"/>
    <w:rsid w:val="0018155B"/>
    <w:rsid w:val="00181F28"/>
    <w:rsid w:val="001822E0"/>
    <w:rsid w:val="001834F6"/>
    <w:rsid w:val="00183732"/>
    <w:rsid w:val="00183B74"/>
    <w:rsid w:val="00183C26"/>
    <w:rsid w:val="00184566"/>
    <w:rsid w:val="001845E5"/>
    <w:rsid w:val="00184990"/>
    <w:rsid w:val="00184D7C"/>
    <w:rsid w:val="00184E57"/>
    <w:rsid w:val="001850C8"/>
    <w:rsid w:val="001853CC"/>
    <w:rsid w:val="001853CE"/>
    <w:rsid w:val="001857FF"/>
    <w:rsid w:val="00185DFD"/>
    <w:rsid w:val="00186058"/>
    <w:rsid w:val="00186508"/>
    <w:rsid w:val="00186B22"/>
    <w:rsid w:val="00186E1C"/>
    <w:rsid w:val="001871DD"/>
    <w:rsid w:val="001872B3"/>
    <w:rsid w:val="00187787"/>
    <w:rsid w:val="00187A03"/>
    <w:rsid w:val="00187D80"/>
    <w:rsid w:val="00190132"/>
    <w:rsid w:val="00190257"/>
    <w:rsid w:val="00190BA5"/>
    <w:rsid w:val="00190C05"/>
    <w:rsid w:val="00190F15"/>
    <w:rsid w:val="00191303"/>
    <w:rsid w:val="00191504"/>
    <w:rsid w:val="00192266"/>
    <w:rsid w:val="00192541"/>
    <w:rsid w:val="0019261F"/>
    <w:rsid w:val="00192947"/>
    <w:rsid w:val="00192C97"/>
    <w:rsid w:val="00192DA9"/>
    <w:rsid w:val="0019330C"/>
    <w:rsid w:val="001933BF"/>
    <w:rsid w:val="00193773"/>
    <w:rsid w:val="00193905"/>
    <w:rsid w:val="00193A8D"/>
    <w:rsid w:val="00194211"/>
    <w:rsid w:val="00194C72"/>
    <w:rsid w:val="001955B0"/>
    <w:rsid w:val="00195A87"/>
    <w:rsid w:val="001962B7"/>
    <w:rsid w:val="00196311"/>
    <w:rsid w:val="00196FB1"/>
    <w:rsid w:val="00197977"/>
    <w:rsid w:val="00197B7D"/>
    <w:rsid w:val="00197FE3"/>
    <w:rsid w:val="001A0030"/>
    <w:rsid w:val="001A012A"/>
    <w:rsid w:val="001A07EA"/>
    <w:rsid w:val="001A0D77"/>
    <w:rsid w:val="001A0DFC"/>
    <w:rsid w:val="001A0F07"/>
    <w:rsid w:val="001A102C"/>
    <w:rsid w:val="001A127D"/>
    <w:rsid w:val="001A1E62"/>
    <w:rsid w:val="001A2165"/>
    <w:rsid w:val="001A22C7"/>
    <w:rsid w:val="001A2481"/>
    <w:rsid w:val="001A34A3"/>
    <w:rsid w:val="001A3AD5"/>
    <w:rsid w:val="001A4337"/>
    <w:rsid w:val="001A470F"/>
    <w:rsid w:val="001A4946"/>
    <w:rsid w:val="001A579A"/>
    <w:rsid w:val="001A62DC"/>
    <w:rsid w:val="001A6491"/>
    <w:rsid w:val="001A7120"/>
    <w:rsid w:val="001A760F"/>
    <w:rsid w:val="001A77BA"/>
    <w:rsid w:val="001A7858"/>
    <w:rsid w:val="001A7A53"/>
    <w:rsid w:val="001A7B33"/>
    <w:rsid w:val="001A7B92"/>
    <w:rsid w:val="001B04E8"/>
    <w:rsid w:val="001B079B"/>
    <w:rsid w:val="001B12B0"/>
    <w:rsid w:val="001B1870"/>
    <w:rsid w:val="001B2072"/>
    <w:rsid w:val="001B3B85"/>
    <w:rsid w:val="001B41C4"/>
    <w:rsid w:val="001B43ED"/>
    <w:rsid w:val="001B45B0"/>
    <w:rsid w:val="001B47D8"/>
    <w:rsid w:val="001B4CAD"/>
    <w:rsid w:val="001B4CEB"/>
    <w:rsid w:val="001B5150"/>
    <w:rsid w:val="001B592A"/>
    <w:rsid w:val="001B7008"/>
    <w:rsid w:val="001B7A8A"/>
    <w:rsid w:val="001B7BDD"/>
    <w:rsid w:val="001B7D3D"/>
    <w:rsid w:val="001B7D4C"/>
    <w:rsid w:val="001B7F51"/>
    <w:rsid w:val="001C1341"/>
    <w:rsid w:val="001C1769"/>
    <w:rsid w:val="001C1EE6"/>
    <w:rsid w:val="001C21B8"/>
    <w:rsid w:val="001C2677"/>
    <w:rsid w:val="001C2944"/>
    <w:rsid w:val="001C2978"/>
    <w:rsid w:val="001C2C9E"/>
    <w:rsid w:val="001C2FCC"/>
    <w:rsid w:val="001C30D5"/>
    <w:rsid w:val="001C331D"/>
    <w:rsid w:val="001C4306"/>
    <w:rsid w:val="001C4333"/>
    <w:rsid w:val="001C436B"/>
    <w:rsid w:val="001C4538"/>
    <w:rsid w:val="001C4582"/>
    <w:rsid w:val="001C4760"/>
    <w:rsid w:val="001C55C2"/>
    <w:rsid w:val="001C58E4"/>
    <w:rsid w:val="001C64E1"/>
    <w:rsid w:val="001C65B2"/>
    <w:rsid w:val="001C6A2D"/>
    <w:rsid w:val="001C6AC2"/>
    <w:rsid w:val="001C6CAD"/>
    <w:rsid w:val="001C6DA3"/>
    <w:rsid w:val="001C7851"/>
    <w:rsid w:val="001D034A"/>
    <w:rsid w:val="001D0473"/>
    <w:rsid w:val="001D0A3D"/>
    <w:rsid w:val="001D0AEC"/>
    <w:rsid w:val="001D0B2E"/>
    <w:rsid w:val="001D0BB7"/>
    <w:rsid w:val="001D0EE7"/>
    <w:rsid w:val="001D1016"/>
    <w:rsid w:val="001D1143"/>
    <w:rsid w:val="001D187A"/>
    <w:rsid w:val="001D1DAB"/>
    <w:rsid w:val="001D1EAE"/>
    <w:rsid w:val="001D1EE3"/>
    <w:rsid w:val="001D2059"/>
    <w:rsid w:val="001D2320"/>
    <w:rsid w:val="001D2554"/>
    <w:rsid w:val="001D2AD4"/>
    <w:rsid w:val="001D2C3D"/>
    <w:rsid w:val="001D356B"/>
    <w:rsid w:val="001D3E14"/>
    <w:rsid w:val="001D40DE"/>
    <w:rsid w:val="001D41BC"/>
    <w:rsid w:val="001D4942"/>
    <w:rsid w:val="001D52EA"/>
    <w:rsid w:val="001D53B3"/>
    <w:rsid w:val="001D60E3"/>
    <w:rsid w:val="001D6592"/>
    <w:rsid w:val="001D6731"/>
    <w:rsid w:val="001D6924"/>
    <w:rsid w:val="001D6991"/>
    <w:rsid w:val="001D711E"/>
    <w:rsid w:val="001D7445"/>
    <w:rsid w:val="001D7BF7"/>
    <w:rsid w:val="001D7C77"/>
    <w:rsid w:val="001D7E83"/>
    <w:rsid w:val="001E03FD"/>
    <w:rsid w:val="001E0957"/>
    <w:rsid w:val="001E0BD2"/>
    <w:rsid w:val="001E0DC7"/>
    <w:rsid w:val="001E1A72"/>
    <w:rsid w:val="001E1B1E"/>
    <w:rsid w:val="001E2A5D"/>
    <w:rsid w:val="001E30BC"/>
    <w:rsid w:val="001E30C0"/>
    <w:rsid w:val="001E3168"/>
    <w:rsid w:val="001E3556"/>
    <w:rsid w:val="001E369A"/>
    <w:rsid w:val="001E3826"/>
    <w:rsid w:val="001E3E64"/>
    <w:rsid w:val="001E4891"/>
    <w:rsid w:val="001E4D5B"/>
    <w:rsid w:val="001E54D5"/>
    <w:rsid w:val="001E55F2"/>
    <w:rsid w:val="001E6517"/>
    <w:rsid w:val="001E6694"/>
    <w:rsid w:val="001E6FEF"/>
    <w:rsid w:val="001E70F9"/>
    <w:rsid w:val="001E72C3"/>
    <w:rsid w:val="001E73E5"/>
    <w:rsid w:val="001E743F"/>
    <w:rsid w:val="001E7A34"/>
    <w:rsid w:val="001E7B47"/>
    <w:rsid w:val="001E7C48"/>
    <w:rsid w:val="001F06D0"/>
    <w:rsid w:val="001F0BEF"/>
    <w:rsid w:val="001F1288"/>
    <w:rsid w:val="001F1933"/>
    <w:rsid w:val="001F2298"/>
    <w:rsid w:val="001F2328"/>
    <w:rsid w:val="001F31EA"/>
    <w:rsid w:val="001F32C5"/>
    <w:rsid w:val="001F338F"/>
    <w:rsid w:val="001F353B"/>
    <w:rsid w:val="001F379D"/>
    <w:rsid w:val="001F3927"/>
    <w:rsid w:val="001F3AF2"/>
    <w:rsid w:val="001F3AF5"/>
    <w:rsid w:val="001F3E38"/>
    <w:rsid w:val="001F3FA8"/>
    <w:rsid w:val="001F40C1"/>
    <w:rsid w:val="001F452B"/>
    <w:rsid w:val="001F4BCD"/>
    <w:rsid w:val="001F5301"/>
    <w:rsid w:val="001F5312"/>
    <w:rsid w:val="001F552E"/>
    <w:rsid w:val="001F5A5F"/>
    <w:rsid w:val="001F6BF6"/>
    <w:rsid w:val="001F70FF"/>
    <w:rsid w:val="001F7319"/>
    <w:rsid w:val="001F73E6"/>
    <w:rsid w:val="001F780D"/>
    <w:rsid w:val="001F7FC1"/>
    <w:rsid w:val="002019EA"/>
    <w:rsid w:val="00201AF1"/>
    <w:rsid w:val="00201C41"/>
    <w:rsid w:val="00201F10"/>
    <w:rsid w:val="0020251B"/>
    <w:rsid w:val="00202A4E"/>
    <w:rsid w:val="00202AB9"/>
    <w:rsid w:val="00202E19"/>
    <w:rsid w:val="00203196"/>
    <w:rsid w:val="00203855"/>
    <w:rsid w:val="00204497"/>
    <w:rsid w:val="00204DE5"/>
    <w:rsid w:val="00205251"/>
    <w:rsid w:val="002053A3"/>
    <w:rsid w:val="00205587"/>
    <w:rsid w:val="002059F7"/>
    <w:rsid w:val="00205CED"/>
    <w:rsid w:val="00205D12"/>
    <w:rsid w:val="00205D6A"/>
    <w:rsid w:val="0020666A"/>
    <w:rsid w:val="0020704B"/>
    <w:rsid w:val="00207276"/>
    <w:rsid w:val="0020738E"/>
    <w:rsid w:val="002076A6"/>
    <w:rsid w:val="00207943"/>
    <w:rsid w:val="00207BDD"/>
    <w:rsid w:val="0021002A"/>
    <w:rsid w:val="002100F1"/>
    <w:rsid w:val="00210199"/>
    <w:rsid w:val="00210324"/>
    <w:rsid w:val="002104C0"/>
    <w:rsid w:val="0021091E"/>
    <w:rsid w:val="00210B9E"/>
    <w:rsid w:val="00211867"/>
    <w:rsid w:val="00211928"/>
    <w:rsid w:val="00211C42"/>
    <w:rsid w:val="0021211B"/>
    <w:rsid w:val="00212568"/>
    <w:rsid w:val="002131D4"/>
    <w:rsid w:val="002134D2"/>
    <w:rsid w:val="00213545"/>
    <w:rsid w:val="00213724"/>
    <w:rsid w:val="00213BFB"/>
    <w:rsid w:val="00213C05"/>
    <w:rsid w:val="002140C4"/>
    <w:rsid w:val="002147B6"/>
    <w:rsid w:val="00214838"/>
    <w:rsid w:val="00214999"/>
    <w:rsid w:val="00214C5A"/>
    <w:rsid w:val="00214D58"/>
    <w:rsid w:val="0021610F"/>
    <w:rsid w:val="00216397"/>
    <w:rsid w:val="00216753"/>
    <w:rsid w:val="002168DB"/>
    <w:rsid w:val="002169AE"/>
    <w:rsid w:val="002169B0"/>
    <w:rsid w:val="00216D95"/>
    <w:rsid w:val="00217481"/>
    <w:rsid w:val="00217986"/>
    <w:rsid w:val="00217D5D"/>
    <w:rsid w:val="00217DCC"/>
    <w:rsid w:val="002201F0"/>
    <w:rsid w:val="00220B0B"/>
    <w:rsid w:val="00221947"/>
    <w:rsid w:val="00221AD9"/>
    <w:rsid w:val="00221D3A"/>
    <w:rsid w:val="002221FF"/>
    <w:rsid w:val="002223A7"/>
    <w:rsid w:val="0022263F"/>
    <w:rsid w:val="002229EA"/>
    <w:rsid w:val="00222F0D"/>
    <w:rsid w:val="002233DF"/>
    <w:rsid w:val="00223CAA"/>
    <w:rsid w:val="00224075"/>
    <w:rsid w:val="0022409A"/>
    <w:rsid w:val="0022463B"/>
    <w:rsid w:val="002246D7"/>
    <w:rsid w:val="00224726"/>
    <w:rsid w:val="0022473A"/>
    <w:rsid w:val="00224F14"/>
    <w:rsid w:val="00225A22"/>
    <w:rsid w:val="002262DB"/>
    <w:rsid w:val="00226CE5"/>
    <w:rsid w:val="0022751B"/>
    <w:rsid w:val="002275AD"/>
    <w:rsid w:val="00227709"/>
    <w:rsid w:val="0022772A"/>
    <w:rsid w:val="00227EC0"/>
    <w:rsid w:val="002309CF"/>
    <w:rsid w:val="00231244"/>
    <w:rsid w:val="00231389"/>
    <w:rsid w:val="00231A00"/>
    <w:rsid w:val="00232964"/>
    <w:rsid w:val="00232988"/>
    <w:rsid w:val="00233443"/>
    <w:rsid w:val="00233C99"/>
    <w:rsid w:val="00233F79"/>
    <w:rsid w:val="002340A4"/>
    <w:rsid w:val="002340BF"/>
    <w:rsid w:val="002343EB"/>
    <w:rsid w:val="002346E0"/>
    <w:rsid w:val="00234778"/>
    <w:rsid w:val="00234780"/>
    <w:rsid w:val="00234FD3"/>
    <w:rsid w:val="00235BCA"/>
    <w:rsid w:val="00235E3C"/>
    <w:rsid w:val="002365F1"/>
    <w:rsid w:val="0023747A"/>
    <w:rsid w:val="002405AB"/>
    <w:rsid w:val="002406ED"/>
    <w:rsid w:val="002408BE"/>
    <w:rsid w:val="00240B07"/>
    <w:rsid w:val="00240CD2"/>
    <w:rsid w:val="00242226"/>
    <w:rsid w:val="0024243D"/>
    <w:rsid w:val="00242DDB"/>
    <w:rsid w:val="00243B13"/>
    <w:rsid w:val="00244BFA"/>
    <w:rsid w:val="00245087"/>
    <w:rsid w:val="00245481"/>
    <w:rsid w:val="00245C2D"/>
    <w:rsid w:val="00245EE3"/>
    <w:rsid w:val="002466A2"/>
    <w:rsid w:val="002467D5"/>
    <w:rsid w:val="002474DE"/>
    <w:rsid w:val="0024761C"/>
    <w:rsid w:val="00247960"/>
    <w:rsid w:val="002479FC"/>
    <w:rsid w:val="00247CF1"/>
    <w:rsid w:val="0025007D"/>
    <w:rsid w:val="0025055F"/>
    <w:rsid w:val="00250F73"/>
    <w:rsid w:val="00250FB0"/>
    <w:rsid w:val="00251569"/>
    <w:rsid w:val="00251777"/>
    <w:rsid w:val="00251AC7"/>
    <w:rsid w:val="00251B1C"/>
    <w:rsid w:val="00251FFD"/>
    <w:rsid w:val="00252A19"/>
    <w:rsid w:val="00252B9E"/>
    <w:rsid w:val="00252BA0"/>
    <w:rsid w:val="00252CA9"/>
    <w:rsid w:val="00253858"/>
    <w:rsid w:val="00253A2D"/>
    <w:rsid w:val="00253B03"/>
    <w:rsid w:val="00253FBE"/>
    <w:rsid w:val="0025436A"/>
    <w:rsid w:val="002545A4"/>
    <w:rsid w:val="00254B54"/>
    <w:rsid w:val="00255302"/>
    <w:rsid w:val="00255E09"/>
    <w:rsid w:val="002562A4"/>
    <w:rsid w:val="00256607"/>
    <w:rsid w:val="002569FB"/>
    <w:rsid w:val="00256B33"/>
    <w:rsid w:val="00257B93"/>
    <w:rsid w:val="00257C56"/>
    <w:rsid w:val="00260080"/>
    <w:rsid w:val="00260352"/>
    <w:rsid w:val="0026075E"/>
    <w:rsid w:val="00260855"/>
    <w:rsid w:val="00260A5D"/>
    <w:rsid w:val="00260DB5"/>
    <w:rsid w:val="00261D58"/>
    <w:rsid w:val="00261EA1"/>
    <w:rsid w:val="00262029"/>
    <w:rsid w:val="0026252D"/>
    <w:rsid w:val="002629B2"/>
    <w:rsid w:val="00262B54"/>
    <w:rsid w:val="00263201"/>
    <w:rsid w:val="002641B9"/>
    <w:rsid w:val="00264501"/>
    <w:rsid w:val="002645A1"/>
    <w:rsid w:val="002649A7"/>
    <w:rsid w:val="00264C17"/>
    <w:rsid w:val="00265771"/>
    <w:rsid w:val="00265CA4"/>
    <w:rsid w:val="0026601F"/>
    <w:rsid w:val="002660E7"/>
    <w:rsid w:val="0026611E"/>
    <w:rsid w:val="002661AB"/>
    <w:rsid w:val="0026638E"/>
    <w:rsid w:val="0026647C"/>
    <w:rsid w:val="002664F0"/>
    <w:rsid w:val="00266D56"/>
    <w:rsid w:val="00266D66"/>
    <w:rsid w:val="002671B1"/>
    <w:rsid w:val="00267361"/>
    <w:rsid w:val="002674A3"/>
    <w:rsid w:val="00267558"/>
    <w:rsid w:val="00267C96"/>
    <w:rsid w:val="0027016A"/>
    <w:rsid w:val="00270289"/>
    <w:rsid w:val="0027052A"/>
    <w:rsid w:val="00270845"/>
    <w:rsid w:val="00270C2C"/>
    <w:rsid w:val="00271708"/>
    <w:rsid w:val="0027198E"/>
    <w:rsid w:val="00271E48"/>
    <w:rsid w:val="002725A5"/>
    <w:rsid w:val="00272601"/>
    <w:rsid w:val="00272AD0"/>
    <w:rsid w:val="00273215"/>
    <w:rsid w:val="002732D7"/>
    <w:rsid w:val="002733EA"/>
    <w:rsid w:val="00273620"/>
    <w:rsid w:val="00274A9A"/>
    <w:rsid w:val="00274AA7"/>
    <w:rsid w:val="00275586"/>
    <w:rsid w:val="002755B1"/>
    <w:rsid w:val="00275677"/>
    <w:rsid w:val="00275987"/>
    <w:rsid w:val="00275AAC"/>
    <w:rsid w:val="00276716"/>
    <w:rsid w:val="00276F84"/>
    <w:rsid w:val="00277245"/>
    <w:rsid w:val="00277947"/>
    <w:rsid w:val="00277C73"/>
    <w:rsid w:val="0028029A"/>
    <w:rsid w:val="00281193"/>
    <w:rsid w:val="0028157D"/>
    <w:rsid w:val="00281CD9"/>
    <w:rsid w:val="0028299C"/>
    <w:rsid w:val="00282F40"/>
    <w:rsid w:val="0028303F"/>
    <w:rsid w:val="002832C1"/>
    <w:rsid w:val="002834ED"/>
    <w:rsid w:val="00283B52"/>
    <w:rsid w:val="00283B53"/>
    <w:rsid w:val="002840A0"/>
    <w:rsid w:val="0028454C"/>
    <w:rsid w:val="002847B4"/>
    <w:rsid w:val="0028493E"/>
    <w:rsid w:val="00284C12"/>
    <w:rsid w:val="00284C16"/>
    <w:rsid w:val="00284DA3"/>
    <w:rsid w:val="002856AD"/>
    <w:rsid w:val="0028594F"/>
    <w:rsid w:val="00285B89"/>
    <w:rsid w:val="00286451"/>
    <w:rsid w:val="00287694"/>
    <w:rsid w:val="00287D2D"/>
    <w:rsid w:val="002904BC"/>
    <w:rsid w:val="00290749"/>
    <w:rsid w:val="00290846"/>
    <w:rsid w:val="002911C7"/>
    <w:rsid w:val="002914C1"/>
    <w:rsid w:val="00291948"/>
    <w:rsid w:val="00292144"/>
    <w:rsid w:val="00292430"/>
    <w:rsid w:val="002928C0"/>
    <w:rsid w:val="00292ABB"/>
    <w:rsid w:val="00293304"/>
    <w:rsid w:val="002938E6"/>
    <w:rsid w:val="002943FD"/>
    <w:rsid w:val="0029543C"/>
    <w:rsid w:val="0029566F"/>
    <w:rsid w:val="00295696"/>
    <w:rsid w:val="00295E24"/>
    <w:rsid w:val="0029628E"/>
    <w:rsid w:val="0029650A"/>
    <w:rsid w:val="002970B0"/>
    <w:rsid w:val="002A0488"/>
    <w:rsid w:val="002A0495"/>
    <w:rsid w:val="002A14C7"/>
    <w:rsid w:val="002A1614"/>
    <w:rsid w:val="002A17D6"/>
    <w:rsid w:val="002A1C73"/>
    <w:rsid w:val="002A2E47"/>
    <w:rsid w:val="002A3712"/>
    <w:rsid w:val="002A3945"/>
    <w:rsid w:val="002A3BC6"/>
    <w:rsid w:val="002A40B9"/>
    <w:rsid w:val="002A58C1"/>
    <w:rsid w:val="002A5AEA"/>
    <w:rsid w:val="002A5B68"/>
    <w:rsid w:val="002A5BEE"/>
    <w:rsid w:val="002A6280"/>
    <w:rsid w:val="002A66F6"/>
    <w:rsid w:val="002A6CBE"/>
    <w:rsid w:val="002A784D"/>
    <w:rsid w:val="002A7D30"/>
    <w:rsid w:val="002A7D73"/>
    <w:rsid w:val="002B0088"/>
    <w:rsid w:val="002B014F"/>
    <w:rsid w:val="002B13AA"/>
    <w:rsid w:val="002B1FFD"/>
    <w:rsid w:val="002B2034"/>
    <w:rsid w:val="002B2ED9"/>
    <w:rsid w:val="002B3271"/>
    <w:rsid w:val="002B3580"/>
    <w:rsid w:val="002B392C"/>
    <w:rsid w:val="002B4354"/>
    <w:rsid w:val="002B4571"/>
    <w:rsid w:val="002B4772"/>
    <w:rsid w:val="002B4A3B"/>
    <w:rsid w:val="002B524B"/>
    <w:rsid w:val="002B52CB"/>
    <w:rsid w:val="002B5330"/>
    <w:rsid w:val="002B5ACC"/>
    <w:rsid w:val="002B6331"/>
    <w:rsid w:val="002B7203"/>
    <w:rsid w:val="002B75C8"/>
    <w:rsid w:val="002B7CCA"/>
    <w:rsid w:val="002C0562"/>
    <w:rsid w:val="002C0705"/>
    <w:rsid w:val="002C07AF"/>
    <w:rsid w:val="002C09BC"/>
    <w:rsid w:val="002C0F7C"/>
    <w:rsid w:val="002C1124"/>
    <w:rsid w:val="002C1182"/>
    <w:rsid w:val="002C17B4"/>
    <w:rsid w:val="002C196A"/>
    <w:rsid w:val="002C1CF3"/>
    <w:rsid w:val="002C20E1"/>
    <w:rsid w:val="002C2325"/>
    <w:rsid w:val="002C2BD0"/>
    <w:rsid w:val="002C329F"/>
    <w:rsid w:val="002C3862"/>
    <w:rsid w:val="002C40AF"/>
    <w:rsid w:val="002C427F"/>
    <w:rsid w:val="002C4562"/>
    <w:rsid w:val="002C4F17"/>
    <w:rsid w:val="002C55B7"/>
    <w:rsid w:val="002C6305"/>
    <w:rsid w:val="002C640A"/>
    <w:rsid w:val="002C6C63"/>
    <w:rsid w:val="002C73E3"/>
    <w:rsid w:val="002C740C"/>
    <w:rsid w:val="002C7A16"/>
    <w:rsid w:val="002C7B31"/>
    <w:rsid w:val="002C7BCE"/>
    <w:rsid w:val="002D0D0C"/>
    <w:rsid w:val="002D155F"/>
    <w:rsid w:val="002D2250"/>
    <w:rsid w:val="002D22EA"/>
    <w:rsid w:val="002D2509"/>
    <w:rsid w:val="002D3074"/>
    <w:rsid w:val="002D38B1"/>
    <w:rsid w:val="002D450F"/>
    <w:rsid w:val="002D489B"/>
    <w:rsid w:val="002D48DE"/>
    <w:rsid w:val="002D5447"/>
    <w:rsid w:val="002D5655"/>
    <w:rsid w:val="002D581E"/>
    <w:rsid w:val="002D5EF4"/>
    <w:rsid w:val="002D6A0B"/>
    <w:rsid w:val="002D7181"/>
    <w:rsid w:val="002D72F1"/>
    <w:rsid w:val="002D765B"/>
    <w:rsid w:val="002D7AD4"/>
    <w:rsid w:val="002D7D90"/>
    <w:rsid w:val="002D7DE9"/>
    <w:rsid w:val="002E0690"/>
    <w:rsid w:val="002E0B4C"/>
    <w:rsid w:val="002E1007"/>
    <w:rsid w:val="002E12B0"/>
    <w:rsid w:val="002E264E"/>
    <w:rsid w:val="002E28B0"/>
    <w:rsid w:val="002E2913"/>
    <w:rsid w:val="002E2E8A"/>
    <w:rsid w:val="002E3748"/>
    <w:rsid w:val="002E390A"/>
    <w:rsid w:val="002E48AD"/>
    <w:rsid w:val="002E4CC0"/>
    <w:rsid w:val="002E4E02"/>
    <w:rsid w:val="002E4F33"/>
    <w:rsid w:val="002E4FA3"/>
    <w:rsid w:val="002E4FDC"/>
    <w:rsid w:val="002E5118"/>
    <w:rsid w:val="002E5354"/>
    <w:rsid w:val="002E5442"/>
    <w:rsid w:val="002E54EB"/>
    <w:rsid w:val="002E5A0E"/>
    <w:rsid w:val="002E6034"/>
    <w:rsid w:val="002E61C5"/>
    <w:rsid w:val="002E61F5"/>
    <w:rsid w:val="002E6333"/>
    <w:rsid w:val="002E64BA"/>
    <w:rsid w:val="002E7AC3"/>
    <w:rsid w:val="002E7B56"/>
    <w:rsid w:val="002E7E6D"/>
    <w:rsid w:val="002F0109"/>
    <w:rsid w:val="002F0262"/>
    <w:rsid w:val="002F0CDA"/>
    <w:rsid w:val="002F0F07"/>
    <w:rsid w:val="002F11FE"/>
    <w:rsid w:val="002F1733"/>
    <w:rsid w:val="002F1C81"/>
    <w:rsid w:val="002F2141"/>
    <w:rsid w:val="002F281C"/>
    <w:rsid w:val="002F2948"/>
    <w:rsid w:val="002F2B42"/>
    <w:rsid w:val="002F3186"/>
    <w:rsid w:val="002F3439"/>
    <w:rsid w:val="002F3D63"/>
    <w:rsid w:val="002F46A8"/>
    <w:rsid w:val="002F4D9B"/>
    <w:rsid w:val="002F56D2"/>
    <w:rsid w:val="002F5762"/>
    <w:rsid w:val="002F59CC"/>
    <w:rsid w:val="002F606C"/>
    <w:rsid w:val="002F6679"/>
    <w:rsid w:val="002F67F3"/>
    <w:rsid w:val="002F7075"/>
    <w:rsid w:val="002F7264"/>
    <w:rsid w:val="002F76FD"/>
    <w:rsid w:val="0030059E"/>
    <w:rsid w:val="0030100E"/>
    <w:rsid w:val="003010DE"/>
    <w:rsid w:val="0030150D"/>
    <w:rsid w:val="00301B77"/>
    <w:rsid w:val="00301DAB"/>
    <w:rsid w:val="00302DCA"/>
    <w:rsid w:val="00302FE9"/>
    <w:rsid w:val="00303769"/>
    <w:rsid w:val="003037B1"/>
    <w:rsid w:val="00303F0D"/>
    <w:rsid w:val="00304AFE"/>
    <w:rsid w:val="00304BB3"/>
    <w:rsid w:val="003052F9"/>
    <w:rsid w:val="00305871"/>
    <w:rsid w:val="0030598C"/>
    <w:rsid w:val="00305E33"/>
    <w:rsid w:val="003062BB"/>
    <w:rsid w:val="00306538"/>
    <w:rsid w:val="00306619"/>
    <w:rsid w:val="0030674F"/>
    <w:rsid w:val="0030733A"/>
    <w:rsid w:val="00307983"/>
    <w:rsid w:val="0031019E"/>
    <w:rsid w:val="0031032E"/>
    <w:rsid w:val="003104B9"/>
    <w:rsid w:val="00310D0C"/>
    <w:rsid w:val="0031160C"/>
    <w:rsid w:val="003116CF"/>
    <w:rsid w:val="00311A03"/>
    <w:rsid w:val="0031224D"/>
    <w:rsid w:val="00312355"/>
    <w:rsid w:val="0031248B"/>
    <w:rsid w:val="00313363"/>
    <w:rsid w:val="00313655"/>
    <w:rsid w:val="00313A23"/>
    <w:rsid w:val="00313A5C"/>
    <w:rsid w:val="00313D0C"/>
    <w:rsid w:val="0031449C"/>
    <w:rsid w:val="0031460E"/>
    <w:rsid w:val="0031481A"/>
    <w:rsid w:val="00314E47"/>
    <w:rsid w:val="00314F71"/>
    <w:rsid w:val="0031520C"/>
    <w:rsid w:val="003153C2"/>
    <w:rsid w:val="00315CDB"/>
    <w:rsid w:val="00315CF6"/>
    <w:rsid w:val="00316139"/>
    <w:rsid w:val="0031674A"/>
    <w:rsid w:val="00316AFC"/>
    <w:rsid w:val="003174C6"/>
    <w:rsid w:val="003200F1"/>
    <w:rsid w:val="00320565"/>
    <w:rsid w:val="00320901"/>
    <w:rsid w:val="0032120C"/>
    <w:rsid w:val="00321390"/>
    <w:rsid w:val="00321794"/>
    <w:rsid w:val="0032233A"/>
    <w:rsid w:val="0032237C"/>
    <w:rsid w:val="0032257B"/>
    <w:rsid w:val="00322623"/>
    <w:rsid w:val="003228A5"/>
    <w:rsid w:val="00323013"/>
    <w:rsid w:val="00323232"/>
    <w:rsid w:val="00323299"/>
    <w:rsid w:val="00323BFF"/>
    <w:rsid w:val="00323C8B"/>
    <w:rsid w:val="003240E6"/>
    <w:rsid w:val="003242CC"/>
    <w:rsid w:val="003244B0"/>
    <w:rsid w:val="0032452F"/>
    <w:rsid w:val="00324738"/>
    <w:rsid w:val="00324763"/>
    <w:rsid w:val="0032485B"/>
    <w:rsid w:val="00324E61"/>
    <w:rsid w:val="00324EE3"/>
    <w:rsid w:val="00325BBA"/>
    <w:rsid w:val="00325C72"/>
    <w:rsid w:val="00327ACE"/>
    <w:rsid w:val="00327F03"/>
    <w:rsid w:val="00330738"/>
    <w:rsid w:val="00330ABC"/>
    <w:rsid w:val="00330F47"/>
    <w:rsid w:val="003312C7"/>
    <w:rsid w:val="0033148E"/>
    <w:rsid w:val="00331559"/>
    <w:rsid w:val="00331672"/>
    <w:rsid w:val="00332C0C"/>
    <w:rsid w:val="00332FAD"/>
    <w:rsid w:val="00333A24"/>
    <w:rsid w:val="00333F59"/>
    <w:rsid w:val="00333FC9"/>
    <w:rsid w:val="003340C5"/>
    <w:rsid w:val="003342DB"/>
    <w:rsid w:val="003349A6"/>
    <w:rsid w:val="003349F0"/>
    <w:rsid w:val="00336332"/>
    <w:rsid w:val="003363B2"/>
    <w:rsid w:val="00336986"/>
    <w:rsid w:val="0033724B"/>
    <w:rsid w:val="003377C3"/>
    <w:rsid w:val="003400D8"/>
    <w:rsid w:val="00340469"/>
    <w:rsid w:val="00340BC0"/>
    <w:rsid w:val="00340C02"/>
    <w:rsid w:val="00340E8E"/>
    <w:rsid w:val="00340F0F"/>
    <w:rsid w:val="00340FEB"/>
    <w:rsid w:val="00341190"/>
    <w:rsid w:val="00341E84"/>
    <w:rsid w:val="00341FFF"/>
    <w:rsid w:val="003425E8"/>
    <w:rsid w:val="0034278A"/>
    <w:rsid w:val="003428F2"/>
    <w:rsid w:val="0034312E"/>
    <w:rsid w:val="0034353C"/>
    <w:rsid w:val="003443BA"/>
    <w:rsid w:val="00344947"/>
    <w:rsid w:val="00345409"/>
    <w:rsid w:val="00345AF8"/>
    <w:rsid w:val="00346EB4"/>
    <w:rsid w:val="0034718D"/>
    <w:rsid w:val="00347BE7"/>
    <w:rsid w:val="00350084"/>
    <w:rsid w:val="0035029C"/>
    <w:rsid w:val="00350A22"/>
    <w:rsid w:val="00351750"/>
    <w:rsid w:val="003522F5"/>
    <w:rsid w:val="003532CC"/>
    <w:rsid w:val="003534BA"/>
    <w:rsid w:val="0035354F"/>
    <w:rsid w:val="00354C5E"/>
    <w:rsid w:val="003550AC"/>
    <w:rsid w:val="003550E8"/>
    <w:rsid w:val="003551D2"/>
    <w:rsid w:val="003551FF"/>
    <w:rsid w:val="00356245"/>
    <w:rsid w:val="00356263"/>
    <w:rsid w:val="003564DF"/>
    <w:rsid w:val="0035659E"/>
    <w:rsid w:val="00356794"/>
    <w:rsid w:val="00356A0B"/>
    <w:rsid w:val="00356CB9"/>
    <w:rsid w:val="00356DAF"/>
    <w:rsid w:val="003579AF"/>
    <w:rsid w:val="003605AA"/>
    <w:rsid w:val="003607A4"/>
    <w:rsid w:val="00361A44"/>
    <w:rsid w:val="00361E92"/>
    <w:rsid w:val="003626E1"/>
    <w:rsid w:val="00362D84"/>
    <w:rsid w:val="00362FCD"/>
    <w:rsid w:val="00363684"/>
    <w:rsid w:val="00363BEA"/>
    <w:rsid w:val="00363C29"/>
    <w:rsid w:val="00363F4B"/>
    <w:rsid w:val="00364678"/>
    <w:rsid w:val="00364979"/>
    <w:rsid w:val="00364EDF"/>
    <w:rsid w:val="003652CF"/>
    <w:rsid w:val="0036669E"/>
    <w:rsid w:val="00366B9C"/>
    <w:rsid w:val="00366CE3"/>
    <w:rsid w:val="00367363"/>
    <w:rsid w:val="0036794E"/>
    <w:rsid w:val="00367E33"/>
    <w:rsid w:val="003703AC"/>
    <w:rsid w:val="0037134B"/>
    <w:rsid w:val="00371A5A"/>
    <w:rsid w:val="00371E15"/>
    <w:rsid w:val="00371FDA"/>
    <w:rsid w:val="00372321"/>
    <w:rsid w:val="00372745"/>
    <w:rsid w:val="00372964"/>
    <w:rsid w:val="00372E99"/>
    <w:rsid w:val="0037311C"/>
    <w:rsid w:val="0037347B"/>
    <w:rsid w:val="003737CE"/>
    <w:rsid w:val="00374941"/>
    <w:rsid w:val="00374C40"/>
    <w:rsid w:val="00374CF9"/>
    <w:rsid w:val="00374EA1"/>
    <w:rsid w:val="00375088"/>
    <w:rsid w:val="00375726"/>
    <w:rsid w:val="003757EC"/>
    <w:rsid w:val="00375A5E"/>
    <w:rsid w:val="00375D22"/>
    <w:rsid w:val="003761BF"/>
    <w:rsid w:val="003761D4"/>
    <w:rsid w:val="003768C4"/>
    <w:rsid w:val="003769E0"/>
    <w:rsid w:val="00376EAD"/>
    <w:rsid w:val="00377B88"/>
    <w:rsid w:val="00377C40"/>
    <w:rsid w:val="0038041F"/>
    <w:rsid w:val="003804E2"/>
    <w:rsid w:val="00380F1B"/>
    <w:rsid w:val="003810F8"/>
    <w:rsid w:val="0038160B"/>
    <w:rsid w:val="00381637"/>
    <w:rsid w:val="00381806"/>
    <w:rsid w:val="00381A01"/>
    <w:rsid w:val="003825E1"/>
    <w:rsid w:val="003826D2"/>
    <w:rsid w:val="00382A2F"/>
    <w:rsid w:val="003837BD"/>
    <w:rsid w:val="00383BE4"/>
    <w:rsid w:val="00384087"/>
    <w:rsid w:val="00384A6A"/>
    <w:rsid w:val="00384FE0"/>
    <w:rsid w:val="003854FF"/>
    <w:rsid w:val="0038550B"/>
    <w:rsid w:val="00386068"/>
    <w:rsid w:val="00386213"/>
    <w:rsid w:val="003871CC"/>
    <w:rsid w:val="00387611"/>
    <w:rsid w:val="00387FF4"/>
    <w:rsid w:val="003903AA"/>
    <w:rsid w:val="00390E3B"/>
    <w:rsid w:val="00391050"/>
    <w:rsid w:val="00391D96"/>
    <w:rsid w:val="0039222F"/>
    <w:rsid w:val="00392773"/>
    <w:rsid w:val="003939D3"/>
    <w:rsid w:val="00393C4E"/>
    <w:rsid w:val="00393E3E"/>
    <w:rsid w:val="00393EFF"/>
    <w:rsid w:val="003942E0"/>
    <w:rsid w:val="0039446B"/>
    <w:rsid w:val="0039463B"/>
    <w:rsid w:val="0039495C"/>
    <w:rsid w:val="00394F3C"/>
    <w:rsid w:val="00395557"/>
    <w:rsid w:val="0039570F"/>
    <w:rsid w:val="00396246"/>
    <w:rsid w:val="003962A1"/>
    <w:rsid w:val="00396C7E"/>
    <w:rsid w:val="003970A8"/>
    <w:rsid w:val="0039721A"/>
    <w:rsid w:val="0039754F"/>
    <w:rsid w:val="00397827"/>
    <w:rsid w:val="00397D6E"/>
    <w:rsid w:val="003A04B1"/>
    <w:rsid w:val="003A0621"/>
    <w:rsid w:val="003A128A"/>
    <w:rsid w:val="003A2060"/>
    <w:rsid w:val="003A2324"/>
    <w:rsid w:val="003A2443"/>
    <w:rsid w:val="003A28B6"/>
    <w:rsid w:val="003A2AE4"/>
    <w:rsid w:val="003A31E2"/>
    <w:rsid w:val="003A3328"/>
    <w:rsid w:val="003A3360"/>
    <w:rsid w:val="003A346E"/>
    <w:rsid w:val="003A36DC"/>
    <w:rsid w:val="003A3927"/>
    <w:rsid w:val="003A3A9C"/>
    <w:rsid w:val="003A4671"/>
    <w:rsid w:val="003A4785"/>
    <w:rsid w:val="003A48C7"/>
    <w:rsid w:val="003A512B"/>
    <w:rsid w:val="003A53C6"/>
    <w:rsid w:val="003A59A1"/>
    <w:rsid w:val="003A6390"/>
    <w:rsid w:val="003A63D0"/>
    <w:rsid w:val="003A6BB5"/>
    <w:rsid w:val="003A6C04"/>
    <w:rsid w:val="003A7009"/>
    <w:rsid w:val="003A73A8"/>
    <w:rsid w:val="003A7797"/>
    <w:rsid w:val="003A7FBE"/>
    <w:rsid w:val="003B04FE"/>
    <w:rsid w:val="003B138C"/>
    <w:rsid w:val="003B13C4"/>
    <w:rsid w:val="003B177A"/>
    <w:rsid w:val="003B29A8"/>
    <w:rsid w:val="003B3443"/>
    <w:rsid w:val="003B37E0"/>
    <w:rsid w:val="003B3ABA"/>
    <w:rsid w:val="003B3AF0"/>
    <w:rsid w:val="003B3E9B"/>
    <w:rsid w:val="003B4C5E"/>
    <w:rsid w:val="003B53FC"/>
    <w:rsid w:val="003B56EB"/>
    <w:rsid w:val="003B594D"/>
    <w:rsid w:val="003B5C1B"/>
    <w:rsid w:val="003B6604"/>
    <w:rsid w:val="003B68A6"/>
    <w:rsid w:val="003B6A95"/>
    <w:rsid w:val="003B6C5E"/>
    <w:rsid w:val="003B7439"/>
    <w:rsid w:val="003B7588"/>
    <w:rsid w:val="003B75FF"/>
    <w:rsid w:val="003B7643"/>
    <w:rsid w:val="003B78A1"/>
    <w:rsid w:val="003B7BB2"/>
    <w:rsid w:val="003B7BEC"/>
    <w:rsid w:val="003B7ECF"/>
    <w:rsid w:val="003C0512"/>
    <w:rsid w:val="003C08FA"/>
    <w:rsid w:val="003C0FD3"/>
    <w:rsid w:val="003C1AC4"/>
    <w:rsid w:val="003C1CB5"/>
    <w:rsid w:val="003C225E"/>
    <w:rsid w:val="003C262E"/>
    <w:rsid w:val="003C2716"/>
    <w:rsid w:val="003C277A"/>
    <w:rsid w:val="003C2900"/>
    <w:rsid w:val="003C2C91"/>
    <w:rsid w:val="003C2D04"/>
    <w:rsid w:val="003C30BB"/>
    <w:rsid w:val="003C3198"/>
    <w:rsid w:val="003C3ADD"/>
    <w:rsid w:val="003C3CB2"/>
    <w:rsid w:val="003C4308"/>
    <w:rsid w:val="003C4940"/>
    <w:rsid w:val="003C4FD5"/>
    <w:rsid w:val="003C5087"/>
    <w:rsid w:val="003C5089"/>
    <w:rsid w:val="003C51FD"/>
    <w:rsid w:val="003C5404"/>
    <w:rsid w:val="003C5BC2"/>
    <w:rsid w:val="003C5EC2"/>
    <w:rsid w:val="003C5F71"/>
    <w:rsid w:val="003C60AF"/>
    <w:rsid w:val="003C677E"/>
    <w:rsid w:val="003C6A93"/>
    <w:rsid w:val="003C6E9A"/>
    <w:rsid w:val="003C722C"/>
    <w:rsid w:val="003C728A"/>
    <w:rsid w:val="003C79FC"/>
    <w:rsid w:val="003C7A4A"/>
    <w:rsid w:val="003C7DA1"/>
    <w:rsid w:val="003D0133"/>
    <w:rsid w:val="003D0435"/>
    <w:rsid w:val="003D057C"/>
    <w:rsid w:val="003D127F"/>
    <w:rsid w:val="003D1511"/>
    <w:rsid w:val="003D161F"/>
    <w:rsid w:val="003D182B"/>
    <w:rsid w:val="003D19B6"/>
    <w:rsid w:val="003D1FC5"/>
    <w:rsid w:val="003D2883"/>
    <w:rsid w:val="003D2DF5"/>
    <w:rsid w:val="003D2E4C"/>
    <w:rsid w:val="003D3001"/>
    <w:rsid w:val="003D30CA"/>
    <w:rsid w:val="003D3669"/>
    <w:rsid w:val="003D3DF2"/>
    <w:rsid w:val="003D48AE"/>
    <w:rsid w:val="003D49BC"/>
    <w:rsid w:val="003D4C9A"/>
    <w:rsid w:val="003D569E"/>
    <w:rsid w:val="003D5E2F"/>
    <w:rsid w:val="003D7076"/>
    <w:rsid w:val="003D7136"/>
    <w:rsid w:val="003D72EC"/>
    <w:rsid w:val="003D73A3"/>
    <w:rsid w:val="003D7F76"/>
    <w:rsid w:val="003E0195"/>
    <w:rsid w:val="003E0CA4"/>
    <w:rsid w:val="003E0D27"/>
    <w:rsid w:val="003E21B4"/>
    <w:rsid w:val="003E21D9"/>
    <w:rsid w:val="003E233B"/>
    <w:rsid w:val="003E324C"/>
    <w:rsid w:val="003E3E4B"/>
    <w:rsid w:val="003E43D1"/>
    <w:rsid w:val="003E44F0"/>
    <w:rsid w:val="003E468B"/>
    <w:rsid w:val="003E468C"/>
    <w:rsid w:val="003E4CB2"/>
    <w:rsid w:val="003E5E14"/>
    <w:rsid w:val="003E64E6"/>
    <w:rsid w:val="003E6DD3"/>
    <w:rsid w:val="003E6FF0"/>
    <w:rsid w:val="003E788A"/>
    <w:rsid w:val="003E7B61"/>
    <w:rsid w:val="003F04E4"/>
    <w:rsid w:val="003F05C7"/>
    <w:rsid w:val="003F0DFE"/>
    <w:rsid w:val="003F111F"/>
    <w:rsid w:val="003F14A6"/>
    <w:rsid w:val="003F182B"/>
    <w:rsid w:val="003F1AED"/>
    <w:rsid w:val="003F1DF0"/>
    <w:rsid w:val="003F1E98"/>
    <w:rsid w:val="003F1FDB"/>
    <w:rsid w:val="003F310D"/>
    <w:rsid w:val="003F35CB"/>
    <w:rsid w:val="003F3619"/>
    <w:rsid w:val="003F379F"/>
    <w:rsid w:val="003F3B86"/>
    <w:rsid w:val="003F4657"/>
    <w:rsid w:val="003F544B"/>
    <w:rsid w:val="003F5799"/>
    <w:rsid w:val="003F607B"/>
    <w:rsid w:val="003F622D"/>
    <w:rsid w:val="003F6B3F"/>
    <w:rsid w:val="003F76FD"/>
    <w:rsid w:val="003F7989"/>
    <w:rsid w:val="003F7D58"/>
    <w:rsid w:val="003F7F80"/>
    <w:rsid w:val="00400054"/>
    <w:rsid w:val="0040031D"/>
    <w:rsid w:val="00401379"/>
    <w:rsid w:val="0040153E"/>
    <w:rsid w:val="00401547"/>
    <w:rsid w:val="00401CD6"/>
    <w:rsid w:val="00401E61"/>
    <w:rsid w:val="0040263B"/>
    <w:rsid w:val="004026BE"/>
    <w:rsid w:val="004026E8"/>
    <w:rsid w:val="004028E6"/>
    <w:rsid w:val="00402CAC"/>
    <w:rsid w:val="00402FA5"/>
    <w:rsid w:val="00403BBA"/>
    <w:rsid w:val="00403F17"/>
    <w:rsid w:val="00404101"/>
    <w:rsid w:val="00404193"/>
    <w:rsid w:val="00404E70"/>
    <w:rsid w:val="004051A7"/>
    <w:rsid w:val="00405685"/>
    <w:rsid w:val="00405F75"/>
    <w:rsid w:val="0040665A"/>
    <w:rsid w:val="00407AAC"/>
    <w:rsid w:val="00407DCD"/>
    <w:rsid w:val="00407E8A"/>
    <w:rsid w:val="00407E9B"/>
    <w:rsid w:val="004103F9"/>
    <w:rsid w:val="00410BB0"/>
    <w:rsid w:val="004115D0"/>
    <w:rsid w:val="0041214E"/>
    <w:rsid w:val="00412ED6"/>
    <w:rsid w:val="00412FAA"/>
    <w:rsid w:val="0041361A"/>
    <w:rsid w:val="00413625"/>
    <w:rsid w:val="00413AE1"/>
    <w:rsid w:val="004144E3"/>
    <w:rsid w:val="0041498A"/>
    <w:rsid w:val="00414A3A"/>
    <w:rsid w:val="00414D08"/>
    <w:rsid w:val="00414F4F"/>
    <w:rsid w:val="00415389"/>
    <w:rsid w:val="00415535"/>
    <w:rsid w:val="004158D6"/>
    <w:rsid w:val="0041612A"/>
    <w:rsid w:val="00416506"/>
    <w:rsid w:val="00416583"/>
    <w:rsid w:val="004169B7"/>
    <w:rsid w:val="00416BDB"/>
    <w:rsid w:val="00416C06"/>
    <w:rsid w:val="00417076"/>
    <w:rsid w:val="0041765F"/>
    <w:rsid w:val="004201EB"/>
    <w:rsid w:val="004208EC"/>
    <w:rsid w:val="00420F5A"/>
    <w:rsid w:val="00421223"/>
    <w:rsid w:val="0042132E"/>
    <w:rsid w:val="004213BC"/>
    <w:rsid w:val="00421721"/>
    <w:rsid w:val="00421928"/>
    <w:rsid w:val="00422374"/>
    <w:rsid w:val="00422964"/>
    <w:rsid w:val="00422A4E"/>
    <w:rsid w:val="0042301B"/>
    <w:rsid w:val="00424D30"/>
    <w:rsid w:val="00424E8B"/>
    <w:rsid w:val="00425335"/>
    <w:rsid w:val="0042564E"/>
    <w:rsid w:val="004264AD"/>
    <w:rsid w:val="00426798"/>
    <w:rsid w:val="00426857"/>
    <w:rsid w:val="00426931"/>
    <w:rsid w:val="00426F7C"/>
    <w:rsid w:val="004271B1"/>
    <w:rsid w:val="004275BB"/>
    <w:rsid w:val="00427A45"/>
    <w:rsid w:val="00427B7D"/>
    <w:rsid w:val="004305C1"/>
    <w:rsid w:val="004308DF"/>
    <w:rsid w:val="00430C68"/>
    <w:rsid w:val="004311BD"/>
    <w:rsid w:val="00431C88"/>
    <w:rsid w:val="00431E16"/>
    <w:rsid w:val="00431EC2"/>
    <w:rsid w:val="00431F45"/>
    <w:rsid w:val="0043256C"/>
    <w:rsid w:val="00432866"/>
    <w:rsid w:val="00432BA1"/>
    <w:rsid w:val="00432C71"/>
    <w:rsid w:val="0043398F"/>
    <w:rsid w:val="00433FB9"/>
    <w:rsid w:val="0043459D"/>
    <w:rsid w:val="00434964"/>
    <w:rsid w:val="00434A63"/>
    <w:rsid w:val="00434A90"/>
    <w:rsid w:val="00434B7C"/>
    <w:rsid w:val="00434DAE"/>
    <w:rsid w:val="00434F8D"/>
    <w:rsid w:val="004360BE"/>
    <w:rsid w:val="00436357"/>
    <w:rsid w:val="004363FF"/>
    <w:rsid w:val="00436ADD"/>
    <w:rsid w:val="00436B95"/>
    <w:rsid w:val="00436BD7"/>
    <w:rsid w:val="00437185"/>
    <w:rsid w:val="0043725B"/>
    <w:rsid w:val="004375F0"/>
    <w:rsid w:val="00437A50"/>
    <w:rsid w:val="00437C8F"/>
    <w:rsid w:val="00440109"/>
    <w:rsid w:val="0044033E"/>
    <w:rsid w:val="0044053B"/>
    <w:rsid w:val="00440A3F"/>
    <w:rsid w:val="00441822"/>
    <w:rsid w:val="004418A1"/>
    <w:rsid w:val="00441D15"/>
    <w:rsid w:val="004421E5"/>
    <w:rsid w:val="004422E3"/>
    <w:rsid w:val="00442859"/>
    <w:rsid w:val="004430A3"/>
    <w:rsid w:val="00443C2C"/>
    <w:rsid w:val="00443C50"/>
    <w:rsid w:val="00443CB8"/>
    <w:rsid w:val="00443DC9"/>
    <w:rsid w:val="00443F8E"/>
    <w:rsid w:val="00444202"/>
    <w:rsid w:val="00444E9E"/>
    <w:rsid w:val="00444F00"/>
    <w:rsid w:val="00445060"/>
    <w:rsid w:val="0044507F"/>
    <w:rsid w:val="0044572A"/>
    <w:rsid w:val="00445BB1"/>
    <w:rsid w:val="00445FC7"/>
    <w:rsid w:val="00446278"/>
    <w:rsid w:val="0044675A"/>
    <w:rsid w:val="0044685C"/>
    <w:rsid w:val="0044693A"/>
    <w:rsid w:val="00446A16"/>
    <w:rsid w:val="00447601"/>
    <w:rsid w:val="00447FC4"/>
    <w:rsid w:val="00450254"/>
    <w:rsid w:val="00450A3E"/>
    <w:rsid w:val="004510A0"/>
    <w:rsid w:val="004516AC"/>
    <w:rsid w:val="00451AF5"/>
    <w:rsid w:val="00452334"/>
    <w:rsid w:val="0045256F"/>
    <w:rsid w:val="00452B37"/>
    <w:rsid w:val="00452DEF"/>
    <w:rsid w:val="00453050"/>
    <w:rsid w:val="004530F4"/>
    <w:rsid w:val="004532CA"/>
    <w:rsid w:val="0045387F"/>
    <w:rsid w:val="00453CAD"/>
    <w:rsid w:val="00453DB7"/>
    <w:rsid w:val="00453FE1"/>
    <w:rsid w:val="00453FF5"/>
    <w:rsid w:val="00454355"/>
    <w:rsid w:val="00454576"/>
    <w:rsid w:val="004546BB"/>
    <w:rsid w:val="00454801"/>
    <w:rsid w:val="0045489F"/>
    <w:rsid w:val="004558EC"/>
    <w:rsid w:val="0045759A"/>
    <w:rsid w:val="00457AD1"/>
    <w:rsid w:val="00457AE0"/>
    <w:rsid w:val="00457CFA"/>
    <w:rsid w:val="00457ED0"/>
    <w:rsid w:val="004601B1"/>
    <w:rsid w:val="00461420"/>
    <w:rsid w:val="00461479"/>
    <w:rsid w:val="004614DA"/>
    <w:rsid w:val="0046178F"/>
    <w:rsid w:val="004618A0"/>
    <w:rsid w:val="00461C8E"/>
    <w:rsid w:val="0046279B"/>
    <w:rsid w:val="004627BB"/>
    <w:rsid w:val="0046298C"/>
    <w:rsid w:val="00462B54"/>
    <w:rsid w:val="00463133"/>
    <w:rsid w:val="004632F4"/>
    <w:rsid w:val="0046364A"/>
    <w:rsid w:val="004636DB"/>
    <w:rsid w:val="00465096"/>
    <w:rsid w:val="00465B75"/>
    <w:rsid w:val="00465D8B"/>
    <w:rsid w:val="00465E2C"/>
    <w:rsid w:val="00465FA8"/>
    <w:rsid w:val="0046639F"/>
    <w:rsid w:val="00467183"/>
    <w:rsid w:val="00467C1A"/>
    <w:rsid w:val="0047015E"/>
    <w:rsid w:val="004701EF"/>
    <w:rsid w:val="0047024F"/>
    <w:rsid w:val="0047055F"/>
    <w:rsid w:val="00470670"/>
    <w:rsid w:val="00470C0C"/>
    <w:rsid w:val="0047194D"/>
    <w:rsid w:val="0047197B"/>
    <w:rsid w:val="00471A78"/>
    <w:rsid w:val="00472C4E"/>
    <w:rsid w:val="00472F91"/>
    <w:rsid w:val="00473511"/>
    <w:rsid w:val="00474639"/>
    <w:rsid w:val="0047467E"/>
    <w:rsid w:val="0047496D"/>
    <w:rsid w:val="00474DD1"/>
    <w:rsid w:val="00475ACF"/>
    <w:rsid w:val="00475D0C"/>
    <w:rsid w:val="00476C30"/>
    <w:rsid w:val="00476DAC"/>
    <w:rsid w:val="00476F55"/>
    <w:rsid w:val="004770C1"/>
    <w:rsid w:val="0047741C"/>
    <w:rsid w:val="00477861"/>
    <w:rsid w:val="00477B5B"/>
    <w:rsid w:val="00477B90"/>
    <w:rsid w:val="00477D95"/>
    <w:rsid w:val="00480004"/>
    <w:rsid w:val="00480D2F"/>
    <w:rsid w:val="00480E7C"/>
    <w:rsid w:val="00481538"/>
    <w:rsid w:val="00481654"/>
    <w:rsid w:val="00481B72"/>
    <w:rsid w:val="00481EF1"/>
    <w:rsid w:val="00482044"/>
    <w:rsid w:val="0048206F"/>
    <w:rsid w:val="004820C0"/>
    <w:rsid w:val="004824A5"/>
    <w:rsid w:val="00482BB4"/>
    <w:rsid w:val="0048358D"/>
    <w:rsid w:val="00483D5C"/>
    <w:rsid w:val="004840A3"/>
    <w:rsid w:val="004843D4"/>
    <w:rsid w:val="004844CB"/>
    <w:rsid w:val="00484819"/>
    <w:rsid w:val="004856C8"/>
    <w:rsid w:val="00485746"/>
    <w:rsid w:val="0048616D"/>
    <w:rsid w:val="004868D8"/>
    <w:rsid w:val="00486C3F"/>
    <w:rsid w:val="00486F04"/>
    <w:rsid w:val="00486F0A"/>
    <w:rsid w:val="00487979"/>
    <w:rsid w:val="00491B89"/>
    <w:rsid w:val="004922D4"/>
    <w:rsid w:val="0049287A"/>
    <w:rsid w:val="00492D8B"/>
    <w:rsid w:val="0049303C"/>
    <w:rsid w:val="00493689"/>
    <w:rsid w:val="004936B0"/>
    <w:rsid w:val="00494B40"/>
    <w:rsid w:val="00494B7B"/>
    <w:rsid w:val="00494DC0"/>
    <w:rsid w:val="00494F0D"/>
    <w:rsid w:val="004951E7"/>
    <w:rsid w:val="00495246"/>
    <w:rsid w:val="004955A6"/>
    <w:rsid w:val="00495E08"/>
    <w:rsid w:val="00496247"/>
    <w:rsid w:val="00496BA3"/>
    <w:rsid w:val="00497416"/>
    <w:rsid w:val="00497E3F"/>
    <w:rsid w:val="004A09E6"/>
    <w:rsid w:val="004A0A81"/>
    <w:rsid w:val="004A0F9F"/>
    <w:rsid w:val="004A1274"/>
    <w:rsid w:val="004A1275"/>
    <w:rsid w:val="004A1DA1"/>
    <w:rsid w:val="004A2081"/>
    <w:rsid w:val="004A262A"/>
    <w:rsid w:val="004A28F8"/>
    <w:rsid w:val="004A29A4"/>
    <w:rsid w:val="004A2EDA"/>
    <w:rsid w:val="004A36C8"/>
    <w:rsid w:val="004A4314"/>
    <w:rsid w:val="004A4CB9"/>
    <w:rsid w:val="004A51E2"/>
    <w:rsid w:val="004A5AF3"/>
    <w:rsid w:val="004A5B90"/>
    <w:rsid w:val="004A6453"/>
    <w:rsid w:val="004A6902"/>
    <w:rsid w:val="004A69E3"/>
    <w:rsid w:val="004A79F9"/>
    <w:rsid w:val="004A7B30"/>
    <w:rsid w:val="004A7E03"/>
    <w:rsid w:val="004A7E75"/>
    <w:rsid w:val="004B0578"/>
    <w:rsid w:val="004B05F0"/>
    <w:rsid w:val="004B09E0"/>
    <w:rsid w:val="004B0D06"/>
    <w:rsid w:val="004B0DAD"/>
    <w:rsid w:val="004B11FE"/>
    <w:rsid w:val="004B16E8"/>
    <w:rsid w:val="004B1745"/>
    <w:rsid w:val="004B1FFA"/>
    <w:rsid w:val="004B2209"/>
    <w:rsid w:val="004B2D11"/>
    <w:rsid w:val="004B3089"/>
    <w:rsid w:val="004B332F"/>
    <w:rsid w:val="004B336F"/>
    <w:rsid w:val="004B3F32"/>
    <w:rsid w:val="004B4485"/>
    <w:rsid w:val="004B4918"/>
    <w:rsid w:val="004B4A6A"/>
    <w:rsid w:val="004B5052"/>
    <w:rsid w:val="004B52F9"/>
    <w:rsid w:val="004B58A7"/>
    <w:rsid w:val="004B5AB3"/>
    <w:rsid w:val="004B5D08"/>
    <w:rsid w:val="004B623E"/>
    <w:rsid w:val="004B657C"/>
    <w:rsid w:val="004B6590"/>
    <w:rsid w:val="004B6A5A"/>
    <w:rsid w:val="004B6DE9"/>
    <w:rsid w:val="004B6F26"/>
    <w:rsid w:val="004B7DAB"/>
    <w:rsid w:val="004C0531"/>
    <w:rsid w:val="004C0854"/>
    <w:rsid w:val="004C09A3"/>
    <w:rsid w:val="004C0D58"/>
    <w:rsid w:val="004C10EF"/>
    <w:rsid w:val="004C1277"/>
    <w:rsid w:val="004C14E3"/>
    <w:rsid w:val="004C1686"/>
    <w:rsid w:val="004C1FC9"/>
    <w:rsid w:val="004C2155"/>
    <w:rsid w:val="004C2EBC"/>
    <w:rsid w:val="004C309F"/>
    <w:rsid w:val="004C314A"/>
    <w:rsid w:val="004C3865"/>
    <w:rsid w:val="004C3FDC"/>
    <w:rsid w:val="004C42C5"/>
    <w:rsid w:val="004C4338"/>
    <w:rsid w:val="004C5076"/>
    <w:rsid w:val="004C573D"/>
    <w:rsid w:val="004C5BC0"/>
    <w:rsid w:val="004C5FB0"/>
    <w:rsid w:val="004C63D4"/>
    <w:rsid w:val="004C6532"/>
    <w:rsid w:val="004C662F"/>
    <w:rsid w:val="004C6CE2"/>
    <w:rsid w:val="004C7DF2"/>
    <w:rsid w:val="004D00E6"/>
    <w:rsid w:val="004D01E5"/>
    <w:rsid w:val="004D0934"/>
    <w:rsid w:val="004D09DA"/>
    <w:rsid w:val="004D0C60"/>
    <w:rsid w:val="004D0D38"/>
    <w:rsid w:val="004D1BBB"/>
    <w:rsid w:val="004D1E07"/>
    <w:rsid w:val="004D2000"/>
    <w:rsid w:val="004D2E4D"/>
    <w:rsid w:val="004D33D7"/>
    <w:rsid w:val="004D34C5"/>
    <w:rsid w:val="004D39C2"/>
    <w:rsid w:val="004D3E80"/>
    <w:rsid w:val="004D49C7"/>
    <w:rsid w:val="004D4C4D"/>
    <w:rsid w:val="004D4EAA"/>
    <w:rsid w:val="004D553D"/>
    <w:rsid w:val="004D569F"/>
    <w:rsid w:val="004D5AB7"/>
    <w:rsid w:val="004D6A14"/>
    <w:rsid w:val="004D6CC5"/>
    <w:rsid w:val="004D6F4A"/>
    <w:rsid w:val="004D7053"/>
    <w:rsid w:val="004D7176"/>
    <w:rsid w:val="004D7C1A"/>
    <w:rsid w:val="004D7CD3"/>
    <w:rsid w:val="004E00C5"/>
    <w:rsid w:val="004E0453"/>
    <w:rsid w:val="004E083E"/>
    <w:rsid w:val="004E08BA"/>
    <w:rsid w:val="004E0B7E"/>
    <w:rsid w:val="004E0F47"/>
    <w:rsid w:val="004E1E93"/>
    <w:rsid w:val="004E1FF0"/>
    <w:rsid w:val="004E2047"/>
    <w:rsid w:val="004E255A"/>
    <w:rsid w:val="004E27C9"/>
    <w:rsid w:val="004E2F2C"/>
    <w:rsid w:val="004E31A2"/>
    <w:rsid w:val="004E352A"/>
    <w:rsid w:val="004E3EC8"/>
    <w:rsid w:val="004E4040"/>
    <w:rsid w:val="004E4349"/>
    <w:rsid w:val="004E4B92"/>
    <w:rsid w:val="004E558C"/>
    <w:rsid w:val="004E5682"/>
    <w:rsid w:val="004E5708"/>
    <w:rsid w:val="004E5B14"/>
    <w:rsid w:val="004E5D86"/>
    <w:rsid w:val="004E614B"/>
    <w:rsid w:val="004E61E7"/>
    <w:rsid w:val="004E69E9"/>
    <w:rsid w:val="004E6C31"/>
    <w:rsid w:val="004E6DF5"/>
    <w:rsid w:val="004E76FD"/>
    <w:rsid w:val="004E7810"/>
    <w:rsid w:val="004E7D05"/>
    <w:rsid w:val="004F06DD"/>
    <w:rsid w:val="004F0B18"/>
    <w:rsid w:val="004F0EDB"/>
    <w:rsid w:val="004F105E"/>
    <w:rsid w:val="004F169A"/>
    <w:rsid w:val="004F1892"/>
    <w:rsid w:val="004F1904"/>
    <w:rsid w:val="004F1E9B"/>
    <w:rsid w:val="004F1F11"/>
    <w:rsid w:val="004F21B9"/>
    <w:rsid w:val="004F2246"/>
    <w:rsid w:val="004F241B"/>
    <w:rsid w:val="004F2A8D"/>
    <w:rsid w:val="004F33BE"/>
    <w:rsid w:val="004F34A1"/>
    <w:rsid w:val="004F3554"/>
    <w:rsid w:val="004F3852"/>
    <w:rsid w:val="004F4020"/>
    <w:rsid w:val="004F40E8"/>
    <w:rsid w:val="004F4ED3"/>
    <w:rsid w:val="004F4F20"/>
    <w:rsid w:val="004F4FE2"/>
    <w:rsid w:val="004F586E"/>
    <w:rsid w:val="004F5B51"/>
    <w:rsid w:val="004F61CF"/>
    <w:rsid w:val="004F62C4"/>
    <w:rsid w:val="004F6AE4"/>
    <w:rsid w:val="004F6C93"/>
    <w:rsid w:val="004F6F96"/>
    <w:rsid w:val="004F709C"/>
    <w:rsid w:val="004F70E9"/>
    <w:rsid w:val="004F71D5"/>
    <w:rsid w:val="004F72AC"/>
    <w:rsid w:val="004F75FC"/>
    <w:rsid w:val="004F7AD5"/>
    <w:rsid w:val="004F7D25"/>
    <w:rsid w:val="00500317"/>
    <w:rsid w:val="00500697"/>
    <w:rsid w:val="005009D9"/>
    <w:rsid w:val="005011FE"/>
    <w:rsid w:val="00501231"/>
    <w:rsid w:val="0050126D"/>
    <w:rsid w:val="00501E30"/>
    <w:rsid w:val="00501F0A"/>
    <w:rsid w:val="0050210F"/>
    <w:rsid w:val="0050219E"/>
    <w:rsid w:val="00502ABC"/>
    <w:rsid w:val="00502DD4"/>
    <w:rsid w:val="005035B9"/>
    <w:rsid w:val="00503830"/>
    <w:rsid w:val="005038D8"/>
    <w:rsid w:val="00503C0B"/>
    <w:rsid w:val="00503C74"/>
    <w:rsid w:val="00503C79"/>
    <w:rsid w:val="00503E20"/>
    <w:rsid w:val="005040A9"/>
    <w:rsid w:val="00504220"/>
    <w:rsid w:val="005058D4"/>
    <w:rsid w:val="0050597D"/>
    <w:rsid w:val="00505CCB"/>
    <w:rsid w:val="005065DB"/>
    <w:rsid w:val="00506B54"/>
    <w:rsid w:val="00506ED9"/>
    <w:rsid w:val="00510B86"/>
    <w:rsid w:val="0051116F"/>
    <w:rsid w:val="00511C53"/>
    <w:rsid w:val="00511ED0"/>
    <w:rsid w:val="00512207"/>
    <w:rsid w:val="005122F8"/>
    <w:rsid w:val="0051235C"/>
    <w:rsid w:val="00512CCF"/>
    <w:rsid w:val="00512F8F"/>
    <w:rsid w:val="00513282"/>
    <w:rsid w:val="00513743"/>
    <w:rsid w:val="00513F3F"/>
    <w:rsid w:val="005145B1"/>
    <w:rsid w:val="005147CD"/>
    <w:rsid w:val="005150DE"/>
    <w:rsid w:val="005153B4"/>
    <w:rsid w:val="00515AD1"/>
    <w:rsid w:val="00515E64"/>
    <w:rsid w:val="0051644D"/>
    <w:rsid w:val="005167C9"/>
    <w:rsid w:val="005167D7"/>
    <w:rsid w:val="005177B5"/>
    <w:rsid w:val="00520312"/>
    <w:rsid w:val="00520FA9"/>
    <w:rsid w:val="0052118C"/>
    <w:rsid w:val="00521C8B"/>
    <w:rsid w:val="0052219E"/>
    <w:rsid w:val="0052268E"/>
    <w:rsid w:val="00522B02"/>
    <w:rsid w:val="005234C0"/>
    <w:rsid w:val="00524180"/>
    <w:rsid w:val="0052445D"/>
    <w:rsid w:val="005247ED"/>
    <w:rsid w:val="00524B70"/>
    <w:rsid w:val="00524C8C"/>
    <w:rsid w:val="0052594F"/>
    <w:rsid w:val="0052669D"/>
    <w:rsid w:val="00526B9F"/>
    <w:rsid w:val="00526DCD"/>
    <w:rsid w:val="00527C04"/>
    <w:rsid w:val="00527DD1"/>
    <w:rsid w:val="00530BCB"/>
    <w:rsid w:val="00530D3D"/>
    <w:rsid w:val="005310DB"/>
    <w:rsid w:val="00531B4F"/>
    <w:rsid w:val="00531F06"/>
    <w:rsid w:val="00532217"/>
    <w:rsid w:val="0053244B"/>
    <w:rsid w:val="005328EB"/>
    <w:rsid w:val="005329E9"/>
    <w:rsid w:val="00532DDA"/>
    <w:rsid w:val="0053323A"/>
    <w:rsid w:val="0053369F"/>
    <w:rsid w:val="00533A37"/>
    <w:rsid w:val="00533AB7"/>
    <w:rsid w:val="00533CB6"/>
    <w:rsid w:val="00533EBE"/>
    <w:rsid w:val="00533F8A"/>
    <w:rsid w:val="00534042"/>
    <w:rsid w:val="005343F1"/>
    <w:rsid w:val="00534476"/>
    <w:rsid w:val="0053453B"/>
    <w:rsid w:val="005346FE"/>
    <w:rsid w:val="00534A1E"/>
    <w:rsid w:val="00534E42"/>
    <w:rsid w:val="005352B5"/>
    <w:rsid w:val="0053623B"/>
    <w:rsid w:val="0053631F"/>
    <w:rsid w:val="0053639F"/>
    <w:rsid w:val="00536613"/>
    <w:rsid w:val="00536734"/>
    <w:rsid w:val="00536994"/>
    <w:rsid w:val="00536DA1"/>
    <w:rsid w:val="00537D0A"/>
    <w:rsid w:val="00537E36"/>
    <w:rsid w:val="00537E81"/>
    <w:rsid w:val="005403E6"/>
    <w:rsid w:val="00540451"/>
    <w:rsid w:val="005409B6"/>
    <w:rsid w:val="0054135F"/>
    <w:rsid w:val="00541A2D"/>
    <w:rsid w:val="00541F7F"/>
    <w:rsid w:val="00542942"/>
    <w:rsid w:val="00542C64"/>
    <w:rsid w:val="005442EE"/>
    <w:rsid w:val="00544591"/>
    <w:rsid w:val="00544D2F"/>
    <w:rsid w:val="00544D55"/>
    <w:rsid w:val="005454BB"/>
    <w:rsid w:val="0054551C"/>
    <w:rsid w:val="005457F6"/>
    <w:rsid w:val="0054651A"/>
    <w:rsid w:val="005465B2"/>
    <w:rsid w:val="0054665B"/>
    <w:rsid w:val="00546768"/>
    <w:rsid w:val="005472A1"/>
    <w:rsid w:val="005477BF"/>
    <w:rsid w:val="005479DE"/>
    <w:rsid w:val="005506DB"/>
    <w:rsid w:val="005508D7"/>
    <w:rsid w:val="005509D1"/>
    <w:rsid w:val="00550AA8"/>
    <w:rsid w:val="00550EA0"/>
    <w:rsid w:val="00551714"/>
    <w:rsid w:val="005517F1"/>
    <w:rsid w:val="00551A4F"/>
    <w:rsid w:val="00552A07"/>
    <w:rsid w:val="00552F6B"/>
    <w:rsid w:val="005534DE"/>
    <w:rsid w:val="0055376D"/>
    <w:rsid w:val="0055459E"/>
    <w:rsid w:val="005546C1"/>
    <w:rsid w:val="005546E5"/>
    <w:rsid w:val="0055481A"/>
    <w:rsid w:val="00554ADD"/>
    <w:rsid w:val="0055508B"/>
    <w:rsid w:val="005556BC"/>
    <w:rsid w:val="00555C74"/>
    <w:rsid w:val="00555CEF"/>
    <w:rsid w:val="00555CFC"/>
    <w:rsid w:val="0055617D"/>
    <w:rsid w:val="00556BFB"/>
    <w:rsid w:val="005572EE"/>
    <w:rsid w:val="00557553"/>
    <w:rsid w:val="005578ED"/>
    <w:rsid w:val="00560705"/>
    <w:rsid w:val="005609D1"/>
    <w:rsid w:val="0056106D"/>
    <w:rsid w:val="00561256"/>
    <w:rsid w:val="005612D7"/>
    <w:rsid w:val="0056149E"/>
    <w:rsid w:val="00561A52"/>
    <w:rsid w:val="00562028"/>
    <w:rsid w:val="0056212B"/>
    <w:rsid w:val="005623CA"/>
    <w:rsid w:val="00562C31"/>
    <w:rsid w:val="00562FE5"/>
    <w:rsid w:val="00563294"/>
    <w:rsid w:val="00563667"/>
    <w:rsid w:val="00563DF9"/>
    <w:rsid w:val="0056467A"/>
    <w:rsid w:val="00564972"/>
    <w:rsid w:val="00564AC9"/>
    <w:rsid w:val="00564DD2"/>
    <w:rsid w:val="0056526B"/>
    <w:rsid w:val="005657F7"/>
    <w:rsid w:val="005660F9"/>
    <w:rsid w:val="00566117"/>
    <w:rsid w:val="00567D2E"/>
    <w:rsid w:val="005700C7"/>
    <w:rsid w:val="0057023A"/>
    <w:rsid w:val="005703B9"/>
    <w:rsid w:val="00570539"/>
    <w:rsid w:val="0057085D"/>
    <w:rsid w:val="00570AD4"/>
    <w:rsid w:val="00570B12"/>
    <w:rsid w:val="00570E87"/>
    <w:rsid w:val="00571270"/>
    <w:rsid w:val="00571612"/>
    <w:rsid w:val="005719C6"/>
    <w:rsid w:val="00571CFF"/>
    <w:rsid w:val="00571D7F"/>
    <w:rsid w:val="00572140"/>
    <w:rsid w:val="005721C8"/>
    <w:rsid w:val="00572BAD"/>
    <w:rsid w:val="005737D9"/>
    <w:rsid w:val="00573AA9"/>
    <w:rsid w:val="00573B06"/>
    <w:rsid w:val="00573BF1"/>
    <w:rsid w:val="0057429C"/>
    <w:rsid w:val="005743C5"/>
    <w:rsid w:val="005745AE"/>
    <w:rsid w:val="00574F49"/>
    <w:rsid w:val="00575197"/>
    <w:rsid w:val="00575A60"/>
    <w:rsid w:val="00575CEE"/>
    <w:rsid w:val="00576411"/>
    <w:rsid w:val="00576710"/>
    <w:rsid w:val="00576AC9"/>
    <w:rsid w:val="00576F35"/>
    <w:rsid w:val="00577276"/>
    <w:rsid w:val="00580C48"/>
    <w:rsid w:val="00581AF9"/>
    <w:rsid w:val="00581C18"/>
    <w:rsid w:val="00581F39"/>
    <w:rsid w:val="0058282E"/>
    <w:rsid w:val="005828C1"/>
    <w:rsid w:val="00582F25"/>
    <w:rsid w:val="00583339"/>
    <w:rsid w:val="0058345A"/>
    <w:rsid w:val="0058370F"/>
    <w:rsid w:val="00583814"/>
    <w:rsid w:val="005838C4"/>
    <w:rsid w:val="0058399A"/>
    <w:rsid w:val="00583A39"/>
    <w:rsid w:val="00583AD3"/>
    <w:rsid w:val="00583F56"/>
    <w:rsid w:val="0058412C"/>
    <w:rsid w:val="00584736"/>
    <w:rsid w:val="005847F7"/>
    <w:rsid w:val="005850DC"/>
    <w:rsid w:val="005851E2"/>
    <w:rsid w:val="00585274"/>
    <w:rsid w:val="005856E3"/>
    <w:rsid w:val="00585BDA"/>
    <w:rsid w:val="00585BE9"/>
    <w:rsid w:val="00586221"/>
    <w:rsid w:val="00586582"/>
    <w:rsid w:val="005868B3"/>
    <w:rsid w:val="0058698B"/>
    <w:rsid w:val="0058770F"/>
    <w:rsid w:val="00587FC2"/>
    <w:rsid w:val="0059048B"/>
    <w:rsid w:val="005911BC"/>
    <w:rsid w:val="0059155F"/>
    <w:rsid w:val="00591566"/>
    <w:rsid w:val="0059237A"/>
    <w:rsid w:val="005924E5"/>
    <w:rsid w:val="0059259B"/>
    <w:rsid w:val="00592724"/>
    <w:rsid w:val="005927FB"/>
    <w:rsid w:val="00592C35"/>
    <w:rsid w:val="0059347F"/>
    <w:rsid w:val="00593D91"/>
    <w:rsid w:val="00593E9A"/>
    <w:rsid w:val="00593F37"/>
    <w:rsid w:val="00594043"/>
    <w:rsid w:val="005944A5"/>
    <w:rsid w:val="00594B95"/>
    <w:rsid w:val="00594BA5"/>
    <w:rsid w:val="0059518D"/>
    <w:rsid w:val="00595F47"/>
    <w:rsid w:val="00595FB7"/>
    <w:rsid w:val="00596421"/>
    <w:rsid w:val="005969A6"/>
    <w:rsid w:val="00596B74"/>
    <w:rsid w:val="00596FBD"/>
    <w:rsid w:val="005970E9"/>
    <w:rsid w:val="0059772D"/>
    <w:rsid w:val="00597946"/>
    <w:rsid w:val="00597CE0"/>
    <w:rsid w:val="005A00E1"/>
    <w:rsid w:val="005A08A3"/>
    <w:rsid w:val="005A0BA0"/>
    <w:rsid w:val="005A1100"/>
    <w:rsid w:val="005A309B"/>
    <w:rsid w:val="005A3231"/>
    <w:rsid w:val="005A3880"/>
    <w:rsid w:val="005A392E"/>
    <w:rsid w:val="005A3C4F"/>
    <w:rsid w:val="005A41EC"/>
    <w:rsid w:val="005A43D1"/>
    <w:rsid w:val="005A460D"/>
    <w:rsid w:val="005A4D91"/>
    <w:rsid w:val="005A5369"/>
    <w:rsid w:val="005A5562"/>
    <w:rsid w:val="005A569D"/>
    <w:rsid w:val="005A5A67"/>
    <w:rsid w:val="005A5CA5"/>
    <w:rsid w:val="005A6781"/>
    <w:rsid w:val="005A6AE0"/>
    <w:rsid w:val="005A6AFC"/>
    <w:rsid w:val="005A6DEA"/>
    <w:rsid w:val="005A6F27"/>
    <w:rsid w:val="005A6FFF"/>
    <w:rsid w:val="005A7331"/>
    <w:rsid w:val="005A7401"/>
    <w:rsid w:val="005A7404"/>
    <w:rsid w:val="005A7678"/>
    <w:rsid w:val="005A78BE"/>
    <w:rsid w:val="005A7D9A"/>
    <w:rsid w:val="005B074B"/>
    <w:rsid w:val="005B07D5"/>
    <w:rsid w:val="005B0BC6"/>
    <w:rsid w:val="005B11A9"/>
    <w:rsid w:val="005B1305"/>
    <w:rsid w:val="005B13E3"/>
    <w:rsid w:val="005B1A42"/>
    <w:rsid w:val="005B1CED"/>
    <w:rsid w:val="005B208F"/>
    <w:rsid w:val="005B258A"/>
    <w:rsid w:val="005B26B7"/>
    <w:rsid w:val="005B27B3"/>
    <w:rsid w:val="005B2E72"/>
    <w:rsid w:val="005B30D7"/>
    <w:rsid w:val="005B3155"/>
    <w:rsid w:val="005B3247"/>
    <w:rsid w:val="005B352D"/>
    <w:rsid w:val="005B35DF"/>
    <w:rsid w:val="005B38A8"/>
    <w:rsid w:val="005B3F32"/>
    <w:rsid w:val="005B4321"/>
    <w:rsid w:val="005B470D"/>
    <w:rsid w:val="005B47C7"/>
    <w:rsid w:val="005B4AF9"/>
    <w:rsid w:val="005B50E6"/>
    <w:rsid w:val="005B5508"/>
    <w:rsid w:val="005B59AF"/>
    <w:rsid w:val="005B5B96"/>
    <w:rsid w:val="005B5E09"/>
    <w:rsid w:val="005B5E94"/>
    <w:rsid w:val="005B60E3"/>
    <w:rsid w:val="005B6328"/>
    <w:rsid w:val="005B6407"/>
    <w:rsid w:val="005B6D9B"/>
    <w:rsid w:val="005B79BD"/>
    <w:rsid w:val="005B7BF4"/>
    <w:rsid w:val="005B7E0F"/>
    <w:rsid w:val="005B7E50"/>
    <w:rsid w:val="005C0182"/>
    <w:rsid w:val="005C05E1"/>
    <w:rsid w:val="005C06E8"/>
    <w:rsid w:val="005C087C"/>
    <w:rsid w:val="005C08B1"/>
    <w:rsid w:val="005C0E04"/>
    <w:rsid w:val="005C0ED0"/>
    <w:rsid w:val="005C2950"/>
    <w:rsid w:val="005C2D49"/>
    <w:rsid w:val="005C301F"/>
    <w:rsid w:val="005C3483"/>
    <w:rsid w:val="005C3A06"/>
    <w:rsid w:val="005C3A37"/>
    <w:rsid w:val="005C3B7B"/>
    <w:rsid w:val="005C3D7F"/>
    <w:rsid w:val="005C40C6"/>
    <w:rsid w:val="005C41E3"/>
    <w:rsid w:val="005C45CE"/>
    <w:rsid w:val="005C4D78"/>
    <w:rsid w:val="005C5287"/>
    <w:rsid w:val="005C5924"/>
    <w:rsid w:val="005C6005"/>
    <w:rsid w:val="005C6075"/>
    <w:rsid w:val="005C7687"/>
    <w:rsid w:val="005C7AFC"/>
    <w:rsid w:val="005C7B05"/>
    <w:rsid w:val="005C7FC8"/>
    <w:rsid w:val="005D00E5"/>
    <w:rsid w:val="005D0D9C"/>
    <w:rsid w:val="005D1760"/>
    <w:rsid w:val="005D1BBA"/>
    <w:rsid w:val="005D1DB6"/>
    <w:rsid w:val="005D1EAF"/>
    <w:rsid w:val="005D2E00"/>
    <w:rsid w:val="005D3166"/>
    <w:rsid w:val="005D361E"/>
    <w:rsid w:val="005D37E9"/>
    <w:rsid w:val="005D3AD4"/>
    <w:rsid w:val="005D4043"/>
    <w:rsid w:val="005D4F46"/>
    <w:rsid w:val="005D5491"/>
    <w:rsid w:val="005D5568"/>
    <w:rsid w:val="005D55A9"/>
    <w:rsid w:val="005D55BC"/>
    <w:rsid w:val="005D5D40"/>
    <w:rsid w:val="005D6232"/>
    <w:rsid w:val="005D658E"/>
    <w:rsid w:val="005D70EF"/>
    <w:rsid w:val="005D7102"/>
    <w:rsid w:val="005D778C"/>
    <w:rsid w:val="005D7A95"/>
    <w:rsid w:val="005D7BE1"/>
    <w:rsid w:val="005E0403"/>
    <w:rsid w:val="005E0621"/>
    <w:rsid w:val="005E1226"/>
    <w:rsid w:val="005E1356"/>
    <w:rsid w:val="005E17DA"/>
    <w:rsid w:val="005E1CFC"/>
    <w:rsid w:val="005E1EAA"/>
    <w:rsid w:val="005E22A8"/>
    <w:rsid w:val="005E29C6"/>
    <w:rsid w:val="005E2AB0"/>
    <w:rsid w:val="005E2C94"/>
    <w:rsid w:val="005E2CAF"/>
    <w:rsid w:val="005E33EC"/>
    <w:rsid w:val="005E3E34"/>
    <w:rsid w:val="005E4097"/>
    <w:rsid w:val="005E45FA"/>
    <w:rsid w:val="005E4948"/>
    <w:rsid w:val="005E4AA2"/>
    <w:rsid w:val="005E4AEE"/>
    <w:rsid w:val="005E4C3C"/>
    <w:rsid w:val="005E4DF7"/>
    <w:rsid w:val="005E516A"/>
    <w:rsid w:val="005E5617"/>
    <w:rsid w:val="005E56B1"/>
    <w:rsid w:val="005E5B3E"/>
    <w:rsid w:val="005E666E"/>
    <w:rsid w:val="005E66B1"/>
    <w:rsid w:val="005E6AC1"/>
    <w:rsid w:val="005E6F76"/>
    <w:rsid w:val="005E6FC2"/>
    <w:rsid w:val="005E709B"/>
    <w:rsid w:val="005E7A7A"/>
    <w:rsid w:val="005E7CCE"/>
    <w:rsid w:val="005E7EB8"/>
    <w:rsid w:val="005F006C"/>
    <w:rsid w:val="005F0C5A"/>
    <w:rsid w:val="005F0F98"/>
    <w:rsid w:val="005F0FD9"/>
    <w:rsid w:val="005F1444"/>
    <w:rsid w:val="005F1B3A"/>
    <w:rsid w:val="005F22D8"/>
    <w:rsid w:val="005F23EF"/>
    <w:rsid w:val="005F23F8"/>
    <w:rsid w:val="005F2A4C"/>
    <w:rsid w:val="005F2AC4"/>
    <w:rsid w:val="005F3C35"/>
    <w:rsid w:val="005F3C52"/>
    <w:rsid w:val="005F4896"/>
    <w:rsid w:val="005F4E79"/>
    <w:rsid w:val="005F50F8"/>
    <w:rsid w:val="005F539E"/>
    <w:rsid w:val="005F576F"/>
    <w:rsid w:val="005F6385"/>
    <w:rsid w:val="005F675C"/>
    <w:rsid w:val="005F6794"/>
    <w:rsid w:val="005F6BBF"/>
    <w:rsid w:val="005F6FAC"/>
    <w:rsid w:val="005F72A2"/>
    <w:rsid w:val="005F7420"/>
    <w:rsid w:val="005F775B"/>
    <w:rsid w:val="0060029A"/>
    <w:rsid w:val="006007C7"/>
    <w:rsid w:val="00600A3F"/>
    <w:rsid w:val="00600E47"/>
    <w:rsid w:val="00601FDC"/>
    <w:rsid w:val="00602720"/>
    <w:rsid w:val="00603068"/>
    <w:rsid w:val="00603994"/>
    <w:rsid w:val="00603B5C"/>
    <w:rsid w:val="00604869"/>
    <w:rsid w:val="006048C2"/>
    <w:rsid w:val="00604E1C"/>
    <w:rsid w:val="00605450"/>
    <w:rsid w:val="00605562"/>
    <w:rsid w:val="00605ECA"/>
    <w:rsid w:val="0060604D"/>
    <w:rsid w:val="00606317"/>
    <w:rsid w:val="00606843"/>
    <w:rsid w:val="00606880"/>
    <w:rsid w:val="00607275"/>
    <w:rsid w:val="006075A5"/>
    <w:rsid w:val="00607A06"/>
    <w:rsid w:val="00607C2E"/>
    <w:rsid w:val="00607F0F"/>
    <w:rsid w:val="0061027E"/>
    <w:rsid w:val="00610DA8"/>
    <w:rsid w:val="00610F95"/>
    <w:rsid w:val="00610FEE"/>
    <w:rsid w:val="00611503"/>
    <w:rsid w:val="0061185E"/>
    <w:rsid w:val="00611968"/>
    <w:rsid w:val="006126FD"/>
    <w:rsid w:val="00612828"/>
    <w:rsid w:val="00612EBA"/>
    <w:rsid w:val="006144B1"/>
    <w:rsid w:val="006144CE"/>
    <w:rsid w:val="00614C06"/>
    <w:rsid w:val="00614DA0"/>
    <w:rsid w:val="0061554B"/>
    <w:rsid w:val="00615CCA"/>
    <w:rsid w:val="006165C0"/>
    <w:rsid w:val="006167DA"/>
    <w:rsid w:val="006202E7"/>
    <w:rsid w:val="006207D0"/>
    <w:rsid w:val="00620AFF"/>
    <w:rsid w:val="00620B41"/>
    <w:rsid w:val="0062132F"/>
    <w:rsid w:val="006214BC"/>
    <w:rsid w:val="00621A89"/>
    <w:rsid w:val="00621A8F"/>
    <w:rsid w:val="00622322"/>
    <w:rsid w:val="00622762"/>
    <w:rsid w:val="00622902"/>
    <w:rsid w:val="00622E29"/>
    <w:rsid w:val="0062322D"/>
    <w:rsid w:val="00623446"/>
    <w:rsid w:val="00623AA6"/>
    <w:rsid w:val="00623B5F"/>
    <w:rsid w:val="00623D80"/>
    <w:rsid w:val="00624190"/>
    <w:rsid w:val="00624677"/>
    <w:rsid w:val="0062475D"/>
    <w:rsid w:val="00625C00"/>
    <w:rsid w:val="00626563"/>
    <w:rsid w:val="00626700"/>
    <w:rsid w:val="006267A2"/>
    <w:rsid w:val="00626C39"/>
    <w:rsid w:val="00626E02"/>
    <w:rsid w:val="00627BB4"/>
    <w:rsid w:val="006305D7"/>
    <w:rsid w:val="00630CC0"/>
    <w:rsid w:val="00630EE1"/>
    <w:rsid w:val="00631895"/>
    <w:rsid w:val="006322F4"/>
    <w:rsid w:val="00632C26"/>
    <w:rsid w:val="00632E72"/>
    <w:rsid w:val="006334A9"/>
    <w:rsid w:val="00633E94"/>
    <w:rsid w:val="00634571"/>
    <w:rsid w:val="006347D1"/>
    <w:rsid w:val="00635103"/>
    <w:rsid w:val="006353A9"/>
    <w:rsid w:val="006353BA"/>
    <w:rsid w:val="006358E1"/>
    <w:rsid w:val="00635B5E"/>
    <w:rsid w:val="00635ED8"/>
    <w:rsid w:val="00635F4C"/>
    <w:rsid w:val="00636173"/>
    <w:rsid w:val="006361BE"/>
    <w:rsid w:val="00636A8C"/>
    <w:rsid w:val="00636DDD"/>
    <w:rsid w:val="006371FA"/>
    <w:rsid w:val="00640336"/>
    <w:rsid w:val="006403BA"/>
    <w:rsid w:val="00640425"/>
    <w:rsid w:val="00640549"/>
    <w:rsid w:val="00640B24"/>
    <w:rsid w:val="00640B72"/>
    <w:rsid w:val="00640C05"/>
    <w:rsid w:val="006417AA"/>
    <w:rsid w:val="00641A70"/>
    <w:rsid w:val="00641F01"/>
    <w:rsid w:val="0064247C"/>
    <w:rsid w:val="0064261E"/>
    <w:rsid w:val="006426EF"/>
    <w:rsid w:val="00642B14"/>
    <w:rsid w:val="006431E2"/>
    <w:rsid w:val="006437CF"/>
    <w:rsid w:val="00644D95"/>
    <w:rsid w:val="006454CA"/>
    <w:rsid w:val="006455C4"/>
    <w:rsid w:val="00645AEE"/>
    <w:rsid w:val="00645EE9"/>
    <w:rsid w:val="00645F70"/>
    <w:rsid w:val="00646BFF"/>
    <w:rsid w:val="00647562"/>
    <w:rsid w:val="00647B73"/>
    <w:rsid w:val="00647BDE"/>
    <w:rsid w:val="00650223"/>
    <w:rsid w:val="00650231"/>
    <w:rsid w:val="0065061F"/>
    <w:rsid w:val="00650BD8"/>
    <w:rsid w:val="00650DE7"/>
    <w:rsid w:val="00651100"/>
    <w:rsid w:val="0065119A"/>
    <w:rsid w:val="00651326"/>
    <w:rsid w:val="00651E9D"/>
    <w:rsid w:val="0065257D"/>
    <w:rsid w:val="006530AF"/>
    <w:rsid w:val="006530D2"/>
    <w:rsid w:val="00653155"/>
    <w:rsid w:val="006533C8"/>
    <w:rsid w:val="0065353D"/>
    <w:rsid w:val="006535D5"/>
    <w:rsid w:val="00654049"/>
    <w:rsid w:val="0065406A"/>
    <w:rsid w:val="00654990"/>
    <w:rsid w:val="00654A44"/>
    <w:rsid w:val="00654CAA"/>
    <w:rsid w:val="00655156"/>
    <w:rsid w:val="00655D82"/>
    <w:rsid w:val="006560A7"/>
    <w:rsid w:val="00656314"/>
    <w:rsid w:val="00656A21"/>
    <w:rsid w:val="00656E67"/>
    <w:rsid w:val="00656E8F"/>
    <w:rsid w:val="00657057"/>
    <w:rsid w:val="006573FF"/>
    <w:rsid w:val="006574CA"/>
    <w:rsid w:val="00657834"/>
    <w:rsid w:val="00657D68"/>
    <w:rsid w:val="00657DB5"/>
    <w:rsid w:val="006601D6"/>
    <w:rsid w:val="00660A03"/>
    <w:rsid w:val="00660B45"/>
    <w:rsid w:val="00660D6A"/>
    <w:rsid w:val="00661959"/>
    <w:rsid w:val="006626BA"/>
    <w:rsid w:val="00662B7F"/>
    <w:rsid w:val="0066320D"/>
    <w:rsid w:val="006633C9"/>
    <w:rsid w:val="00663BA9"/>
    <w:rsid w:val="00663BAB"/>
    <w:rsid w:val="0066438C"/>
    <w:rsid w:val="006645E8"/>
    <w:rsid w:val="0066485A"/>
    <w:rsid w:val="00664E56"/>
    <w:rsid w:val="006658F3"/>
    <w:rsid w:val="00665A5A"/>
    <w:rsid w:val="00665A91"/>
    <w:rsid w:val="00665FC8"/>
    <w:rsid w:val="00666230"/>
    <w:rsid w:val="00666488"/>
    <w:rsid w:val="006664BE"/>
    <w:rsid w:val="0066673B"/>
    <w:rsid w:val="00666858"/>
    <w:rsid w:val="006669D0"/>
    <w:rsid w:val="00666C47"/>
    <w:rsid w:val="00667270"/>
    <w:rsid w:val="0067025C"/>
    <w:rsid w:val="00671205"/>
    <w:rsid w:val="00671262"/>
    <w:rsid w:val="0067224C"/>
    <w:rsid w:val="00672413"/>
    <w:rsid w:val="00672A2B"/>
    <w:rsid w:val="00672E27"/>
    <w:rsid w:val="006731AD"/>
    <w:rsid w:val="00673382"/>
    <w:rsid w:val="0067349F"/>
    <w:rsid w:val="006734D5"/>
    <w:rsid w:val="00673738"/>
    <w:rsid w:val="00673E3E"/>
    <w:rsid w:val="006747BC"/>
    <w:rsid w:val="00674CEA"/>
    <w:rsid w:val="00675118"/>
    <w:rsid w:val="00675282"/>
    <w:rsid w:val="006752BE"/>
    <w:rsid w:val="0067531F"/>
    <w:rsid w:val="006756C5"/>
    <w:rsid w:val="006757F8"/>
    <w:rsid w:val="006760C1"/>
    <w:rsid w:val="00676204"/>
    <w:rsid w:val="0067661B"/>
    <w:rsid w:val="006767DA"/>
    <w:rsid w:val="00676A55"/>
    <w:rsid w:val="00676A5D"/>
    <w:rsid w:val="00676A81"/>
    <w:rsid w:val="0067703A"/>
    <w:rsid w:val="00677208"/>
    <w:rsid w:val="00677251"/>
    <w:rsid w:val="00677364"/>
    <w:rsid w:val="0067760D"/>
    <w:rsid w:val="00677DE2"/>
    <w:rsid w:val="00677E3C"/>
    <w:rsid w:val="006806EA"/>
    <w:rsid w:val="00680AA3"/>
    <w:rsid w:val="00681736"/>
    <w:rsid w:val="00681DDE"/>
    <w:rsid w:val="00681F66"/>
    <w:rsid w:val="006820B7"/>
    <w:rsid w:val="00682819"/>
    <w:rsid w:val="00682946"/>
    <w:rsid w:val="0068335D"/>
    <w:rsid w:val="00683B2F"/>
    <w:rsid w:val="00683EC2"/>
    <w:rsid w:val="00684043"/>
    <w:rsid w:val="006842BA"/>
    <w:rsid w:val="006844B1"/>
    <w:rsid w:val="006847E1"/>
    <w:rsid w:val="006848D7"/>
    <w:rsid w:val="00684DB4"/>
    <w:rsid w:val="00684DE6"/>
    <w:rsid w:val="00684F6D"/>
    <w:rsid w:val="0068531A"/>
    <w:rsid w:val="00685673"/>
    <w:rsid w:val="00685A0B"/>
    <w:rsid w:val="006862AB"/>
    <w:rsid w:val="00686970"/>
    <w:rsid w:val="00687B62"/>
    <w:rsid w:val="006901CD"/>
    <w:rsid w:val="00690282"/>
    <w:rsid w:val="00690370"/>
    <w:rsid w:val="006905C3"/>
    <w:rsid w:val="00690CB3"/>
    <w:rsid w:val="00691114"/>
    <w:rsid w:val="00691662"/>
    <w:rsid w:val="006919C8"/>
    <w:rsid w:val="006926B7"/>
    <w:rsid w:val="006926C0"/>
    <w:rsid w:val="0069276B"/>
    <w:rsid w:val="0069303F"/>
    <w:rsid w:val="0069366D"/>
    <w:rsid w:val="00693BD4"/>
    <w:rsid w:val="00693C03"/>
    <w:rsid w:val="0069428D"/>
    <w:rsid w:val="006943AE"/>
    <w:rsid w:val="006943FC"/>
    <w:rsid w:val="00694588"/>
    <w:rsid w:val="00694685"/>
    <w:rsid w:val="006946AC"/>
    <w:rsid w:val="006949AD"/>
    <w:rsid w:val="00694AA8"/>
    <w:rsid w:val="00694DA8"/>
    <w:rsid w:val="006951A6"/>
    <w:rsid w:val="0069527E"/>
    <w:rsid w:val="006957AE"/>
    <w:rsid w:val="006957EC"/>
    <w:rsid w:val="00695C68"/>
    <w:rsid w:val="00695D42"/>
    <w:rsid w:val="00695DED"/>
    <w:rsid w:val="0069609C"/>
    <w:rsid w:val="00696B8B"/>
    <w:rsid w:val="00696D8E"/>
    <w:rsid w:val="00697593"/>
    <w:rsid w:val="00697B53"/>
    <w:rsid w:val="00697FE0"/>
    <w:rsid w:val="006A00EC"/>
    <w:rsid w:val="006A035C"/>
    <w:rsid w:val="006A0379"/>
    <w:rsid w:val="006A052E"/>
    <w:rsid w:val="006A1151"/>
    <w:rsid w:val="006A1196"/>
    <w:rsid w:val="006A132D"/>
    <w:rsid w:val="006A13A5"/>
    <w:rsid w:val="006A1733"/>
    <w:rsid w:val="006A1AAF"/>
    <w:rsid w:val="006A1F2A"/>
    <w:rsid w:val="006A2399"/>
    <w:rsid w:val="006A2CB4"/>
    <w:rsid w:val="006A33D2"/>
    <w:rsid w:val="006A3B30"/>
    <w:rsid w:val="006A3C0D"/>
    <w:rsid w:val="006A58BF"/>
    <w:rsid w:val="006A5A19"/>
    <w:rsid w:val="006A5DB1"/>
    <w:rsid w:val="006A65DF"/>
    <w:rsid w:val="006A66DF"/>
    <w:rsid w:val="006A66F0"/>
    <w:rsid w:val="006A7132"/>
    <w:rsid w:val="006A71E3"/>
    <w:rsid w:val="006A7704"/>
    <w:rsid w:val="006A7A5E"/>
    <w:rsid w:val="006A7C7F"/>
    <w:rsid w:val="006A7C96"/>
    <w:rsid w:val="006B02A6"/>
    <w:rsid w:val="006B068E"/>
    <w:rsid w:val="006B0795"/>
    <w:rsid w:val="006B0CB2"/>
    <w:rsid w:val="006B1D56"/>
    <w:rsid w:val="006B1E66"/>
    <w:rsid w:val="006B1E7F"/>
    <w:rsid w:val="006B22A5"/>
    <w:rsid w:val="006B2382"/>
    <w:rsid w:val="006B2BB7"/>
    <w:rsid w:val="006B2D58"/>
    <w:rsid w:val="006B2DCA"/>
    <w:rsid w:val="006B30D0"/>
    <w:rsid w:val="006B3448"/>
    <w:rsid w:val="006B364C"/>
    <w:rsid w:val="006B3783"/>
    <w:rsid w:val="006B3B66"/>
    <w:rsid w:val="006B3E32"/>
    <w:rsid w:val="006B406D"/>
    <w:rsid w:val="006B43F4"/>
    <w:rsid w:val="006B4781"/>
    <w:rsid w:val="006B48F6"/>
    <w:rsid w:val="006B4BC3"/>
    <w:rsid w:val="006B5804"/>
    <w:rsid w:val="006B5D5C"/>
    <w:rsid w:val="006B63AA"/>
    <w:rsid w:val="006B6573"/>
    <w:rsid w:val="006B6593"/>
    <w:rsid w:val="006B65B8"/>
    <w:rsid w:val="006B6B22"/>
    <w:rsid w:val="006B6BFA"/>
    <w:rsid w:val="006B7F2D"/>
    <w:rsid w:val="006B7F69"/>
    <w:rsid w:val="006C04A0"/>
    <w:rsid w:val="006C1736"/>
    <w:rsid w:val="006C1B6A"/>
    <w:rsid w:val="006C1C9F"/>
    <w:rsid w:val="006C2174"/>
    <w:rsid w:val="006C24B7"/>
    <w:rsid w:val="006C2545"/>
    <w:rsid w:val="006C2617"/>
    <w:rsid w:val="006C2C99"/>
    <w:rsid w:val="006C2C9D"/>
    <w:rsid w:val="006C379C"/>
    <w:rsid w:val="006C3E24"/>
    <w:rsid w:val="006C3EE8"/>
    <w:rsid w:val="006C460B"/>
    <w:rsid w:val="006C48B0"/>
    <w:rsid w:val="006C49D0"/>
    <w:rsid w:val="006C4A3C"/>
    <w:rsid w:val="006C50AB"/>
    <w:rsid w:val="006C54F3"/>
    <w:rsid w:val="006C55CD"/>
    <w:rsid w:val="006C5F29"/>
    <w:rsid w:val="006C5F2C"/>
    <w:rsid w:val="006C5FE3"/>
    <w:rsid w:val="006C62B6"/>
    <w:rsid w:val="006C62D6"/>
    <w:rsid w:val="006C693D"/>
    <w:rsid w:val="006C70D1"/>
    <w:rsid w:val="006C746E"/>
    <w:rsid w:val="006C7926"/>
    <w:rsid w:val="006C79D9"/>
    <w:rsid w:val="006C7E03"/>
    <w:rsid w:val="006C7E88"/>
    <w:rsid w:val="006D01A7"/>
    <w:rsid w:val="006D0DE3"/>
    <w:rsid w:val="006D101A"/>
    <w:rsid w:val="006D124E"/>
    <w:rsid w:val="006D143E"/>
    <w:rsid w:val="006D14BF"/>
    <w:rsid w:val="006D1C0D"/>
    <w:rsid w:val="006D28AD"/>
    <w:rsid w:val="006D3220"/>
    <w:rsid w:val="006D324E"/>
    <w:rsid w:val="006D33BA"/>
    <w:rsid w:val="006D3701"/>
    <w:rsid w:val="006D3A12"/>
    <w:rsid w:val="006D3F64"/>
    <w:rsid w:val="006D4192"/>
    <w:rsid w:val="006D4600"/>
    <w:rsid w:val="006D4DE2"/>
    <w:rsid w:val="006D51D8"/>
    <w:rsid w:val="006D5311"/>
    <w:rsid w:val="006D5A74"/>
    <w:rsid w:val="006D621D"/>
    <w:rsid w:val="006D6BE4"/>
    <w:rsid w:val="006D6C6D"/>
    <w:rsid w:val="006D7EF3"/>
    <w:rsid w:val="006E0C89"/>
    <w:rsid w:val="006E150E"/>
    <w:rsid w:val="006E19AA"/>
    <w:rsid w:val="006E20BC"/>
    <w:rsid w:val="006E234F"/>
    <w:rsid w:val="006E2E52"/>
    <w:rsid w:val="006E30A5"/>
    <w:rsid w:val="006E3160"/>
    <w:rsid w:val="006E4375"/>
    <w:rsid w:val="006E526F"/>
    <w:rsid w:val="006E6005"/>
    <w:rsid w:val="006E69DB"/>
    <w:rsid w:val="006E6AAD"/>
    <w:rsid w:val="006E6B2A"/>
    <w:rsid w:val="006E6CEB"/>
    <w:rsid w:val="006E718D"/>
    <w:rsid w:val="006E785F"/>
    <w:rsid w:val="006E7FCF"/>
    <w:rsid w:val="006F00E5"/>
    <w:rsid w:val="006F0262"/>
    <w:rsid w:val="006F02A5"/>
    <w:rsid w:val="006F063C"/>
    <w:rsid w:val="006F07B4"/>
    <w:rsid w:val="006F0DD8"/>
    <w:rsid w:val="006F0E59"/>
    <w:rsid w:val="006F11B9"/>
    <w:rsid w:val="006F1BB6"/>
    <w:rsid w:val="006F1F1A"/>
    <w:rsid w:val="006F21B6"/>
    <w:rsid w:val="006F22B9"/>
    <w:rsid w:val="006F2326"/>
    <w:rsid w:val="006F2385"/>
    <w:rsid w:val="006F2781"/>
    <w:rsid w:val="006F3479"/>
    <w:rsid w:val="006F3614"/>
    <w:rsid w:val="006F3E6D"/>
    <w:rsid w:val="006F3EAE"/>
    <w:rsid w:val="006F41B3"/>
    <w:rsid w:val="006F41D3"/>
    <w:rsid w:val="006F447A"/>
    <w:rsid w:val="006F47A1"/>
    <w:rsid w:val="006F4B30"/>
    <w:rsid w:val="006F616B"/>
    <w:rsid w:val="006F7127"/>
    <w:rsid w:val="006F7B02"/>
    <w:rsid w:val="006F7DA0"/>
    <w:rsid w:val="006F7DA9"/>
    <w:rsid w:val="00700265"/>
    <w:rsid w:val="007004EC"/>
    <w:rsid w:val="007005C1"/>
    <w:rsid w:val="007007AD"/>
    <w:rsid w:val="00700BA2"/>
    <w:rsid w:val="007017F0"/>
    <w:rsid w:val="00701EAB"/>
    <w:rsid w:val="00702258"/>
    <w:rsid w:val="00702396"/>
    <w:rsid w:val="00703159"/>
    <w:rsid w:val="00703209"/>
    <w:rsid w:val="007032B3"/>
    <w:rsid w:val="007033FB"/>
    <w:rsid w:val="00703CB7"/>
    <w:rsid w:val="00703EF9"/>
    <w:rsid w:val="007053B4"/>
    <w:rsid w:val="007059B5"/>
    <w:rsid w:val="00705AA0"/>
    <w:rsid w:val="0070601D"/>
    <w:rsid w:val="00706228"/>
    <w:rsid w:val="0070623A"/>
    <w:rsid w:val="007068A1"/>
    <w:rsid w:val="00706B6E"/>
    <w:rsid w:val="00706C65"/>
    <w:rsid w:val="00707015"/>
    <w:rsid w:val="00707053"/>
    <w:rsid w:val="00707DD7"/>
    <w:rsid w:val="007100AB"/>
    <w:rsid w:val="00710263"/>
    <w:rsid w:val="0071039D"/>
    <w:rsid w:val="007104A3"/>
    <w:rsid w:val="007107C0"/>
    <w:rsid w:val="00710D24"/>
    <w:rsid w:val="007111B9"/>
    <w:rsid w:val="00711D28"/>
    <w:rsid w:val="00711D68"/>
    <w:rsid w:val="00711DAB"/>
    <w:rsid w:val="00712317"/>
    <w:rsid w:val="00712DD6"/>
    <w:rsid w:val="00712F86"/>
    <w:rsid w:val="007135AD"/>
    <w:rsid w:val="007135ED"/>
    <w:rsid w:val="0071361E"/>
    <w:rsid w:val="00713A67"/>
    <w:rsid w:val="00713E5A"/>
    <w:rsid w:val="007146A3"/>
    <w:rsid w:val="007149B0"/>
    <w:rsid w:val="007154F6"/>
    <w:rsid w:val="0071588A"/>
    <w:rsid w:val="00715918"/>
    <w:rsid w:val="00715C5B"/>
    <w:rsid w:val="00716786"/>
    <w:rsid w:val="007169DE"/>
    <w:rsid w:val="00717243"/>
    <w:rsid w:val="007172F6"/>
    <w:rsid w:val="00717A8F"/>
    <w:rsid w:val="00717B24"/>
    <w:rsid w:val="007209EF"/>
    <w:rsid w:val="00721127"/>
    <w:rsid w:val="007211ED"/>
    <w:rsid w:val="00721AF9"/>
    <w:rsid w:val="00721C53"/>
    <w:rsid w:val="0072208B"/>
    <w:rsid w:val="00722853"/>
    <w:rsid w:val="00722859"/>
    <w:rsid w:val="007238A5"/>
    <w:rsid w:val="007238D7"/>
    <w:rsid w:val="007240A9"/>
    <w:rsid w:val="00724311"/>
    <w:rsid w:val="00725208"/>
    <w:rsid w:val="00725557"/>
    <w:rsid w:val="007256CE"/>
    <w:rsid w:val="00725E79"/>
    <w:rsid w:val="007263CC"/>
    <w:rsid w:val="007264BA"/>
    <w:rsid w:val="00726784"/>
    <w:rsid w:val="00726BEA"/>
    <w:rsid w:val="00726F24"/>
    <w:rsid w:val="007277C8"/>
    <w:rsid w:val="00727ECA"/>
    <w:rsid w:val="00730454"/>
    <w:rsid w:val="00730D5E"/>
    <w:rsid w:val="00730E83"/>
    <w:rsid w:val="00731185"/>
    <w:rsid w:val="00731208"/>
    <w:rsid w:val="0073124F"/>
    <w:rsid w:val="007318E7"/>
    <w:rsid w:val="00731910"/>
    <w:rsid w:val="00731B81"/>
    <w:rsid w:val="00732208"/>
    <w:rsid w:val="007322B1"/>
    <w:rsid w:val="007324A7"/>
    <w:rsid w:val="00733486"/>
    <w:rsid w:val="007336C8"/>
    <w:rsid w:val="00733B7C"/>
    <w:rsid w:val="0073438C"/>
    <w:rsid w:val="0073448A"/>
    <w:rsid w:val="00734AFF"/>
    <w:rsid w:val="00734B88"/>
    <w:rsid w:val="00734D83"/>
    <w:rsid w:val="0073518B"/>
    <w:rsid w:val="00735289"/>
    <w:rsid w:val="00735735"/>
    <w:rsid w:val="00735793"/>
    <w:rsid w:val="00735C23"/>
    <w:rsid w:val="007360F2"/>
    <w:rsid w:val="00736E59"/>
    <w:rsid w:val="007371B1"/>
    <w:rsid w:val="00737502"/>
    <w:rsid w:val="00737CA2"/>
    <w:rsid w:val="00737E80"/>
    <w:rsid w:val="00740037"/>
    <w:rsid w:val="007401BA"/>
    <w:rsid w:val="00740807"/>
    <w:rsid w:val="0074080C"/>
    <w:rsid w:val="00740CA4"/>
    <w:rsid w:val="0074128E"/>
    <w:rsid w:val="00741494"/>
    <w:rsid w:val="00742191"/>
    <w:rsid w:val="007424FF"/>
    <w:rsid w:val="00742748"/>
    <w:rsid w:val="007434D8"/>
    <w:rsid w:val="0074384C"/>
    <w:rsid w:val="0074392C"/>
    <w:rsid w:val="00743959"/>
    <w:rsid w:val="00743CFD"/>
    <w:rsid w:val="00743FDF"/>
    <w:rsid w:val="007442AB"/>
    <w:rsid w:val="00744661"/>
    <w:rsid w:val="00744744"/>
    <w:rsid w:val="007447AA"/>
    <w:rsid w:val="00744C23"/>
    <w:rsid w:val="00744C8C"/>
    <w:rsid w:val="00744E41"/>
    <w:rsid w:val="0074527A"/>
    <w:rsid w:val="007453BF"/>
    <w:rsid w:val="00745892"/>
    <w:rsid w:val="00745D1B"/>
    <w:rsid w:val="00746427"/>
    <w:rsid w:val="0074679A"/>
    <w:rsid w:val="00746965"/>
    <w:rsid w:val="00746DB1"/>
    <w:rsid w:val="00747539"/>
    <w:rsid w:val="00747775"/>
    <w:rsid w:val="00747935"/>
    <w:rsid w:val="00747FCC"/>
    <w:rsid w:val="0075039C"/>
    <w:rsid w:val="00750687"/>
    <w:rsid w:val="00750980"/>
    <w:rsid w:val="00751596"/>
    <w:rsid w:val="00751882"/>
    <w:rsid w:val="00751DD9"/>
    <w:rsid w:val="00752876"/>
    <w:rsid w:val="00752917"/>
    <w:rsid w:val="00752B45"/>
    <w:rsid w:val="0075346F"/>
    <w:rsid w:val="00753964"/>
    <w:rsid w:val="00753A85"/>
    <w:rsid w:val="00753F79"/>
    <w:rsid w:val="00754EED"/>
    <w:rsid w:val="00754EF0"/>
    <w:rsid w:val="007553C2"/>
    <w:rsid w:val="00755797"/>
    <w:rsid w:val="007558A8"/>
    <w:rsid w:val="00755C95"/>
    <w:rsid w:val="00755F15"/>
    <w:rsid w:val="0075626F"/>
    <w:rsid w:val="007562FB"/>
    <w:rsid w:val="007563A7"/>
    <w:rsid w:val="00757037"/>
    <w:rsid w:val="00757180"/>
    <w:rsid w:val="007573D4"/>
    <w:rsid w:val="007574A8"/>
    <w:rsid w:val="00757655"/>
    <w:rsid w:val="007578BA"/>
    <w:rsid w:val="00757AAC"/>
    <w:rsid w:val="00757B4E"/>
    <w:rsid w:val="00757D58"/>
    <w:rsid w:val="00757F0B"/>
    <w:rsid w:val="0076026F"/>
    <w:rsid w:val="00760274"/>
    <w:rsid w:val="007606D2"/>
    <w:rsid w:val="00760849"/>
    <w:rsid w:val="007608A8"/>
    <w:rsid w:val="00760F72"/>
    <w:rsid w:val="00761396"/>
    <w:rsid w:val="007614B7"/>
    <w:rsid w:val="00761E22"/>
    <w:rsid w:val="0076266B"/>
    <w:rsid w:val="00763C13"/>
    <w:rsid w:val="00763D28"/>
    <w:rsid w:val="00763E5E"/>
    <w:rsid w:val="0076416A"/>
    <w:rsid w:val="0076417B"/>
    <w:rsid w:val="00764445"/>
    <w:rsid w:val="00764BDE"/>
    <w:rsid w:val="00764DD8"/>
    <w:rsid w:val="00765073"/>
    <w:rsid w:val="0076556F"/>
    <w:rsid w:val="00765AEE"/>
    <w:rsid w:val="00765D17"/>
    <w:rsid w:val="0076604E"/>
    <w:rsid w:val="007661BC"/>
    <w:rsid w:val="007663C3"/>
    <w:rsid w:val="00766CF4"/>
    <w:rsid w:val="00766D5F"/>
    <w:rsid w:val="00767841"/>
    <w:rsid w:val="00767A50"/>
    <w:rsid w:val="00767CEA"/>
    <w:rsid w:val="0077020B"/>
    <w:rsid w:val="007704E8"/>
    <w:rsid w:val="00770555"/>
    <w:rsid w:val="00770593"/>
    <w:rsid w:val="007709B1"/>
    <w:rsid w:val="00770A36"/>
    <w:rsid w:val="0077267D"/>
    <w:rsid w:val="007734E6"/>
    <w:rsid w:val="007737DC"/>
    <w:rsid w:val="00773931"/>
    <w:rsid w:val="00773947"/>
    <w:rsid w:val="00773A24"/>
    <w:rsid w:val="00773B61"/>
    <w:rsid w:val="0077453E"/>
    <w:rsid w:val="00774D65"/>
    <w:rsid w:val="0077519E"/>
    <w:rsid w:val="00775607"/>
    <w:rsid w:val="00775C0A"/>
    <w:rsid w:val="00775D36"/>
    <w:rsid w:val="00776303"/>
    <w:rsid w:val="007767DE"/>
    <w:rsid w:val="00777344"/>
    <w:rsid w:val="007774B5"/>
    <w:rsid w:val="00777B75"/>
    <w:rsid w:val="00777D9F"/>
    <w:rsid w:val="00780130"/>
    <w:rsid w:val="0078049E"/>
    <w:rsid w:val="00780765"/>
    <w:rsid w:val="00780A76"/>
    <w:rsid w:val="00780ECE"/>
    <w:rsid w:val="007818FD"/>
    <w:rsid w:val="00781996"/>
    <w:rsid w:val="00782664"/>
    <w:rsid w:val="00782768"/>
    <w:rsid w:val="00783C7E"/>
    <w:rsid w:val="00783E45"/>
    <w:rsid w:val="007844E7"/>
    <w:rsid w:val="007845EF"/>
    <w:rsid w:val="00784606"/>
    <w:rsid w:val="00784E0C"/>
    <w:rsid w:val="00784EAD"/>
    <w:rsid w:val="007861B6"/>
    <w:rsid w:val="00786298"/>
    <w:rsid w:val="0078652F"/>
    <w:rsid w:val="00786DE8"/>
    <w:rsid w:val="00786EAE"/>
    <w:rsid w:val="00787131"/>
    <w:rsid w:val="00787E18"/>
    <w:rsid w:val="0079039B"/>
    <w:rsid w:val="0079069C"/>
    <w:rsid w:val="00790828"/>
    <w:rsid w:val="00790AC5"/>
    <w:rsid w:val="00790C14"/>
    <w:rsid w:val="00791164"/>
    <w:rsid w:val="00791E86"/>
    <w:rsid w:val="00792295"/>
    <w:rsid w:val="007927AD"/>
    <w:rsid w:val="00792B79"/>
    <w:rsid w:val="00792F82"/>
    <w:rsid w:val="0079350D"/>
    <w:rsid w:val="007937BA"/>
    <w:rsid w:val="00793C31"/>
    <w:rsid w:val="007940CD"/>
    <w:rsid w:val="00794391"/>
    <w:rsid w:val="007943F2"/>
    <w:rsid w:val="0079440C"/>
    <w:rsid w:val="007948F2"/>
    <w:rsid w:val="00795918"/>
    <w:rsid w:val="007960D2"/>
    <w:rsid w:val="00796E15"/>
    <w:rsid w:val="00797129"/>
    <w:rsid w:val="007979E4"/>
    <w:rsid w:val="007A0096"/>
    <w:rsid w:val="007A0160"/>
    <w:rsid w:val="007A0199"/>
    <w:rsid w:val="007A0566"/>
    <w:rsid w:val="007A0841"/>
    <w:rsid w:val="007A1289"/>
    <w:rsid w:val="007A143F"/>
    <w:rsid w:val="007A15C2"/>
    <w:rsid w:val="007A20F6"/>
    <w:rsid w:val="007A241D"/>
    <w:rsid w:val="007A243A"/>
    <w:rsid w:val="007A2BF5"/>
    <w:rsid w:val="007A2FB5"/>
    <w:rsid w:val="007A3BDD"/>
    <w:rsid w:val="007A46D7"/>
    <w:rsid w:val="007A481C"/>
    <w:rsid w:val="007A4C78"/>
    <w:rsid w:val="007A5564"/>
    <w:rsid w:val="007A55AF"/>
    <w:rsid w:val="007A56AB"/>
    <w:rsid w:val="007A5DC4"/>
    <w:rsid w:val="007A5E31"/>
    <w:rsid w:val="007A649C"/>
    <w:rsid w:val="007A687D"/>
    <w:rsid w:val="007A6AE5"/>
    <w:rsid w:val="007A739B"/>
    <w:rsid w:val="007B0172"/>
    <w:rsid w:val="007B07F9"/>
    <w:rsid w:val="007B0824"/>
    <w:rsid w:val="007B08E1"/>
    <w:rsid w:val="007B0AAB"/>
    <w:rsid w:val="007B0FC5"/>
    <w:rsid w:val="007B11B4"/>
    <w:rsid w:val="007B1229"/>
    <w:rsid w:val="007B1317"/>
    <w:rsid w:val="007B19A2"/>
    <w:rsid w:val="007B1A3D"/>
    <w:rsid w:val="007B1B5A"/>
    <w:rsid w:val="007B27A4"/>
    <w:rsid w:val="007B2CF2"/>
    <w:rsid w:val="007B2D17"/>
    <w:rsid w:val="007B3169"/>
    <w:rsid w:val="007B3328"/>
    <w:rsid w:val="007B3553"/>
    <w:rsid w:val="007B41CD"/>
    <w:rsid w:val="007B4361"/>
    <w:rsid w:val="007B452F"/>
    <w:rsid w:val="007B4675"/>
    <w:rsid w:val="007B4AFC"/>
    <w:rsid w:val="007B4C78"/>
    <w:rsid w:val="007B5027"/>
    <w:rsid w:val="007B5572"/>
    <w:rsid w:val="007B58F3"/>
    <w:rsid w:val="007B5BF5"/>
    <w:rsid w:val="007B5FBC"/>
    <w:rsid w:val="007B660B"/>
    <w:rsid w:val="007B6D27"/>
    <w:rsid w:val="007B702E"/>
    <w:rsid w:val="007C0593"/>
    <w:rsid w:val="007C085A"/>
    <w:rsid w:val="007C098F"/>
    <w:rsid w:val="007C10CB"/>
    <w:rsid w:val="007C1188"/>
    <w:rsid w:val="007C118D"/>
    <w:rsid w:val="007C2310"/>
    <w:rsid w:val="007C2591"/>
    <w:rsid w:val="007C2695"/>
    <w:rsid w:val="007C26F3"/>
    <w:rsid w:val="007C2805"/>
    <w:rsid w:val="007C2818"/>
    <w:rsid w:val="007C286C"/>
    <w:rsid w:val="007C288A"/>
    <w:rsid w:val="007C2CC7"/>
    <w:rsid w:val="007C3053"/>
    <w:rsid w:val="007C3863"/>
    <w:rsid w:val="007C3D7B"/>
    <w:rsid w:val="007C43F6"/>
    <w:rsid w:val="007C4F5E"/>
    <w:rsid w:val="007C553E"/>
    <w:rsid w:val="007C6131"/>
    <w:rsid w:val="007C66A9"/>
    <w:rsid w:val="007C66E7"/>
    <w:rsid w:val="007C6FB5"/>
    <w:rsid w:val="007C7071"/>
    <w:rsid w:val="007C7080"/>
    <w:rsid w:val="007C70D6"/>
    <w:rsid w:val="007C72A8"/>
    <w:rsid w:val="007C72C8"/>
    <w:rsid w:val="007C7D02"/>
    <w:rsid w:val="007D09D0"/>
    <w:rsid w:val="007D0C38"/>
    <w:rsid w:val="007D0C73"/>
    <w:rsid w:val="007D186A"/>
    <w:rsid w:val="007D18C1"/>
    <w:rsid w:val="007D18D3"/>
    <w:rsid w:val="007D1AAB"/>
    <w:rsid w:val="007D1B81"/>
    <w:rsid w:val="007D1E3C"/>
    <w:rsid w:val="007D26B9"/>
    <w:rsid w:val="007D28DF"/>
    <w:rsid w:val="007D29EA"/>
    <w:rsid w:val="007D2B63"/>
    <w:rsid w:val="007D3900"/>
    <w:rsid w:val="007D453D"/>
    <w:rsid w:val="007D45C7"/>
    <w:rsid w:val="007D5261"/>
    <w:rsid w:val="007D5628"/>
    <w:rsid w:val="007D58AE"/>
    <w:rsid w:val="007D5EBD"/>
    <w:rsid w:val="007D5F14"/>
    <w:rsid w:val="007D5FE9"/>
    <w:rsid w:val="007D63FC"/>
    <w:rsid w:val="007D6DBB"/>
    <w:rsid w:val="007D6E33"/>
    <w:rsid w:val="007D70CF"/>
    <w:rsid w:val="007D716A"/>
    <w:rsid w:val="007D74E1"/>
    <w:rsid w:val="007D7BD6"/>
    <w:rsid w:val="007D7D6E"/>
    <w:rsid w:val="007D7E68"/>
    <w:rsid w:val="007E0EF0"/>
    <w:rsid w:val="007E1D14"/>
    <w:rsid w:val="007E1D2C"/>
    <w:rsid w:val="007E208A"/>
    <w:rsid w:val="007E21FE"/>
    <w:rsid w:val="007E2A73"/>
    <w:rsid w:val="007E2FE3"/>
    <w:rsid w:val="007E30FD"/>
    <w:rsid w:val="007E359C"/>
    <w:rsid w:val="007E370D"/>
    <w:rsid w:val="007E386A"/>
    <w:rsid w:val="007E3A02"/>
    <w:rsid w:val="007E3EA7"/>
    <w:rsid w:val="007E3FE5"/>
    <w:rsid w:val="007E419A"/>
    <w:rsid w:val="007E470B"/>
    <w:rsid w:val="007E4D19"/>
    <w:rsid w:val="007E4FBC"/>
    <w:rsid w:val="007E5097"/>
    <w:rsid w:val="007E59C8"/>
    <w:rsid w:val="007E5C2C"/>
    <w:rsid w:val="007E5E73"/>
    <w:rsid w:val="007E621A"/>
    <w:rsid w:val="007E660C"/>
    <w:rsid w:val="007E68C0"/>
    <w:rsid w:val="007E6FA9"/>
    <w:rsid w:val="007E713B"/>
    <w:rsid w:val="007E72FF"/>
    <w:rsid w:val="007E77EF"/>
    <w:rsid w:val="007E7D8D"/>
    <w:rsid w:val="007F0385"/>
    <w:rsid w:val="007F04E4"/>
    <w:rsid w:val="007F09F7"/>
    <w:rsid w:val="007F0D13"/>
    <w:rsid w:val="007F1120"/>
    <w:rsid w:val="007F1455"/>
    <w:rsid w:val="007F17E0"/>
    <w:rsid w:val="007F1922"/>
    <w:rsid w:val="007F19C3"/>
    <w:rsid w:val="007F1F39"/>
    <w:rsid w:val="007F2F79"/>
    <w:rsid w:val="007F2FD4"/>
    <w:rsid w:val="007F382C"/>
    <w:rsid w:val="007F3A6D"/>
    <w:rsid w:val="007F4188"/>
    <w:rsid w:val="007F440A"/>
    <w:rsid w:val="007F469B"/>
    <w:rsid w:val="007F4D16"/>
    <w:rsid w:val="007F53B8"/>
    <w:rsid w:val="007F53F3"/>
    <w:rsid w:val="007F585D"/>
    <w:rsid w:val="007F5AE4"/>
    <w:rsid w:val="007F5B2D"/>
    <w:rsid w:val="007F5BBF"/>
    <w:rsid w:val="007F5DC4"/>
    <w:rsid w:val="007F682A"/>
    <w:rsid w:val="007F68D3"/>
    <w:rsid w:val="007F70C3"/>
    <w:rsid w:val="007F73E0"/>
    <w:rsid w:val="007F798D"/>
    <w:rsid w:val="007F7C1D"/>
    <w:rsid w:val="007F7E80"/>
    <w:rsid w:val="00800BB6"/>
    <w:rsid w:val="00800F9B"/>
    <w:rsid w:val="00801160"/>
    <w:rsid w:val="008013C1"/>
    <w:rsid w:val="00801691"/>
    <w:rsid w:val="00801A4A"/>
    <w:rsid w:val="00801B2D"/>
    <w:rsid w:val="00803626"/>
    <w:rsid w:val="00803ABC"/>
    <w:rsid w:val="00803ABE"/>
    <w:rsid w:val="0080488E"/>
    <w:rsid w:val="00804ADE"/>
    <w:rsid w:val="00805110"/>
    <w:rsid w:val="00805234"/>
    <w:rsid w:val="00805601"/>
    <w:rsid w:val="00805A99"/>
    <w:rsid w:val="00805C67"/>
    <w:rsid w:val="008066CF"/>
    <w:rsid w:val="00806754"/>
    <w:rsid w:val="00806756"/>
    <w:rsid w:val="00806768"/>
    <w:rsid w:val="008067A2"/>
    <w:rsid w:val="00807370"/>
    <w:rsid w:val="008074BC"/>
    <w:rsid w:val="00807678"/>
    <w:rsid w:val="00807C16"/>
    <w:rsid w:val="00807C31"/>
    <w:rsid w:val="00807C44"/>
    <w:rsid w:val="008100EB"/>
    <w:rsid w:val="00810607"/>
    <w:rsid w:val="00810754"/>
    <w:rsid w:val="00810D0F"/>
    <w:rsid w:val="00810EEB"/>
    <w:rsid w:val="00810FB1"/>
    <w:rsid w:val="00811414"/>
    <w:rsid w:val="008115A4"/>
    <w:rsid w:val="00811CA1"/>
    <w:rsid w:val="00812388"/>
    <w:rsid w:val="008125B8"/>
    <w:rsid w:val="00812AC2"/>
    <w:rsid w:val="00812E25"/>
    <w:rsid w:val="00813651"/>
    <w:rsid w:val="00813C74"/>
    <w:rsid w:val="008143E9"/>
    <w:rsid w:val="008146AA"/>
    <w:rsid w:val="008146E4"/>
    <w:rsid w:val="00815071"/>
    <w:rsid w:val="00815F89"/>
    <w:rsid w:val="0081693A"/>
    <w:rsid w:val="00816AFE"/>
    <w:rsid w:val="00817063"/>
    <w:rsid w:val="00817387"/>
    <w:rsid w:val="0082090E"/>
    <w:rsid w:val="00820BB9"/>
    <w:rsid w:val="0082104D"/>
    <w:rsid w:val="008210B9"/>
    <w:rsid w:val="008212C3"/>
    <w:rsid w:val="008213D1"/>
    <w:rsid w:val="0082177F"/>
    <w:rsid w:val="00821901"/>
    <w:rsid w:val="00821AC2"/>
    <w:rsid w:val="00821F6E"/>
    <w:rsid w:val="008226E1"/>
    <w:rsid w:val="00822CD7"/>
    <w:rsid w:val="008230B1"/>
    <w:rsid w:val="008231CB"/>
    <w:rsid w:val="008236BC"/>
    <w:rsid w:val="008236ED"/>
    <w:rsid w:val="00823B3B"/>
    <w:rsid w:val="0082513E"/>
    <w:rsid w:val="00825198"/>
    <w:rsid w:val="0082525D"/>
    <w:rsid w:val="008252EE"/>
    <w:rsid w:val="00825DDF"/>
    <w:rsid w:val="008260BB"/>
    <w:rsid w:val="0082624B"/>
    <w:rsid w:val="008264EA"/>
    <w:rsid w:val="00826A3E"/>
    <w:rsid w:val="00827257"/>
    <w:rsid w:val="00827259"/>
    <w:rsid w:val="008273E7"/>
    <w:rsid w:val="00827A72"/>
    <w:rsid w:val="00827F09"/>
    <w:rsid w:val="008308E7"/>
    <w:rsid w:val="00830B09"/>
    <w:rsid w:val="0083182B"/>
    <w:rsid w:val="008319AB"/>
    <w:rsid w:val="0083275F"/>
    <w:rsid w:val="008327FD"/>
    <w:rsid w:val="00833ECC"/>
    <w:rsid w:val="00834CB6"/>
    <w:rsid w:val="00834D24"/>
    <w:rsid w:val="00834E61"/>
    <w:rsid w:val="00835387"/>
    <w:rsid w:val="00835832"/>
    <w:rsid w:val="00835E1C"/>
    <w:rsid w:val="00836033"/>
    <w:rsid w:val="00836348"/>
    <w:rsid w:val="00836355"/>
    <w:rsid w:val="008363F3"/>
    <w:rsid w:val="00836608"/>
    <w:rsid w:val="00836836"/>
    <w:rsid w:val="00836873"/>
    <w:rsid w:val="00836A35"/>
    <w:rsid w:val="00836F3D"/>
    <w:rsid w:val="008370AB"/>
    <w:rsid w:val="00837F11"/>
    <w:rsid w:val="0084036D"/>
    <w:rsid w:val="00840471"/>
    <w:rsid w:val="008409E0"/>
    <w:rsid w:val="00841C86"/>
    <w:rsid w:val="00841D02"/>
    <w:rsid w:val="00841D9B"/>
    <w:rsid w:val="00841F60"/>
    <w:rsid w:val="0084230A"/>
    <w:rsid w:val="00842747"/>
    <w:rsid w:val="00842ACE"/>
    <w:rsid w:val="00842E95"/>
    <w:rsid w:val="00842F4E"/>
    <w:rsid w:val="00843014"/>
    <w:rsid w:val="00843181"/>
    <w:rsid w:val="00843529"/>
    <w:rsid w:val="0084395F"/>
    <w:rsid w:val="008439AF"/>
    <w:rsid w:val="00843C45"/>
    <w:rsid w:val="00843D93"/>
    <w:rsid w:val="00843E22"/>
    <w:rsid w:val="0084478A"/>
    <w:rsid w:val="008449BC"/>
    <w:rsid w:val="00844DA2"/>
    <w:rsid w:val="00844F9A"/>
    <w:rsid w:val="00845525"/>
    <w:rsid w:val="00845B72"/>
    <w:rsid w:val="008462EC"/>
    <w:rsid w:val="0084675A"/>
    <w:rsid w:val="00846AC0"/>
    <w:rsid w:val="00847194"/>
    <w:rsid w:val="008473E4"/>
    <w:rsid w:val="00847435"/>
    <w:rsid w:val="00847741"/>
    <w:rsid w:val="0084795D"/>
    <w:rsid w:val="00847E05"/>
    <w:rsid w:val="0085012E"/>
    <w:rsid w:val="008506C3"/>
    <w:rsid w:val="00850A9C"/>
    <w:rsid w:val="008510EB"/>
    <w:rsid w:val="008511A9"/>
    <w:rsid w:val="008511B2"/>
    <w:rsid w:val="00851DB6"/>
    <w:rsid w:val="00852709"/>
    <w:rsid w:val="00852734"/>
    <w:rsid w:val="008528F0"/>
    <w:rsid w:val="00852B58"/>
    <w:rsid w:val="008530BD"/>
    <w:rsid w:val="00853FFF"/>
    <w:rsid w:val="008540F9"/>
    <w:rsid w:val="0085491C"/>
    <w:rsid w:val="00854A4B"/>
    <w:rsid w:val="00854E14"/>
    <w:rsid w:val="00854FC9"/>
    <w:rsid w:val="00855057"/>
    <w:rsid w:val="00855E94"/>
    <w:rsid w:val="0085634D"/>
    <w:rsid w:val="0085689D"/>
    <w:rsid w:val="008568F9"/>
    <w:rsid w:val="00856B64"/>
    <w:rsid w:val="00856D05"/>
    <w:rsid w:val="00856D4F"/>
    <w:rsid w:val="00856E90"/>
    <w:rsid w:val="0085737A"/>
    <w:rsid w:val="008578AA"/>
    <w:rsid w:val="00857AF1"/>
    <w:rsid w:val="008605F8"/>
    <w:rsid w:val="00860846"/>
    <w:rsid w:val="00860882"/>
    <w:rsid w:val="00860D6A"/>
    <w:rsid w:val="00860E95"/>
    <w:rsid w:val="00860EC0"/>
    <w:rsid w:val="0086109D"/>
    <w:rsid w:val="0086162C"/>
    <w:rsid w:val="00861E61"/>
    <w:rsid w:val="00861E67"/>
    <w:rsid w:val="00863645"/>
    <w:rsid w:val="00863775"/>
    <w:rsid w:val="008638A5"/>
    <w:rsid w:val="00863E46"/>
    <w:rsid w:val="00864A30"/>
    <w:rsid w:val="00864A64"/>
    <w:rsid w:val="008650A7"/>
    <w:rsid w:val="008656C3"/>
    <w:rsid w:val="00865D88"/>
    <w:rsid w:val="008666C3"/>
    <w:rsid w:val="008667A5"/>
    <w:rsid w:val="00866A57"/>
    <w:rsid w:val="00867072"/>
    <w:rsid w:val="008671AE"/>
    <w:rsid w:val="008674F4"/>
    <w:rsid w:val="008678C8"/>
    <w:rsid w:val="008679ED"/>
    <w:rsid w:val="00870334"/>
    <w:rsid w:val="0087085C"/>
    <w:rsid w:val="00870F9F"/>
    <w:rsid w:val="0087141F"/>
    <w:rsid w:val="00871757"/>
    <w:rsid w:val="00871BBE"/>
    <w:rsid w:val="00872045"/>
    <w:rsid w:val="00872067"/>
    <w:rsid w:val="0087238F"/>
    <w:rsid w:val="00872428"/>
    <w:rsid w:val="00872A20"/>
    <w:rsid w:val="00872C81"/>
    <w:rsid w:val="0087341C"/>
    <w:rsid w:val="008734E5"/>
    <w:rsid w:val="00874235"/>
    <w:rsid w:val="008748E5"/>
    <w:rsid w:val="00874EFA"/>
    <w:rsid w:val="00875112"/>
    <w:rsid w:val="0087527C"/>
    <w:rsid w:val="00875F08"/>
    <w:rsid w:val="00876683"/>
    <w:rsid w:val="008766FB"/>
    <w:rsid w:val="008776EB"/>
    <w:rsid w:val="00877AA2"/>
    <w:rsid w:val="0088089D"/>
    <w:rsid w:val="00880906"/>
    <w:rsid w:val="0088093F"/>
    <w:rsid w:val="00880EBC"/>
    <w:rsid w:val="0088102F"/>
    <w:rsid w:val="00881E6A"/>
    <w:rsid w:val="008825E0"/>
    <w:rsid w:val="00882A48"/>
    <w:rsid w:val="00882E37"/>
    <w:rsid w:val="00882EBB"/>
    <w:rsid w:val="00882F9A"/>
    <w:rsid w:val="00883111"/>
    <w:rsid w:val="00883202"/>
    <w:rsid w:val="00883A15"/>
    <w:rsid w:val="0088425F"/>
    <w:rsid w:val="00884BDB"/>
    <w:rsid w:val="008853D7"/>
    <w:rsid w:val="008854F6"/>
    <w:rsid w:val="008857B4"/>
    <w:rsid w:val="00885A2E"/>
    <w:rsid w:val="00885A35"/>
    <w:rsid w:val="00885F98"/>
    <w:rsid w:val="0088646B"/>
    <w:rsid w:val="00886C2C"/>
    <w:rsid w:val="00886F49"/>
    <w:rsid w:val="00886F9A"/>
    <w:rsid w:val="0088765E"/>
    <w:rsid w:val="00887846"/>
    <w:rsid w:val="008879FA"/>
    <w:rsid w:val="00887C99"/>
    <w:rsid w:val="008900CD"/>
    <w:rsid w:val="008905A9"/>
    <w:rsid w:val="0089104D"/>
    <w:rsid w:val="0089161F"/>
    <w:rsid w:val="00891898"/>
    <w:rsid w:val="00891D3A"/>
    <w:rsid w:val="0089239D"/>
    <w:rsid w:val="008927CE"/>
    <w:rsid w:val="00892F1A"/>
    <w:rsid w:val="00893069"/>
    <w:rsid w:val="008941B6"/>
    <w:rsid w:val="00894406"/>
    <w:rsid w:val="00895207"/>
    <w:rsid w:val="008959D2"/>
    <w:rsid w:val="00895EE1"/>
    <w:rsid w:val="00896BBA"/>
    <w:rsid w:val="008970C8"/>
    <w:rsid w:val="00897364"/>
    <w:rsid w:val="00897486"/>
    <w:rsid w:val="008A057E"/>
    <w:rsid w:val="008A063A"/>
    <w:rsid w:val="008A07B5"/>
    <w:rsid w:val="008A0F95"/>
    <w:rsid w:val="008A1040"/>
    <w:rsid w:val="008A21EF"/>
    <w:rsid w:val="008A236F"/>
    <w:rsid w:val="008A2BBB"/>
    <w:rsid w:val="008A2CEC"/>
    <w:rsid w:val="008A316B"/>
    <w:rsid w:val="008A33A2"/>
    <w:rsid w:val="008A3692"/>
    <w:rsid w:val="008A3B9A"/>
    <w:rsid w:val="008A3FC6"/>
    <w:rsid w:val="008A4882"/>
    <w:rsid w:val="008A4FB9"/>
    <w:rsid w:val="008A52A5"/>
    <w:rsid w:val="008A5303"/>
    <w:rsid w:val="008A53E2"/>
    <w:rsid w:val="008A53F7"/>
    <w:rsid w:val="008A540C"/>
    <w:rsid w:val="008A5688"/>
    <w:rsid w:val="008A588A"/>
    <w:rsid w:val="008A5B14"/>
    <w:rsid w:val="008A5C18"/>
    <w:rsid w:val="008A5DB7"/>
    <w:rsid w:val="008A5E61"/>
    <w:rsid w:val="008A5F71"/>
    <w:rsid w:val="008A6376"/>
    <w:rsid w:val="008A7008"/>
    <w:rsid w:val="008A74CA"/>
    <w:rsid w:val="008A7B5B"/>
    <w:rsid w:val="008A7BD0"/>
    <w:rsid w:val="008A7C43"/>
    <w:rsid w:val="008B012B"/>
    <w:rsid w:val="008B0293"/>
    <w:rsid w:val="008B0566"/>
    <w:rsid w:val="008B08A0"/>
    <w:rsid w:val="008B0927"/>
    <w:rsid w:val="008B0C87"/>
    <w:rsid w:val="008B0CED"/>
    <w:rsid w:val="008B2297"/>
    <w:rsid w:val="008B26DB"/>
    <w:rsid w:val="008B2783"/>
    <w:rsid w:val="008B286E"/>
    <w:rsid w:val="008B357D"/>
    <w:rsid w:val="008B35C9"/>
    <w:rsid w:val="008B39EA"/>
    <w:rsid w:val="008B3D68"/>
    <w:rsid w:val="008B481E"/>
    <w:rsid w:val="008B53A4"/>
    <w:rsid w:val="008B5784"/>
    <w:rsid w:val="008B6295"/>
    <w:rsid w:val="008B66A4"/>
    <w:rsid w:val="008B6D8A"/>
    <w:rsid w:val="008B72FF"/>
    <w:rsid w:val="008B7488"/>
    <w:rsid w:val="008B7938"/>
    <w:rsid w:val="008B7D9B"/>
    <w:rsid w:val="008B7EA0"/>
    <w:rsid w:val="008C02F3"/>
    <w:rsid w:val="008C03E9"/>
    <w:rsid w:val="008C0B5B"/>
    <w:rsid w:val="008C0CE1"/>
    <w:rsid w:val="008C12F7"/>
    <w:rsid w:val="008C14CB"/>
    <w:rsid w:val="008C1DAF"/>
    <w:rsid w:val="008C24FA"/>
    <w:rsid w:val="008C2894"/>
    <w:rsid w:val="008C2BCC"/>
    <w:rsid w:val="008C33FC"/>
    <w:rsid w:val="008C389E"/>
    <w:rsid w:val="008C3BFB"/>
    <w:rsid w:val="008C3C5C"/>
    <w:rsid w:val="008C3F6B"/>
    <w:rsid w:val="008C4431"/>
    <w:rsid w:val="008C44E6"/>
    <w:rsid w:val="008C5071"/>
    <w:rsid w:val="008C52C7"/>
    <w:rsid w:val="008C58A2"/>
    <w:rsid w:val="008C5B48"/>
    <w:rsid w:val="008C61D3"/>
    <w:rsid w:val="008C62FA"/>
    <w:rsid w:val="008C6941"/>
    <w:rsid w:val="008C6C83"/>
    <w:rsid w:val="008C6FD3"/>
    <w:rsid w:val="008C75D2"/>
    <w:rsid w:val="008C7A41"/>
    <w:rsid w:val="008C7D96"/>
    <w:rsid w:val="008D0D00"/>
    <w:rsid w:val="008D197A"/>
    <w:rsid w:val="008D1E19"/>
    <w:rsid w:val="008D2708"/>
    <w:rsid w:val="008D32A2"/>
    <w:rsid w:val="008D32DE"/>
    <w:rsid w:val="008D3343"/>
    <w:rsid w:val="008D35E5"/>
    <w:rsid w:val="008D3678"/>
    <w:rsid w:val="008D37C9"/>
    <w:rsid w:val="008D407B"/>
    <w:rsid w:val="008D41D7"/>
    <w:rsid w:val="008D44DC"/>
    <w:rsid w:val="008D467A"/>
    <w:rsid w:val="008D4B28"/>
    <w:rsid w:val="008D520F"/>
    <w:rsid w:val="008D5385"/>
    <w:rsid w:val="008D5602"/>
    <w:rsid w:val="008D59E6"/>
    <w:rsid w:val="008D5CD8"/>
    <w:rsid w:val="008D6039"/>
    <w:rsid w:val="008D6B37"/>
    <w:rsid w:val="008D728A"/>
    <w:rsid w:val="008D7E07"/>
    <w:rsid w:val="008D7E18"/>
    <w:rsid w:val="008E09DE"/>
    <w:rsid w:val="008E0CC4"/>
    <w:rsid w:val="008E0F50"/>
    <w:rsid w:val="008E180B"/>
    <w:rsid w:val="008E19DF"/>
    <w:rsid w:val="008E2832"/>
    <w:rsid w:val="008E2B11"/>
    <w:rsid w:val="008E2C9B"/>
    <w:rsid w:val="008E3310"/>
    <w:rsid w:val="008E349A"/>
    <w:rsid w:val="008E3CC5"/>
    <w:rsid w:val="008E3F61"/>
    <w:rsid w:val="008E474A"/>
    <w:rsid w:val="008E48F5"/>
    <w:rsid w:val="008E493D"/>
    <w:rsid w:val="008E4B17"/>
    <w:rsid w:val="008E5152"/>
    <w:rsid w:val="008E562B"/>
    <w:rsid w:val="008E58C0"/>
    <w:rsid w:val="008E6052"/>
    <w:rsid w:val="008E6139"/>
    <w:rsid w:val="008E6381"/>
    <w:rsid w:val="008E640D"/>
    <w:rsid w:val="008E6600"/>
    <w:rsid w:val="008E6797"/>
    <w:rsid w:val="008E6E7D"/>
    <w:rsid w:val="008E767C"/>
    <w:rsid w:val="008E7888"/>
    <w:rsid w:val="008E7CDD"/>
    <w:rsid w:val="008F04D5"/>
    <w:rsid w:val="008F05AE"/>
    <w:rsid w:val="008F1DF4"/>
    <w:rsid w:val="008F1F17"/>
    <w:rsid w:val="008F1F39"/>
    <w:rsid w:val="008F2290"/>
    <w:rsid w:val="008F22B4"/>
    <w:rsid w:val="008F24A5"/>
    <w:rsid w:val="008F2ACA"/>
    <w:rsid w:val="008F2EF5"/>
    <w:rsid w:val="008F346F"/>
    <w:rsid w:val="008F3B4B"/>
    <w:rsid w:val="008F3C51"/>
    <w:rsid w:val="008F4469"/>
    <w:rsid w:val="008F4657"/>
    <w:rsid w:val="008F59D5"/>
    <w:rsid w:val="008F5D5E"/>
    <w:rsid w:val="008F62E6"/>
    <w:rsid w:val="008F7198"/>
    <w:rsid w:val="008F783E"/>
    <w:rsid w:val="008F79A8"/>
    <w:rsid w:val="008F7A8D"/>
    <w:rsid w:val="008F7B94"/>
    <w:rsid w:val="008F7F05"/>
    <w:rsid w:val="0090048D"/>
    <w:rsid w:val="00900BF4"/>
    <w:rsid w:val="00900FB9"/>
    <w:rsid w:val="0090104C"/>
    <w:rsid w:val="00901627"/>
    <w:rsid w:val="00901E0C"/>
    <w:rsid w:val="00901E10"/>
    <w:rsid w:val="009021CA"/>
    <w:rsid w:val="00902216"/>
    <w:rsid w:val="0090255E"/>
    <w:rsid w:val="009033E7"/>
    <w:rsid w:val="00903FAB"/>
    <w:rsid w:val="009041A5"/>
    <w:rsid w:val="009046E0"/>
    <w:rsid w:val="009052EC"/>
    <w:rsid w:val="00905617"/>
    <w:rsid w:val="009059FA"/>
    <w:rsid w:val="00905E5C"/>
    <w:rsid w:val="00905F63"/>
    <w:rsid w:val="0090691C"/>
    <w:rsid w:val="00906A98"/>
    <w:rsid w:val="00907319"/>
    <w:rsid w:val="00907638"/>
    <w:rsid w:val="00907A0E"/>
    <w:rsid w:val="0091039A"/>
    <w:rsid w:val="0091077E"/>
    <w:rsid w:val="00910A5E"/>
    <w:rsid w:val="00910C0C"/>
    <w:rsid w:val="00910E02"/>
    <w:rsid w:val="00911368"/>
    <w:rsid w:val="00911700"/>
    <w:rsid w:val="0091187B"/>
    <w:rsid w:val="00911A4D"/>
    <w:rsid w:val="00911E36"/>
    <w:rsid w:val="0091207A"/>
    <w:rsid w:val="009120F5"/>
    <w:rsid w:val="009122DA"/>
    <w:rsid w:val="0091253E"/>
    <w:rsid w:val="00912761"/>
    <w:rsid w:val="00912896"/>
    <w:rsid w:val="00912FE8"/>
    <w:rsid w:val="009132A7"/>
    <w:rsid w:val="00913396"/>
    <w:rsid w:val="009133B8"/>
    <w:rsid w:val="0091344F"/>
    <w:rsid w:val="00913834"/>
    <w:rsid w:val="00913A65"/>
    <w:rsid w:val="00914297"/>
    <w:rsid w:val="009145AC"/>
    <w:rsid w:val="00914D7F"/>
    <w:rsid w:val="009153E7"/>
    <w:rsid w:val="009157FC"/>
    <w:rsid w:val="00915881"/>
    <w:rsid w:val="00915A8A"/>
    <w:rsid w:val="00916317"/>
    <w:rsid w:val="00916827"/>
    <w:rsid w:val="00916E42"/>
    <w:rsid w:val="00916F97"/>
    <w:rsid w:val="009170AA"/>
    <w:rsid w:val="0091737B"/>
    <w:rsid w:val="00917AAB"/>
    <w:rsid w:val="00920989"/>
    <w:rsid w:val="00921174"/>
    <w:rsid w:val="00921E96"/>
    <w:rsid w:val="00921F3C"/>
    <w:rsid w:val="0092253E"/>
    <w:rsid w:val="00922921"/>
    <w:rsid w:val="00922EA0"/>
    <w:rsid w:val="00923388"/>
    <w:rsid w:val="00923D69"/>
    <w:rsid w:val="00923FB9"/>
    <w:rsid w:val="009249AE"/>
    <w:rsid w:val="00924A2B"/>
    <w:rsid w:val="009251F9"/>
    <w:rsid w:val="009253FF"/>
    <w:rsid w:val="009256AC"/>
    <w:rsid w:val="00925978"/>
    <w:rsid w:val="00925986"/>
    <w:rsid w:val="00925A5E"/>
    <w:rsid w:val="00926901"/>
    <w:rsid w:val="00926B8A"/>
    <w:rsid w:val="00927595"/>
    <w:rsid w:val="00927660"/>
    <w:rsid w:val="00927A17"/>
    <w:rsid w:val="00927A42"/>
    <w:rsid w:val="00927BD5"/>
    <w:rsid w:val="00927D99"/>
    <w:rsid w:val="00927E45"/>
    <w:rsid w:val="00930483"/>
    <w:rsid w:val="009305A7"/>
    <w:rsid w:val="0093081E"/>
    <w:rsid w:val="00930A86"/>
    <w:rsid w:val="0093105C"/>
    <w:rsid w:val="00931318"/>
    <w:rsid w:val="00931687"/>
    <w:rsid w:val="00932881"/>
    <w:rsid w:val="009332D6"/>
    <w:rsid w:val="00933499"/>
    <w:rsid w:val="00933755"/>
    <w:rsid w:val="00934353"/>
    <w:rsid w:val="00934B50"/>
    <w:rsid w:val="00934DD2"/>
    <w:rsid w:val="00935489"/>
    <w:rsid w:val="009355A1"/>
    <w:rsid w:val="009355C9"/>
    <w:rsid w:val="00936235"/>
    <w:rsid w:val="009363D6"/>
    <w:rsid w:val="009367F7"/>
    <w:rsid w:val="00936EE2"/>
    <w:rsid w:val="00940F22"/>
    <w:rsid w:val="009411FF"/>
    <w:rsid w:val="009416DF"/>
    <w:rsid w:val="0094198F"/>
    <w:rsid w:val="00941D8F"/>
    <w:rsid w:val="00943204"/>
    <w:rsid w:val="0094384B"/>
    <w:rsid w:val="009438DF"/>
    <w:rsid w:val="00943D58"/>
    <w:rsid w:val="009448CC"/>
    <w:rsid w:val="00944AC5"/>
    <w:rsid w:val="00944BFB"/>
    <w:rsid w:val="00944CB3"/>
    <w:rsid w:val="009453C3"/>
    <w:rsid w:val="00945571"/>
    <w:rsid w:val="00945BAC"/>
    <w:rsid w:val="00945BD5"/>
    <w:rsid w:val="00945E99"/>
    <w:rsid w:val="00946AED"/>
    <w:rsid w:val="00946BC1"/>
    <w:rsid w:val="00946E4E"/>
    <w:rsid w:val="00947564"/>
    <w:rsid w:val="00947C84"/>
    <w:rsid w:val="00947CC9"/>
    <w:rsid w:val="00950885"/>
    <w:rsid w:val="00950A4E"/>
    <w:rsid w:val="00950C9D"/>
    <w:rsid w:val="00950CCC"/>
    <w:rsid w:val="009515D4"/>
    <w:rsid w:val="009517DF"/>
    <w:rsid w:val="00951826"/>
    <w:rsid w:val="00951B54"/>
    <w:rsid w:val="00951DD6"/>
    <w:rsid w:val="0095207B"/>
    <w:rsid w:val="00952534"/>
    <w:rsid w:val="0095263C"/>
    <w:rsid w:val="00952DB6"/>
    <w:rsid w:val="00952FA4"/>
    <w:rsid w:val="0095392F"/>
    <w:rsid w:val="009539B2"/>
    <w:rsid w:val="00953A59"/>
    <w:rsid w:val="00953FD4"/>
    <w:rsid w:val="009542AD"/>
    <w:rsid w:val="00955437"/>
    <w:rsid w:val="00955746"/>
    <w:rsid w:val="00955BF4"/>
    <w:rsid w:val="00955E42"/>
    <w:rsid w:val="0095652F"/>
    <w:rsid w:val="00956957"/>
    <w:rsid w:val="00956F57"/>
    <w:rsid w:val="00956FBE"/>
    <w:rsid w:val="00957142"/>
    <w:rsid w:val="00960007"/>
    <w:rsid w:val="0096047E"/>
    <w:rsid w:val="00960EEB"/>
    <w:rsid w:val="0096190E"/>
    <w:rsid w:val="00961F82"/>
    <w:rsid w:val="009622D9"/>
    <w:rsid w:val="00962479"/>
    <w:rsid w:val="0096257D"/>
    <w:rsid w:val="009626BF"/>
    <w:rsid w:val="009633D0"/>
    <w:rsid w:val="00963CB6"/>
    <w:rsid w:val="00964122"/>
    <w:rsid w:val="009641EF"/>
    <w:rsid w:val="0096468A"/>
    <w:rsid w:val="00964720"/>
    <w:rsid w:val="00965D5C"/>
    <w:rsid w:val="0096606F"/>
    <w:rsid w:val="00966113"/>
    <w:rsid w:val="00966494"/>
    <w:rsid w:val="009666A0"/>
    <w:rsid w:val="009667EB"/>
    <w:rsid w:val="00967106"/>
    <w:rsid w:val="00967379"/>
    <w:rsid w:val="00967BCA"/>
    <w:rsid w:val="00967DF9"/>
    <w:rsid w:val="00970494"/>
    <w:rsid w:val="00970950"/>
    <w:rsid w:val="00970DEE"/>
    <w:rsid w:val="009711DD"/>
    <w:rsid w:val="009715EE"/>
    <w:rsid w:val="00972631"/>
    <w:rsid w:val="009733AD"/>
    <w:rsid w:val="009736F9"/>
    <w:rsid w:val="009739D0"/>
    <w:rsid w:val="00974D62"/>
    <w:rsid w:val="009751DF"/>
    <w:rsid w:val="00975558"/>
    <w:rsid w:val="00975769"/>
    <w:rsid w:val="00975BEA"/>
    <w:rsid w:val="00975D06"/>
    <w:rsid w:val="00975E6A"/>
    <w:rsid w:val="00975EF5"/>
    <w:rsid w:val="0097606C"/>
    <w:rsid w:val="00976125"/>
    <w:rsid w:val="0097678A"/>
    <w:rsid w:val="00976D6E"/>
    <w:rsid w:val="00977276"/>
    <w:rsid w:val="0097738F"/>
    <w:rsid w:val="0097761E"/>
    <w:rsid w:val="00977C1B"/>
    <w:rsid w:val="00977F5E"/>
    <w:rsid w:val="00980327"/>
    <w:rsid w:val="00980A33"/>
    <w:rsid w:val="00980B3F"/>
    <w:rsid w:val="00980CA4"/>
    <w:rsid w:val="00981007"/>
    <w:rsid w:val="00981A3A"/>
    <w:rsid w:val="00981A4E"/>
    <w:rsid w:val="00981CBB"/>
    <w:rsid w:val="00981E56"/>
    <w:rsid w:val="00982470"/>
    <w:rsid w:val="009826E5"/>
    <w:rsid w:val="00983ABB"/>
    <w:rsid w:val="00983B5B"/>
    <w:rsid w:val="00983D03"/>
    <w:rsid w:val="00983D07"/>
    <w:rsid w:val="00983EFE"/>
    <w:rsid w:val="00984169"/>
    <w:rsid w:val="009842E1"/>
    <w:rsid w:val="009843E5"/>
    <w:rsid w:val="00984763"/>
    <w:rsid w:val="00984D1E"/>
    <w:rsid w:val="00984E8C"/>
    <w:rsid w:val="00984F99"/>
    <w:rsid w:val="00985012"/>
    <w:rsid w:val="00985AEC"/>
    <w:rsid w:val="00985B99"/>
    <w:rsid w:val="00985B9A"/>
    <w:rsid w:val="00985D7E"/>
    <w:rsid w:val="009862CD"/>
    <w:rsid w:val="009867E4"/>
    <w:rsid w:val="00986E4B"/>
    <w:rsid w:val="00987279"/>
    <w:rsid w:val="009872F4"/>
    <w:rsid w:val="009877FA"/>
    <w:rsid w:val="0099000D"/>
    <w:rsid w:val="009904C3"/>
    <w:rsid w:val="00991C16"/>
    <w:rsid w:val="00992617"/>
    <w:rsid w:val="00992687"/>
    <w:rsid w:val="0099302F"/>
    <w:rsid w:val="00993A8B"/>
    <w:rsid w:val="00993BB6"/>
    <w:rsid w:val="00993FD0"/>
    <w:rsid w:val="0099460F"/>
    <w:rsid w:val="009947C3"/>
    <w:rsid w:val="00995279"/>
    <w:rsid w:val="009953E5"/>
    <w:rsid w:val="009954EE"/>
    <w:rsid w:val="00995D12"/>
    <w:rsid w:val="009968E1"/>
    <w:rsid w:val="00996BDE"/>
    <w:rsid w:val="00996F70"/>
    <w:rsid w:val="009970A3"/>
    <w:rsid w:val="00997107"/>
    <w:rsid w:val="00997959"/>
    <w:rsid w:val="00997D1F"/>
    <w:rsid w:val="00997DF8"/>
    <w:rsid w:val="009A0174"/>
    <w:rsid w:val="009A019F"/>
    <w:rsid w:val="009A05C9"/>
    <w:rsid w:val="009A0A86"/>
    <w:rsid w:val="009A1081"/>
    <w:rsid w:val="009A19EF"/>
    <w:rsid w:val="009A2690"/>
    <w:rsid w:val="009A28C7"/>
    <w:rsid w:val="009A2A8F"/>
    <w:rsid w:val="009A2CBC"/>
    <w:rsid w:val="009A30E5"/>
    <w:rsid w:val="009A3693"/>
    <w:rsid w:val="009A37BC"/>
    <w:rsid w:val="009A3C73"/>
    <w:rsid w:val="009A3CF1"/>
    <w:rsid w:val="009A45F2"/>
    <w:rsid w:val="009A4D3F"/>
    <w:rsid w:val="009A53D1"/>
    <w:rsid w:val="009A5A06"/>
    <w:rsid w:val="009A5CDB"/>
    <w:rsid w:val="009A5E37"/>
    <w:rsid w:val="009A5E50"/>
    <w:rsid w:val="009A5F05"/>
    <w:rsid w:val="009A60A0"/>
    <w:rsid w:val="009A670A"/>
    <w:rsid w:val="009A6D53"/>
    <w:rsid w:val="009A6F99"/>
    <w:rsid w:val="009A7AF8"/>
    <w:rsid w:val="009A7B50"/>
    <w:rsid w:val="009B0776"/>
    <w:rsid w:val="009B0BDA"/>
    <w:rsid w:val="009B0C8E"/>
    <w:rsid w:val="009B104B"/>
    <w:rsid w:val="009B121A"/>
    <w:rsid w:val="009B1D85"/>
    <w:rsid w:val="009B2311"/>
    <w:rsid w:val="009B2352"/>
    <w:rsid w:val="009B25C4"/>
    <w:rsid w:val="009B27D9"/>
    <w:rsid w:val="009B2AB4"/>
    <w:rsid w:val="009B2B19"/>
    <w:rsid w:val="009B2B50"/>
    <w:rsid w:val="009B2F88"/>
    <w:rsid w:val="009B346B"/>
    <w:rsid w:val="009B356A"/>
    <w:rsid w:val="009B3AE7"/>
    <w:rsid w:val="009B3E20"/>
    <w:rsid w:val="009B47EC"/>
    <w:rsid w:val="009B5A11"/>
    <w:rsid w:val="009B5C19"/>
    <w:rsid w:val="009B5D05"/>
    <w:rsid w:val="009B60D8"/>
    <w:rsid w:val="009B61D7"/>
    <w:rsid w:val="009B6281"/>
    <w:rsid w:val="009B629D"/>
    <w:rsid w:val="009B707F"/>
    <w:rsid w:val="009B72E5"/>
    <w:rsid w:val="009C0525"/>
    <w:rsid w:val="009C06A2"/>
    <w:rsid w:val="009C114A"/>
    <w:rsid w:val="009C174A"/>
    <w:rsid w:val="009C19A8"/>
    <w:rsid w:val="009C2246"/>
    <w:rsid w:val="009C2C06"/>
    <w:rsid w:val="009C2CD1"/>
    <w:rsid w:val="009C2FB2"/>
    <w:rsid w:val="009C31AC"/>
    <w:rsid w:val="009C38B9"/>
    <w:rsid w:val="009C40E9"/>
    <w:rsid w:val="009C4258"/>
    <w:rsid w:val="009C4505"/>
    <w:rsid w:val="009C4EEB"/>
    <w:rsid w:val="009C54B8"/>
    <w:rsid w:val="009C5D60"/>
    <w:rsid w:val="009C5E3D"/>
    <w:rsid w:val="009C5E4A"/>
    <w:rsid w:val="009C6066"/>
    <w:rsid w:val="009C696E"/>
    <w:rsid w:val="009C6D12"/>
    <w:rsid w:val="009C6E07"/>
    <w:rsid w:val="009C724C"/>
    <w:rsid w:val="009C7DA8"/>
    <w:rsid w:val="009D0265"/>
    <w:rsid w:val="009D0EE5"/>
    <w:rsid w:val="009D1285"/>
    <w:rsid w:val="009D1B66"/>
    <w:rsid w:val="009D2BEF"/>
    <w:rsid w:val="009D3636"/>
    <w:rsid w:val="009D3A82"/>
    <w:rsid w:val="009D4085"/>
    <w:rsid w:val="009D4AB7"/>
    <w:rsid w:val="009D58E6"/>
    <w:rsid w:val="009D5CF8"/>
    <w:rsid w:val="009D60C5"/>
    <w:rsid w:val="009D6313"/>
    <w:rsid w:val="009D6579"/>
    <w:rsid w:val="009D6A81"/>
    <w:rsid w:val="009D6A8C"/>
    <w:rsid w:val="009D6CD7"/>
    <w:rsid w:val="009D6DA0"/>
    <w:rsid w:val="009D74B8"/>
    <w:rsid w:val="009D7621"/>
    <w:rsid w:val="009D7698"/>
    <w:rsid w:val="009D7A15"/>
    <w:rsid w:val="009D7BA5"/>
    <w:rsid w:val="009E0152"/>
    <w:rsid w:val="009E074F"/>
    <w:rsid w:val="009E0762"/>
    <w:rsid w:val="009E108A"/>
    <w:rsid w:val="009E183F"/>
    <w:rsid w:val="009E1C94"/>
    <w:rsid w:val="009E1E2F"/>
    <w:rsid w:val="009E2830"/>
    <w:rsid w:val="009E2A92"/>
    <w:rsid w:val="009E3D24"/>
    <w:rsid w:val="009E4027"/>
    <w:rsid w:val="009E4282"/>
    <w:rsid w:val="009E465E"/>
    <w:rsid w:val="009E4CB6"/>
    <w:rsid w:val="009E5942"/>
    <w:rsid w:val="009E615A"/>
    <w:rsid w:val="009E6911"/>
    <w:rsid w:val="009E6E81"/>
    <w:rsid w:val="009E7790"/>
    <w:rsid w:val="009F02BD"/>
    <w:rsid w:val="009F0808"/>
    <w:rsid w:val="009F0A47"/>
    <w:rsid w:val="009F0B60"/>
    <w:rsid w:val="009F0EDD"/>
    <w:rsid w:val="009F148B"/>
    <w:rsid w:val="009F1F62"/>
    <w:rsid w:val="009F26C6"/>
    <w:rsid w:val="009F2DFC"/>
    <w:rsid w:val="009F310F"/>
    <w:rsid w:val="009F3C7C"/>
    <w:rsid w:val="009F3ECC"/>
    <w:rsid w:val="009F43EC"/>
    <w:rsid w:val="009F4439"/>
    <w:rsid w:val="009F46A8"/>
    <w:rsid w:val="009F46F2"/>
    <w:rsid w:val="009F55BC"/>
    <w:rsid w:val="009F5CB7"/>
    <w:rsid w:val="009F60BE"/>
    <w:rsid w:val="009F67E7"/>
    <w:rsid w:val="009F6B0C"/>
    <w:rsid w:val="009F753E"/>
    <w:rsid w:val="009F76BF"/>
    <w:rsid w:val="009F7EA1"/>
    <w:rsid w:val="00A001A1"/>
    <w:rsid w:val="00A00476"/>
    <w:rsid w:val="00A00A8A"/>
    <w:rsid w:val="00A00C0A"/>
    <w:rsid w:val="00A00EA7"/>
    <w:rsid w:val="00A00FFC"/>
    <w:rsid w:val="00A013C1"/>
    <w:rsid w:val="00A01BA5"/>
    <w:rsid w:val="00A01E6F"/>
    <w:rsid w:val="00A0235A"/>
    <w:rsid w:val="00A0266F"/>
    <w:rsid w:val="00A02B3F"/>
    <w:rsid w:val="00A03A41"/>
    <w:rsid w:val="00A03B2E"/>
    <w:rsid w:val="00A03D05"/>
    <w:rsid w:val="00A03E19"/>
    <w:rsid w:val="00A03F26"/>
    <w:rsid w:val="00A03F37"/>
    <w:rsid w:val="00A0451B"/>
    <w:rsid w:val="00A04705"/>
    <w:rsid w:val="00A04D43"/>
    <w:rsid w:val="00A05060"/>
    <w:rsid w:val="00A05C43"/>
    <w:rsid w:val="00A06D5B"/>
    <w:rsid w:val="00A06EC7"/>
    <w:rsid w:val="00A07260"/>
    <w:rsid w:val="00A07C38"/>
    <w:rsid w:val="00A07EA8"/>
    <w:rsid w:val="00A07FD4"/>
    <w:rsid w:val="00A10131"/>
    <w:rsid w:val="00A10511"/>
    <w:rsid w:val="00A10559"/>
    <w:rsid w:val="00A10761"/>
    <w:rsid w:val="00A10816"/>
    <w:rsid w:val="00A1108F"/>
    <w:rsid w:val="00A11329"/>
    <w:rsid w:val="00A11ABC"/>
    <w:rsid w:val="00A122DC"/>
    <w:rsid w:val="00A124A2"/>
    <w:rsid w:val="00A12715"/>
    <w:rsid w:val="00A12958"/>
    <w:rsid w:val="00A1339C"/>
    <w:rsid w:val="00A13945"/>
    <w:rsid w:val="00A139FC"/>
    <w:rsid w:val="00A13CDB"/>
    <w:rsid w:val="00A14025"/>
    <w:rsid w:val="00A14466"/>
    <w:rsid w:val="00A149A9"/>
    <w:rsid w:val="00A157C3"/>
    <w:rsid w:val="00A15BE3"/>
    <w:rsid w:val="00A1623C"/>
    <w:rsid w:val="00A16899"/>
    <w:rsid w:val="00A169A0"/>
    <w:rsid w:val="00A16A36"/>
    <w:rsid w:val="00A16C4A"/>
    <w:rsid w:val="00A170C9"/>
    <w:rsid w:val="00A1714A"/>
    <w:rsid w:val="00A17D48"/>
    <w:rsid w:val="00A209AC"/>
    <w:rsid w:val="00A2130A"/>
    <w:rsid w:val="00A21532"/>
    <w:rsid w:val="00A21B8D"/>
    <w:rsid w:val="00A21BC4"/>
    <w:rsid w:val="00A21CC7"/>
    <w:rsid w:val="00A21F7D"/>
    <w:rsid w:val="00A22845"/>
    <w:rsid w:val="00A23435"/>
    <w:rsid w:val="00A2358F"/>
    <w:rsid w:val="00A235BF"/>
    <w:rsid w:val="00A2391A"/>
    <w:rsid w:val="00A239F2"/>
    <w:rsid w:val="00A23C07"/>
    <w:rsid w:val="00A240C7"/>
    <w:rsid w:val="00A24115"/>
    <w:rsid w:val="00A24C17"/>
    <w:rsid w:val="00A24FF8"/>
    <w:rsid w:val="00A257DB"/>
    <w:rsid w:val="00A258AB"/>
    <w:rsid w:val="00A25D9F"/>
    <w:rsid w:val="00A25EC1"/>
    <w:rsid w:val="00A25FA1"/>
    <w:rsid w:val="00A269E8"/>
    <w:rsid w:val="00A26D86"/>
    <w:rsid w:val="00A27F80"/>
    <w:rsid w:val="00A30490"/>
    <w:rsid w:val="00A3085B"/>
    <w:rsid w:val="00A30EF5"/>
    <w:rsid w:val="00A32265"/>
    <w:rsid w:val="00A323A6"/>
    <w:rsid w:val="00A323C4"/>
    <w:rsid w:val="00A32779"/>
    <w:rsid w:val="00A3295A"/>
    <w:rsid w:val="00A3358E"/>
    <w:rsid w:val="00A337A5"/>
    <w:rsid w:val="00A344A2"/>
    <w:rsid w:val="00A34538"/>
    <w:rsid w:val="00A35893"/>
    <w:rsid w:val="00A35E06"/>
    <w:rsid w:val="00A36159"/>
    <w:rsid w:val="00A3683A"/>
    <w:rsid w:val="00A36DD0"/>
    <w:rsid w:val="00A37203"/>
    <w:rsid w:val="00A37260"/>
    <w:rsid w:val="00A3746D"/>
    <w:rsid w:val="00A374C5"/>
    <w:rsid w:val="00A37901"/>
    <w:rsid w:val="00A37AAE"/>
    <w:rsid w:val="00A37D0F"/>
    <w:rsid w:val="00A40709"/>
    <w:rsid w:val="00A407D9"/>
    <w:rsid w:val="00A408DA"/>
    <w:rsid w:val="00A41902"/>
    <w:rsid w:val="00A41DDB"/>
    <w:rsid w:val="00A42668"/>
    <w:rsid w:val="00A42D7F"/>
    <w:rsid w:val="00A42DA1"/>
    <w:rsid w:val="00A43421"/>
    <w:rsid w:val="00A43525"/>
    <w:rsid w:val="00A438B3"/>
    <w:rsid w:val="00A439E2"/>
    <w:rsid w:val="00A43A7E"/>
    <w:rsid w:val="00A43BF2"/>
    <w:rsid w:val="00A446E3"/>
    <w:rsid w:val="00A4474C"/>
    <w:rsid w:val="00A44A64"/>
    <w:rsid w:val="00A44C6F"/>
    <w:rsid w:val="00A455C0"/>
    <w:rsid w:val="00A456A0"/>
    <w:rsid w:val="00A458DE"/>
    <w:rsid w:val="00A45A63"/>
    <w:rsid w:val="00A465CF"/>
    <w:rsid w:val="00A46D2D"/>
    <w:rsid w:val="00A47039"/>
    <w:rsid w:val="00A4772A"/>
    <w:rsid w:val="00A5113D"/>
    <w:rsid w:val="00A51D29"/>
    <w:rsid w:val="00A51D9C"/>
    <w:rsid w:val="00A51E50"/>
    <w:rsid w:val="00A521A2"/>
    <w:rsid w:val="00A5234A"/>
    <w:rsid w:val="00A52C50"/>
    <w:rsid w:val="00A52E96"/>
    <w:rsid w:val="00A52F96"/>
    <w:rsid w:val="00A544A7"/>
    <w:rsid w:val="00A5458D"/>
    <w:rsid w:val="00A54E17"/>
    <w:rsid w:val="00A5551B"/>
    <w:rsid w:val="00A559ED"/>
    <w:rsid w:val="00A5629F"/>
    <w:rsid w:val="00A5645C"/>
    <w:rsid w:val="00A5650A"/>
    <w:rsid w:val="00A56EA5"/>
    <w:rsid w:val="00A57C42"/>
    <w:rsid w:val="00A57D18"/>
    <w:rsid w:val="00A57DE4"/>
    <w:rsid w:val="00A60453"/>
    <w:rsid w:val="00A6048A"/>
    <w:rsid w:val="00A6061B"/>
    <w:rsid w:val="00A609AF"/>
    <w:rsid w:val="00A60CD7"/>
    <w:rsid w:val="00A60EB8"/>
    <w:rsid w:val="00A610F7"/>
    <w:rsid w:val="00A61316"/>
    <w:rsid w:val="00A61EFD"/>
    <w:rsid w:val="00A6221E"/>
    <w:rsid w:val="00A62A4D"/>
    <w:rsid w:val="00A62CD7"/>
    <w:rsid w:val="00A62E0E"/>
    <w:rsid w:val="00A62E96"/>
    <w:rsid w:val="00A636FF"/>
    <w:rsid w:val="00A6377F"/>
    <w:rsid w:val="00A637E0"/>
    <w:rsid w:val="00A63F49"/>
    <w:rsid w:val="00A640F1"/>
    <w:rsid w:val="00A643C7"/>
    <w:rsid w:val="00A64AB0"/>
    <w:rsid w:val="00A64C18"/>
    <w:rsid w:val="00A64D99"/>
    <w:rsid w:val="00A64E63"/>
    <w:rsid w:val="00A65F55"/>
    <w:rsid w:val="00A65F7D"/>
    <w:rsid w:val="00A66150"/>
    <w:rsid w:val="00A67AD1"/>
    <w:rsid w:val="00A7016E"/>
    <w:rsid w:val="00A701C7"/>
    <w:rsid w:val="00A7053F"/>
    <w:rsid w:val="00A70699"/>
    <w:rsid w:val="00A70B9F"/>
    <w:rsid w:val="00A711E4"/>
    <w:rsid w:val="00A715A8"/>
    <w:rsid w:val="00A715CE"/>
    <w:rsid w:val="00A71B80"/>
    <w:rsid w:val="00A71EA1"/>
    <w:rsid w:val="00A72344"/>
    <w:rsid w:val="00A72492"/>
    <w:rsid w:val="00A72F1C"/>
    <w:rsid w:val="00A73603"/>
    <w:rsid w:val="00A7394D"/>
    <w:rsid w:val="00A73A3C"/>
    <w:rsid w:val="00A73F76"/>
    <w:rsid w:val="00A74050"/>
    <w:rsid w:val="00A742F9"/>
    <w:rsid w:val="00A748F0"/>
    <w:rsid w:val="00A74997"/>
    <w:rsid w:val="00A750C3"/>
    <w:rsid w:val="00A752B7"/>
    <w:rsid w:val="00A7536D"/>
    <w:rsid w:val="00A75466"/>
    <w:rsid w:val="00A75500"/>
    <w:rsid w:val="00A756B3"/>
    <w:rsid w:val="00A75D69"/>
    <w:rsid w:val="00A76467"/>
    <w:rsid w:val="00A7673B"/>
    <w:rsid w:val="00A76B1A"/>
    <w:rsid w:val="00A76EAC"/>
    <w:rsid w:val="00A76F4A"/>
    <w:rsid w:val="00A77AED"/>
    <w:rsid w:val="00A77C67"/>
    <w:rsid w:val="00A77F08"/>
    <w:rsid w:val="00A80BA6"/>
    <w:rsid w:val="00A80CB8"/>
    <w:rsid w:val="00A81477"/>
    <w:rsid w:val="00A81831"/>
    <w:rsid w:val="00A81CE0"/>
    <w:rsid w:val="00A82027"/>
    <w:rsid w:val="00A820FC"/>
    <w:rsid w:val="00A82132"/>
    <w:rsid w:val="00A82158"/>
    <w:rsid w:val="00A8229C"/>
    <w:rsid w:val="00A82307"/>
    <w:rsid w:val="00A825DF"/>
    <w:rsid w:val="00A827DE"/>
    <w:rsid w:val="00A8280B"/>
    <w:rsid w:val="00A8286B"/>
    <w:rsid w:val="00A83146"/>
    <w:rsid w:val="00A832C3"/>
    <w:rsid w:val="00A83486"/>
    <w:rsid w:val="00A837A8"/>
    <w:rsid w:val="00A83B52"/>
    <w:rsid w:val="00A83BC8"/>
    <w:rsid w:val="00A83CA0"/>
    <w:rsid w:val="00A84313"/>
    <w:rsid w:val="00A84619"/>
    <w:rsid w:val="00A847D1"/>
    <w:rsid w:val="00A84E52"/>
    <w:rsid w:val="00A85223"/>
    <w:rsid w:val="00A8526B"/>
    <w:rsid w:val="00A858B8"/>
    <w:rsid w:val="00A858D6"/>
    <w:rsid w:val="00A86020"/>
    <w:rsid w:val="00A86739"/>
    <w:rsid w:val="00A87577"/>
    <w:rsid w:val="00A87588"/>
    <w:rsid w:val="00A876F8"/>
    <w:rsid w:val="00A87A63"/>
    <w:rsid w:val="00A87A95"/>
    <w:rsid w:val="00A90304"/>
    <w:rsid w:val="00A90382"/>
    <w:rsid w:val="00A9073A"/>
    <w:rsid w:val="00A90ABD"/>
    <w:rsid w:val="00A90DB0"/>
    <w:rsid w:val="00A91421"/>
    <w:rsid w:val="00A91943"/>
    <w:rsid w:val="00A919EE"/>
    <w:rsid w:val="00A91D9A"/>
    <w:rsid w:val="00A91E06"/>
    <w:rsid w:val="00A91EC5"/>
    <w:rsid w:val="00A921D3"/>
    <w:rsid w:val="00A9285F"/>
    <w:rsid w:val="00A9330C"/>
    <w:rsid w:val="00A935AF"/>
    <w:rsid w:val="00A94196"/>
    <w:rsid w:val="00A94674"/>
    <w:rsid w:val="00A94792"/>
    <w:rsid w:val="00A94BDC"/>
    <w:rsid w:val="00A94DE2"/>
    <w:rsid w:val="00A94E97"/>
    <w:rsid w:val="00A959A8"/>
    <w:rsid w:val="00A9613E"/>
    <w:rsid w:val="00A9615E"/>
    <w:rsid w:val="00A96403"/>
    <w:rsid w:val="00A967FE"/>
    <w:rsid w:val="00A96D1B"/>
    <w:rsid w:val="00A9783F"/>
    <w:rsid w:val="00A97E76"/>
    <w:rsid w:val="00A97FA3"/>
    <w:rsid w:val="00AA0F2E"/>
    <w:rsid w:val="00AA1054"/>
    <w:rsid w:val="00AA16C5"/>
    <w:rsid w:val="00AA1905"/>
    <w:rsid w:val="00AA1A6C"/>
    <w:rsid w:val="00AA1E74"/>
    <w:rsid w:val="00AA29C8"/>
    <w:rsid w:val="00AA2AB9"/>
    <w:rsid w:val="00AA2F8E"/>
    <w:rsid w:val="00AA3075"/>
    <w:rsid w:val="00AA364E"/>
    <w:rsid w:val="00AA377E"/>
    <w:rsid w:val="00AA383D"/>
    <w:rsid w:val="00AA3C23"/>
    <w:rsid w:val="00AA48E7"/>
    <w:rsid w:val="00AA4AE2"/>
    <w:rsid w:val="00AA4BE2"/>
    <w:rsid w:val="00AA4EDD"/>
    <w:rsid w:val="00AA5262"/>
    <w:rsid w:val="00AA5AB1"/>
    <w:rsid w:val="00AA5AF6"/>
    <w:rsid w:val="00AA6B11"/>
    <w:rsid w:val="00AA6BF5"/>
    <w:rsid w:val="00AA7073"/>
    <w:rsid w:val="00AA70AB"/>
    <w:rsid w:val="00AA70C7"/>
    <w:rsid w:val="00AA7394"/>
    <w:rsid w:val="00AA73DA"/>
    <w:rsid w:val="00AA7597"/>
    <w:rsid w:val="00AA7F14"/>
    <w:rsid w:val="00AB013B"/>
    <w:rsid w:val="00AB06FA"/>
    <w:rsid w:val="00AB0F9F"/>
    <w:rsid w:val="00AB1115"/>
    <w:rsid w:val="00AB1AA8"/>
    <w:rsid w:val="00AB1B0B"/>
    <w:rsid w:val="00AB1D3C"/>
    <w:rsid w:val="00AB1E2C"/>
    <w:rsid w:val="00AB1E51"/>
    <w:rsid w:val="00AB2344"/>
    <w:rsid w:val="00AB25CF"/>
    <w:rsid w:val="00AB2D2F"/>
    <w:rsid w:val="00AB2E84"/>
    <w:rsid w:val="00AB3F1C"/>
    <w:rsid w:val="00AB436B"/>
    <w:rsid w:val="00AB493D"/>
    <w:rsid w:val="00AB4994"/>
    <w:rsid w:val="00AB4B49"/>
    <w:rsid w:val="00AB5252"/>
    <w:rsid w:val="00AB551E"/>
    <w:rsid w:val="00AB5732"/>
    <w:rsid w:val="00AB5E1D"/>
    <w:rsid w:val="00AB6CC8"/>
    <w:rsid w:val="00AB7249"/>
    <w:rsid w:val="00AB7395"/>
    <w:rsid w:val="00AB7731"/>
    <w:rsid w:val="00AC0012"/>
    <w:rsid w:val="00AC028A"/>
    <w:rsid w:val="00AC0A8A"/>
    <w:rsid w:val="00AC0B20"/>
    <w:rsid w:val="00AC0B5B"/>
    <w:rsid w:val="00AC0ECC"/>
    <w:rsid w:val="00AC11A2"/>
    <w:rsid w:val="00AC1362"/>
    <w:rsid w:val="00AC1F6A"/>
    <w:rsid w:val="00AC2147"/>
    <w:rsid w:val="00AC3352"/>
    <w:rsid w:val="00AC3A94"/>
    <w:rsid w:val="00AC3F5C"/>
    <w:rsid w:val="00AC45CE"/>
    <w:rsid w:val="00AC4739"/>
    <w:rsid w:val="00AC49B1"/>
    <w:rsid w:val="00AC49D2"/>
    <w:rsid w:val="00AC4FDD"/>
    <w:rsid w:val="00AC56CC"/>
    <w:rsid w:val="00AC63FC"/>
    <w:rsid w:val="00AC6C7C"/>
    <w:rsid w:val="00AC6F88"/>
    <w:rsid w:val="00AC72F3"/>
    <w:rsid w:val="00AC745C"/>
    <w:rsid w:val="00AC76FB"/>
    <w:rsid w:val="00AC7B89"/>
    <w:rsid w:val="00AC7E16"/>
    <w:rsid w:val="00AD0476"/>
    <w:rsid w:val="00AD04A3"/>
    <w:rsid w:val="00AD10C7"/>
    <w:rsid w:val="00AD1273"/>
    <w:rsid w:val="00AD1A99"/>
    <w:rsid w:val="00AD1D30"/>
    <w:rsid w:val="00AD1D38"/>
    <w:rsid w:val="00AD1E10"/>
    <w:rsid w:val="00AD2D8F"/>
    <w:rsid w:val="00AD2EC2"/>
    <w:rsid w:val="00AD2EE6"/>
    <w:rsid w:val="00AD31C7"/>
    <w:rsid w:val="00AD359B"/>
    <w:rsid w:val="00AD365B"/>
    <w:rsid w:val="00AD388B"/>
    <w:rsid w:val="00AD38FE"/>
    <w:rsid w:val="00AD4123"/>
    <w:rsid w:val="00AD4176"/>
    <w:rsid w:val="00AD4AA3"/>
    <w:rsid w:val="00AD4C45"/>
    <w:rsid w:val="00AD4E3A"/>
    <w:rsid w:val="00AD52C9"/>
    <w:rsid w:val="00AD5657"/>
    <w:rsid w:val="00AD59E4"/>
    <w:rsid w:val="00AD5C9B"/>
    <w:rsid w:val="00AD638F"/>
    <w:rsid w:val="00AD6941"/>
    <w:rsid w:val="00AD6A80"/>
    <w:rsid w:val="00AD7731"/>
    <w:rsid w:val="00AD79B5"/>
    <w:rsid w:val="00AD7A0A"/>
    <w:rsid w:val="00AD7A85"/>
    <w:rsid w:val="00AD7DB0"/>
    <w:rsid w:val="00AD7FEF"/>
    <w:rsid w:val="00AE069E"/>
    <w:rsid w:val="00AE06B7"/>
    <w:rsid w:val="00AE11B6"/>
    <w:rsid w:val="00AE11DE"/>
    <w:rsid w:val="00AE1962"/>
    <w:rsid w:val="00AE1A27"/>
    <w:rsid w:val="00AE1EE7"/>
    <w:rsid w:val="00AE2212"/>
    <w:rsid w:val="00AE24FB"/>
    <w:rsid w:val="00AE2620"/>
    <w:rsid w:val="00AE298D"/>
    <w:rsid w:val="00AE369D"/>
    <w:rsid w:val="00AE36AF"/>
    <w:rsid w:val="00AE384E"/>
    <w:rsid w:val="00AE3CF8"/>
    <w:rsid w:val="00AE3FF4"/>
    <w:rsid w:val="00AE4072"/>
    <w:rsid w:val="00AE451F"/>
    <w:rsid w:val="00AE49C0"/>
    <w:rsid w:val="00AE4CEA"/>
    <w:rsid w:val="00AE4F94"/>
    <w:rsid w:val="00AE53DD"/>
    <w:rsid w:val="00AE57CC"/>
    <w:rsid w:val="00AE5907"/>
    <w:rsid w:val="00AE5C29"/>
    <w:rsid w:val="00AE7778"/>
    <w:rsid w:val="00AF00AE"/>
    <w:rsid w:val="00AF0333"/>
    <w:rsid w:val="00AF0434"/>
    <w:rsid w:val="00AF04B5"/>
    <w:rsid w:val="00AF04CD"/>
    <w:rsid w:val="00AF23BE"/>
    <w:rsid w:val="00AF2DAC"/>
    <w:rsid w:val="00AF2EB7"/>
    <w:rsid w:val="00AF2F87"/>
    <w:rsid w:val="00AF3041"/>
    <w:rsid w:val="00AF3BB4"/>
    <w:rsid w:val="00AF3E0F"/>
    <w:rsid w:val="00AF3E57"/>
    <w:rsid w:val="00AF48A7"/>
    <w:rsid w:val="00AF4A66"/>
    <w:rsid w:val="00AF5144"/>
    <w:rsid w:val="00AF5198"/>
    <w:rsid w:val="00AF5FB4"/>
    <w:rsid w:val="00AF6057"/>
    <w:rsid w:val="00AF60D7"/>
    <w:rsid w:val="00AF63AB"/>
    <w:rsid w:val="00AF643C"/>
    <w:rsid w:val="00AF6723"/>
    <w:rsid w:val="00AF6A64"/>
    <w:rsid w:val="00AF6B02"/>
    <w:rsid w:val="00AF6C9E"/>
    <w:rsid w:val="00AF72F0"/>
    <w:rsid w:val="00AF757D"/>
    <w:rsid w:val="00B0036C"/>
    <w:rsid w:val="00B0076A"/>
    <w:rsid w:val="00B00988"/>
    <w:rsid w:val="00B00D85"/>
    <w:rsid w:val="00B00FCE"/>
    <w:rsid w:val="00B010E1"/>
    <w:rsid w:val="00B011DD"/>
    <w:rsid w:val="00B016A5"/>
    <w:rsid w:val="00B02042"/>
    <w:rsid w:val="00B021A7"/>
    <w:rsid w:val="00B026D7"/>
    <w:rsid w:val="00B02D56"/>
    <w:rsid w:val="00B02F36"/>
    <w:rsid w:val="00B02F5C"/>
    <w:rsid w:val="00B03540"/>
    <w:rsid w:val="00B04BB6"/>
    <w:rsid w:val="00B04ED3"/>
    <w:rsid w:val="00B05056"/>
    <w:rsid w:val="00B063C4"/>
    <w:rsid w:val="00B067F4"/>
    <w:rsid w:val="00B06B15"/>
    <w:rsid w:val="00B06BAA"/>
    <w:rsid w:val="00B06C91"/>
    <w:rsid w:val="00B06CA9"/>
    <w:rsid w:val="00B071F8"/>
    <w:rsid w:val="00B07FE5"/>
    <w:rsid w:val="00B101D4"/>
    <w:rsid w:val="00B11734"/>
    <w:rsid w:val="00B119F6"/>
    <w:rsid w:val="00B122A1"/>
    <w:rsid w:val="00B124F8"/>
    <w:rsid w:val="00B128B2"/>
    <w:rsid w:val="00B12C8E"/>
    <w:rsid w:val="00B13237"/>
    <w:rsid w:val="00B13828"/>
    <w:rsid w:val="00B13902"/>
    <w:rsid w:val="00B141F3"/>
    <w:rsid w:val="00B14835"/>
    <w:rsid w:val="00B14BAB"/>
    <w:rsid w:val="00B14EF1"/>
    <w:rsid w:val="00B151BC"/>
    <w:rsid w:val="00B161ED"/>
    <w:rsid w:val="00B16381"/>
    <w:rsid w:val="00B16C03"/>
    <w:rsid w:val="00B16F11"/>
    <w:rsid w:val="00B178D9"/>
    <w:rsid w:val="00B17E64"/>
    <w:rsid w:val="00B2001A"/>
    <w:rsid w:val="00B2057A"/>
    <w:rsid w:val="00B21008"/>
    <w:rsid w:val="00B2101E"/>
    <w:rsid w:val="00B22466"/>
    <w:rsid w:val="00B2257E"/>
    <w:rsid w:val="00B22BE5"/>
    <w:rsid w:val="00B233BB"/>
    <w:rsid w:val="00B23B40"/>
    <w:rsid w:val="00B23D1C"/>
    <w:rsid w:val="00B23E15"/>
    <w:rsid w:val="00B23E59"/>
    <w:rsid w:val="00B24BAE"/>
    <w:rsid w:val="00B24D49"/>
    <w:rsid w:val="00B251B6"/>
    <w:rsid w:val="00B25687"/>
    <w:rsid w:val="00B25EE8"/>
    <w:rsid w:val="00B25EF5"/>
    <w:rsid w:val="00B26306"/>
    <w:rsid w:val="00B26813"/>
    <w:rsid w:val="00B268B2"/>
    <w:rsid w:val="00B26E3A"/>
    <w:rsid w:val="00B26E9D"/>
    <w:rsid w:val="00B275D4"/>
    <w:rsid w:val="00B27993"/>
    <w:rsid w:val="00B3024A"/>
    <w:rsid w:val="00B305B1"/>
    <w:rsid w:val="00B30D45"/>
    <w:rsid w:val="00B30E13"/>
    <w:rsid w:val="00B315BD"/>
    <w:rsid w:val="00B317FC"/>
    <w:rsid w:val="00B31FB2"/>
    <w:rsid w:val="00B322AB"/>
    <w:rsid w:val="00B3295A"/>
    <w:rsid w:val="00B32AD2"/>
    <w:rsid w:val="00B33095"/>
    <w:rsid w:val="00B33176"/>
    <w:rsid w:val="00B33A9C"/>
    <w:rsid w:val="00B33E41"/>
    <w:rsid w:val="00B33F7D"/>
    <w:rsid w:val="00B346B2"/>
    <w:rsid w:val="00B34AF3"/>
    <w:rsid w:val="00B34B4B"/>
    <w:rsid w:val="00B34BC2"/>
    <w:rsid w:val="00B34E38"/>
    <w:rsid w:val="00B35338"/>
    <w:rsid w:val="00B3576F"/>
    <w:rsid w:val="00B370F6"/>
    <w:rsid w:val="00B37315"/>
    <w:rsid w:val="00B375F5"/>
    <w:rsid w:val="00B37791"/>
    <w:rsid w:val="00B37860"/>
    <w:rsid w:val="00B37C2D"/>
    <w:rsid w:val="00B37C30"/>
    <w:rsid w:val="00B37F24"/>
    <w:rsid w:val="00B4070D"/>
    <w:rsid w:val="00B40950"/>
    <w:rsid w:val="00B4140F"/>
    <w:rsid w:val="00B415D3"/>
    <w:rsid w:val="00B416E4"/>
    <w:rsid w:val="00B418BC"/>
    <w:rsid w:val="00B41F62"/>
    <w:rsid w:val="00B432AA"/>
    <w:rsid w:val="00B437D2"/>
    <w:rsid w:val="00B43C9C"/>
    <w:rsid w:val="00B43F8F"/>
    <w:rsid w:val="00B440EA"/>
    <w:rsid w:val="00B44EBD"/>
    <w:rsid w:val="00B458F4"/>
    <w:rsid w:val="00B45E34"/>
    <w:rsid w:val="00B4667F"/>
    <w:rsid w:val="00B466FC"/>
    <w:rsid w:val="00B46724"/>
    <w:rsid w:val="00B46EC6"/>
    <w:rsid w:val="00B50283"/>
    <w:rsid w:val="00B5056F"/>
    <w:rsid w:val="00B507DB"/>
    <w:rsid w:val="00B50E97"/>
    <w:rsid w:val="00B50FF9"/>
    <w:rsid w:val="00B51444"/>
    <w:rsid w:val="00B514D0"/>
    <w:rsid w:val="00B51A4C"/>
    <w:rsid w:val="00B51AEE"/>
    <w:rsid w:val="00B51B67"/>
    <w:rsid w:val="00B52410"/>
    <w:rsid w:val="00B527A1"/>
    <w:rsid w:val="00B52942"/>
    <w:rsid w:val="00B52F89"/>
    <w:rsid w:val="00B5395A"/>
    <w:rsid w:val="00B543DE"/>
    <w:rsid w:val="00B547BC"/>
    <w:rsid w:val="00B5495F"/>
    <w:rsid w:val="00B54EC8"/>
    <w:rsid w:val="00B553E5"/>
    <w:rsid w:val="00B55691"/>
    <w:rsid w:val="00B558D1"/>
    <w:rsid w:val="00B55C82"/>
    <w:rsid w:val="00B55CD6"/>
    <w:rsid w:val="00B56307"/>
    <w:rsid w:val="00B5645B"/>
    <w:rsid w:val="00B56D2A"/>
    <w:rsid w:val="00B56D86"/>
    <w:rsid w:val="00B5773F"/>
    <w:rsid w:val="00B57DCE"/>
    <w:rsid w:val="00B60844"/>
    <w:rsid w:val="00B60960"/>
    <w:rsid w:val="00B60EBF"/>
    <w:rsid w:val="00B61750"/>
    <w:rsid w:val="00B61B4A"/>
    <w:rsid w:val="00B62742"/>
    <w:rsid w:val="00B628C0"/>
    <w:rsid w:val="00B62AC0"/>
    <w:rsid w:val="00B63679"/>
    <w:rsid w:val="00B637CB"/>
    <w:rsid w:val="00B64EB2"/>
    <w:rsid w:val="00B652DA"/>
    <w:rsid w:val="00B65C4E"/>
    <w:rsid w:val="00B65E47"/>
    <w:rsid w:val="00B65EF7"/>
    <w:rsid w:val="00B66A5C"/>
    <w:rsid w:val="00B67136"/>
    <w:rsid w:val="00B673B8"/>
    <w:rsid w:val="00B67465"/>
    <w:rsid w:val="00B70131"/>
    <w:rsid w:val="00B70862"/>
    <w:rsid w:val="00B716ED"/>
    <w:rsid w:val="00B719C9"/>
    <w:rsid w:val="00B7258F"/>
    <w:rsid w:val="00B73175"/>
    <w:rsid w:val="00B735CC"/>
    <w:rsid w:val="00B73685"/>
    <w:rsid w:val="00B73898"/>
    <w:rsid w:val="00B73BD3"/>
    <w:rsid w:val="00B73D5F"/>
    <w:rsid w:val="00B74F8F"/>
    <w:rsid w:val="00B75102"/>
    <w:rsid w:val="00B752C6"/>
    <w:rsid w:val="00B75789"/>
    <w:rsid w:val="00B76315"/>
    <w:rsid w:val="00B7699D"/>
    <w:rsid w:val="00B76B14"/>
    <w:rsid w:val="00B76B62"/>
    <w:rsid w:val="00B7720B"/>
    <w:rsid w:val="00B77653"/>
    <w:rsid w:val="00B77A67"/>
    <w:rsid w:val="00B804E9"/>
    <w:rsid w:val="00B80922"/>
    <w:rsid w:val="00B80B5F"/>
    <w:rsid w:val="00B81147"/>
    <w:rsid w:val="00B81457"/>
    <w:rsid w:val="00B8162D"/>
    <w:rsid w:val="00B816DB"/>
    <w:rsid w:val="00B81C79"/>
    <w:rsid w:val="00B81D42"/>
    <w:rsid w:val="00B81F18"/>
    <w:rsid w:val="00B82829"/>
    <w:rsid w:val="00B82E15"/>
    <w:rsid w:val="00B83437"/>
    <w:rsid w:val="00B8345A"/>
    <w:rsid w:val="00B837C0"/>
    <w:rsid w:val="00B83975"/>
    <w:rsid w:val="00B83CD3"/>
    <w:rsid w:val="00B8403B"/>
    <w:rsid w:val="00B84555"/>
    <w:rsid w:val="00B84874"/>
    <w:rsid w:val="00B848B5"/>
    <w:rsid w:val="00B84E31"/>
    <w:rsid w:val="00B85052"/>
    <w:rsid w:val="00B85389"/>
    <w:rsid w:val="00B85791"/>
    <w:rsid w:val="00B8666D"/>
    <w:rsid w:val="00B86AA8"/>
    <w:rsid w:val="00B872AC"/>
    <w:rsid w:val="00B87393"/>
    <w:rsid w:val="00B87452"/>
    <w:rsid w:val="00B87873"/>
    <w:rsid w:val="00B90EAB"/>
    <w:rsid w:val="00B91384"/>
    <w:rsid w:val="00B91733"/>
    <w:rsid w:val="00B918F6"/>
    <w:rsid w:val="00B91CA8"/>
    <w:rsid w:val="00B91E01"/>
    <w:rsid w:val="00B91FBE"/>
    <w:rsid w:val="00B9297A"/>
    <w:rsid w:val="00B93366"/>
    <w:rsid w:val="00B939FE"/>
    <w:rsid w:val="00B93A05"/>
    <w:rsid w:val="00B93C0D"/>
    <w:rsid w:val="00B93C46"/>
    <w:rsid w:val="00B9477F"/>
    <w:rsid w:val="00B9479C"/>
    <w:rsid w:val="00B94CF9"/>
    <w:rsid w:val="00B95507"/>
    <w:rsid w:val="00B955C5"/>
    <w:rsid w:val="00B956C3"/>
    <w:rsid w:val="00B96A06"/>
    <w:rsid w:val="00B96A64"/>
    <w:rsid w:val="00B96F1B"/>
    <w:rsid w:val="00B975D4"/>
    <w:rsid w:val="00B976C8"/>
    <w:rsid w:val="00BA0810"/>
    <w:rsid w:val="00BA08F1"/>
    <w:rsid w:val="00BA1396"/>
    <w:rsid w:val="00BA1619"/>
    <w:rsid w:val="00BA1ABA"/>
    <w:rsid w:val="00BA23D6"/>
    <w:rsid w:val="00BA2527"/>
    <w:rsid w:val="00BA2DF5"/>
    <w:rsid w:val="00BA32BF"/>
    <w:rsid w:val="00BA333B"/>
    <w:rsid w:val="00BA35D1"/>
    <w:rsid w:val="00BA3877"/>
    <w:rsid w:val="00BA45F7"/>
    <w:rsid w:val="00BA4710"/>
    <w:rsid w:val="00BA49A0"/>
    <w:rsid w:val="00BA5100"/>
    <w:rsid w:val="00BA589C"/>
    <w:rsid w:val="00BA59E0"/>
    <w:rsid w:val="00BA5F5A"/>
    <w:rsid w:val="00BB03DA"/>
    <w:rsid w:val="00BB0601"/>
    <w:rsid w:val="00BB0691"/>
    <w:rsid w:val="00BB06F4"/>
    <w:rsid w:val="00BB07CE"/>
    <w:rsid w:val="00BB081D"/>
    <w:rsid w:val="00BB0AFC"/>
    <w:rsid w:val="00BB0B3D"/>
    <w:rsid w:val="00BB14AC"/>
    <w:rsid w:val="00BB1B55"/>
    <w:rsid w:val="00BB1CE2"/>
    <w:rsid w:val="00BB1E4F"/>
    <w:rsid w:val="00BB1E7C"/>
    <w:rsid w:val="00BB2D12"/>
    <w:rsid w:val="00BB340A"/>
    <w:rsid w:val="00BB37D6"/>
    <w:rsid w:val="00BB3D01"/>
    <w:rsid w:val="00BB3D68"/>
    <w:rsid w:val="00BB3EB2"/>
    <w:rsid w:val="00BB458D"/>
    <w:rsid w:val="00BB55F9"/>
    <w:rsid w:val="00BB564B"/>
    <w:rsid w:val="00BB5CCD"/>
    <w:rsid w:val="00BB6714"/>
    <w:rsid w:val="00BB6AAE"/>
    <w:rsid w:val="00BB7262"/>
    <w:rsid w:val="00BB7CCC"/>
    <w:rsid w:val="00BB7E55"/>
    <w:rsid w:val="00BC04BE"/>
    <w:rsid w:val="00BC0596"/>
    <w:rsid w:val="00BC087C"/>
    <w:rsid w:val="00BC0BF0"/>
    <w:rsid w:val="00BC1535"/>
    <w:rsid w:val="00BC16F9"/>
    <w:rsid w:val="00BC18DF"/>
    <w:rsid w:val="00BC1F19"/>
    <w:rsid w:val="00BC207E"/>
    <w:rsid w:val="00BC23BF"/>
    <w:rsid w:val="00BC23DC"/>
    <w:rsid w:val="00BC24A6"/>
    <w:rsid w:val="00BC2CE8"/>
    <w:rsid w:val="00BC2F85"/>
    <w:rsid w:val="00BC35DC"/>
    <w:rsid w:val="00BC3A70"/>
    <w:rsid w:val="00BC3E05"/>
    <w:rsid w:val="00BC3F59"/>
    <w:rsid w:val="00BC4093"/>
    <w:rsid w:val="00BC4792"/>
    <w:rsid w:val="00BC4AB4"/>
    <w:rsid w:val="00BC510B"/>
    <w:rsid w:val="00BC56C2"/>
    <w:rsid w:val="00BC5904"/>
    <w:rsid w:val="00BC5B21"/>
    <w:rsid w:val="00BC5E91"/>
    <w:rsid w:val="00BC5FA0"/>
    <w:rsid w:val="00BC7133"/>
    <w:rsid w:val="00BC71DB"/>
    <w:rsid w:val="00BC7686"/>
    <w:rsid w:val="00BC7CD6"/>
    <w:rsid w:val="00BC7D5B"/>
    <w:rsid w:val="00BC7F0F"/>
    <w:rsid w:val="00BC7F53"/>
    <w:rsid w:val="00BC7FAF"/>
    <w:rsid w:val="00BD0A9C"/>
    <w:rsid w:val="00BD0D18"/>
    <w:rsid w:val="00BD1040"/>
    <w:rsid w:val="00BD14A6"/>
    <w:rsid w:val="00BD1883"/>
    <w:rsid w:val="00BD18A2"/>
    <w:rsid w:val="00BD1987"/>
    <w:rsid w:val="00BD1CDF"/>
    <w:rsid w:val="00BD1E7A"/>
    <w:rsid w:val="00BD1F4C"/>
    <w:rsid w:val="00BD2064"/>
    <w:rsid w:val="00BD2073"/>
    <w:rsid w:val="00BD20EB"/>
    <w:rsid w:val="00BD23A3"/>
    <w:rsid w:val="00BD2819"/>
    <w:rsid w:val="00BD2F16"/>
    <w:rsid w:val="00BD2F9C"/>
    <w:rsid w:val="00BD34F4"/>
    <w:rsid w:val="00BD3A39"/>
    <w:rsid w:val="00BD4012"/>
    <w:rsid w:val="00BD4212"/>
    <w:rsid w:val="00BD428C"/>
    <w:rsid w:val="00BD42E8"/>
    <w:rsid w:val="00BD43E3"/>
    <w:rsid w:val="00BD46AA"/>
    <w:rsid w:val="00BD46D2"/>
    <w:rsid w:val="00BD4758"/>
    <w:rsid w:val="00BD4A3B"/>
    <w:rsid w:val="00BD4AAF"/>
    <w:rsid w:val="00BD4C4C"/>
    <w:rsid w:val="00BD4DA9"/>
    <w:rsid w:val="00BD6B5B"/>
    <w:rsid w:val="00BD703A"/>
    <w:rsid w:val="00BD73CF"/>
    <w:rsid w:val="00BD74CA"/>
    <w:rsid w:val="00BD7873"/>
    <w:rsid w:val="00BE0153"/>
    <w:rsid w:val="00BE0FDF"/>
    <w:rsid w:val="00BE15F4"/>
    <w:rsid w:val="00BE17C7"/>
    <w:rsid w:val="00BE23E9"/>
    <w:rsid w:val="00BE2A4E"/>
    <w:rsid w:val="00BE2A77"/>
    <w:rsid w:val="00BE329D"/>
    <w:rsid w:val="00BE4AA1"/>
    <w:rsid w:val="00BE4C00"/>
    <w:rsid w:val="00BE5104"/>
    <w:rsid w:val="00BE510B"/>
    <w:rsid w:val="00BE5249"/>
    <w:rsid w:val="00BE5772"/>
    <w:rsid w:val="00BE60D9"/>
    <w:rsid w:val="00BE6197"/>
    <w:rsid w:val="00BE697C"/>
    <w:rsid w:val="00BE6A3F"/>
    <w:rsid w:val="00BE6D02"/>
    <w:rsid w:val="00BE79D1"/>
    <w:rsid w:val="00BF06FC"/>
    <w:rsid w:val="00BF0A1A"/>
    <w:rsid w:val="00BF17E5"/>
    <w:rsid w:val="00BF2234"/>
    <w:rsid w:val="00BF2AA1"/>
    <w:rsid w:val="00BF2BCE"/>
    <w:rsid w:val="00BF2DB3"/>
    <w:rsid w:val="00BF2FA0"/>
    <w:rsid w:val="00BF363D"/>
    <w:rsid w:val="00BF3CDF"/>
    <w:rsid w:val="00BF4161"/>
    <w:rsid w:val="00BF43B8"/>
    <w:rsid w:val="00BF463C"/>
    <w:rsid w:val="00BF502F"/>
    <w:rsid w:val="00BF5241"/>
    <w:rsid w:val="00BF5393"/>
    <w:rsid w:val="00BF5B53"/>
    <w:rsid w:val="00BF5D48"/>
    <w:rsid w:val="00BF5E2C"/>
    <w:rsid w:val="00BF614D"/>
    <w:rsid w:val="00BF62DC"/>
    <w:rsid w:val="00BF69BE"/>
    <w:rsid w:val="00BF6CBB"/>
    <w:rsid w:val="00BF6E76"/>
    <w:rsid w:val="00BF73C8"/>
    <w:rsid w:val="00BF7607"/>
    <w:rsid w:val="00BF7928"/>
    <w:rsid w:val="00BF7AE6"/>
    <w:rsid w:val="00BF7D50"/>
    <w:rsid w:val="00C005C3"/>
    <w:rsid w:val="00C00840"/>
    <w:rsid w:val="00C00F18"/>
    <w:rsid w:val="00C011FE"/>
    <w:rsid w:val="00C01376"/>
    <w:rsid w:val="00C01DBF"/>
    <w:rsid w:val="00C02064"/>
    <w:rsid w:val="00C024E4"/>
    <w:rsid w:val="00C03048"/>
    <w:rsid w:val="00C034DC"/>
    <w:rsid w:val="00C0445E"/>
    <w:rsid w:val="00C044BC"/>
    <w:rsid w:val="00C047FE"/>
    <w:rsid w:val="00C05627"/>
    <w:rsid w:val="00C05A0D"/>
    <w:rsid w:val="00C05AE9"/>
    <w:rsid w:val="00C06042"/>
    <w:rsid w:val="00C061FF"/>
    <w:rsid w:val="00C06326"/>
    <w:rsid w:val="00C06825"/>
    <w:rsid w:val="00C0691C"/>
    <w:rsid w:val="00C06B18"/>
    <w:rsid w:val="00C07556"/>
    <w:rsid w:val="00C1009D"/>
    <w:rsid w:val="00C10398"/>
    <w:rsid w:val="00C10FA3"/>
    <w:rsid w:val="00C1117E"/>
    <w:rsid w:val="00C11761"/>
    <w:rsid w:val="00C11992"/>
    <w:rsid w:val="00C11D38"/>
    <w:rsid w:val="00C122A7"/>
    <w:rsid w:val="00C12908"/>
    <w:rsid w:val="00C1293D"/>
    <w:rsid w:val="00C12F7D"/>
    <w:rsid w:val="00C13149"/>
    <w:rsid w:val="00C1357B"/>
    <w:rsid w:val="00C14C60"/>
    <w:rsid w:val="00C14D60"/>
    <w:rsid w:val="00C1556C"/>
    <w:rsid w:val="00C15966"/>
    <w:rsid w:val="00C15C36"/>
    <w:rsid w:val="00C15E17"/>
    <w:rsid w:val="00C16BA7"/>
    <w:rsid w:val="00C16D1E"/>
    <w:rsid w:val="00C172C9"/>
    <w:rsid w:val="00C173FB"/>
    <w:rsid w:val="00C17946"/>
    <w:rsid w:val="00C17FDC"/>
    <w:rsid w:val="00C20047"/>
    <w:rsid w:val="00C200AF"/>
    <w:rsid w:val="00C20534"/>
    <w:rsid w:val="00C2069F"/>
    <w:rsid w:val="00C20DC2"/>
    <w:rsid w:val="00C21460"/>
    <w:rsid w:val="00C2148F"/>
    <w:rsid w:val="00C21F75"/>
    <w:rsid w:val="00C220B1"/>
    <w:rsid w:val="00C22420"/>
    <w:rsid w:val="00C22BC8"/>
    <w:rsid w:val="00C23615"/>
    <w:rsid w:val="00C2386A"/>
    <w:rsid w:val="00C23D0B"/>
    <w:rsid w:val="00C246C0"/>
    <w:rsid w:val="00C24771"/>
    <w:rsid w:val="00C2481F"/>
    <w:rsid w:val="00C25131"/>
    <w:rsid w:val="00C2527D"/>
    <w:rsid w:val="00C25798"/>
    <w:rsid w:val="00C257FF"/>
    <w:rsid w:val="00C25AC9"/>
    <w:rsid w:val="00C261FF"/>
    <w:rsid w:val="00C26A07"/>
    <w:rsid w:val="00C26BB8"/>
    <w:rsid w:val="00C26E20"/>
    <w:rsid w:val="00C2755C"/>
    <w:rsid w:val="00C2778D"/>
    <w:rsid w:val="00C278DF"/>
    <w:rsid w:val="00C301A5"/>
    <w:rsid w:val="00C30808"/>
    <w:rsid w:val="00C3193B"/>
    <w:rsid w:val="00C31DE6"/>
    <w:rsid w:val="00C31DEC"/>
    <w:rsid w:val="00C321C5"/>
    <w:rsid w:val="00C32BC6"/>
    <w:rsid w:val="00C32D05"/>
    <w:rsid w:val="00C32D6B"/>
    <w:rsid w:val="00C32F9C"/>
    <w:rsid w:val="00C333E3"/>
    <w:rsid w:val="00C334A9"/>
    <w:rsid w:val="00C33856"/>
    <w:rsid w:val="00C33C5A"/>
    <w:rsid w:val="00C33CCF"/>
    <w:rsid w:val="00C33E8C"/>
    <w:rsid w:val="00C33FA7"/>
    <w:rsid w:val="00C34077"/>
    <w:rsid w:val="00C342E5"/>
    <w:rsid w:val="00C34373"/>
    <w:rsid w:val="00C3478F"/>
    <w:rsid w:val="00C3480C"/>
    <w:rsid w:val="00C348DB"/>
    <w:rsid w:val="00C34952"/>
    <w:rsid w:val="00C35071"/>
    <w:rsid w:val="00C35338"/>
    <w:rsid w:val="00C35978"/>
    <w:rsid w:val="00C35999"/>
    <w:rsid w:val="00C35DAC"/>
    <w:rsid w:val="00C35EB9"/>
    <w:rsid w:val="00C362A6"/>
    <w:rsid w:val="00C36429"/>
    <w:rsid w:val="00C3651A"/>
    <w:rsid w:val="00C365CF"/>
    <w:rsid w:val="00C36620"/>
    <w:rsid w:val="00C36CE0"/>
    <w:rsid w:val="00C3719B"/>
    <w:rsid w:val="00C37291"/>
    <w:rsid w:val="00C37771"/>
    <w:rsid w:val="00C37A09"/>
    <w:rsid w:val="00C37C68"/>
    <w:rsid w:val="00C4014C"/>
    <w:rsid w:val="00C408C8"/>
    <w:rsid w:val="00C40C3D"/>
    <w:rsid w:val="00C40E32"/>
    <w:rsid w:val="00C41035"/>
    <w:rsid w:val="00C41206"/>
    <w:rsid w:val="00C412DE"/>
    <w:rsid w:val="00C41A3D"/>
    <w:rsid w:val="00C41AD3"/>
    <w:rsid w:val="00C41D02"/>
    <w:rsid w:val="00C41DCA"/>
    <w:rsid w:val="00C4208B"/>
    <w:rsid w:val="00C420CF"/>
    <w:rsid w:val="00C42930"/>
    <w:rsid w:val="00C42D86"/>
    <w:rsid w:val="00C433E2"/>
    <w:rsid w:val="00C4384F"/>
    <w:rsid w:val="00C44022"/>
    <w:rsid w:val="00C440E5"/>
    <w:rsid w:val="00C440FE"/>
    <w:rsid w:val="00C44140"/>
    <w:rsid w:val="00C44DFA"/>
    <w:rsid w:val="00C45050"/>
    <w:rsid w:val="00C45225"/>
    <w:rsid w:val="00C458FD"/>
    <w:rsid w:val="00C45E0B"/>
    <w:rsid w:val="00C45E19"/>
    <w:rsid w:val="00C46734"/>
    <w:rsid w:val="00C46AAB"/>
    <w:rsid w:val="00C46B14"/>
    <w:rsid w:val="00C470B8"/>
    <w:rsid w:val="00C471DE"/>
    <w:rsid w:val="00C4752B"/>
    <w:rsid w:val="00C5038B"/>
    <w:rsid w:val="00C51556"/>
    <w:rsid w:val="00C515FF"/>
    <w:rsid w:val="00C517E6"/>
    <w:rsid w:val="00C52878"/>
    <w:rsid w:val="00C52924"/>
    <w:rsid w:val="00C52C23"/>
    <w:rsid w:val="00C53DC3"/>
    <w:rsid w:val="00C540B0"/>
    <w:rsid w:val="00C54169"/>
    <w:rsid w:val="00C546A4"/>
    <w:rsid w:val="00C54C89"/>
    <w:rsid w:val="00C5539D"/>
    <w:rsid w:val="00C55B4A"/>
    <w:rsid w:val="00C55B6E"/>
    <w:rsid w:val="00C56305"/>
    <w:rsid w:val="00C565F3"/>
    <w:rsid w:val="00C5695B"/>
    <w:rsid w:val="00C56B6E"/>
    <w:rsid w:val="00C56FF3"/>
    <w:rsid w:val="00C57080"/>
    <w:rsid w:val="00C57558"/>
    <w:rsid w:val="00C575BA"/>
    <w:rsid w:val="00C57790"/>
    <w:rsid w:val="00C5790F"/>
    <w:rsid w:val="00C57986"/>
    <w:rsid w:val="00C57CE7"/>
    <w:rsid w:val="00C60319"/>
    <w:rsid w:val="00C60636"/>
    <w:rsid w:val="00C606A1"/>
    <w:rsid w:val="00C60926"/>
    <w:rsid w:val="00C60DDA"/>
    <w:rsid w:val="00C60DE4"/>
    <w:rsid w:val="00C6106C"/>
    <w:rsid w:val="00C61349"/>
    <w:rsid w:val="00C6145C"/>
    <w:rsid w:val="00C61671"/>
    <w:rsid w:val="00C61707"/>
    <w:rsid w:val="00C61F22"/>
    <w:rsid w:val="00C621BE"/>
    <w:rsid w:val="00C62550"/>
    <w:rsid w:val="00C627A6"/>
    <w:rsid w:val="00C62D85"/>
    <w:rsid w:val="00C62F64"/>
    <w:rsid w:val="00C63192"/>
    <w:rsid w:val="00C63817"/>
    <w:rsid w:val="00C63D18"/>
    <w:rsid w:val="00C64144"/>
    <w:rsid w:val="00C644E2"/>
    <w:rsid w:val="00C649F1"/>
    <w:rsid w:val="00C64C23"/>
    <w:rsid w:val="00C64E09"/>
    <w:rsid w:val="00C64FC5"/>
    <w:rsid w:val="00C65054"/>
    <w:rsid w:val="00C65368"/>
    <w:rsid w:val="00C65679"/>
    <w:rsid w:val="00C65CA9"/>
    <w:rsid w:val="00C662DB"/>
    <w:rsid w:val="00C663A7"/>
    <w:rsid w:val="00C66C39"/>
    <w:rsid w:val="00C67247"/>
    <w:rsid w:val="00C676CA"/>
    <w:rsid w:val="00C67727"/>
    <w:rsid w:val="00C67980"/>
    <w:rsid w:val="00C67A0F"/>
    <w:rsid w:val="00C7062A"/>
    <w:rsid w:val="00C707FC"/>
    <w:rsid w:val="00C70A4F"/>
    <w:rsid w:val="00C70DCD"/>
    <w:rsid w:val="00C715BB"/>
    <w:rsid w:val="00C72738"/>
    <w:rsid w:val="00C72BD8"/>
    <w:rsid w:val="00C73A7A"/>
    <w:rsid w:val="00C73A8C"/>
    <w:rsid w:val="00C7416A"/>
    <w:rsid w:val="00C74530"/>
    <w:rsid w:val="00C747FC"/>
    <w:rsid w:val="00C74965"/>
    <w:rsid w:val="00C749FF"/>
    <w:rsid w:val="00C75724"/>
    <w:rsid w:val="00C7581E"/>
    <w:rsid w:val="00C75A32"/>
    <w:rsid w:val="00C76649"/>
    <w:rsid w:val="00C7712A"/>
    <w:rsid w:val="00C77304"/>
    <w:rsid w:val="00C774A9"/>
    <w:rsid w:val="00C7772C"/>
    <w:rsid w:val="00C77980"/>
    <w:rsid w:val="00C77DF8"/>
    <w:rsid w:val="00C77EAE"/>
    <w:rsid w:val="00C8002D"/>
    <w:rsid w:val="00C8020B"/>
    <w:rsid w:val="00C80854"/>
    <w:rsid w:val="00C81D43"/>
    <w:rsid w:val="00C82266"/>
    <w:rsid w:val="00C826AE"/>
    <w:rsid w:val="00C82BB5"/>
    <w:rsid w:val="00C82FB6"/>
    <w:rsid w:val="00C83008"/>
    <w:rsid w:val="00C832DE"/>
    <w:rsid w:val="00C835C5"/>
    <w:rsid w:val="00C83995"/>
    <w:rsid w:val="00C83BE4"/>
    <w:rsid w:val="00C8455F"/>
    <w:rsid w:val="00C845A5"/>
    <w:rsid w:val="00C84A1C"/>
    <w:rsid w:val="00C84DA3"/>
    <w:rsid w:val="00C85253"/>
    <w:rsid w:val="00C85361"/>
    <w:rsid w:val="00C8547E"/>
    <w:rsid w:val="00C86660"/>
    <w:rsid w:val="00C86679"/>
    <w:rsid w:val="00C86795"/>
    <w:rsid w:val="00C868C6"/>
    <w:rsid w:val="00C87693"/>
    <w:rsid w:val="00C87B90"/>
    <w:rsid w:val="00C87E21"/>
    <w:rsid w:val="00C87FC1"/>
    <w:rsid w:val="00C90656"/>
    <w:rsid w:val="00C907F2"/>
    <w:rsid w:val="00C909B5"/>
    <w:rsid w:val="00C90D30"/>
    <w:rsid w:val="00C91014"/>
    <w:rsid w:val="00C91895"/>
    <w:rsid w:val="00C920F2"/>
    <w:rsid w:val="00C92584"/>
    <w:rsid w:val="00C93DB1"/>
    <w:rsid w:val="00C94137"/>
    <w:rsid w:val="00C94279"/>
    <w:rsid w:val="00C94714"/>
    <w:rsid w:val="00C94ADF"/>
    <w:rsid w:val="00C94B7C"/>
    <w:rsid w:val="00C9545B"/>
    <w:rsid w:val="00C95E84"/>
    <w:rsid w:val="00C96987"/>
    <w:rsid w:val="00C96A63"/>
    <w:rsid w:val="00C9730C"/>
    <w:rsid w:val="00C97807"/>
    <w:rsid w:val="00C9787D"/>
    <w:rsid w:val="00CA01E2"/>
    <w:rsid w:val="00CA040C"/>
    <w:rsid w:val="00CA0D4C"/>
    <w:rsid w:val="00CA0EA4"/>
    <w:rsid w:val="00CA0F94"/>
    <w:rsid w:val="00CA1549"/>
    <w:rsid w:val="00CA1895"/>
    <w:rsid w:val="00CA1941"/>
    <w:rsid w:val="00CA1A3D"/>
    <w:rsid w:val="00CA2561"/>
    <w:rsid w:val="00CA26EB"/>
    <w:rsid w:val="00CA30ED"/>
    <w:rsid w:val="00CA32EC"/>
    <w:rsid w:val="00CA3847"/>
    <w:rsid w:val="00CA401A"/>
    <w:rsid w:val="00CA438D"/>
    <w:rsid w:val="00CA450C"/>
    <w:rsid w:val="00CA4C28"/>
    <w:rsid w:val="00CA4C38"/>
    <w:rsid w:val="00CA4D05"/>
    <w:rsid w:val="00CA4D20"/>
    <w:rsid w:val="00CA517A"/>
    <w:rsid w:val="00CA5339"/>
    <w:rsid w:val="00CA58B2"/>
    <w:rsid w:val="00CA5918"/>
    <w:rsid w:val="00CA5EF0"/>
    <w:rsid w:val="00CA68B6"/>
    <w:rsid w:val="00CA6A9D"/>
    <w:rsid w:val="00CA6C18"/>
    <w:rsid w:val="00CA6DCF"/>
    <w:rsid w:val="00CA6FA8"/>
    <w:rsid w:val="00CA79D4"/>
    <w:rsid w:val="00CA7B10"/>
    <w:rsid w:val="00CA7D29"/>
    <w:rsid w:val="00CA7D77"/>
    <w:rsid w:val="00CB007C"/>
    <w:rsid w:val="00CB0677"/>
    <w:rsid w:val="00CB1107"/>
    <w:rsid w:val="00CB171D"/>
    <w:rsid w:val="00CB1732"/>
    <w:rsid w:val="00CB1D0C"/>
    <w:rsid w:val="00CB1F21"/>
    <w:rsid w:val="00CB1FA7"/>
    <w:rsid w:val="00CB25E5"/>
    <w:rsid w:val="00CB2E0A"/>
    <w:rsid w:val="00CB2EC9"/>
    <w:rsid w:val="00CB3076"/>
    <w:rsid w:val="00CB3163"/>
    <w:rsid w:val="00CB4093"/>
    <w:rsid w:val="00CB46AE"/>
    <w:rsid w:val="00CB47D4"/>
    <w:rsid w:val="00CB5090"/>
    <w:rsid w:val="00CB53B7"/>
    <w:rsid w:val="00CB5550"/>
    <w:rsid w:val="00CB5730"/>
    <w:rsid w:val="00CB6ADC"/>
    <w:rsid w:val="00CB6D9D"/>
    <w:rsid w:val="00CB6DFA"/>
    <w:rsid w:val="00CB7115"/>
    <w:rsid w:val="00CB7575"/>
    <w:rsid w:val="00CB76D1"/>
    <w:rsid w:val="00CB7FFC"/>
    <w:rsid w:val="00CC0493"/>
    <w:rsid w:val="00CC056C"/>
    <w:rsid w:val="00CC07B8"/>
    <w:rsid w:val="00CC0C2C"/>
    <w:rsid w:val="00CC14A0"/>
    <w:rsid w:val="00CC15F1"/>
    <w:rsid w:val="00CC1A63"/>
    <w:rsid w:val="00CC1C1B"/>
    <w:rsid w:val="00CC260C"/>
    <w:rsid w:val="00CC278A"/>
    <w:rsid w:val="00CC32A0"/>
    <w:rsid w:val="00CC3B14"/>
    <w:rsid w:val="00CC3D08"/>
    <w:rsid w:val="00CC4105"/>
    <w:rsid w:val="00CC49FF"/>
    <w:rsid w:val="00CC4FE5"/>
    <w:rsid w:val="00CC53A3"/>
    <w:rsid w:val="00CC5CF7"/>
    <w:rsid w:val="00CC6520"/>
    <w:rsid w:val="00CC76DA"/>
    <w:rsid w:val="00CC7748"/>
    <w:rsid w:val="00CC78A3"/>
    <w:rsid w:val="00CC7A3E"/>
    <w:rsid w:val="00CC7EB0"/>
    <w:rsid w:val="00CD011A"/>
    <w:rsid w:val="00CD05E1"/>
    <w:rsid w:val="00CD0976"/>
    <w:rsid w:val="00CD0D13"/>
    <w:rsid w:val="00CD11E6"/>
    <w:rsid w:val="00CD2097"/>
    <w:rsid w:val="00CD20A4"/>
    <w:rsid w:val="00CD2ACD"/>
    <w:rsid w:val="00CD2C7D"/>
    <w:rsid w:val="00CD2D8A"/>
    <w:rsid w:val="00CD2FB7"/>
    <w:rsid w:val="00CD3226"/>
    <w:rsid w:val="00CD343E"/>
    <w:rsid w:val="00CD3945"/>
    <w:rsid w:val="00CD3AF6"/>
    <w:rsid w:val="00CD3EEC"/>
    <w:rsid w:val="00CD3FF1"/>
    <w:rsid w:val="00CD41E9"/>
    <w:rsid w:val="00CD4A6A"/>
    <w:rsid w:val="00CD4E3E"/>
    <w:rsid w:val="00CD617A"/>
    <w:rsid w:val="00CD63C5"/>
    <w:rsid w:val="00CD68B8"/>
    <w:rsid w:val="00CD71D0"/>
    <w:rsid w:val="00CD721B"/>
    <w:rsid w:val="00CE039B"/>
    <w:rsid w:val="00CE08B8"/>
    <w:rsid w:val="00CE0B88"/>
    <w:rsid w:val="00CE0C3F"/>
    <w:rsid w:val="00CE0DF9"/>
    <w:rsid w:val="00CE0DFF"/>
    <w:rsid w:val="00CE13A1"/>
    <w:rsid w:val="00CE19B7"/>
    <w:rsid w:val="00CE1B0A"/>
    <w:rsid w:val="00CE1DBC"/>
    <w:rsid w:val="00CE1E5F"/>
    <w:rsid w:val="00CE1FF1"/>
    <w:rsid w:val="00CE2116"/>
    <w:rsid w:val="00CE230A"/>
    <w:rsid w:val="00CE27C2"/>
    <w:rsid w:val="00CE2D84"/>
    <w:rsid w:val="00CE34B5"/>
    <w:rsid w:val="00CE3EF7"/>
    <w:rsid w:val="00CE47F2"/>
    <w:rsid w:val="00CE4A5C"/>
    <w:rsid w:val="00CE4D94"/>
    <w:rsid w:val="00CE530F"/>
    <w:rsid w:val="00CE568C"/>
    <w:rsid w:val="00CE59BC"/>
    <w:rsid w:val="00CE5A4D"/>
    <w:rsid w:val="00CE64AC"/>
    <w:rsid w:val="00CE6586"/>
    <w:rsid w:val="00CE6FFF"/>
    <w:rsid w:val="00CE744A"/>
    <w:rsid w:val="00CE74E1"/>
    <w:rsid w:val="00CE7821"/>
    <w:rsid w:val="00CE7CE8"/>
    <w:rsid w:val="00CE7D6F"/>
    <w:rsid w:val="00CE7EEE"/>
    <w:rsid w:val="00CF0003"/>
    <w:rsid w:val="00CF046D"/>
    <w:rsid w:val="00CF0FC1"/>
    <w:rsid w:val="00CF12F9"/>
    <w:rsid w:val="00CF1801"/>
    <w:rsid w:val="00CF192E"/>
    <w:rsid w:val="00CF1ABE"/>
    <w:rsid w:val="00CF1B9D"/>
    <w:rsid w:val="00CF3729"/>
    <w:rsid w:val="00CF3901"/>
    <w:rsid w:val="00CF3B89"/>
    <w:rsid w:val="00CF3BE5"/>
    <w:rsid w:val="00CF3DD0"/>
    <w:rsid w:val="00CF4144"/>
    <w:rsid w:val="00CF4416"/>
    <w:rsid w:val="00CF45D3"/>
    <w:rsid w:val="00CF5081"/>
    <w:rsid w:val="00CF53AF"/>
    <w:rsid w:val="00CF5F96"/>
    <w:rsid w:val="00CF614B"/>
    <w:rsid w:val="00CF6BD4"/>
    <w:rsid w:val="00CF6C02"/>
    <w:rsid w:val="00CF6CA7"/>
    <w:rsid w:val="00CF6CDC"/>
    <w:rsid w:val="00CF6F20"/>
    <w:rsid w:val="00CF6FCF"/>
    <w:rsid w:val="00CF7071"/>
    <w:rsid w:val="00CF707E"/>
    <w:rsid w:val="00CF7A7F"/>
    <w:rsid w:val="00CF7DFF"/>
    <w:rsid w:val="00D00002"/>
    <w:rsid w:val="00D008F4"/>
    <w:rsid w:val="00D00DD2"/>
    <w:rsid w:val="00D00EFB"/>
    <w:rsid w:val="00D01511"/>
    <w:rsid w:val="00D0152F"/>
    <w:rsid w:val="00D016D0"/>
    <w:rsid w:val="00D0190E"/>
    <w:rsid w:val="00D01FC7"/>
    <w:rsid w:val="00D020EE"/>
    <w:rsid w:val="00D02B16"/>
    <w:rsid w:val="00D02B77"/>
    <w:rsid w:val="00D02CBF"/>
    <w:rsid w:val="00D03838"/>
    <w:rsid w:val="00D04329"/>
    <w:rsid w:val="00D04D48"/>
    <w:rsid w:val="00D054EC"/>
    <w:rsid w:val="00D05749"/>
    <w:rsid w:val="00D05BF4"/>
    <w:rsid w:val="00D061F5"/>
    <w:rsid w:val="00D06381"/>
    <w:rsid w:val="00D06456"/>
    <w:rsid w:val="00D06BC4"/>
    <w:rsid w:val="00D06F9F"/>
    <w:rsid w:val="00D076DC"/>
    <w:rsid w:val="00D10629"/>
    <w:rsid w:val="00D109E1"/>
    <w:rsid w:val="00D10BFC"/>
    <w:rsid w:val="00D1130A"/>
    <w:rsid w:val="00D11CA2"/>
    <w:rsid w:val="00D12332"/>
    <w:rsid w:val="00D12508"/>
    <w:rsid w:val="00D12695"/>
    <w:rsid w:val="00D12AC0"/>
    <w:rsid w:val="00D13413"/>
    <w:rsid w:val="00D13A44"/>
    <w:rsid w:val="00D13C32"/>
    <w:rsid w:val="00D13C44"/>
    <w:rsid w:val="00D14D45"/>
    <w:rsid w:val="00D1519D"/>
    <w:rsid w:val="00D15AB8"/>
    <w:rsid w:val="00D15AF6"/>
    <w:rsid w:val="00D15BBE"/>
    <w:rsid w:val="00D15FEA"/>
    <w:rsid w:val="00D16023"/>
    <w:rsid w:val="00D16D95"/>
    <w:rsid w:val="00D16D9A"/>
    <w:rsid w:val="00D17031"/>
    <w:rsid w:val="00D17267"/>
    <w:rsid w:val="00D172EF"/>
    <w:rsid w:val="00D17E78"/>
    <w:rsid w:val="00D20A55"/>
    <w:rsid w:val="00D20C64"/>
    <w:rsid w:val="00D21297"/>
    <w:rsid w:val="00D214F0"/>
    <w:rsid w:val="00D21D27"/>
    <w:rsid w:val="00D22B8D"/>
    <w:rsid w:val="00D22F19"/>
    <w:rsid w:val="00D23114"/>
    <w:rsid w:val="00D232C0"/>
    <w:rsid w:val="00D23480"/>
    <w:rsid w:val="00D23948"/>
    <w:rsid w:val="00D2431A"/>
    <w:rsid w:val="00D2435F"/>
    <w:rsid w:val="00D24CCD"/>
    <w:rsid w:val="00D24D82"/>
    <w:rsid w:val="00D24FB6"/>
    <w:rsid w:val="00D2517E"/>
    <w:rsid w:val="00D2596A"/>
    <w:rsid w:val="00D259E6"/>
    <w:rsid w:val="00D25C17"/>
    <w:rsid w:val="00D26044"/>
    <w:rsid w:val="00D26585"/>
    <w:rsid w:val="00D2673B"/>
    <w:rsid w:val="00D26BDA"/>
    <w:rsid w:val="00D26BFE"/>
    <w:rsid w:val="00D2797A"/>
    <w:rsid w:val="00D27CB9"/>
    <w:rsid w:val="00D27EFA"/>
    <w:rsid w:val="00D30B59"/>
    <w:rsid w:val="00D30D1B"/>
    <w:rsid w:val="00D30FD3"/>
    <w:rsid w:val="00D31275"/>
    <w:rsid w:val="00D3128A"/>
    <w:rsid w:val="00D31718"/>
    <w:rsid w:val="00D31A70"/>
    <w:rsid w:val="00D31B01"/>
    <w:rsid w:val="00D31E63"/>
    <w:rsid w:val="00D32559"/>
    <w:rsid w:val="00D32F02"/>
    <w:rsid w:val="00D33052"/>
    <w:rsid w:val="00D331A6"/>
    <w:rsid w:val="00D33A0F"/>
    <w:rsid w:val="00D33B8E"/>
    <w:rsid w:val="00D33C1C"/>
    <w:rsid w:val="00D33D2B"/>
    <w:rsid w:val="00D33D4F"/>
    <w:rsid w:val="00D33DEB"/>
    <w:rsid w:val="00D33FA5"/>
    <w:rsid w:val="00D34314"/>
    <w:rsid w:val="00D348D8"/>
    <w:rsid w:val="00D348F3"/>
    <w:rsid w:val="00D35207"/>
    <w:rsid w:val="00D355C1"/>
    <w:rsid w:val="00D355D7"/>
    <w:rsid w:val="00D35BF4"/>
    <w:rsid w:val="00D3668E"/>
    <w:rsid w:val="00D367D6"/>
    <w:rsid w:val="00D368EF"/>
    <w:rsid w:val="00D36C55"/>
    <w:rsid w:val="00D3711A"/>
    <w:rsid w:val="00D37A15"/>
    <w:rsid w:val="00D37A92"/>
    <w:rsid w:val="00D404F7"/>
    <w:rsid w:val="00D40825"/>
    <w:rsid w:val="00D4091B"/>
    <w:rsid w:val="00D40B57"/>
    <w:rsid w:val="00D41127"/>
    <w:rsid w:val="00D41829"/>
    <w:rsid w:val="00D418EE"/>
    <w:rsid w:val="00D42192"/>
    <w:rsid w:val="00D421F9"/>
    <w:rsid w:val="00D4281F"/>
    <w:rsid w:val="00D4290F"/>
    <w:rsid w:val="00D42F2D"/>
    <w:rsid w:val="00D432A5"/>
    <w:rsid w:val="00D4370E"/>
    <w:rsid w:val="00D43AE8"/>
    <w:rsid w:val="00D43B35"/>
    <w:rsid w:val="00D43F30"/>
    <w:rsid w:val="00D440F8"/>
    <w:rsid w:val="00D4411E"/>
    <w:rsid w:val="00D44537"/>
    <w:rsid w:val="00D44FE0"/>
    <w:rsid w:val="00D46EFC"/>
    <w:rsid w:val="00D4769D"/>
    <w:rsid w:val="00D477E0"/>
    <w:rsid w:val="00D47CFF"/>
    <w:rsid w:val="00D47DC3"/>
    <w:rsid w:val="00D502F0"/>
    <w:rsid w:val="00D503B2"/>
    <w:rsid w:val="00D505A0"/>
    <w:rsid w:val="00D50D83"/>
    <w:rsid w:val="00D517BA"/>
    <w:rsid w:val="00D51FC9"/>
    <w:rsid w:val="00D520EE"/>
    <w:rsid w:val="00D52301"/>
    <w:rsid w:val="00D5296B"/>
    <w:rsid w:val="00D531AE"/>
    <w:rsid w:val="00D5350E"/>
    <w:rsid w:val="00D53AD9"/>
    <w:rsid w:val="00D54146"/>
    <w:rsid w:val="00D553A4"/>
    <w:rsid w:val="00D55A24"/>
    <w:rsid w:val="00D55B0E"/>
    <w:rsid w:val="00D55DF5"/>
    <w:rsid w:val="00D56CBC"/>
    <w:rsid w:val="00D56F41"/>
    <w:rsid w:val="00D56FFD"/>
    <w:rsid w:val="00D57259"/>
    <w:rsid w:val="00D578BD"/>
    <w:rsid w:val="00D614CB"/>
    <w:rsid w:val="00D61A02"/>
    <w:rsid w:val="00D61A35"/>
    <w:rsid w:val="00D61D0B"/>
    <w:rsid w:val="00D6212E"/>
    <w:rsid w:val="00D62849"/>
    <w:rsid w:val="00D629BD"/>
    <w:rsid w:val="00D62EED"/>
    <w:rsid w:val="00D630EB"/>
    <w:rsid w:val="00D63639"/>
    <w:rsid w:val="00D64AEC"/>
    <w:rsid w:val="00D64B37"/>
    <w:rsid w:val="00D64BA0"/>
    <w:rsid w:val="00D64FE0"/>
    <w:rsid w:val="00D651CF"/>
    <w:rsid w:val="00D6522B"/>
    <w:rsid w:val="00D6612F"/>
    <w:rsid w:val="00D661DE"/>
    <w:rsid w:val="00D66547"/>
    <w:rsid w:val="00D666D7"/>
    <w:rsid w:val="00D66847"/>
    <w:rsid w:val="00D6687B"/>
    <w:rsid w:val="00D668F2"/>
    <w:rsid w:val="00D66A71"/>
    <w:rsid w:val="00D66E7C"/>
    <w:rsid w:val="00D66F9C"/>
    <w:rsid w:val="00D67314"/>
    <w:rsid w:val="00D6741B"/>
    <w:rsid w:val="00D675DA"/>
    <w:rsid w:val="00D67DF9"/>
    <w:rsid w:val="00D70372"/>
    <w:rsid w:val="00D704C1"/>
    <w:rsid w:val="00D705FF"/>
    <w:rsid w:val="00D70636"/>
    <w:rsid w:val="00D706FA"/>
    <w:rsid w:val="00D70841"/>
    <w:rsid w:val="00D71071"/>
    <w:rsid w:val="00D710D3"/>
    <w:rsid w:val="00D71250"/>
    <w:rsid w:val="00D718F6"/>
    <w:rsid w:val="00D71BCB"/>
    <w:rsid w:val="00D721D5"/>
    <w:rsid w:val="00D723B5"/>
    <w:rsid w:val="00D724BE"/>
    <w:rsid w:val="00D72A9C"/>
    <w:rsid w:val="00D72D45"/>
    <w:rsid w:val="00D72EAF"/>
    <w:rsid w:val="00D732BB"/>
    <w:rsid w:val="00D73582"/>
    <w:rsid w:val="00D73C35"/>
    <w:rsid w:val="00D73D18"/>
    <w:rsid w:val="00D7408E"/>
    <w:rsid w:val="00D74118"/>
    <w:rsid w:val="00D744A6"/>
    <w:rsid w:val="00D745C7"/>
    <w:rsid w:val="00D74B65"/>
    <w:rsid w:val="00D75119"/>
    <w:rsid w:val="00D75181"/>
    <w:rsid w:val="00D7566F"/>
    <w:rsid w:val="00D7632D"/>
    <w:rsid w:val="00D76363"/>
    <w:rsid w:val="00D76761"/>
    <w:rsid w:val="00D772FA"/>
    <w:rsid w:val="00D77628"/>
    <w:rsid w:val="00D77652"/>
    <w:rsid w:val="00D8049F"/>
    <w:rsid w:val="00D80C0E"/>
    <w:rsid w:val="00D81FF9"/>
    <w:rsid w:val="00D824A7"/>
    <w:rsid w:val="00D825EE"/>
    <w:rsid w:val="00D8263A"/>
    <w:rsid w:val="00D8292A"/>
    <w:rsid w:val="00D82B57"/>
    <w:rsid w:val="00D8305B"/>
    <w:rsid w:val="00D8386B"/>
    <w:rsid w:val="00D839BC"/>
    <w:rsid w:val="00D83D7B"/>
    <w:rsid w:val="00D83ED6"/>
    <w:rsid w:val="00D83F90"/>
    <w:rsid w:val="00D8456F"/>
    <w:rsid w:val="00D846B2"/>
    <w:rsid w:val="00D853A1"/>
    <w:rsid w:val="00D855EA"/>
    <w:rsid w:val="00D8644E"/>
    <w:rsid w:val="00D864FF"/>
    <w:rsid w:val="00D8660C"/>
    <w:rsid w:val="00D86E3D"/>
    <w:rsid w:val="00D86F4C"/>
    <w:rsid w:val="00D8748C"/>
    <w:rsid w:val="00D87881"/>
    <w:rsid w:val="00D879DE"/>
    <w:rsid w:val="00D87AD3"/>
    <w:rsid w:val="00D903B7"/>
    <w:rsid w:val="00D907AB"/>
    <w:rsid w:val="00D909F7"/>
    <w:rsid w:val="00D90FC5"/>
    <w:rsid w:val="00D9187B"/>
    <w:rsid w:val="00D91B5D"/>
    <w:rsid w:val="00D91EC6"/>
    <w:rsid w:val="00D924F7"/>
    <w:rsid w:val="00D926E9"/>
    <w:rsid w:val="00D929AC"/>
    <w:rsid w:val="00D92A01"/>
    <w:rsid w:val="00D92A44"/>
    <w:rsid w:val="00D930AD"/>
    <w:rsid w:val="00D931D0"/>
    <w:rsid w:val="00D934A2"/>
    <w:rsid w:val="00D936AC"/>
    <w:rsid w:val="00D938A0"/>
    <w:rsid w:val="00D93963"/>
    <w:rsid w:val="00D93A72"/>
    <w:rsid w:val="00D94238"/>
    <w:rsid w:val="00D945B0"/>
    <w:rsid w:val="00D95EF1"/>
    <w:rsid w:val="00D96226"/>
    <w:rsid w:val="00D96538"/>
    <w:rsid w:val="00D96730"/>
    <w:rsid w:val="00D96838"/>
    <w:rsid w:val="00D96B74"/>
    <w:rsid w:val="00D96BB6"/>
    <w:rsid w:val="00D97121"/>
    <w:rsid w:val="00D97783"/>
    <w:rsid w:val="00D977E7"/>
    <w:rsid w:val="00D97965"/>
    <w:rsid w:val="00D97A8B"/>
    <w:rsid w:val="00D97D78"/>
    <w:rsid w:val="00DA0191"/>
    <w:rsid w:val="00DA032F"/>
    <w:rsid w:val="00DA0872"/>
    <w:rsid w:val="00DA08DD"/>
    <w:rsid w:val="00DA0A87"/>
    <w:rsid w:val="00DA0B64"/>
    <w:rsid w:val="00DA1299"/>
    <w:rsid w:val="00DA1D03"/>
    <w:rsid w:val="00DA2159"/>
    <w:rsid w:val="00DA215C"/>
    <w:rsid w:val="00DA278C"/>
    <w:rsid w:val="00DA37D0"/>
    <w:rsid w:val="00DA3998"/>
    <w:rsid w:val="00DA39FB"/>
    <w:rsid w:val="00DA3A00"/>
    <w:rsid w:val="00DA3ABA"/>
    <w:rsid w:val="00DA3B5E"/>
    <w:rsid w:val="00DA3C08"/>
    <w:rsid w:val="00DA43A4"/>
    <w:rsid w:val="00DA54AC"/>
    <w:rsid w:val="00DA589E"/>
    <w:rsid w:val="00DA58B6"/>
    <w:rsid w:val="00DA5D13"/>
    <w:rsid w:val="00DA657C"/>
    <w:rsid w:val="00DA697D"/>
    <w:rsid w:val="00DA6CFC"/>
    <w:rsid w:val="00DA7062"/>
    <w:rsid w:val="00DA7257"/>
    <w:rsid w:val="00DA72A8"/>
    <w:rsid w:val="00DA7CE5"/>
    <w:rsid w:val="00DB00FA"/>
    <w:rsid w:val="00DB084C"/>
    <w:rsid w:val="00DB0A4D"/>
    <w:rsid w:val="00DB0E38"/>
    <w:rsid w:val="00DB1109"/>
    <w:rsid w:val="00DB110A"/>
    <w:rsid w:val="00DB1972"/>
    <w:rsid w:val="00DB2036"/>
    <w:rsid w:val="00DB2522"/>
    <w:rsid w:val="00DB2A5B"/>
    <w:rsid w:val="00DB3136"/>
    <w:rsid w:val="00DB392B"/>
    <w:rsid w:val="00DB3A3C"/>
    <w:rsid w:val="00DB3F3A"/>
    <w:rsid w:val="00DB4203"/>
    <w:rsid w:val="00DB4A7A"/>
    <w:rsid w:val="00DB4B59"/>
    <w:rsid w:val="00DB6000"/>
    <w:rsid w:val="00DB6202"/>
    <w:rsid w:val="00DB630A"/>
    <w:rsid w:val="00DB6441"/>
    <w:rsid w:val="00DB68BC"/>
    <w:rsid w:val="00DB6B81"/>
    <w:rsid w:val="00DB6BDE"/>
    <w:rsid w:val="00DB6C9E"/>
    <w:rsid w:val="00DB6FF8"/>
    <w:rsid w:val="00DB7252"/>
    <w:rsid w:val="00DB731E"/>
    <w:rsid w:val="00DB7425"/>
    <w:rsid w:val="00DB7A25"/>
    <w:rsid w:val="00DC09B8"/>
    <w:rsid w:val="00DC0B45"/>
    <w:rsid w:val="00DC105C"/>
    <w:rsid w:val="00DC1524"/>
    <w:rsid w:val="00DC1CC4"/>
    <w:rsid w:val="00DC20E7"/>
    <w:rsid w:val="00DC24EC"/>
    <w:rsid w:val="00DC2AF5"/>
    <w:rsid w:val="00DC2B6A"/>
    <w:rsid w:val="00DC3142"/>
    <w:rsid w:val="00DC322C"/>
    <w:rsid w:val="00DC35B2"/>
    <w:rsid w:val="00DC4453"/>
    <w:rsid w:val="00DC4F29"/>
    <w:rsid w:val="00DC50B0"/>
    <w:rsid w:val="00DC52D9"/>
    <w:rsid w:val="00DC552A"/>
    <w:rsid w:val="00DC696E"/>
    <w:rsid w:val="00DC6C1E"/>
    <w:rsid w:val="00DC6F26"/>
    <w:rsid w:val="00DC728F"/>
    <w:rsid w:val="00DC72AA"/>
    <w:rsid w:val="00DC76B5"/>
    <w:rsid w:val="00DC795E"/>
    <w:rsid w:val="00DC7995"/>
    <w:rsid w:val="00DC7B31"/>
    <w:rsid w:val="00DC7CA9"/>
    <w:rsid w:val="00DD0510"/>
    <w:rsid w:val="00DD0F41"/>
    <w:rsid w:val="00DD1604"/>
    <w:rsid w:val="00DD1C4D"/>
    <w:rsid w:val="00DD1DF9"/>
    <w:rsid w:val="00DD2829"/>
    <w:rsid w:val="00DD2B86"/>
    <w:rsid w:val="00DD2E05"/>
    <w:rsid w:val="00DD4272"/>
    <w:rsid w:val="00DD4394"/>
    <w:rsid w:val="00DD53DA"/>
    <w:rsid w:val="00DD54AB"/>
    <w:rsid w:val="00DD5716"/>
    <w:rsid w:val="00DD590A"/>
    <w:rsid w:val="00DD5A61"/>
    <w:rsid w:val="00DD5C7F"/>
    <w:rsid w:val="00DD5F5C"/>
    <w:rsid w:val="00DD6DAA"/>
    <w:rsid w:val="00DD75E9"/>
    <w:rsid w:val="00DD770F"/>
    <w:rsid w:val="00DE0A0C"/>
    <w:rsid w:val="00DE0EA7"/>
    <w:rsid w:val="00DE18A4"/>
    <w:rsid w:val="00DE1ABA"/>
    <w:rsid w:val="00DE295A"/>
    <w:rsid w:val="00DE2CC6"/>
    <w:rsid w:val="00DE35D6"/>
    <w:rsid w:val="00DE37F4"/>
    <w:rsid w:val="00DE39A6"/>
    <w:rsid w:val="00DE413D"/>
    <w:rsid w:val="00DE41E8"/>
    <w:rsid w:val="00DE4B6B"/>
    <w:rsid w:val="00DE4D3E"/>
    <w:rsid w:val="00DE4D8C"/>
    <w:rsid w:val="00DE5652"/>
    <w:rsid w:val="00DE5E19"/>
    <w:rsid w:val="00DE616C"/>
    <w:rsid w:val="00DE6891"/>
    <w:rsid w:val="00DE6D5E"/>
    <w:rsid w:val="00DE702B"/>
    <w:rsid w:val="00DE73D7"/>
    <w:rsid w:val="00DE7902"/>
    <w:rsid w:val="00DE79F9"/>
    <w:rsid w:val="00DE7BD7"/>
    <w:rsid w:val="00DE7F4C"/>
    <w:rsid w:val="00DF00E1"/>
    <w:rsid w:val="00DF077E"/>
    <w:rsid w:val="00DF1557"/>
    <w:rsid w:val="00DF1781"/>
    <w:rsid w:val="00DF1AB1"/>
    <w:rsid w:val="00DF1CB4"/>
    <w:rsid w:val="00DF243D"/>
    <w:rsid w:val="00DF2B45"/>
    <w:rsid w:val="00DF2F19"/>
    <w:rsid w:val="00DF31E1"/>
    <w:rsid w:val="00DF3814"/>
    <w:rsid w:val="00DF3853"/>
    <w:rsid w:val="00DF39C6"/>
    <w:rsid w:val="00DF3F12"/>
    <w:rsid w:val="00DF421C"/>
    <w:rsid w:val="00DF544D"/>
    <w:rsid w:val="00DF5A59"/>
    <w:rsid w:val="00DF5B4D"/>
    <w:rsid w:val="00DF618A"/>
    <w:rsid w:val="00DF6347"/>
    <w:rsid w:val="00DF63DD"/>
    <w:rsid w:val="00DF65C4"/>
    <w:rsid w:val="00DF6A16"/>
    <w:rsid w:val="00DF720F"/>
    <w:rsid w:val="00DF7974"/>
    <w:rsid w:val="00DF7DAC"/>
    <w:rsid w:val="00E00719"/>
    <w:rsid w:val="00E00A3D"/>
    <w:rsid w:val="00E00DF1"/>
    <w:rsid w:val="00E010F7"/>
    <w:rsid w:val="00E01127"/>
    <w:rsid w:val="00E01754"/>
    <w:rsid w:val="00E01E9C"/>
    <w:rsid w:val="00E01F63"/>
    <w:rsid w:val="00E0212C"/>
    <w:rsid w:val="00E021AF"/>
    <w:rsid w:val="00E0253E"/>
    <w:rsid w:val="00E02CCA"/>
    <w:rsid w:val="00E0347C"/>
    <w:rsid w:val="00E0375E"/>
    <w:rsid w:val="00E037FC"/>
    <w:rsid w:val="00E0380B"/>
    <w:rsid w:val="00E03A1D"/>
    <w:rsid w:val="00E0515F"/>
    <w:rsid w:val="00E0608A"/>
    <w:rsid w:val="00E06589"/>
    <w:rsid w:val="00E065B8"/>
    <w:rsid w:val="00E06670"/>
    <w:rsid w:val="00E06DAE"/>
    <w:rsid w:val="00E06F25"/>
    <w:rsid w:val="00E070F2"/>
    <w:rsid w:val="00E0753C"/>
    <w:rsid w:val="00E07AB4"/>
    <w:rsid w:val="00E07D85"/>
    <w:rsid w:val="00E07E5E"/>
    <w:rsid w:val="00E1011B"/>
    <w:rsid w:val="00E10417"/>
    <w:rsid w:val="00E108D5"/>
    <w:rsid w:val="00E112E9"/>
    <w:rsid w:val="00E115C7"/>
    <w:rsid w:val="00E11857"/>
    <w:rsid w:val="00E11E84"/>
    <w:rsid w:val="00E1218B"/>
    <w:rsid w:val="00E13322"/>
    <w:rsid w:val="00E136B1"/>
    <w:rsid w:val="00E13DAC"/>
    <w:rsid w:val="00E143BB"/>
    <w:rsid w:val="00E15002"/>
    <w:rsid w:val="00E152A4"/>
    <w:rsid w:val="00E154F6"/>
    <w:rsid w:val="00E15566"/>
    <w:rsid w:val="00E15906"/>
    <w:rsid w:val="00E16972"/>
    <w:rsid w:val="00E16D22"/>
    <w:rsid w:val="00E20442"/>
    <w:rsid w:val="00E2049B"/>
    <w:rsid w:val="00E20A3B"/>
    <w:rsid w:val="00E20A68"/>
    <w:rsid w:val="00E20EE8"/>
    <w:rsid w:val="00E213A8"/>
    <w:rsid w:val="00E216F8"/>
    <w:rsid w:val="00E21745"/>
    <w:rsid w:val="00E224A3"/>
    <w:rsid w:val="00E224B1"/>
    <w:rsid w:val="00E22C08"/>
    <w:rsid w:val="00E22D98"/>
    <w:rsid w:val="00E230EB"/>
    <w:rsid w:val="00E23C2E"/>
    <w:rsid w:val="00E23DDC"/>
    <w:rsid w:val="00E23E5A"/>
    <w:rsid w:val="00E23E7C"/>
    <w:rsid w:val="00E24679"/>
    <w:rsid w:val="00E24C8C"/>
    <w:rsid w:val="00E25689"/>
    <w:rsid w:val="00E25A7B"/>
    <w:rsid w:val="00E25CC9"/>
    <w:rsid w:val="00E25E04"/>
    <w:rsid w:val="00E25EB1"/>
    <w:rsid w:val="00E26825"/>
    <w:rsid w:val="00E27185"/>
    <w:rsid w:val="00E2791E"/>
    <w:rsid w:val="00E27FAA"/>
    <w:rsid w:val="00E307F6"/>
    <w:rsid w:val="00E3093F"/>
    <w:rsid w:val="00E30C8C"/>
    <w:rsid w:val="00E30DE8"/>
    <w:rsid w:val="00E3114C"/>
    <w:rsid w:val="00E3143E"/>
    <w:rsid w:val="00E317C6"/>
    <w:rsid w:val="00E3214A"/>
    <w:rsid w:val="00E32209"/>
    <w:rsid w:val="00E3222E"/>
    <w:rsid w:val="00E3228B"/>
    <w:rsid w:val="00E323BD"/>
    <w:rsid w:val="00E32B3A"/>
    <w:rsid w:val="00E33F72"/>
    <w:rsid w:val="00E341D0"/>
    <w:rsid w:val="00E345F1"/>
    <w:rsid w:val="00E34782"/>
    <w:rsid w:val="00E35568"/>
    <w:rsid w:val="00E35D01"/>
    <w:rsid w:val="00E3627F"/>
    <w:rsid w:val="00E36E1D"/>
    <w:rsid w:val="00E370DF"/>
    <w:rsid w:val="00E37443"/>
    <w:rsid w:val="00E376F7"/>
    <w:rsid w:val="00E3799C"/>
    <w:rsid w:val="00E403A2"/>
    <w:rsid w:val="00E40461"/>
    <w:rsid w:val="00E40F2D"/>
    <w:rsid w:val="00E41480"/>
    <w:rsid w:val="00E41495"/>
    <w:rsid w:val="00E416A8"/>
    <w:rsid w:val="00E419E0"/>
    <w:rsid w:val="00E41AE8"/>
    <w:rsid w:val="00E41CAA"/>
    <w:rsid w:val="00E4225B"/>
    <w:rsid w:val="00E42715"/>
    <w:rsid w:val="00E427B4"/>
    <w:rsid w:val="00E42C47"/>
    <w:rsid w:val="00E4349E"/>
    <w:rsid w:val="00E4357A"/>
    <w:rsid w:val="00E43585"/>
    <w:rsid w:val="00E43614"/>
    <w:rsid w:val="00E436DE"/>
    <w:rsid w:val="00E43F2A"/>
    <w:rsid w:val="00E43F46"/>
    <w:rsid w:val="00E43FA5"/>
    <w:rsid w:val="00E446A7"/>
    <w:rsid w:val="00E4498A"/>
    <w:rsid w:val="00E44C04"/>
    <w:rsid w:val="00E44C05"/>
    <w:rsid w:val="00E44E98"/>
    <w:rsid w:val="00E4506D"/>
    <w:rsid w:val="00E4571F"/>
    <w:rsid w:val="00E45829"/>
    <w:rsid w:val="00E46209"/>
    <w:rsid w:val="00E46291"/>
    <w:rsid w:val="00E467D6"/>
    <w:rsid w:val="00E46DCE"/>
    <w:rsid w:val="00E47223"/>
    <w:rsid w:val="00E47665"/>
    <w:rsid w:val="00E47C84"/>
    <w:rsid w:val="00E47FE6"/>
    <w:rsid w:val="00E5003E"/>
    <w:rsid w:val="00E5007D"/>
    <w:rsid w:val="00E5176F"/>
    <w:rsid w:val="00E51A35"/>
    <w:rsid w:val="00E5222C"/>
    <w:rsid w:val="00E52369"/>
    <w:rsid w:val="00E524A2"/>
    <w:rsid w:val="00E5280A"/>
    <w:rsid w:val="00E5286C"/>
    <w:rsid w:val="00E52D04"/>
    <w:rsid w:val="00E53878"/>
    <w:rsid w:val="00E53C21"/>
    <w:rsid w:val="00E53CF3"/>
    <w:rsid w:val="00E53F3F"/>
    <w:rsid w:val="00E54031"/>
    <w:rsid w:val="00E545C6"/>
    <w:rsid w:val="00E5465F"/>
    <w:rsid w:val="00E549C8"/>
    <w:rsid w:val="00E54A33"/>
    <w:rsid w:val="00E54D1F"/>
    <w:rsid w:val="00E54D4E"/>
    <w:rsid w:val="00E54E37"/>
    <w:rsid w:val="00E55019"/>
    <w:rsid w:val="00E55851"/>
    <w:rsid w:val="00E55D48"/>
    <w:rsid w:val="00E56331"/>
    <w:rsid w:val="00E569CB"/>
    <w:rsid w:val="00E57AA5"/>
    <w:rsid w:val="00E57C26"/>
    <w:rsid w:val="00E60599"/>
    <w:rsid w:val="00E60ACB"/>
    <w:rsid w:val="00E60F81"/>
    <w:rsid w:val="00E6159C"/>
    <w:rsid w:val="00E6178E"/>
    <w:rsid w:val="00E61ECF"/>
    <w:rsid w:val="00E625AC"/>
    <w:rsid w:val="00E62778"/>
    <w:rsid w:val="00E627DD"/>
    <w:rsid w:val="00E62CB2"/>
    <w:rsid w:val="00E6308E"/>
    <w:rsid w:val="00E63CC3"/>
    <w:rsid w:val="00E640B3"/>
    <w:rsid w:val="00E643AA"/>
    <w:rsid w:val="00E64741"/>
    <w:rsid w:val="00E64758"/>
    <w:rsid w:val="00E649FF"/>
    <w:rsid w:val="00E65055"/>
    <w:rsid w:val="00E65154"/>
    <w:rsid w:val="00E6583F"/>
    <w:rsid w:val="00E65855"/>
    <w:rsid w:val="00E65867"/>
    <w:rsid w:val="00E658FB"/>
    <w:rsid w:val="00E66A4E"/>
    <w:rsid w:val="00E670B8"/>
    <w:rsid w:val="00E678AF"/>
    <w:rsid w:val="00E67917"/>
    <w:rsid w:val="00E67AD7"/>
    <w:rsid w:val="00E70538"/>
    <w:rsid w:val="00E7066F"/>
    <w:rsid w:val="00E707DF"/>
    <w:rsid w:val="00E712E9"/>
    <w:rsid w:val="00E71691"/>
    <w:rsid w:val="00E72706"/>
    <w:rsid w:val="00E727AE"/>
    <w:rsid w:val="00E72D5B"/>
    <w:rsid w:val="00E72EC7"/>
    <w:rsid w:val="00E731BE"/>
    <w:rsid w:val="00E731E6"/>
    <w:rsid w:val="00E73299"/>
    <w:rsid w:val="00E73739"/>
    <w:rsid w:val="00E73BE0"/>
    <w:rsid w:val="00E7416C"/>
    <w:rsid w:val="00E74377"/>
    <w:rsid w:val="00E747BB"/>
    <w:rsid w:val="00E7493A"/>
    <w:rsid w:val="00E74A9A"/>
    <w:rsid w:val="00E74C2D"/>
    <w:rsid w:val="00E752E9"/>
    <w:rsid w:val="00E7562B"/>
    <w:rsid w:val="00E757FA"/>
    <w:rsid w:val="00E75A8D"/>
    <w:rsid w:val="00E75E23"/>
    <w:rsid w:val="00E76083"/>
    <w:rsid w:val="00E7653B"/>
    <w:rsid w:val="00E765D9"/>
    <w:rsid w:val="00E766BE"/>
    <w:rsid w:val="00E76DF3"/>
    <w:rsid w:val="00E77652"/>
    <w:rsid w:val="00E778A0"/>
    <w:rsid w:val="00E8043A"/>
    <w:rsid w:val="00E80843"/>
    <w:rsid w:val="00E8093B"/>
    <w:rsid w:val="00E809B4"/>
    <w:rsid w:val="00E80AB6"/>
    <w:rsid w:val="00E8113C"/>
    <w:rsid w:val="00E82185"/>
    <w:rsid w:val="00E8218A"/>
    <w:rsid w:val="00E82404"/>
    <w:rsid w:val="00E83050"/>
    <w:rsid w:val="00E8322F"/>
    <w:rsid w:val="00E83960"/>
    <w:rsid w:val="00E83A3B"/>
    <w:rsid w:val="00E83CCB"/>
    <w:rsid w:val="00E84072"/>
    <w:rsid w:val="00E84860"/>
    <w:rsid w:val="00E84B88"/>
    <w:rsid w:val="00E84F93"/>
    <w:rsid w:val="00E85470"/>
    <w:rsid w:val="00E863CD"/>
    <w:rsid w:val="00E8690A"/>
    <w:rsid w:val="00E8782C"/>
    <w:rsid w:val="00E8786A"/>
    <w:rsid w:val="00E87B3B"/>
    <w:rsid w:val="00E87EDA"/>
    <w:rsid w:val="00E900E1"/>
    <w:rsid w:val="00E904CC"/>
    <w:rsid w:val="00E91754"/>
    <w:rsid w:val="00E922B3"/>
    <w:rsid w:val="00E9234B"/>
    <w:rsid w:val="00E924F8"/>
    <w:rsid w:val="00E92551"/>
    <w:rsid w:val="00E92762"/>
    <w:rsid w:val="00E92D01"/>
    <w:rsid w:val="00E92DA2"/>
    <w:rsid w:val="00E93444"/>
    <w:rsid w:val="00E9395E"/>
    <w:rsid w:val="00E93B44"/>
    <w:rsid w:val="00E94858"/>
    <w:rsid w:val="00E94D84"/>
    <w:rsid w:val="00E951A2"/>
    <w:rsid w:val="00E9521D"/>
    <w:rsid w:val="00E956E8"/>
    <w:rsid w:val="00E95F60"/>
    <w:rsid w:val="00E961B2"/>
    <w:rsid w:val="00E96606"/>
    <w:rsid w:val="00E969E7"/>
    <w:rsid w:val="00E96A3D"/>
    <w:rsid w:val="00E96E30"/>
    <w:rsid w:val="00E96E35"/>
    <w:rsid w:val="00E96F6D"/>
    <w:rsid w:val="00E972EC"/>
    <w:rsid w:val="00E97582"/>
    <w:rsid w:val="00E97826"/>
    <w:rsid w:val="00E97D53"/>
    <w:rsid w:val="00E97DFD"/>
    <w:rsid w:val="00E97FD9"/>
    <w:rsid w:val="00EA0338"/>
    <w:rsid w:val="00EA0E2E"/>
    <w:rsid w:val="00EA153E"/>
    <w:rsid w:val="00EA15ED"/>
    <w:rsid w:val="00EA17E7"/>
    <w:rsid w:val="00EA17FC"/>
    <w:rsid w:val="00EA1811"/>
    <w:rsid w:val="00EA19A7"/>
    <w:rsid w:val="00EA1CB0"/>
    <w:rsid w:val="00EA2424"/>
    <w:rsid w:val="00EA2DD6"/>
    <w:rsid w:val="00EA3005"/>
    <w:rsid w:val="00EA320C"/>
    <w:rsid w:val="00EA369F"/>
    <w:rsid w:val="00EA402B"/>
    <w:rsid w:val="00EA419E"/>
    <w:rsid w:val="00EA421E"/>
    <w:rsid w:val="00EA4355"/>
    <w:rsid w:val="00EA48D3"/>
    <w:rsid w:val="00EA49BB"/>
    <w:rsid w:val="00EA4FE4"/>
    <w:rsid w:val="00EA5279"/>
    <w:rsid w:val="00EA5A28"/>
    <w:rsid w:val="00EA5C4D"/>
    <w:rsid w:val="00EA6218"/>
    <w:rsid w:val="00EA6411"/>
    <w:rsid w:val="00EA6425"/>
    <w:rsid w:val="00EA6D6E"/>
    <w:rsid w:val="00EA6FB8"/>
    <w:rsid w:val="00EA739D"/>
    <w:rsid w:val="00EB1DC4"/>
    <w:rsid w:val="00EB1E2F"/>
    <w:rsid w:val="00EB1FAA"/>
    <w:rsid w:val="00EB2DB1"/>
    <w:rsid w:val="00EB313F"/>
    <w:rsid w:val="00EB4107"/>
    <w:rsid w:val="00EB45DC"/>
    <w:rsid w:val="00EB4AAC"/>
    <w:rsid w:val="00EB4E76"/>
    <w:rsid w:val="00EB4E92"/>
    <w:rsid w:val="00EB5094"/>
    <w:rsid w:val="00EB537E"/>
    <w:rsid w:val="00EB5CBA"/>
    <w:rsid w:val="00EB5E5D"/>
    <w:rsid w:val="00EB5F2F"/>
    <w:rsid w:val="00EB60D2"/>
    <w:rsid w:val="00EB63B8"/>
    <w:rsid w:val="00EB651C"/>
    <w:rsid w:val="00EB654B"/>
    <w:rsid w:val="00EB67EA"/>
    <w:rsid w:val="00EB67FA"/>
    <w:rsid w:val="00EB7F08"/>
    <w:rsid w:val="00EC03BD"/>
    <w:rsid w:val="00EC0463"/>
    <w:rsid w:val="00EC065A"/>
    <w:rsid w:val="00EC079B"/>
    <w:rsid w:val="00EC0819"/>
    <w:rsid w:val="00EC0C92"/>
    <w:rsid w:val="00EC16B0"/>
    <w:rsid w:val="00EC1BF3"/>
    <w:rsid w:val="00EC1C30"/>
    <w:rsid w:val="00EC21F8"/>
    <w:rsid w:val="00EC24F5"/>
    <w:rsid w:val="00EC2766"/>
    <w:rsid w:val="00EC28A9"/>
    <w:rsid w:val="00EC29FD"/>
    <w:rsid w:val="00EC2E2A"/>
    <w:rsid w:val="00EC2FC5"/>
    <w:rsid w:val="00EC38CA"/>
    <w:rsid w:val="00EC3905"/>
    <w:rsid w:val="00EC43D7"/>
    <w:rsid w:val="00EC46BC"/>
    <w:rsid w:val="00EC4A63"/>
    <w:rsid w:val="00EC4B46"/>
    <w:rsid w:val="00EC4C33"/>
    <w:rsid w:val="00EC514F"/>
    <w:rsid w:val="00EC554A"/>
    <w:rsid w:val="00EC5B37"/>
    <w:rsid w:val="00EC6079"/>
    <w:rsid w:val="00EC6535"/>
    <w:rsid w:val="00EC6744"/>
    <w:rsid w:val="00EC695D"/>
    <w:rsid w:val="00EC6B93"/>
    <w:rsid w:val="00EC6BE6"/>
    <w:rsid w:val="00EC73E7"/>
    <w:rsid w:val="00EC7491"/>
    <w:rsid w:val="00EC7A78"/>
    <w:rsid w:val="00ED0A33"/>
    <w:rsid w:val="00ED0CC6"/>
    <w:rsid w:val="00ED1485"/>
    <w:rsid w:val="00ED22B7"/>
    <w:rsid w:val="00ED2365"/>
    <w:rsid w:val="00ED28C4"/>
    <w:rsid w:val="00ED2A54"/>
    <w:rsid w:val="00ED316C"/>
    <w:rsid w:val="00ED3179"/>
    <w:rsid w:val="00ED3548"/>
    <w:rsid w:val="00ED3571"/>
    <w:rsid w:val="00ED3817"/>
    <w:rsid w:val="00ED39A5"/>
    <w:rsid w:val="00ED3E94"/>
    <w:rsid w:val="00ED40E1"/>
    <w:rsid w:val="00ED415B"/>
    <w:rsid w:val="00ED4620"/>
    <w:rsid w:val="00ED48AB"/>
    <w:rsid w:val="00ED4ECA"/>
    <w:rsid w:val="00ED5434"/>
    <w:rsid w:val="00ED57FF"/>
    <w:rsid w:val="00ED5E5F"/>
    <w:rsid w:val="00ED5ECA"/>
    <w:rsid w:val="00ED61A6"/>
    <w:rsid w:val="00ED65B7"/>
    <w:rsid w:val="00ED6891"/>
    <w:rsid w:val="00ED6F54"/>
    <w:rsid w:val="00ED7066"/>
    <w:rsid w:val="00ED713E"/>
    <w:rsid w:val="00ED768E"/>
    <w:rsid w:val="00ED7D85"/>
    <w:rsid w:val="00ED7EB7"/>
    <w:rsid w:val="00EE00EF"/>
    <w:rsid w:val="00EE02D9"/>
    <w:rsid w:val="00EE03A3"/>
    <w:rsid w:val="00EE03D0"/>
    <w:rsid w:val="00EE0947"/>
    <w:rsid w:val="00EE0A94"/>
    <w:rsid w:val="00EE0B93"/>
    <w:rsid w:val="00EE0C1D"/>
    <w:rsid w:val="00EE0FE3"/>
    <w:rsid w:val="00EE119D"/>
    <w:rsid w:val="00EE15EC"/>
    <w:rsid w:val="00EE170A"/>
    <w:rsid w:val="00EE19B9"/>
    <w:rsid w:val="00EE1A89"/>
    <w:rsid w:val="00EE2A23"/>
    <w:rsid w:val="00EE3639"/>
    <w:rsid w:val="00EE383D"/>
    <w:rsid w:val="00EE405C"/>
    <w:rsid w:val="00EE4704"/>
    <w:rsid w:val="00EE52B0"/>
    <w:rsid w:val="00EE55C6"/>
    <w:rsid w:val="00EE68AA"/>
    <w:rsid w:val="00EE6C37"/>
    <w:rsid w:val="00EE7318"/>
    <w:rsid w:val="00EE7B4C"/>
    <w:rsid w:val="00EE7D3F"/>
    <w:rsid w:val="00EF00A5"/>
    <w:rsid w:val="00EF0B67"/>
    <w:rsid w:val="00EF1ABD"/>
    <w:rsid w:val="00EF20DF"/>
    <w:rsid w:val="00EF257D"/>
    <w:rsid w:val="00EF2BE7"/>
    <w:rsid w:val="00EF2C8B"/>
    <w:rsid w:val="00EF2E84"/>
    <w:rsid w:val="00EF3AF4"/>
    <w:rsid w:val="00EF42A4"/>
    <w:rsid w:val="00EF44CA"/>
    <w:rsid w:val="00EF4C6E"/>
    <w:rsid w:val="00EF4C95"/>
    <w:rsid w:val="00EF5220"/>
    <w:rsid w:val="00EF5557"/>
    <w:rsid w:val="00EF55AB"/>
    <w:rsid w:val="00EF56EB"/>
    <w:rsid w:val="00EF5F42"/>
    <w:rsid w:val="00EF5FE2"/>
    <w:rsid w:val="00EF64B5"/>
    <w:rsid w:val="00EF67BB"/>
    <w:rsid w:val="00EF68F3"/>
    <w:rsid w:val="00EF7894"/>
    <w:rsid w:val="00EF7C58"/>
    <w:rsid w:val="00F006A1"/>
    <w:rsid w:val="00F008E6"/>
    <w:rsid w:val="00F00A31"/>
    <w:rsid w:val="00F00E87"/>
    <w:rsid w:val="00F00F78"/>
    <w:rsid w:val="00F01826"/>
    <w:rsid w:val="00F01B6B"/>
    <w:rsid w:val="00F01C16"/>
    <w:rsid w:val="00F0236D"/>
    <w:rsid w:val="00F02631"/>
    <w:rsid w:val="00F026B6"/>
    <w:rsid w:val="00F027C5"/>
    <w:rsid w:val="00F02B5A"/>
    <w:rsid w:val="00F02E64"/>
    <w:rsid w:val="00F02EE4"/>
    <w:rsid w:val="00F030DA"/>
    <w:rsid w:val="00F03615"/>
    <w:rsid w:val="00F03AC3"/>
    <w:rsid w:val="00F03C42"/>
    <w:rsid w:val="00F04692"/>
    <w:rsid w:val="00F0472B"/>
    <w:rsid w:val="00F051E0"/>
    <w:rsid w:val="00F0534B"/>
    <w:rsid w:val="00F05384"/>
    <w:rsid w:val="00F05968"/>
    <w:rsid w:val="00F05BF1"/>
    <w:rsid w:val="00F0663E"/>
    <w:rsid w:val="00F06718"/>
    <w:rsid w:val="00F0677F"/>
    <w:rsid w:val="00F06833"/>
    <w:rsid w:val="00F07C26"/>
    <w:rsid w:val="00F07F1A"/>
    <w:rsid w:val="00F1037B"/>
    <w:rsid w:val="00F10C6A"/>
    <w:rsid w:val="00F10E29"/>
    <w:rsid w:val="00F11151"/>
    <w:rsid w:val="00F111E3"/>
    <w:rsid w:val="00F11A0B"/>
    <w:rsid w:val="00F11A26"/>
    <w:rsid w:val="00F11BE4"/>
    <w:rsid w:val="00F1234B"/>
    <w:rsid w:val="00F12374"/>
    <w:rsid w:val="00F12409"/>
    <w:rsid w:val="00F125D4"/>
    <w:rsid w:val="00F126E3"/>
    <w:rsid w:val="00F12840"/>
    <w:rsid w:val="00F12FF2"/>
    <w:rsid w:val="00F1402C"/>
    <w:rsid w:val="00F14049"/>
    <w:rsid w:val="00F14695"/>
    <w:rsid w:val="00F15689"/>
    <w:rsid w:val="00F158F2"/>
    <w:rsid w:val="00F15D07"/>
    <w:rsid w:val="00F15EB2"/>
    <w:rsid w:val="00F1626C"/>
    <w:rsid w:val="00F16388"/>
    <w:rsid w:val="00F16D66"/>
    <w:rsid w:val="00F17175"/>
    <w:rsid w:val="00F178A5"/>
    <w:rsid w:val="00F178BF"/>
    <w:rsid w:val="00F201A3"/>
    <w:rsid w:val="00F205EA"/>
    <w:rsid w:val="00F20763"/>
    <w:rsid w:val="00F21593"/>
    <w:rsid w:val="00F21A5D"/>
    <w:rsid w:val="00F22007"/>
    <w:rsid w:val="00F2253D"/>
    <w:rsid w:val="00F2261B"/>
    <w:rsid w:val="00F233CC"/>
    <w:rsid w:val="00F2357C"/>
    <w:rsid w:val="00F23936"/>
    <w:rsid w:val="00F23BDB"/>
    <w:rsid w:val="00F246EA"/>
    <w:rsid w:val="00F249FE"/>
    <w:rsid w:val="00F252D0"/>
    <w:rsid w:val="00F259BF"/>
    <w:rsid w:val="00F25AA8"/>
    <w:rsid w:val="00F25BF5"/>
    <w:rsid w:val="00F26059"/>
    <w:rsid w:val="00F26557"/>
    <w:rsid w:val="00F26F63"/>
    <w:rsid w:val="00F2737E"/>
    <w:rsid w:val="00F278CD"/>
    <w:rsid w:val="00F3004B"/>
    <w:rsid w:val="00F307C0"/>
    <w:rsid w:val="00F30A87"/>
    <w:rsid w:val="00F30BAD"/>
    <w:rsid w:val="00F31003"/>
    <w:rsid w:val="00F310B6"/>
    <w:rsid w:val="00F3138F"/>
    <w:rsid w:val="00F314C7"/>
    <w:rsid w:val="00F31874"/>
    <w:rsid w:val="00F31B00"/>
    <w:rsid w:val="00F31D2D"/>
    <w:rsid w:val="00F321F9"/>
    <w:rsid w:val="00F32261"/>
    <w:rsid w:val="00F32355"/>
    <w:rsid w:val="00F33236"/>
    <w:rsid w:val="00F336F5"/>
    <w:rsid w:val="00F33C9B"/>
    <w:rsid w:val="00F33D72"/>
    <w:rsid w:val="00F343FC"/>
    <w:rsid w:val="00F34D54"/>
    <w:rsid w:val="00F35881"/>
    <w:rsid w:val="00F35DD0"/>
    <w:rsid w:val="00F35DF6"/>
    <w:rsid w:val="00F35F79"/>
    <w:rsid w:val="00F365A6"/>
    <w:rsid w:val="00F36D3C"/>
    <w:rsid w:val="00F36D99"/>
    <w:rsid w:val="00F3706E"/>
    <w:rsid w:val="00F370E5"/>
    <w:rsid w:val="00F37B26"/>
    <w:rsid w:val="00F37DDD"/>
    <w:rsid w:val="00F40C82"/>
    <w:rsid w:val="00F40F09"/>
    <w:rsid w:val="00F41307"/>
    <w:rsid w:val="00F41B16"/>
    <w:rsid w:val="00F41D67"/>
    <w:rsid w:val="00F41DEE"/>
    <w:rsid w:val="00F42AD8"/>
    <w:rsid w:val="00F43324"/>
    <w:rsid w:val="00F433C6"/>
    <w:rsid w:val="00F43422"/>
    <w:rsid w:val="00F43456"/>
    <w:rsid w:val="00F434DB"/>
    <w:rsid w:val="00F43D3A"/>
    <w:rsid w:val="00F43F13"/>
    <w:rsid w:val="00F443B7"/>
    <w:rsid w:val="00F44A3C"/>
    <w:rsid w:val="00F44BC3"/>
    <w:rsid w:val="00F44BF9"/>
    <w:rsid w:val="00F459BB"/>
    <w:rsid w:val="00F45C1D"/>
    <w:rsid w:val="00F45EB3"/>
    <w:rsid w:val="00F463A0"/>
    <w:rsid w:val="00F46987"/>
    <w:rsid w:val="00F469A0"/>
    <w:rsid w:val="00F46A4A"/>
    <w:rsid w:val="00F4701B"/>
    <w:rsid w:val="00F47807"/>
    <w:rsid w:val="00F47827"/>
    <w:rsid w:val="00F47C5B"/>
    <w:rsid w:val="00F51953"/>
    <w:rsid w:val="00F523FD"/>
    <w:rsid w:val="00F524DE"/>
    <w:rsid w:val="00F5292B"/>
    <w:rsid w:val="00F529E2"/>
    <w:rsid w:val="00F531B2"/>
    <w:rsid w:val="00F5330F"/>
    <w:rsid w:val="00F53494"/>
    <w:rsid w:val="00F54124"/>
    <w:rsid w:val="00F54AAE"/>
    <w:rsid w:val="00F5540C"/>
    <w:rsid w:val="00F5595F"/>
    <w:rsid w:val="00F5612D"/>
    <w:rsid w:val="00F562C2"/>
    <w:rsid w:val="00F565CA"/>
    <w:rsid w:val="00F568BA"/>
    <w:rsid w:val="00F56BD6"/>
    <w:rsid w:val="00F57102"/>
    <w:rsid w:val="00F5715A"/>
    <w:rsid w:val="00F57CEA"/>
    <w:rsid w:val="00F60600"/>
    <w:rsid w:val="00F60BCD"/>
    <w:rsid w:val="00F60CDB"/>
    <w:rsid w:val="00F611A3"/>
    <w:rsid w:val="00F615FB"/>
    <w:rsid w:val="00F61CD0"/>
    <w:rsid w:val="00F61D92"/>
    <w:rsid w:val="00F6221C"/>
    <w:rsid w:val="00F62516"/>
    <w:rsid w:val="00F626C2"/>
    <w:rsid w:val="00F632B6"/>
    <w:rsid w:val="00F636ED"/>
    <w:rsid w:val="00F63FF6"/>
    <w:rsid w:val="00F640A3"/>
    <w:rsid w:val="00F64110"/>
    <w:rsid w:val="00F64148"/>
    <w:rsid w:val="00F645CC"/>
    <w:rsid w:val="00F648A5"/>
    <w:rsid w:val="00F64B7D"/>
    <w:rsid w:val="00F64BA6"/>
    <w:rsid w:val="00F64F76"/>
    <w:rsid w:val="00F65175"/>
    <w:rsid w:val="00F65AB9"/>
    <w:rsid w:val="00F66028"/>
    <w:rsid w:val="00F66139"/>
    <w:rsid w:val="00F663CE"/>
    <w:rsid w:val="00F663E7"/>
    <w:rsid w:val="00F66548"/>
    <w:rsid w:val="00F66A80"/>
    <w:rsid w:val="00F66D67"/>
    <w:rsid w:val="00F67FAC"/>
    <w:rsid w:val="00F70803"/>
    <w:rsid w:val="00F708E1"/>
    <w:rsid w:val="00F70A40"/>
    <w:rsid w:val="00F70AF3"/>
    <w:rsid w:val="00F711E5"/>
    <w:rsid w:val="00F71447"/>
    <w:rsid w:val="00F71A3D"/>
    <w:rsid w:val="00F71A63"/>
    <w:rsid w:val="00F71D09"/>
    <w:rsid w:val="00F7203A"/>
    <w:rsid w:val="00F72430"/>
    <w:rsid w:val="00F725C1"/>
    <w:rsid w:val="00F729FE"/>
    <w:rsid w:val="00F72B93"/>
    <w:rsid w:val="00F7324A"/>
    <w:rsid w:val="00F73372"/>
    <w:rsid w:val="00F738A1"/>
    <w:rsid w:val="00F73F27"/>
    <w:rsid w:val="00F7412D"/>
    <w:rsid w:val="00F74224"/>
    <w:rsid w:val="00F747B6"/>
    <w:rsid w:val="00F74E65"/>
    <w:rsid w:val="00F75329"/>
    <w:rsid w:val="00F75438"/>
    <w:rsid w:val="00F75E55"/>
    <w:rsid w:val="00F763EF"/>
    <w:rsid w:val="00F7691B"/>
    <w:rsid w:val="00F77871"/>
    <w:rsid w:val="00F778F2"/>
    <w:rsid w:val="00F77C18"/>
    <w:rsid w:val="00F77E85"/>
    <w:rsid w:val="00F805B9"/>
    <w:rsid w:val="00F80997"/>
    <w:rsid w:val="00F80AA6"/>
    <w:rsid w:val="00F80CD2"/>
    <w:rsid w:val="00F80F8A"/>
    <w:rsid w:val="00F814A5"/>
    <w:rsid w:val="00F816C8"/>
    <w:rsid w:val="00F82934"/>
    <w:rsid w:val="00F83364"/>
    <w:rsid w:val="00F83C85"/>
    <w:rsid w:val="00F84299"/>
    <w:rsid w:val="00F846F3"/>
    <w:rsid w:val="00F847C8"/>
    <w:rsid w:val="00F84944"/>
    <w:rsid w:val="00F85085"/>
    <w:rsid w:val="00F855BB"/>
    <w:rsid w:val="00F85DCF"/>
    <w:rsid w:val="00F85FF8"/>
    <w:rsid w:val="00F864A4"/>
    <w:rsid w:val="00F872B1"/>
    <w:rsid w:val="00F874F2"/>
    <w:rsid w:val="00F875BF"/>
    <w:rsid w:val="00F905F9"/>
    <w:rsid w:val="00F907E9"/>
    <w:rsid w:val="00F910BF"/>
    <w:rsid w:val="00F911AA"/>
    <w:rsid w:val="00F911E4"/>
    <w:rsid w:val="00F912BB"/>
    <w:rsid w:val="00F91365"/>
    <w:rsid w:val="00F92059"/>
    <w:rsid w:val="00F920EE"/>
    <w:rsid w:val="00F9237C"/>
    <w:rsid w:val="00F92524"/>
    <w:rsid w:val="00F9256E"/>
    <w:rsid w:val="00F92BE8"/>
    <w:rsid w:val="00F92E41"/>
    <w:rsid w:val="00F93931"/>
    <w:rsid w:val="00F93C08"/>
    <w:rsid w:val="00F93FFF"/>
    <w:rsid w:val="00F940AD"/>
    <w:rsid w:val="00F94190"/>
    <w:rsid w:val="00F941AB"/>
    <w:rsid w:val="00F94CB4"/>
    <w:rsid w:val="00F94E52"/>
    <w:rsid w:val="00F95435"/>
    <w:rsid w:val="00F954FD"/>
    <w:rsid w:val="00F95A50"/>
    <w:rsid w:val="00F95E63"/>
    <w:rsid w:val="00F9604C"/>
    <w:rsid w:val="00F96A03"/>
    <w:rsid w:val="00F96D2A"/>
    <w:rsid w:val="00F973C6"/>
    <w:rsid w:val="00F97560"/>
    <w:rsid w:val="00F977B0"/>
    <w:rsid w:val="00FA01D7"/>
    <w:rsid w:val="00FA07DF"/>
    <w:rsid w:val="00FA0874"/>
    <w:rsid w:val="00FA13C5"/>
    <w:rsid w:val="00FA1582"/>
    <w:rsid w:val="00FA1BBB"/>
    <w:rsid w:val="00FA1D26"/>
    <w:rsid w:val="00FA1DA9"/>
    <w:rsid w:val="00FA2047"/>
    <w:rsid w:val="00FA2BEC"/>
    <w:rsid w:val="00FA3355"/>
    <w:rsid w:val="00FA371D"/>
    <w:rsid w:val="00FA3CD3"/>
    <w:rsid w:val="00FA469D"/>
    <w:rsid w:val="00FA4B77"/>
    <w:rsid w:val="00FA4F02"/>
    <w:rsid w:val="00FA50B6"/>
    <w:rsid w:val="00FA535E"/>
    <w:rsid w:val="00FA586E"/>
    <w:rsid w:val="00FA5D8C"/>
    <w:rsid w:val="00FA6199"/>
    <w:rsid w:val="00FA63B6"/>
    <w:rsid w:val="00FA689F"/>
    <w:rsid w:val="00FA6AD9"/>
    <w:rsid w:val="00FA7108"/>
    <w:rsid w:val="00FA767E"/>
    <w:rsid w:val="00FA79DA"/>
    <w:rsid w:val="00FA7AA3"/>
    <w:rsid w:val="00FA7BC4"/>
    <w:rsid w:val="00FA7FF6"/>
    <w:rsid w:val="00FB1816"/>
    <w:rsid w:val="00FB19C7"/>
    <w:rsid w:val="00FB1F8F"/>
    <w:rsid w:val="00FB2C0D"/>
    <w:rsid w:val="00FB3050"/>
    <w:rsid w:val="00FB36DF"/>
    <w:rsid w:val="00FB3A96"/>
    <w:rsid w:val="00FB3BF3"/>
    <w:rsid w:val="00FB4673"/>
    <w:rsid w:val="00FB4FF5"/>
    <w:rsid w:val="00FB5027"/>
    <w:rsid w:val="00FB5155"/>
    <w:rsid w:val="00FB539D"/>
    <w:rsid w:val="00FB5560"/>
    <w:rsid w:val="00FB651F"/>
    <w:rsid w:val="00FB6EEE"/>
    <w:rsid w:val="00FB7254"/>
    <w:rsid w:val="00FB725C"/>
    <w:rsid w:val="00FB7722"/>
    <w:rsid w:val="00FB77CF"/>
    <w:rsid w:val="00FB78D3"/>
    <w:rsid w:val="00FB7B92"/>
    <w:rsid w:val="00FC0004"/>
    <w:rsid w:val="00FC0071"/>
    <w:rsid w:val="00FC0948"/>
    <w:rsid w:val="00FC104F"/>
    <w:rsid w:val="00FC1406"/>
    <w:rsid w:val="00FC1BF6"/>
    <w:rsid w:val="00FC1D15"/>
    <w:rsid w:val="00FC26AD"/>
    <w:rsid w:val="00FC273A"/>
    <w:rsid w:val="00FC309A"/>
    <w:rsid w:val="00FC35E5"/>
    <w:rsid w:val="00FC38EE"/>
    <w:rsid w:val="00FC3A09"/>
    <w:rsid w:val="00FC3B68"/>
    <w:rsid w:val="00FC3DCF"/>
    <w:rsid w:val="00FC3E13"/>
    <w:rsid w:val="00FC4168"/>
    <w:rsid w:val="00FC4230"/>
    <w:rsid w:val="00FC4515"/>
    <w:rsid w:val="00FC54D8"/>
    <w:rsid w:val="00FC568F"/>
    <w:rsid w:val="00FC5D63"/>
    <w:rsid w:val="00FC6C64"/>
    <w:rsid w:val="00FC77B8"/>
    <w:rsid w:val="00FC7F3C"/>
    <w:rsid w:val="00FD05B7"/>
    <w:rsid w:val="00FD0E37"/>
    <w:rsid w:val="00FD0F61"/>
    <w:rsid w:val="00FD0F71"/>
    <w:rsid w:val="00FD127C"/>
    <w:rsid w:val="00FD14E7"/>
    <w:rsid w:val="00FD1707"/>
    <w:rsid w:val="00FD1767"/>
    <w:rsid w:val="00FD1774"/>
    <w:rsid w:val="00FD21BC"/>
    <w:rsid w:val="00FD2585"/>
    <w:rsid w:val="00FD2A45"/>
    <w:rsid w:val="00FD306F"/>
    <w:rsid w:val="00FD3258"/>
    <w:rsid w:val="00FD33F1"/>
    <w:rsid w:val="00FD3726"/>
    <w:rsid w:val="00FD431A"/>
    <w:rsid w:val="00FD465D"/>
    <w:rsid w:val="00FD4BCC"/>
    <w:rsid w:val="00FD4C2F"/>
    <w:rsid w:val="00FD5A9E"/>
    <w:rsid w:val="00FD6E15"/>
    <w:rsid w:val="00FD6F19"/>
    <w:rsid w:val="00FD7862"/>
    <w:rsid w:val="00FD7C1B"/>
    <w:rsid w:val="00FE0018"/>
    <w:rsid w:val="00FE007B"/>
    <w:rsid w:val="00FE0202"/>
    <w:rsid w:val="00FE0483"/>
    <w:rsid w:val="00FE0570"/>
    <w:rsid w:val="00FE1093"/>
    <w:rsid w:val="00FE143E"/>
    <w:rsid w:val="00FE16A7"/>
    <w:rsid w:val="00FE209C"/>
    <w:rsid w:val="00FE20FB"/>
    <w:rsid w:val="00FE299F"/>
    <w:rsid w:val="00FE2A53"/>
    <w:rsid w:val="00FE2F72"/>
    <w:rsid w:val="00FE359A"/>
    <w:rsid w:val="00FE3721"/>
    <w:rsid w:val="00FE3FFD"/>
    <w:rsid w:val="00FE446A"/>
    <w:rsid w:val="00FE4476"/>
    <w:rsid w:val="00FE490C"/>
    <w:rsid w:val="00FE4CC7"/>
    <w:rsid w:val="00FE5141"/>
    <w:rsid w:val="00FE5200"/>
    <w:rsid w:val="00FE5225"/>
    <w:rsid w:val="00FE53B3"/>
    <w:rsid w:val="00FE5879"/>
    <w:rsid w:val="00FE5956"/>
    <w:rsid w:val="00FE5C66"/>
    <w:rsid w:val="00FE6015"/>
    <w:rsid w:val="00FE6451"/>
    <w:rsid w:val="00FE679F"/>
    <w:rsid w:val="00FE754A"/>
    <w:rsid w:val="00FE75FD"/>
    <w:rsid w:val="00FE7714"/>
    <w:rsid w:val="00FE788F"/>
    <w:rsid w:val="00FE7D20"/>
    <w:rsid w:val="00FE7E83"/>
    <w:rsid w:val="00FF0488"/>
    <w:rsid w:val="00FF0C67"/>
    <w:rsid w:val="00FF174C"/>
    <w:rsid w:val="00FF1FBC"/>
    <w:rsid w:val="00FF2F25"/>
    <w:rsid w:val="00FF3011"/>
    <w:rsid w:val="00FF35C1"/>
    <w:rsid w:val="00FF4081"/>
    <w:rsid w:val="00FF4300"/>
    <w:rsid w:val="00FF4571"/>
    <w:rsid w:val="00FF4BAE"/>
    <w:rsid w:val="00FF5406"/>
    <w:rsid w:val="00FF5647"/>
    <w:rsid w:val="00FF5AA3"/>
    <w:rsid w:val="00FF5B0E"/>
    <w:rsid w:val="00FF6185"/>
    <w:rsid w:val="00FF67AD"/>
    <w:rsid w:val="00FF6A12"/>
    <w:rsid w:val="00FF6B10"/>
    <w:rsid w:val="00FF6B6E"/>
    <w:rsid w:val="00FF74BF"/>
    <w:rsid w:val="00FF7742"/>
    <w:rsid w:val="00FF77D1"/>
    <w:rsid w:val="00FF7E3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5dce4"/>
    </o:shapedefaults>
    <o:shapelayout v:ext="edit">
      <o:idmap v:ext="edit" data="2"/>
    </o:shapelayout>
  </w:shapeDefaults>
  <w:decimalSymbol w:val=","/>
  <w:listSeparator w:val=";"/>
  <w14:docId w14:val="11CACCC2"/>
  <w15:chartTrackingRefBased/>
  <w15:docId w15:val="{27CC1F82-EA2E-4F9F-90DC-14D6D5AE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0841"/>
    <w:pPr>
      <w:spacing w:after="120" w:line="300" w:lineRule="auto"/>
      <w:jc w:val="both"/>
    </w:pPr>
    <w:rPr>
      <w:rFonts w:ascii="Arial" w:hAnsi="Arial"/>
      <w:szCs w:val="24"/>
    </w:rPr>
  </w:style>
  <w:style w:type="paragraph" w:styleId="1">
    <w:name w:val="heading 1"/>
    <w:aliases w:val="1_ΚΕΦΑΛΑΙΟ"/>
    <w:basedOn w:val="a"/>
    <w:next w:val="a"/>
    <w:link w:val="1Char"/>
    <w:qFormat/>
    <w:rsid w:val="002E4CC0"/>
    <w:pPr>
      <w:keepNext/>
      <w:numPr>
        <w:numId w:val="3"/>
      </w:numPr>
      <w:spacing w:line="276" w:lineRule="auto"/>
      <w:outlineLvl w:val="0"/>
    </w:pPr>
    <w:rPr>
      <w:b/>
      <w:bCs/>
      <w:color w:val="2F5496"/>
      <w:kern w:val="32"/>
      <w:sz w:val="28"/>
      <w:szCs w:val="32"/>
      <w:lang w:val="x-none" w:eastAsia="x-none"/>
    </w:rPr>
  </w:style>
  <w:style w:type="paragraph" w:styleId="2">
    <w:name w:val="heading 2"/>
    <w:aliases w:val="2_ΘΕΜΑ ΚΕΦΑΛΑΙΟΥ"/>
    <w:basedOn w:val="a"/>
    <w:next w:val="a"/>
    <w:link w:val="2Char"/>
    <w:qFormat/>
    <w:rsid w:val="006A035C"/>
    <w:pPr>
      <w:keepNext/>
      <w:spacing w:after="600" w:line="276" w:lineRule="auto"/>
      <w:outlineLvl w:val="1"/>
    </w:pPr>
    <w:rPr>
      <w:b/>
      <w:bCs/>
      <w:iCs/>
      <w:color w:val="2F5496"/>
      <w:sz w:val="28"/>
      <w:szCs w:val="28"/>
      <w:lang w:val="x-none" w:eastAsia="x-none"/>
    </w:rPr>
  </w:style>
  <w:style w:type="paragraph" w:styleId="3">
    <w:name w:val="heading 3"/>
    <w:aliases w:val="3_1.1."/>
    <w:basedOn w:val="a"/>
    <w:next w:val="a"/>
    <w:link w:val="3Char"/>
    <w:qFormat/>
    <w:rsid w:val="00656E67"/>
    <w:pPr>
      <w:keepNext/>
      <w:numPr>
        <w:ilvl w:val="1"/>
        <w:numId w:val="3"/>
      </w:numPr>
      <w:shd w:val="clear" w:color="auto" w:fill="D5DCE4"/>
      <w:spacing w:before="600" w:after="360" w:line="276" w:lineRule="auto"/>
      <w:outlineLvl w:val="2"/>
    </w:pPr>
    <w:rPr>
      <w:b/>
      <w:bCs/>
      <w:color w:val="2F5496"/>
      <w:sz w:val="24"/>
      <w:szCs w:val="26"/>
      <w:lang w:val="x-none" w:eastAsia="x-none"/>
    </w:rPr>
  </w:style>
  <w:style w:type="paragraph" w:styleId="4">
    <w:name w:val="heading 4"/>
    <w:aliases w:val="4_1.1.1."/>
    <w:basedOn w:val="a"/>
    <w:next w:val="a"/>
    <w:link w:val="4Char"/>
    <w:qFormat/>
    <w:rsid w:val="00CB2E0A"/>
    <w:pPr>
      <w:keepNext/>
      <w:numPr>
        <w:ilvl w:val="2"/>
        <w:numId w:val="3"/>
      </w:numPr>
      <w:spacing w:before="360" w:after="240" w:line="276" w:lineRule="auto"/>
      <w:ind w:left="851" w:hanging="851"/>
      <w:outlineLvl w:val="3"/>
    </w:pPr>
    <w:rPr>
      <w:b/>
      <w:color w:val="2F5496"/>
      <w:sz w:val="22"/>
      <w:szCs w:val="22"/>
      <w:lang w:val="x-none" w:eastAsia="x-none"/>
    </w:rPr>
  </w:style>
  <w:style w:type="paragraph" w:styleId="5">
    <w:name w:val="heading 5"/>
    <w:basedOn w:val="a"/>
    <w:next w:val="a"/>
    <w:link w:val="5Char"/>
    <w:qFormat/>
    <w:rsid w:val="00476DAC"/>
    <w:pPr>
      <w:keepNext/>
      <w:numPr>
        <w:ilvl w:val="3"/>
        <w:numId w:val="3"/>
      </w:numPr>
      <w:spacing w:before="240" w:after="360"/>
      <w:outlineLvl w:val="4"/>
    </w:pPr>
    <w:rPr>
      <w:b/>
      <w:color w:val="2F5496"/>
      <w:szCs w:val="22"/>
      <w:lang w:val="x-none" w:eastAsia="x-none"/>
    </w:rPr>
  </w:style>
  <w:style w:type="paragraph" w:styleId="6">
    <w:name w:val="heading 6"/>
    <w:basedOn w:val="a"/>
    <w:next w:val="a"/>
    <w:link w:val="6Char"/>
    <w:qFormat/>
    <w:rsid w:val="002E0B4C"/>
    <w:pPr>
      <w:keepNext/>
      <w:outlineLvl w:val="5"/>
    </w:pPr>
    <w:rPr>
      <w:rFonts w:ascii="Arial Narrow" w:hAnsi="Arial Narrow"/>
      <w:b/>
      <w:sz w:val="22"/>
      <w:szCs w:val="22"/>
      <w:lang w:val="x-none" w:eastAsia="x-none"/>
    </w:rPr>
  </w:style>
  <w:style w:type="paragraph" w:styleId="7">
    <w:name w:val="heading 7"/>
    <w:basedOn w:val="a"/>
    <w:next w:val="a"/>
    <w:link w:val="7Char"/>
    <w:qFormat/>
    <w:rsid w:val="002E0B4C"/>
    <w:pPr>
      <w:keepNext/>
      <w:outlineLvl w:val="6"/>
    </w:pPr>
    <w:rPr>
      <w:rFonts w:ascii="Arial Narrow" w:hAnsi="Arial Narrow"/>
      <w:b/>
      <w:i/>
      <w:sz w:val="22"/>
      <w:szCs w:val="22"/>
      <w:lang w:val="x-none" w:eastAsia="x-none"/>
    </w:rPr>
  </w:style>
  <w:style w:type="paragraph" w:styleId="8">
    <w:name w:val="heading 8"/>
    <w:basedOn w:val="a"/>
    <w:next w:val="a"/>
    <w:link w:val="8Char"/>
    <w:qFormat/>
    <w:rsid w:val="002E0B4C"/>
    <w:pPr>
      <w:keepNext/>
      <w:spacing w:before="100" w:beforeAutospacing="1" w:after="100" w:afterAutospacing="1"/>
      <w:outlineLvl w:val="7"/>
    </w:pPr>
    <w:rPr>
      <w:rFonts w:ascii="Arial Narrow" w:hAnsi="Arial Narrow"/>
      <w:b/>
      <w:sz w:val="16"/>
      <w:szCs w:val="16"/>
      <w:lang w:val="x-none" w:eastAsia="x-none"/>
    </w:rPr>
  </w:style>
  <w:style w:type="paragraph" w:styleId="9">
    <w:name w:val="heading 9"/>
    <w:basedOn w:val="a"/>
    <w:next w:val="a"/>
    <w:link w:val="9Char"/>
    <w:qFormat/>
    <w:rsid w:val="002E0B4C"/>
    <w:pPr>
      <w:keepNext/>
      <w:outlineLvl w:val="8"/>
    </w:pPr>
    <w:rPr>
      <w:rFonts w:ascii="Arial Narrow" w:hAnsi="Arial Narrow"/>
      <w:b/>
      <w:color w:val="000080"/>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E0B4C"/>
    <w:pPr>
      <w:tabs>
        <w:tab w:val="center" w:pos="4153"/>
        <w:tab w:val="right" w:pos="8306"/>
      </w:tabs>
    </w:pPr>
    <w:rPr>
      <w:lang w:val="x-none" w:eastAsia="x-none"/>
    </w:rPr>
  </w:style>
  <w:style w:type="paragraph" w:styleId="a4">
    <w:name w:val="footer"/>
    <w:basedOn w:val="a"/>
    <w:link w:val="Char0"/>
    <w:uiPriority w:val="99"/>
    <w:rsid w:val="002E0B4C"/>
    <w:pPr>
      <w:tabs>
        <w:tab w:val="center" w:pos="4153"/>
        <w:tab w:val="right" w:pos="8306"/>
      </w:tabs>
    </w:pPr>
    <w:rPr>
      <w:lang w:val="x-none" w:eastAsia="x-none"/>
    </w:rPr>
  </w:style>
  <w:style w:type="character" w:styleId="a5">
    <w:name w:val="page number"/>
    <w:basedOn w:val="a0"/>
    <w:rsid w:val="002E0B4C"/>
  </w:style>
  <w:style w:type="paragraph" w:styleId="a6">
    <w:name w:val="Balloon Text"/>
    <w:basedOn w:val="a"/>
    <w:link w:val="Char1"/>
    <w:semiHidden/>
    <w:rsid w:val="002E0B4C"/>
    <w:rPr>
      <w:rFonts w:ascii="Tahoma" w:hAnsi="Tahoma"/>
      <w:sz w:val="16"/>
      <w:szCs w:val="16"/>
      <w:lang w:val="x-none" w:eastAsia="x-none"/>
    </w:rPr>
  </w:style>
  <w:style w:type="paragraph" w:styleId="a7">
    <w:name w:val="Body Text Indent"/>
    <w:basedOn w:val="a"/>
    <w:link w:val="Char2"/>
    <w:rsid w:val="002E0B4C"/>
    <w:pPr>
      <w:ind w:left="720" w:hanging="720"/>
    </w:pPr>
    <w:rPr>
      <w:sz w:val="22"/>
      <w:szCs w:val="22"/>
      <w:lang w:val="x-none" w:eastAsia="x-none"/>
    </w:rPr>
  </w:style>
  <w:style w:type="paragraph" w:styleId="a8">
    <w:name w:val="Body Text"/>
    <w:basedOn w:val="a"/>
    <w:link w:val="Char3"/>
    <w:rsid w:val="002E0B4C"/>
    <w:rPr>
      <w:sz w:val="22"/>
      <w:szCs w:val="22"/>
      <w:lang w:val="x-none" w:eastAsia="x-none"/>
    </w:rPr>
  </w:style>
  <w:style w:type="paragraph" w:styleId="20">
    <w:name w:val="Body Text Indent 2"/>
    <w:basedOn w:val="a"/>
    <w:link w:val="2Char0"/>
    <w:rsid w:val="002E0B4C"/>
    <w:pPr>
      <w:ind w:left="284"/>
    </w:pPr>
    <w:rPr>
      <w:sz w:val="22"/>
      <w:szCs w:val="22"/>
      <w:lang w:val="x-none" w:eastAsia="x-none"/>
    </w:rPr>
  </w:style>
  <w:style w:type="paragraph" w:styleId="a9">
    <w:name w:val="Plain Text"/>
    <w:basedOn w:val="a"/>
    <w:link w:val="Char4"/>
    <w:rsid w:val="002E0B4C"/>
    <w:rPr>
      <w:rFonts w:ascii="Courier New" w:hAnsi="Courier New"/>
      <w:szCs w:val="20"/>
      <w:lang w:val="x-none" w:eastAsia="x-none"/>
    </w:rPr>
  </w:style>
  <w:style w:type="paragraph" w:styleId="21">
    <w:name w:val="Body Text 2"/>
    <w:basedOn w:val="a"/>
    <w:link w:val="2Char1"/>
    <w:rsid w:val="002E0B4C"/>
    <w:pPr>
      <w:spacing w:line="480" w:lineRule="auto"/>
    </w:pPr>
    <w:rPr>
      <w:lang w:val="x-none" w:eastAsia="x-none"/>
    </w:rPr>
  </w:style>
  <w:style w:type="paragraph" w:styleId="aa">
    <w:name w:val="footnote text"/>
    <w:aliases w:val="Footnote,Fußnote,Fodnotetekst Tegn Tegn Tegn Tegn Tegn Tegn Tegn Char Char,Fodnotetekst Tegn Tegn Tegn Tegn Tegn Tegn Tegn Char Char Char Char,Fodnotetekst Tegn Tegn Tegn Tegn Tegn Tegn Tegn,lábléc,C26 Footnote body, Char,Char"/>
    <w:basedOn w:val="a"/>
    <w:link w:val="Char5"/>
    <w:uiPriority w:val="99"/>
    <w:qFormat/>
    <w:rsid w:val="002E0B4C"/>
    <w:rPr>
      <w:szCs w:val="20"/>
      <w:lang w:val="en-GB"/>
    </w:rPr>
  </w:style>
  <w:style w:type="character" w:styleId="ab">
    <w:name w:val="footnote reference"/>
    <w:aliases w:val="Footnote Reference Number,Footnote Reference_LVL6,Footnote Reference_LVL61,Footnote Reference_LVL62,Footnote Reference_LVL63,Footnote Reference_LVL64,C26 Footnote Number,Footnote Reference_LVL65,Footnote symbol,Footnote Reference1"/>
    <w:uiPriority w:val="99"/>
    <w:qFormat/>
    <w:rsid w:val="002E0B4C"/>
    <w:rPr>
      <w:vertAlign w:val="superscript"/>
    </w:rPr>
  </w:style>
  <w:style w:type="table" w:styleId="ac">
    <w:name w:val="Table Grid"/>
    <w:basedOn w:val="a1"/>
    <w:uiPriority w:val="39"/>
    <w:rsid w:val="00D4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Κείμενο υποσημείωσης Char"/>
    <w:aliases w:val="Footnote Char,Fußnote Char,Fodnotetekst Tegn Tegn Tegn Tegn Tegn Tegn Tegn Char Char Char,Fodnotetekst Tegn Tegn Tegn Tegn Tegn Tegn Tegn Char Char Char Char Char,Fodnotetekst Tegn Tegn Tegn Tegn Tegn Tegn Tegn Char,lábléc Char"/>
    <w:link w:val="aa"/>
    <w:uiPriority w:val="99"/>
    <w:rsid w:val="00476C30"/>
    <w:rPr>
      <w:lang w:val="en-GB" w:eastAsia="el-GR" w:bidi="ar-SA"/>
    </w:rPr>
  </w:style>
  <w:style w:type="character" w:styleId="ad">
    <w:name w:val="annotation reference"/>
    <w:uiPriority w:val="99"/>
    <w:semiHidden/>
    <w:rsid w:val="00610DA8"/>
    <w:rPr>
      <w:sz w:val="16"/>
      <w:szCs w:val="16"/>
    </w:rPr>
  </w:style>
  <w:style w:type="paragraph" w:styleId="ae">
    <w:name w:val="annotation text"/>
    <w:basedOn w:val="a"/>
    <w:link w:val="Char6"/>
    <w:uiPriority w:val="99"/>
    <w:semiHidden/>
    <w:rsid w:val="00610DA8"/>
    <w:rPr>
      <w:szCs w:val="20"/>
    </w:rPr>
  </w:style>
  <w:style w:type="paragraph" w:styleId="af">
    <w:name w:val="annotation subject"/>
    <w:basedOn w:val="ae"/>
    <w:next w:val="ae"/>
    <w:link w:val="Char7"/>
    <w:semiHidden/>
    <w:rsid w:val="00610DA8"/>
    <w:rPr>
      <w:b/>
      <w:bCs/>
      <w:lang w:val="x-none" w:eastAsia="x-none"/>
    </w:rPr>
  </w:style>
  <w:style w:type="paragraph" w:styleId="af0">
    <w:name w:val="List Paragraph"/>
    <w:aliases w:val="1st level - Bullet List Paragraph,Bullet EY,Bullet list,Lettre d'introduction,List L1,List Paragraph compact,List Paragraph1,List Paragraph11,Normal bullet 2,Normal bullet 21,Numbered List,Paragraph,Paragraphe de liste 2,Reference list"/>
    <w:basedOn w:val="a"/>
    <w:link w:val="Char8"/>
    <w:uiPriority w:val="34"/>
    <w:qFormat/>
    <w:rsid w:val="00875F08"/>
    <w:pPr>
      <w:spacing w:after="200" w:line="276" w:lineRule="auto"/>
      <w:ind w:left="720"/>
      <w:contextualSpacing/>
    </w:pPr>
    <w:rPr>
      <w:rFonts w:ascii="Calibri" w:eastAsia="Calibri" w:hAnsi="Calibri"/>
      <w:sz w:val="22"/>
      <w:szCs w:val="22"/>
      <w:lang w:val="x-none" w:eastAsia="en-US"/>
    </w:rPr>
  </w:style>
  <w:style w:type="paragraph" w:customStyle="1" w:styleId="CharCharCharCharCharCharCharCharCharCharCharCharChar">
    <w:name w:val="Char Char Char Char Char Char Char Char Char Char Char Char Char"/>
    <w:basedOn w:val="a"/>
    <w:rsid w:val="00F64BA6"/>
    <w:pPr>
      <w:spacing w:after="160" w:line="240" w:lineRule="exact"/>
    </w:pPr>
    <w:rPr>
      <w:rFonts w:ascii="Verdana" w:hAnsi="Verdana"/>
      <w:szCs w:val="20"/>
      <w:lang w:val="en-US" w:eastAsia="en-US"/>
    </w:rPr>
  </w:style>
  <w:style w:type="paragraph" w:styleId="Web">
    <w:name w:val="Normal (Web)"/>
    <w:basedOn w:val="a"/>
    <w:uiPriority w:val="99"/>
    <w:unhideWhenUsed/>
    <w:rsid w:val="00707015"/>
    <w:pPr>
      <w:spacing w:before="100" w:beforeAutospacing="1" w:after="100" w:afterAutospacing="1"/>
    </w:pPr>
    <w:rPr>
      <w:lang w:val="en-US" w:bidi="en-US"/>
    </w:rPr>
  </w:style>
  <w:style w:type="character" w:styleId="af1">
    <w:name w:val="line number"/>
    <w:basedOn w:val="a0"/>
    <w:rsid w:val="00707015"/>
  </w:style>
  <w:style w:type="paragraph" w:styleId="af2">
    <w:name w:val="No Spacing"/>
    <w:link w:val="Char9"/>
    <w:uiPriority w:val="1"/>
    <w:qFormat/>
    <w:rsid w:val="00C56FF3"/>
    <w:rPr>
      <w:rFonts w:ascii="Calibri" w:eastAsia="Calibri" w:hAnsi="Calibri"/>
      <w:sz w:val="22"/>
      <w:szCs w:val="22"/>
      <w:lang w:eastAsia="en-US"/>
    </w:rPr>
  </w:style>
  <w:style w:type="character" w:customStyle="1" w:styleId="af3">
    <w:name w:val="Σύμβολο υποσημείωσης"/>
    <w:rsid w:val="00835387"/>
    <w:rPr>
      <w:vertAlign w:val="superscript"/>
    </w:rPr>
  </w:style>
  <w:style w:type="character" w:customStyle="1" w:styleId="10">
    <w:name w:val="Παραπομπή υποσημείωσης1"/>
    <w:rsid w:val="00835387"/>
    <w:rPr>
      <w:vertAlign w:val="superscript"/>
    </w:rPr>
  </w:style>
  <w:style w:type="paragraph" w:styleId="af4">
    <w:name w:val="Revision"/>
    <w:hidden/>
    <w:uiPriority w:val="99"/>
    <w:semiHidden/>
    <w:rsid w:val="0056106D"/>
    <w:rPr>
      <w:sz w:val="24"/>
      <w:szCs w:val="24"/>
    </w:rPr>
  </w:style>
  <w:style w:type="paragraph" w:styleId="af5">
    <w:name w:val="endnote text"/>
    <w:basedOn w:val="a"/>
    <w:link w:val="Chara"/>
    <w:semiHidden/>
    <w:unhideWhenUsed/>
    <w:rsid w:val="00F12840"/>
    <w:rPr>
      <w:szCs w:val="20"/>
    </w:rPr>
  </w:style>
  <w:style w:type="character" w:customStyle="1" w:styleId="Chara">
    <w:name w:val="Κείμενο σημείωσης τέλους Char"/>
    <w:basedOn w:val="a0"/>
    <w:link w:val="af5"/>
    <w:semiHidden/>
    <w:rsid w:val="00F12840"/>
  </w:style>
  <w:style w:type="character" w:styleId="af6">
    <w:name w:val="endnote reference"/>
    <w:semiHidden/>
    <w:unhideWhenUsed/>
    <w:rsid w:val="00F12840"/>
    <w:rPr>
      <w:vertAlign w:val="superscript"/>
    </w:rPr>
  </w:style>
  <w:style w:type="paragraph" w:customStyle="1" w:styleId="aplo">
    <w:name w:val="aplo"/>
    <w:basedOn w:val="a"/>
    <w:rsid w:val="004F40E8"/>
    <w:pPr>
      <w:tabs>
        <w:tab w:val="left" w:pos="567"/>
      </w:tabs>
      <w:spacing w:before="120"/>
    </w:pPr>
    <w:rPr>
      <w:sz w:val="22"/>
      <w:szCs w:val="20"/>
      <w:lang w:val="en-GB"/>
    </w:rPr>
  </w:style>
  <w:style w:type="paragraph" w:styleId="af7">
    <w:name w:val="Title"/>
    <w:basedOn w:val="a"/>
    <w:link w:val="Charb"/>
    <w:qFormat/>
    <w:rsid w:val="004F40E8"/>
    <w:pPr>
      <w:jc w:val="center"/>
    </w:pPr>
    <w:rPr>
      <w:b/>
      <w:bCs/>
      <w:lang w:val="x-none" w:eastAsia="en-US"/>
    </w:rPr>
  </w:style>
  <w:style w:type="character" w:customStyle="1" w:styleId="Charb">
    <w:name w:val="Τίτλος Char"/>
    <w:link w:val="af7"/>
    <w:rsid w:val="004F40E8"/>
    <w:rPr>
      <w:b/>
      <w:bCs/>
      <w:sz w:val="24"/>
      <w:szCs w:val="24"/>
      <w:lang w:eastAsia="en-US"/>
    </w:rPr>
  </w:style>
  <w:style w:type="numbering" w:customStyle="1" w:styleId="11">
    <w:name w:val="Χωρίς λίστα1"/>
    <w:next w:val="a2"/>
    <w:semiHidden/>
    <w:rsid w:val="004F40E8"/>
  </w:style>
  <w:style w:type="paragraph" w:customStyle="1" w:styleId="keimeno">
    <w:name w:val="keimeno"/>
    <w:basedOn w:val="a"/>
    <w:rsid w:val="004F40E8"/>
    <w:rPr>
      <w:sz w:val="22"/>
      <w:szCs w:val="20"/>
    </w:rPr>
  </w:style>
  <w:style w:type="paragraph" w:styleId="30">
    <w:name w:val="Body Text 3"/>
    <w:basedOn w:val="a"/>
    <w:link w:val="3Char0"/>
    <w:rsid w:val="004F40E8"/>
    <w:rPr>
      <w:sz w:val="22"/>
      <w:szCs w:val="20"/>
      <w:lang w:val="x-none" w:eastAsia="x-none"/>
    </w:rPr>
  </w:style>
  <w:style w:type="character" w:customStyle="1" w:styleId="3Char0">
    <w:name w:val="Σώμα κείμενου 3 Char"/>
    <w:link w:val="30"/>
    <w:rsid w:val="004F40E8"/>
    <w:rPr>
      <w:sz w:val="22"/>
    </w:rPr>
  </w:style>
  <w:style w:type="paragraph" w:customStyle="1" w:styleId="Giota">
    <w:name w:val="Giota"/>
    <w:basedOn w:val="a"/>
    <w:rsid w:val="004F40E8"/>
    <w:pPr>
      <w:tabs>
        <w:tab w:val="left" w:pos="567"/>
        <w:tab w:val="left" w:pos="1134"/>
        <w:tab w:val="left" w:pos="1701"/>
      </w:tabs>
    </w:pPr>
    <w:rPr>
      <w:sz w:val="18"/>
      <w:szCs w:val="20"/>
    </w:rPr>
  </w:style>
  <w:style w:type="paragraph" w:customStyle="1" w:styleId="12">
    <w:name w:val="Στυλ1"/>
    <w:basedOn w:val="a"/>
    <w:rsid w:val="004F40E8"/>
    <w:pPr>
      <w:spacing w:before="120"/>
      <w:ind w:firstLine="567"/>
    </w:pPr>
    <w:rPr>
      <w:szCs w:val="20"/>
    </w:rPr>
  </w:style>
  <w:style w:type="paragraph" w:styleId="31">
    <w:name w:val="Body Text Indent 3"/>
    <w:basedOn w:val="a"/>
    <w:link w:val="3Char1"/>
    <w:rsid w:val="004F40E8"/>
    <w:pPr>
      <w:tabs>
        <w:tab w:val="num" w:pos="652"/>
      </w:tabs>
      <w:ind w:left="652" w:hanging="652"/>
    </w:pPr>
    <w:rPr>
      <w:sz w:val="22"/>
      <w:szCs w:val="20"/>
      <w:lang w:val="x-none" w:eastAsia="x-none"/>
    </w:rPr>
  </w:style>
  <w:style w:type="character" w:customStyle="1" w:styleId="3Char1">
    <w:name w:val="Σώμα κείμενου με εσοχή 3 Char"/>
    <w:link w:val="31"/>
    <w:rsid w:val="004F40E8"/>
    <w:rPr>
      <w:sz w:val="22"/>
    </w:rPr>
  </w:style>
  <w:style w:type="character" w:styleId="-">
    <w:name w:val="Hyperlink"/>
    <w:uiPriority w:val="99"/>
    <w:rsid w:val="004F40E8"/>
    <w:rPr>
      <w:color w:val="0000FF"/>
      <w:u w:val="single"/>
    </w:rPr>
  </w:style>
  <w:style w:type="paragraph" w:customStyle="1" w:styleId="CharCharCharChar">
    <w:name w:val="Char Char Char Char"/>
    <w:basedOn w:val="a"/>
    <w:rsid w:val="004F40E8"/>
    <w:pPr>
      <w:spacing w:after="160" w:line="240" w:lineRule="exact"/>
    </w:pPr>
    <w:rPr>
      <w:rFonts w:ascii="Verdana" w:hAnsi="Verdana"/>
      <w:szCs w:val="20"/>
      <w:lang w:val="en-US" w:eastAsia="en-US"/>
    </w:rPr>
  </w:style>
  <w:style w:type="character" w:styleId="af8">
    <w:name w:val="Strong"/>
    <w:qFormat/>
    <w:rsid w:val="004F40E8"/>
    <w:rPr>
      <w:b/>
      <w:bCs/>
    </w:rPr>
  </w:style>
  <w:style w:type="paragraph" w:customStyle="1" w:styleId="Default">
    <w:name w:val="Default"/>
    <w:rsid w:val="004F40E8"/>
    <w:pPr>
      <w:autoSpaceDE w:val="0"/>
      <w:autoSpaceDN w:val="0"/>
      <w:adjustRightInd w:val="0"/>
    </w:pPr>
    <w:rPr>
      <w:rFonts w:eastAsia="Calibri"/>
      <w:color w:val="000000"/>
      <w:sz w:val="24"/>
      <w:szCs w:val="24"/>
      <w:lang w:eastAsia="en-US"/>
    </w:rPr>
  </w:style>
  <w:style w:type="paragraph" w:styleId="-HTML">
    <w:name w:val="HTML Preformatted"/>
    <w:basedOn w:val="a"/>
    <w:link w:val="-HTMLChar"/>
    <w:uiPriority w:val="99"/>
    <w:unhideWhenUsed/>
    <w:rsid w:val="004F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lang w:val="x-none" w:eastAsia="x-none"/>
    </w:rPr>
  </w:style>
  <w:style w:type="character" w:customStyle="1" w:styleId="-HTMLChar">
    <w:name w:val="Προ-διαμορφωμένο HTML Char"/>
    <w:link w:val="-HTML"/>
    <w:uiPriority w:val="99"/>
    <w:rsid w:val="004F40E8"/>
    <w:rPr>
      <w:rFonts w:ascii="Courier New" w:hAnsi="Courier New" w:cs="Courier New"/>
    </w:rPr>
  </w:style>
  <w:style w:type="character" w:styleId="-0">
    <w:name w:val="FollowedHyperlink"/>
    <w:uiPriority w:val="99"/>
    <w:unhideWhenUsed/>
    <w:rsid w:val="004F40E8"/>
    <w:rPr>
      <w:color w:val="800080"/>
      <w:u w:val="single"/>
    </w:rPr>
  </w:style>
  <w:style w:type="paragraph" w:customStyle="1" w:styleId="font5">
    <w:name w:val="font5"/>
    <w:basedOn w:val="a"/>
    <w:rsid w:val="004F40E8"/>
    <w:pPr>
      <w:spacing w:before="100" w:beforeAutospacing="1" w:after="100" w:afterAutospacing="1"/>
    </w:pPr>
    <w:rPr>
      <w:rFonts w:ascii="Tahoma" w:hAnsi="Tahoma" w:cs="Tahoma"/>
      <w:b/>
      <w:bCs/>
      <w:color w:val="000000"/>
      <w:sz w:val="18"/>
      <w:szCs w:val="18"/>
    </w:rPr>
  </w:style>
  <w:style w:type="paragraph" w:customStyle="1" w:styleId="font6">
    <w:name w:val="font6"/>
    <w:basedOn w:val="a"/>
    <w:rsid w:val="004F40E8"/>
    <w:pPr>
      <w:spacing w:before="100" w:beforeAutospacing="1" w:after="100" w:afterAutospacing="1"/>
    </w:pPr>
    <w:rPr>
      <w:rFonts w:ascii="Tahoma" w:hAnsi="Tahoma" w:cs="Tahoma"/>
      <w:color w:val="000000"/>
      <w:sz w:val="18"/>
      <w:szCs w:val="18"/>
    </w:rPr>
  </w:style>
  <w:style w:type="paragraph" w:customStyle="1" w:styleId="font7">
    <w:name w:val="font7"/>
    <w:basedOn w:val="a"/>
    <w:rsid w:val="004F40E8"/>
    <w:pPr>
      <w:spacing w:before="100" w:beforeAutospacing="1" w:after="100" w:afterAutospacing="1"/>
    </w:pPr>
    <w:rPr>
      <w:rFonts w:ascii="Segoe UI" w:hAnsi="Segoe UI" w:cs="Segoe UI"/>
      <w:b/>
      <w:bCs/>
      <w:i/>
      <w:iCs/>
      <w:sz w:val="16"/>
      <w:szCs w:val="16"/>
    </w:rPr>
  </w:style>
  <w:style w:type="paragraph" w:customStyle="1" w:styleId="xl52827">
    <w:name w:val="xl52827"/>
    <w:basedOn w:val="a"/>
    <w:rsid w:val="004F40E8"/>
    <w:pPr>
      <w:spacing w:before="100" w:beforeAutospacing="1" w:after="100" w:afterAutospacing="1"/>
      <w:textAlignment w:val="center"/>
    </w:pPr>
    <w:rPr>
      <w:rFonts w:ascii="Segoe UI" w:hAnsi="Segoe UI" w:cs="Segoe UI"/>
      <w:sz w:val="16"/>
      <w:szCs w:val="16"/>
    </w:rPr>
  </w:style>
  <w:style w:type="paragraph" w:customStyle="1" w:styleId="xl52828">
    <w:name w:val="xl52828"/>
    <w:basedOn w:val="a"/>
    <w:rsid w:val="004F40E8"/>
    <w:pPr>
      <w:shd w:val="clear" w:color="000000" w:fill="BFBFBF"/>
      <w:spacing w:before="100" w:beforeAutospacing="1" w:after="100" w:afterAutospacing="1"/>
      <w:textAlignment w:val="center"/>
    </w:pPr>
    <w:rPr>
      <w:rFonts w:ascii="Segoe UI" w:hAnsi="Segoe UI" w:cs="Segoe UI"/>
      <w:sz w:val="16"/>
      <w:szCs w:val="16"/>
    </w:rPr>
  </w:style>
  <w:style w:type="paragraph" w:customStyle="1" w:styleId="xl52829">
    <w:name w:val="xl52829"/>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0">
    <w:name w:val="xl52830"/>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1">
    <w:name w:val="xl52831"/>
    <w:basedOn w:val="a"/>
    <w:rsid w:val="004F40E8"/>
    <w:pPr>
      <w:spacing w:before="100" w:beforeAutospacing="1" w:after="100" w:afterAutospacing="1"/>
      <w:textAlignment w:val="center"/>
    </w:pPr>
    <w:rPr>
      <w:rFonts w:ascii="Segoe UI" w:hAnsi="Segoe UI" w:cs="Segoe UI"/>
      <w:b/>
      <w:bCs/>
      <w:sz w:val="16"/>
      <w:szCs w:val="16"/>
    </w:rPr>
  </w:style>
  <w:style w:type="paragraph" w:customStyle="1" w:styleId="xl52832">
    <w:name w:val="xl52832"/>
    <w:basedOn w:val="a"/>
    <w:rsid w:val="004F40E8"/>
    <w:pPr>
      <w:shd w:val="clear" w:color="000000" w:fill="BFBFBF"/>
      <w:spacing w:before="100" w:beforeAutospacing="1" w:after="100" w:afterAutospacing="1"/>
      <w:textAlignment w:val="center"/>
    </w:pPr>
    <w:rPr>
      <w:rFonts w:ascii="Segoe UI" w:hAnsi="Segoe UI" w:cs="Segoe UI"/>
      <w:b/>
      <w:bCs/>
      <w:sz w:val="16"/>
      <w:szCs w:val="16"/>
    </w:rPr>
  </w:style>
  <w:style w:type="paragraph" w:customStyle="1" w:styleId="xl52833">
    <w:name w:val="xl52833"/>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4">
    <w:name w:val="xl52834"/>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5">
    <w:name w:val="xl52835"/>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6">
    <w:name w:val="xl52836"/>
    <w:basedOn w:val="a"/>
    <w:rsid w:val="004F40E8"/>
    <w:pPr>
      <w:spacing w:before="100" w:beforeAutospacing="1" w:after="100" w:afterAutospacing="1"/>
      <w:textAlignment w:val="center"/>
    </w:pPr>
    <w:rPr>
      <w:rFonts w:ascii="Segoe UI" w:hAnsi="Segoe UI" w:cs="Segoe UI"/>
      <w:color w:val="C00000"/>
      <w:sz w:val="16"/>
      <w:szCs w:val="16"/>
    </w:rPr>
  </w:style>
  <w:style w:type="paragraph" w:customStyle="1" w:styleId="xl52837">
    <w:name w:val="xl52837"/>
    <w:basedOn w:val="a"/>
    <w:rsid w:val="004F40E8"/>
    <w:pPr>
      <w:pBdr>
        <w:left w:val="single" w:sz="4"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8">
    <w:name w:val="xl52838"/>
    <w:basedOn w:val="a"/>
    <w:rsid w:val="004F40E8"/>
    <w:pPr>
      <w:pBdr>
        <w:left w:val="single" w:sz="4" w:space="0" w:color="auto"/>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9">
    <w:name w:val="xl52839"/>
    <w:basedOn w:val="a"/>
    <w:rsid w:val="004F40E8"/>
    <w:pP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40">
    <w:name w:val="xl52840"/>
    <w:basedOn w:val="a"/>
    <w:rsid w:val="004F40E8"/>
    <w:pPr>
      <w:spacing w:before="100" w:beforeAutospacing="1" w:after="100" w:afterAutospacing="1"/>
      <w:textAlignment w:val="center"/>
    </w:pPr>
    <w:rPr>
      <w:rFonts w:ascii="Segoe UI" w:hAnsi="Segoe UI" w:cs="Segoe UI"/>
      <w:sz w:val="16"/>
      <w:szCs w:val="16"/>
    </w:rPr>
  </w:style>
  <w:style w:type="paragraph" w:customStyle="1" w:styleId="xl52841">
    <w:name w:val="xl52841"/>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2">
    <w:name w:val="xl52842"/>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3">
    <w:name w:val="xl52843"/>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4">
    <w:name w:val="xl52844"/>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845">
    <w:name w:val="xl52845"/>
    <w:basedOn w:val="a"/>
    <w:rsid w:val="004F40E8"/>
    <w:pPr>
      <w:pBdr>
        <w:left w:val="single" w:sz="4"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846">
    <w:name w:val="xl52846"/>
    <w:basedOn w:val="a"/>
    <w:rsid w:val="004F40E8"/>
    <w:pPr>
      <w:pBdr>
        <w:left w:val="single" w:sz="4" w:space="0" w:color="auto"/>
        <w:right w:val="single" w:sz="8" w:space="0" w:color="auto"/>
      </w:pBdr>
      <w:spacing w:before="100" w:beforeAutospacing="1" w:after="100" w:afterAutospacing="1"/>
      <w:jc w:val="center"/>
    </w:pPr>
    <w:rPr>
      <w:rFonts w:ascii="Segoe UI" w:hAnsi="Segoe UI" w:cs="Segoe UI"/>
      <w:sz w:val="16"/>
      <w:szCs w:val="16"/>
    </w:rPr>
  </w:style>
  <w:style w:type="paragraph" w:customStyle="1" w:styleId="xl52847">
    <w:name w:val="xl52847"/>
    <w:basedOn w:val="a"/>
    <w:rsid w:val="004F40E8"/>
    <w:pPr>
      <w:pBdr>
        <w:left w:val="single" w:sz="4"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48">
    <w:name w:val="xl52848"/>
    <w:basedOn w:val="a"/>
    <w:rsid w:val="004F40E8"/>
    <w:pPr>
      <w:pBdr>
        <w:left w:val="single" w:sz="4" w:space="0" w:color="auto"/>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849">
    <w:name w:val="xl52849"/>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0">
    <w:name w:val="xl52850"/>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1">
    <w:name w:val="xl52851"/>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2">
    <w:name w:val="xl52852"/>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3">
    <w:name w:val="xl52853"/>
    <w:basedOn w:val="a"/>
    <w:rsid w:val="004F40E8"/>
    <w:pPr>
      <w:pBdr>
        <w:lef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54">
    <w:name w:val="xl52854"/>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55">
    <w:name w:val="xl52855"/>
    <w:basedOn w:val="a"/>
    <w:rsid w:val="004F40E8"/>
    <w:pPr>
      <w:pBdr>
        <w:left w:val="single" w:sz="4" w:space="0" w:color="auto"/>
      </w:pBdr>
      <w:spacing w:before="100" w:beforeAutospacing="1" w:after="100" w:afterAutospacing="1"/>
      <w:jc w:val="center"/>
    </w:pPr>
    <w:rPr>
      <w:rFonts w:ascii="Segoe UI" w:hAnsi="Segoe UI" w:cs="Segoe UI"/>
      <w:sz w:val="16"/>
      <w:szCs w:val="16"/>
    </w:rPr>
  </w:style>
  <w:style w:type="paragraph" w:customStyle="1" w:styleId="xl52856">
    <w:name w:val="xl52856"/>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7">
    <w:name w:val="xl52857"/>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8">
    <w:name w:val="xl52858"/>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9">
    <w:name w:val="xl52859"/>
    <w:basedOn w:val="a"/>
    <w:rsid w:val="004F40E8"/>
    <w:pP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860">
    <w:name w:val="xl52860"/>
    <w:basedOn w:val="a"/>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1">
    <w:name w:val="xl52861"/>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2">
    <w:name w:val="xl52862"/>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3">
    <w:name w:val="xl52863"/>
    <w:basedOn w:val="a"/>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4">
    <w:name w:val="xl52864"/>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5">
    <w:name w:val="xl52865"/>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6">
    <w:name w:val="xl52866"/>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7">
    <w:name w:val="xl52867"/>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8">
    <w:name w:val="xl52868"/>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9">
    <w:name w:val="xl52869"/>
    <w:basedOn w:val="a"/>
    <w:rsid w:val="004F40E8"/>
    <w:pPr>
      <w:shd w:val="clear" w:color="000000" w:fill="A5A5A5"/>
      <w:spacing w:before="100" w:beforeAutospacing="1" w:after="100" w:afterAutospacing="1"/>
      <w:textAlignment w:val="center"/>
    </w:pPr>
    <w:rPr>
      <w:rFonts w:ascii="Segoe UI" w:hAnsi="Segoe UI" w:cs="Segoe UI"/>
      <w:color w:val="C00000"/>
      <w:sz w:val="16"/>
      <w:szCs w:val="16"/>
    </w:rPr>
  </w:style>
  <w:style w:type="paragraph" w:customStyle="1" w:styleId="xl52870">
    <w:name w:val="xl52870"/>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71">
    <w:name w:val="xl52871"/>
    <w:basedOn w:val="a"/>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72">
    <w:name w:val="xl52872"/>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3">
    <w:name w:val="xl52873"/>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4">
    <w:name w:val="xl52874"/>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5">
    <w:name w:val="xl52875"/>
    <w:basedOn w:val="a"/>
    <w:rsid w:val="004F40E8"/>
    <w:pPr>
      <w:pBdr>
        <w:left w:val="single" w:sz="8" w:space="0" w:color="auto"/>
      </w:pBd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76">
    <w:name w:val="xl52876"/>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7">
    <w:name w:val="xl52877"/>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8">
    <w:name w:val="xl52878"/>
    <w:basedOn w:val="a"/>
    <w:rsid w:val="004F40E8"/>
    <w:pPr>
      <w:pBdr>
        <w:left w:val="single" w:sz="8" w:space="0" w:color="auto"/>
      </w:pBdr>
      <w:shd w:val="clear" w:color="000000" w:fill="FFFFFF"/>
      <w:spacing w:before="100" w:beforeAutospacing="1" w:after="100" w:afterAutospacing="1"/>
      <w:textAlignment w:val="center"/>
    </w:pPr>
    <w:rPr>
      <w:rFonts w:ascii="Segoe UI" w:hAnsi="Segoe UI" w:cs="Segoe UI"/>
      <w:sz w:val="16"/>
      <w:szCs w:val="16"/>
    </w:rPr>
  </w:style>
  <w:style w:type="paragraph" w:customStyle="1" w:styleId="xl52879">
    <w:name w:val="xl52879"/>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80">
    <w:name w:val="xl52880"/>
    <w:basedOn w:val="a"/>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81">
    <w:name w:val="xl52881"/>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i/>
      <w:iCs/>
      <w:sz w:val="16"/>
      <w:szCs w:val="16"/>
    </w:rPr>
  </w:style>
  <w:style w:type="paragraph" w:customStyle="1" w:styleId="xl52882">
    <w:name w:val="xl52882"/>
    <w:basedOn w:val="a"/>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3">
    <w:name w:val="xl52883"/>
    <w:basedOn w:val="a"/>
    <w:rsid w:val="004F40E8"/>
    <w:pPr>
      <w:pBdr>
        <w:left w:val="single" w:sz="8" w:space="0" w:color="auto"/>
      </w:pBdr>
      <w:spacing w:before="100" w:beforeAutospacing="1" w:after="100" w:afterAutospacing="1"/>
    </w:pPr>
    <w:rPr>
      <w:rFonts w:ascii="Segoe UI" w:hAnsi="Segoe UI" w:cs="Segoe UI"/>
      <w:b/>
      <w:bCs/>
      <w:sz w:val="16"/>
      <w:szCs w:val="16"/>
    </w:rPr>
  </w:style>
  <w:style w:type="paragraph" w:customStyle="1" w:styleId="xl52884">
    <w:name w:val="xl52884"/>
    <w:basedOn w:val="a"/>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5">
    <w:name w:val="xl52885"/>
    <w:basedOn w:val="a"/>
    <w:rsid w:val="004F40E8"/>
    <w:pPr>
      <w:pBdr>
        <w:left w:val="single" w:sz="8" w:space="0" w:color="auto"/>
      </w:pBdr>
      <w:shd w:val="clear" w:color="000000" w:fill="FFFFFF"/>
      <w:spacing w:before="100" w:beforeAutospacing="1" w:after="100" w:afterAutospacing="1"/>
    </w:pPr>
    <w:rPr>
      <w:rFonts w:ascii="Segoe UI" w:hAnsi="Segoe UI" w:cs="Segoe UI"/>
      <w:b/>
      <w:bCs/>
      <w:i/>
      <w:iCs/>
      <w:sz w:val="16"/>
      <w:szCs w:val="16"/>
    </w:rPr>
  </w:style>
  <w:style w:type="paragraph" w:customStyle="1" w:styleId="xl52886">
    <w:name w:val="xl52886"/>
    <w:basedOn w:val="a"/>
    <w:rsid w:val="004F40E8"/>
    <w:pPr>
      <w:pBdr>
        <w:left w:val="single" w:sz="8" w:space="0" w:color="auto"/>
      </w:pBdr>
      <w:shd w:val="clear" w:color="000000" w:fill="FFFFFF"/>
      <w:spacing w:before="100" w:beforeAutospacing="1" w:after="100" w:afterAutospacing="1"/>
    </w:pPr>
    <w:rPr>
      <w:rFonts w:ascii="Segoe UI" w:hAnsi="Segoe UI" w:cs="Segoe UI"/>
      <w:b/>
      <w:bCs/>
      <w:sz w:val="16"/>
      <w:szCs w:val="16"/>
    </w:rPr>
  </w:style>
  <w:style w:type="paragraph" w:customStyle="1" w:styleId="xl52887">
    <w:name w:val="xl52887"/>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88">
    <w:name w:val="xl52888"/>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89">
    <w:name w:val="xl52889"/>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0">
    <w:name w:val="xl52890"/>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1">
    <w:name w:val="xl52891"/>
    <w:basedOn w:val="a"/>
    <w:rsid w:val="004F40E8"/>
    <w:pPr>
      <w:pBdr>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92">
    <w:name w:val="xl52892"/>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93">
    <w:name w:val="xl52893"/>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4">
    <w:name w:val="xl52894"/>
    <w:basedOn w:val="a"/>
    <w:rsid w:val="004F40E8"/>
    <w:pPr>
      <w:pBdr>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95">
    <w:name w:val="xl52895"/>
    <w:basedOn w:val="a"/>
    <w:rsid w:val="004F40E8"/>
    <w:pPr>
      <w:pBdr>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96">
    <w:name w:val="xl52896"/>
    <w:basedOn w:val="a"/>
    <w:rsid w:val="004F40E8"/>
    <w:pPr>
      <w:pBdr>
        <w:right w:val="single" w:sz="4" w:space="0" w:color="auto"/>
      </w:pBdr>
      <w:spacing w:before="100" w:beforeAutospacing="1" w:after="100" w:afterAutospacing="1"/>
      <w:jc w:val="center"/>
    </w:pPr>
    <w:rPr>
      <w:rFonts w:ascii="Segoe UI" w:hAnsi="Segoe UI" w:cs="Segoe UI"/>
      <w:sz w:val="16"/>
      <w:szCs w:val="16"/>
    </w:rPr>
  </w:style>
  <w:style w:type="paragraph" w:customStyle="1" w:styleId="xl52897">
    <w:name w:val="xl52897"/>
    <w:basedOn w:val="a"/>
    <w:rsid w:val="004F40E8"/>
    <w:pPr>
      <w:pBdr>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98">
    <w:name w:val="xl52898"/>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99">
    <w:name w:val="xl52899"/>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0">
    <w:name w:val="xl52900"/>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1">
    <w:name w:val="xl52901"/>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02">
    <w:name w:val="xl52902"/>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3">
    <w:name w:val="xl52903"/>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4">
    <w:name w:val="xl52904"/>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5">
    <w:name w:val="xl52905"/>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6">
    <w:name w:val="xl52906"/>
    <w:basedOn w:val="a"/>
    <w:rsid w:val="004F40E8"/>
    <w:pPr>
      <w:pBdr>
        <w:lef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07">
    <w:name w:val="xl52907"/>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8">
    <w:name w:val="xl52908"/>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9">
    <w:name w:val="xl52909"/>
    <w:basedOn w:val="a"/>
    <w:rsid w:val="004F40E8"/>
    <w:pPr>
      <w:pBdr>
        <w:lef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10">
    <w:name w:val="xl52910"/>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1">
    <w:name w:val="xl52911"/>
    <w:basedOn w:val="a"/>
    <w:rsid w:val="004F40E8"/>
    <w:pPr>
      <w:pBdr>
        <w:left w:val="single" w:sz="8" w:space="0" w:color="auto"/>
      </w:pBdr>
      <w:spacing w:before="100" w:beforeAutospacing="1" w:after="100" w:afterAutospacing="1"/>
      <w:jc w:val="center"/>
    </w:pPr>
    <w:rPr>
      <w:rFonts w:ascii="Segoe UI" w:hAnsi="Segoe UI" w:cs="Segoe UI"/>
      <w:sz w:val="16"/>
      <w:szCs w:val="16"/>
    </w:rPr>
  </w:style>
  <w:style w:type="paragraph" w:customStyle="1" w:styleId="xl52912">
    <w:name w:val="xl52912"/>
    <w:basedOn w:val="a"/>
    <w:rsid w:val="004F40E8"/>
    <w:pPr>
      <w:pBdr>
        <w:lef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13">
    <w:name w:val="xl52913"/>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4">
    <w:name w:val="xl52914"/>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5">
    <w:name w:val="xl52915"/>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6">
    <w:name w:val="xl52916"/>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7">
    <w:name w:val="xl52917"/>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8">
    <w:name w:val="xl52918"/>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19">
    <w:name w:val="xl52919"/>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0">
    <w:name w:val="xl52920"/>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21">
    <w:name w:val="xl52921"/>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22">
    <w:name w:val="xl52922"/>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3">
    <w:name w:val="xl52923"/>
    <w:basedOn w:val="a"/>
    <w:rsid w:val="004F40E8"/>
    <w:pPr>
      <w:pBdr>
        <w:left w:val="single" w:sz="8"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24">
    <w:name w:val="xl52924"/>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5">
    <w:name w:val="xl52925"/>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6">
    <w:name w:val="xl52926"/>
    <w:basedOn w:val="a"/>
    <w:rsid w:val="004F40E8"/>
    <w:pPr>
      <w:pBdr>
        <w:left w:val="single" w:sz="8"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927">
    <w:name w:val="xl52927"/>
    <w:basedOn w:val="a"/>
    <w:rsid w:val="004F40E8"/>
    <w:pPr>
      <w:pBdr>
        <w:left w:val="single" w:sz="8"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28">
    <w:name w:val="xl52928"/>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29">
    <w:name w:val="xl52929"/>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0">
    <w:name w:val="xl52930"/>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1">
    <w:name w:val="xl52931"/>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2">
    <w:name w:val="xl52932"/>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33">
    <w:name w:val="xl52933"/>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4">
    <w:name w:val="xl52934"/>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5">
    <w:name w:val="xl52935"/>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6">
    <w:name w:val="xl52936"/>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7">
    <w:name w:val="xl52937"/>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8">
    <w:name w:val="xl52938"/>
    <w:basedOn w:val="a"/>
    <w:rsid w:val="004F40E8"/>
    <w:pPr>
      <w:pBdr>
        <w:lef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39">
    <w:name w:val="xl52939"/>
    <w:basedOn w:val="a"/>
    <w:rsid w:val="004F40E8"/>
    <w:pPr>
      <w:pBdr>
        <w:lef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40">
    <w:name w:val="xl52940"/>
    <w:basedOn w:val="a"/>
    <w:rsid w:val="004F40E8"/>
    <w:pPr>
      <w:pBdr>
        <w:lef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41">
    <w:name w:val="xl52941"/>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2">
    <w:name w:val="xl52942"/>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3">
    <w:name w:val="xl52943"/>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4">
    <w:name w:val="xl52944"/>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5">
    <w:name w:val="xl52945"/>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6">
    <w:name w:val="xl52946"/>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7">
    <w:name w:val="xl52947"/>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48">
    <w:name w:val="xl52948"/>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49">
    <w:name w:val="xl52949"/>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0">
    <w:name w:val="xl52950"/>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1">
    <w:name w:val="xl52951"/>
    <w:basedOn w:val="a"/>
    <w:rsid w:val="004F40E8"/>
    <w:pPr>
      <w:pBdr>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52">
    <w:name w:val="xl52952"/>
    <w:basedOn w:val="a"/>
    <w:rsid w:val="004F40E8"/>
    <w:pPr>
      <w:pBdr>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53">
    <w:name w:val="xl52953"/>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4">
    <w:name w:val="xl52954"/>
    <w:basedOn w:val="a"/>
    <w:rsid w:val="004F40E8"/>
    <w:pPr>
      <w:spacing w:before="100" w:beforeAutospacing="1" w:after="100" w:afterAutospacing="1"/>
      <w:jc w:val="center"/>
      <w:textAlignment w:val="center"/>
    </w:pPr>
    <w:rPr>
      <w:rFonts w:ascii="Segoe UI" w:hAnsi="Segoe UI" w:cs="Segoe UI"/>
      <w:b/>
      <w:bCs/>
      <w:sz w:val="16"/>
      <w:szCs w:val="16"/>
    </w:rPr>
  </w:style>
  <w:style w:type="paragraph" w:customStyle="1" w:styleId="xl52955">
    <w:name w:val="xl52955"/>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56">
    <w:name w:val="xl52956"/>
    <w:basedOn w:val="a"/>
    <w:rsid w:val="004F40E8"/>
    <w:pPr>
      <w:pBdr>
        <w:right w:val="single" w:sz="8" w:space="0" w:color="auto"/>
      </w:pBdr>
      <w:spacing w:before="100" w:beforeAutospacing="1" w:after="100" w:afterAutospacing="1"/>
      <w:jc w:val="center"/>
    </w:pPr>
    <w:rPr>
      <w:rFonts w:ascii="Segoe UI" w:hAnsi="Segoe UI" w:cs="Segoe UI"/>
      <w:sz w:val="16"/>
      <w:szCs w:val="16"/>
    </w:rPr>
  </w:style>
  <w:style w:type="paragraph" w:customStyle="1" w:styleId="xl52957">
    <w:name w:val="xl52957"/>
    <w:basedOn w:val="a"/>
    <w:rsid w:val="004F40E8"/>
    <w:pPr>
      <w:spacing w:before="100" w:beforeAutospacing="1" w:after="100" w:afterAutospacing="1"/>
      <w:jc w:val="center"/>
    </w:pPr>
    <w:rPr>
      <w:rFonts w:ascii="Segoe UI" w:hAnsi="Segoe UI" w:cs="Segoe UI"/>
      <w:sz w:val="16"/>
      <w:szCs w:val="16"/>
    </w:rPr>
  </w:style>
  <w:style w:type="paragraph" w:customStyle="1" w:styleId="xl52958">
    <w:name w:val="xl52958"/>
    <w:basedOn w:val="a"/>
    <w:rsid w:val="004F40E8"/>
    <w:pPr>
      <w:pBdr>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59">
    <w:name w:val="xl52959"/>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0">
    <w:name w:val="xl52960"/>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1">
    <w:name w:val="xl52961"/>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2">
    <w:name w:val="xl52962"/>
    <w:basedOn w:val="a"/>
    <w:rsid w:val="004F40E8"/>
    <w:pPr>
      <w:pBdr>
        <w:top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63">
    <w:name w:val="xl52963"/>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4">
    <w:name w:val="xl52964"/>
    <w:basedOn w:val="a"/>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5">
    <w:name w:val="xl52965"/>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6">
    <w:name w:val="xl52966"/>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67">
    <w:name w:val="xl52967"/>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8">
    <w:name w:val="xl52968"/>
    <w:basedOn w:val="a"/>
    <w:rsid w:val="004F40E8"/>
    <w:pP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69">
    <w:name w:val="xl52969"/>
    <w:basedOn w:val="a"/>
    <w:rsid w:val="004F40E8"/>
    <w:pPr>
      <w:spacing w:before="100" w:beforeAutospacing="1" w:after="100" w:afterAutospacing="1"/>
      <w:jc w:val="center"/>
    </w:pPr>
    <w:rPr>
      <w:rFonts w:ascii="Segoe UI" w:hAnsi="Segoe UI" w:cs="Segoe UI"/>
      <w:b/>
      <w:bCs/>
      <w:sz w:val="16"/>
      <w:szCs w:val="16"/>
    </w:rPr>
  </w:style>
  <w:style w:type="paragraph" w:customStyle="1" w:styleId="xl52970">
    <w:name w:val="xl52970"/>
    <w:basedOn w:val="a"/>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1">
    <w:name w:val="xl52971"/>
    <w:basedOn w:val="a"/>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72">
    <w:name w:val="xl52972"/>
    <w:basedOn w:val="a"/>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3">
    <w:name w:val="xl52973"/>
    <w:basedOn w:val="a"/>
    <w:rsid w:val="004F40E8"/>
    <w:pPr>
      <w:pBdr>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74">
    <w:name w:val="xl52974"/>
    <w:basedOn w:val="a"/>
    <w:rsid w:val="004F40E8"/>
    <w:pPr>
      <w:spacing w:before="100" w:beforeAutospacing="1" w:after="100" w:afterAutospacing="1"/>
      <w:jc w:val="center"/>
      <w:textAlignment w:val="center"/>
    </w:pPr>
    <w:rPr>
      <w:rFonts w:ascii="Segoe UI" w:hAnsi="Segoe UI" w:cs="Segoe UI"/>
      <w:color w:val="FFFFFF"/>
      <w:sz w:val="16"/>
      <w:szCs w:val="16"/>
    </w:rPr>
  </w:style>
  <w:style w:type="paragraph" w:customStyle="1" w:styleId="xl52975">
    <w:name w:val="xl52975"/>
    <w:basedOn w:val="a"/>
    <w:rsid w:val="004F40E8"/>
    <w:pPr>
      <w:pBdr>
        <w:top w:val="single" w:sz="8" w:space="0" w:color="auto"/>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6">
    <w:name w:val="xl52976"/>
    <w:basedOn w:val="a"/>
    <w:rsid w:val="004F40E8"/>
    <w:pPr>
      <w:pBdr>
        <w:top w:val="single" w:sz="8" w:space="0" w:color="auto"/>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7">
    <w:name w:val="xl52977"/>
    <w:basedOn w:val="a"/>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8">
    <w:name w:val="xl52978"/>
    <w:basedOn w:val="a"/>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79">
    <w:name w:val="xl52979"/>
    <w:basedOn w:val="a"/>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0">
    <w:name w:val="xl52980"/>
    <w:basedOn w:val="a"/>
    <w:rsid w:val="004F40E8"/>
    <w:pPr>
      <w:pBdr>
        <w:top w:val="single" w:sz="8"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1">
    <w:name w:val="xl52981"/>
    <w:basedOn w:val="a"/>
    <w:rsid w:val="004F40E8"/>
    <w:pPr>
      <w:pBdr>
        <w:top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82">
    <w:name w:val="xl52982"/>
    <w:basedOn w:val="a"/>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3">
    <w:name w:val="xl52983"/>
    <w:basedOn w:val="a"/>
    <w:rsid w:val="004F40E8"/>
    <w:pPr>
      <w:pBdr>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84">
    <w:name w:val="xl52984"/>
    <w:basedOn w:val="a"/>
    <w:rsid w:val="004F40E8"/>
    <w:pPr>
      <w:pBdr>
        <w:left w:val="single" w:sz="8" w:space="0" w:color="auto"/>
      </w:pBdr>
      <w:shd w:val="clear" w:color="000000" w:fill="A5A5A5"/>
      <w:spacing w:before="100" w:beforeAutospacing="1" w:after="100" w:afterAutospacing="1"/>
    </w:pPr>
    <w:rPr>
      <w:rFonts w:ascii="Segoe UI" w:hAnsi="Segoe UI" w:cs="Segoe UI"/>
      <w:b/>
      <w:bCs/>
      <w:sz w:val="16"/>
      <w:szCs w:val="16"/>
    </w:rPr>
  </w:style>
  <w:style w:type="paragraph" w:customStyle="1" w:styleId="xl52985">
    <w:name w:val="xl52985"/>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6">
    <w:name w:val="xl52986"/>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7">
    <w:name w:val="xl52987"/>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8">
    <w:name w:val="xl52988"/>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9">
    <w:name w:val="xl52989"/>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0">
    <w:name w:val="xl52990"/>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1">
    <w:name w:val="xl52991"/>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2">
    <w:name w:val="xl52992"/>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3">
    <w:name w:val="xl52993"/>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4">
    <w:name w:val="xl52994"/>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5">
    <w:name w:val="xl52995"/>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6">
    <w:name w:val="xl52996"/>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7">
    <w:name w:val="xl52997"/>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8">
    <w:name w:val="xl52998"/>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9">
    <w:name w:val="xl52999"/>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0">
    <w:name w:val="xl53000"/>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1">
    <w:name w:val="xl53001"/>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2">
    <w:name w:val="xl53002"/>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3">
    <w:name w:val="xl53003"/>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4">
    <w:name w:val="xl53004"/>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5">
    <w:name w:val="xl53005"/>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6">
    <w:name w:val="xl53006"/>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7">
    <w:name w:val="xl53007"/>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8">
    <w:name w:val="xl53008"/>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9">
    <w:name w:val="xl53009"/>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0">
    <w:name w:val="xl53010"/>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1">
    <w:name w:val="xl53011"/>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2">
    <w:name w:val="xl53012"/>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3">
    <w:name w:val="xl53013"/>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4">
    <w:name w:val="xl53014"/>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5">
    <w:name w:val="xl53015"/>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6">
    <w:name w:val="xl53016"/>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7">
    <w:name w:val="xl53017"/>
    <w:basedOn w:val="a"/>
    <w:rsid w:val="004F40E8"/>
    <w:pPr>
      <w:pBdr>
        <w:left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18">
    <w:name w:val="xl53018"/>
    <w:basedOn w:val="a"/>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9">
    <w:name w:val="xl53019"/>
    <w:basedOn w:val="a"/>
    <w:rsid w:val="004F40E8"/>
    <w:pPr>
      <w:pBdr>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0">
    <w:name w:val="xl53020"/>
    <w:basedOn w:val="a"/>
    <w:rsid w:val="004F40E8"/>
    <w:pPr>
      <w:pBdr>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1">
    <w:name w:val="xl53021"/>
    <w:basedOn w:val="a"/>
    <w:rsid w:val="004F40E8"/>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2">
    <w:name w:val="xl53022"/>
    <w:basedOn w:val="a"/>
    <w:rsid w:val="004F40E8"/>
    <w:pPr>
      <w:pBdr>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3">
    <w:name w:val="xl53023"/>
    <w:basedOn w:val="a"/>
    <w:rsid w:val="004F40E8"/>
    <w:pPr>
      <w:pBdr>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4">
    <w:name w:val="xl53024"/>
    <w:basedOn w:val="a"/>
    <w:rsid w:val="004F40E8"/>
    <w:pPr>
      <w:pBdr>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5">
    <w:name w:val="xl53025"/>
    <w:basedOn w:val="a"/>
    <w:rsid w:val="004F40E8"/>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6">
    <w:name w:val="xl53026"/>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27">
    <w:name w:val="xl53027"/>
    <w:basedOn w:val="a"/>
    <w:rsid w:val="004F40E8"/>
    <w:pPr>
      <w:pBdr>
        <w:left w:val="single" w:sz="4" w:space="0" w:color="auto"/>
        <w:right w:val="single" w:sz="4" w:space="0" w:color="auto"/>
      </w:pBdr>
      <w:spacing w:before="100" w:beforeAutospacing="1" w:after="100" w:afterAutospacing="1"/>
      <w:textAlignment w:val="center"/>
    </w:pPr>
    <w:rPr>
      <w:rFonts w:ascii="Segoe UI" w:hAnsi="Segoe UI" w:cs="Segoe UI"/>
      <w:sz w:val="16"/>
      <w:szCs w:val="16"/>
    </w:rPr>
  </w:style>
  <w:style w:type="paragraph" w:customStyle="1" w:styleId="xl53028">
    <w:name w:val="xl53028"/>
    <w:basedOn w:val="a"/>
    <w:rsid w:val="004F40E8"/>
    <w:pPr>
      <w:pBdr>
        <w:left w:val="single" w:sz="8" w:space="0" w:color="auto"/>
      </w:pBdr>
      <w:spacing w:before="100" w:beforeAutospacing="1" w:after="100" w:afterAutospacing="1"/>
      <w:textAlignment w:val="center"/>
    </w:pPr>
    <w:rPr>
      <w:rFonts w:ascii="Segoe UI" w:hAnsi="Segoe UI" w:cs="Segoe UI"/>
      <w:color w:val="FFFFFF"/>
      <w:sz w:val="16"/>
      <w:szCs w:val="16"/>
    </w:rPr>
  </w:style>
  <w:style w:type="paragraph" w:customStyle="1" w:styleId="xl53029">
    <w:name w:val="xl53029"/>
    <w:basedOn w:val="a"/>
    <w:rsid w:val="004F40E8"/>
    <w:pPr>
      <w:pBdr>
        <w:lef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3030">
    <w:name w:val="xl53030"/>
    <w:basedOn w:val="a"/>
    <w:rsid w:val="004F40E8"/>
    <w:pPr>
      <w:spacing w:before="100" w:beforeAutospacing="1" w:after="100" w:afterAutospacing="1"/>
      <w:textAlignment w:val="center"/>
    </w:pPr>
    <w:rPr>
      <w:rFonts w:ascii="Segoe UI" w:hAnsi="Segoe UI" w:cs="Segoe UI"/>
      <w:color w:val="FFFFFF"/>
      <w:sz w:val="16"/>
      <w:szCs w:val="16"/>
    </w:rPr>
  </w:style>
  <w:style w:type="paragraph" w:customStyle="1" w:styleId="xl53031">
    <w:name w:val="xl53031"/>
    <w:basedOn w:val="a"/>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2">
    <w:name w:val="xl53032"/>
    <w:basedOn w:val="a"/>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3">
    <w:name w:val="xl53033"/>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0000"/>
      <w:sz w:val="16"/>
      <w:szCs w:val="16"/>
    </w:rPr>
  </w:style>
  <w:style w:type="paragraph" w:customStyle="1" w:styleId="xl53034">
    <w:name w:val="xl53034"/>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color w:val="FF0000"/>
      <w:sz w:val="16"/>
      <w:szCs w:val="16"/>
    </w:rPr>
  </w:style>
  <w:style w:type="paragraph" w:customStyle="1" w:styleId="xl53035">
    <w:name w:val="xl53035"/>
    <w:basedOn w:val="a"/>
    <w:rsid w:val="004F40E8"/>
    <w:pPr>
      <w:pBdr>
        <w:top w:val="single" w:sz="8" w:space="0" w:color="auto"/>
      </w:pBd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6">
    <w:name w:val="xl53036"/>
    <w:basedOn w:val="a"/>
    <w:rsid w:val="004F40E8"/>
    <w:pP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7">
    <w:name w:val="xl53037"/>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3038">
    <w:name w:val="xl53038"/>
    <w:basedOn w:val="a"/>
    <w:rsid w:val="004F40E8"/>
    <w:pPr>
      <w:pBdr>
        <w:top w:val="single" w:sz="8" w:space="0" w:color="auto"/>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39">
    <w:name w:val="xl53039"/>
    <w:basedOn w:val="a"/>
    <w:rsid w:val="004F40E8"/>
    <w:pPr>
      <w:pBdr>
        <w:top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0">
    <w:name w:val="xl53040"/>
    <w:basedOn w:val="a"/>
    <w:rsid w:val="004F40E8"/>
    <w:pPr>
      <w:pBdr>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1">
    <w:name w:val="xl53041"/>
    <w:basedOn w:val="a"/>
    <w:rsid w:val="004F40E8"/>
    <w:pP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2">
    <w:name w:val="xl53042"/>
    <w:basedOn w:val="a"/>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3">
    <w:name w:val="xl53043"/>
    <w:basedOn w:val="a"/>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4">
    <w:name w:val="xl53044"/>
    <w:basedOn w:val="a"/>
    <w:rsid w:val="004F40E8"/>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5">
    <w:name w:val="xl53045"/>
    <w:basedOn w:val="a"/>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6">
    <w:name w:val="xl53046"/>
    <w:basedOn w:val="a"/>
    <w:rsid w:val="004F40E8"/>
    <w:pPr>
      <w:pBdr>
        <w:bottom w:val="single" w:sz="8" w:space="0" w:color="auto"/>
      </w:pBdr>
      <w:spacing w:before="100" w:beforeAutospacing="1" w:after="100" w:afterAutospacing="1"/>
      <w:textAlignment w:val="center"/>
    </w:pPr>
    <w:rPr>
      <w:rFonts w:ascii="Segoe UI" w:hAnsi="Segoe UI" w:cs="Segoe UI"/>
      <w:i/>
      <w:iCs/>
      <w:sz w:val="16"/>
      <w:szCs w:val="16"/>
    </w:rPr>
  </w:style>
  <w:style w:type="paragraph" w:customStyle="1" w:styleId="xl53047">
    <w:name w:val="xl53047"/>
    <w:basedOn w:val="a"/>
    <w:rsid w:val="004F40E8"/>
    <w:pPr>
      <w:pBdr>
        <w:bottom w:val="single" w:sz="8" w:space="0" w:color="auto"/>
      </w:pBdr>
      <w:spacing w:before="100" w:beforeAutospacing="1" w:after="100" w:afterAutospacing="1"/>
      <w:jc w:val="center"/>
      <w:textAlignment w:val="center"/>
    </w:pPr>
    <w:rPr>
      <w:rFonts w:ascii="Segoe UI" w:hAnsi="Segoe UI" w:cs="Segoe UI"/>
      <w:i/>
      <w:iCs/>
      <w:sz w:val="16"/>
      <w:szCs w:val="16"/>
    </w:rPr>
  </w:style>
  <w:style w:type="paragraph" w:customStyle="1" w:styleId="af9">
    <w:name w:val="Τ"/>
    <w:basedOn w:val="a"/>
    <w:rsid w:val="004F40E8"/>
    <w:pPr>
      <w:spacing w:before="120" w:line="360" w:lineRule="auto"/>
    </w:pPr>
    <w:rPr>
      <w:rFonts w:cs="Arial"/>
      <w:sz w:val="22"/>
      <w:szCs w:val="22"/>
    </w:rPr>
  </w:style>
  <w:style w:type="character" w:customStyle="1" w:styleId="Char9">
    <w:name w:val="Χωρίς διάστιχο Char"/>
    <w:link w:val="af2"/>
    <w:uiPriority w:val="1"/>
    <w:rsid w:val="003B594D"/>
    <w:rPr>
      <w:rFonts w:ascii="Calibri" w:eastAsia="Calibri" w:hAnsi="Calibri"/>
      <w:sz w:val="22"/>
      <w:szCs w:val="22"/>
      <w:lang w:val="el-GR" w:eastAsia="en-US" w:bidi="ar-SA"/>
    </w:rPr>
  </w:style>
  <w:style w:type="paragraph" w:customStyle="1" w:styleId="Body">
    <w:name w:val="Body"/>
    <w:rsid w:val="002D7DE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rPr>
  </w:style>
  <w:style w:type="character" w:styleId="afa">
    <w:name w:val="Emphasis"/>
    <w:uiPriority w:val="20"/>
    <w:qFormat/>
    <w:rsid w:val="00261EA1"/>
    <w:rPr>
      <w:i/>
      <w:iCs/>
    </w:rPr>
  </w:style>
  <w:style w:type="character" w:customStyle="1" w:styleId="1Char">
    <w:name w:val="Επικεφαλίδα 1 Char"/>
    <w:aliases w:val="1_ΚΕΦΑΛΑΙΟ Char"/>
    <w:link w:val="1"/>
    <w:rsid w:val="002E4CC0"/>
    <w:rPr>
      <w:rFonts w:ascii="Arial" w:hAnsi="Arial"/>
      <w:b/>
      <w:bCs/>
      <w:color w:val="2F5496"/>
      <w:kern w:val="32"/>
      <w:sz w:val="28"/>
      <w:szCs w:val="32"/>
      <w:lang w:val="x-none" w:eastAsia="x-none"/>
    </w:rPr>
  </w:style>
  <w:style w:type="character" w:customStyle="1" w:styleId="2Char">
    <w:name w:val="Επικεφαλίδα 2 Char"/>
    <w:aliases w:val="2_ΘΕΜΑ ΚΕΦΑΛΑΙΟΥ Char"/>
    <w:link w:val="2"/>
    <w:rsid w:val="006A035C"/>
    <w:rPr>
      <w:rFonts w:ascii="Arial" w:hAnsi="Arial"/>
      <w:b/>
      <w:bCs/>
      <w:iCs/>
      <w:color w:val="2F5496"/>
      <w:sz w:val="28"/>
      <w:szCs w:val="28"/>
      <w:lang w:val="x-none" w:eastAsia="x-none"/>
    </w:rPr>
  </w:style>
  <w:style w:type="character" w:customStyle="1" w:styleId="3Char">
    <w:name w:val="Επικεφαλίδα 3 Char"/>
    <w:aliases w:val="3_1.1. Char"/>
    <w:link w:val="3"/>
    <w:rsid w:val="00656E67"/>
    <w:rPr>
      <w:rFonts w:ascii="Arial" w:hAnsi="Arial"/>
      <w:b/>
      <w:bCs/>
      <w:color w:val="2F5496"/>
      <w:sz w:val="24"/>
      <w:szCs w:val="26"/>
      <w:shd w:val="clear" w:color="auto" w:fill="D5DCE4"/>
      <w:lang w:val="x-none" w:eastAsia="x-none"/>
    </w:rPr>
  </w:style>
  <w:style w:type="character" w:customStyle="1" w:styleId="4Char">
    <w:name w:val="Επικεφαλίδα 4 Char"/>
    <w:aliases w:val="4_1.1.1. Char"/>
    <w:link w:val="4"/>
    <w:rsid w:val="00CB2E0A"/>
    <w:rPr>
      <w:rFonts w:ascii="Arial" w:hAnsi="Arial"/>
      <w:b/>
      <w:color w:val="2F5496"/>
      <w:sz w:val="22"/>
      <w:szCs w:val="22"/>
      <w:lang w:val="x-none" w:eastAsia="x-none"/>
    </w:rPr>
  </w:style>
  <w:style w:type="character" w:customStyle="1" w:styleId="5Char">
    <w:name w:val="Επικεφαλίδα 5 Char"/>
    <w:link w:val="5"/>
    <w:rsid w:val="00476DAC"/>
    <w:rPr>
      <w:rFonts w:ascii="Arial" w:hAnsi="Arial"/>
      <w:b/>
      <w:color w:val="2F5496"/>
      <w:szCs w:val="22"/>
      <w:lang w:val="x-none" w:eastAsia="x-none"/>
    </w:rPr>
  </w:style>
  <w:style w:type="character" w:customStyle="1" w:styleId="6Char">
    <w:name w:val="Επικεφαλίδα 6 Char"/>
    <w:link w:val="6"/>
    <w:rsid w:val="00CD2D8A"/>
    <w:rPr>
      <w:rFonts w:ascii="Arial Narrow" w:hAnsi="Arial Narrow"/>
      <w:b/>
      <w:sz w:val="22"/>
      <w:szCs w:val="22"/>
    </w:rPr>
  </w:style>
  <w:style w:type="character" w:customStyle="1" w:styleId="7Char">
    <w:name w:val="Επικεφαλίδα 7 Char"/>
    <w:link w:val="7"/>
    <w:rsid w:val="00CD2D8A"/>
    <w:rPr>
      <w:rFonts w:ascii="Arial Narrow" w:hAnsi="Arial Narrow"/>
      <w:b/>
      <w:i/>
      <w:sz w:val="22"/>
      <w:szCs w:val="22"/>
    </w:rPr>
  </w:style>
  <w:style w:type="character" w:customStyle="1" w:styleId="8Char">
    <w:name w:val="Επικεφαλίδα 8 Char"/>
    <w:link w:val="8"/>
    <w:rsid w:val="00CD2D8A"/>
    <w:rPr>
      <w:rFonts w:ascii="Arial Narrow" w:hAnsi="Arial Narrow"/>
      <w:b/>
      <w:sz w:val="16"/>
      <w:szCs w:val="16"/>
    </w:rPr>
  </w:style>
  <w:style w:type="character" w:customStyle="1" w:styleId="9Char">
    <w:name w:val="Επικεφαλίδα 9 Char"/>
    <w:link w:val="9"/>
    <w:rsid w:val="00CD2D8A"/>
    <w:rPr>
      <w:rFonts w:ascii="Arial Narrow" w:hAnsi="Arial Narrow"/>
      <w:b/>
      <w:color w:val="000080"/>
      <w:sz w:val="24"/>
      <w:szCs w:val="22"/>
    </w:rPr>
  </w:style>
  <w:style w:type="character" w:customStyle="1" w:styleId="Char">
    <w:name w:val="Κεφαλίδα Char"/>
    <w:link w:val="a3"/>
    <w:rsid w:val="00CD2D8A"/>
    <w:rPr>
      <w:sz w:val="24"/>
      <w:szCs w:val="24"/>
    </w:rPr>
  </w:style>
  <w:style w:type="character" w:customStyle="1" w:styleId="Char0">
    <w:name w:val="Υποσέλιδο Char"/>
    <w:link w:val="a4"/>
    <w:uiPriority w:val="99"/>
    <w:rsid w:val="00CD2D8A"/>
    <w:rPr>
      <w:sz w:val="24"/>
      <w:szCs w:val="24"/>
    </w:rPr>
  </w:style>
  <w:style w:type="character" w:customStyle="1" w:styleId="Char1">
    <w:name w:val="Κείμενο πλαισίου Char"/>
    <w:link w:val="a6"/>
    <w:semiHidden/>
    <w:rsid w:val="00CD2D8A"/>
    <w:rPr>
      <w:rFonts w:ascii="Tahoma" w:hAnsi="Tahoma" w:cs="Tahoma"/>
      <w:sz w:val="16"/>
      <w:szCs w:val="16"/>
    </w:rPr>
  </w:style>
  <w:style w:type="character" w:customStyle="1" w:styleId="Char2">
    <w:name w:val="Σώμα κείμενου με εσοχή Char"/>
    <w:link w:val="a7"/>
    <w:rsid w:val="00CD2D8A"/>
    <w:rPr>
      <w:sz w:val="22"/>
      <w:szCs w:val="22"/>
    </w:rPr>
  </w:style>
  <w:style w:type="character" w:customStyle="1" w:styleId="Char3">
    <w:name w:val="Σώμα κειμένου Char"/>
    <w:link w:val="a8"/>
    <w:rsid w:val="00CD2D8A"/>
    <w:rPr>
      <w:sz w:val="22"/>
      <w:szCs w:val="22"/>
    </w:rPr>
  </w:style>
  <w:style w:type="character" w:customStyle="1" w:styleId="2Char0">
    <w:name w:val="Σώμα κείμενου με εσοχή 2 Char"/>
    <w:link w:val="20"/>
    <w:rsid w:val="00CD2D8A"/>
    <w:rPr>
      <w:sz w:val="22"/>
      <w:szCs w:val="22"/>
    </w:rPr>
  </w:style>
  <w:style w:type="character" w:customStyle="1" w:styleId="Char4">
    <w:name w:val="Απλό κείμενο Char"/>
    <w:link w:val="a9"/>
    <w:rsid w:val="00CD2D8A"/>
    <w:rPr>
      <w:rFonts w:ascii="Courier New" w:hAnsi="Courier New"/>
    </w:rPr>
  </w:style>
  <w:style w:type="character" w:customStyle="1" w:styleId="2Char1">
    <w:name w:val="Σώμα κείμενου 2 Char"/>
    <w:link w:val="21"/>
    <w:rsid w:val="00CD2D8A"/>
    <w:rPr>
      <w:sz w:val="24"/>
      <w:szCs w:val="24"/>
    </w:rPr>
  </w:style>
  <w:style w:type="character" w:customStyle="1" w:styleId="Char6">
    <w:name w:val="Κείμενο σχολίου Char"/>
    <w:basedOn w:val="a0"/>
    <w:link w:val="ae"/>
    <w:uiPriority w:val="99"/>
    <w:semiHidden/>
    <w:rsid w:val="00CD2D8A"/>
  </w:style>
  <w:style w:type="character" w:customStyle="1" w:styleId="Char7">
    <w:name w:val="Θέμα σχολίου Char"/>
    <w:link w:val="af"/>
    <w:semiHidden/>
    <w:rsid w:val="00CD2D8A"/>
    <w:rPr>
      <w:b/>
      <w:bCs/>
    </w:rPr>
  </w:style>
  <w:style w:type="character" w:customStyle="1" w:styleId="Char8">
    <w:name w:val="Παράγραφος λίστας Char"/>
    <w:aliases w:val="1st level - Bullet List Paragraph Char,Bullet EY Char,Bullet list Char,Lettre d'introduction Char,List L1 Char,List Paragraph compact Char,List Paragraph1 Char,List Paragraph11 Char,Normal bullet 2 Char,Normal bullet 21 Char"/>
    <w:link w:val="af0"/>
    <w:uiPriority w:val="34"/>
    <w:qFormat/>
    <w:locked/>
    <w:rsid w:val="00CC5CF7"/>
    <w:rPr>
      <w:rFonts w:ascii="Calibri" w:eastAsia="Calibri" w:hAnsi="Calibri"/>
      <w:sz w:val="22"/>
      <w:szCs w:val="22"/>
      <w:lang w:eastAsia="en-US"/>
    </w:rPr>
  </w:style>
  <w:style w:type="paragraph" w:styleId="afb">
    <w:name w:val="TOC Heading"/>
    <w:basedOn w:val="1"/>
    <w:next w:val="a"/>
    <w:uiPriority w:val="39"/>
    <w:unhideWhenUsed/>
    <w:qFormat/>
    <w:rsid w:val="00C20047"/>
    <w:pPr>
      <w:keepLines/>
      <w:spacing w:before="240" w:after="0" w:line="259" w:lineRule="auto"/>
      <w:jc w:val="left"/>
      <w:outlineLvl w:val="9"/>
    </w:pPr>
    <w:rPr>
      <w:rFonts w:ascii="Calibri Light" w:hAnsi="Calibri Light"/>
      <w:b w:val="0"/>
      <w:bCs w:val="0"/>
      <w:kern w:val="0"/>
      <w:lang w:val="el-GR" w:eastAsia="el-GR"/>
    </w:rPr>
  </w:style>
  <w:style w:type="paragraph" w:styleId="13">
    <w:name w:val="toc 1"/>
    <w:basedOn w:val="a"/>
    <w:next w:val="a"/>
    <w:autoRedefine/>
    <w:uiPriority w:val="39"/>
    <w:unhideWhenUsed/>
    <w:rsid w:val="003F05C7"/>
    <w:pPr>
      <w:tabs>
        <w:tab w:val="right" w:pos="9072"/>
      </w:tabs>
      <w:spacing w:before="240" w:after="60"/>
      <w:jc w:val="left"/>
    </w:pPr>
    <w:rPr>
      <w:rFonts w:cs="Arial"/>
      <w:b/>
      <w:noProof/>
      <w:color w:val="2F5496"/>
      <w:szCs w:val="20"/>
    </w:rPr>
  </w:style>
  <w:style w:type="paragraph" w:styleId="22">
    <w:name w:val="toc 2"/>
    <w:basedOn w:val="a"/>
    <w:next w:val="a"/>
    <w:autoRedefine/>
    <w:uiPriority w:val="39"/>
    <w:unhideWhenUsed/>
    <w:rsid w:val="006901CD"/>
    <w:pPr>
      <w:tabs>
        <w:tab w:val="right" w:pos="9072"/>
      </w:tabs>
      <w:spacing w:before="60" w:after="0"/>
      <w:jc w:val="left"/>
    </w:pPr>
    <w:rPr>
      <w:b/>
      <w:bCs/>
      <w:szCs w:val="20"/>
    </w:rPr>
  </w:style>
  <w:style w:type="paragraph" w:styleId="32">
    <w:name w:val="toc 3"/>
    <w:basedOn w:val="a"/>
    <w:next w:val="a"/>
    <w:autoRedefine/>
    <w:uiPriority w:val="39"/>
    <w:unhideWhenUsed/>
    <w:rsid w:val="002E4E02"/>
    <w:pPr>
      <w:tabs>
        <w:tab w:val="left" w:pos="709"/>
        <w:tab w:val="right" w:pos="9070"/>
      </w:tabs>
      <w:spacing w:after="0"/>
      <w:jc w:val="left"/>
    </w:pPr>
    <w:rPr>
      <w:szCs w:val="20"/>
    </w:rPr>
  </w:style>
  <w:style w:type="paragraph" w:styleId="afc">
    <w:name w:val="caption"/>
    <w:basedOn w:val="a"/>
    <w:next w:val="a"/>
    <w:unhideWhenUsed/>
    <w:qFormat/>
    <w:rsid w:val="00BB55F9"/>
    <w:rPr>
      <w:b/>
      <w:bCs/>
      <w:szCs w:val="20"/>
    </w:rPr>
  </w:style>
  <w:style w:type="paragraph" w:styleId="40">
    <w:name w:val="toc 4"/>
    <w:basedOn w:val="a"/>
    <w:next w:val="a"/>
    <w:autoRedefine/>
    <w:uiPriority w:val="39"/>
    <w:unhideWhenUsed/>
    <w:rsid w:val="005700C7"/>
    <w:pPr>
      <w:tabs>
        <w:tab w:val="left" w:pos="709"/>
        <w:tab w:val="right" w:pos="9072"/>
      </w:tabs>
      <w:spacing w:after="0"/>
      <w:jc w:val="left"/>
    </w:pPr>
    <w:rPr>
      <w:szCs w:val="20"/>
    </w:rPr>
  </w:style>
  <w:style w:type="paragraph" w:styleId="afd">
    <w:name w:val="table of figures"/>
    <w:basedOn w:val="a"/>
    <w:next w:val="a"/>
    <w:uiPriority w:val="99"/>
    <w:unhideWhenUsed/>
    <w:rsid w:val="00AD31C7"/>
    <w:pPr>
      <w:tabs>
        <w:tab w:val="left" w:pos="1474"/>
        <w:tab w:val="right" w:pos="9072"/>
      </w:tabs>
      <w:spacing w:after="0"/>
    </w:pPr>
  </w:style>
  <w:style w:type="paragraph" w:styleId="50">
    <w:name w:val="toc 5"/>
    <w:basedOn w:val="a"/>
    <w:next w:val="a"/>
    <w:autoRedefine/>
    <w:uiPriority w:val="39"/>
    <w:unhideWhenUsed/>
    <w:rsid w:val="005700C7"/>
    <w:pPr>
      <w:tabs>
        <w:tab w:val="left" w:pos="709"/>
        <w:tab w:val="right" w:pos="9072"/>
      </w:tabs>
      <w:spacing w:after="0"/>
      <w:ind w:left="709"/>
      <w:jc w:val="left"/>
    </w:pPr>
    <w:rPr>
      <w:szCs w:val="20"/>
    </w:rPr>
  </w:style>
  <w:style w:type="paragraph" w:styleId="60">
    <w:name w:val="toc 6"/>
    <w:basedOn w:val="a"/>
    <w:next w:val="a"/>
    <w:autoRedefine/>
    <w:unhideWhenUsed/>
    <w:rsid w:val="0031248B"/>
    <w:pPr>
      <w:spacing w:after="0"/>
      <w:ind w:left="880"/>
      <w:jc w:val="left"/>
    </w:pPr>
    <w:rPr>
      <w:rFonts w:ascii="Calibri" w:hAnsi="Calibri"/>
      <w:szCs w:val="20"/>
    </w:rPr>
  </w:style>
  <w:style w:type="paragraph" w:styleId="70">
    <w:name w:val="toc 7"/>
    <w:basedOn w:val="a"/>
    <w:next w:val="a"/>
    <w:autoRedefine/>
    <w:unhideWhenUsed/>
    <w:rsid w:val="0031248B"/>
    <w:pPr>
      <w:spacing w:after="0"/>
      <w:ind w:left="1100"/>
      <w:jc w:val="left"/>
    </w:pPr>
    <w:rPr>
      <w:rFonts w:ascii="Calibri" w:hAnsi="Calibri"/>
      <w:szCs w:val="20"/>
    </w:rPr>
  </w:style>
  <w:style w:type="paragraph" w:styleId="80">
    <w:name w:val="toc 8"/>
    <w:basedOn w:val="a"/>
    <w:next w:val="a"/>
    <w:autoRedefine/>
    <w:unhideWhenUsed/>
    <w:rsid w:val="0031248B"/>
    <w:pPr>
      <w:spacing w:after="0"/>
      <w:ind w:left="1320"/>
      <w:jc w:val="left"/>
    </w:pPr>
    <w:rPr>
      <w:rFonts w:ascii="Calibri" w:hAnsi="Calibri"/>
      <w:szCs w:val="20"/>
    </w:rPr>
  </w:style>
  <w:style w:type="paragraph" w:styleId="90">
    <w:name w:val="toc 9"/>
    <w:basedOn w:val="a"/>
    <w:next w:val="a"/>
    <w:autoRedefine/>
    <w:unhideWhenUsed/>
    <w:rsid w:val="0031248B"/>
    <w:pPr>
      <w:spacing w:after="0"/>
      <w:ind w:left="1540"/>
      <w:jc w:val="left"/>
    </w:pPr>
    <w:rPr>
      <w:rFonts w:ascii="Calibri" w:hAnsi="Calibri"/>
      <w:szCs w:val="20"/>
    </w:rPr>
  </w:style>
  <w:style w:type="character" w:styleId="afe">
    <w:name w:val="Unresolved Mention"/>
    <w:uiPriority w:val="99"/>
    <w:semiHidden/>
    <w:unhideWhenUsed/>
    <w:rsid w:val="00193773"/>
    <w:rPr>
      <w:color w:val="605E5C"/>
      <w:shd w:val="clear" w:color="auto" w:fill="E1DFDD"/>
    </w:rPr>
  </w:style>
  <w:style w:type="paragraph" w:customStyle="1" w:styleId="aff">
    <w:name w:val="Τίτλος περιεχομένων"/>
    <w:basedOn w:val="13"/>
    <w:rsid w:val="008C62FA"/>
    <w:pPr>
      <w:pBdr>
        <w:bottom w:val="single" w:sz="4" w:space="1" w:color="2F5496"/>
      </w:pBdr>
      <w:tabs>
        <w:tab w:val="clear" w:pos="9072"/>
      </w:tabs>
      <w:spacing w:before="0" w:after="240"/>
    </w:pPr>
    <w:rPr>
      <w:rFonts w:cs="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52780">
      <w:bodyDiv w:val="1"/>
      <w:marLeft w:val="0"/>
      <w:marRight w:val="0"/>
      <w:marTop w:val="0"/>
      <w:marBottom w:val="0"/>
      <w:divBdr>
        <w:top w:val="none" w:sz="0" w:space="0" w:color="auto"/>
        <w:left w:val="none" w:sz="0" w:space="0" w:color="auto"/>
        <w:bottom w:val="none" w:sz="0" w:space="0" w:color="auto"/>
        <w:right w:val="none" w:sz="0" w:space="0" w:color="auto"/>
      </w:divBdr>
    </w:div>
    <w:div w:id="44843246">
      <w:bodyDiv w:val="1"/>
      <w:marLeft w:val="0"/>
      <w:marRight w:val="0"/>
      <w:marTop w:val="0"/>
      <w:marBottom w:val="0"/>
      <w:divBdr>
        <w:top w:val="none" w:sz="0" w:space="0" w:color="auto"/>
        <w:left w:val="none" w:sz="0" w:space="0" w:color="auto"/>
        <w:bottom w:val="none" w:sz="0" w:space="0" w:color="auto"/>
        <w:right w:val="none" w:sz="0" w:space="0" w:color="auto"/>
      </w:divBdr>
    </w:div>
    <w:div w:id="108941120">
      <w:bodyDiv w:val="1"/>
      <w:marLeft w:val="0"/>
      <w:marRight w:val="0"/>
      <w:marTop w:val="0"/>
      <w:marBottom w:val="0"/>
      <w:divBdr>
        <w:top w:val="none" w:sz="0" w:space="0" w:color="auto"/>
        <w:left w:val="none" w:sz="0" w:space="0" w:color="auto"/>
        <w:bottom w:val="none" w:sz="0" w:space="0" w:color="auto"/>
        <w:right w:val="none" w:sz="0" w:space="0" w:color="auto"/>
      </w:divBdr>
    </w:div>
    <w:div w:id="117651680">
      <w:bodyDiv w:val="1"/>
      <w:marLeft w:val="0"/>
      <w:marRight w:val="0"/>
      <w:marTop w:val="0"/>
      <w:marBottom w:val="0"/>
      <w:divBdr>
        <w:top w:val="none" w:sz="0" w:space="0" w:color="auto"/>
        <w:left w:val="none" w:sz="0" w:space="0" w:color="auto"/>
        <w:bottom w:val="none" w:sz="0" w:space="0" w:color="auto"/>
        <w:right w:val="none" w:sz="0" w:space="0" w:color="auto"/>
      </w:divBdr>
    </w:div>
    <w:div w:id="238248796">
      <w:bodyDiv w:val="1"/>
      <w:marLeft w:val="0"/>
      <w:marRight w:val="0"/>
      <w:marTop w:val="0"/>
      <w:marBottom w:val="0"/>
      <w:divBdr>
        <w:top w:val="none" w:sz="0" w:space="0" w:color="auto"/>
        <w:left w:val="none" w:sz="0" w:space="0" w:color="auto"/>
        <w:bottom w:val="none" w:sz="0" w:space="0" w:color="auto"/>
        <w:right w:val="none" w:sz="0" w:space="0" w:color="auto"/>
      </w:divBdr>
    </w:div>
    <w:div w:id="331762860">
      <w:bodyDiv w:val="1"/>
      <w:marLeft w:val="0"/>
      <w:marRight w:val="0"/>
      <w:marTop w:val="0"/>
      <w:marBottom w:val="0"/>
      <w:divBdr>
        <w:top w:val="none" w:sz="0" w:space="0" w:color="auto"/>
        <w:left w:val="none" w:sz="0" w:space="0" w:color="auto"/>
        <w:bottom w:val="none" w:sz="0" w:space="0" w:color="auto"/>
        <w:right w:val="none" w:sz="0" w:space="0" w:color="auto"/>
      </w:divBdr>
    </w:div>
    <w:div w:id="377435379">
      <w:bodyDiv w:val="1"/>
      <w:marLeft w:val="0"/>
      <w:marRight w:val="0"/>
      <w:marTop w:val="0"/>
      <w:marBottom w:val="0"/>
      <w:divBdr>
        <w:top w:val="none" w:sz="0" w:space="0" w:color="auto"/>
        <w:left w:val="none" w:sz="0" w:space="0" w:color="auto"/>
        <w:bottom w:val="none" w:sz="0" w:space="0" w:color="auto"/>
        <w:right w:val="none" w:sz="0" w:space="0" w:color="auto"/>
      </w:divBdr>
    </w:div>
    <w:div w:id="384333447">
      <w:bodyDiv w:val="1"/>
      <w:marLeft w:val="0"/>
      <w:marRight w:val="0"/>
      <w:marTop w:val="0"/>
      <w:marBottom w:val="0"/>
      <w:divBdr>
        <w:top w:val="none" w:sz="0" w:space="0" w:color="auto"/>
        <w:left w:val="none" w:sz="0" w:space="0" w:color="auto"/>
        <w:bottom w:val="none" w:sz="0" w:space="0" w:color="auto"/>
        <w:right w:val="none" w:sz="0" w:space="0" w:color="auto"/>
      </w:divBdr>
    </w:div>
    <w:div w:id="395857685">
      <w:bodyDiv w:val="1"/>
      <w:marLeft w:val="0"/>
      <w:marRight w:val="0"/>
      <w:marTop w:val="0"/>
      <w:marBottom w:val="0"/>
      <w:divBdr>
        <w:top w:val="none" w:sz="0" w:space="0" w:color="auto"/>
        <w:left w:val="none" w:sz="0" w:space="0" w:color="auto"/>
        <w:bottom w:val="none" w:sz="0" w:space="0" w:color="auto"/>
        <w:right w:val="none" w:sz="0" w:space="0" w:color="auto"/>
      </w:divBdr>
    </w:div>
    <w:div w:id="406348277">
      <w:bodyDiv w:val="1"/>
      <w:marLeft w:val="0"/>
      <w:marRight w:val="0"/>
      <w:marTop w:val="0"/>
      <w:marBottom w:val="0"/>
      <w:divBdr>
        <w:top w:val="none" w:sz="0" w:space="0" w:color="auto"/>
        <w:left w:val="none" w:sz="0" w:space="0" w:color="auto"/>
        <w:bottom w:val="none" w:sz="0" w:space="0" w:color="auto"/>
        <w:right w:val="none" w:sz="0" w:space="0" w:color="auto"/>
      </w:divBdr>
    </w:div>
    <w:div w:id="411778867">
      <w:bodyDiv w:val="1"/>
      <w:marLeft w:val="0"/>
      <w:marRight w:val="0"/>
      <w:marTop w:val="0"/>
      <w:marBottom w:val="0"/>
      <w:divBdr>
        <w:top w:val="none" w:sz="0" w:space="0" w:color="auto"/>
        <w:left w:val="none" w:sz="0" w:space="0" w:color="auto"/>
        <w:bottom w:val="none" w:sz="0" w:space="0" w:color="auto"/>
        <w:right w:val="none" w:sz="0" w:space="0" w:color="auto"/>
      </w:divBdr>
    </w:div>
    <w:div w:id="491608321">
      <w:bodyDiv w:val="1"/>
      <w:marLeft w:val="0"/>
      <w:marRight w:val="0"/>
      <w:marTop w:val="0"/>
      <w:marBottom w:val="0"/>
      <w:divBdr>
        <w:top w:val="none" w:sz="0" w:space="0" w:color="auto"/>
        <w:left w:val="none" w:sz="0" w:space="0" w:color="auto"/>
        <w:bottom w:val="none" w:sz="0" w:space="0" w:color="auto"/>
        <w:right w:val="none" w:sz="0" w:space="0" w:color="auto"/>
      </w:divBdr>
    </w:div>
    <w:div w:id="559024235">
      <w:bodyDiv w:val="1"/>
      <w:marLeft w:val="0"/>
      <w:marRight w:val="0"/>
      <w:marTop w:val="0"/>
      <w:marBottom w:val="0"/>
      <w:divBdr>
        <w:top w:val="none" w:sz="0" w:space="0" w:color="auto"/>
        <w:left w:val="none" w:sz="0" w:space="0" w:color="auto"/>
        <w:bottom w:val="none" w:sz="0" w:space="0" w:color="auto"/>
        <w:right w:val="none" w:sz="0" w:space="0" w:color="auto"/>
      </w:divBdr>
    </w:div>
    <w:div w:id="567887243">
      <w:bodyDiv w:val="1"/>
      <w:marLeft w:val="0"/>
      <w:marRight w:val="0"/>
      <w:marTop w:val="0"/>
      <w:marBottom w:val="0"/>
      <w:divBdr>
        <w:top w:val="none" w:sz="0" w:space="0" w:color="auto"/>
        <w:left w:val="none" w:sz="0" w:space="0" w:color="auto"/>
        <w:bottom w:val="none" w:sz="0" w:space="0" w:color="auto"/>
        <w:right w:val="none" w:sz="0" w:space="0" w:color="auto"/>
      </w:divBdr>
    </w:div>
    <w:div w:id="585304234">
      <w:bodyDiv w:val="1"/>
      <w:marLeft w:val="0"/>
      <w:marRight w:val="0"/>
      <w:marTop w:val="0"/>
      <w:marBottom w:val="0"/>
      <w:divBdr>
        <w:top w:val="none" w:sz="0" w:space="0" w:color="auto"/>
        <w:left w:val="none" w:sz="0" w:space="0" w:color="auto"/>
        <w:bottom w:val="none" w:sz="0" w:space="0" w:color="auto"/>
        <w:right w:val="none" w:sz="0" w:space="0" w:color="auto"/>
      </w:divBdr>
    </w:div>
    <w:div w:id="868375938">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999230837">
      <w:bodyDiv w:val="1"/>
      <w:marLeft w:val="0"/>
      <w:marRight w:val="0"/>
      <w:marTop w:val="0"/>
      <w:marBottom w:val="0"/>
      <w:divBdr>
        <w:top w:val="none" w:sz="0" w:space="0" w:color="auto"/>
        <w:left w:val="none" w:sz="0" w:space="0" w:color="auto"/>
        <w:bottom w:val="none" w:sz="0" w:space="0" w:color="auto"/>
        <w:right w:val="none" w:sz="0" w:space="0" w:color="auto"/>
      </w:divBdr>
    </w:div>
    <w:div w:id="1025642493">
      <w:bodyDiv w:val="1"/>
      <w:marLeft w:val="0"/>
      <w:marRight w:val="0"/>
      <w:marTop w:val="0"/>
      <w:marBottom w:val="0"/>
      <w:divBdr>
        <w:top w:val="none" w:sz="0" w:space="0" w:color="auto"/>
        <w:left w:val="none" w:sz="0" w:space="0" w:color="auto"/>
        <w:bottom w:val="none" w:sz="0" w:space="0" w:color="auto"/>
        <w:right w:val="none" w:sz="0" w:space="0" w:color="auto"/>
      </w:divBdr>
    </w:div>
    <w:div w:id="1042709429">
      <w:bodyDiv w:val="1"/>
      <w:marLeft w:val="0"/>
      <w:marRight w:val="0"/>
      <w:marTop w:val="0"/>
      <w:marBottom w:val="0"/>
      <w:divBdr>
        <w:top w:val="none" w:sz="0" w:space="0" w:color="auto"/>
        <w:left w:val="none" w:sz="0" w:space="0" w:color="auto"/>
        <w:bottom w:val="none" w:sz="0" w:space="0" w:color="auto"/>
        <w:right w:val="none" w:sz="0" w:space="0" w:color="auto"/>
      </w:divBdr>
    </w:div>
    <w:div w:id="1150288380">
      <w:bodyDiv w:val="1"/>
      <w:marLeft w:val="0"/>
      <w:marRight w:val="0"/>
      <w:marTop w:val="0"/>
      <w:marBottom w:val="0"/>
      <w:divBdr>
        <w:top w:val="none" w:sz="0" w:space="0" w:color="auto"/>
        <w:left w:val="none" w:sz="0" w:space="0" w:color="auto"/>
        <w:bottom w:val="none" w:sz="0" w:space="0" w:color="auto"/>
        <w:right w:val="none" w:sz="0" w:space="0" w:color="auto"/>
      </w:divBdr>
    </w:div>
    <w:div w:id="1155999090">
      <w:bodyDiv w:val="1"/>
      <w:marLeft w:val="0"/>
      <w:marRight w:val="0"/>
      <w:marTop w:val="0"/>
      <w:marBottom w:val="0"/>
      <w:divBdr>
        <w:top w:val="none" w:sz="0" w:space="0" w:color="auto"/>
        <w:left w:val="none" w:sz="0" w:space="0" w:color="auto"/>
        <w:bottom w:val="none" w:sz="0" w:space="0" w:color="auto"/>
        <w:right w:val="none" w:sz="0" w:space="0" w:color="auto"/>
      </w:divBdr>
    </w:div>
    <w:div w:id="1230727839">
      <w:bodyDiv w:val="1"/>
      <w:marLeft w:val="0"/>
      <w:marRight w:val="0"/>
      <w:marTop w:val="0"/>
      <w:marBottom w:val="0"/>
      <w:divBdr>
        <w:top w:val="none" w:sz="0" w:space="0" w:color="auto"/>
        <w:left w:val="none" w:sz="0" w:space="0" w:color="auto"/>
        <w:bottom w:val="none" w:sz="0" w:space="0" w:color="auto"/>
        <w:right w:val="none" w:sz="0" w:space="0" w:color="auto"/>
      </w:divBdr>
    </w:div>
    <w:div w:id="1303924231">
      <w:bodyDiv w:val="1"/>
      <w:marLeft w:val="0"/>
      <w:marRight w:val="0"/>
      <w:marTop w:val="0"/>
      <w:marBottom w:val="0"/>
      <w:divBdr>
        <w:top w:val="none" w:sz="0" w:space="0" w:color="auto"/>
        <w:left w:val="none" w:sz="0" w:space="0" w:color="auto"/>
        <w:bottom w:val="none" w:sz="0" w:space="0" w:color="auto"/>
        <w:right w:val="none" w:sz="0" w:space="0" w:color="auto"/>
      </w:divBdr>
    </w:div>
    <w:div w:id="1370640803">
      <w:bodyDiv w:val="1"/>
      <w:marLeft w:val="0"/>
      <w:marRight w:val="0"/>
      <w:marTop w:val="0"/>
      <w:marBottom w:val="0"/>
      <w:divBdr>
        <w:top w:val="none" w:sz="0" w:space="0" w:color="auto"/>
        <w:left w:val="none" w:sz="0" w:space="0" w:color="auto"/>
        <w:bottom w:val="none" w:sz="0" w:space="0" w:color="auto"/>
        <w:right w:val="none" w:sz="0" w:space="0" w:color="auto"/>
      </w:divBdr>
    </w:div>
    <w:div w:id="1410418565">
      <w:bodyDiv w:val="1"/>
      <w:marLeft w:val="0"/>
      <w:marRight w:val="0"/>
      <w:marTop w:val="0"/>
      <w:marBottom w:val="0"/>
      <w:divBdr>
        <w:top w:val="none" w:sz="0" w:space="0" w:color="auto"/>
        <w:left w:val="none" w:sz="0" w:space="0" w:color="auto"/>
        <w:bottom w:val="none" w:sz="0" w:space="0" w:color="auto"/>
        <w:right w:val="none" w:sz="0" w:space="0" w:color="auto"/>
      </w:divBdr>
    </w:div>
    <w:div w:id="1451054008">
      <w:bodyDiv w:val="1"/>
      <w:marLeft w:val="0"/>
      <w:marRight w:val="0"/>
      <w:marTop w:val="0"/>
      <w:marBottom w:val="0"/>
      <w:divBdr>
        <w:top w:val="none" w:sz="0" w:space="0" w:color="auto"/>
        <w:left w:val="none" w:sz="0" w:space="0" w:color="auto"/>
        <w:bottom w:val="none" w:sz="0" w:space="0" w:color="auto"/>
        <w:right w:val="none" w:sz="0" w:space="0" w:color="auto"/>
      </w:divBdr>
    </w:div>
    <w:div w:id="1465849261">
      <w:bodyDiv w:val="1"/>
      <w:marLeft w:val="0"/>
      <w:marRight w:val="0"/>
      <w:marTop w:val="0"/>
      <w:marBottom w:val="0"/>
      <w:divBdr>
        <w:top w:val="none" w:sz="0" w:space="0" w:color="auto"/>
        <w:left w:val="none" w:sz="0" w:space="0" w:color="auto"/>
        <w:bottom w:val="none" w:sz="0" w:space="0" w:color="auto"/>
        <w:right w:val="none" w:sz="0" w:space="0" w:color="auto"/>
      </w:divBdr>
    </w:div>
    <w:div w:id="1602179295">
      <w:bodyDiv w:val="1"/>
      <w:marLeft w:val="0"/>
      <w:marRight w:val="0"/>
      <w:marTop w:val="0"/>
      <w:marBottom w:val="0"/>
      <w:divBdr>
        <w:top w:val="none" w:sz="0" w:space="0" w:color="auto"/>
        <w:left w:val="none" w:sz="0" w:space="0" w:color="auto"/>
        <w:bottom w:val="none" w:sz="0" w:space="0" w:color="auto"/>
        <w:right w:val="none" w:sz="0" w:space="0" w:color="auto"/>
      </w:divBdr>
    </w:div>
    <w:div w:id="1626735051">
      <w:bodyDiv w:val="1"/>
      <w:marLeft w:val="0"/>
      <w:marRight w:val="0"/>
      <w:marTop w:val="0"/>
      <w:marBottom w:val="0"/>
      <w:divBdr>
        <w:top w:val="none" w:sz="0" w:space="0" w:color="auto"/>
        <w:left w:val="none" w:sz="0" w:space="0" w:color="auto"/>
        <w:bottom w:val="none" w:sz="0" w:space="0" w:color="auto"/>
        <w:right w:val="none" w:sz="0" w:space="0" w:color="auto"/>
      </w:divBdr>
    </w:div>
    <w:div w:id="1770463507">
      <w:bodyDiv w:val="1"/>
      <w:marLeft w:val="0"/>
      <w:marRight w:val="0"/>
      <w:marTop w:val="0"/>
      <w:marBottom w:val="0"/>
      <w:divBdr>
        <w:top w:val="none" w:sz="0" w:space="0" w:color="auto"/>
        <w:left w:val="none" w:sz="0" w:space="0" w:color="auto"/>
        <w:bottom w:val="none" w:sz="0" w:space="0" w:color="auto"/>
        <w:right w:val="none" w:sz="0" w:space="0" w:color="auto"/>
      </w:divBdr>
    </w:div>
    <w:div w:id="1788810754">
      <w:bodyDiv w:val="1"/>
      <w:marLeft w:val="0"/>
      <w:marRight w:val="0"/>
      <w:marTop w:val="0"/>
      <w:marBottom w:val="0"/>
      <w:divBdr>
        <w:top w:val="none" w:sz="0" w:space="0" w:color="auto"/>
        <w:left w:val="none" w:sz="0" w:space="0" w:color="auto"/>
        <w:bottom w:val="none" w:sz="0" w:space="0" w:color="auto"/>
        <w:right w:val="none" w:sz="0" w:space="0" w:color="auto"/>
      </w:divBdr>
    </w:div>
    <w:div w:id="1944149579">
      <w:bodyDiv w:val="1"/>
      <w:marLeft w:val="0"/>
      <w:marRight w:val="0"/>
      <w:marTop w:val="0"/>
      <w:marBottom w:val="0"/>
      <w:divBdr>
        <w:top w:val="none" w:sz="0" w:space="0" w:color="auto"/>
        <w:left w:val="none" w:sz="0" w:space="0" w:color="auto"/>
        <w:bottom w:val="none" w:sz="0" w:space="0" w:color="auto"/>
        <w:right w:val="none" w:sz="0" w:space="0" w:color="auto"/>
      </w:divBdr>
    </w:div>
    <w:div w:id="1951014024">
      <w:bodyDiv w:val="1"/>
      <w:marLeft w:val="0"/>
      <w:marRight w:val="0"/>
      <w:marTop w:val="0"/>
      <w:marBottom w:val="0"/>
      <w:divBdr>
        <w:top w:val="none" w:sz="0" w:space="0" w:color="auto"/>
        <w:left w:val="none" w:sz="0" w:space="0" w:color="auto"/>
        <w:bottom w:val="none" w:sz="0" w:space="0" w:color="auto"/>
        <w:right w:val="none" w:sz="0" w:space="0" w:color="auto"/>
      </w:divBdr>
    </w:div>
    <w:div w:id="202205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chart" Target="charts/chart11.xml"/><Relationship Id="rId35"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ristof\Application%20Data\Microsoft\&#928;&#961;&#972;&#964;&#965;&#960;&#945;\PROSX2006.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koufosotiri\AppData\Local\Temp\eb91096a-e765-4da3-972d-b3085d0e12f8_&#916;&#953;&#945;&#947;&#961;&#940;&#956;&#956;&#945;&#964;&#945;%20&#928;&#961;&#959;&#963;&#967;&#949;&#948;&#943;&#959;&#965;%20&#922;&#928;%202026.zip.2f8\&#916;&#953;&#945;&#947;&#961;&#940;&#956;&#956;&#945;&#964;&#945;%20&#928;&#961;&#959;&#963;&#967;&#949;&#948;&#943;&#959;&#965;%20&#922;&#928;%202026\&#916;&#921;&#913;&#915;&#929;&#913;&#924;&#924;&#913;&#932;&#913;%20DRAFT%202026%20%201.1%20_%20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theofilakou\Desktop\&#931;&#949;&#957;&#940;&#961;&#953;&#959;%20&#931;&#949;&#960;&#964;&#949;&#956;&#946;&#961;&#943;&#959;&#965;%202025\Diagrams%20for%20the%20section%20of%20202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e.koufosotiri\AppData\Local\Temp\f687d755-b723-4688-b516-b7004e3cdd4d_&#916;&#953;&#945;&#947;&#961;&#940;&#956;&#956;&#945;&#964;&#945;%20&#928;&#961;&#959;&#963;&#967;&#949;&#948;&#943;&#959;&#965;%20&#922;&#928;%202026.zip.d4d\&#916;&#953;&#945;&#947;&#961;&#940;&#956;&#956;&#945;&#964;&#945;%20&#928;&#961;&#959;&#963;&#967;&#949;&#948;&#943;&#959;&#965;%20&#922;&#928;%202026\&#916;&#921;&#913;&#915;&#929;&#913;&#924;&#924;&#913;&#932;&#913;%20DRAFT%202026%20%201.1%20_%20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e.koufosotiri\AppData\Local\Temp\f687d755-b723-4688-b516-b7004e3cdd4d_&#916;&#953;&#945;&#947;&#961;&#940;&#956;&#956;&#945;&#964;&#945;%20&#928;&#961;&#959;&#963;&#967;&#949;&#948;&#943;&#959;&#965;%20&#922;&#928;%202026.zip.d4d\&#916;&#953;&#945;&#947;&#961;&#940;&#956;&#956;&#945;&#964;&#945;%20&#928;&#961;&#959;&#963;&#967;&#949;&#948;&#943;&#959;&#965;%20&#922;&#928;%202026\&#916;&#921;&#913;&#915;&#929;&#913;&#924;&#924;&#913;&#932;&#913;%20DRAFT%202026%20%201.1%20_%201.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e.koufosotiri\AppData\Local\Temp\f687d755-b723-4688-b516-b7004e3cdd4d_&#916;&#953;&#945;&#947;&#961;&#940;&#956;&#956;&#945;&#964;&#945;%20&#928;&#961;&#959;&#963;&#967;&#949;&#948;&#943;&#959;&#965;%20&#922;&#928;%202026.zip.d4d\&#916;&#953;&#945;&#947;&#961;&#940;&#956;&#956;&#945;&#964;&#945;%20&#928;&#961;&#959;&#963;&#967;&#949;&#948;&#943;&#959;&#965;%20&#922;&#928;%202026\&#916;&#921;&#913;&#915;&#929;&#913;&#924;&#924;&#913;&#932;&#913;%20DRAFT%202026%20%201.1%20_%201.5.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koufosotiri\AppData\Local\Temp\f687d755-b723-4688-b516-b7004e3cdd4d_&#916;&#953;&#945;&#947;&#961;&#940;&#956;&#956;&#945;&#964;&#945;%20&#928;&#961;&#959;&#963;&#967;&#949;&#948;&#943;&#959;&#965;%20&#922;&#928;%202026.zip.d4d\&#916;&#953;&#945;&#947;&#961;&#940;&#956;&#956;&#945;&#964;&#945;%20&#928;&#961;&#959;&#963;&#967;&#949;&#948;&#943;&#959;&#965;%20&#922;&#928;%202026\&#916;&#921;&#913;&#915;&#929;&#913;&#924;&#924;&#913;&#932;&#913;%20DRAFT%202026%20%201.1%20_%201.5.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e.koufosotiri\Desktop\&#949;&#949;&#949;&#949;.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koufosotiri\AppData\Local\Microsoft\Windows\INetCache\Content.Outlook\HJ5BIQNL\&#916;&#953;&#945;&#947;&#961;&#945;&#769;&#956;&#956;&#945;&#964;&#945;_1.6%20&#949;&#969;&#962;%201.7%20&#928;&#961;&#959;&#963;&#967;&#949;&#948;&#953;&#769;&#959;&#965;%20&#922;&#961;&#945;&#964;&#953;&#954;&#959;&#965;&#769;%20&#928;&#933;%202025_17.09.2025.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m.theofilakou\Desktop\&#931;&#949;&#957;&#940;&#961;&#953;&#959;%20&#931;&#949;&#960;&#964;&#949;&#956;&#946;&#961;&#943;&#959;&#965;%202025\Eurostat%20investment%20g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1665523617706547E-2"/>
          <c:y val="2.9465752264837868E-2"/>
          <c:w val="0.91480575402165132"/>
          <c:h val="0.64388315807263008"/>
        </c:manualLayout>
      </c:layout>
      <c:barChart>
        <c:barDir val="col"/>
        <c:grouping val="clustered"/>
        <c:varyColors val="0"/>
        <c:ser>
          <c:idx val="0"/>
          <c:order val="0"/>
          <c:spPr>
            <a:solidFill>
              <a:schemeClr val="accent1">
                <a:lumMod val="60000"/>
                <a:lumOff val="40000"/>
              </a:schemeClr>
            </a:solidFill>
            <a:ln>
              <a:noFill/>
            </a:ln>
            <a:effectLst/>
          </c:spPr>
          <c:invertIfNegative val="0"/>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A128-4CF7-A712-F505FF2B9881}"/>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A128-4CF7-A712-F505FF2B9881}"/>
              </c:ext>
            </c:extLst>
          </c:dPt>
          <c:dPt>
            <c:idx val="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A128-4CF7-A712-F505FF2B9881}"/>
              </c:ext>
            </c:extLst>
          </c:dPt>
          <c:dPt>
            <c:idx val="1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A128-4CF7-A712-F505FF2B9881}"/>
              </c:ext>
            </c:extLst>
          </c:dPt>
          <c:dPt>
            <c:idx val="1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A128-4CF7-A712-F505FF2B9881}"/>
              </c:ext>
            </c:extLst>
          </c:dPt>
          <c:dPt>
            <c:idx val="12"/>
            <c:invertIfNegative val="0"/>
            <c:bubble3D val="0"/>
            <c:spPr>
              <a:solidFill>
                <a:schemeClr val="accent1">
                  <a:lumMod val="75000"/>
                </a:schemeClr>
              </a:solidFill>
              <a:ln>
                <a:noFill/>
              </a:ln>
              <a:effectLst/>
            </c:spPr>
            <c:extLst>
              <c:ext xmlns:c16="http://schemas.microsoft.com/office/drawing/2014/chart" uri="{C3380CC4-5D6E-409C-BE32-E72D297353CC}">
                <c16:uniqueId val="{0000000B-A128-4CF7-A712-F505FF2B9881}"/>
              </c:ext>
            </c:extLst>
          </c:dPt>
          <c:dPt>
            <c:idx val="13"/>
            <c:invertIfNegative val="0"/>
            <c:bubble3D val="0"/>
            <c:spPr>
              <a:solidFill>
                <a:srgbClr val="00B0F0"/>
              </a:solidFill>
              <a:ln>
                <a:noFill/>
              </a:ln>
              <a:effectLst/>
            </c:spPr>
            <c:extLst>
              <c:ext xmlns:c16="http://schemas.microsoft.com/office/drawing/2014/chart" uri="{C3380CC4-5D6E-409C-BE32-E72D297353CC}">
                <c16:uniqueId val="{0000000D-A128-4CF7-A712-F505FF2B9881}"/>
              </c:ext>
            </c:extLst>
          </c:dPt>
          <c:dPt>
            <c:idx val="1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F-A128-4CF7-A712-F505FF2B9881}"/>
              </c:ext>
            </c:extLst>
          </c:dPt>
          <c:dPt>
            <c:idx val="15"/>
            <c:invertIfNegative val="0"/>
            <c:bubble3D val="0"/>
            <c:spPr>
              <a:solidFill>
                <a:srgbClr val="0070C0"/>
              </a:solidFill>
              <a:ln>
                <a:noFill/>
              </a:ln>
              <a:effectLst/>
            </c:spPr>
            <c:extLst>
              <c:ext xmlns:c16="http://schemas.microsoft.com/office/drawing/2014/chart" uri="{C3380CC4-5D6E-409C-BE32-E72D297353CC}">
                <c16:uniqueId val="{00000011-A128-4CF7-A712-F505FF2B9881}"/>
              </c:ext>
            </c:extLst>
          </c:dPt>
          <c:dPt>
            <c:idx val="1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3-A128-4CF7-A712-F505FF2B9881}"/>
              </c:ext>
            </c:extLst>
          </c:dPt>
          <c:dPt>
            <c:idx val="1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5-A128-4CF7-A712-F505FF2B9881}"/>
              </c:ext>
            </c:extLst>
          </c:dPt>
          <c:dPt>
            <c:idx val="1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7-A128-4CF7-A712-F505FF2B9881}"/>
              </c:ext>
            </c:extLst>
          </c:dPt>
          <c:dPt>
            <c:idx val="2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9-A128-4CF7-A712-F505FF2B9881}"/>
              </c:ext>
            </c:extLst>
          </c:dPt>
          <c:dLbls>
            <c:dLbl>
              <c:idx val="0"/>
              <c:layout>
                <c:manualLayout>
                  <c:x val="5.560203736251592E-2"/>
                  <c:y val="5.2761576942443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128-4CF7-A712-F505FF2B9881}"/>
                </c:ext>
              </c:extLst>
            </c:dLbl>
            <c:dLbl>
              <c:idx val="28"/>
              <c:tx>
                <c:rich>
                  <a:bodyPr/>
                  <a:lstStyle/>
                  <a:p>
                    <a:r>
                      <a:rPr lang="en-US"/>
                      <a:t>-0,2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A128-4CF7-A712-F505FF2B988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ΑΕΠ ΕΛ ΕΖ'!$B$10:$B$38</c:f>
              <c:strCache>
                <c:ptCount val="29"/>
                <c:pt idx="0">
                  <c:v>Ιρλανδία</c:v>
                </c:pt>
                <c:pt idx="1">
                  <c:v>Βουλγαρία</c:v>
                </c:pt>
                <c:pt idx="2">
                  <c:v>Κύπρος</c:v>
                </c:pt>
                <c:pt idx="3">
                  <c:v>Κροατία</c:v>
                </c:pt>
                <c:pt idx="4">
                  <c:v>Λιθουανία</c:v>
                </c:pt>
                <c:pt idx="5">
                  <c:v>Πολωνία</c:v>
                </c:pt>
                <c:pt idx="6">
                  <c:v>Ισπανία</c:v>
                </c:pt>
                <c:pt idx="7">
                  <c:v>Τσεχία</c:v>
                </c:pt>
                <c:pt idx="8">
                  <c:v>Μάλτα</c:v>
                </c:pt>
                <c:pt idx="9">
                  <c:v>Ρουμανία</c:v>
                </c:pt>
                <c:pt idx="10">
                  <c:v>Δανία</c:v>
                </c:pt>
                <c:pt idx="11">
                  <c:v>Πορτογαλία</c:v>
                </c:pt>
                <c:pt idx="12">
                  <c:v>Ελλάδα</c:v>
                </c:pt>
                <c:pt idx="13">
                  <c:v>ΕΕ 27</c:v>
                </c:pt>
                <c:pt idx="14">
                  <c:v>Σουηδία</c:v>
                </c:pt>
                <c:pt idx="15">
                  <c:v>ΕΖ 20</c:v>
                </c:pt>
                <c:pt idx="16">
                  <c:v>Ολλάνδία</c:v>
                </c:pt>
                <c:pt idx="17">
                  <c:v>Βέλγιο</c:v>
                </c:pt>
                <c:pt idx="18">
                  <c:v>Γαλλία</c:v>
                </c:pt>
                <c:pt idx="19">
                  <c:v>Σλοβενία</c:v>
                </c:pt>
                <c:pt idx="20">
                  <c:v>Σλοβακία</c:v>
                </c:pt>
                <c:pt idx="21">
                  <c:v>Λετονία </c:v>
                </c:pt>
                <c:pt idx="22">
                  <c:v>Εσθονία</c:v>
                </c:pt>
                <c:pt idx="23">
                  <c:v>Ιταλία</c:v>
                </c:pt>
                <c:pt idx="24">
                  <c:v>Αυστρία</c:v>
                </c:pt>
                <c:pt idx="25">
                  <c:v>Φινλανδία</c:v>
                </c:pt>
                <c:pt idx="26">
                  <c:v>Γερμανία</c:v>
                </c:pt>
                <c:pt idx="27">
                  <c:v>Ουγγαρία</c:v>
                </c:pt>
                <c:pt idx="28">
                  <c:v>Λουξεμβούργο</c:v>
                </c:pt>
              </c:strCache>
            </c:strRef>
          </c:cat>
          <c:val>
            <c:numRef>
              <c:f>'1.1 ΑΕΠ ΕΛ ΕΖ'!$C$10:$C$38</c:f>
              <c:numCache>
                <c:formatCode>#,##0.##########</c:formatCode>
                <c:ptCount val="29"/>
                <c:pt idx="0" formatCode="#,##0.0">
                  <c:v>18</c:v>
                </c:pt>
                <c:pt idx="1">
                  <c:v>3.4</c:v>
                </c:pt>
                <c:pt idx="2">
                  <c:v>3.3</c:v>
                </c:pt>
                <c:pt idx="3">
                  <c:v>3.2</c:v>
                </c:pt>
                <c:pt idx="4">
                  <c:v>3.1</c:v>
                </c:pt>
                <c:pt idx="5" formatCode="#,##0.0">
                  <c:v>3</c:v>
                </c:pt>
                <c:pt idx="6">
                  <c:v>2.8</c:v>
                </c:pt>
                <c:pt idx="7">
                  <c:v>2.6</c:v>
                </c:pt>
                <c:pt idx="8">
                  <c:v>2.2999999999999998</c:v>
                </c:pt>
                <c:pt idx="9">
                  <c:v>2.1</c:v>
                </c:pt>
                <c:pt idx="10">
                  <c:v>1.9</c:v>
                </c:pt>
                <c:pt idx="11">
                  <c:v>1.9</c:v>
                </c:pt>
                <c:pt idx="12">
                  <c:v>1.7</c:v>
                </c:pt>
                <c:pt idx="13">
                  <c:v>1.6</c:v>
                </c:pt>
                <c:pt idx="14">
                  <c:v>1.6</c:v>
                </c:pt>
                <c:pt idx="15">
                  <c:v>1.5</c:v>
                </c:pt>
                <c:pt idx="16">
                  <c:v>1.5</c:v>
                </c:pt>
                <c:pt idx="17" formatCode="#,##0.0">
                  <c:v>1</c:v>
                </c:pt>
                <c:pt idx="18">
                  <c:v>0.8</c:v>
                </c:pt>
                <c:pt idx="19">
                  <c:v>0.8</c:v>
                </c:pt>
                <c:pt idx="20">
                  <c:v>0.7</c:v>
                </c:pt>
                <c:pt idx="21">
                  <c:v>0.6</c:v>
                </c:pt>
                <c:pt idx="22">
                  <c:v>0.5</c:v>
                </c:pt>
                <c:pt idx="23">
                  <c:v>0.4</c:v>
                </c:pt>
                <c:pt idx="24">
                  <c:v>0.3</c:v>
                </c:pt>
                <c:pt idx="25">
                  <c:v>0.2</c:v>
                </c:pt>
                <c:pt idx="26">
                  <c:v>0.2</c:v>
                </c:pt>
                <c:pt idx="27">
                  <c:v>0.2</c:v>
                </c:pt>
                <c:pt idx="28">
                  <c:v>-0.2</c:v>
                </c:pt>
              </c:numCache>
            </c:numRef>
          </c:val>
          <c:extLst>
            <c:ext xmlns:c16="http://schemas.microsoft.com/office/drawing/2014/chart" uri="{C3380CC4-5D6E-409C-BE32-E72D297353CC}">
              <c16:uniqueId val="{0000001C-A128-4CF7-A712-F505FF2B9881}"/>
            </c:ext>
          </c:extLst>
        </c:ser>
        <c:dLbls>
          <c:dLblPos val="outEnd"/>
          <c:showLegendKey val="0"/>
          <c:showVal val="1"/>
          <c:showCatName val="0"/>
          <c:showSerName val="0"/>
          <c:showPercent val="0"/>
          <c:showBubbleSize val="0"/>
        </c:dLbls>
        <c:gapWidth val="50"/>
        <c:axId val="421464831"/>
        <c:axId val="148210799"/>
      </c:barChart>
      <c:catAx>
        <c:axId val="421464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48210799"/>
        <c:crosses val="autoZero"/>
        <c:auto val="1"/>
        <c:lblAlgn val="ctr"/>
        <c:lblOffset val="100"/>
        <c:noMultiLvlLbl val="0"/>
      </c:catAx>
      <c:valAx>
        <c:axId val="148210799"/>
        <c:scaling>
          <c:orientation val="minMax"/>
          <c:max val="18"/>
          <c:min val="-2"/>
        </c:scaling>
        <c:delete val="0"/>
        <c:axPos val="l"/>
        <c:majorGridlines>
          <c:spPr>
            <a:ln w="6350" cap="flat" cmpd="sng" algn="ctr">
              <a:solidFill>
                <a:schemeClr val="bg1">
                  <a:lumMod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42146483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bg1">
          <a:lumMod val="85000"/>
        </a:schemeClr>
      </a:solid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726275946487948E-2"/>
          <c:y val="4.9977283053157656E-2"/>
          <c:w val="0.90601793574039191"/>
          <c:h val="0.75535851635083551"/>
        </c:manualLayout>
      </c:layout>
      <c:lineChart>
        <c:grouping val="standard"/>
        <c:varyColors val="0"/>
        <c:ser>
          <c:idx val="0"/>
          <c:order val="0"/>
          <c:tx>
            <c:strRef>
              <c:f>'GDP vs. EA'!$A$38</c:f>
              <c:strCache>
                <c:ptCount val="1"/>
                <c:pt idx="0">
                  <c:v>Ευρωπαϊκή Ένωση</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'GDP vs. EA'!$B$38:$O$38</c:f>
              <c:numCache>
                <c:formatCode>#,##0.##########</c:formatCode>
                <c:ptCount val="14"/>
                <c:pt idx="0">
                  <c:v>-0.1</c:v>
                </c:pt>
                <c:pt idx="1">
                  <c:v>1.5</c:v>
                </c:pt>
                <c:pt idx="2">
                  <c:v>2.2000000000000002</c:v>
                </c:pt>
                <c:pt idx="3">
                  <c:v>1.7</c:v>
                </c:pt>
                <c:pt idx="4">
                  <c:v>2.7</c:v>
                </c:pt>
                <c:pt idx="5">
                  <c:v>1.9</c:v>
                </c:pt>
                <c:pt idx="6">
                  <c:v>1.7</c:v>
                </c:pt>
                <c:pt idx="7">
                  <c:v>-5.4</c:v>
                </c:pt>
                <c:pt idx="8">
                  <c:v>6.4</c:v>
                </c:pt>
                <c:pt idx="9">
                  <c:v>2.9</c:v>
                </c:pt>
                <c:pt idx="10" formatCode="#,##0.0">
                  <c:v>-0.1</c:v>
                </c:pt>
                <c:pt idx="11">
                  <c:v>0.7</c:v>
                </c:pt>
                <c:pt idx="12">
                  <c:v>0.9</c:v>
                </c:pt>
                <c:pt idx="13">
                  <c:v>1.3</c:v>
                </c:pt>
              </c:numCache>
            </c:numRef>
          </c:val>
          <c:smooth val="0"/>
          <c:extLst>
            <c:ext xmlns:c16="http://schemas.microsoft.com/office/drawing/2014/chart" uri="{C3380CC4-5D6E-409C-BE32-E72D297353CC}">
              <c16:uniqueId val="{00000000-BFDD-4247-B828-321FB033D22E}"/>
            </c:ext>
          </c:extLst>
        </c:ser>
        <c:ser>
          <c:idx val="1"/>
          <c:order val="1"/>
          <c:tx>
            <c:strRef>
              <c:f>'GDP vs. EA'!$A$39</c:f>
              <c:strCache>
                <c:ptCount val="1"/>
                <c:pt idx="0">
                  <c:v>Ευρωζώνη</c:v>
                </c:pt>
              </c:strCache>
            </c:strRef>
          </c:tx>
          <c:spPr>
            <a:ln w="19050" cap="rnd">
              <a:solidFill>
                <a:srgbClr val="4F81BD">
                  <a:lumMod val="50000"/>
                </a:srgbClr>
              </a:solidFill>
              <a:round/>
            </a:ln>
            <a:effectLst/>
          </c:spPr>
          <c:marker>
            <c:symbol val="circle"/>
            <c:size val="5"/>
            <c:spPr>
              <a:solidFill>
                <a:sysClr val="windowText" lastClr="000000"/>
              </a:solidFill>
              <a:ln w="9525">
                <a:solidFill>
                  <a:srgbClr val="1F497D">
                    <a:lumMod val="75000"/>
                  </a:srgbClr>
                </a:solidFill>
              </a:ln>
              <a:effectLst/>
            </c:spPr>
          </c:marker>
          <c:cat>
            <c:strRef>
              <c:f>'GDP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'GDP vs. EA'!$B$39:$O$39</c:f>
              <c:numCache>
                <c:formatCode>#,##0.##########</c:formatCode>
                <c:ptCount val="14"/>
                <c:pt idx="0">
                  <c:v>-0.3</c:v>
                </c:pt>
                <c:pt idx="1">
                  <c:v>1.3</c:v>
                </c:pt>
                <c:pt idx="2">
                  <c:v>1.9</c:v>
                </c:pt>
                <c:pt idx="3">
                  <c:v>1.5</c:v>
                </c:pt>
                <c:pt idx="4">
                  <c:v>2.4</c:v>
                </c:pt>
                <c:pt idx="5">
                  <c:v>1.6</c:v>
                </c:pt>
                <c:pt idx="6">
                  <c:v>1.4</c:v>
                </c:pt>
                <c:pt idx="7">
                  <c:v>-6.1</c:v>
                </c:pt>
                <c:pt idx="8">
                  <c:v>6.4</c:v>
                </c:pt>
                <c:pt idx="9" formatCode="#,##0.0">
                  <c:v>3.1</c:v>
                </c:pt>
                <c:pt idx="10">
                  <c:v>-0.2</c:v>
                </c:pt>
                <c:pt idx="11">
                  <c:v>0.5</c:v>
                </c:pt>
                <c:pt idx="12">
                  <c:v>0.6</c:v>
                </c:pt>
                <c:pt idx="13">
                  <c:v>1.1000000000000001</c:v>
                </c:pt>
              </c:numCache>
            </c:numRef>
          </c:val>
          <c:smooth val="0"/>
          <c:extLst>
            <c:ext xmlns:c16="http://schemas.microsoft.com/office/drawing/2014/chart" uri="{C3380CC4-5D6E-409C-BE32-E72D297353CC}">
              <c16:uniqueId val="{00000001-BFDD-4247-B828-321FB033D22E}"/>
            </c:ext>
          </c:extLst>
        </c:ser>
        <c:ser>
          <c:idx val="2"/>
          <c:order val="2"/>
          <c:tx>
            <c:strRef>
              <c:f>'GDP vs. EA'!$A$40</c:f>
              <c:strCache>
                <c:ptCount val="1"/>
                <c:pt idx="0">
                  <c:v>Ελλάδα</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strRef>
              <c:f>'GDP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'GDP vs. EA'!$B$40:$O$40</c:f>
              <c:numCache>
                <c:formatCode>#,##0.##########</c:formatCode>
                <c:ptCount val="14"/>
                <c:pt idx="0">
                  <c:v>-1.6</c:v>
                </c:pt>
                <c:pt idx="1">
                  <c:v>1.5</c:v>
                </c:pt>
                <c:pt idx="2">
                  <c:v>0.4</c:v>
                </c:pt>
                <c:pt idx="3">
                  <c:v>0.4</c:v>
                </c:pt>
                <c:pt idx="4">
                  <c:v>1.7</c:v>
                </c:pt>
                <c:pt idx="5">
                  <c:v>2.2999999999999998</c:v>
                </c:pt>
                <c:pt idx="6">
                  <c:v>2.4</c:v>
                </c:pt>
                <c:pt idx="7" formatCode="#,##0.0">
                  <c:v>-9</c:v>
                </c:pt>
                <c:pt idx="8">
                  <c:v>9.1999999999999993</c:v>
                </c:pt>
                <c:pt idx="9">
                  <c:v>6.4</c:v>
                </c:pt>
                <c:pt idx="10">
                  <c:v>2.6</c:v>
                </c:pt>
                <c:pt idx="11">
                  <c:v>2.4</c:v>
                </c:pt>
                <c:pt idx="12" formatCode="0.0">
                  <c:v>2.4058277003143447</c:v>
                </c:pt>
                <c:pt idx="13" formatCode="0.0">
                  <c:v>2.5686400770111417</c:v>
                </c:pt>
              </c:numCache>
            </c:numRef>
          </c:val>
          <c:smooth val="0"/>
          <c:extLst>
            <c:ext xmlns:c16="http://schemas.microsoft.com/office/drawing/2014/chart" uri="{C3380CC4-5D6E-409C-BE32-E72D297353CC}">
              <c16:uniqueId val="{00000002-BFDD-4247-B828-321FB033D22E}"/>
            </c:ext>
          </c:extLst>
        </c:ser>
        <c:dLbls>
          <c:showLegendKey val="0"/>
          <c:showVal val="0"/>
          <c:showCatName val="0"/>
          <c:showSerName val="0"/>
          <c:showPercent val="0"/>
          <c:showBubbleSize val="0"/>
        </c:dLbls>
        <c:marker val="1"/>
        <c:smooth val="0"/>
        <c:axId val="937764623"/>
        <c:axId val="762423631"/>
      </c:lineChart>
      <c:catAx>
        <c:axId val="93776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762423631"/>
        <c:crosses val="autoZero"/>
        <c:auto val="1"/>
        <c:lblAlgn val="ctr"/>
        <c:lblOffset val="100"/>
        <c:noMultiLvlLbl val="0"/>
      </c:catAx>
      <c:valAx>
        <c:axId val="762423631"/>
        <c:scaling>
          <c:orientation val="minMax"/>
          <c:max val="10"/>
        </c:scaling>
        <c:delete val="0"/>
        <c:axPos val="l"/>
        <c:majorGridlines>
          <c:spPr>
            <a:ln w="6350" cap="flat" cmpd="sng" algn="ctr">
              <a:solidFill>
                <a:sysClr val="window" lastClr="FFFFFF">
                  <a:lumMod val="85000"/>
                </a:sys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37764623"/>
        <c:crosses val="autoZero"/>
        <c:crossBetween val="between"/>
      </c:valAx>
      <c:spPr>
        <a:noFill/>
        <a:ln w="25400">
          <a:noFill/>
        </a:ln>
        <a:effectLst/>
      </c:spPr>
    </c:plotArea>
    <c:legend>
      <c:legendPos val="b"/>
      <c:layout>
        <c:manualLayout>
          <c:xMode val="edge"/>
          <c:yMode val="edge"/>
          <c:x val="0.22642769708913177"/>
          <c:y val="0.88545062061521862"/>
          <c:w val="0.54714443219404629"/>
          <c:h val="9.334569393430890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ysClr val="window" lastClr="FFFFFF">
          <a:lumMod val="85000"/>
        </a:sysClr>
      </a:solidFill>
      <a:round/>
    </a:ln>
    <a:effectLst/>
  </c:spPr>
  <c:txPr>
    <a:bodyPr/>
    <a:lstStyle/>
    <a:p>
      <a:pPr>
        <a:defRPr/>
      </a:pPr>
      <a:endParaRPr lang="el-G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95988095355393E-2"/>
          <c:y val="9.4371536891221922E-2"/>
          <c:w val="0.90957428322190725"/>
          <c:h val="0.72966003304407367"/>
        </c:manualLayout>
      </c:layout>
      <c:barChart>
        <c:barDir val="col"/>
        <c:grouping val="stacked"/>
        <c:varyColors val="0"/>
        <c:ser>
          <c:idx val="0"/>
          <c:order val="0"/>
          <c:tx>
            <c:strRef>
              <c:f>Φύλλο1!$B$1</c:f>
              <c:strCache>
                <c:ptCount val="1"/>
                <c:pt idx="0">
                  <c:v>Έντοκα</c:v>
                </c:pt>
              </c:strCache>
            </c:strRef>
          </c:tx>
          <c:spPr>
            <a:solidFill>
              <a:schemeClr val="accent1">
                <a:lumMod val="75000"/>
              </a:schemeClr>
            </a:solidFill>
            <a:ln w="12700">
              <a:noFill/>
              <a:prstDash val="solid"/>
            </a:ln>
          </c:spPr>
          <c:invertIfNegative val="0"/>
          <c:cat>
            <c:numRef>
              <c:f>Φύλλο1!$A$2:$A$47</c:f>
              <c:numCache>
                <c:formatCode>General</c:formatCod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numCache>
            </c:numRef>
          </c:cat>
          <c:val>
            <c:numRef>
              <c:f>Φύλλο1!$B$2:$B$47</c:f>
              <c:numCache>
                <c:formatCode>#,##0.0</c:formatCode>
                <c:ptCount val="46"/>
                <c:pt idx="0">
                  <c:v>5414.0240000000003</c:v>
                </c:pt>
                <c:pt idx="1">
                  <c:v>2685.7739999999999</c:v>
                </c:pt>
              </c:numCache>
            </c:numRef>
          </c:val>
          <c:extLst>
            <c:ext xmlns:c16="http://schemas.microsoft.com/office/drawing/2014/chart" uri="{C3380CC4-5D6E-409C-BE32-E72D297353CC}">
              <c16:uniqueId val="{00000000-BA1B-463E-8E63-B40D5E4844B4}"/>
            </c:ext>
          </c:extLst>
        </c:ser>
        <c:ser>
          <c:idx val="1"/>
          <c:order val="1"/>
          <c:tx>
            <c:strRef>
              <c:f>Φύλλο1!$C$1</c:f>
              <c:strCache>
                <c:ptCount val="1"/>
                <c:pt idx="0">
                  <c:v>Ομόλογα</c:v>
                </c:pt>
              </c:strCache>
            </c:strRef>
          </c:tx>
          <c:spPr>
            <a:solidFill>
              <a:schemeClr val="accent1">
                <a:lumMod val="60000"/>
                <a:lumOff val="40000"/>
              </a:schemeClr>
            </a:solidFill>
            <a:ln>
              <a:noFill/>
            </a:ln>
          </c:spPr>
          <c:invertIfNegative val="0"/>
          <c:cat>
            <c:numRef>
              <c:f>Φύλλο1!$A$2:$A$47</c:f>
              <c:numCache>
                <c:formatCode>General</c:formatCod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numCache>
            </c:numRef>
          </c:cat>
          <c:val>
            <c:numRef>
              <c:f>Φύλλο1!$C$2:$C$47</c:f>
              <c:numCache>
                <c:formatCode>#,##0.0</c:formatCode>
                <c:ptCount val="46"/>
                <c:pt idx="0">
                  <c:v>40</c:v>
                </c:pt>
                <c:pt idx="1">
                  <c:v>6494.882079</c:v>
                </c:pt>
                <c:pt idx="2">
                  <c:v>6173.6944100000001</c:v>
                </c:pt>
                <c:pt idx="3">
                  <c:v>9816.5922429999991</c:v>
                </c:pt>
                <c:pt idx="4">
                  <c:v>4770.4496369999997</c:v>
                </c:pt>
                <c:pt idx="5">
                  <c:v>5673.3584049999999</c:v>
                </c:pt>
                <c:pt idx="6">
                  <c:v>6046.1805000000004</c:v>
                </c:pt>
                <c:pt idx="7">
                  <c:v>3746.2039840000002</c:v>
                </c:pt>
                <c:pt idx="8">
                  <c:v>12013.425832999999</c:v>
                </c:pt>
                <c:pt idx="9">
                  <c:v>5306.3887519999998</c:v>
                </c:pt>
                <c:pt idx="10">
                  <c:v>8993.8306269999994</c:v>
                </c:pt>
                <c:pt idx="11">
                  <c:v>44.197279999999999</c:v>
                </c:pt>
                <c:pt idx="12">
                  <c:v>5804.5361149999999</c:v>
                </c:pt>
                <c:pt idx="13">
                  <c:v>5546.2593969999998</c:v>
                </c:pt>
                <c:pt idx="14">
                  <c:v>45.596290000000003</c:v>
                </c:pt>
                <c:pt idx="15">
                  <c:v>50.228611000000001</c:v>
                </c:pt>
                <c:pt idx="16">
                  <c:v>50.845267</c:v>
                </c:pt>
                <c:pt idx="17">
                  <c:v>5553.6638709999997</c:v>
                </c:pt>
                <c:pt idx="18">
                  <c:v>0</c:v>
                </c:pt>
                <c:pt idx="19">
                  <c:v>0</c:v>
                </c:pt>
                <c:pt idx="20">
                  <c:v>0</c:v>
                </c:pt>
                <c:pt idx="21">
                  <c:v>0</c:v>
                </c:pt>
                <c:pt idx="22">
                  <c:v>0</c:v>
                </c:pt>
                <c:pt idx="23">
                  <c:v>0</c:v>
                </c:pt>
                <c:pt idx="24">
                  <c:v>0</c:v>
                </c:pt>
                <c:pt idx="25">
                  <c:v>5364.25</c:v>
                </c:pt>
                <c:pt idx="26">
                  <c:v>0</c:v>
                </c:pt>
                <c:pt idx="27">
                  <c:v>3500</c:v>
                </c:pt>
                <c:pt idx="28">
                  <c:v>0</c:v>
                </c:pt>
                <c:pt idx="29">
                  <c:v>4000</c:v>
                </c:pt>
                <c:pt idx="30">
                  <c:v>0</c:v>
                </c:pt>
                <c:pt idx="31">
                  <c:v>0</c:v>
                </c:pt>
                <c:pt idx="32">
                  <c:v>1467.76</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extLst>
            <c:ext xmlns:c16="http://schemas.microsoft.com/office/drawing/2014/chart" uri="{C3380CC4-5D6E-409C-BE32-E72D297353CC}">
              <c16:uniqueId val="{00000001-BA1B-463E-8E63-B40D5E4844B4}"/>
            </c:ext>
          </c:extLst>
        </c:ser>
        <c:ser>
          <c:idx val="2"/>
          <c:order val="2"/>
          <c:tx>
            <c:strRef>
              <c:f>Φύλλο1!$D$1</c:f>
              <c:strCache>
                <c:ptCount val="1"/>
                <c:pt idx="0">
                  <c:v>Δάνεια</c:v>
                </c:pt>
              </c:strCache>
            </c:strRef>
          </c:tx>
          <c:spPr>
            <a:solidFill>
              <a:schemeClr val="tx2">
                <a:lumMod val="60000"/>
                <a:lumOff val="40000"/>
              </a:schemeClr>
            </a:solidFill>
            <a:ln>
              <a:noFill/>
            </a:ln>
          </c:spPr>
          <c:invertIfNegative val="0"/>
          <c:cat>
            <c:numRef>
              <c:f>Φύλλο1!$A$2:$A$47</c:f>
              <c:numCache>
                <c:formatCode>General</c:formatCod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numCache>
            </c:numRef>
          </c:cat>
          <c:val>
            <c:numRef>
              <c:f>Φύλλο1!$D$2:$D$47</c:f>
              <c:numCache>
                <c:formatCode>#,##0.0</c:formatCode>
                <c:ptCount val="46"/>
                <c:pt idx="0">
                  <c:v>1089.6990335865107</c:v>
                </c:pt>
                <c:pt idx="1">
                  <c:v>2323.6940141397345</c:v>
                </c:pt>
                <c:pt idx="2">
                  <c:v>3190.2108580448812</c:v>
                </c:pt>
                <c:pt idx="3">
                  <c:v>3298.5284220525323</c:v>
                </c:pt>
                <c:pt idx="4">
                  <c:v>6308.4245070323359</c:v>
                </c:pt>
                <c:pt idx="5">
                  <c:v>5232.866707389675</c:v>
                </c:pt>
                <c:pt idx="6">
                  <c:v>5024.0174908813979</c:v>
                </c:pt>
                <c:pt idx="7">
                  <c:v>5301.770704855775</c:v>
                </c:pt>
                <c:pt idx="8">
                  <c:v>5252.3907970496984</c:v>
                </c:pt>
                <c:pt idx="9">
                  <c:v>5596.6095028872178</c:v>
                </c:pt>
                <c:pt idx="10">
                  <c:v>6322.9440330481157</c:v>
                </c:pt>
                <c:pt idx="11">
                  <c:v>6609.7735730250615</c:v>
                </c:pt>
                <c:pt idx="12">
                  <c:v>7351.8301719678839</c:v>
                </c:pt>
                <c:pt idx="13">
                  <c:v>5931.9779949197864</c:v>
                </c:pt>
                <c:pt idx="14">
                  <c:v>5949.3825986425518</c:v>
                </c:pt>
                <c:pt idx="15">
                  <c:v>5260.5372944394294</c:v>
                </c:pt>
                <c:pt idx="16">
                  <c:v>3930.9220841946458</c:v>
                </c:pt>
                <c:pt idx="17">
                  <c:v>3354.2700131367405</c:v>
                </c:pt>
                <c:pt idx="18">
                  <c:v>4194.9627052685619</c:v>
                </c:pt>
                <c:pt idx="19">
                  <c:v>4266.2868131558507</c:v>
                </c:pt>
                <c:pt idx="20">
                  <c:v>4339.124193690076</c:v>
                </c:pt>
                <c:pt idx="21">
                  <c:v>5313.5202429299106</c:v>
                </c:pt>
                <c:pt idx="22">
                  <c:v>4489.5217211254503</c:v>
                </c:pt>
                <c:pt idx="23">
                  <c:v>4566.9725157139219</c:v>
                </c:pt>
                <c:pt idx="24">
                  <c:v>4646.2488486400007</c:v>
                </c:pt>
                <c:pt idx="25">
                  <c:v>5730.8356830700004</c:v>
                </c:pt>
                <c:pt idx="26">
                  <c:v>6786.7170950500004</c:v>
                </c:pt>
                <c:pt idx="27">
                  <c:v>6820.8757730500001</c:v>
                </c:pt>
                <c:pt idx="28">
                  <c:v>6838.2154258400005</c:v>
                </c:pt>
                <c:pt idx="29">
                  <c:v>6770.9764543000001</c:v>
                </c:pt>
                <c:pt idx="30">
                  <c:v>6779.7761184499996</c:v>
                </c:pt>
                <c:pt idx="31">
                  <c:v>6818.9554479999997</c:v>
                </c:pt>
                <c:pt idx="32">
                  <c:v>6950.2691800000002</c:v>
                </c:pt>
                <c:pt idx="33">
                  <c:v>7084.7438259999999</c:v>
                </c:pt>
                <c:pt idx="34">
                  <c:v>7214.8218706100006</c:v>
                </c:pt>
                <c:pt idx="35">
                  <c:v>7360.364004</c:v>
                </c:pt>
                <c:pt idx="36">
                  <c:v>4071.514776</c:v>
                </c:pt>
                <c:pt idx="37">
                  <c:v>4193.6602190000003</c:v>
                </c:pt>
                <c:pt idx="38">
                  <c:v>4319.4700279999997</c:v>
                </c:pt>
                <c:pt idx="39">
                  <c:v>4449.0541270000003</c:v>
                </c:pt>
                <c:pt idx="40">
                  <c:v>4582.5257490000004</c:v>
                </c:pt>
                <c:pt idx="41">
                  <c:v>4720.0015229999999</c:v>
                </c:pt>
                <c:pt idx="42">
                  <c:v>4861.6015690000004</c:v>
                </c:pt>
                <c:pt idx="43">
                  <c:v>5007.4496159999999</c:v>
                </c:pt>
                <c:pt idx="44">
                  <c:v>5157.6731030000001</c:v>
                </c:pt>
                <c:pt idx="45">
                  <c:v>5312.4033010000003</c:v>
                </c:pt>
              </c:numCache>
            </c:numRef>
          </c:val>
          <c:extLst>
            <c:ext xmlns:c16="http://schemas.microsoft.com/office/drawing/2014/chart" uri="{C3380CC4-5D6E-409C-BE32-E72D297353CC}">
              <c16:uniqueId val="{00000002-BA1B-463E-8E63-B40D5E4844B4}"/>
            </c:ext>
          </c:extLst>
        </c:ser>
        <c:dLbls>
          <c:showLegendKey val="0"/>
          <c:showVal val="0"/>
          <c:showCatName val="0"/>
          <c:showSerName val="0"/>
          <c:showPercent val="0"/>
          <c:showBubbleSize val="0"/>
        </c:dLbls>
        <c:gapWidth val="20"/>
        <c:overlap val="100"/>
        <c:axId val="1148806575"/>
        <c:axId val="1"/>
      </c:barChart>
      <c:catAx>
        <c:axId val="1148806575"/>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50" b="1" i="0" u="none" strike="noStrike" baseline="0">
                <a:solidFill>
                  <a:srgbClr val="000000"/>
                </a:solidFill>
                <a:latin typeface="Arial" panose="020B0604020202020204" pitchFamily="34" charset="0"/>
                <a:ea typeface="Times New Roman"/>
                <a:cs typeface="Arial" panose="020B0604020202020204" pitchFamily="34" charset="0"/>
              </a:defRPr>
            </a:pPr>
            <a:endParaRPr lang="el-GR"/>
          </a:p>
        </c:txPr>
        <c:crossAx val="1"/>
        <c:crosses val="autoZero"/>
        <c:auto val="1"/>
        <c:lblAlgn val="ctr"/>
        <c:lblOffset val="100"/>
        <c:tickLblSkip val="1"/>
        <c:tickMarkSkip val="1"/>
        <c:noMultiLvlLbl val="0"/>
      </c:catAx>
      <c:valAx>
        <c:axId val="1"/>
        <c:scaling>
          <c:orientation val="minMax"/>
          <c:max val="18000"/>
          <c:min val="0"/>
        </c:scaling>
        <c:delete val="0"/>
        <c:axPos val="l"/>
        <c:majorGridlines>
          <c:spPr>
            <a:ln w="6350">
              <a:solidFill>
                <a:schemeClr val="bg1">
                  <a:lumMod val="85000"/>
                </a:schemeClr>
              </a:solidFill>
            </a:ln>
          </c:spPr>
        </c:majorGridlines>
        <c:numFmt formatCode="#,##0" sourceLinked="0"/>
        <c:majorTickMark val="out"/>
        <c:minorTickMark val="none"/>
        <c:tickLblPos val="nextTo"/>
        <c:spPr>
          <a:ln w="3175">
            <a:solidFill>
              <a:srgbClr val="000000"/>
            </a:solidFill>
            <a:prstDash val="solid"/>
          </a:ln>
        </c:spPr>
        <c:txPr>
          <a:bodyPr rot="0" vert="horz"/>
          <a:lstStyle/>
          <a:p>
            <a:pPr>
              <a:defRPr sz="700" b="1" i="0" u="none" strike="noStrike" baseline="0">
                <a:solidFill>
                  <a:srgbClr val="000000"/>
                </a:solidFill>
                <a:latin typeface="Arial" panose="020B0604020202020204" pitchFamily="34" charset="0"/>
                <a:ea typeface="Times New Roman"/>
                <a:cs typeface="Arial" panose="020B0604020202020204" pitchFamily="34" charset="0"/>
              </a:defRPr>
            </a:pPr>
            <a:endParaRPr lang="el-GR"/>
          </a:p>
        </c:txPr>
        <c:crossAx val="1148806575"/>
        <c:crosses val="autoZero"/>
        <c:crossBetween val="between"/>
        <c:majorUnit val="2000"/>
      </c:valAx>
      <c:spPr>
        <a:solidFill>
          <a:srgbClr val="FFFFFF"/>
        </a:solidFill>
        <a:ln w="25400">
          <a:noFill/>
        </a:ln>
      </c:spPr>
    </c:plotArea>
    <c:legend>
      <c:legendPos val="b"/>
      <c:layout>
        <c:manualLayout>
          <c:xMode val="edge"/>
          <c:yMode val="edge"/>
          <c:x val="0.38954275147800577"/>
          <c:y val="0.94100404864325782"/>
          <c:w val="0.42558419671225306"/>
          <c:h val="5.8822155427292855E-2"/>
        </c:manualLayout>
      </c:layout>
      <c:overlay val="0"/>
      <c:spPr>
        <a:solidFill>
          <a:srgbClr val="FFFFFF"/>
        </a:solidFill>
        <a:ln w="25400">
          <a:noFill/>
        </a:ln>
      </c:spPr>
      <c:txPr>
        <a:bodyPr/>
        <a:lstStyle/>
        <a:p>
          <a:pPr>
            <a:defRPr sz="800" b="1" i="0" u="none" strike="noStrike" baseline="0">
              <a:solidFill>
                <a:srgbClr val="000000"/>
              </a:solidFill>
              <a:latin typeface="Arial" panose="020B0604020202020204" pitchFamily="34" charset="0"/>
              <a:ea typeface="Times New Roman"/>
              <a:cs typeface="Arial" panose="020B0604020202020204" pitchFamily="34" charset="0"/>
            </a:defRPr>
          </a:pPr>
          <a:endParaRPr lang="el-GR"/>
        </a:p>
      </c:txPr>
    </c:legend>
    <c:plotVisOnly val="1"/>
    <c:dispBlanksAs val="gap"/>
    <c:showDLblsOverMax val="0"/>
  </c:chart>
  <c:spPr>
    <a:solidFill>
      <a:srgbClr val="FFFFFF"/>
    </a:solidFill>
    <a:ln w="6350">
      <a:solidFill>
        <a:schemeClr val="bg1">
          <a:lumMod val="85000"/>
        </a:schemeClr>
      </a:solidFill>
    </a:ln>
  </c:spPr>
  <c:txPr>
    <a:bodyPr/>
    <a:lstStyle/>
    <a:p>
      <a:pPr algn="ctr">
        <a:defRPr sz="1725" b="0" i="0" u="none" strike="noStrike" baseline="0">
          <a:solidFill>
            <a:srgbClr val="000000"/>
          </a:solidFill>
          <a:latin typeface="Times New Roman"/>
          <a:ea typeface="Times New Roman"/>
          <a:cs typeface="Times New Roman"/>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l-GR" sz="900">
                <a:latin typeface="Arial" panose="020B0604020202020204" pitchFamily="34" charset="0"/>
                <a:cs typeface="Arial" panose="020B0604020202020204" pitchFamily="34" charset="0"/>
              </a:rPr>
              <a:t>Ελλάδα</a:t>
            </a:r>
          </a:p>
        </c:rich>
      </c:tx>
      <c:layout>
        <c:manualLayout>
          <c:xMode val="edge"/>
          <c:yMode val="edge"/>
          <c:x val="0.21986352863554678"/>
          <c:y val="3.979985779369551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8.5594805059510892E-2"/>
          <c:y val="3.0074050541953151E-2"/>
          <c:w val="0.8825261092639054"/>
          <c:h val="0.90864689464249249"/>
        </c:manualLayout>
      </c:layout>
      <c:barChart>
        <c:barDir val="col"/>
        <c:grouping val="stacked"/>
        <c:varyColors val="0"/>
        <c:ser>
          <c:idx val="1"/>
          <c:order val="1"/>
          <c:tx>
            <c:strRef>
              <c:f>'1.2 ΕΛΛΑΔΑ'!$C$4</c:f>
              <c:strCache>
                <c:ptCount val="1"/>
                <c:pt idx="0">
                  <c:v>Ιδιωτική κατανάλωση</c:v>
                </c:pt>
              </c:strCache>
            </c:strRef>
          </c:tx>
          <c:spPr>
            <a:solidFill>
              <a:schemeClr val="bg1">
                <a:lumMod val="50000"/>
              </a:schemeClr>
            </a:solidFill>
            <a:ln>
              <a:noFill/>
            </a:ln>
            <a:effectLst/>
          </c:spPr>
          <c:invertIfNegative val="0"/>
          <c:cat>
            <c:strRef>
              <c:f>'1.2 ΕΛΛΑΔΑ'!$A$5:$A$27</c:f>
              <c:strCache>
                <c:ptCount val="23"/>
                <c:pt idx="0">
                  <c:v>2019 Q4</c:v>
                </c:pt>
                <c:pt idx="1">
                  <c:v>2020 Q1</c:v>
                </c:pt>
                <c:pt idx="2">
                  <c:v>2020 Q2</c:v>
                </c:pt>
                <c:pt idx="3">
                  <c:v>2020 Q3</c:v>
                </c:pt>
                <c:pt idx="4">
                  <c:v>2020 Q4</c:v>
                </c:pt>
                <c:pt idx="5">
                  <c:v>2021 Q1</c:v>
                </c:pt>
                <c:pt idx="6">
                  <c:v>2021 Q2</c:v>
                </c:pt>
                <c:pt idx="7">
                  <c:v>2021 Q3</c:v>
                </c:pt>
                <c:pt idx="8">
                  <c:v>2021 Q4</c:v>
                </c:pt>
                <c:pt idx="9">
                  <c:v>2022 Q1</c:v>
                </c:pt>
                <c:pt idx="10">
                  <c:v>2022 Q2</c:v>
                </c:pt>
                <c:pt idx="11">
                  <c:v>2022 Q3</c:v>
                </c:pt>
                <c:pt idx="12">
                  <c:v>2022 Q4</c:v>
                </c:pt>
                <c:pt idx="13">
                  <c:v>2023 Q1</c:v>
                </c:pt>
                <c:pt idx="14">
                  <c:v>2023 Q2</c:v>
                </c:pt>
                <c:pt idx="15">
                  <c:v>2023 Q3</c:v>
                </c:pt>
                <c:pt idx="16">
                  <c:v>2023 Q4</c:v>
                </c:pt>
                <c:pt idx="17">
                  <c:v>2024-Q1</c:v>
                </c:pt>
                <c:pt idx="18">
                  <c:v>2024-Q2</c:v>
                </c:pt>
                <c:pt idx="19">
                  <c:v>2024-Q3</c:v>
                </c:pt>
                <c:pt idx="20">
                  <c:v>2024-Q4</c:v>
                </c:pt>
                <c:pt idx="21">
                  <c:v>2025-Q1</c:v>
                </c:pt>
                <c:pt idx="22">
                  <c:v>2025-Q2</c:v>
                </c:pt>
              </c:strCache>
            </c:strRef>
          </c:cat>
          <c:val>
            <c:numRef>
              <c:f>'1.2 ΕΛΛΑΔΑ'!$C$5:$C$27</c:f>
              <c:numCache>
                <c:formatCode>0.0%</c:formatCode>
                <c:ptCount val="23"/>
                <c:pt idx="0">
                  <c:v>0</c:v>
                </c:pt>
                <c:pt idx="1">
                  <c:v>-8.3790904239589622E-3</c:v>
                </c:pt>
                <c:pt idx="2">
                  <c:v>-9.5172381902612138E-2</c:v>
                </c:pt>
                <c:pt idx="3">
                  <c:v>-4.0729832229644915E-2</c:v>
                </c:pt>
                <c:pt idx="4">
                  <c:v>-5.4219972297585822E-2</c:v>
                </c:pt>
                <c:pt idx="5">
                  <c:v>-4.7906589868849006E-2</c:v>
                </c:pt>
                <c:pt idx="6">
                  <c:v>-1.9220755045451246E-2</c:v>
                </c:pt>
                <c:pt idx="7">
                  <c:v>-5.9863539848771128E-3</c:v>
                </c:pt>
                <c:pt idx="8">
                  <c:v>2.0835211925522741E-2</c:v>
                </c:pt>
                <c:pt idx="9">
                  <c:v>4.2011749773727097E-2</c:v>
                </c:pt>
                <c:pt idx="10">
                  <c:v>4.6489642212374394E-2</c:v>
                </c:pt>
                <c:pt idx="11">
                  <c:v>4.5641550415399863E-2</c:v>
                </c:pt>
                <c:pt idx="12">
                  <c:v>5.4627996534909969E-2</c:v>
                </c:pt>
                <c:pt idx="13">
                  <c:v>5.7069801915293504E-2</c:v>
                </c:pt>
                <c:pt idx="14">
                  <c:v>5.8944865568493779E-2</c:v>
                </c:pt>
                <c:pt idx="15">
                  <c:v>5.6567794494719492E-2</c:v>
                </c:pt>
                <c:pt idx="16">
                  <c:v>6.8069461354032329E-2</c:v>
                </c:pt>
                <c:pt idx="17">
                  <c:v>7.1953742924603992E-2</c:v>
                </c:pt>
                <c:pt idx="18">
                  <c:v>7.5523579965140475E-2</c:v>
                </c:pt>
                <c:pt idx="19">
                  <c:v>7.7267336743785983E-2</c:v>
                </c:pt>
                <c:pt idx="20">
                  <c:v>7.5145850571384551E-2</c:v>
                </c:pt>
                <c:pt idx="21">
                  <c:v>8.5779200132131139E-2</c:v>
                </c:pt>
                <c:pt idx="22">
                  <c:v>8.3650787889838818E-2</c:v>
                </c:pt>
              </c:numCache>
            </c:numRef>
          </c:val>
          <c:extLst>
            <c:ext xmlns:c16="http://schemas.microsoft.com/office/drawing/2014/chart" uri="{C3380CC4-5D6E-409C-BE32-E72D297353CC}">
              <c16:uniqueId val="{00000000-4962-495E-B6D7-7B02CE0CA590}"/>
            </c:ext>
          </c:extLst>
        </c:ser>
        <c:ser>
          <c:idx val="2"/>
          <c:order val="2"/>
          <c:tx>
            <c:strRef>
              <c:f>'1.2 ΕΛΛΑΔΑ'!$D$4</c:f>
              <c:strCache>
                <c:ptCount val="1"/>
                <c:pt idx="0">
                  <c:v>Δημόσια κατανάλωση</c:v>
                </c:pt>
              </c:strCache>
            </c:strRef>
          </c:tx>
          <c:spPr>
            <a:solidFill>
              <a:schemeClr val="accent1">
                <a:lumMod val="60000"/>
                <a:lumOff val="40000"/>
              </a:schemeClr>
            </a:solidFill>
            <a:ln>
              <a:noFill/>
            </a:ln>
            <a:effectLst/>
          </c:spPr>
          <c:invertIfNegative val="0"/>
          <c:cat>
            <c:strRef>
              <c:f>'1.2 ΕΛΛΑΔΑ'!$A$5:$A$27</c:f>
              <c:strCache>
                <c:ptCount val="23"/>
                <c:pt idx="0">
                  <c:v>2019 Q4</c:v>
                </c:pt>
                <c:pt idx="1">
                  <c:v>2020 Q1</c:v>
                </c:pt>
                <c:pt idx="2">
                  <c:v>2020 Q2</c:v>
                </c:pt>
                <c:pt idx="3">
                  <c:v>2020 Q3</c:v>
                </c:pt>
                <c:pt idx="4">
                  <c:v>2020 Q4</c:v>
                </c:pt>
                <c:pt idx="5">
                  <c:v>2021 Q1</c:v>
                </c:pt>
                <c:pt idx="6">
                  <c:v>2021 Q2</c:v>
                </c:pt>
                <c:pt idx="7">
                  <c:v>2021 Q3</c:v>
                </c:pt>
                <c:pt idx="8">
                  <c:v>2021 Q4</c:v>
                </c:pt>
                <c:pt idx="9">
                  <c:v>2022 Q1</c:v>
                </c:pt>
                <c:pt idx="10">
                  <c:v>2022 Q2</c:v>
                </c:pt>
                <c:pt idx="11">
                  <c:v>2022 Q3</c:v>
                </c:pt>
                <c:pt idx="12">
                  <c:v>2022 Q4</c:v>
                </c:pt>
                <c:pt idx="13">
                  <c:v>2023 Q1</c:v>
                </c:pt>
                <c:pt idx="14">
                  <c:v>2023 Q2</c:v>
                </c:pt>
                <c:pt idx="15">
                  <c:v>2023 Q3</c:v>
                </c:pt>
                <c:pt idx="16">
                  <c:v>2023 Q4</c:v>
                </c:pt>
                <c:pt idx="17">
                  <c:v>2024-Q1</c:v>
                </c:pt>
                <c:pt idx="18">
                  <c:v>2024-Q2</c:v>
                </c:pt>
                <c:pt idx="19">
                  <c:v>2024-Q3</c:v>
                </c:pt>
                <c:pt idx="20">
                  <c:v>2024-Q4</c:v>
                </c:pt>
                <c:pt idx="21">
                  <c:v>2025-Q1</c:v>
                </c:pt>
                <c:pt idx="22">
                  <c:v>2025-Q2</c:v>
                </c:pt>
              </c:strCache>
            </c:strRef>
          </c:cat>
          <c:val>
            <c:numRef>
              <c:f>'1.2 ΕΛΛΑΔΑ'!$D$5:$D$27</c:f>
              <c:numCache>
                <c:formatCode>0.0%</c:formatCode>
                <c:ptCount val="23"/>
                <c:pt idx="0">
                  <c:v>0</c:v>
                </c:pt>
                <c:pt idx="1">
                  <c:v>4.0782375625319283E-3</c:v>
                </c:pt>
                <c:pt idx="2">
                  <c:v>5.1149588073223368E-3</c:v>
                </c:pt>
                <c:pt idx="3">
                  <c:v>7.4614742145168774E-3</c:v>
                </c:pt>
                <c:pt idx="4">
                  <c:v>1.2451172364585275E-2</c:v>
                </c:pt>
                <c:pt idx="5">
                  <c:v>9.0897447552093606E-3</c:v>
                </c:pt>
                <c:pt idx="6">
                  <c:v>8.8191561323981982E-3</c:v>
                </c:pt>
                <c:pt idx="7">
                  <c:v>1.3853531938660426E-2</c:v>
                </c:pt>
                <c:pt idx="8">
                  <c:v>1.2061047542247157E-2</c:v>
                </c:pt>
                <c:pt idx="9">
                  <c:v>1.0921170960206693E-2</c:v>
                </c:pt>
                <c:pt idx="10">
                  <c:v>1.275087946525312E-2</c:v>
                </c:pt>
                <c:pt idx="11">
                  <c:v>1.1514161334798918E-2</c:v>
                </c:pt>
                <c:pt idx="12">
                  <c:v>7.48268410788323E-3</c:v>
                </c:pt>
                <c:pt idx="13">
                  <c:v>2.1132564531490199E-2</c:v>
                </c:pt>
                <c:pt idx="14">
                  <c:v>1.7692450511257261E-2</c:v>
                </c:pt>
                <c:pt idx="15">
                  <c:v>9.6639370964971341E-3</c:v>
                </c:pt>
                <c:pt idx="16">
                  <c:v>1.587091844685088E-2</c:v>
                </c:pt>
                <c:pt idx="17">
                  <c:v>5.0662808814969859E-3</c:v>
                </c:pt>
                <c:pt idx="18">
                  <c:v>7.6081676870391295E-3</c:v>
                </c:pt>
                <c:pt idx="19">
                  <c:v>5.6857961055640687E-3</c:v>
                </c:pt>
                <c:pt idx="20">
                  <c:v>7.9504516935405903E-3</c:v>
                </c:pt>
                <c:pt idx="21">
                  <c:v>4.2922155033051817E-3</c:v>
                </c:pt>
                <c:pt idx="22">
                  <c:v>8.9935766048933607E-3</c:v>
                </c:pt>
              </c:numCache>
            </c:numRef>
          </c:val>
          <c:extLst>
            <c:ext xmlns:c16="http://schemas.microsoft.com/office/drawing/2014/chart" uri="{C3380CC4-5D6E-409C-BE32-E72D297353CC}">
              <c16:uniqueId val="{00000001-4962-495E-B6D7-7B02CE0CA590}"/>
            </c:ext>
          </c:extLst>
        </c:ser>
        <c:ser>
          <c:idx val="3"/>
          <c:order val="3"/>
          <c:tx>
            <c:strRef>
              <c:f>'1.2 ΕΛΛΑΔΑ'!$E$4</c:f>
              <c:strCache>
                <c:ptCount val="1"/>
                <c:pt idx="0">
                  <c:v>Επενδύσεις</c:v>
                </c:pt>
              </c:strCache>
            </c:strRef>
          </c:tx>
          <c:spPr>
            <a:solidFill>
              <a:schemeClr val="tx2">
                <a:lumMod val="75000"/>
              </a:schemeClr>
            </a:solidFill>
            <a:ln>
              <a:noFill/>
            </a:ln>
            <a:effectLst/>
          </c:spPr>
          <c:invertIfNegative val="0"/>
          <c:cat>
            <c:strRef>
              <c:f>'1.2 ΕΛΛΑΔΑ'!$A$5:$A$27</c:f>
              <c:strCache>
                <c:ptCount val="23"/>
                <c:pt idx="0">
                  <c:v>2019 Q4</c:v>
                </c:pt>
                <c:pt idx="1">
                  <c:v>2020 Q1</c:v>
                </c:pt>
                <c:pt idx="2">
                  <c:v>2020 Q2</c:v>
                </c:pt>
                <c:pt idx="3">
                  <c:v>2020 Q3</c:v>
                </c:pt>
                <c:pt idx="4">
                  <c:v>2020 Q4</c:v>
                </c:pt>
                <c:pt idx="5">
                  <c:v>2021 Q1</c:v>
                </c:pt>
                <c:pt idx="6">
                  <c:v>2021 Q2</c:v>
                </c:pt>
                <c:pt idx="7">
                  <c:v>2021 Q3</c:v>
                </c:pt>
                <c:pt idx="8">
                  <c:v>2021 Q4</c:v>
                </c:pt>
                <c:pt idx="9">
                  <c:v>2022 Q1</c:v>
                </c:pt>
                <c:pt idx="10">
                  <c:v>2022 Q2</c:v>
                </c:pt>
                <c:pt idx="11">
                  <c:v>2022 Q3</c:v>
                </c:pt>
                <c:pt idx="12">
                  <c:v>2022 Q4</c:v>
                </c:pt>
                <c:pt idx="13">
                  <c:v>2023 Q1</c:v>
                </c:pt>
                <c:pt idx="14">
                  <c:v>2023 Q2</c:v>
                </c:pt>
                <c:pt idx="15">
                  <c:v>2023 Q3</c:v>
                </c:pt>
                <c:pt idx="16">
                  <c:v>2023 Q4</c:v>
                </c:pt>
                <c:pt idx="17">
                  <c:v>2024-Q1</c:v>
                </c:pt>
                <c:pt idx="18">
                  <c:v>2024-Q2</c:v>
                </c:pt>
                <c:pt idx="19">
                  <c:v>2024-Q3</c:v>
                </c:pt>
                <c:pt idx="20">
                  <c:v>2024-Q4</c:v>
                </c:pt>
                <c:pt idx="21">
                  <c:v>2025-Q1</c:v>
                </c:pt>
                <c:pt idx="22">
                  <c:v>2025-Q2</c:v>
                </c:pt>
              </c:strCache>
            </c:strRef>
          </c:cat>
          <c:val>
            <c:numRef>
              <c:f>'1.2 ΕΛΛΑΔΑ'!$E$5:$E$27</c:f>
              <c:numCache>
                <c:formatCode>0.0%</c:formatCode>
                <c:ptCount val="23"/>
                <c:pt idx="0">
                  <c:v>0</c:v>
                </c:pt>
                <c:pt idx="1">
                  <c:v>4.560101706033921E-3</c:v>
                </c:pt>
                <c:pt idx="2">
                  <c:v>-8.9209341016858405E-4</c:v>
                </c:pt>
                <c:pt idx="3">
                  <c:v>8.4243714107007945E-3</c:v>
                </c:pt>
                <c:pt idx="4">
                  <c:v>3.2863388885092169E-3</c:v>
                </c:pt>
                <c:pt idx="5">
                  <c:v>2.0622155416201837E-2</c:v>
                </c:pt>
                <c:pt idx="6">
                  <c:v>3.1488798968205348E-2</c:v>
                </c:pt>
                <c:pt idx="7">
                  <c:v>4.0688589268644333E-2</c:v>
                </c:pt>
                <c:pt idx="8">
                  <c:v>4.305640493698764E-2</c:v>
                </c:pt>
                <c:pt idx="9">
                  <c:v>5.6474666447983456E-2</c:v>
                </c:pt>
                <c:pt idx="10">
                  <c:v>6.1203921237054607E-2</c:v>
                </c:pt>
                <c:pt idx="11">
                  <c:v>6.7421378466082996E-2</c:v>
                </c:pt>
                <c:pt idx="12">
                  <c:v>8.6121352566884649E-2</c:v>
                </c:pt>
                <c:pt idx="13">
                  <c:v>8.6872153698931115E-2</c:v>
                </c:pt>
                <c:pt idx="14">
                  <c:v>8.3127533782489271E-2</c:v>
                </c:pt>
                <c:pt idx="15">
                  <c:v>9.1707532506074774E-2</c:v>
                </c:pt>
                <c:pt idx="16">
                  <c:v>8.30754384586216E-2</c:v>
                </c:pt>
                <c:pt idx="17">
                  <c:v>9.9751927441124585E-2</c:v>
                </c:pt>
                <c:pt idx="18">
                  <c:v>9.344519045994662E-2</c:v>
                </c:pt>
                <c:pt idx="19">
                  <c:v>9.1211657980181424E-2</c:v>
                </c:pt>
                <c:pt idx="20">
                  <c:v>0.10792012054689858</c:v>
                </c:pt>
                <c:pt idx="21">
                  <c:v>8.9723498067234356E-2</c:v>
                </c:pt>
                <c:pt idx="22">
                  <c:v>0.11510516740426716</c:v>
                </c:pt>
              </c:numCache>
            </c:numRef>
          </c:val>
          <c:extLst>
            <c:ext xmlns:c16="http://schemas.microsoft.com/office/drawing/2014/chart" uri="{C3380CC4-5D6E-409C-BE32-E72D297353CC}">
              <c16:uniqueId val="{00000002-4962-495E-B6D7-7B02CE0CA590}"/>
            </c:ext>
          </c:extLst>
        </c:ser>
        <c:ser>
          <c:idx val="4"/>
          <c:order val="4"/>
          <c:tx>
            <c:strRef>
              <c:f>'1.2 ΕΛΛΑΔΑ'!$F$4</c:f>
              <c:strCache>
                <c:ptCount val="1"/>
                <c:pt idx="0">
                  <c:v>Καθαρές εξαγωγές αγαθών</c:v>
                </c:pt>
              </c:strCache>
            </c:strRef>
          </c:tx>
          <c:spPr>
            <a:solidFill>
              <a:schemeClr val="bg1">
                <a:lumMod val="75000"/>
              </a:schemeClr>
            </a:solidFill>
            <a:ln>
              <a:noFill/>
            </a:ln>
            <a:effectLst/>
          </c:spPr>
          <c:invertIfNegative val="0"/>
          <c:cat>
            <c:strRef>
              <c:f>'1.2 ΕΛΛΑΔΑ'!$A$5:$A$27</c:f>
              <c:strCache>
                <c:ptCount val="23"/>
                <c:pt idx="0">
                  <c:v>2019 Q4</c:v>
                </c:pt>
                <c:pt idx="1">
                  <c:v>2020 Q1</c:v>
                </c:pt>
                <c:pt idx="2">
                  <c:v>2020 Q2</c:v>
                </c:pt>
                <c:pt idx="3">
                  <c:v>2020 Q3</c:v>
                </c:pt>
                <c:pt idx="4">
                  <c:v>2020 Q4</c:v>
                </c:pt>
                <c:pt idx="5">
                  <c:v>2021 Q1</c:v>
                </c:pt>
                <c:pt idx="6">
                  <c:v>2021 Q2</c:v>
                </c:pt>
                <c:pt idx="7">
                  <c:v>2021 Q3</c:v>
                </c:pt>
                <c:pt idx="8">
                  <c:v>2021 Q4</c:v>
                </c:pt>
                <c:pt idx="9">
                  <c:v>2022 Q1</c:v>
                </c:pt>
                <c:pt idx="10">
                  <c:v>2022 Q2</c:v>
                </c:pt>
                <c:pt idx="11">
                  <c:v>2022 Q3</c:v>
                </c:pt>
                <c:pt idx="12">
                  <c:v>2022 Q4</c:v>
                </c:pt>
                <c:pt idx="13">
                  <c:v>2023 Q1</c:v>
                </c:pt>
                <c:pt idx="14">
                  <c:v>2023 Q2</c:v>
                </c:pt>
                <c:pt idx="15">
                  <c:v>2023 Q3</c:v>
                </c:pt>
                <c:pt idx="16">
                  <c:v>2023 Q4</c:v>
                </c:pt>
                <c:pt idx="17">
                  <c:v>2024-Q1</c:v>
                </c:pt>
                <c:pt idx="18">
                  <c:v>2024-Q2</c:v>
                </c:pt>
                <c:pt idx="19">
                  <c:v>2024-Q3</c:v>
                </c:pt>
                <c:pt idx="20">
                  <c:v>2024-Q4</c:v>
                </c:pt>
                <c:pt idx="21">
                  <c:v>2025-Q1</c:v>
                </c:pt>
                <c:pt idx="22">
                  <c:v>2025-Q2</c:v>
                </c:pt>
              </c:strCache>
            </c:strRef>
          </c:cat>
          <c:val>
            <c:numRef>
              <c:f>'1.2 ΕΛΛΑΔΑ'!$F$5:$F$27</c:f>
              <c:numCache>
                <c:formatCode>0.0%</c:formatCode>
                <c:ptCount val="23"/>
                <c:pt idx="0">
                  <c:v>0</c:v>
                </c:pt>
                <c:pt idx="1">
                  <c:v>-1.9793476752135952E-2</c:v>
                </c:pt>
                <c:pt idx="2">
                  <c:v>2.5691288425534104E-2</c:v>
                </c:pt>
                <c:pt idx="3">
                  <c:v>4.8049396997299921E-3</c:v>
                </c:pt>
                <c:pt idx="4">
                  <c:v>1.7899037200643644E-2</c:v>
                </c:pt>
                <c:pt idx="5">
                  <c:v>7.2172987214207786E-3</c:v>
                </c:pt>
                <c:pt idx="6">
                  <c:v>4.6514237823164852E-4</c:v>
                </c:pt>
                <c:pt idx="7">
                  <c:v>-1.757206077429185E-2</c:v>
                </c:pt>
                <c:pt idx="8">
                  <c:v>-4.721483327793824E-2</c:v>
                </c:pt>
                <c:pt idx="9">
                  <c:v>-4.5033445459491103E-2</c:v>
                </c:pt>
                <c:pt idx="10">
                  <c:v>-6.1338177041214414E-2</c:v>
                </c:pt>
                <c:pt idx="11">
                  <c:v>-5.0765223849393915E-2</c:v>
                </c:pt>
                <c:pt idx="12">
                  <c:v>-7.5472715021051615E-2</c:v>
                </c:pt>
                <c:pt idx="13">
                  <c:v>-2.9567653255744886E-2</c:v>
                </c:pt>
                <c:pt idx="14">
                  <c:v>-4.62858079088675E-2</c:v>
                </c:pt>
                <c:pt idx="15">
                  <c:v>-7.5422299437072779E-2</c:v>
                </c:pt>
                <c:pt idx="16">
                  <c:v>-7.7989227952701329E-2</c:v>
                </c:pt>
                <c:pt idx="17">
                  <c:v>-8.3815066662884158E-2</c:v>
                </c:pt>
                <c:pt idx="18">
                  <c:v>-0.11177114180266229</c:v>
                </c:pt>
                <c:pt idx="19">
                  <c:v>-9.4606131926715659E-2</c:v>
                </c:pt>
                <c:pt idx="20">
                  <c:v>-8.4147590401129901E-2</c:v>
                </c:pt>
                <c:pt idx="21">
                  <c:v>-8.3980914757626146E-2</c:v>
                </c:pt>
                <c:pt idx="22">
                  <c:v>-7.8303522184937926E-2</c:v>
                </c:pt>
              </c:numCache>
            </c:numRef>
          </c:val>
          <c:extLst>
            <c:ext xmlns:c16="http://schemas.microsoft.com/office/drawing/2014/chart" uri="{C3380CC4-5D6E-409C-BE32-E72D297353CC}">
              <c16:uniqueId val="{00000003-4962-495E-B6D7-7B02CE0CA590}"/>
            </c:ext>
          </c:extLst>
        </c:ser>
        <c:ser>
          <c:idx val="5"/>
          <c:order val="5"/>
          <c:tx>
            <c:strRef>
              <c:f>'1.2 ΕΛΛΑΔΑ'!$G$4</c:f>
              <c:strCache>
                <c:ptCount val="1"/>
                <c:pt idx="0">
                  <c:v>Καθαρές εξαγωγές υπηρεσιών</c:v>
                </c:pt>
              </c:strCache>
            </c:strRef>
          </c:tx>
          <c:spPr>
            <a:solidFill>
              <a:schemeClr val="tx2">
                <a:lumMod val="60000"/>
                <a:lumOff val="40000"/>
              </a:schemeClr>
            </a:solidFill>
            <a:ln>
              <a:noFill/>
            </a:ln>
            <a:effectLst/>
          </c:spPr>
          <c:invertIfNegative val="0"/>
          <c:cat>
            <c:strRef>
              <c:f>'1.2 ΕΛΛΑΔΑ'!$A$5:$A$27</c:f>
              <c:strCache>
                <c:ptCount val="23"/>
                <c:pt idx="0">
                  <c:v>2019 Q4</c:v>
                </c:pt>
                <c:pt idx="1">
                  <c:v>2020 Q1</c:v>
                </c:pt>
                <c:pt idx="2">
                  <c:v>2020 Q2</c:v>
                </c:pt>
                <c:pt idx="3">
                  <c:v>2020 Q3</c:v>
                </c:pt>
                <c:pt idx="4">
                  <c:v>2020 Q4</c:v>
                </c:pt>
                <c:pt idx="5">
                  <c:v>2021 Q1</c:v>
                </c:pt>
                <c:pt idx="6">
                  <c:v>2021 Q2</c:v>
                </c:pt>
                <c:pt idx="7">
                  <c:v>2021 Q3</c:v>
                </c:pt>
                <c:pt idx="8">
                  <c:v>2021 Q4</c:v>
                </c:pt>
                <c:pt idx="9">
                  <c:v>2022 Q1</c:v>
                </c:pt>
                <c:pt idx="10">
                  <c:v>2022 Q2</c:v>
                </c:pt>
                <c:pt idx="11">
                  <c:v>2022 Q3</c:v>
                </c:pt>
                <c:pt idx="12">
                  <c:v>2022 Q4</c:v>
                </c:pt>
                <c:pt idx="13">
                  <c:v>2023 Q1</c:v>
                </c:pt>
                <c:pt idx="14">
                  <c:v>2023 Q2</c:v>
                </c:pt>
                <c:pt idx="15">
                  <c:v>2023 Q3</c:v>
                </c:pt>
                <c:pt idx="16">
                  <c:v>2023 Q4</c:v>
                </c:pt>
                <c:pt idx="17">
                  <c:v>2024-Q1</c:v>
                </c:pt>
                <c:pt idx="18">
                  <c:v>2024-Q2</c:v>
                </c:pt>
                <c:pt idx="19">
                  <c:v>2024-Q3</c:v>
                </c:pt>
                <c:pt idx="20">
                  <c:v>2024-Q4</c:v>
                </c:pt>
                <c:pt idx="21">
                  <c:v>2025-Q1</c:v>
                </c:pt>
                <c:pt idx="22">
                  <c:v>2025-Q2</c:v>
                </c:pt>
              </c:strCache>
            </c:strRef>
          </c:cat>
          <c:val>
            <c:numRef>
              <c:f>'1.2 ΕΛΛΑΔΑ'!$G$5:$G$27</c:f>
              <c:numCache>
                <c:formatCode>0.0%</c:formatCode>
                <c:ptCount val="23"/>
                <c:pt idx="0">
                  <c:v>0</c:v>
                </c:pt>
                <c:pt idx="1">
                  <c:v>-1.0952718503955844E-2</c:v>
                </c:pt>
                <c:pt idx="2">
                  <c:v>-1.745400065133251E-2</c:v>
                </c:pt>
                <c:pt idx="3">
                  <c:v>-1.1618124086569506E-2</c:v>
                </c:pt>
                <c:pt idx="4">
                  <c:v>-2.4054168530731484E-2</c:v>
                </c:pt>
                <c:pt idx="5">
                  <c:v>-2.0552858550009309E-2</c:v>
                </c:pt>
                <c:pt idx="6">
                  <c:v>-2.2355181456054102E-2</c:v>
                </c:pt>
                <c:pt idx="7">
                  <c:v>-1.3609410081077746E-2</c:v>
                </c:pt>
                <c:pt idx="8">
                  <c:v>-5.4781921250800121E-3</c:v>
                </c:pt>
                <c:pt idx="9">
                  <c:v>-8.2243956723525302E-3</c:v>
                </c:pt>
                <c:pt idx="10">
                  <c:v>-6.2548615932648719E-4</c:v>
                </c:pt>
                <c:pt idx="11">
                  <c:v>-9.3203171481218011E-3</c:v>
                </c:pt>
                <c:pt idx="12">
                  <c:v>-1.6298080395278029E-2</c:v>
                </c:pt>
                <c:pt idx="13">
                  <c:v>-8.595938488306757E-3</c:v>
                </c:pt>
                <c:pt idx="14">
                  <c:v>-7.7788102829973718E-3</c:v>
                </c:pt>
                <c:pt idx="15">
                  <c:v>-5.9794247367550412E-3</c:v>
                </c:pt>
                <c:pt idx="16">
                  <c:v>-8.7059987522282601E-3</c:v>
                </c:pt>
                <c:pt idx="17">
                  <c:v>-7.2040130351544024E-3</c:v>
                </c:pt>
                <c:pt idx="18">
                  <c:v>-8.2450632595503434E-3</c:v>
                </c:pt>
                <c:pt idx="19">
                  <c:v>-9.9078063146856334E-3</c:v>
                </c:pt>
                <c:pt idx="20">
                  <c:v>-5.6072975701374084E-3</c:v>
                </c:pt>
                <c:pt idx="21">
                  <c:v>-9.2899120568729638E-3</c:v>
                </c:pt>
                <c:pt idx="22">
                  <c:v>-3.6576123053008299E-3</c:v>
                </c:pt>
              </c:numCache>
            </c:numRef>
          </c:val>
          <c:extLst>
            <c:ext xmlns:c16="http://schemas.microsoft.com/office/drawing/2014/chart" uri="{C3380CC4-5D6E-409C-BE32-E72D297353CC}">
              <c16:uniqueId val="{00000004-4962-495E-B6D7-7B02CE0CA590}"/>
            </c:ext>
          </c:extLst>
        </c:ser>
        <c:ser>
          <c:idx val="6"/>
          <c:order val="6"/>
          <c:tx>
            <c:strRef>
              <c:f>'1.2 ΕΛΛΑΔΑ'!$H$4</c:f>
              <c:strCache>
                <c:ptCount val="1"/>
                <c:pt idx="0">
                  <c:v>Στατιστικές διαφορές και αποθέματα</c:v>
                </c:pt>
              </c:strCache>
            </c:strRef>
          </c:tx>
          <c:spPr>
            <a:solidFill>
              <a:schemeClr val="accent1">
                <a:lumMod val="75000"/>
              </a:schemeClr>
            </a:solidFill>
            <a:ln>
              <a:noFill/>
            </a:ln>
            <a:effectLst/>
          </c:spPr>
          <c:invertIfNegative val="0"/>
          <c:cat>
            <c:strRef>
              <c:f>'1.2 ΕΛΛΑΔΑ'!$A$5:$A$27</c:f>
              <c:strCache>
                <c:ptCount val="23"/>
                <c:pt idx="0">
                  <c:v>2019 Q4</c:v>
                </c:pt>
                <c:pt idx="1">
                  <c:v>2020 Q1</c:v>
                </c:pt>
                <c:pt idx="2">
                  <c:v>2020 Q2</c:v>
                </c:pt>
                <c:pt idx="3">
                  <c:v>2020 Q3</c:v>
                </c:pt>
                <c:pt idx="4">
                  <c:v>2020 Q4</c:v>
                </c:pt>
                <c:pt idx="5">
                  <c:v>2021 Q1</c:v>
                </c:pt>
                <c:pt idx="6">
                  <c:v>2021 Q2</c:v>
                </c:pt>
                <c:pt idx="7">
                  <c:v>2021 Q3</c:v>
                </c:pt>
                <c:pt idx="8">
                  <c:v>2021 Q4</c:v>
                </c:pt>
                <c:pt idx="9">
                  <c:v>2022 Q1</c:v>
                </c:pt>
                <c:pt idx="10">
                  <c:v>2022 Q2</c:v>
                </c:pt>
                <c:pt idx="11">
                  <c:v>2022 Q3</c:v>
                </c:pt>
                <c:pt idx="12">
                  <c:v>2022 Q4</c:v>
                </c:pt>
                <c:pt idx="13">
                  <c:v>2023 Q1</c:v>
                </c:pt>
                <c:pt idx="14">
                  <c:v>2023 Q2</c:v>
                </c:pt>
                <c:pt idx="15">
                  <c:v>2023 Q3</c:v>
                </c:pt>
                <c:pt idx="16">
                  <c:v>2023 Q4</c:v>
                </c:pt>
                <c:pt idx="17">
                  <c:v>2024-Q1</c:v>
                </c:pt>
                <c:pt idx="18">
                  <c:v>2024-Q2</c:v>
                </c:pt>
                <c:pt idx="19">
                  <c:v>2024-Q3</c:v>
                </c:pt>
                <c:pt idx="20">
                  <c:v>2024-Q4</c:v>
                </c:pt>
                <c:pt idx="21">
                  <c:v>2025-Q1</c:v>
                </c:pt>
                <c:pt idx="22">
                  <c:v>2025-Q2</c:v>
                </c:pt>
              </c:strCache>
            </c:strRef>
          </c:cat>
          <c:val>
            <c:numRef>
              <c:f>'1.2 ΕΛΛΑΔΑ'!$H$5:$H$27</c:f>
              <c:numCache>
                <c:formatCode>0.0%</c:formatCode>
                <c:ptCount val="23"/>
                <c:pt idx="0">
                  <c:v>0</c:v>
                </c:pt>
                <c:pt idx="1">
                  <c:v>1.0940736173132785E-2</c:v>
                </c:pt>
                <c:pt idx="2">
                  <c:v>-7.1902308411097154E-2</c:v>
                </c:pt>
                <c:pt idx="3">
                  <c:v>-7.1137380600457253E-2</c:v>
                </c:pt>
                <c:pt idx="4">
                  <c:v>-3.4851338052116855E-2</c:v>
                </c:pt>
                <c:pt idx="5">
                  <c:v>-9.2056077538450534E-3</c:v>
                </c:pt>
                <c:pt idx="6">
                  <c:v>-2.6829880761847159E-2</c:v>
                </c:pt>
                <c:pt idx="7">
                  <c:v>-1.7082985558984062E-2</c:v>
                </c:pt>
                <c:pt idx="8">
                  <c:v>-8.8610873383797133E-3</c:v>
                </c:pt>
                <c:pt idx="9">
                  <c:v>-2.0427721900570517E-2</c:v>
                </c:pt>
                <c:pt idx="10">
                  <c:v>-2.10282201320987E-2</c:v>
                </c:pt>
                <c:pt idx="11">
                  <c:v>-1.7049045323343573E-2</c:v>
                </c:pt>
                <c:pt idx="12">
                  <c:v>-1.0986910159214991E-4</c:v>
                </c:pt>
                <c:pt idx="13">
                  <c:v>-6.979316950949177E-2</c:v>
                </c:pt>
                <c:pt idx="14">
                  <c:v>-3.6300212446629398E-2</c:v>
                </c:pt>
                <c:pt idx="15">
                  <c:v>-5.8133513498823675E-3</c:v>
                </c:pt>
                <c:pt idx="16">
                  <c:v>-3.546109297558539E-3</c:v>
                </c:pt>
                <c:pt idx="17">
                  <c:v>-5.2819673145910878E-3</c:v>
                </c:pt>
                <c:pt idx="18">
                  <c:v>3.5757006257981748E-2</c:v>
                </c:pt>
                <c:pt idx="19">
                  <c:v>2.5373928126234319E-2</c:v>
                </c:pt>
                <c:pt idx="20">
                  <c:v>2.5051035339812705E-3</c:v>
                </c:pt>
                <c:pt idx="21">
                  <c:v>1.7921381839158396E-2</c:v>
                </c:pt>
                <c:pt idx="22">
                  <c:v>-1.4942335409671825E-2</c:v>
                </c:pt>
              </c:numCache>
            </c:numRef>
          </c:val>
          <c:extLst>
            <c:ext xmlns:c16="http://schemas.microsoft.com/office/drawing/2014/chart" uri="{C3380CC4-5D6E-409C-BE32-E72D297353CC}">
              <c16:uniqueId val="{00000005-4962-495E-B6D7-7B02CE0CA590}"/>
            </c:ext>
          </c:extLst>
        </c:ser>
        <c:dLbls>
          <c:showLegendKey val="0"/>
          <c:showVal val="0"/>
          <c:showCatName val="0"/>
          <c:showSerName val="0"/>
          <c:showPercent val="0"/>
          <c:showBubbleSize val="0"/>
        </c:dLbls>
        <c:gapWidth val="150"/>
        <c:overlap val="100"/>
        <c:axId val="2010675103"/>
        <c:axId val="1"/>
      </c:barChart>
      <c:lineChart>
        <c:grouping val="standard"/>
        <c:varyColors val="0"/>
        <c:ser>
          <c:idx val="0"/>
          <c:order val="0"/>
          <c:tx>
            <c:strRef>
              <c:f>'1.2 ΕΛΛΑΔΑ'!$B$4</c:f>
              <c:strCache>
                <c:ptCount val="1"/>
                <c:pt idx="0">
                  <c:v>ΑΕΠ</c:v>
                </c:pt>
              </c:strCache>
            </c:strRef>
          </c:tx>
          <c:spPr>
            <a:ln w="19050" cap="rnd" cmpd="sng" algn="ctr">
              <a:solidFill>
                <a:schemeClr val="accent1"/>
              </a:solidFill>
              <a:prstDash val="solid"/>
              <a:round/>
            </a:ln>
            <a:effectLst/>
          </c:spPr>
          <c:marker>
            <c:symbol val="none"/>
          </c:marker>
          <c:cat>
            <c:strRef>
              <c:f>'1.2 ΕΛΛΑΔΑ'!$A$5:$A$27</c:f>
              <c:strCache>
                <c:ptCount val="23"/>
                <c:pt idx="0">
                  <c:v>2019 Q4</c:v>
                </c:pt>
                <c:pt idx="1">
                  <c:v>2020 Q1</c:v>
                </c:pt>
                <c:pt idx="2">
                  <c:v>2020 Q2</c:v>
                </c:pt>
                <c:pt idx="3">
                  <c:v>2020 Q3</c:v>
                </c:pt>
                <c:pt idx="4">
                  <c:v>2020 Q4</c:v>
                </c:pt>
                <c:pt idx="5">
                  <c:v>2021 Q1</c:v>
                </c:pt>
                <c:pt idx="6">
                  <c:v>2021 Q2</c:v>
                </c:pt>
                <c:pt idx="7">
                  <c:v>2021 Q3</c:v>
                </c:pt>
                <c:pt idx="8">
                  <c:v>2021 Q4</c:v>
                </c:pt>
                <c:pt idx="9">
                  <c:v>2022 Q1</c:v>
                </c:pt>
                <c:pt idx="10">
                  <c:v>2022 Q2</c:v>
                </c:pt>
                <c:pt idx="11">
                  <c:v>2022 Q3</c:v>
                </c:pt>
                <c:pt idx="12">
                  <c:v>2022 Q4</c:v>
                </c:pt>
                <c:pt idx="13">
                  <c:v>2023 Q1</c:v>
                </c:pt>
                <c:pt idx="14">
                  <c:v>2023 Q2</c:v>
                </c:pt>
                <c:pt idx="15">
                  <c:v>2023 Q3</c:v>
                </c:pt>
                <c:pt idx="16">
                  <c:v>2023 Q4</c:v>
                </c:pt>
                <c:pt idx="17">
                  <c:v>2024-Q1</c:v>
                </c:pt>
                <c:pt idx="18">
                  <c:v>2024-Q2</c:v>
                </c:pt>
                <c:pt idx="19">
                  <c:v>2024-Q3</c:v>
                </c:pt>
                <c:pt idx="20">
                  <c:v>2024-Q4</c:v>
                </c:pt>
                <c:pt idx="21">
                  <c:v>2025-Q1</c:v>
                </c:pt>
                <c:pt idx="22">
                  <c:v>2025-Q2</c:v>
                </c:pt>
              </c:strCache>
            </c:strRef>
          </c:cat>
          <c:val>
            <c:numRef>
              <c:f>'1.2 ΕΛΛΑΔΑ'!$B$5:$B$27</c:f>
              <c:numCache>
                <c:formatCode>0.0%</c:formatCode>
                <c:ptCount val="23"/>
                <c:pt idx="0">
                  <c:v>0</c:v>
                </c:pt>
                <c:pt idx="1">
                  <c:v>-1.9546210238352124E-2</c:v>
                </c:pt>
                <c:pt idx="2">
                  <c:v>-0.15461453714235396</c:v>
                </c:pt>
                <c:pt idx="3">
                  <c:v>-0.10279455159172401</c:v>
                </c:pt>
                <c:pt idx="4">
                  <c:v>-7.9488930426696025E-2</c:v>
                </c:pt>
                <c:pt idx="5">
                  <c:v>-4.073585727987139E-2</c:v>
                </c:pt>
                <c:pt idx="6">
                  <c:v>-2.7632719784517312E-2</c:v>
                </c:pt>
                <c:pt idx="7">
                  <c:v>2.9131080807398568E-4</c:v>
                </c:pt>
                <c:pt idx="8">
                  <c:v>1.4398551663359571E-2</c:v>
                </c:pt>
                <c:pt idx="9">
                  <c:v>3.5722024149503095E-2</c:v>
                </c:pt>
                <c:pt idx="10">
                  <c:v>3.7452559582042522E-2</c:v>
                </c:pt>
                <c:pt idx="11">
                  <c:v>4.7442503895422483E-2</c:v>
                </c:pt>
                <c:pt idx="12">
                  <c:v>5.6351368691756054E-2</c:v>
                </c:pt>
                <c:pt idx="13">
                  <c:v>5.7117758892171411E-2</c:v>
                </c:pt>
                <c:pt idx="14">
                  <c:v>6.9400019223746057E-2</c:v>
                </c:pt>
                <c:pt idx="15">
                  <c:v>7.0724188573581204E-2</c:v>
                </c:pt>
                <c:pt idx="16">
                  <c:v>7.6774482257016663E-2</c:v>
                </c:pt>
                <c:pt idx="17">
                  <c:v>8.0470904234595908E-2</c:v>
                </c:pt>
                <c:pt idx="18">
                  <c:v>9.231773930789533E-2</c:v>
                </c:pt>
                <c:pt idx="19">
                  <c:v>9.5024780714364487E-2</c:v>
                </c:pt>
                <c:pt idx="20">
                  <c:v>0.1037666383745377</c:v>
                </c:pt>
                <c:pt idx="21">
                  <c:v>0.10444546872732996</c:v>
                </c:pt>
                <c:pt idx="22">
                  <c:v>0.11084606199908875</c:v>
                </c:pt>
              </c:numCache>
            </c:numRef>
          </c:val>
          <c:smooth val="0"/>
          <c:extLst>
            <c:ext xmlns:c16="http://schemas.microsoft.com/office/drawing/2014/chart" uri="{C3380CC4-5D6E-409C-BE32-E72D297353CC}">
              <c16:uniqueId val="{00000006-4962-495E-B6D7-7B02CE0CA590}"/>
            </c:ext>
          </c:extLst>
        </c:ser>
        <c:dLbls>
          <c:showLegendKey val="0"/>
          <c:showVal val="0"/>
          <c:showCatName val="0"/>
          <c:showSerName val="0"/>
          <c:showPercent val="0"/>
          <c:showBubbleSize val="0"/>
        </c:dLbls>
        <c:marker val="1"/>
        <c:smooth val="0"/>
        <c:axId val="2010675103"/>
        <c:axId val="1"/>
      </c:lineChart>
      <c:catAx>
        <c:axId val="2010675103"/>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
        <c:crosses val="autoZero"/>
        <c:auto val="0"/>
        <c:lblAlgn val="ctr"/>
        <c:lblOffset val="100"/>
        <c:noMultiLvlLbl val="0"/>
      </c:catAx>
      <c:valAx>
        <c:axId val="1"/>
        <c:scaling>
          <c:orientation val="minMax"/>
        </c:scaling>
        <c:delete val="0"/>
        <c:axPos val="l"/>
        <c:majorGridlines>
          <c:spPr>
            <a:ln w="6350" cap="flat" cmpd="sng" algn="ctr">
              <a:solidFill>
                <a:schemeClr val="bg1">
                  <a:lumMod val="85000"/>
                </a:schemeClr>
              </a:solidFill>
              <a:prstDash val="solid"/>
              <a:round/>
            </a:ln>
            <a:effectLst/>
          </c:spPr>
        </c:majorGridlines>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2010675103"/>
        <c:crosses val="autoZero"/>
        <c:crossBetween val="between"/>
      </c:valAx>
      <c:spPr>
        <a:solidFill>
          <a:schemeClr val="bg1"/>
        </a:solidFill>
        <a:ln>
          <a:noFill/>
        </a:ln>
        <a:effectLst/>
      </c:spPr>
    </c:plotArea>
    <c:legend>
      <c:legendPos val="b"/>
      <c:layout>
        <c:manualLayout>
          <c:xMode val="edge"/>
          <c:yMode val="edge"/>
          <c:x val="0.24125723810433283"/>
          <c:y val="0.75868157100505684"/>
          <c:w val="0.74524268810389882"/>
          <c:h val="0.19044538507831033"/>
        </c:manualLayout>
      </c:layout>
      <c:overlay val="1"/>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chart>
  <c:spPr>
    <a:solidFill>
      <a:schemeClr val="bg1"/>
    </a:solidFill>
    <a:ln w="6350" cap="flat" cmpd="sng" algn="ctr">
      <a:solidFill>
        <a:schemeClr val="bg1">
          <a:lumMod val="85000"/>
        </a:schemeClr>
      </a:solidFill>
      <a:prstDash val="solid"/>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l-GR" sz="900">
                <a:latin typeface="Arial" panose="020B0604020202020204" pitchFamily="34" charset="0"/>
                <a:cs typeface="Arial" panose="020B0604020202020204" pitchFamily="34" charset="0"/>
              </a:rPr>
              <a:t>Ευρωζώνη</a:t>
            </a:r>
          </a:p>
        </c:rich>
      </c:tx>
      <c:layout>
        <c:manualLayout>
          <c:xMode val="edge"/>
          <c:yMode val="edge"/>
          <c:x val="0.20626917500803027"/>
          <c:y val="7.1079969898867543E-2"/>
        </c:manualLayout>
      </c:layout>
      <c:overlay val="0"/>
    </c:title>
    <c:autoTitleDeleted val="0"/>
    <c:plotArea>
      <c:layout>
        <c:manualLayout>
          <c:layoutTarget val="inner"/>
          <c:xMode val="edge"/>
          <c:yMode val="edge"/>
          <c:x val="8.698952047052512E-2"/>
          <c:y val="5.3675065616797892E-2"/>
          <c:w val="0.86796911699906121"/>
          <c:h val="0.9259832020997375"/>
        </c:manualLayout>
      </c:layout>
      <c:barChart>
        <c:barDir val="col"/>
        <c:grouping val="stacked"/>
        <c:varyColors val="0"/>
        <c:ser>
          <c:idx val="1"/>
          <c:order val="1"/>
          <c:tx>
            <c:strRef>
              <c:f>'1.2 EUROZONE'!$A$5</c:f>
              <c:strCache>
                <c:ptCount val="1"/>
                <c:pt idx="0">
                  <c:v>Ιδιωτική κατανάλωση</c:v>
                </c:pt>
              </c:strCache>
            </c:strRef>
          </c:tx>
          <c:spPr>
            <a:solidFill>
              <a:schemeClr val="bg1">
                <a:lumMod val="50000"/>
              </a:schemeClr>
            </a:solidFill>
          </c:spPr>
          <c:invertIfNegative val="0"/>
          <c:cat>
            <c:strRef>
              <c:f>'1.2 EUROZONE'!$C$3:$X$3</c:f>
              <c:strCache>
                <c:ptCount val="22"/>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pt idx="16">
                  <c:v>2024-Q1</c:v>
                </c:pt>
                <c:pt idx="17">
                  <c:v>2024-Q2</c:v>
                </c:pt>
                <c:pt idx="18">
                  <c:v>2024-Q3</c:v>
                </c:pt>
                <c:pt idx="19">
                  <c:v>2024-Q4</c:v>
                </c:pt>
                <c:pt idx="20">
                  <c:v>2025-Q1</c:v>
                </c:pt>
                <c:pt idx="21">
                  <c:v>2025-Q2</c:v>
                </c:pt>
              </c:strCache>
            </c:strRef>
          </c:cat>
          <c:val>
            <c:numRef>
              <c:f>'1.2 EUROZONE'!$C$5:$X$5</c:f>
              <c:numCache>
                <c:formatCode>0.0%</c:formatCode>
                <c:ptCount val="22"/>
                <c:pt idx="0">
                  <c:v>-1.7518792848178082E-2</c:v>
                </c:pt>
                <c:pt idx="1">
                  <c:v>-7.3387739584143769E-2</c:v>
                </c:pt>
                <c:pt idx="2">
                  <c:v>-2.1655637096238217E-2</c:v>
                </c:pt>
                <c:pt idx="3">
                  <c:v>-1.9382511451037705E-2</c:v>
                </c:pt>
                <c:pt idx="4">
                  <c:v>-1.5106250587151628E-2</c:v>
                </c:pt>
                <c:pt idx="5">
                  <c:v>-4.558157200838157E-3</c:v>
                </c:pt>
                <c:pt idx="6">
                  <c:v>4.6925174342925813E-3</c:v>
                </c:pt>
                <c:pt idx="7">
                  <c:v>8.8349979651115296E-3</c:v>
                </c:pt>
                <c:pt idx="8">
                  <c:v>1.2718114028030195E-2</c:v>
                </c:pt>
                <c:pt idx="9">
                  <c:v>1.7788268411473906E-2</c:v>
                </c:pt>
                <c:pt idx="10">
                  <c:v>2.0345725897995891E-2</c:v>
                </c:pt>
                <c:pt idx="11">
                  <c:v>1.9933477689796811E-2</c:v>
                </c:pt>
                <c:pt idx="12">
                  <c:v>1.9702156755383629E-2</c:v>
                </c:pt>
                <c:pt idx="13">
                  <c:v>2.0825284652887358E-2</c:v>
                </c:pt>
                <c:pt idx="14">
                  <c:v>2.0585160543607043E-2</c:v>
                </c:pt>
                <c:pt idx="15">
                  <c:v>2.0858176022383317E-2</c:v>
                </c:pt>
                <c:pt idx="16">
                  <c:v>2.2450958370277808E-2</c:v>
                </c:pt>
                <c:pt idx="17">
                  <c:v>2.3545946126412958E-2</c:v>
                </c:pt>
                <c:pt idx="18">
                  <c:v>2.5819203736183311E-2</c:v>
                </c:pt>
                <c:pt idx="19">
                  <c:v>2.8055432012233445E-2</c:v>
                </c:pt>
                <c:pt idx="20">
                  <c:v>3.1083892955449232E-2</c:v>
                </c:pt>
                <c:pt idx="21">
                  <c:v>3.1759264253625998E-2</c:v>
                </c:pt>
              </c:numCache>
            </c:numRef>
          </c:val>
          <c:extLst>
            <c:ext xmlns:c16="http://schemas.microsoft.com/office/drawing/2014/chart" uri="{C3380CC4-5D6E-409C-BE32-E72D297353CC}">
              <c16:uniqueId val="{00000000-7C9E-4D7B-8948-4B874E719E63}"/>
            </c:ext>
          </c:extLst>
        </c:ser>
        <c:ser>
          <c:idx val="2"/>
          <c:order val="2"/>
          <c:tx>
            <c:strRef>
              <c:f>'1.2 EUROZONE'!$A$6</c:f>
              <c:strCache>
                <c:ptCount val="1"/>
                <c:pt idx="0">
                  <c:v>Δημόσια κατανάλωση</c:v>
                </c:pt>
              </c:strCache>
            </c:strRef>
          </c:tx>
          <c:spPr>
            <a:solidFill>
              <a:schemeClr val="accent1">
                <a:lumMod val="60000"/>
                <a:lumOff val="40000"/>
              </a:schemeClr>
            </a:solidFill>
          </c:spPr>
          <c:invertIfNegative val="0"/>
          <c:cat>
            <c:strRef>
              <c:f>'1.2 EUROZONE'!$C$3:$X$3</c:f>
              <c:strCache>
                <c:ptCount val="22"/>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pt idx="16">
                  <c:v>2024-Q1</c:v>
                </c:pt>
                <c:pt idx="17">
                  <c:v>2024-Q2</c:v>
                </c:pt>
                <c:pt idx="18">
                  <c:v>2024-Q3</c:v>
                </c:pt>
                <c:pt idx="19">
                  <c:v>2024-Q4</c:v>
                </c:pt>
                <c:pt idx="20">
                  <c:v>2025-Q1</c:v>
                </c:pt>
                <c:pt idx="21">
                  <c:v>2025-Q2</c:v>
                </c:pt>
              </c:strCache>
            </c:strRef>
          </c:cat>
          <c:val>
            <c:numRef>
              <c:f>'1.2 EUROZONE'!$C$6:$X$6</c:f>
              <c:numCache>
                <c:formatCode>0.0%</c:formatCode>
                <c:ptCount val="22"/>
                <c:pt idx="0">
                  <c:v>4.314701429547407E-4</c:v>
                </c:pt>
                <c:pt idx="1">
                  <c:v>-6.2661978022704734E-3</c:v>
                </c:pt>
                <c:pt idx="2">
                  <c:v>6.5068323008830361E-3</c:v>
                </c:pt>
                <c:pt idx="3">
                  <c:v>7.0051366077778189E-3</c:v>
                </c:pt>
                <c:pt idx="4">
                  <c:v>8.1631272916118831E-3</c:v>
                </c:pt>
                <c:pt idx="5">
                  <c:v>1.1553213745318675E-2</c:v>
                </c:pt>
                <c:pt idx="6">
                  <c:v>1.2893539516339512E-2</c:v>
                </c:pt>
                <c:pt idx="7">
                  <c:v>1.3265172172131251E-2</c:v>
                </c:pt>
                <c:pt idx="8">
                  <c:v>1.4340842416474027E-2</c:v>
                </c:pt>
                <c:pt idx="9">
                  <c:v>1.3967526169923203E-2</c:v>
                </c:pt>
                <c:pt idx="10">
                  <c:v>1.3317116477863596E-2</c:v>
                </c:pt>
                <c:pt idx="11">
                  <c:v>1.4867033612961133E-2</c:v>
                </c:pt>
                <c:pt idx="12">
                  <c:v>1.6063388233958895E-2</c:v>
                </c:pt>
                <c:pt idx="13">
                  <c:v>1.6857159211540122E-2</c:v>
                </c:pt>
                <c:pt idx="14">
                  <c:v>1.8267095058779922E-2</c:v>
                </c:pt>
                <c:pt idx="15">
                  <c:v>2.0204089691932787E-2</c:v>
                </c:pt>
                <c:pt idx="16">
                  <c:v>2.0545377951500618E-2</c:v>
                </c:pt>
                <c:pt idx="17">
                  <c:v>2.304989539793072E-2</c:v>
                </c:pt>
                <c:pt idx="18">
                  <c:v>2.4899199911584145E-2</c:v>
                </c:pt>
                <c:pt idx="19">
                  <c:v>2.6127891387563731E-2</c:v>
                </c:pt>
                <c:pt idx="20">
                  <c:v>2.5776232026647906E-2</c:v>
                </c:pt>
                <c:pt idx="21">
                  <c:v>2.7163409318431059E-2</c:v>
                </c:pt>
              </c:numCache>
            </c:numRef>
          </c:val>
          <c:extLst>
            <c:ext xmlns:c16="http://schemas.microsoft.com/office/drawing/2014/chart" uri="{C3380CC4-5D6E-409C-BE32-E72D297353CC}">
              <c16:uniqueId val="{00000001-7C9E-4D7B-8948-4B874E719E63}"/>
            </c:ext>
          </c:extLst>
        </c:ser>
        <c:ser>
          <c:idx val="3"/>
          <c:order val="3"/>
          <c:tx>
            <c:strRef>
              <c:f>'1.2 EUROZONE'!$A$7</c:f>
              <c:strCache>
                <c:ptCount val="1"/>
                <c:pt idx="0">
                  <c:v>Επενδύσεις</c:v>
                </c:pt>
              </c:strCache>
            </c:strRef>
          </c:tx>
          <c:spPr>
            <a:solidFill>
              <a:schemeClr val="tx2">
                <a:lumMod val="75000"/>
              </a:schemeClr>
            </a:solidFill>
          </c:spPr>
          <c:invertIfNegative val="0"/>
          <c:cat>
            <c:strRef>
              <c:f>'1.2 EUROZONE'!$C$3:$X$3</c:f>
              <c:strCache>
                <c:ptCount val="22"/>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pt idx="16">
                  <c:v>2024-Q1</c:v>
                </c:pt>
                <c:pt idx="17">
                  <c:v>2024-Q2</c:v>
                </c:pt>
                <c:pt idx="18">
                  <c:v>2024-Q3</c:v>
                </c:pt>
                <c:pt idx="19">
                  <c:v>2024-Q4</c:v>
                </c:pt>
                <c:pt idx="20">
                  <c:v>2025-Q1</c:v>
                </c:pt>
                <c:pt idx="21">
                  <c:v>2025-Q2</c:v>
                </c:pt>
              </c:strCache>
            </c:strRef>
          </c:cat>
          <c:val>
            <c:numRef>
              <c:f>'1.2 EUROZONE'!$C$7:$X$7</c:f>
              <c:numCache>
                <c:formatCode>0.0%</c:formatCode>
                <c:ptCount val="22"/>
                <c:pt idx="0">
                  <c:v>-8.9077240216460084E-3</c:v>
                </c:pt>
                <c:pt idx="1">
                  <c:v>-4.6155593954206327E-2</c:v>
                </c:pt>
                <c:pt idx="2">
                  <c:v>-2.4907818442442452E-2</c:v>
                </c:pt>
                <c:pt idx="3">
                  <c:v>-1.7207528951948062E-2</c:v>
                </c:pt>
                <c:pt idx="4">
                  <c:v>-2.0318868107552256E-2</c:v>
                </c:pt>
                <c:pt idx="5">
                  <c:v>-1.6907486266168361E-2</c:v>
                </c:pt>
                <c:pt idx="6">
                  <c:v>-1.8439919449574169E-2</c:v>
                </c:pt>
                <c:pt idx="7">
                  <c:v>-1.2935316593777769E-2</c:v>
                </c:pt>
                <c:pt idx="8">
                  <c:v>-1.3689093347284338E-2</c:v>
                </c:pt>
                <c:pt idx="9">
                  <c:v>-1.3469456798697889E-2</c:v>
                </c:pt>
                <c:pt idx="10">
                  <c:v>-1.1724416087945526E-2</c:v>
                </c:pt>
                <c:pt idx="11">
                  <c:v>-1.2543684197824638E-2</c:v>
                </c:pt>
                <c:pt idx="12">
                  <c:v>-9.1077549458903981E-3</c:v>
                </c:pt>
                <c:pt idx="13">
                  <c:v>-9.8145842679366602E-3</c:v>
                </c:pt>
                <c:pt idx="14">
                  <c:v>-9.5542209159907715E-3</c:v>
                </c:pt>
                <c:pt idx="15">
                  <c:v>-7.6318876045895993E-3</c:v>
                </c:pt>
                <c:pt idx="16">
                  <c:v>-1.12325660547508E-2</c:v>
                </c:pt>
                <c:pt idx="17">
                  <c:v>-1.5755046407483694E-2</c:v>
                </c:pt>
                <c:pt idx="18">
                  <c:v>-1.2873820663946951E-2</c:v>
                </c:pt>
                <c:pt idx="19">
                  <c:v>-1.1768190161987468E-2</c:v>
                </c:pt>
                <c:pt idx="20">
                  <c:v>-6.6442845277983921E-3</c:v>
                </c:pt>
                <c:pt idx="21">
                  <c:v>-1.0113146790292068E-2</c:v>
                </c:pt>
              </c:numCache>
            </c:numRef>
          </c:val>
          <c:extLst>
            <c:ext xmlns:c16="http://schemas.microsoft.com/office/drawing/2014/chart" uri="{C3380CC4-5D6E-409C-BE32-E72D297353CC}">
              <c16:uniqueId val="{00000002-7C9E-4D7B-8948-4B874E719E63}"/>
            </c:ext>
          </c:extLst>
        </c:ser>
        <c:ser>
          <c:idx val="4"/>
          <c:order val="4"/>
          <c:tx>
            <c:strRef>
              <c:f>'1.2 EUROZONE'!$A$8</c:f>
              <c:strCache>
                <c:ptCount val="1"/>
                <c:pt idx="0">
                  <c:v>Καθαρές εξαγωγές αγαθών</c:v>
                </c:pt>
              </c:strCache>
            </c:strRef>
          </c:tx>
          <c:spPr>
            <a:solidFill>
              <a:schemeClr val="tx2">
                <a:lumMod val="60000"/>
                <a:lumOff val="40000"/>
              </a:schemeClr>
            </a:solidFill>
          </c:spPr>
          <c:invertIfNegative val="0"/>
          <c:cat>
            <c:strRef>
              <c:f>'1.2 EUROZONE'!$C$3:$X$3</c:f>
              <c:strCache>
                <c:ptCount val="22"/>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pt idx="16">
                  <c:v>2024-Q1</c:v>
                </c:pt>
                <c:pt idx="17">
                  <c:v>2024-Q2</c:v>
                </c:pt>
                <c:pt idx="18">
                  <c:v>2024-Q3</c:v>
                </c:pt>
                <c:pt idx="19">
                  <c:v>2024-Q4</c:v>
                </c:pt>
                <c:pt idx="20">
                  <c:v>2025-Q1</c:v>
                </c:pt>
                <c:pt idx="21">
                  <c:v>2025-Q2</c:v>
                </c:pt>
              </c:strCache>
            </c:strRef>
          </c:cat>
          <c:val>
            <c:numRef>
              <c:f>'1.2 EUROZONE'!$C$8:$X$8</c:f>
              <c:numCache>
                <c:formatCode>0.0%</c:formatCode>
                <c:ptCount val="22"/>
                <c:pt idx="0">
                  <c:v>-1.4043465078325908E-3</c:v>
                </c:pt>
                <c:pt idx="1">
                  <c:v>-6.648537289772191E-3</c:v>
                </c:pt>
                <c:pt idx="2">
                  <c:v>-7.0787334824844899E-4</c:v>
                </c:pt>
                <c:pt idx="3">
                  <c:v>2.9517739520821726E-3</c:v>
                </c:pt>
                <c:pt idx="4">
                  <c:v>3.5400764397140278E-3</c:v>
                </c:pt>
                <c:pt idx="5">
                  <c:v>2.3485849613838661E-3</c:v>
                </c:pt>
                <c:pt idx="6">
                  <c:v>1.8209525082334792E-3</c:v>
                </c:pt>
                <c:pt idx="7">
                  <c:v>-4.3713116153164602E-3</c:v>
                </c:pt>
                <c:pt idx="8">
                  <c:v>-4.3889955956849082E-3</c:v>
                </c:pt>
                <c:pt idx="9">
                  <c:v>-2.4458127470578044E-3</c:v>
                </c:pt>
                <c:pt idx="10">
                  <c:v>-1.2814670655732364E-3</c:v>
                </c:pt>
                <c:pt idx="11">
                  <c:v>-2.0555916052875E-4</c:v>
                </c:pt>
                <c:pt idx="12">
                  <c:v>3.2958993408140052E-3</c:v>
                </c:pt>
                <c:pt idx="13">
                  <c:v>-7.4240202364038964E-4</c:v>
                </c:pt>
                <c:pt idx="14">
                  <c:v>6.726637760271503E-4</c:v>
                </c:pt>
                <c:pt idx="15">
                  <c:v>6.4546111114796639E-3</c:v>
                </c:pt>
                <c:pt idx="16">
                  <c:v>6.8368748666548839E-3</c:v>
                </c:pt>
                <c:pt idx="17">
                  <c:v>6.0199573999485459E-3</c:v>
                </c:pt>
                <c:pt idx="18">
                  <c:v>6.3987128021259659E-4</c:v>
                </c:pt>
                <c:pt idx="19">
                  <c:v>2.5637510030820277E-3</c:v>
                </c:pt>
                <c:pt idx="20">
                  <c:v>6.0885711173888375E-3</c:v>
                </c:pt>
                <c:pt idx="21">
                  <c:v>-1.6899483283818152E-3</c:v>
                </c:pt>
              </c:numCache>
            </c:numRef>
          </c:val>
          <c:extLst>
            <c:ext xmlns:c16="http://schemas.microsoft.com/office/drawing/2014/chart" uri="{C3380CC4-5D6E-409C-BE32-E72D297353CC}">
              <c16:uniqueId val="{00000003-7C9E-4D7B-8948-4B874E719E63}"/>
            </c:ext>
          </c:extLst>
        </c:ser>
        <c:ser>
          <c:idx val="5"/>
          <c:order val="5"/>
          <c:tx>
            <c:strRef>
              <c:f>'1.2 EUROZONE'!$A$9</c:f>
              <c:strCache>
                <c:ptCount val="1"/>
                <c:pt idx="0">
                  <c:v>Καθαρές εξαγωγές υπηρεσιών</c:v>
                </c:pt>
              </c:strCache>
            </c:strRef>
          </c:tx>
          <c:spPr>
            <a:solidFill>
              <a:schemeClr val="bg1">
                <a:lumMod val="75000"/>
              </a:schemeClr>
            </a:solidFill>
          </c:spPr>
          <c:invertIfNegative val="0"/>
          <c:cat>
            <c:strRef>
              <c:f>'1.2 EUROZONE'!$C$3:$X$3</c:f>
              <c:strCache>
                <c:ptCount val="22"/>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pt idx="16">
                  <c:v>2024-Q1</c:v>
                </c:pt>
                <c:pt idx="17">
                  <c:v>2024-Q2</c:v>
                </c:pt>
                <c:pt idx="18">
                  <c:v>2024-Q3</c:v>
                </c:pt>
                <c:pt idx="19">
                  <c:v>2024-Q4</c:v>
                </c:pt>
                <c:pt idx="20">
                  <c:v>2025-Q1</c:v>
                </c:pt>
                <c:pt idx="21">
                  <c:v>2025-Q2</c:v>
                </c:pt>
              </c:strCache>
            </c:strRef>
          </c:cat>
          <c:val>
            <c:numRef>
              <c:f>'1.2 EUROZONE'!$C$9:$X$9</c:f>
              <c:numCache>
                <c:formatCode>0.0%</c:formatCode>
                <c:ptCount val="22"/>
                <c:pt idx="0">
                  <c:v>-1.3472688300070928E-4</c:v>
                </c:pt>
                <c:pt idx="1">
                  <c:v>-1.9720228356050869E-2</c:v>
                </c:pt>
                <c:pt idx="2">
                  <c:v>-2.3823757669474789E-2</c:v>
                </c:pt>
                <c:pt idx="3">
                  <c:v>-1.1661871111099429E-2</c:v>
                </c:pt>
                <c:pt idx="4">
                  <c:v>-3.6442399866521813E-2</c:v>
                </c:pt>
                <c:pt idx="5">
                  <c:v>-3.8047052922227244E-2</c:v>
                </c:pt>
                <c:pt idx="6">
                  <c:v>-4.6697856605307154E-2</c:v>
                </c:pt>
                <c:pt idx="7">
                  <c:v>-3.3116596467966858E-2</c:v>
                </c:pt>
                <c:pt idx="8">
                  <c:v>-6.0359206293587923E-2</c:v>
                </c:pt>
                <c:pt idx="9">
                  <c:v>-4.7009373608668734E-2</c:v>
                </c:pt>
                <c:pt idx="10">
                  <c:v>-3.1610249895698508E-2</c:v>
                </c:pt>
                <c:pt idx="11">
                  <c:v>-3.3853976490892744E-2</c:v>
                </c:pt>
                <c:pt idx="12">
                  <c:v>-2.8534874367781359E-2</c:v>
                </c:pt>
                <c:pt idx="13">
                  <c:v>-3.7822813437054431E-2</c:v>
                </c:pt>
                <c:pt idx="14">
                  <c:v>-4.4495963384757489E-2</c:v>
                </c:pt>
                <c:pt idx="15">
                  <c:v>-2.4270186021455854E-2</c:v>
                </c:pt>
                <c:pt idx="16">
                  <c:v>-4.9408639521650158E-2</c:v>
                </c:pt>
                <c:pt idx="17">
                  <c:v>-6.3565178863573435E-2</c:v>
                </c:pt>
                <c:pt idx="18">
                  <c:v>-3.839698901400268E-2</c:v>
                </c:pt>
                <c:pt idx="19">
                  <c:v>-3.3670376300536806E-2</c:v>
                </c:pt>
                <c:pt idx="20">
                  <c:v>-2.5151726016221662E-2</c:v>
                </c:pt>
                <c:pt idx="21">
                  <c:v>-4.5027493069223823E-2</c:v>
                </c:pt>
              </c:numCache>
            </c:numRef>
          </c:val>
          <c:extLst>
            <c:ext xmlns:c16="http://schemas.microsoft.com/office/drawing/2014/chart" uri="{C3380CC4-5D6E-409C-BE32-E72D297353CC}">
              <c16:uniqueId val="{00000004-7C9E-4D7B-8948-4B874E719E63}"/>
            </c:ext>
          </c:extLst>
        </c:ser>
        <c:ser>
          <c:idx val="6"/>
          <c:order val="6"/>
          <c:tx>
            <c:strRef>
              <c:f>'1.2 EUROZONE'!$A$10</c:f>
              <c:strCache>
                <c:ptCount val="1"/>
                <c:pt idx="0">
                  <c:v>Στατιστικές διαφορές και αποθέματα</c:v>
                </c:pt>
              </c:strCache>
            </c:strRef>
          </c:tx>
          <c:spPr>
            <a:solidFill>
              <a:schemeClr val="accent1">
                <a:lumMod val="75000"/>
              </a:schemeClr>
            </a:solidFill>
          </c:spPr>
          <c:invertIfNegative val="0"/>
          <c:cat>
            <c:strRef>
              <c:f>'1.2 EUROZONE'!$C$3:$X$3</c:f>
              <c:strCache>
                <c:ptCount val="22"/>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pt idx="16">
                  <c:v>2024-Q1</c:v>
                </c:pt>
                <c:pt idx="17">
                  <c:v>2024-Q2</c:v>
                </c:pt>
                <c:pt idx="18">
                  <c:v>2024-Q3</c:v>
                </c:pt>
                <c:pt idx="19">
                  <c:v>2024-Q4</c:v>
                </c:pt>
                <c:pt idx="20">
                  <c:v>2025-Q1</c:v>
                </c:pt>
                <c:pt idx="21">
                  <c:v>2025-Q2</c:v>
                </c:pt>
              </c:strCache>
            </c:strRef>
          </c:cat>
          <c:val>
            <c:numRef>
              <c:f>'1.2 EUROZONE'!$C$10:$X$10</c:f>
              <c:numCache>
                <c:formatCode>0.0%</c:formatCode>
                <c:ptCount val="22"/>
                <c:pt idx="0">
                  <c:v>-5.532288750173614E-3</c:v>
                </c:pt>
                <c:pt idx="1">
                  <c:v>1.2137439212205031E-2</c:v>
                </c:pt>
                <c:pt idx="2">
                  <c:v>2.4154281518184245E-2</c:v>
                </c:pt>
                <c:pt idx="3">
                  <c:v>9.1982704392377934E-4</c:v>
                </c:pt>
                <c:pt idx="4">
                  <c:v>3.0365792453823953E-2</c:v>
                </c:pt>
                <c:pt idx="5">
                  <c:v>3.6766151157197821E-2</c:v>
                </c:pt>
                <c:pt idx="6">
                  <c:v>5.4638835133084131E-2</c:v>
                </c:pt>
                <c:pt idx="7">
                  <c:v>4.51736596382699E-2</c:v>
                </c:pt>
                <c:pt idx="8">
                  <c:v>7.5545430945620884E-2</c:v>
                </c:pt>
                <c:pt idx="9">
                  <c:v>6.4894549164712878E-2</c:v>
                </c:pt>
                <c:pt idx="10">
                  <c:v>4.9469658144744875E-2</c:v>
                </c:pt>
                <c:pt idx="11">
                  <c:v>4.9860009818977376E-2</c:v>
                </c:pt>
                <c:pt idx="12">
                  <c:v>3.6032918956785731E-2</c:v>
                </c:pt>
                <c:pt idx="13">
                  <c:v>5.0241510924440007E-2</c:v>
                </c:pt>
                <c:pt idx="14">
                  <c:v>5.3635101585006686E-2</c:v>
                </c:pt>
                <c:pt idx="15">
                  <c:v>2.4009552387543837E-2</c:v>
                </c:pt>
                <c:pt idx="16">
                  <c:v>5.3328173682662627E-2</c:v>
                </c:pt>
                <c:pt idx="17">
                  <c:v>7.1318938891381356E-2</c:v>
                </c:pt>
                <c:pt idx="18">
                  <c:v>4.8772490325275995E-2</c:v>
                </c:pt>
                <c:pt idx="19">
                  <c:v>4.1747652469524665E-2</c:v>
                </c:pt>
                <c:pt idx="20">
                  <c:v>2.7808197290171019E-2</c:v>
                </c:pt>
                <c:pt idx="21">
                  <c:v>5.813137659790428E-2</c:v>
                </c:pt>
              </c:numCache>
            </c:numRef>
          </c:val>
          <c:extLst>
            <c:ext xmlns:c16="http://schemas.microsoft.com/office/drawing/2014/chart" uri="{C3380CC4-5D6E-409C-BE32-E72D297353CC}">
              <c16:uniqueId val="{00000005-7C9E-4D7B-8948-4B874E719E63}"/>
            </c:ext>
          </c:extLst>
        </c:ser>
        <c:dLbls>
          <c:showLegendKey val="0"/>
          <c:showVal val="0"/>
          <c:showCatName val="0"/>
          <c:showSerName val="0"/>
          <c:showPercent val="0"/>
          <c:showBubbleSize val="0"/>
        </c:dLbls>
        <c:gapWidth val="150"/>
        <c:overlap val="100"/>
        <c:axId val="2009380175"/>
        <c:axId val="1"/>
      </c:barChart>
      <c:lineChart>
        <c:grouping val="standard"/>
        <c:varyColors val="0"/>
        <c:ser>
          <c:idx val="0"/>
          <c:order val="0"/>
          <c:tx>
            <c:strRef>
              <c:f>'1.2 EUROZONE'!$A$4</c:f>
              <c:strCache>
                <c:ptCount val="1"/>
                <c:pt idx="0">
                  <c:v>ΑΕΠ</c:v>
                </c:pt>
              </c:strCache>
            </c:strRef>
          </c:tx>
          <c:marker>
            <c:symbol val="none"/>
          </c:marker>
          <c:cat>
            <c:strRef>
              <c:f>'1.2 EUROZONE'!$C$3:$X$3</c:f>
              <c:strCache>
                <c:ptCount val="22"/>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pt idx="16">
                  <c:v>2024-Q1</c:v>
                </c:pt>
                <c:pt idx="17">
                  <c:v>2024-Q2</c:v>
                </c:pt>
                <c:pt idx="18">
                  <c:v>2024-Q3</c:v>
                </c:pt>
                <c:pt idx="19">
                  <c:v>2024-Q4</c:v>
                </c:pt>
                <c:pt idx="20">
                  <c:v>2025-Q1</c:v>
                </c:pt>
                <c:pt idx="21">
                  <c:v>2025-Q2</c:v>
                </c:pt>
              </c:strCache>
            </c:strRef>
          </c:cat>
          <c:val>
            <c:numRef>
              <c:f>'1.2 EUROZONE'!$C$4:$X$4</c:f>
              <c:numCache>
                <c:formatCode>0.0%</c:formatCode>
                <c:ptCount val="22"/>
                <c:pt idx="0">
                  <c:v>-3.3066408867876262E-2</c:v>
                </c:pt>
                <c:pt idx="1">
                  <c:v>-0.14004085777423858</c:v>
                </c:pt>
                <c:pt idx="2">
                  <c:v>-4.0433972737336621E-2</c:v>
                </c:pt>
                <c:pt idx="3">
                  <c:v>-3.7375173910301429E-2</c:v>
                </c:pt>
                <c:pt idx="4">
                  <c:v>-2.9798522376075831E-2</c:v>
                </c:pt>
                <c:pt idx="5">
                  <c:v>-8.8447465253334023E-3</c:v>
                </c:pt>
                <c:pt idx="6">
                  <c:v>8.908068537068381E-3</c:v>
                </c:pt>
                <c:pt idx="7">
                  <c:v>1.6850605098451599E-2</c:v>
                </c:pt>
                <c:pt idx="8">
                  <c:v>2.4167092153567937E-2</c:v>
                </c:pt>
                <c:pt idx="9">
                  <c:v>3.3725700591685559E-2</c:v>
                </c:pt>
                <c:pt idx="10">
                  <c:v>3.8516367471387092E-2</c:v>
                </c:pt>
                <c:pt idx="11">
                  <c:v>3.8057301272489186E-2</c:v>
                </c:pt>
                <c:pt idx="12">
                  <c:v>3.7451733973270507E-2</c:v>
                </c:pt>
                <c:pt idx="13">
                  <c:v>3.9544155060236008E-2</c:v>
                </c:pt>
                <c:pt idx="14">
                  <c:v>3.9109836662672537E-2</c:v>
                </c:pt>
                <c:pt idx="15">
                  <c:v>3.9624355587294158E-2</c:v>
                </c:pt>
                <c:pt idx="16">
                  <c:v>4.2520179294694982E-2</c:v>
                </c:pt>
                <c:pt idx="17">
                  <c:v>4.4614512544616458E-2</c:v>
                </c:pt>
                <c:pt idx="18">
                  <c:v>4.8859955575306424E-2</c:v>
                </c:pt>
                <c:pt idx="19">
                  <c:v>5.3056160409879594E-2</c:v>
                </c:pt>
                <c:pt idx="20">
                  <c:v>5.8960882845636942E-2</c:v>
                </c:pt>
                <c:pt idx="21">
                  <c:v>6.0223461982063631E-2</c:v>
                </c:pt>
              </c:numCache>
            </c:numRef>
          </c:val>
          <c:smooth val="0"/>
          <c:extLst>
            <c:ext xmlns:c16="http://schemas.microsoft.com/office/drawing/2014/chart" uri="{C3380CC4-5D6E-409C-BE32-E72D297353CC}">
              <c16:uniqueId val="{00000006-7C9E-4D7B-8948-4B874E719E63}"/>
            </c:ext>
          </c:extLst>
        </c:ser>
        <c:dLbls>
          <c:showLegendKey val="0"/>
          <c:showVal val="0"/>
          <c:showCatName val="0"/>
          <c:showSerName val="0"/>
          <c:showPercent val="0"/>
          <c:showBubbleSize val="0"/>
        </c:dLbls>
        <c:marker val="1"/>
        <c:smooth val="0"/>
        <c:axId val="2009380175"/>
        <c:axId val="1"/>
      </c:lineChart>
      <c:catAx>
        <c:axId val="2009380175"/>
        <c:scaling>
          <c:orientation val="minMax"/>
        </c:scaling>
        <c:delete val="0"/>
        <c:axPos val="b"/>
        <c:numFmt formatCode="General" sourceLinked="1"/>
        <c:majorTickMark val="out"/>
        <c:minorTickMark val="none"/>
        <c:tickLblPos val="nextTo"/>
        <c:txPr>
          <a:bodyPr rot="5400000" vert="horz"/>
          <a:lstStyle/>
          <a:p>
            <a:pPr>
              <a:defRPr sz="700" b="1">
                <a:latin typeface="Arial" panose="020B0604020202020204" pitchFamily="34" charset="0"/>
                <a:cs typeface="Arial" panose="020B0604020202020204" pitchFamily="34" charset="0"/>
              </a:defRPr>
            </a:pPr>
            <a:endParaRPr lang="el-GR"/>
          </a:p>
        </c:txPr>
        <c:crossAx val="1"/>
        <c:crosses val="autoZero"/>
        <c:auto val="1"/>
        <c:lblAlgn val="ctr"/>
        <c:lblOffset val="100"/>
        <c:noMultiLvlLbl val="0"/>
      </c:catAx>
      <c:valAx>
        <c:axId val="1"/>
        <c:scaling>
          <c:orientation val="minMax"/>
        </c:scaling>
        <c:delete val="0"/>
        <c:axPos val="l"/>
        <c:majorGridlines>
          <c:spPr>
            <a:ln w="6350">
              <a:solidFill>
                <a:schemeClr val="bg1">
                  <a:lumMod val="85000"/>
                </a:schemeClr>
              </a:solidFill>
            </a:ln>
          </c:spPr>
        </c:majorGridlines>
        <c:numFmt formatCode="0.0%"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l-GR"/>
          </a:p>
        </c:txPr>
        <c:crossAx val="2009380175"/>
        <c:crosses val="autoZero"/>
        <c:crossBetween val="between"/>
      </c:valAx>
    </c:plotArea>
    <c:legend>
      <c:legendPos val="r"/>
      <c:layout>
        <c:manualLayout>
          <c:xMode val="edge"/>
          <c:yMode val="edge"/>
          <c:x val="0.17221032101214084"/>
          <c:y val="0.73904132632360187"/>
          <c:w val="0.79080667540519289"/>
          <c:h val="0.22759872415570614"/>
        </c:manualLayout>
      </c:layout>
      <c:overlay val="0"/>
      <c:txPr>
        <a:bodyPr/>
        <a:lstStyle/>
        <a:p>
          <a:pPr>
            <a:defRPr sz="700" b="1">
              <a:latin typeface="Arial" panose="020B0604020202020204" pitchFamily="34" charset="0"/>
              <a:cs typeface="Arial" panose="020B0604020202020204" pitchFamily="34" charset="0"/>
            </a:defRPr>
          </a:pPr>
          <a:endParaRPr lang="el-GR"/>
        </a:p>
      </c:txPr>
    </c:legend>
    <c:plotVisOnly val="1"/>
    <c:dispBlanksAs val="gap"/>
    <c:showDLblsOverMax val="0"/>
  </c:chart>
  <c:spPr>
    <a:ln w="6350">
      <a:solidFill>
        <a:schemeClr val="bg1">
          <a:lumMod val="8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2048980371389635E-2"/>
          <c:y val="1.8850328894073426E-2"/>
          <c:w val="0.89369523131549022"/>
          <c:h val="0.90300962379702532"/>
        </c:manualLayout>
      </c:layout>
      <c:barChart>
        <c:barDir val="col"/>
        <c:grouping val="clustered"/>
        <c:varyColors val="0"/>
        <c:ser>
          <c:idx val="0"/>
          <c:order val="0"/>
          <c:tx>
            <c:strRef>
              <c:f>'1.3 εγχώρια ζήτηση '!$C$3</c:f>
              <c:strCache>
                <c:ptCount val="1"/>
                <c:pt idx="0">
                  <c:v>2023</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cat>
            <c:strRef>
              <c:f>'1.3 εγχώρια ζήτηση '!$B$4:$B$23</c:f>
              <c:strCache>
                <c:ptCount val="20"/>
                <c:pt idx="0">
                  <c:v>Σλοβενία</c:v>
                </c:pt>
                <c:pt idx="1">
                  <c:v>Μάλτα</c:v>
                </c:pt>
                <c:pt idx="2">
                  <c:v>Σλοβακία</c:v>
                </c:pt>
                <c:pt idx="3">
                  <c:v>Λιθουανία</c:v>
                </c:pt>
                <c:pt idx="4">
                  <c:v>Κύπρος</c:v>
                </c:pt>
                <c:pt idx="5">
                  <c:v>Πορτογαλία</c:v>
                </c:pt>
                <c:pt idx="6">
                  <c:v>Λουξεμβούργο</c:v>
                </c:pt>
                <c:pt idx="7">
                  <c:v>Λετονία</c:v>
                </c:pt>
                <c:pt idx="8">
                  <c:v>Ελλάδα</c:v>
                </c:pt>
                <c:pt idx="9">
                  <c:v>Ισπανία</c:v>
                </c:pt>
                <c:pt idx="10">
                  <c:v>Ιρλανδία</c:v>
                </c:pt>
                <c:pt idx="11">
                  <c:v>Βέλγιο</c:v>
                </c:pt>
                <c:pt idx="12">
                  <c:v>Ολλάνδία</c:v>
                </c:pt>
                <c:pt idx="13">
                  <c:v>Εσθονία</c:v>
                </c:pt>
                <c:pt idx="14">
                  <c:v>Ευρωζώνη 20</c:v>
                </c:pt>
                <c:pt idx="15">
                  <c:v>Γαλλία</c:v>
                </c:pt>
                <c:pt idx="16">
                  <c:v>Ιταλία</c:v>
                </c:pt>
                <c:pt idx="17">
                  <c:v>Γερμανία</c:v>
                </c:pt>
                <c:pt idx="18">
                  <c:v>Φινλανδία</c:v>
                </c:pt>
                <c:pt idx="19">
                  <c:v>Αυστρία</c:v>
                </c:pt>
              </c:strCache>
            </c:strRef>
          </c:cat>
          <c:val>
            <c:numRef>
              <c:f>'1.3 εγχώρια ζήτηση '!$C$4:$C$23</c:f>
              <c:numCache>
                <c:formatCode>0.0%</c:formatCode>
                <c:ptCount val="20"/>
                <c:pt idx="0">
                  <c:v>-1.2465798349176826E-2</c:v>
                </c:pt>
                <c:pt idx="1">
                  <c:v>-1.9331632074053862E-2</c:v>
                </c:pt>
                <c:pt idx="2">
                  <c:v>-4.692400424150911E-2</c:v>
                </c:pt>
                <c:pt idx="3">
                  <c:v>-1.8110437400188917E-2</c:v>
                </c:pt>
                <c:pt idx="4">
                  <c:v>8.739287968041598E-2</c:v>
                </c:pt>
                <c:pt idx="5">
                  <c:v>1.4157387132230692E-2</c:v>
                </c:pt>
                <c:pt idx="6">
                  <c:v>2.3412635073568611E-2</c:v>
                </c:pt>
                <c:pt idx="7">
                  <c:v>1.7631750141732461E-2</c:v>
                </c:pt>
                <c:pt idx="8">
                  <c:v>1.3284539234061032E-2</c:v>
                </c:pt>
                <c:pt idx="9">
                  <c:v>1.704762128133841E-2</c:v>
                </c:pt>
                <c:pt idx="10">
                  <c:v>4.3821940494322975E-2</c:v>
                </c:pt>
                <c:pt idx="11">
                  <c:v>1.9496126387379631E-2</c:v>
                </c:pt>
                <c:pt idx="12">
                  <c:v>7.5394391812619865E-3</c:v>
                </c:pt>
                <c:pt idx="13">
                  <c:v>-2.9081597809939685E-2</c:v>
                </c:pt>
                <c:pt idx="14">
                  <c:v>1.7640029926000445E-3</c:v>
                </c:pt>
                <c:pt idx="15">
                  <c:v>1.2173683910257083E-3</c:v>
                </c:pt>
                <c:pt idx="16">
                  <c:v>6.4010647270262844E-3</c:v>
                </c:pt>
                <c:pt idx="17">
                  <c:v>-8.7465775721532468E-3</c:v>
                </c:pt>
                <c:pt idx="18">
                  <c:v>-3.0053061453835128E-2</c:v>
                </c:pt>
                <c:pt idx="19">
                  <c:v>-1.7051870032827487E-2</c:v>
                </c:pt>
              </c:numCache>
            </c:numRef>
          </c:val>
          <c:extLst>
            <c:ext xmlns:c16="http://schemas.microsoft.com/office/drawing/2014/chart" uri="{C3380CC4-5D6E-409C-BE32-E72D297353CC}">
              <c16:uniqueId val="{00000000-0DB3-46A5-B2BB-E3EE89F8172B}"/>
            </c:ext>
          </c:extLst>
        </c:ser>
        <c:ser>
          <c:idx val="1"/>
          <c:order val="1"/>
          <c:tx>
            <c:strRef>
              <c:f>'1.3 εγχώρια ζήτηση '!$D$3</c:f>
              <c:strCache>
                <c:ptCount val="1"/>
                <c:pt idx="0">
                  <c:v>2024</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cat>
            <c:strRef>
              <c:f>'1.3 εγχώρια ζήτηση '!$B$4:$B$23</c:f>
              <c:strCache>
                <c:ptCount val="20"/>
                <c:pt idx="0">
                  <c:v>Σλοβενία</c:v>
                </c:pt>
                <c:pt idx="1">
                  <c:v>Μάλτα</c:v>
                </c:pt>
                <c:pt idx="2">
                  <c:v>Σλοβακία</c:v>
                </c:pt>
                <c:pt idx="3">
                  <c:v>Λιθουανία</c:v>
                </c:pt>
                <c:pt idx="4">
                  <c:v>Κύπρος</c:v>
                </c:pt>
                <c:pt idx="5">
                  <c:v>Πορτογαλία</c:v>
                </c:pt>
                <c:pt idx="6">
                  <c:v>Λουξεμβούργο</c:v>
                </c:pt>
                <c:pt idx="7">
                  <c:v>Λετονία</c:v>
                </c:pt>
                <c:pt idx="8">
                  <c:v>Ελλάδα</c:v>
                </c:pt>
                <c:pt idx="9">
                  <c:v>Ισπανία</c:v>
                </c:pt>
                <c:pt idx="10">
                  <c:v>Ιρλανδία</c:v>
                </c:pt>
                <c:pt idx="11">
                  <c:v>Βέλγιο</c:v>
                </c:pt>
                <c:pt idx="12">
                  <c:v>Ολλάνδία</c:v>
                </c:pt>
                <c:pt idx="13">
                  <c:v>Εσθονία</c:v>
                </c:pt>
                <c:pt idx="14">
                  <c:v>Ευρωζώνη 20</c:v>
                </c:pt>
                <c:pt idx="15">
                  <c:v>Γαλλία</c:v>
                </c:pt>
                <c:pt idx="16">
                  <c:v>Ιταλία</c:v>
                </c:pt>
                <c:pt idx="17">
                  <c:v>Γερμανία</c:v>
                </c:pt>
                <c:pt idx="18">
                  <c:v>Φινλανδία</c:v>
                </c:pt>
                <c:pt idx="19">
                  <c:v>Αυστρία</c:v>
                </c:pt>
              </c:strCache>
            </c:strRef>
          </c:cat>
          <c:val>
            <c:numRef>
              <c:f>'1.3 εγχώρια ζήτηση '!$D$4:$D$23</c:f>
              <c:numCache>
                <c:formatCode>0.0%</c:formatCode>
                <c:ptCount val="20"/>
                <c:pt idx="0">
                  <c:v>4.2660716372397767E-2</c:v>
                </c:pt>
                <c:pt idx="1">
                  <c:v>4.111356369939978E-2</c:v>
                </c:pt>
                <c:pt idx="2">
                  <c:v>3.1027186094128023E-2</c:v>
                </c:pt>
                <c:pt idx="3">
                  <c:v>3.000593271247376E-2</c:v>
                </c:pt>
                <c:pt idx="4">
                  <c:v>2.7704650411678244E-2</c:v>
                </c:pt>
                <c:pt idx="5">
                  <c:v>2.2613277886607497E-2</c:v>
                </c:pt>
                <c:pt idx="6">
                  <c:v>2.1869771496933144E-2</c:v>
                </c:pt>
                <c:pt idx="7">
                  <c:v>2.1496820570056974E-2</c:v>
                </c:pt>
                <c:pt idx="8">
                  <c:v>2.0702001331556641E-2</c:v>
                </c:pt>
                <c:pt idx="9">
                  <c:v>2.0536174894005166E-2</c:v>
                </c:pt>
                <c:pt idx="10">
                  <c:v>1.6850497771324191E-2</c:v>
                </c:pt>
                <c:pt idx="11">
                  <c:v>1.4328855852915767E-2</c:v>
                </c:pt>
                <c:pt idx="12">
                  <c:v>9.13136852031049E-3</c:v>
                </c:pt>
                <c:pt idx="13">
                  <c:v>8.3683384939789995E-3</c:v>
                </c:pt>
                <c:pt idx="14">
                  <c:v>8.1328654126249234E-3</c:v>
                </c:pt>
                <c:pt idx="15">
                  <c:v>5.5834111198427294E-3</c:v>
                </c:pt>
                <c:pt idx="16">
                  <c:v>4.0793352531318661E-3</c:v>
                </c:pt>
                <c:pt idx="17">
                  <c:v>2.5472496091700769E-3</c:v>
                </c:pt>
                <c:pt idx="18">
                  <c:v>1.6877695502854895E-3</c:v>
                </c:pt>
                <c:pt idx="19">
                  <c:v>1.5226552135350069E-3</c:v>
                </c:pt>
              </c:numCache>
            </c:numRef>
          </c:val>
          <c:extLst>
            <c:ext xmlns:c16="http://schemas.microsoft.com/office/drawing/2014/chart" uri="{C3380CC4-5D6E-409C-BE32-E72D297353CC}">
              <c16:uniqueId val="{00000001-0DB3-46A5-B2BB-E3EE89F8172B}"/>
            </c:ext>
          </c:extLst>
        </c:ser>
        <c:dLbls>
          <c:showLegendKey val="0"/>
          <c:showVal val="0"/>
          <c:showCatName val="0"/>
          <c:showSerName val="0"/>
          <c:showPercent val="0"/>
          <c:showBubbleSize val="0"/>
        </c:dLbls>
        <c:gapWidth val="100"/>
        <c:overlap val="-24"/>
        <c:axId val="184400128"/>
        <c:axId val="183967744"/>
      </c:barChart>
      <c:catAx>
        <c:axId val="18440012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l-GR"/>
          </a:p>
        </c:txPr>
        <c:crossAx val="183967744"/>
        <c:crosses val="autoZero"/>
        <c:auto val="1"/>
        <c:lblAlgn val="ctr"/>
        <c:lblOffset val="100"/>
        <c:noMultiLvlLbl val="0"/>
      </c:catAx>
      <c:valAx>
        <c:axId val="183967744"/>
        <c:scaling>
          <c:orientation val="minMax"/>
        </c:scaling>
        <c:delete val="0"/>
        <c:axPos val="l"/>
        <c:majorGridlines>
          <c:spPr>
            <a:ln w="6350" cap="flat" cmpd="sng" algn="ctr">
              <a:solidFill>
                <a:schemeClr val="bg1">
                  <a:lumMod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l-GR"/>
          </a:p>
        </c:txPr>
        <c:crossAx val="184400128"/>
        <c:crosses val="autoZero"/>
        <c:crossBetween val="between"/>
      </c:valAx>
      <c:spPr>
        <a:noFill/>
        <a:ln>
          <a:noFill/>
        </a:ln>
        <a:effectLst/>
      </c:spPr>
    </c:plotArea>
    <c:legend>
      <c:legendPos val="b"/>
      <c:layout>
        <c:manualLayout>
          <c:xMode val="edge"/>
          <c:yMode val="edge"/>
          <c:x val="0.69018343765463708"/>
          <c:y val="0.87170182430899856"/>
          <c:w val="0.14885032424971134"/>
          <c:h val="6.327378369042452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chart>
  <c:spPr>
    <a:solidFill>
      <a:schemeClr val="bg1"/>
    </a:solidFill>
    <a:ln w="6350" cap="flat" cmpd="sng" algn="ctr">
      <a:solidFill>
        <a:schemeClr val="bg1">
          <a:lumMod val="85000"/>
        </a:schemeClr>
      </a:solid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17532924150746E-2"/>
          <c:y val="2.1074820459362462E-2"/>
          <c:w val="0.9357258071517246"/>
          <c:h val="0.83251605144578289"/>
        </c:manualLayout>
      </c:layout>
      <c:barChart>
        <c:barDir val="col"/>
        <c:grouping val="stacked"/>
        <c:varyColors val="0"/>
        <c:ser>
          <c:idx val="2"/>
          <c:order val="2"/>
          <c:tx>
            <c:strRef>
              <c:f>'1.4 ΣΥΜΒΟΛΗ ΑΕΠ '!$D$4</c:f>
              <c:strCache>
                <c:ptCount val="1"/>
                <c:pt idx="0">
                  <c:v>Ιδιωτική κατανάλωση</c:v>
                </c:pt>
              </c:strCache>
            </c:strRef>
          </c:tx>
          <c:spPr>
            <a:solidFill>
              <a:schemeClr val="bg1">
                <a:lumMod val="75000"/>
              </a:schemeClr>
            </a:solidFill>
            <a:ln w="25400">
              <a:noFill/>
            </a:ln>
          </c:spPr>
          <c:invertIfNegative val="0"/>
          <c:cat>
            <c:strRef>
              <c:f>'1.4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'1.4 ΣΥΜΒΟΛΗ ΑΕΠ '!$D$10:$D$27</c:f>
              <c:numCache>
                <c:formatCode>0.0%</c:formatCode>
                <c:ptCount val="18"/>
                <c:pt idx="0">
                  <c:v>-4.1989613483431609E-2</c:v>
                </c:pt>
                <c:pt idx="1">
                  <c:v>8.7144350572615492E-2</c:v>
                </c:pt>
                <c:pt idx="2">
                  <c:v>3.6402849231534473E-2</c:v>
                </c:pt>
                <c:pt idx="3">
                  <c:v>8.110820865968206E-2</c:v>
                </c:pt>
                <c:pt idx="4">
                  <c:v>9.4410186611553676E-2</c:v>
                </c:pt>
                <c:pt idx="5">
                  <c:v>6.633161440443687E-2</c:v>
                </c:pt>
                <c:pt idx="6">
                  <c:v>5.0927288697787912E-2</c:v>
                </c:pt>
                <c:pt idx="7">
                  <c:v>3.2573716974562038E-2</c:v>
                </c:pt>
                <c:pt idx="8">
                  <c:v>1.424713198650409E-2</c:v>
                </c:pt>
                <c:pt idx="9">
                  <c:v>1.2419137098725695E-2</c:v>
                </c:pt>
                <c:pt idx="10">
                  <c:v>1.0636319207405927E-2</c:v>
                </c:pt>
                <c:pt idx="11">
                  <c:v>1.2575145858701838E-2</c:v>
                </c:pt>
                <c:pt idx="12">
                  <c:v>1.3935069324116445E-2</c:v>
                </c:pt>
                <c:pt idx="13">
                  <c:v>1.527670435883605E-2</c:v>
                </c:pt>
                <c:pt idx="14">
                  <c:v>1.8858311898721322E-2</c:v>
                </c:pt>
                <c:pt idx="15">
                  <c:v>7.4405127045301615E-3</c:v>
                </c:pt>
                <c:pt idx="16">
                  <c:v>1.2856550579043001E-2</c:v>
                </c:pt>
                <c:pt idx="17">
                  <c:v>7.7802770820867952E-3</c:v>
                </c:pt>
              </c:numCache>
            </c:numRef>
          </c:val>
          <c:extLst>
            <c:ext xmlns:c16="http://schemas.microsoft.com/office/drawing/2014/chart" uri="{C3380CC4-5D6E-409C-BE32-E72D297353CC}">
              <c16:uniqueId val="{00000000-A46F-4C8F-97A7-7368A186E0B9}"/>
            </c:ext>
          </c:extLst>
        </c:ser>
        <c:ser>
          <c:idx val="3"/>
          <c:order val="3"/>
          <c:tx>
            <c:strRef>
              <c:f>'1.4 ΣΥΜΒΟΛΗ ΑΕΠ '!$E$4</c:f>
              <c:strCache>
                <c:ptCount val="1"/>
                <c:pt idx="0">
                  <c:v>Δημόσια κατανάλωση</c:v>
                </c:pt>
              </c:strCache>
            </c:strRef>
          </c:tx>
          <c:spPr>
            <a:solidFill>
              <a:schemeClr val="tx2">
                <a:lumMod val="60000"/>
                <a:lumOff val="40000"/>
              </a:schemeClr>
            </a:solidFill>
            <a:ln w="25400">
              <a:noFill/>
            </a:ln>
          </c:spPr>
          <c:invertIfNegative val="0"/>
          <c:cat>
            <c:strRef>
              <c:f>'1.4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'1.4 ΣΥΜΒΟΛΗ ΑΕΠ '!$E$10:$E$27</c:f>
              <c:numCache>
                <c:formatCode>0.0%</c:formatCode>
                <c:ptCount val="18"/>
                <c:pt idx="0">
                  <c:v>4.5373738124092925E-3</c:v>
                </c:pt>
                <c:pt idx="1">
                  <c:v>4.7348737956182108E-3</c:v>
                </c:pt>
                <c:pt idx="2">
                  <c:v>7.2773053276801386E-3</c:v>
                </c:pt>
                <c:pt idx="3">
                  <c:v>7.5561902597494357E-4</c:v>
                </c:pt>
                <c:pt idx="4">
                  <c:v>2.4671903772933794E-3</c:v>
                </c:pt>
                <c:pt idx="5">
                  <c:v>4.3382542788214917E-3</c:v>
                </c:pt>
                <c:pt idx="6">
                  <c:v>-1.6018264892366948E-3</c:v>
                </c:pt>
                <c:pt idx="7">
                  <c:v>-3.896726516095214E-3</c:v>
                </c:pt>
                <c:pt idx="8">
                  <c:v>9.2232179187878328E-3</c:v>
                </c:pt>
                <c:pt idx="9">
                  <c:v>4.7761960930907833E-3</c:v>
                </c:pt>
                <c:pt idx="10">
                  <c:v>-1.4787891198469536E-3</c:v>
                </c:pt>
                <c:pt idx="11">
                  <c:v>7.7858699388621512E-3</c:v>
                </c:pt>
                <c:pt idx="12">
                  <c:v>-1.4149418689220159E-2</c:v>
                </c:pt>
                <c:pt idx="13">
                  <c:v>-8.8073400378726064E-3</c:v>
                </c:pt>
                <c:pt idx="14">
                  <c:v>-3.566636854147028E-3</c:v>
                </c:pt>
                <c:pt idx="15">
                  <c:v>-6.8890241240594004E-3</c:v>
                </c:pt>
                <c:pt idx="16">
                  <c:v>-6.4673653185478523E-4</c:v>
                </c:pt>
                <c:pt idx="17">
                  <c:v>1.4145101939783092E-3</c:v>
                </c:pt>
              </c:numCache>
            </c:numRef>
          </c:val>
          <c:extLst>
            <c:ext xmlns:c16="http://schemas.microsoft.com/office/drawing/2014/chart" uri="{C3380CC4-5D6E-409C-BE32-E72D297353CC}">
              <c16:uniqueId val="{00000001-A46F-4C8F-97A7-7368A186E0B9}"/>
            </c:ext>
          </c:extLst>
        </c:ser>
        <c:ser>
          <c:idx val="5"/>
          <c:order val="5"/>
          <c:tx>
            <c:strRef>
              <c:f>'1.4 ΣΥΜΒΟΛΗ ΑΕΠ '!$G$4</c:f>
              <c:strCache>
                <c:ptCount val="1"/>
                <c:pt idx="0">
                  <c:v>Επενδύσεις</c:v>
                </c:pt>
              </c:strCache>
            </c:strRef>
          </c:tx>
          <c:spPr>
            <a:solidFill>
              <a:schemeClr val="accent1">
                <a:lumMod val="75000"/>
              </a:schemeClr>
            </a:solidFill>
            <a:ln w="19050">
              <a:noFill/>
            </a:ln>
          </c:spPr>
          <c:invertIfNegative val="0"/>
          <c:cat>
            <c:strRef>
              <c:f>'1.4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'1.4 ΣΥΜΒΟΛΗ ΑΕΠ '!$G$10:$G$27</c:f>
              <c:numCache>
                <c:formatCode>0.0%</c:formatCode>
                <c:ptCount val="18"/>
                <c:pt idx="0">
                  <c:v>1.3057515259537149E-2</c:v>
                </c:pt>
                <c:pt idx="1">
                  <c:v>3.0386848533336223E-2</c:v>
                </c:pt>
                <c:pt idx="2">
                  <c:v>2.7280834506303749E-2</c:v>
                </c:pt>
                <c:pt idx="3">
                  <c:v>3.3126847022814848E-2</c:v>
                </c:pt>
                <c:pt idx="4">
                  <c:v>2.6155036243003152E-2</c:v>
                </c:pt>
                <c:pt idx="5">
                  <c:v>2.0617079461661671E-2</c:v>
                </c:pt>
                <c:pt idx="6">
                  <c:v>1.7230636661871752E-2</c:v>
                </c:pt>
                <c:pt idx="7">
                  <c:v>2.5247960036825712E-2</c:v>
                </c:pt>
                <c:pt idx="8">
                  <c:v>1.6674038946651145E-2</c:v>
                </c:pt>
                <c:pt idx="9">
                  <c:v>1.2599590818636474E-2</c:v>
                </c:pt>
                <c:pt idx="10">
                  <c:v>1.3040022564616949E-2</c:v>
                </c:pt>
                <c:pt idx="11">
                  <c:v>-6.9402474904456293E-4</c:v>
                </c:pt>
                <c:pt idx="12">
                  <c:v>6.9945066651745814E-3</c:v>
                </c:pt>
                <c:pt idx="13">
                  <c:v>5.8120680018478033E-3</c:v>
                </c:pt>
                <c:pt idx="14">
                  <c:v>7.3186370137608137E-4</c:v>
                </c:pt>
                <c:pt idx="15">
                  <c:v>1.2570049217893389E-2</c:v>
                </c:pt>
                <c:pt idx="16">
                  <c:v>-3.6737732618511757E-3</c:v>
                </c:pt>
                <c:pt idx="17">
                  <c:v>1.0355311098654717E-2</c:v>
                </c:pt>
              </c:numCache>
            </c:numRef>
          </c:val>
          <c:extLst>
            <c:ext xmlns:c16="http://schemas.microsoft.com/office/drawing/2014/chart" uri="{C3380CC4-5D6E-409C-BE32-E72D297353CC}">
              <c16:uniqueId val="{00000002-A46F-4C8F-97A7-7368A186E0B9}"/>
            </c:ext>
          </c:extLst>
        </c:ser>
        <c:ser>
          <c:idx val="11"/>
          <c:order val="12"/>
          <c:tx>
            <c:strRef>
              <c:f>'1.4 ΣΥΜΒΟΛΗ ΑΕΠ '!$N$4</c:f>
              <c:strCache>
                <c:ptCount val="1"/>
                <c:pt idx="0">
                  <c:v>Καθαρές εξαγωγές</c:v>
                </c:pt>
              </c:strCache>
            </c:strRef>
          </c:tx>
          <c:spPr>
            <a:solidFill>
              <a:schemeClr val="accent1">
                <a:lumMod val="60000"/>
                <a:lumOff val="40000"/>
              </a:schemeClr>
            </a:solidFill>
            <a:ln>
              <a:solidFill>
                <a:schemeClr val="accent1">
                  <a:lumMod val="60000"/>
                  <a:lumOff val="40000"/>
                </a:schemeClr>
              </a:solidFill>
            </a:ln>
          </c:spPr>
          <c:invertIfNegative val="0"/>
          <c:cat>
            <c:strRef>
              <c:f>'1.4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'1.4 ΣΥΜΒΟΛΗ ΑΕΠ '!$N$10:$N$27</c:f>
              <c:numCache>
                <c:formatCode>0.0%</c:formatCode>
                <c:ptCount val="18"/>
                <c:pt idx="0">
                  <c:v>1.7365683968515924E-2</c:v>
                </c:pt>
                <c:pt idx="1">
                  <c:v>-1.5922880806591575E-2</c:v>
                </c:pt>
                <c:pt idx="2">
                  <c:v>5.3877625910941827E-2</c:v>
                </c:pt>
                <c:pt idx="3">
                  <c:v>-2.0118203032962269E-2</c:v>
                </c:pt>
                <c:pt idx="4">
                  <c:v>-1.7027507140962749E-2</c:v>
                </c:pt>
                <c:pt idx="5">
                  <c:v>-1.2125796198908892E-2</c:v>
                </c:pt>
                <c:pt idx="6">
                  <c:v>-2.4193667977666158E-2</c:v>
                </c:pt>
                <c:pt idx="7">
                  <c:v>-3.510462114161237E-2</c:v>
                </c:pt>
                <c:pt idx="8">
                  <c:v>1.3624561730920243E-2</c:v>
                </c:pt>
                <c:pt idx="9">
                  <c:v>-1.5656269899038784E-3</c:v>
                </c:pt>
                <c:pt idx="10">
                  <c:v>-1.2798737230840643E-2</c:v>
                </c:pt>
                <c:pt idx="11">
                  <c:v>1.239468755693989E-2</c:v>
                </c:pt>
                <c:pt idx="12">
                  <c:v>-3.4940592711124221E-2</c:v>
                </c:pt>
                <c:pt idx="13">
                  <c:v>-3.3892636719007753E-2</c:v>
                </c:pt>
                <c:pt idx="14">
                  <c:v>-1.2815259048635112E-2</c:v>
                </c:pt>
                <c:pt idx="15">
                  <c:v>9.6789777258040818E-4</c:v>
                </c:pt>
                <c:pt idx="16">
                  <c:v>-7.6862273685137598E-4</c:v>
                </c:pt>
                <c:pt idx="17">
                  <c:v>2.1586507803394002E-2</c:v>
                </c:pt>
              </c:numCache>
            </c:numRef>
          </c:val>
          <c:extLst>
            <c:ext xmlns:c16="http://schemas.microsoft.com/office/drawing/2014/chart" uri="{C3380CC4-5D6E-409C-BE32-E72D297353CC}">
              <c16:uniqueId val="{00000003-A46F-4C8F-97A7-7368A186E0B9}"/>
            </c:ext>
          </c:extLst>
        </c:ser>
        <c:dLbls>
          <c:showLegendKey val="0"/>
          <c:showVal val="0"/>
          <c:showCatName val="0"/>
          <c:showSerName val="0"/>
          <c:showPercent val="0"/>
          <c:showBubbleSize val="0"/>
        </c:dLbls>
        <c:gapWidth val="150"/>
        <c:overlap val="100"/>
        <c:axId val="467660888"/>
        <c:axId val="469214824"/>
        <c:extLst>
          <c:ext xmlns:c15="http://schemas.microsoft.com/office/drawing/2012/chart" uri="{02D57815-91ED-43cb-92C2-25804820EDAC}">
            <c15:filteredBarSeries>
              <c15:ser>
                <c:idx val="1"/>
                <c:order val="1"/>
                <c:tx>
                  <c:strRef>
                    <c:extLst>
                      <c:ext uri="{02D57815-91ED-43cb-92C2-25804820EDAC}">
                        <c15:formulaRef>
                          <c15:sqref>'1.4 ΣΥΜΒΟΛΗ ΑΕΠ '!$C$5</c15:sqref>
                        </c15:formulaRef>
                      </c:ext>
                    </c:extLst>
                    <c:strCache>
                      <c:ptCount val="1"/>
                      <c:pt idx="0">
                        <c:v>Total Consumption</c:v>
                      </c:pt>
                    </c:strCache>
                  </c:strRef>
                </c:tx>
                <c:spPr>
                  <a:solidFill>
                    <a:srgbClr val="89A54E"/>
                  </a:solidFill>
                  <a:ln w="25400">
                    <a:noFill/>
                  </a:ln>
                </c:spPr>
                <c:invertIfNegative val="0"/>
                <c:cat>
                  <c:strRef>
                    <c:extLst>
                      <c:ext uri="{02D57815-91ED-43cb-92C2-25804820EDAC}">
                        <c15:formulaRef>
                          <c15:sqref>'1.4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c:ext uri="{02D57815-91ED-43cb-92C2-25804820EDAC}">
                        <c15:formulaRef>
                          <c15:sqref>'1.4 ΣΥΜΒΟΛΗ ΑΕΠ '!$C$10:$C$25</c15:sqref>
                        </c15:formulaRef>
                      </c:ext>
                    </c:extLst>
                    <c:numCache>
                      <c:formatCode>0.0%</c:formatCode>
                      <c:ptCount val="16"/>
                      <c:pt idx="0">
                        <c:v>-3.6574700189252553E-2</c:v>
                      </c:pt>
                      <c:pt idx="1">
                        <c:v>9.3094474306282496E-2</c:v>
                      </c:pt>
                      <c:pt idx="2">
                        <c:v>3.9953418041482294E-2</c:v>
                      </c:pt>
                      <c:pt idx="3">
                        <c:v>8.2298207605106602E-2</c:v>
                      </c:pt>
                      <c:pt idx="4">
                        <c:v>9.7520839572742726E-2</c:v>
                      </c:pt>
                      <c:pt idx="5">
                        <c:v>6.9520799146586737E-2</c:v>
                      </c:pt>
                      <c:pt idx="6">
                        <c:v>4.8872486991458255E-2</c:v>
                      </c:pt>
                      <c:pt idx="7">
                        <c:v>2.9366249555501271E-2</c:v>
                      </c:pt>
                      <c:pt idx="8">
                        <c:v>2.2944638239619591E-2</c:v>
                      </c:pt>
                      <c:pt idx="9">
                        <c:v>1.6371443497656048E-2</c:v>
                      </c:pt>
                      <c:pt idx="10">
                        <c:v>1.0182702816670493E-2</c:v>
                      </c:pt>
                      <c:pt idx="11">
                        <c:v>1.8465639771648754E-2</c:v>
                      </c:pt>
                      <c:pt idx="12">
                        <c:v>2.7996187512588908E-3</c:v>
                      </c:pt>
                      <c:pt idx="13">
                        <c:v>6.9161727033674389E-3</c:v>
                      </c:pt>
                      <c:pt idx="14">
                        <c:v>1.5913234573907933E-2</c:v>
                      </c:pt>
                      <c:pt idx="15">
                        <c:v>-8.4070703546930479E-4</c:v>
                      </c:pt>
                    </c:numCache>
                  </c:numRef>
                </c:val>
                <c:extLst>
                  <c:ext xmlns:c16="http://schemas.microsoft.com/office/drawing/2014/chart" uri="{C3380CC4-5D6E-409C-BE32-E72D297353CC}">
                    <c16:uniqueId val="{00000016-A46F-4C8F-97A7-7368A186E0B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'1.4 ΣΥΜΒΟΛΗ ΑΕΠ '!$F$5</c15:sqref>
                        </c15:formulaRef>
                      </c:ext>
                    </c:extLst>
                    <c:strCache>
                      <c:ptCount val="1"/>
                      <c:pt idx="0">
                        <c:v>Gross Capital Formation</c:v>
                      </c:pt>
                    </c:strCache>
                  </c:strRef>
                </c:tx>
                <c:spPr>
                  <a:ln w="19050">
                    <a:noFill/>
                  </a:ln>
                </c:spPr>
                <c:invertIfNegative val="0"/>
                <c:cat>
                  <c:strRef>
                    <c:extLst xmlns:c15="http://schemas.microsoft.com/office/drawing/2012/chart">
                      <c:ext xmlns:c15="http://schemas.microsoft.com/office/drawing/2012/chart" uri="{02D57815-91ED-43cb-92C2-25804820EDAC}">
                        <c15:formulaRef>
                          <c15:sqref>'1.4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'1.4 ΣΥΜΒΟΛΗ ΑΕΠ '!$F$10:$F$25</c15:sqref>
                        </c15:formulaRef>
                      </c:ext>
                    </c:extLst>
                    <c:numCache>
                      <c:formatCode>0.0%</c:formatCode>
                      <c:ptCount val="16"/>
                      <c:pt idx="0">
                        <c:v>7.4258090790354288E-4</c:v>
                      </c:pt>
                      <c:pt idx="1">
                        <c:v>7.0598956757969025E-2</c:v>
                      </c:pt>
                      <c:pt idx="2">
                        <c:v>1.1227987046964951E-2</c:v>
                      </c:pt>
                      <c:pt idx="3">
                        <c:v>6.8820456773810421E-2</c:v>
                      </c:pt>
                      <c:pt idx="4">
                        <c:v>2.1024387826207996E-2</c:v>
                      </c:pt>
                      <c:pt idx="5">
                        <c:v>-4.3938963301471502E-4</c:v>
                      </c:pt>
                      <c:pt idx="6">
                        <c:v>2.4089885176128829E-2</c:v>
                      </c:pt>
                      <c:pt idx="7">
                        <c:v>4.1979090332862679E-2</c:v>
                      </c:pt>
                      <c:pt idx="8">
                        <c:v>-6.4952210230674202E-3</c:v>
                      </c:pt>
                      <c:pt idx="9">
                        <c:v>3.2256840547866985E-3</c:v>
                      </c:pt>
                      <c:pt idx="10">
                        <c:v>1.0534260310124451E-2</c:v>
                      </c:pt>
                      <c:pt idx="11">
                        <c:v>8.7064862971761206E-4</c:v>
                      </c:pt>
                      <c:pt idx="12">
                        <c:v>3.9088559132105502E-2</c:v>
                      </c:pt>
                      <c:pt idx="13">
                        <c:v>4.4157870424938281E-2</c:v>
                      </c:pt>
                      <c:pt idx="14">
                        <c:v>3.1823225644333153E-2</c:v>
                      </c:pt>
                      <c:pt idx="15">
                        <c:v>4.1639786033276067E-2</c:v>
                      </c:pt>
                    </c:numCache>
                  </c:numRef>
                </c:val>
                <c:extLst xmlns:c15="http://schemas.microsoft.com/office/drawing/2012/chart">
                  <c:ext xmlns:c16="http://schemas.microsoft.com/office/drawing/2014/chart" uri="{C3380CC4-5D6E-409C-BE32-E72D297353CC}">
                    <c16:uniqueId val="{00000017-A46F-4C8F-97A7-7368A186E0B9}"/>
                  </c:ext>
                </c:extLst>
              </c15:ser>
            </c15:filteredBarSeries>
          </c:ext>
        </c:extLst>
      </c:barChart>
      <c:lineChart>
        <c:grouping val="stacked"/>
        <c:varyColors val="0"/>
        <c:ser>
          <c:idx val="0"/>
          <c:order val="0"/>
          <c:tx>
            <c:strRef>
              <c:f>'1.4 ΣΥΜΒΟΛΗ ΑΕΠ '!$B$4</c:f>
              <c:strCache>
                <c:ptCount val="1"/>
                <c:pt idx="0">
                  <c:v>Ακαθάριστο Εγχώριο Προϊόν           </c:v>
                </c:pt>
              </c:strCache>
            </c:strRef>
          </c:tx>
          <c:spPr>
            <a:ln w="22225">
              <a:solidFill>
                <a:schemeClr val="tx1"/>
              </a:solidFill>
            </a:ln>
          </c:spPr>
          <c:marker>
            <c:symbol val="none"/>
          </c:marker>
          <c:dLbls>
            <c:dLbl>
              <c:idx val="0"/>
              <c:layout>
                <c:manualLayout>
                  <c:x val="-7.3230950872045075E-3"/>
                  <c:y val="8.9753450530559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6F-4C8F-97A7-7368A186E0B9}"/>
                </c:ext>
              </c:extLst>
            </c:dLbl>
            <c:dLbl>
              <c:idx val="1"/>
              <c:layout>
                <c:manualLayout>
                  <c:x val="4.4164040780217207E-3"/>
                  <c:y val="-2.2456140350877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6F-4C8F-97A7-7368A186E0B9}"/>
                </c:ext>
              </c:extLst>
            </c:dLbl>
            <c:dLbl>
              <c:idx val="2"/>
              <c:layout>
                <c:manualLayout>
                  <c:x val="1.472134692673916E-3"/>
                  <c:y val="-5.333333333333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6F-4C8F-97A7-7368A186E0B9}"/>
                </c:ext>
              </c:extLst>
            </c:dLbl>
            <c:dLbl>
              <c:idx val="3"/>
              <c:layout>
                <c:manualLayout>
                  <c:x val="1.4721346926739213E-2"/>
                  <c:y val="-2.8070175438596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6F-4C8F-97A7-7368A186E0B9}"/>
                </c:ext>
              </c:extLst>
            </c:dLbl>
            <c:dLbl>
              <c:idx val="4"/>
              <c:layout>
                <c:manualLayout>
                  <c:x val="8.8328081560434951E-3"/>
                  <c:y val="-2.2456140350877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6F-4C8F-97A7-7368A186E0B9}"/>
                </c:ext>
              </c:extLst>
            </c:dLbl>
            <c:dLbl>
              <c:idx val="5"/>
              <c:layout>
                <c:manualLayout>
                  <c:x val="1.766561631208699E-2"/>
                  <c:y val="-2.5263157894736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6F-4C8F-97A7-7368A186E0B9}"/>
                </c:ext>
              </c:extLst>
            </c:dLbl>
            <c:dLbl>
              <c:idx val="6"/>
              <c:layout>
                <c:manualLayout>
                  <c:x val="5.888538770695664E-3"/>
                  <c:y val="-5.0526315789473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6F-4C8F-97A7-7368A186E0B9}"/>
                </c:ext>
              </c:extLst>
            </c:dLbl>
            <c:dLbl>
              <c:idx val="7"/>
              <c:layout>
                <c:manualLayout>
                  <c:x val="1.0980388752398233E-2"/>
                  <c:y val="-6.743802140684628E-2"/>
                </c:manualLayout>
              </c:layout>
              <c:spPr>
                <a:noFill/>
                <a:ln>
                  <a:noFill/>
                </a:ln>
                <a:effectLst/>
              </c:spPr>
              <c:txPr>
                <a:bodyPr wrap="square" lIns="38100" tIns="19050" rIns="38100" bIns="19050" anchor="ctr">
                  <a:no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6.2865204142756689E-2"/>
                      <c:h val="6.1278988053408291E-2"/>
                    </c:manualLayout>
                  </c15:layout>
                </c:ext>
                <c:ext xmlns:c16="http://schemas.microsoft.com/office/drawing/2014/chart" uri="{C3380CC4-5D6E-409C-BE32-E72D297353CC}">
                  <c16:uniqueId val="{0000000B-A46F-4C8F-97A7-7368A186E0B9}"/>
                </c:ext>
              </c:extLst>
            </c:dLbl>
            <c:dLbl>
              <c:idx val="8"/>
              <c:layout>
                <c:manualLayout>
                  <c:x val="8.8328081560433876E-3"/>
                  <c:y val="-9.5438596491228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6F-4C8F-97A7-7368A186E0B9}"/>
                </c:ext>
              </c:extLst>
            </c:dLbl>
            <c:dLbl>
              <c:idx val="9"/>
              <c:layout>
                <c:manualLayout>
                  <c:x val="1.2485046315186266E-2"/>
                  <c:y val="-6.1791252471393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6F-4C8F-97A7-7368A186E0B9}"/>
                </c:ext>
              </c:extLst>
            </c:dLbl>
            <c:dLbl>
              <c:idx val="10"/>
              <c:layout>
                <c:manualLayout>
                  <c:x val="-2.4255788313120256E-2"/>
                  <c:y val="-4.8993875765529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46F-4C8F-97A7-7368A186E0B9}"/>
                </c:ext>
              </c:extLst>
            </c:dLbl>
            <c:dLbl>
              <c:idx val="11"/>
              <c:layout>
                <c:manualLayout>
                  <c:x val="-1.4698278481452302E-2"/>
                  <c:y val="-5.6688117780077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6F-4C8F-97A7-7368A186E0B9}"/>
                </c:ext>
              </c:extLst>
            </c:dLbl>
            <c:dLbl>
              <c:idx val="12"/>
              <c:layout>
                <c:manualLayout>
                  <c:x val="-1.543550165380383E-2"/>
                  <c:y val="-5.0128098007425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6F-4C8F-97A7-7368A186E0B9}"/>
                </c:ext>
              </c:extLst>
            </c:dLbl>
            <c:dLbl>
              <c:idx val="13"/>
              <c:layout>
                <c:manualLayout>
                  <c:x val="0"/>
                  <c:y val="-5.8715845168165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6F-4C8F-97A7-7368A186E0B9}"/>
                </c:ext>
              </c:extLst>
            </c:dLbl>
            <c:dLbl>
              <c:idx val="14"/>
              <c:layout>
                <c:manualLayout>
                  <c:x val="0"/>
                  <c:y val="-2.834947988749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46F-4C8F-97A7-7368A186E0B9}"/>
                </c:ext>
              </c:extLst>
            </c:dLbl>
            <c:dLbl>
              <c:idx val="15"/>
              <c:layout>
                <c:manualLayout>
                  <c:x val="-1.2013980110524834E-3"/>
                  <c:y val="-1.5799877226600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46F-4C8F-97A7-7368A186E0B9}"/>
                </c:ext>
              </c:extLst>
            </c:dLbl>
            <c:dLbl>
              <c:idx val="16"/>
              <c:layout>
                <c:manualLayout>
                  <c:x val="2.205071664829107E-3"/>
                  <c:y val="-2.7996500437445383E-2"/>
                </c:manualLayout>
              </c:layout>
              <c:spPr>
                <a:noFill/>
                <a:ln>
                  <a:noFill/>
                </a:ln>
                <a:effectLst/>
              </c:spPr>
              <c:txPr>
                <a:bodyPr wrap="square" lIns="38100" tIns="19050" rIns="38100" bIns="19050" anchor="ctr">
                  <a:no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A46F-4C8F-97A7-7368A186E0B9}"/>
                </c:ext>
              </c:extLst>
            </c:dLbl>
            <c:dLbl>
              <c:idx val="17"/>
              <c:layout>
                <c:manualLayout>
                  <c:x val="0"/>
                  <c:y val="-6.5284752791728443E-3"/>
                </c:manualLayout>
              </c:layout>
              <c:spPr>
                <a:solidFill>
                  <a:schemeClr val="accent2">
                    <a:lumMod val="60000"/>
                    <a:lumOff val="40000"/>
                  </a:schemeClr>
                </a:solidFill>
                <a:ln>
                  <a:noFill/>
                </a:ln>
                <a:effectLst/>
              </c:spPr>
              <c:txPr>
                <a:bodyPr wrap="square" lIns="38100" tIns="19050" rIns="38100" bIns="19050" anchor="ctr">
                  <a:sp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46F-4C8F-97A7-7368A186E0B9}"/>
                </c:ext>
              </c:extLst>
            </c:dLbl>
            <c:spPr>
              <a:noFill/>
              <a:ln>
                <a:noFill/>
              </a:ln>
              <a:effectLst/>
            </c:spPr>
            <c:txPr>
              <a:bodyPr wrap="square" lIns="38100" tIns="19050" rIns="38100" bIns="19050" anchor="ctr">
                <a:sp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'1.4 ΣΥΜΒΟΛΗ ΑΕΠ '!$B$10:$B$27</c:f>
              <c:numCache>
                <c:formatCode>0.0%</c:formatCode>
                <c:ptCount val="18"/>
                <c:pt idx="0">
                  <c:v>-2.1612081326821613E-2</c:v>
                </c:pt>
                <c:pt idx="1">
                  <c:v>0.15020582082000994</c:v>
                </c:pt>
                <c:pt idx="2">
                  <c:v>0.11489660766403256</c:v>
                </c:pt>
                <c:pt idx="3">
                  <c:v>0.10199495171044118</c:v>
                </c:pt>
                <c:pt idx="4">
                  <c:v>7.9704721592706765E-2</c:v>
                </c:pt>
                <c:pt idx="5">
                  <c:v>6.6934871926312076E-2</c:v>
                </c:pt>
                <c:pt idx="6">
                  <c:v>4.7137461435367137E-2</c:v>
                </c:pt>
                <c:pt idx="7">
                  <c:v>4.1357331356205507E-2</c:v>
                </c:pt>
                <c:pt idx="8">
                  <c:v>2.0657796439385215E-2</c:v>
                </c:pt>
                <c:pt idx="9">
                  <c:v>3.07941402685191E-2</c:v>
                </c:pt>
                <c:pt idx="10">
                  <c:v>2.2227171984690812E-2</c:v>
                </c:pt>
                <c:pt idx="11">
                  <c:v>1.9333636676737216E-2</c:v>
                </c:pt>
                <c:pt idx="12">
                  <c:v>2.2091337645200364E-2</c:v>
                </c:pt>
                <c:pt idx="13">
                  <c:v>2.1430446673065134E-2</c:v>
                </c:pt>
                <c:pt idx="14">
                  <c:v>2.2695473213467311E-2</c:v>
                </c:pt>
                <c:pt idx="15">
                  <c:v>2.5067603813328718E-2</c:v>
                </c:pt>
                <c:pt idx="16">
                  <c:v>2.2188995926472933E-2</c:v>
                </c:pt>
                <c:pt idx="17">
                  <c:v>1.696239292326528E-2</c:v>
                </c:pt>
              </c:numCache>
            </c:numRef>
          </c:val>
          <c:smooth val="0"/>
          <c:extLst>
            <c:ext xmlns:c16="http://schemas.microsoft.com/office/drawing/2014/chart" uri="{C3380CC4-5D6E-409C-BE32-E72D297353CC}">
              <c16:uniqueId val="{00000015-A46F-4C8F-97A7-7368A186E0B9}"/>
            </c:ext>
          </c:extLst>
        </c:ser>
        <c:dLbls>
          <c:showLegendKey val="0"/>
          <c:showVal val="0"/>
          <c:showCatName val="0"/>
          <c:showSerName val="0"/>
          <c:showPercent val="0"/>
          <c:showBubbleSize val="0"/>
        </c:dLbls>
        <c:marker val="1"/>
        <c:smooth val="0"/>
        <c:axId val="467660888"/>
        <c:axId val="469214824"/>
        <c:extLst>
          <c:ext xmlns:c15="http://schemas.microsoft.com/office/drawing/2012/chart" uri="{02D57815-91ED-43cb-92C2-25804820EDAC}">
            <c15:filteredLineSeries>
              <c15:ser>
                <c:idx val="1"/>
                <c:order val="6"/>
                <c:tx>
                  <c:strRef>
                    <c:extLst>
                      <c:ext uri="{02D57815-91ED-43cb-92C2-25804820EDAC}">
                        <c15:formulaRef>
                          <c15:sqref>'1.4 ΣΥΜΒΟΛΗ ΑΕΠ '!$H$5</c15:sqref>
                        </c15:formulaRef>
                      </c:ext>
                    </c:extLst>
                    <c:strCache>
                      <c:ptCount val="1"/>
                      <c:pt idx="0">
                        <c:v>Total Exports</c:v>
                      </c:pt>
                    </c:strCache>
                  </c:strRef>
                </c:tx>
                <c:spPr>
                  <a:ln w="25400">
                    <a:solidFill>
                      <a:srgbClr val="666699"/>
                    </a:solidFill>
                    <a:prstDash val="solid"/>
                  </a:ln>
                </c:spPr>
                <c:cat>
                  <c:strRef>
                    <c:extLst>
                      <c:ext uri="{02D57815-91ED-43cb-92C2-25804820EDAC}">
                        <c15:formulaRef>
                          <c15:sqref>'1.4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c:ext uri="{02D57815-91ED-43cb-92C2-25804820EDAC}">
                        <c15:formulaRef>
                          <c15:sqref>'1.4 ΣΥΜΒΟΛΗ ΑΕΠ '!$H$10:$H$25</c15:sqref>
                        </c15:formulaRef>
                      </c:ext>
                    </c:extLst>
                    <c:numCache>
                      <c:formatCode>0.0%</c:formatCode>
                      <c:ptCount val="16"/>
                      <c:pt idx="0">
                        <c:v>-2.8154738856364949E-3</c:v>
                      </c:pt>
                      <c:pt idx="1">
                        <c:v>8.0434802878091197E-2</c:v>
                      </c:pt>
                      <c:pt idx="2">
                        <c:v>0.14010033532246746</c:v>
                      </c:pt>
                      <c:pt idx="3">
                        <c:v>9.583904450144258E-2</c:v>
                      </c:pt>
                      <c:pt idx="4">
                        <c:v>5.2892294909248246E-2</c:v>
                      </c:pt>
                      <c:pt idx="5">
                        <c:v>5.0003151187424627E-2</c:v>
                      </c:pt>
                      <c:pt idx="6">
                        <c:v>-2.9897483158863682E-3</c:v>
                      </c:pt>
                      <c:pt idx="7">
                        <c:v>-2.2156502609523847E-3</c:v>
                      </c:pt>
                      <c:pt idx="8">
                        <c:v>3.0258381639188595E-2</c:v>
                      </c:pt>
                      <c:pt idx="9">
                        <c:v>-7.0920462329510745E-3</c:v>
                      </c:pt>
                      <c:pt idx="10">
                        <c:v>6.701361003550306E-4</c:v>
                      </c:pt>
                      <c:pt idx="11">
                        <c:v>3.4816165964421343E-3</c:v>
                      </c:pt>
                      <c:pt idx="12">
                        <c:v>-1.5327944495558877E-2</c:v>
                      </c:pt>
                      <c:pt idx="13">
                        <c:v>7.792856140908631E-3</c:v>
                      </c:pt>
                      <c:pt idx="14">
                        <c:v>1.0788258290450525E-2</c:v>
                      </c:pt>
                      <c:pt idx="15">
                        <c:v>1.1351791588319305E-2</c:v>
                      </c:pt>
                    </c:numCache>
                  </c:numRef>
                </c:val>
                <c:smooth val="0"/>
                <c:extLst>
                  <c:ext xmlns:c16="http://schemas.microsoft.com/office/drawing/2014/chart" uri="{C3380CC4-5D6E-409C-BE32-E72D297353CC}">
                    <c16:uniqueId val="{00000018-A46F-4C8F-97A7-7368A186E0B9}"/>
                  </c:ext>
                </c:extLst>
              </c15:ser>
            </c15:filteredLineSeries>
            <c15:filteredLineSeries>
              <c15:ser>
                <c:idx val="6"/>
                <c:order val="7"/>
                <c:tx>
                  <c:strRef>
                    <c:extLst xmlns:c15="http://schemas.microsoft.com/office/drawing/2012/chart">
                      <c:ext xmlns:c15="http://schemas.microsoft.com/office/drawing/2012/chart" uri="{02D57815-91ED-43cb-92C2-25804820EDAC}">
                        <c15:formulaRef>
                          <c15:sqref>'1.4 ΣΥΜΒΟΛΗ ΑΕΠ '!$I$5</c15:sqref>
                        </c15:formulaRef>
                      </c:ext>
                    </c:extLst>
                    <c:strCache>
                      <c:ptCount val="1"/>
                      <c:pt idx="0">
                        <c:v>Goods</c:v>
                      </c:pt>
                    </c:strCache>
                  </c:strRef>
                </c:tx>
                <c:cat>
                  <c:strRef>
                    <c:extLst xmlns:c15="http://schemas.microsoft.com/office/drawing/2012/chart">
                      <c:ext xmlns:c15="http://schemas.microsoft.com/office/drawing/2012/chart" uri="{02D57815-91ED-43cb-92C2-25804820EDAC}">
                        <c15:formulaRef>
                          <c15:sqref>'1.4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'1.4 ΣΥΜΒΟΛΗ ΑΕΠ '!$I$10:$I$25</c15:sqref>
                        </c15:formulaRef>
                      </c:ext>
                    </c:extLst>
                    <c:numCache>
                      <c:formatCode>0.0%</c:formatCode>
                      <c:ptCount val="16"/>
                      <c:pt idx="0">
                        <c:v>1.8262226420701126E-2</c:v>
                      </c:pt>
                      <c:pt idx="1">
                        <c:v>3.7862083651907803E-2</c:v>
                      </c:pt>
                      <c:pt idx="2">
                        <c:v>2.9007844821464686E-2</c:v>
                      </c:pt>
                      <c:pt idx="3">
                        <c:v>2.1782847501343735E-2</c:v>
                      </c:pt>
                      <c:pt idx="4">
                        <c:v>1.2795351920818331E-2</c:v>
                      </c:pt>
                      <c:pt idx="5">
                        <c:v>1.0752590267147562E-2</c:v>
                      </c:pt>
                      <c:pt idx="6">
                        <c:v>7.158992008591554E-3</c:v>
                      </c:pt>
                      <c:pt idx="7">
                        <c:v>3.8918830949131217E-3</c:v>
                      </c:pt>
                      <c:pt idx="8">
                        <c:v>1.6295890221974717E-2</c:v>
                      </c:pt>
                      <c:pt idx="9">
                        <c:v>-5.6661897537141947E-3</c:v>
                      </c:pt>
                      <c:pt idx="10">
                        <c:v>-5.4948123852219533E-3</c:v>
                      </c:pt>
                      <c:pt idx="11">
                        <c:v>-7.9646928909168392E-3</c:v>
                      </c:pt>
                      <c:pt idx="12">
                        <c:v>-1.8921600763833552E-2</c:v>
                      </c:pt>
                      <c:pt idx="13">
                        <c:v>1.1485903573513676E-3</c:v>
                      </c:pt>
                      <c:pt idx="14">
                        <c:v>1.2922289924850768E-3</c:v>
                      </c:pt>
                      <c:pt idx="15">
                        <c:v>2.4597112184871163E-3</c:v>
                      </c:pt>
                    </c:numCache>
                  </c:numRef>
                </c:val>
                <c:smooth val="0"/>
                <c:extLst xmlns:c15="http://schemas.microsoft.com/office/drawing/2012/chart">
                  <c:ext xmlns:c16="http://schemas.microsoft.com/office/drawing/2014/chart" uri="{C3380CC4-5D6E-409C-BE32-E72D297353CC}">
                    <c16:uniqueId val="{00000019-A46F-4C8F-97A7-7368A186E0B9}"/>
                  </c:ext>
                </c:extLst>
              </c15:ser>
            </c15:filteredLineSeries>
            <c15:filteredLineSeries>
              <c15:ser>
                <c:idx val="7"/>
                <c:order val="8"/>
                <c:tx>
                  <c:strRef>
                    <c:extLst xmlns:c15="http://schemas.microsoft.com/office/drawing/2012/chart">
                      <c:ext xmlns:c15="http://schemas.microsoft.com/office/drawing/2012/chart" uri="{02D57815-91ED-43cb-92C2-25804820EDAC}">
                        <c15:formulaRef>
                          <c15:sqref>'1.4 ΣΥΜΒΟΛΗ ΑΕΠ '!$J$5</c15:sqref>
                        </c15:formulaRef>
                      </c:ext>
                    </c:extLst>
                    <c:strCache>
                      <c:ptCount val="1"/>
                      <c:pt idx="0">
                        <c:v>Services</c:v>
                      </c:pt>
                    </c:strCache>
                  </c:strRef>
                </c:tx>
                <c:cat>
                  <c:strRef>
                    <c:extLst xmlns:c15="http://schemas.microsoft.com/office/drawing/2012/chart">
                      <c:ext xmlns:c15="http://schemas.microsoft.com/office/drawing/2012/chart" uri="{02D57815-91ED-43cb-92C2-25804820EDAC}">
                        <c15:formulaRef>
                          <c15:sqref>'1.4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'1.4 ΣΥΜΒΟΛΗ ΑΕΠ '!$J$10:$J$25</c15:sqref>
                        </c15:formulaRef>
                      </c:ext>
                    </c:extLst>
                    <c:numCache>
                      <c:formatCode>0.0%</c:formatCode>
                      <c:ptCount val="16"/>
                      <c:pt idx="0">
                        <c:v>-3.2685390241681454E-2</c:v>
                      </c:pt>
                      <c:pt idx="1">
                        <c:v>6.2352307756932852E-2</c:v>
                      </c:pt>
                      <c:pt idx="2">
                        <c:v>0.10179643576275643</c:v>
                      </c:pt>
                      <c:pt idx="3">
                        <c:v>7.9095846670536082E-2</c:v>
                      </c:pt>
                      <c:pt idx="4">
                        <c:v>3.3254462744700355E-2</c:v>
                      </c:pt>
                      <c:pt idx="5">
                        <c:v>4.2778895776693075E-2</c:v>
                      </c:pt>
                      <c:pt idx="6">
                        <c:v>-3.2599138911082776E-3</c:v>
                      </c:pt>
                      <c:pt idx="7">
                        <c:v>-6.644985432932262E-3</c:v>
                      </c:pt>
                      <c:pt idx="8">
                        <c:v>1.1998027397656576E-2</c:v>
                      </c:pt>
                      <c:pt idx="9">
                        <c:v>-9.0444456101249112E-5</c:v>
                      </c:pt>
                      <c:pt idx="10">
                        <c:v>6.5585049163959051E-3</c:v>
                      </c:pt>
                      <c:pt idx="11">
                        <c:v>8.9021899989268592E-3</c:v>
                      </c:pt>
                      <c:pt idx="12">
                        <c:v>6.2483802275491943E-3</c:v>
                      </c:pt>
                      <c:pt idx="13">
                        <c:v>4.5957641291772275E-3</c:v>
                      </c:pt>
                      <c:pt idx="14">
                        <c:v>7.5937403313654618E-3</c:v>
                      </c:pt>
                      <c:pt idx="15">
                        <c:v>8.7881471312585592E-3</c:v>
                      </c:pt>
                    </c:numCache>
                  </c:numRef>
                </c:val>
                <c:smooth val="0"/>
                <c:extLst xmlns:c15="http://schemas.microsoft.com/office/drawing/2012/chart">
                  <c:ext xmlns:c16="http://schemas.microsoft.com/office/drawing/2014/chart" uri="{C3380CC4-5D6E-409C-BE32-E72D297353CC}">
                    <c16:uniqueId val="{0000001A-A46F-4C8F-97A7-7368A186E0B9}"/>
                  </c:ext>
                </c:extLst>
              </c15:ser>
            </c15:filteredLineSeries>
            <c15:filteredLineSeries>
              <c15:ser>
                <c:idx val="8"/>
                <c:order val="9"/>
                <c:tx>
                  <c:strRef>
                    <c:extLst xmlns:c15="http://schemas.microsoft.com/office/drawing/2012/chart">
                      <c:ext xmlns:c15="http://schemas.microsoft.com/office/drawing/2012/chart" uri="{02D57815-91ED-43cb-92C2-25804820EDAC}">
                        <c15:formulaRef>
                          <c15:sqref>'1.4 ΣΥΜΒΟΛΗ ΑΕΠ '!$K$5</c15:sqref>
                        </c15:formulaRef>
                      </c:ext>
                    </c:extLst>
                    <c:strCache>
                      <c:ptCount val="1"/>
                      <c:pt idx="0">
                        <c:v>Total Imports</c:v>
                      </c:pt>
                    </c:strCache>
                  </c:strRef>
                </c:tx>
                <c:cat>
                  <c:strRef>
                    <c:extLst xmlns:c15="http://schemas.microsoft.com/office/drawing/2012/chart">
                      <c:ext xmlns:c15="http://schemas.microsoft.com/office/drawing/2012/chart" uri="{02D57815-91ED-43cb-92C2-25804820EDAC}">
                        <c15:formulaRef>
                          <c15:sqref>'1.4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'1.4 ΣΥΜΒΟΛΗ ΑΕΠ '!$K$10:$K$25</c15:sqref>
                        </c15:formulaRef>
                      </c:ext>
                    </c:extLst>
                    <c:numCache>
                      <c:formatCode>0.0%</c:formatCode>
                      <c:ptCount val="16"/>
                      <c:pt idx="0">
                        <c:v>-2.0181157854152417E-2</c:v>
                      </c:pt>
                      <c:pt idx="1">
                        <c:v>9.6357683684682782E-2</c:v>
                      </c:pt>
                      <c:pt idx="2">
                        <c:v>8.6222709411525641E-2</c:v>
                      </c:pt>
                      <c:pt idx="3">
                        <c:v>0.11595724753440485</c:v>
                      </c:pt>
                      <c:pt idx="4">
                        <c:v>6.9919802050210991E-2</c:v>
                      </c:pt>
                      <c:pt idx="5">
                        <c:v>6.2128947386333525E-2</c:v>
                      </c:pt>
                      <c:pt idx="6">
                        <c:v>2.1203919661779792E-2</c:v>
                      </c:pt>
                      <c:pt idx="7">
                        <c:v>3.2888970880659986E-2</c:v>
                      </c:pt>
                      <c:pt idx="8">
                        <c:v>1.6633819908268354E-2</c:v>
                      </c:pt>
                      <c:pt idx="9">
                        <c:v>-5.5264192430471964E-3</c:v>
                      </c:pt>
                      <c:pt idx="10">
                        <c:v>1.3468873331195673E-2</c:v>
                      </c:pt>
                      <c:pt idx="11">
                        <c:v>-8.9130709604977546E-3</c:v>
                      </c:pt>
                      <c:pt idx="12">
                        <c:v>1.9612648215565347E-2</c:v>
                      </c:pt>
                      <c:pt idx="13">
                        <c:v>4.1685492859916386E-2</c:v>
                      </c:pt>
                      <c:pt idx="14">
                        <c:v>2.3603517339085636E-2</c:v>
                      </c:pt>
                      <c:pt idx="15">
                        <c:v>1.0383893815738897E-2</c:v>
                      </c:pt>
                    </c:numCache>
                  </c:numRef>
                </c:val>
                <c:smooth val="0"/>
                <c:extLst xmlns:c15="http://schemas.microsoft.com/office/drawing/2012/chart">
                  <c:ext xmlns:c16="http://schemas.microsoft.com/office/drawing/2014/chart" uri="{C3380CC4-5D6E-409C-BE32-E72D297353CC}">
                    <c16:uniqueId val="{0000001B-A46F-4C8F-97A7-7368A186E0B9}"/>
                  </c:ext>
                </c:extLst>
              </c15:ser>
            </c15:filteredLineSeries>
            <c15:filteredLineSeries>
              <c15:ser>
                <c:idx val="9"/>
                <c:order val="10"/>
                <c:tx>
                  <c:strRef>
                    <c:extLst xmlns:c15="http://schemas.microsoft.com/office/drawing/2012/chart">
                      <c:ext xmlns:c15="http://schemas.microsoft.com/office/drawing/2012/chart" uri="{02D57815-91ED-43cb-92C2-25804820EDAC}">
                        <c15:formulaRef>
                          <c15:sqref>'1.4 ΣΥΜΒΟΛΗ ΑΕΠ '!$L$5</c15:sqref>
                        </c15:formulaRef>
                      </c:ext>
                    </c:extLst>
                    <c:strCache>
                      <c:ptCount val="1"/>
                      <c:pt idx="0">
                        <c:v>Goods</c:v>
                      </c:pt>
                    </c:strCache>
                  </c:strRef>
                </c:tx>
                <c:cat>
                  <c:strRef>
                    <c:extLst xmlns:c15="http://schemas.microsoft.com/office/drawing/2012/chart">
                      <c:ext xmlns:c15="http://schemas.microsoft.com/office/drawing/2012/chart" uri="{02D57815-91ED-43cb-92C2-25804820EDAC}">
                        <c15:formulaRef>
                          <c15:sqref>'1.4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'1.4 ΣΥΜΒΟΛΗ ΑΕΠ '!$L$10:$L$25</c15:sqref>
                        </c15:formulaRef>
                      </c:ext>
                    </c:extLst>
                    <c:numCache>
                      <c:formatCode>0.0%</c:formatCode>
                      <c:ptCount val="16"/>
                      <c:pt idx="0">
                        <c:v>-6.5269009920111247E-3</c:v>
                      </c:pt>
                      <c:pt idx="1">
                        <c:v>7.1868627023563572E-2</c:v>
                      </c:pt>
                      <c:pt idx="2">
                        <c:v>5.1258363028479498E-2</c:v>
                      </c:pt>
                      <c:pt idx="3">
                        <c:v>8.294262839239358E-2</c:v>
                      </c:pt>
                      <c:pt idx="4">
                        <c:v>5.757495057271951E-2</c:v>
                      </c:pt>
                      <c:pt idx="5">
                        <c:v>5.7994365329589952E-2</c:v>
                      </c:pt>
                      <c:pt idx="6">
                        <c:v>3.1165701294191658E-2</c:v>
                      </c:pt>
                      <c:pt idx="7">
                        <c:v>2.1390845975000069E-2</c:v>
                      </c:pt>
                      <c:pt idx="8">
                        <c:v>6.6250163613006284E-3</c:v>
                      </c:pt>
                      <c:pt idx="9">
                        <c:v>-1.3559553187401395E-2</c:v>
                      </c:pt>
                      <c:pt idx="10">
                        <c:v>8.9293313041988228E-3</c:v>
                      </c:pt>
                      <c:pt idx="11">
                        <c:v>-5.9197420295404521E-3</c:v>
                      </c:pt>
                      <c:pt idx="12">
                        <c:v>1.3205009313440052E-2</c:v>
                      </c:pt>
                      <c:pt idx="13">
                        <c:v>3.5487547450353631E-2</c:v>
                      </c:pt>
                      <c:pt idx="14">
                        <c:v>1.1668551439837584E-2</c:v>
                      </c:pt>
                      <c:pt idx="15">
                        <c:v>6.541616541591219E-3</c:v>
                      </c:pt>
                    </c:numCache>
                  </c:numRef>
                </c:val>
                <c:smooth val="0"/>
                <c:extLst xmlns:c15="http://schemas.microsoft.com/office/drawing/2012/chart">
                  <c:ext xmlns:c16="http://schemas.microsoft.com/office/drawing/2014/chart" uri="{C3380CC4-5D6E-409C-BE32-E72D297353CC}">
                    <c16:uniqueId val="{0000001C-A46F-4C8F-97A7-7368A186E0B9}"/>
                  </c:ext>
                </c:extLst>
              </c15:ser>
            </c15:filteredLineSeries>
            <c15:filteredLineSeries>
              <c15:ser>
                <c:idx val="10"/>
                <c:order val="11"/>
                <c:tx>
                  <c:strRef>
                    <c:extLst xmlns:c15="http://schemas.microsoft.com/office/drawing/2012/chart">
                      <c:ext xmlns:c15="http://schemas.microsoft.com/office/drawing/2012/chart" uri="{02D57815-91ED-43cb-92C2-25804820EDAC}">
                        <c15:formulaRef>
                          <c15:sqref>'1.4 ΣΥΜΒΟΛΗ ΑΕΠ '!$M$5</c15:sqref>
                        </c15:formulaRef>
                      </c:ext>
                    </c:extLst>
                    <c:strCache>
                      <c:ptCount val="1"/>
                      <c:pt idx="0">
                        <c:v>Servicies</c:v>
                      </c:pt>
                    </c:strCache>
                  </c:strRef>
                </c:tx>
                <c:cat>
                  <c:strRef>
                    <c:extLst xmlns:c15="http://schemas.microsoft.com/office/drawing/2012/chart">
                      <c:ext xmlns:c15="http://schemas.microsoft.com/office/drawing/2012/chart" uri="{02D57815-91ED-43cb-92C2-25804820EDAC}">
                        <c15:formulaRef>
                          <c15:sqref>'1.4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'1.4 ΣΥΜΒΟΛΗ ΑΕΠ '!$M$10:$M$25</c15:sqref>
                        </c15:formulaRef>
                      </c:ext>
                    </c:extLst>
                    <c:numCache>
                      <c:formatCode>0.0%</c:formatCode>
                      <c:ptCount val="16"/>
                      <c:pt idx="0">
                        <c:v>-1.5378967654558814E-2</c:v>
                      </c:pt>
                      <c:pt idx="1">
                        <c:v>2.3622791399213819E-2</c:v>
                      </c:pt>
                      <c:pt idx="2">
                        <c:v>3.4649395603045363E-2</c:v>
                      </c:pt>
                      <c:pt idx="3">
                        <c:v>3.354837692373891E-2</c:v>
                      </c:pt>
                      <c:pt idx="4">
                        <c:v>1.2490380161682184E-2</c:v>
                      </c:pt>
                      <c:pt idx="5">
                        <c:v>4.7186385805132536E-3</c:v>
                      </c:pt>
                      <c:pt idx="6">
                        <c:v>-8.8684824791124359E-3</c:v>
                      </c:pt>
                      <c:pt idx="7">
                        <c:v>1.0477368383659339E-2</c:v>
                      </c:pt>
                      <c:pt idx="8">
                        <c:v>1.2704213915123379E-2</c:v>
                      </c:pt>
                      <c:pt idx="9">
                        <c:v>8.2311375460691338E-3</c:v>
                      </c:pt>
                      <c:pt idx="10">
                        <c:v>2.5321158934598132E-3</c:v>
                      </c:pt>
                      <c:pt idx="11">
                        <c:v>-3.0985826894735606E-3</c:v>
                      </c:pt>
                      <c:pt idx="12">
                        <c:v>4.6838131609253002E-3</c:v>
                      </c:pt>
                      <c:pt idx="13">
                        <c:v>5.4183743808578818E-3</c:v>
                      </c:pt>
                      <c:pt idx="14">
                        <c:v>1.2917807166637511E-2</c:v>
                      </c:pt>
                      <c:pt idx="15">
                        <c:v>5.1149727227229689E-3</c:v>
                      </c:pt>
                    </c:numCache>
                  </c:numRef>
                </c:val>
                <c:smooth val="0"/>
                <c:extLst xmlns:c15="http://schemas.microsoft.com/office/drawing/2012/chart">
                  <c:ext xmlns:c16="http://schemas.microsoft.com/office/drawing/2014/chart" uri="{C3380CC4-5D6E-409C-BE32-E72D297353CC}">
                    <c16:uniqueId val="{0000001D-A46F-4C8F-97A7-7368A186E0B9}"/>
                  </c:ext>
                </c:extLst>
              </c15:ser>
            </c15:filteredLineSeries>
          </c:ext>
        </c:extLst>
      </c:lineChart>
      <c:catAx>
        <c:axId val="467660888"/>
        <c:scaling>
          <c:orientation val="minMax"/>
        </c:scaling>
        <c:delete val="0"/>
        <c:axPos val="b"/>
        <c:numFmt formatCode="General" sourceLinked="1"/>
        <c:majorTickMark val="out"/>
        <c:minorTickMark val="none"/>
        <c:tickLblPos val="nextTo"/>
        <c:spPr>
          <a:ln w="3175">
            <a:solidFill>
              <a:srgbClr val="808080"/>
            </a:solidFill>
            <a:prstDash val="solid"/>
          </a:ln>
        </c:spPr>
        <c:txPr>
          <a:bodyPr rot="-5400000" vert="horz"/>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crossAx val="469214824"/>
        <c:crossesAt val="0"/>
        <c:auto val="1"/>
        <c:lblAlgn val="ctr"/>
        <c:lblOffset val="100"/>
        <c:tickLblSkip val="1"/>
        <c:tickMarkSkip val="1"/>
        <c:noMultiLvlLbl val="0"/>
      </c:catAx>
      <c:valAx>
        <c:axId val="469214824"/>
        <c:scaling>
          <c:orientation val="minMax"/>
          <c:max val="0.16000000000000003"/>
          <c:min val="-6.0000000000000012E-2"/>
        </c:scaling>
        <c:delete val="0"/>
        <c:axPos val="l"/>
        <c:majorGridlines>
          <c:spPr>
            <a:ln w="6350">
              <a:solidFill>
                <a:schemeClr val="bg1">
                  <a:lumMod val="85000"/>
                </a:schemeClr>
              </a:solidFill>
              <a:prstDash val="solid"/>
            </a:ln>
          </c:spPr>
        </c:majorGridlines>
        <c:numFmt formatCode="0.0%" sourceLinked="1"/>
        <c:majorTickMark val="out"/>
        <c:minorTickMark val="none"/>
        <c:tickLblPos val="nextTo"/>
        <c:spPr>
          <a:ln w="3175">
            <a:solidFill>
              <a:srgbClr val="808080"/>
            </a:solidFill>
            <a:prstDash val="solid"/>
          </a:ln>
        </c:spPr>
        <c:txPr>
          <a:bodyPr rot="0" vert="horz"/>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crossAx val="467660888"/>
        <c:crossesAt val="1"/>
        <c:crossBetween val="between"/>
      </c:valAx>
      <c:spPr>
        <a:solidFill>
          <a:srgbClr val="FFFFFF"/>
        </a:solidFill>
        <a:ln w="25400">
          <a:noFill/>
        </a:ln>
      </c:spPr>
    </c:plotArea>
    <c:legend>
      <c:legendPos val="r"/>
      <c:layout>
        <c:manualLayout>
          <c:xMode val="edge"/>
          <c:yMode val="edge"/>
          <c:x val="9.2002187708895816E-2"/>
          <c:y val="0.86625018675195464"/>
          <c:w val="0.90461189870560543"/>
          <c:h val="0.10994258184346774"/>
        </c:manualLayout>
      </c:layout>
      <c:overlay val="0"/>
      <c:spPr>
        <a:noFill/>
        <a:ln w="25400">
          <a:noFill/>
        </a:ln>
      </c:spPr>
      <c:txPr>
        <a:bodyPr/>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legend>
    <c:plotVisOnly val="1"/>
    <c:dispBlanksAs val="gap"/>
    <c:showDLblsOverMax val="0"/>
  </c:chart>
  <c:spPr>
    <a:solidFill>
      <a:srgbClr val="FFFFFF"/>
    </a:solidFill>
    <a:ln w="6350">
      <a:solidFill>
        <a:schemeClr val="bg1">
          <a:lumMod val="85000"/>
        </a:schemeClr>
      </a:solidFill>
      <a:prstDash val="solid"/>
    </a:ln>
  </c:spPr>
  <c:txPr>
    <a:bodyPr/>
    <a:lstStyle/>
    <a:p>
      <a:pPr>
        <a:defRPr sz="1000" b="0" i="0" u="none" strike="noStrike" baseline="0">
          <a:solidFill>
            <a:srgbClr val="000000"/>
          </a:solidFill>
          <a:latin typeface="Arial Greek"/>
          <a:ea typeface="Arial Greek"/>
          <a:cs typeface="Arial Greek"/>
        </a:defRPr>
      </a:pPr>
      <a:endParaRPr lang="el-G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272343713375415"/>
          <c:y val="6.0065941703465756E-2"/>
          <c:w val="0.63492486261709014"/>
          <c:h val="0.70879607202384376"/>
        </c:manualLayout>
      </c:layout>
      <c:barChart>
        <c:barDir val="col"/>
        <c:grouping val="stacked"/>
        <c:varyColors val="0"/>
        <c:ser>
          <c:idx val="0"/>
          <c:order val="0"/>
          <c:tx>
            <c:strRef>
              <c:f>'1.5 ΑΠΑ κλαδοι ΣΤΑΘΕΡΕΣ '!$A$7</c:f>
              <c:strCache>
                <c:ptCount val="1"/>
                <c:pt idx="0">
                  <c:v>Πρωτογενής τομέας</c:v>
                </c:pt>
              </c:strCache>
            </c:strRef>
          </c:tx>
          <c:spPr>
            <a:solidFill>
              <a:schemeClr val="bg1">
                <a:lumMod val="50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'!$B$7:$AE$7</c:f>
              <c:numCache>
                <c:formatCode>0.0</c:formatCode>
                <c:ptCount val="14"/>
                <c:pt idx="0">
                  <c:v>1812.6590275344083</c:v>
                </c:pt>
                <c:pt idx="1">
                  <c:v>1929.2198875306401</c:v>
                </c:pt>
                <c:pt idx="2">
                  <c:v>1971.726312623071</c:v>
                </c:pt>
                <c:pt idx="3">
                  <c:v>1697.0321401841259</c:v>
                </c:pt>
                <c:pt idx="4">
                  <c:v>1516.8472166677609</c:v>
                </c:pt>
                <c:pt idx="5">
                  <c:v>1373.4043370805853</c:v>
                </c:pt>
                <c:pt idx="6">
                  <c:v>1264.5175725809097</c:v>
                </c:pt>
                <c:pt idx="7">
                  <c:v>1266.8448989691817</c:v>
                </c:pt>
                <c:pt idx="8">
                  <c:v>1334.6758446102747</c:v>
                </c:pt>
                <c:pt idx="9">
                  <c:v>1319.9968269770702</c:v>
                </c:pt>
                <c:pt idx="10">
                  <c:v>1275.3403694773317</c:v>
                </c:pt>
                <c:pt idx="11">
                  <c:v>1389.8577502101898</c:v>
                </c:pt>
                <c:pt idx="12">
                  <c:v>1452.1663605532481</c:v>
                </c:pt>
                <c:pt idx="13">
                  <c:v>1393.1198542479499</c:v>
                </c:pt>
              </c:numCache>
            </c:numRef>
          </c:val>
          <c:extLst>
            <c:ext xmlns:c16="http://schemas.microsoft.com/office/drawing/2014/chart" uri="{C3380CC4-5D6E-409C-BE32-E72D297353CC}">
              <c16:uniqueId val="{00000000-DBBF-4CE8-97B6-2EC7D3045425}"/>
            </c:ext>
          </c:extLst>
        </c:ser>
        <c:ser>
          <c:idx val="2"/>
          <c:order val="1"/>
          <c:tx>
            <c:strRef>
              <c:f>'1.5 ΑΠΑ κλαδοι ΣΤΑΘΕΡΕΣ '!$A$9</c:f>
              <c:strCache>
                <c:ptCount val="1"/>
                <c:pt idx="0">
                  <c:v>Βιομηχανία συμπεριλαμβανομένης της ενέργειας</c:v>
                </c:pt>
              </c:strCache>
            </c:strRef>
          </c:tx>
          <c:spPr>
            <a:solidFill>
              <a:schemeClr val="tx2">
                <a:lumMod val="40000"/>
                <a:lumOff val="60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'!$B$9:$AE$9</c:f>
              <c:numCache>
                <c:formatCode>0</c:formatCode>
                <c:ptCount val="14"/>
                <c:pt idx="0">
                  <c:v>6118.2351812672659</c:v>
                </c:pt>
                <c:pt idx="1">
                  <c:v>6168.390420184227</c:v>
                </c:pt>
                <c:pt idx="2">
                  <c:v>6135.3802313789274</c:v>
                </c:pt>
                <c:pt idx="3">
                  <c:v>5952.2438795598691</c:v>
                </c:pt>
                <c:pt idx="4">
                  <c:v>6224.8492446652663</c:v>
                </c:pt>
                <c:pt idx="5">
                  <c:v>6139.9923561159349</c:v>
                </c:pt>
                <c:pt idx="6">
                  <c:v>6419.5404764777404</c:v>
                </c:pt>
                <c:pt idx="7">
                  <c:v>6524.7207239813542</c:v>
                </c:pt>
                <c:pt idx="8">
                  <c:v>6583.8210102414414</c:v>
                </c:pt>
                <c:pt idx="9">
                  <c:v>6838.1805640992588</c:v>
                </c:pt>
                <c:pt idx="10">
                  <c:v>6723.2633270121214</c:v>
                </c:pt>
                <c:pt idx="11">
                  <c:v>6782.0431818818906</c:v>
                </c:pt>
                <c:pt idx="12">
                  <c:v>6816.5684351084874</c:v>
                </c:pt>
                <c:pt idx="13">
                  <c:v>6832.5646444836502</c:v>
                </c:pt>
              </c:numCache>
            </c:numRef>
          </c:val>
          <c:extLst>
            <c:ext xmlns:c16="http://schemas.microsoft.com/office/drawing/2014/chart" uri="{C3380CC4-5D6E-409C-BE32-E72D297353CC}">
              <c16:uniqueId val="{00000001-DBBF-4CE8-97B6-2EC7D3045425}"/>
            </c:ext>
          </c:extLst>
        </c:ser>
        <c:ser>
          <c:idx val="3"/>
          <c:order val="2"/>
          <c:tx>
            <c:strRef>
              <c:f>'1.5 ΑΠΑ κλαδοι ΣΤΑΘΕΡΕΣ '!$A$10</c:f>
              <c:strCache>
                <c:ptCount val="1"/>
                <c:pt idx="0">
                  <c:v>Κατασκευές</c:v>
                </c:pt>
              </c:strCache>
            </c:strRef>
          </c:tx>
          <c:spPr>
            <a:solidFill>
              <a:schemeClr val="bg1">
                <a:lumMod val="65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'!$B$10:$AE$10</c:f>
              <c:numCache>
                <c:formatCode>0</c:formatCode>
                <c:ptCount val="14"/>
                <c:pt idx="0">
                  <c:v>928.0438168124299</c:v>
                </c:pt>
                <c:pt idx="1">
                  <c:v>726.64547165150486</c:v>
                </c:pt>
                <c:pt idx="2">
                  <c:v>740.85929608013794</c:v>
                </c:pt>
                <c:pt idx="3">
                  <c:v>788.28811603807469</c:v>
                </c:pt>
                <c:pt idx="4">
                  <c:v>840.93197148389106</c:v>
                </c:pt>
                <c:pt idx="5">
                  <c:v>892.02406014229393</c:v>
                </c:pt>
                <c:pt idx="6">
                  <c:v>885.4851376028638</c:v>
                </c:pt>
                <c:pt idx="7">
                  <c:v>888.31009406385897</c:v>
                </c:pt>
                <c:pt idx="8">
                  <c:v>877.68034286621969</c:v>
                </c:pt>
                <c:pt idx="9">
                  <c:v>857.97447454390476</c:v>
                </c:pt>
                <c:pt idx="10">
                  <c:v>912.55109026569755</c:v>
                </c:pt>
                <c:pt idx="11">
                  <c:v>977.11516429571429</c:v>
                </c:pt>
                <c:pt idx="12">
                  <c:v>797.99069183877214</c:v>
                </c:pt>
                <c:pt idx="13">
                  <c:v>952.6665518322734</c:v>
                </c:pt>
              </c:numCache>
            </c:numRef>
          </c:val>
          <c:extLst>
            <c:ext xmlns:c16="http://schemas.microsoft.com/office/drawing/2014/chart" uri="{C3380CC4-5D6E-409C-BE32-E72D297353CC}">
              <c16:uniqueId val="{00000002-DBBF-4CE8-97B6-2EC7D3045425}"/>
            </c:ext>
          </c:extLst>
        </c:ser>
        <c:ser>
          <c:idx val="5"/>
          <c:order val="3"/>
          <c:tx>
            <c:strRef>
              <c:f>'1.5 ΑΠΑ κλαδοι ΣΤΑΘΕΡΕΣ '!$A$12</c:f>
              <c:strCache>
                <c:ptCount val="1"/>
                <c:pt idx="0">
                  <c:v>Εμπόριο, ξενοδοχεία και εστιατόρια, μεταφορές και επικοινωνίες</c:v>
                </c:pt>
              </c:strCache>
            </c:strRef>
          </c:tx>
          <c:spPr>
            <a:solidFill>
              <a:schemeClr val="accent1">
                <a:lumMod val="50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'!$B$12:$AE$12</c:f>
              <c:numCache>
                <c:formatCode>0</c:formatCode>
                <c:ptCount val="14"/>
                <c:pt idx="0">
                  <c:v>9540.2887498971468</c:v>
                </c:pt>
                <c:pt idx="1">
                  <c:v>10031.288376537224</c:v>
                </c:pt>
                <c:pt idx="2">
                  <c:v>9949.5984881430049</c:v>
                </c:pt>
                <c:pt idx="3">
                  <c:v>10014.398654517372</c:v>
                </c:pt>
                <c:pt idx="4">
                  <c:v>10154.08726751581</c:v>
                </c:pt>
                <c:pt idx="5">
                  <c:v>10073.964372807537</c:v>
                </c:pt>
                <c:pt idx="6">
                  <c:v>10060.036418509411</c:v>
                </c:pt>
                <c:pt idx="7">
                  <c:v>10046.884892372271</c:v>
                </c:pt>
                <c:pt idx="8">
                  <c:v>10104.375706949559</c:v>
                </c:pt>
                <c:pt idx="9">
                  <c:v>10230.027557468035</c:v>
                </c:pt>
                <c:pt idx="10" formatCode="General">
                  <c:v>10239.864479805747</c:v>
                </c:pt>
                <c:pt idx="11" formatCode="General">
                  <c:v>10226.00299263269</c:v>
                </c:pt>
                <c:pt idx="12" formatCode="General">
                  <c:v>10280.595443139826</c:v>
                </c:pt>
                <c:pt idx="13" formatCode="General">
                  <c:v>10419.138542219906</c:v>
                </c:pt>
              </c:numCache>
            </c:numRef>
          </c:val>
          <c:extLst>
            <c:ext xmlns:c16="http://schemas.microsoft.com/office/drawing/2014/chart" uri="{C3380CC4-5D6E-409C-BE32-E72D297353CC}">
              <c16:uniqueId val="{00000003-DBBF-4CE8-97B6-2EC7D3045425}"/>
            </c:ext>
          </c:extLst>
        </c:ser>
        <c:ser>
          <c:idx val="6"/>
          <c:order val="4"/>
          <c:tx>
            <c:strRef>
              <c:f>'1.5 ΑΠΑ κλαδοι ΣΤΑΘΕΡΕΣ '!$A$13</c:f>
              <c:strCache>
                <c:ptCount val="1"/>
                <c:pt idx="0">
                  <c:v>Ενημέρωση και επικοινωνία</c:v>
                </c:pt>
              </c:strCache>
            </c:strRef>
          </c:tx>
          <c:spPr>
            <a:solidFill>
              <a:schemeClr val="accent4">
                <a:lumMod val="75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'!$B$13:$AE$13</c:f>
              <c:numCache>
                <c:formatCode>0</c:formatCode>
                <c:ptCount val="14"/>
                <c:pt idx="0">
                  <c:v>1581.8113166242229</c:v>
                </c:pt>
                <c:pt idx="1">
                  <c:v>1633.5770039293336</c:v>
                </c:pt>
                <c:pt idx="2">
                  <c:v>1717.3144483642805</c:v>
                </c:pt>
                <c:pt idx="3">
                  <c:v>1731.4145114837697</c:v>
                </c:pt>
                <c:pt idx="4">
                  <c:v>1722.4397004421794</c:v>
                </c:pt>
                <c:pt idx="5">
                  <c:v>1751.3524347315954</c:v>
                </c:pt>
                <c:pt idx="6">
                  <c:v>1738.889718873012</c:v>
                </c:pt>
                <c:pt idx="7">
                  <c:v>1794.0053162708393</c:v>
                </c:pt>
                <c:pt idx="8">
                  <c:v>1817.7274878653593</c:v>
                </c:pt>
                <c:pt idx="9">
                  <c:v>1814.0812373110887</c:v>
                </c:pt>
                <c:pt idx="10" formatCode="General">
                  <c:v>1794.3601084724473</c:v>
                </c:pt>
                <c:pt idx="11" formatCode="General">
                  <c:v>1814.7736323053978</c:v>
                </c:pt>
                <c:pt idx="12" formatCode="General">
                  <c:v>1806.7162970017005</c:v>
                </c:pt>
                <c:pt idx="13" formatCode="General">
                  <c:v>1837.0771476609621</c:v>
                </c:pt>
              </c:numCache>
            </c:numRef>
          </c:val>
          <c:extLst>
            <c:ext xmlns:c16="http://schemas.microsoft.com/office/drawing/2014/chart" uri="{C3380CC4-5D6E-409C-BE32-E72D297353CC}">
              <c16:uniqueId val="{00000004-DBBF-4CE8-97B6-2EC7D3045425}"/>
            </c:ext>
          </c:extLst>
        </c:ser>
        <c:ser>
          <c:idx val="7"/>
          <c:order val="5"/>
          <c:tx>
            <c:strRef>
              <c:f>'1.5 ΑΠΑ κλαδοι ΣΤΑΘΕΡΕΣ '!$A$14</c:f>
              <c:strCache>
                <c:ptCount val="1"/>
                <c:pt idx="0">
                  <c:v>Χρηματοπιστωτικές και 
ασφαλιστικές δραστηριότητες</c:v>
                </c:pt>
              </c:strCache>
            </c:strRef>
          </c:tx>
          <c:spPr>
            <a:solidFill>
              <a:srgbClr val="00B0F0"/>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'!$B$14:$AE$14</c:f>
              <c:numCache>
                <c:formatCode>0</c:formatCode>
                <c:ptCount val="14"/>
                <c:pt idx="0">
                  <c:v>1972.5326721495726</c:v>
                </c:pt>
                <c:pt idx="1">
                  <c:v>1970.4623709280893</c:v>
                </c:pt>
                <c:pt idx="2">
                  <c:v>2042.262890543725</c:v>
                </c:pt>
                <c:pt idx="3">
                  <c:v>2178.034911300354</c:v>
                </c:pt>
                <c:pt idx="4">
                  <c:v>2108.0684857467463</c:v>
                </c:pt>
                <c:pt idx="5">
                  <c:v>2158.184060879712</c:v>
                </c:pt>
                <c:pt idx="6">
                  <c:v>2149.1241948669062</c:v>
                </c:pt>
                <c:pt idx="7">
                  <c:v>2158.0166464622698</c:v>
                </c:pt>
                <c:pt idx="8">
                  <c:v>2172.276947108588</c:v>
                </c:pt>
                <c:pt idx="9">
                  <c:v>2177.3245598410817</c:v>
                </c:pt>
                <c:pt idx="10" formatCode="General">
                  <c:v>2208.6325812060859</c:v>
                </c:pt>
                <c:pt idx="11" formatCode="General">
                  <c:v>2237.1701198115279</c:v>
                </c:pt>
                <c:pt idx="12" formatCode="General">
                  <c:v>2259.5441472713501</c:v>
                </c:pt>
                <c:pt idx="13" formatCode="General">
                  <c:v>2290.7765109833249</c:v>
                </c:pt>
              </c:numCache>
            </c:numRef>
          </c:val>
          <c:extLst>
            <c:ext xmlns:c16="http://schemas.microsoft.com/office/drawing/2014/chart" uri="{C3380CC4-5D6E-409C-BE32-E72D297353CC}">
              <c16:uniqueId val="{00000005-DBBF-4CE8-97B6-2EC7D3045425}"/>
            </c:ext>
          </c:extLst>
        </c:ser>
        <c:ser>
          <c:idx val="8"/>
          <c:order val="6"/>
          <c:tx>
            <c:strRef>
              <c:f>'1.5 ΑΠΑ κλαδοι ΣΤΑΘΕΡΕΣ '!$A$15</c:f>
              <c:strCache>
                <c:ptCount val="1"/>
                <c:pt idx="0">
                  <c:v>Δραστηριότητες σχετικές με 
την ακίνητη περιουσία</c:v>
                </c:pt>
              </c:strCache>
            </c:strRef>
          </c:tx>
          <c:spPr>
            <a:solidFill>
              <a:schemeClr val="bg1">
                <a:lumMod val="85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'!$B$15:$AE$15</c:f>
              <c:numCache>
                <c:formatCode>0</c:formatCode>
                <c:ptCount val="14"/>
                <c:pt idx="0">
                  <c:v>7225.3314800295675</c:v>
                </c:pt>
                <c:pt idx="1">
                  <c:v>7242.6961241772815</c:v>
                </c:pt>
                <c:pt idx="2">
                  <c:v>7299.8775328379161</c:v>
                </c:pt>
                <c:pt idx="3">
                  <c:v>7397.4752974469011</c:v>
                </c:pt>
                <c:pt idx="4">
                  <c:v>7532.5301104142181</c:v>
                </c:pt>
                <c:pt idx="5">
                  <c:v>7639.7153194488346</c:v>
                </c:pt>
                <c:pt idx="6">
                  <c:v>7714.2965721911396</c:v>
                </c:pt>
                <c:pt idx="7">
                  <c:v>7755.9376671952514</c:v>
                </c:pt>
                <c:pt idx="8">
                  <c:v>7562.722116400395</c:v>
                </c:pt>
                <c:pt idx="9">
                  <c:v>7671.2269971531759</c:v>
                </c:pt>
                <c:pt idx="10" formatCode="General">
                  <c:v>7747.1698203233909</c:v>
                </c:pt>
                <c:pt idx="11" formatCode="General">
                  <c:v>7790.0104221817783</c:v>
                </c:pt>
                <c:pt idx="12" formatCode="General">
                  <c:v>7596.6476713602497</c:v>
                </c:pt>
                <c:pt idx="13" formatCode="General">
                  <c:v>7705.8476408435754</c:v>
                </c:pt>
              </c:numCache>
            </c:numRef>
          </c:val>
          <c:extLst>
            <c:ext xmlns:c16="http://schemas.microsoft.com/office/drawing/2014/chart" uri="{C3380CC4-5D6E-409C-BE32-E72D297353CC}">
              <c16:uniqueId val="{00000006-DBBF-4CE8-97B6-2EC7D3045425}"/>
            </c:ext>
          </c:extLst>
        </c:ser>
        <c:ser>
          <c:idx val="9"/>
          <c:order val="7"/>
          <c:tx>
            <c:strRef>
              <c:f>'1.5 ΑΠΑ κλαδοι ΣΤΑΘΕΡΕΣ '!$A$16</c:f>
              <c:strCache>
                <c:ptCount val="1"/>
                <c:pt idx="0">
                  <c:v>Επαγγελματικές, επιστημονικές
και τεχνικές δραστηριότητες</c:v>
                </c:pt>
              </c:strCache>
            </c:strRef>
          </c:tx>
          <c:spPr>
            <a:solidFill>
              <a:schemeClr val="accent1">
                <a:lumMod val="75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'!$B$16:$AE$16</c:f>
              <c:numCache>
                <c:formatCode>0</c:formatCode>
                <c:ptCount val="14"/>
                <c:pt idx="0">
                  <c:v>2497.2290852664123</c:v>
                </c:pt>
                <c:pt idx="1">
                  <c:v>2560.0461873124445</c:v>
                </c:pt>
                <c:pt idx="2">
                  <c:v>2658.6166902859763</c:v>
                </c:pt>
                <c:pt idx="3">
                  <c:v>2775.765980896233</c:v>
                </c:pt>
                <c:pt idx="4">
                  <c:v>2829.799414259176</c:v>
                </c:pt>
                <c:pt idx="5">
                  <c:v>2849.0676403795469</c:v>
                </c:pt>
                <c:pt idx="6">
                  <c:v>2762.5359600756387</c:v>
                </c:pt>
                <c:pt idx="7">
                  <c:v>2907.8178415369171</c:v>
                </c:pt>
                <c:pt idx="8">
                  <c:v>2852.3280539017651</c:v>
                </c:pt>
                <c:pt idx="9">
                  <c:v>2842.2783461823069</c:v>
                </c:pt>
                <c:pt idx="10" formatCode="General">
                  <c:v>2945.9914424488975</c:v>
                </c:pt>
                <c:pt idx="11" formatCode="General">
                  <c:v>2908.9532645838376</c:v>
                </c:pt>
                <c:pt idx="12" formatCode="General">
                  <c:v>2930.8758722146208</c:v>
                </c:pt>
                <c:pt idx="13" formatCode="General">
                  <c:v>3002.8627111720684</c:v>
                </c:pt>
              </c:numCache>
            </c:numRef>
          </c:val>
          <c:extLst>
            <c:ext xmlns:c16="http://schemas.microsoft.com/office/drawing/2014/chart" uri="{C3380CC4-5D6E-409C-BE32-E72D297353CC}">
              <c16:uniqueId val="{00000007-DBBF-4CE8-97B6-2EC7D3045425}"/>
            </c:ext>
          </c:extLst>
        </c:ser>
        <c:ser>
          <c:idx val="10"/>
          <c:order val="8"/>
          <c:tx>
            <c:strRef>
              <c:f>'1.5 ΑΠΑ κλαδοι ΣΤΑΘΕΡΕΣ '!$A$17</c:f>
              <c:strCache>
                <c:ptCount val="1"/>
                <c:pt idx="0">
                  <c:v>Δημόσια διοίκηση και άμυνα</c:v>
                </c:pt>
              </c:strCache>
            </c:strRef>
          </c:tx>
          <c:spPr>
            <a:solidFill>
              <a:schemeClr val="accent1">
                <a:lumMod val="60000"/>
                <a:lumOff val="40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'!$B$17:$AE$17</c:f>
              <c:numCache>
                <c:formatCode>0</c:formatCode>
                <c:ptCount val="14"/>
                <c:pt idx="0">
                  <c:v>7979.8928553827109</c:v>
                </c:pt>
                <c:pt idx="1">
                  <c:v>7955.4804116166206</c:v>
                </c:pt>
                <c:pt idx="2">
                  <c:v>8121.9629397478138</c:v>
                </c:pt>
                <c:pt idx="3">
                  <c:v>8117.5723434674755</c:v>
                </c:pt>
                <c:pt idx="4">
                  <c:v>8163.3744809120581</c:v>
                </c:pt>
                <c:pt idx="5">
                  <c:v>8187.6087045814329</c:v>
                </c:pt>
                <c:pt idx="6">
                  <c:v>8046.2764806199211</c:v>
                </c:pt>
                <c:pt idx="7">
                  <c:v>8096.5818315335882</c:v>
                </c:pt>
                <c:pt idx="8">
                  <c:v>8143.4543201163306</c:v>
                </c:pt>
                <c:pt idx="9">
                  <c:v>8156.0368948153437</c:v>
                </c:pt>
                <c:pt idx="10" formatCode="General">
                  <c:v>7978.4654052189098</c:v>
                </c:pt>
                <c:pt idx="11" formatCode="General">
                  <c:v>8085.5599421112111</c:v>
                </c:pt>
                <c:pt idx="12" formatCode="General">
                  <c:v>7944.4875925695133</c:v>
                </c:pt>
                <c:pt idx="13" formatCode="General">
                  <c:v>7821.5997368926064</c:v>
                </c:pt>
              </c:numCache>
            </c:numRef>
          </c:val>
          <c:extLst>
            <c:ext xmlns:c16="http://schemas.microsoft.com/office/drawing/2014/chart" uri="{C3380CC4-5D6E-409C-BE32-E72D297353CC}">
              <c16:uniqueId val="{00000008-DBBF-4CE8-97B6-2EC7D3045425}"/>
            </c:ext>
          </c:extLst>
        </c:ser>
        <c:ser>
          <c:idx val="11"/>
          <c:order val="9"/>
          <c:tx>
            <c:strRef>
              <c:f>'1.5 ΑΠΑ κλαδοι ΣΤΑΘΕΡΕΣ '!$A$18</c:f>
              <c:strCache>
                <c:ptCount val="1"/>
                <c:pt idx="0">
                  <c:v>Τέχνες, διασκέδαση και ψυχαγωγία</c:v>
                </c:pt>
              </c:strCache>
            </c:strRef>
          </c:tx>
          <c:spPr>
            <a:solidFill>
              <a:schemeClr val="tx2">
                <a:lumMod val="50000"/>
              </a:schemeClr>
            </a:solidFill>
            <a:ln>
              <a:noFill/>
            </a:ln>
            <a:effectLst/>
          </c:spPr>
          <c:invertIfNegative val="0"/>
          <c:cat>
            <c:multiLvlStrRef>
              <c:f>'1.5 ΑΠΑ κλαδοι ΣΤΑΘΕΡΕΣ '!$B$5:$AE$6</c:f>
              <c:multiLvlStrCache>
                <c:ptCount val="14"/>
                <c:lvl>
                  <c:pt idx="0">
                    <c:v>2022 Q1</c:v>
                  </c:pt>
                  <c:pt idx="1">
                    <c:v>Q2</c:v>
                  </c:pt>
                  <c:pt idx="2">
                    <c:v>Q3</c:v>
                  </c:pt>
                  <c:pt idx="3">
                    <c:v>Q4</c:v>
                  </c:pt>
                  <c:pt idx="4">
                    <c:v>2023 Q1</c:v>
                  </c:pt>
                  <c:pt idx="5">
                    <c:v>Q2</c:v>
                  </c:pt>
                  <c:pt idx="6">
                    <c:v>Q3</c:v>
                  </c:pt>
                  <c:pt idx="7">
                    <c:v>Q4</c:v>
                  </c:pt>
                  <c:pt idx="8">
                    <c:v>2024 Q1</c:v>
                  </c:pt>
                  <c:pt idx="9">
                    <c:v>Q2</c:v>
                  </c:pt>
                  <c:pt idx="10">
                    <c:v>Q3</c:v>
                  </c:pt>
                  <c:pt idx="11">
                    <c:v>Q4</c:v>
                  </c:pt>
                  <c:pt idx="12">
                    <c:v>2025 Q1</c:v>
                  </c:pt>
                  <c:pt idx="13">
                    <c:v>Q2</c:v>
                  </c:pt>
                </c:lvl>
                <c:lvl>
                  <c:pt idx="0">
                    <c:v>2022</c:v>
                  </c:pt>
                  <c:pt idx="4">
                    <c:v>2023</c:v>
                  </c:pt>
                  <c:pt idx="8">
                    <c:v>2024</c:v>
                  </c:pt>
                  <c:pt idx="12">
                    <c:v>2025</c:v>
                  </c:pt>
                </c:lvl>
              </c:multiLvlStrCache>
            </c:multiLvlStrRef>
          </c:cat>
          <c:val>
            <c:numRef>
              <c:f>'1.5 ΑΠΑ κλαδοι ΣΤΑΘΕΡΕΣ '!$B$18:$AE$18</c:f>
              <c:numCache>
                <c:formatCode>0</c:formatCode>
                <c:ptCount val="14"/>
                <c:pt idx="0">
                  <c:v>1537.8720482943254</c:v>
                </c:pt>
                <c:pt idx="1">
                  <c:v>1451.1142871439997</c:v>
                </c:pt>
                <c:pt idx="2">
                  <c:v>1482.6237822915029</c:v>
                </c:pt>
                <c:pt idx="3">
                  <c:v>1455.2520317727162</c:v>
                </c:pt>
                <c:pt idx="4">
                  <c:v>1520.6471607973824</c:v>
                </c:pt>
                <c:pt idx="5">
                  <c:v>1536.966555373064</c:v>
                </c:pt>
                <c:pt idx="6">
                  <c:v>1539.4352203923133</c:v>
                </c:pt>
                <c:pt idx="7">
                  <c:v>1575.6096561478562</c:v>
                </c:pt>
                <c:pt idx="8">
                  <c:v>1567.4739809755802</c:v>
                </c:pt>
                <c:pt idx="9">
                  <c:v>1541.1069336393164</c:v>
                </c:pt>
                <c:pt idx="10" formatCode="General">
                  <c:v>1567.4042209383811</c:v>
                </c:pt>
                <c:pt idx="11" formatCode="General">
                  <c:v>1579.6198740888815</c:v>
                </c:pt>
                <c:pt idx="12" formatCode="General">
                  <c:v>1607.8258370066023</c:v>
                </c:pt>
                <c:pt idx="13" formatCode="General">
                  <c:v>1678.2207407749625</c:v>
                </c:pt>
              </c:numCache>
            </c:numRef>
          </c:val>
          <c:extLst>
            <c:ext xmlns:c16="http://schemas.microsoft.com/office/drawing/2014/chart" uri="{C3380CC4-5D6E-409C-BE32-E72D297353CC}">
              <c16:uniqueId val="{00000009-DBBF-4CE8-97B6-2EC7D3045425}"/>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1881836127"/>
        <c:axId val="1"/>
      </c:barChart>
      <c:catAx>
        <c:axId val="188183612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
        <c:crosses val="autoZero"/>
        <c:auto val="1"/>
        <c:lblAlgn val="ctr"/>
        <c:lblOffset val="100"/>
        <c:noMultiLvlLbl val="0"/>
      </c:catAx>
      <c:valAx>
        <c:axId val="1"/>
        <c:scaling>
          <c:orientation val="minMax"/>
        </c:scaling>
        <c:delete val="0"/>
        <c:axPos val="l"/>
        <c:majorGridlines>
          <c:spPr>
            <a:ln w="6350" cap="flat" cmpd="sng" algn="ctr">
              <a:solidFill>
                <a:schemeClr val="bg1">
                  <a:lumMod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881836127"/>
        <c:crosses val="autoZero"/>
        <c:crossBetween val="between"/>
      </c:valAx>
      <c:spPr>
        <a:noFill/>
        <a:ln w="25400">
          <a:noFill/>
        </a:ln>
      </c:spPr>
    </c:plotArea>
    <c:legend>
      <c:legendPos val="l"/>
      <c:layout>
        <c:manualLayout>
          <c:xMode val="edge"/>
          <c:yMode val="edge"/>
          <c:x val="1.2712888880319477E-2"/>
          <c:y val="3.6757106516672258E-2"/>
          <c:w val="0.25441057739888356"/>
          <c:h val="0.92825896762904647"/>
        </c:manualLayout>
      </c:layout>
      <c:overlay val="0"/>
      <c:spPr>
        <a:noFill/>
        <a:ln>
          <a:noFill/>
        </a:ln>
        <a:effectLst/>
      </c:spPr>
      <c:txPr>
        <a:bodyPr rot="0" spcFirstLastPara="1" vertOverflow="ellipsis" vert="horz" wrap="square" anchor="t" anchorCtr="0"/>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chart>
  <c:spPr>
    <a:solidFill>
      <a:schemeClr val="bg1"/>
    </a:solidFill>
    <a:ln w="6350" cap="flat" cmpd="sng" algn="ctr">
      <a:solidFill>
        <a:schemeClr val="bg1">
          <a:lumMod val="85000"/>
        </a:schemeClr>
      </a:solidFill>
      <a:round/>
    </a:ln>
    <a:effectLst/>
  </c:spPr>
  <c:txPr>
    <a:bodyPr/>
    <a:lstStyle/>
    <a:p>
      <a:pPr>
        <a:defRPr/>
      </a:pPr>
      <a:endParaRPr lang="el-G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7321234807778787E-2"/>
          <c:y val="0.10688632378986669"/>
          <c:w val="0.90265345443995815"/>
          <c:h val="0.53665247073447897"/>
        </c:manualLayout>
      </c:layout>
      <c:lineChart>
        <c:grouping val="standard"/>
        <c:varyColors val="0"/>
        <c:ser>
          <c:idx val="0"/>
          <c:order val="0"/>
          <c:tx>
            <c:strRef>
              <c:f>'1.6 Εξέλιξη τιμών ενέργειας'!$B$5</c:f>
              <c:strCache>
                <c:ptCount val="1"/>
                <c:pt idx="0">
                  <c:v>Αργό πετρέλαιο Brent ($/βαρέλι)</c:v>
                </c:pt>
              </c:strCache>
            </c:strRef>
          </c:tx>
          <c:spPr>
            <a:ln w="28575" cap="rnd" cmpd="sng" algn="ctr">
              <a:solidFill>
                <a:schemeClr val="accent1"/>
              </a:solidFill>
              <a:prstDash val="solid"/>
              <a:round/>
            </a:ln>
            <a:effectLst/>
          </c:spPr>
          <c:marker>
            <c:symbol val="none"/>
          </c:marker>
          <c:cat>
            <c:strRef>
              <c:f>'1.6 Εξέλιξη τιμών ενέργειας'!$A$8:$A$75</c:f>
              <c:strCache>
                <c:ptCount val="68"/>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pt idx="22">
                  <c:v>2021M11</c:v>
                </c:pt>
                <c:pt idx="23">
                  <c:v>2021M12</c:v>
                </c:pt>
                <c:pt idx="24">
                  <c:v>2022M01</c:v>
                </c:pt>
                <c:pt idx="25">
                  <c:v>2022M02</c:v>
                </c:pt>
                <c:pt idx="26">
                  <c:v>2022M03</c:v>
                </c:pt>
                <c:pt idx="27">
                  <c:v>2022M04</c:v>
                </c:pt>
                <c:pt idx="28">
                  <c:v>2022M05</c:v>
                </c:pt>
                <c:pt idx="29">
                  <c:v>2022M06</c:v>
                </c:pt>
                <c:pt idx="30">
                  <c:v>2022M07</c:v>
                </c:pt>
                <c:pt idx="31">
                  <c:v>2022M08</c:v>
                </c:pt>
                <c:pt idx="32">
                  <c:v>2022M09</c:v>
                </c:pt>
                <c:pt idx="33">
                  <c:v>2022M10</c:v>
                </c:pt>
                <c:pt idx="34">
                  <c:v>2022M11</c:v>
                </c:pt>
                <c:pt idx="35">
                  <c:v>2022M12</c:v>
                </c:pt>
                <c:pt idx="36">
                  <c:v>2023M01</c:v>
                </c:pt>
                <c:pt idx="37">
                  <c:v>2023M02</c:v>
                </c:pt>
                <c:pt idx="38">
                  <c:v>2023M03</c:v>
                </c:pt>
                <c:pt idx="39">
                  <c:v>2023M04</c:v>
                </c:pt>
                <c:pt idx="40">
                  <c:v>2023M05</c:v>
                </c:pt>
                <c:pt idx="41">
                  <c:v>2023M06</c:v>
                </c:pt>
                <c:pt idx="42">
                  <c:v>2023M07</c:v>
                </c:pt>
                <c:pt idx="43">
                  <c:v>2023M08</c:v>
                </c:pt>
                <c:pt idx="44">
                  <c:v>2023M09</c:v>
                </c:pt>
                <c:pt idx="45">
                  <c:v>2023M10</c:v>
                </c:pt>
                <c:pt idx="46">
                  <c:v>2023M11</c:v>
                </c:pt>
                <c:pt idx="47">
                  <c:v>2023M12</c:v>
                </c:pt>
                <c:pt idx="48">
                  <c:v>2024M01</c:v>
                </c:pt>
                <c:pt idx="49">
                  <c:v>2024M02</c:v>
                </c:pt>
                <c:pt idx="50">
                  <c:v>2024M03</c:v>
                </c:pt>
                <c:pt idx="51">
                  <c:v>2024M04</c:v>
                </c:pt>
                <c:pt idx="52">
                  <c:v>2024M05</c:v>
                </c:pt>
                <c:pt idx="53">
                  <c:v>2024M06</c:v>
                </c:pt>
                <c:pt idx="54">
                  <c:v>2024M07</c:v>
                </c:pt>
                <c:pt idx="55">
                  <c:v>2024M08</c:v>
                </c:pt>
                <c:pt idx="56">
                  <c:v>2024M09</c:v>
                </c:pt>
                <c:pt idx="57">
                  <c:v>2024M10</c:v>
                </c:pt>
                <c:pt idx="58">
                  <c:v>2024M11</c:v>
                </c:pt>
                <c:pt idx="59">
                  <c:v>2024M12</c:v>
                </c:pt>
                <c:pt idx="60">
                  <c:v>2025M01</c:v>
                </c:pt>
                <c:pt idx="61">
                  <c:v>2025M02</c:v>
                </c:pt>
                <c:pt idx="62">
                  <c:v>2025M03</c:v>
                </c:pt>
                <c:pt idx="63">
                  <c:v>2025M04</c:v>
                </c:pt>
                <c:pt idx="64">
                  <c:v>2025M05</c:v>
                </c:pt>
                <c:pt idx="65">
                  <c:v>2025M06</c:v>
                </c:pt>
                <c:pt idx="66">
                  <c:v>2025M07</c:v>
                </c:pt>
                <c:pt idx="67">
                  <c:v>2025M08</c:v>
                </c:pt>
              </c:strCache>
            </c:strRef>
          </c:cat>
          <c:val>
            <c:numRef>
              <c:f>'1.6 Εξέλιξη τιμών ενέργειας'!$B$8:$B$75</c:f>
              <c:numCache>
                <c:formatCode>0.00</c:formatCode>
                <c:ptCount val="68"/>
                <c:pt idx="0">
                  <c:v>63.6</c:v>
                </c:pt>
                <c:pt idx="1">
                  <c:v>55</c:v>
                </c:pt>
                <c:pt idx="2">
                  <c:v>32.979999999999997</c:v>
                </c:pt>
                <c:pt idx="3">
                  <c:v>23.34</c:v>
                </c:pt>
                <c:pt idx="4">
                  <c:v>31.02</c:v>
                </c:pt>
                <c:pt idx="5">
                  <c:v>39.93</c:v>
                </c:pt>
                <c:pt idx="6">
                  <c:v>42.81</c:v>
                </c:pt>
                <c:pt idx="7">
                  <c:v>44.26</c:v>
                </c:pt>
                <c:pt idx="8">
                  <c:v>41.09</c:v>
                </c:pt>
                <c:pt idx="9">
                  <c:v>40.47</c:v>
                </c:pt>
                <c:pt idx="10">
                  <c:v>43.23</c:v>
                </c:pt>
                <c:pt idx="11">
                  <c:v>49.87</c:v>
                </c:pt>
                <c:pt idx="12">
                  <c:v>54.55</c:v>
                </c:pt>
                <c:pt idx="13">
                  <c:v>61.96</c:v>
                </c:pt>
                <c:pt idx="14">
                  <c:v>65.19</c:v>
                </c:pt>
                <c:pt idx="15">
                  <c:v>64.77</c:v>
                </c:pt>
                <c:pt idx="16">
                  <c:v>68.040000000000006</c:v>
                </c:pt>
                <c:pt idx="17">
                  <c:v>73.069999999999993</c:v>
                </c:pt>
                <c:pt idx="18">
                  <c:v>74.39</c:v>
                </c:pt>
                <c:pt idx="19">
                  <c:v>70.02</c:v>
                </c:pt>
                <c:pt idx="20">
                  <c:v>74.599999999999994</c:v>
                </c:pt>
                <c:pt idx="21">
                  <c:v>83.65</c:v>
                </c:pt>
                <c:pt idx="22">
                  <c:v>80.77</c:v>
                </c:pt>
                <c:pt idx="23">
                  <c:v>74.31</c:v>
                </c:pt>
                <c:pt idx="24">
                  <c:v>85.53</c:v>
                </c:pt>
                <c:pt idx="25">
                  <c:v>95.76</c:v>
                </c:pt>
                <c:pt idx="26">
                  <c:v>115.59</c:v>
                </c:pt>
                <c:pt idx="27">
                  <c:v>105.78</c:v>
                </c:pt>
                <c:pt idx="28">
                  <c:v>112.37</c:v>
                </c:pt>
                <c:pt idx="29">
                  <c:v>120.08</c:v>
                </c:pt>
                <c:pt idx="30">
                  <c:v>108.92</c:v>
                </c:pt>
                <c:pt idx="31">
                  <c:v>98.6</c:v>
                </c:pt>
                <c:pt idx="32">
                  <c:v>90.16</c:v>
                </c:pt>
                <c:pt idx="33">
                  <c:v>93.13</c:v>
                </c:pt>
                <c:pt idx="34">
                  <c:v>91.07</c:v>
                </c:pt>
                <c:pt idx="35">
                  <c:v>80.900000000000006</c:v>
                </c:pt>
                <c:pt idx="36">
                  <c:v>83.09</c:v>
                </c:pt>
                <c:pt idx="37">
                  <c:v>82.71</c:v>
                </c:pt>
                <c:pt idx="38">
                  <c:v>78.53</c:v>
                </c:pt>
                <c:pt idx="39">
                  <c:v>84.11</c:v>
                </c:pt>
                <c:pt idx="40">
                  <c:v>75.7</c:v>
                </c:pt>
                <c:pt idx="41">
                  <c:v>74.89</c:v>
                </c:pt>
                <c:pt idx="42">
                  <c:v>80.099999999999994</c:v>
                </c:pt>
                <c:pt idx="43">
                  <c:v>86.162999999999997</c:v>
                </c:pt>
                <c:pt idx="44">
                  <c:v>94</c:v>
                </c:pt>
                <c:pt idx="45">
                  <c:v>91.061000000000007</c:v>
                </c:pt>
                <c:pt idx="46">
                  <c:v>83.183000000000007</c:v>
                </c:pt>
                <c:pt idx="47">
                  <c:v>77.858000000000004</c:v>
                </c:pt>
                <c:pt idx="48">
                  <c:v>80.227000000000004</c:v>
                </c:pt>
                <c:pt idx="49">
                  <c:v>83.763999999999996</c:v>
                </c:pt>
                <c:pt idx="50">
                  <c:v>85.447000000000003</c:v>
                </c:pt>
                <c:pt idx="51">
                  <c:v>90.054000000000002</c:v>
                </c:pt>
                <c:pt idx="52">
                  <c:v>81.995000000000005</c:v>
                </c:pt>
                <c:pt idx="53">
                  <c:v>82.555000000000007</c:v>
                </c:pt>
                <c:pt idx="54">
                  <c:v>85.296000000000006</c:v>
                </c:pt>
                <c:pt idx="55">
                  <c:v>80.863</c:v>
                </c:pt>
                <c:pt idx="56">
                  <c:v>74.293000000000006</c:v>
                </c:pt>
                <c:pt idx="57">
                  <c:v>75.662000000000006</c:v>
                </c:pt>
                <c:pt idx="58">
                  <c:v>74.394999999999996</c:v>
                </c:pt>
                <c:pt idx="59">
                  <c:v>73.832999999999998</c:v>
                </c:pt>
                <c:pt idx="60">
                  <c:v>79.206000000000003</c:v>
                </c:pt>
                <c:pt idx="61">
                  <c:v>75.156999999999996</c:v>
                </c:pt>
                <c:pt idx="62">
                  <c:v>72.573999999999998</c:v>
                </c:pt>
                <c:pt idx="63">
                  <c:v>67.745000000000005</c:v>
                </c:pt>
                <c:pt idx="64">
                  <c:v>64.206000000000003</c:v>
                </c:pt>
                <c:pt idx="65">
                  <c:v>71.45</c:v>
                </c:pt>
                <c:pt idx="66">
                  <c:v>70.950999999999993</c:v>
                </c:pt>
                <c:pt idx="67">
                  <c:v>68.2</c:v>
                </c:pt>
              </c:numCache>
            </c:numRef>
          </c:val>
          <c:smooth val="0"/>
          <c:extLst>
            <c:ext xmlns:c16="http://schemas.microsoft.com/office/drawing/2014/chart" uri="{C3380CC4-5D6E-409C-BE32-E72D297353CC}">
              <c16:uniqueId val="{00000000-0A90-4A10-81C9-0969EFF52D2F}"/>
            </c:ext>
          </c:extLst>
        </c:ser>
        <c:dLbls>
          <c:showLegendKey val="0"/>
          <c:showVal val="0"/>
          <c:showCatName val="0"/>
          <c:showSerName val="0"/>
          <c:showPercent val="0"/>
          <c:showBubbleSize val="0"/>
        </c:dLbls>
        <c:marker val="1"/>
        <c:smooth val="0"/>
        <c:axId val="720508928"/>
        <c:axId val="1"/>
      </c:lineChart>
      <c:lineChart>
        <c:grouping val="standard"/>
        <c:varyColors val="0"/>
        <c:ser>
          <c:idx val="1"/>
          <c:order val="1"/>
          <c:tx>
            <c:strRef>
              <c:f>'1.6 Εξέλιξη τιμών ενέργειας'!$C$5</c:f>
              <c:strCache>
                <c:ptCount val="1"/>
                <c:pt idx="0">
                  <c:v>Άνθρακας ($/μετρικό τόνο, δεξιός άξονας)</c:v>
                </c:pt>
              </c:strCache>
            </c:strRef>
          </c:tx>
          <c:spPr>
            <a:ln w="28575" cap="rnd" cmpd="sng" algn="ctr">
              <a:solidFill>
                <a:schemeClr val="tx2">
                  <a:lumMod val="75000"/>
                </a:schemeClr>
              </a:solidFill>
              <a:prstDash val="solid"/>
              <a:round/>
            </a:ln>
            <a:effectLst/>
          </c:spPr>
          <c:marker>
            <c:symbol val="none"/>
          </c:marker>
          <c:cat>
            <c:strRef>
              <c:f>'1.6 Εξέλιξη τιμών ενέργειας'!$A$8:$A$75</c:f>
              <c:strCache>
                <c:ptCount val="68"/>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pt idx="22">
                  <c:v>2021M11</c:v>
                </c:pt>
                <c:pt idx="23">
                  <c:v>2021M12</c:v>
                </c:pt>
                <c:pt idx="24">
                  <c:v>2022M01</c:v>
                </c:pt>
                <c:pt idx="25">
                  <c:v>2022M02</c:v>
                </c:pt>
                <c:pt idx="26">
                  <c:v>2022M03</c:v>
                </c:pt>
                <c:pt idx="27">
                  <c:v>2022M04</c:v>
                </c:pt>
                <c:pt idx="28">
                  <c:v>2022M05</c:v>
                </c:pt>
                <c:pt idx="29">
                  <c:v>2022M06</c:v>
                </c:pt>
                <c:pt idx="30">
                  <c:v>2022M07</c:v>
                </c:pt>
                <c:pt idx="31">
                  <c:v>2022M08</c:v>
                </c:pt>
                <c:pt idx="32">
                  <c:v>2022M09</c:v>
                </c:pt>
                <c:pt idx="33">
                  <c:v>2022M10</c:v>
                </c:pt>
                <c:pt idx="34">
                  <c:v>2022M11</c:v>
                </c:pt>
                <c:pt idx="35">
                  <c:v>2022M12</c:v>
                </c:pt>
                <c:pt idx="36">
                  <c:v>2023M01</c:v>
                </c:pt>
                <c:pt idx="37">
                  <c:v>2023M02</c:v>
                </c:pt>
                <c:pt idx="38">
                  <c:v>2023M03</c:v>
                </c:pt>
                <c:pt idx="39">
                  <c:v>2023M04</c:v>
                </c:pt>
                <c:pt idx="40">
                  <c:v>2023M05</c:v>
                </c:pt>
                <c:pt idx="41">
                  <c:v>2023M06</c:v>
                </c:pt>
                <c:pt idx="42">
                  <c:v>2023M07</c:v>
                </c:pt>
                <c:pt idx="43">
                  <c:v>2023M08</c:v>
                </c:pt>
                <c:pt idx="44">
                  <c:v>2023M09</c:v>
                </c:pt>
                <c:pt idx="45">
                  <c:v>2023M10</c:v>
                </c:pt>
                <c:pt idx="46">
                  <c:v>2023M11</c:v>
                </c:pt>
                <c:pt idx="47">
                  <c:v>2023M12</c:v>
                </c:pt>
                <c:pt idx="48">
                  <c:v>2024M01</c:v>
                </c:pt>
                <c:pt idx="49">
                  <c:v>2024M02</c:v>
                </c:pt>
                <c:pt idx="50">
                  <c:v>2024M03</c:v>
                </c:pt>
                <c:pt idx="51">
                  <c:v>2024M04</c:v>
                </c:pt>
                <c:pt idx="52">
                  <c:v>2024M05</c:v>
                </c:pt>
                <c:pt idx="53">
                  <c:v>2024M06</c:v>
                </c:pt>
                <c:pt idx="54">
                  <c:v>2024M07</c:v>
                </c:pt>
                <c:pt idx="55">
                  <c:v>2024M08</c:v>
                </c:pt>
                <c:pt idx="56">
                  <c:v>2024M09</c:v>
                </c:pt>
                <c:pt idx="57">
                  <c:v>2024M10</c:v>
                </c:pt>
                <c:pt idx="58">
                  <c:v>2024M11</c:v>
                </c:pt>
                <c:pt idx="59">
                  <c:v>2024M12</c:v>
                </c:pt>
                <c:pt idx="60">
                  <c:v>2025M01</c:v>
                </c:pt>
                <c:pt idx="61">
                  <c:v>2025M02</c:v>
                </c:pt>
                <c:pt idx="62">
                  <c:v>2025M03</c:v>
                </c:pt>
                <c:pt idx="63">
                  <c:v>2025M04</c:v>
                </c:pt>
                <c:pt idx="64">
                  <c:v>2025M05</c:v>
                </c:pt>
                <c:pt idx="65">
                  <c:v>2025M06</c:v>
                </c:pt>
                <c:pt idx="66">
                  <c:v>2025M07</c:v>
                </c:pt>
                <c:pt idx="67">
                  <c:v>2025M08</c:v>
                </c:pt>
              </c:strCache>
            </c:strRef>
          </c:cat>
          <c:val>
            <c:numRef>
              <c:f>'1.6 Εξέλιξη τιμών ενέργειας'!$C$8:$C$75</c:f>
              <c:numCache>
                <c:formatCode>0.00</c:formatCode>
                <c:ptCount val="68"/>
                <c:pt idx="0">
                  <c:v>82.09</c:v>
                </c:pt>
                <c:pt idx="1">
                  <c:v>79.989999999999995</c:v>
                </c:pt>
                <c:pt idx="2">
                  <c:v>67.89</c:v>
                </c:pt>
                <c:pt idx="3">
                  <c:v>56.58</c:v>
                </c:pt>
                <c:pt idx="4">
                  <c:v>57.42</c:v>
                </c:pt>
                <c:pt idx="5">
                  <c:v>56.81</c:v>
                </c:pt>
                <c:pt idx="6">
                  <c:v>56.6</c:v>
                </c:pt>
                <c:pt idx="7">
                  <c:v>57.38</c:v>
                </c:pt>
                <c:pt idx="8">
                  <c:v>57.47</c:v>
                </c:pt>
                <c:pt idx="9">
                  <c:v>61.04</c:v>
                </c:pt>
                <c:pt idx="10">
                  <c:v>69.430000000000007</c:v>
                </c:pt>
                <c:pt idx="11">
                  <c:v>85.18</c:v>
                </c:pt>
                <c:pt idx="12">
                  <c:v>86.85</c:v>
                </c:pt>
                <c:pt idx="13">
                  <c:v>82.76</c:v>
                </c:pt>
                <c:pt idx="14">
                  <c:v>90.66</c:v>
                </c:pt>
                <c:pt idx="15">
                  <c:v>89.13</c:v>
                </c:pt>
                <c:pt idx="16">
                  <c:v>99.31</c:v>
                </c:pt>
                <c:pt idx="17">
                  <c:v>112.92</c:v>
                </c:pt>
                <c:pt idx="18">
                  <c:v>122.33</c:v>
                </c:pt>
                <c:pt idx="19">
                  <c:v>137.91999999999999</c:v>
                </c:pt>
                <c:pt idx="20">
                  <c:v>146.05275137829301</c:v>
                </c:pt>
                <c:pt idx="21">
                  <c:v>199.65</c:v>
                </c:pt>
                <c:pt idx="22">
                  <c:v>128</c:v>
                </c:pt>
                <c:pt idx="23">
                  <c:v>142.5</c:v>
                </c:pt>
                <c:pt idx="24">
                  <c:v>168.5</c:v>
                </c:pt>
                <c:pt idx="25">
                  <c:v>196.4</c:v>
                </c:pt>
                <c:pt idx="26">
                  <c:v>294.42</c:v>
                </c:pt>
                <c:pt idx="27">
                  <c:v>302</c:v>
                </c:pt>
                <c:pt idx="28">
                  <c:v>280</c:v>
                </c:pt>
                <c:pt idx="29">
                  <c:v>291.35680000000002</c:v>
                </c:pt>
                <c:pt idx="30">
                  <c:v>269.08655771317001</c:v>
                </c:pt>
                <c:pt idx="31">
                  <c:v>274.61946388545999</c:v>
                </c:pt>
                <c:pt idx="32">
                  <c:v>234.98445322436999</c:v>
                </c:pt>
                <c:pt idx="33">
                  <c:v>191.21987979183999</c:v>
                </c:pt>
                <c:pt idx="34">
                  <c:v>169.09656696556999</c:v>
                </c:pt>
                <c:pt idx="35">
                  <c:v>215</c:v>
                </c:pt>
                <c:pt idx="36">
                  <c:v>172</c:v>
                </c:pt>
                <c:pt idx="37">
                  <c:v>144.66999999999999</c:v>
                </c:pt>
                <c:pt idx="38">
                  <c:v>136.84</c:v>
                </c:pt>
                <c:pt idx="39">
                  <c:v>133.74510000000001</c:v>
                </c:pt>
                <c:pt idx="40">
                  <c:v>103</c:v>
                </c:pt>
                <c:pt idx="41">
                  <c:v>98.58</c:v>
                </c:pt>
                <c:pt idx="42">
                  <c:v>96.75</c:v>
                </c:pt>
                <c:pt idx="43">
                  <c:v>97.604600000000005</c:v>
                </c:pt>
                <c:pt idx="44">
                  <c:v>99.85</c:v>
                </c:pt>
                <c:pt idx="45">
                  <c:v>128.4</c:v>
                </c:pt>
                <c:pt idx="46">
                  <c:v>109</c:v>
                </c:pt>
                <c:pt idx="47">
                  <c:v>108.82940000000001</c:v>
                </c:pt>
                <c:pt idx="48">
                  <c:v>106.75</c:v>
                </c:pt>
                <c:pt idx="49">
                  <c:v>105.193</c:v>
                </c:pt>
                <c:pt idx="50">
                  <c:v>104.84</c:v>
                </c:pt>
                <c:pt idx="51">
                  <c:v>104.89</c:v>
                </c:pt>
                <c:pt idx="52">
                  <c:v>105.63</c:v>
                </c:pt>
                <c:pt idx="53">
                  <c:v>105.3</c:v>
                </c:pt>
                <c:pt idx="54">
                  <c:v>105.31</c:v>
                </c:pt>
                <c:pt idx="55">
                  <c:v>106.21</c:v>
                </c:pt>
                <c:pt idx="56">
                  <c:v>106.07</c:v>
                </c:pt>
                <c:pt idx="57">
                  <c:v>106.81</c:v>
                </c:pt>
                <c:pt idx="58">
                  <c:v>106.82</c:v>
                </c:pt>
                <c:pt idx="59">
                  <c:v>105.47</c:v>
                </c:pt>
                <c:pt idx="60">
                  <c:v>103.28</c:v>
                </c:pt>
                <c:pt idx="61">
                  <c:v>100.41</c:v>
                </c:pt>
                <c:pt idx="62">
                  <c:v>97.99</c:v>
                </c:pt>
                <c:pt idx="63">
                  <c:v>95.56</c:v>
                </c:pt>
                <c:pt idx="64">
                  <c:v>94.33</c:v>
                </c:pt>
                <c:pt idx="65">
                  <c:v>93.78</c:v>
                </c:pt>
                <c:pt idx="66">
                  <c:v>93.635499999999993</c:v>
                </c:pt>
                <c:pt idx="67">
                  <c:v>93.29</c:v>
                </c:pt>
              </c:numCache>
            </c:numRef>
          </c:val>
          <c:smooth val="0"/>
          <c:extLst>
            <c:ext xmlns:c16="http://schemas.microsoft.com/office/drawing/2014/chart" uri="{C3380CC4-5D6E-409C-BE32-E72D297353CC}">
              <c16:uniqueId val="{00000001-0A90-4A10-81C9-0969EFF52D2F}"/>
            </c:ext>
          </c:extLst>
        </c:ser>
        <c:ser>
          <c:idx val="3"/>
          <c:order val="2"/>
          <c:tx>
            <c:strRef>
              <c:f>'1.6 Εξέλιξη τιμών ενέργειας'!$D$5</c:f>
              <c:strCache>
                <c:ptCount val="1"/>
                <c:pt idx="0">
                  <c:v>Φυσικό αέριο, ΗΠΑ ($/mmbtu)</c:v>
                </c:pt>
              </c:strCache>
            </c:strRef>
          </c:tx>
          <c:spPr>
            <a:ln w="28575" cap="rnd" cmpd="sng" algn="ctr">
              <a:solidFill>
                <a:schemeClr val="accent4">
                  <a:lumMod val="75000"/>
                </a:schemeClr>
              </a:solidFill>
              <a:prstDash val="solid"/>
              <a:round/>
            </a:ln>
            <a:effectLst/>
          </c:spPr>
          <c:marker>
            <c:symbol val="none"/>
          </c:marker>
          <c:cat>
            <c:strRef>
              <c:f>'1.6 Εξέλιξη τιμών ενέργειας'!$A$8:$A$75</c:f>
              <c:strCache>
                <c:ptCount val="68"/>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pt idx="22">
                  <c:v>2021M11</c:v>
                </c:pt>
                <c:pt idx="23">
                  <c:v>2021M12</c:v>
                </c:pt>
                <c:pt idx="24">
                  <c:v>2022M01</c:v>
                </c:pt>
                <c:pt idx="25">
                  <c:v>2022M02</c:v>
                </c:pt>
                <c:pt idx="26">
                  <c:v>2022M03</c:v>
                </c:pt>
                <c:pt idx="27">
                  <c:v>2022M04</c:v>
                </c:pt>
                <c:pt idx="28">
                  <c:v>2022M05</c:v>
                </c:pt>
                <c:pt idx="29">
                  <c:v>2022M06</c:v>
                </c:pt>
                <c:pt idx="30">
                  <c:v>2022M07</c:v>
                </c:pt>
                <c:pt idx="31">
                  <c:v>2022M08</c:v>
                </c:pt>
                <c:pt idx="32">
                  <c:v>2022M09</c:v>
                </c:pt>
                <c:pt idx="33">
                  <c:v>2022M10</c:v>
                </c:pt>
                <c:pt idx="34">
                  <c:v>2022M11</c:v>
                </c:pt>
                <c:pt idx="35">
                  <c:v>2022M12</c:v>
                </c:pt>
                <c:pt idx="36">
                  <c:v>2023M01</c:v>
                </c:pt>
                <c:pt idx="37">
                  <c:v>2023M02</c:v>
                </c:pt>
                <c:pt idx="38">
                  <c:v>2023M03</c:v>
                </c:pt>
                <c:pt idx="39">
                  <c:v>2023M04</c:v>
                </c:pt>
                <c:pt idx="40">
                  <c:v>2023M05</c:v>
                </c:pt>
                <c:pt idx="41">
                  <c:v>2023M06</c:v>
                </c:pt>
                <c:pt idx="42">
                  <c:v>2023M07</c:v>
                </c:pt>
                <c:pt idx="43">
                  <c:v>2023M08</c:v>
                </c:pt>
                <c:pt idx="44">
                  <c:v>2023M09</c:v>
                </c:pt>
                <c:pt idx="45">
                  <c:v>2023M10</c:v>
                </c:pt>
                <c:pt idx="46">
                  <c:v>2023M11</c:v>
                </c:pt>
                <c:pt idx="47">
                  <c:v>2023M12</c:v>
                </c:pt>
                <c:pt idx="48">
                  <c:v>2024M01</c:v>
                </c:pt>
                <c:pt idx="49">
                  <c:v>2024M02</c:v>
                </c:pt>
                <c:pt idx="50">
                  <c:v>2024M03</c:v>
                </c:pt>
                <c:pt idx="51">
                  <c:v>2024M04</c:v>
                </c:pt>
                <c:pt idx="52">
                  <c:v>2024M05</c:v>
                </c:pt>
                <c:pt idx="53">
                  <c:v>2024M06</c:v>
                </c:pt>
                <c:pt idx="54">
                  <c:v>2024M07</c:v>
                </c:pt>
                <c:pt idx="55">
                  <c:v>2024M08</c:v>
                </c:pt>
                <c:pt idx="56">
                  <c:v>2024M09</c:v>
                </c:pt>
                <c:pt idx="57">
                  <c:v>2024M10</c:v>
                </c:pt>
                <c:pt idx="58">
                  <c:v>2024M11</c:v>
                </c:pt>
                <c:pt idx="59">
                  <c:v>2024M12</c:v>
                </c:pt>
                <c:pt idx="60">
                  <c:v>2025M01</c:v>
                </c:pt>
                <c:pt idx="61">
                  <c:v>2025M02</c:v>
                </c:pt>
                <c:pt idx="62">
                  <c:v>2025M03</c:v>
                </c:pt>
                <c:pt idx="63">
                  <c:v>2025M04</c:v>
                </c:pt>
                <c:pt idx="64">
                  <c:v>2025M05</c:v>
                </c:pt>
                <c:pt idx="65">
                  <c:v>2025M06</c:v>
                </c:pt>
                <c:pt idx="66">
                  <c:v>2025M07</c:v>
                </c:pt>
                <c:pt idx="67">
                  <c:v>2025M08</c:v>
                </c:pt>
              </c:strCache>
            </c:strRef>
          </c:cat>
          <c:val>
            <c:numRef>
              <c:f>'1.6 Εξέλιξη τιμών ενέργειας'!$D$8:$D$75</c:f>
              <c:numCache>
                <c:formatCode>0.00</c:formatCode>
                <c:ptCount val="68"/>
                <c:pt idx="0">
                  <c:v>2.0305</c:v>
                </c:pt>
                <c:pt idx="1">
                  <c:v>1.9157999999999999</c:v>
                </c:pt>
                <c:pt idx="2">
                  <c:v>1.7927</c:v>
                </c:pt>
                <c:pt idx="3">
                  <c:v>1.7385999999999999</c:v>
                </c:pt>
                <c:pt idx="4">
                  <c:v>1.7524999999999999</c:v>
                </c:pt>
                <c:pt idx="5">
                  <c:v>1.6128</c:v>
                </c:pt>
                <c:pt idx="6">
                  <c:v>1.7352000000000001</c:v>
                </c:pt>
                <c:pt idx="7">
                  <c:v>2.3016999999999999</c:v>
                </c:pt>
                <c:pt idx="8">
                  <c:v>1.9186000000000001</c:v>
                </c:pt>
                <c:pt idx="9">
                  <c:v>2.2473000000000001</c:v>
                </c:pt>
                <c:pt idx="10">
                  <c:v>2.5880999999999998</c:v>
                </c:pt>
                <c:pt idx="11">
                  <c:v>2.5387</c:v>
                </c:pt>
                <c:pt idx="12">
                  <c:v>2.6655000000000002</c:v>
                </c:pt>
                <c:pt idx="13">
                  <c:v>5.0651000000000002</c:v>
                </c:pt>
                <c:pt idx="14">
                  <c:v>2.5644999999999998</c:v>
                </c:pt>
                <c:pt idx="15">
                  <c:v>2.61</c:v>
                </c:pt>
                <c:pt idx="16">
                  <c:v>2.8883999999999999</c:v>
                </c:pt>
                <c:pt idx="17">
                  <c:v>3.2317999999999998</c:v>
                </c:pt>
                <c:pt idx="18">
                  <c:v>3.8035999999999999</c:v>
                </c:pt>
                <c:pt idx="19">
                  <c:v>4.0486000000000004</c:v>
                </c:pt>
                <c:pt idx="20">
                  <c:v>5.1111000000000004</c:v>
                </c:pt>
                <c:pt idx="21">
                  <c:v>5.4779999999999998</c:v>
                </c:pt>
                <c:pt idx="22">
                  <c:v>5.0175999999999998</c:v>
                </c:pt>
                <c:pt idx="23">
                  <c:v>3.7326999999999999</c:v>
                </c:pt>
                <c:pt idx="24">
                  <c:v>4.3324999999999996</c:v>
                </c:pt>
                <c:pt idx="25">
                  <c:v>4.6577000000000002</c:v>
                </c:pt>
                <c:pt idx="26">
                  <c:v>4.8838999999999997</c:v>
                </c:pt>
                <c:pt idx="27">
                  <c:v>6.5305999999999997</c:v>
                </c:pt>
                <c:pt idx="28">
                  <c:v>8.1372999999999998</c:v>
                </c:pt>
                <c:pt idx="29">
                  <c:v>7.6740000000000004</c:v>
                </c:pt>
                <c:pt idx="30">
                  <c:v>7.2561</c:v>
                </c:pt>
                <c:pt idx="31">
                  <c:v>8.7853999999999992</c:v>
                </c:pt>
                <c:pt idx="32">
                  <c:v>7.7629000000000001</c:v>
                </c:pt>
                <c:pt idx="33">
                  <c:v>5.6195000000000004</c:v>
                </c:pt>
                <c:pt idx="34">
                  <c:v>5.2769000000000004</c:v>
                </c:pt>
                <c:pt idx="35">
                  <c:v>5.5030000000000001</c:v>
                </c:pt>
                <c:pt idx="36">
                  <c:v>3.2728000000000002</c:v>
                </c:pt>
                <c:pt idx="37">
                  <c:v>2.3835999999999999</c:v>
                </c:pt>
                <c:pt idx="38">
                  <c:v>2.3048999999999999</c:v>
                </c:pt>
                <c:pt idx="39">
                  <c:v>2.1610999999999998</c:v>
                </c:pt>
                <c:pt idx="40">
                  <c:v>2.1463999999999999</c:v>
                </c:pt>
                <c:pt idx="41">
                  <c:v>2.1833999999999998</c:v>
                </c:pt>
                <c:pt idx="42">
                  <c:v>2.5539999999999998</c:v>
                </c:pt>
                <c:pt idx="43">
                  <c:v>2.5844999999999998</c:v>
                </c:pt>
                <c:pt idx="44">
                  <c:v>2.6395</c:v>
                </c:pt>
                <c:pt idx="45">
                  <c:v>2.9885999999999999</c:v>
                </c:pt>
                <c:pt idx="46">
                  <c:v>2.7084000000000001</c:v>
                </c:pt>
                <c:pt idx="47">
                  <c:v>2.5265</c:v>
                </c:pt>
                <c:pt idx="48">
                  <c:v>3.1806000000000001</c:v>
                </c:pt>
                <c:pt idx="49">
                  <c:v>1.7211000000000001</c:v>
                </c:pt>
                <c:pt idx="50">
                  <c:v>1.4999</c:v>
                </c:pt>
                <c:pt idx="51">
                  <c:v>1.5967</c:v>
                </c:pt>
                <c:pt idx="52">
                  <c:v>2.1314000000000002</c:v>
                </c:pt>
                <c:pt idx="53">
                  <c:v>2.5123000000000002</c:v>
                </c:pt>
                <c:pt idx="54">
                  <c:v>2.0750999999999999</c:v>
                </c:pt>
                <c:pt idx="55">
                  <c:v>1.9903</c:v>
                </c:pt>
                <c:pt idx="56">
                  <c:v>2.2507999999999999</c:v>
                </c:pt>
                <c:pt idx="57">
                  <c:v>2.2077</c:v>
                </c:pt>
                <c:pt idx="58">
                  <c:v>2.1044999999999998</c:v>
                </c:pt>
                <c:pt idx="59">
                  <c:v>3.0228999999999999</c:v>
                </c:pt>
                <c:pt idx="60">
                  <c:v>4.0991</c:v>
                </c:pt>
                <c:pt idx="61">
                  <c:v>4.2225999999999999</c:v>
                </c:pt>
                <c:pt idx="62">
                  <c:v>4.1280999999999999</c:v>
                </c:pt>
                <c:pt idx="63">
                  <c:v>3.3997999999999999</c:v>
                </c:pt>
                <c:pt idx="64">
                  <c:v>3.1152000000000002</c:v>
                </c:pt>
                <c:pt idx="65">
                  <c:v>3.0219999999999998</c:v>
                </c:pt>
                <c:pt idx="66">
                  <c:v>3.1922000000000001</c:v>
                </c:pt>
                <c:pt idx="67">
                  <c:v>2.91</c:v>
                </c:pt>
              </c:numCache>
            </c:numRef>
          </c:val>
          <c:smooth val="0"/>
          <c:extLst>
            <c:ext xmlns:c16="http://schemas.microsoft.com/office/drawing/2014/chart" uri="{C3380CC4-5D6E-409C-BE32-E72D297353CC}">
              <c16:uniqueId val="{00000002-0A90-4A10-81C9-0969EFF52D2F}"/>
            </c:ext>
          </c:extLst>
        </c:ser>
        <c:ser>
          <c:idx val="4"/>
          <c:order val="3"/>
          <c:tx>
            <c:strRef>
              <c:f>'1.6 Εξέλιξη τιμών ενέργειας'!$F$5</c:f>
              <c:strCache>
                <c:ptCount val="1"/>
                <c:pt idx="0">
                  <c:v>Φυσικό αέριο, Ευρώπη (€/MWh, δεξιός άξονας)</c:v>
                </c:pt>
              </c:strCache>
            </c:strRef>
          </c:tx>
          <c:spPr>
            <a:ln w="28575" cap="rnd" cmpd="sng" algn="ctr">
              <a:solidFill>
                <a:schemeClr val="accent5"/>
              </a:solidFill>
              <a:prstDash val="solid"/>
              <a:round/>
            </a:ln>
            <a:effectLst/>
          </c:spPr>
          <c:marker>
            <c:symbol val="none"/>
          </c:marker>
          <c:cat>
            <c:strRef>
              <c:f>'1.6 Εξέλιξη τιμών ενέργειας'!$A$8:$A$75</c:f>
              <c:strCache>
                <c:ptCount val="68"/>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pt idx="22">
                  <c:v>2021M11</c:v>
                </c:pt>
                <c:pt idx="23">
                  <c:v>2021M12</c:v>
                </c:pt>
                <c:pt idx="24">
                  <c:v>2022M01</c:v>
                </c:pt>
                <c:pt idx="25">
                  <c:v>2022M02</c:v>
                </c:pt>
                <c:pt idx="26">
                  <c:v>2022M03</c:v>
                </c:pt>
                <c:pt idx="27">
                  <c:v>2022M04</c:v>
                </c:pt>
                <c:pt idx="28">
                  <c:v>2022M05</c:v>
                </c:pt>
                <c:pt idx="29">
                  <c:v>2022M06</c:v>
                </c:pt>
                <c:pt idx="30">
                  <c:v>2022M07</c:v>
                </c:pt>
                <c:pt idx="31">
                  <c:v>2022M08</c:v>
                </c:pt>
                <c:pt idx="32">
                  <c:v>2022M09</c:v>
                </c:pt>
                <c:pt idx="33">
                  <c:v>2022M10</c:v>
                </c:pt>
                <c:pt idx="34">
                  <c:v>2022M11</c:v>
                </c:pt>
                <c:pt idx="35">
                  <c:v>2022M12</c:v>
                </c:pt>
                <c:pt idx="36">
                  <c:v>2023M01</c:v>
                </c:pt>
                <c:pt idx="37">
                  <c:v>2023M02</c:v>
                </c:pt>
                <c:pt idx="38">
                  <c:v>2023M03</c:v>
                </c:pt>
                <c:pt idx="39">
                  <c:v>2023M04</c:v>
                </c:pt>
                <c:pt idx="40">
                  <c:v>2023M05</c:v>
                </c:pt>
                <c:pt idx="41">
                  <c:v>2023M06</c:v>
                </c:pt>
                <c:pt idx="42">
                  <c:v>2023M07</c:v>
                </c:pt>
                <c:pt idx="43">
                  <c:v>2023M08</c:v>
                </c:pt>
                <c:pt idx="44">
                  <c:v>2023M09</c:v>
                </c:pt>
                <c:pt idx="45">
                  <c:v>2023M10</c:v>
                </c:pt>
                <c:pt idx="46">
                  <c:v>2023M11</c:v>
                </c:pt>
                <c:pt idx="47">
                  <c:v>2023M12</c:v>
                </c:pt>
                <c:pt idx="48">
                  <c:v>2024M01</c:v>
                </c:pt>
                <c:pt idx="49">
                  <c:v>2024M02</c:v>
                </c:pt>
                <c:pt idx="50">
                  <c:v>2024M03</c:v>
                </c:pt>
                <c:pt idx="51">
                  <c:v>2024M04</c:v>
                </c:pt>
                <c:pt idx="52">
                  <c:v>2024M05</c:v>
                </c:pt>
                <c:pt idx="53">
                  <c:v>2024M06</c:v>
                </c:pt>
                <c:pt idx="54">
                  <c:v>2024M07</c:v>
                </c:pt>
                <c:pt idx="55">
                  <c:v>2024M08</c:v>
                </c:pt>
                <c:pt idx="56">
                  <c:v>2024M09</c:v>
                </c:pt>
                <c:pt idx="57">
                  <c:v>2024M10</c:v>
                </c:pt>
                <c:pt idx="58">
                  <c:v>2024M11</c:v>
                </c:pt>
                <c:pt idx="59">
                  <c:v>2024M12</c:v>
                </c:pt>
                <c:pt idx="60">
                  <c:v>2025M01</c:v>
                </c:pt>
                <c:pt idx="61">
                  <c:v>2025M02</c:v>
                </c:pt>
                <c:pt idx="62">
                  <c:v>2025M03</c:v>
                </c:pt>
                <c:pt idx="63">
                  <c:v>2025M04</c:v>
                </c:pt>
                <c:pt idx="64">
                  <c:v>2025M05</c:v>
                </c:pt>
                <c:pt idx="65">
                  <c:v>2025M06</c:v>
                </c:pt>
                <c:pt idx="66">
                  <c:v>2025M07</c:v>
                </c:pt>
                <c:pt idx="67">
                  <c:v>2025M08</c:v>
                </c:pt>
              </c:strCache>
            </c:strRef>
          </c:cat>
          <c:val>
            <c:numRef>
              <c:f>'1.6 Εξέλιξη τιμών ενέργειας'!$F$8:$F$75</c:f>
              <c:numCache>
                <c:formatCode>0.00</c:formatCode>
                <c:ptCount val="68"/>
                <c:pt idx="0">
                  <c:v>12.98</c:v>
                </c:pt>
                <c:pt idx="1">
                  <c:v>9.6</c:v>
                </c:pt>
                <c:pt idx="2">
                  <c:v>9.6449999999999996</c:v>
                </c:pt>
                <c:pt idx="3">
                  <c:v>7.67</c:v>
                </c:pt>
                <c:pt idx="4">
                  <c:v>6.375</c:v>
                </c:pt>
                <c:pt idx="5">
                  <c:v>6.5449999999999999</c:v>
                </c:pt>
                <c:pt idx="6">
                  <c:v>6.37</c:v>
                </c:pt>
                <c:pt idx="7">
                  <c:v>11.625</c:v>
                </c:pt>
                <c:pt idx="8">
                  <c:v>13.595000000000001</c:v>
                </c:pt>
                <c:pt idx="9">
                  <c:v>15.76</c:v>
                </c:pt>
                <c:pt idx="10">
                  <c:v>15.305</c:v>
                </c:pt>
                <c:pt idx="11">
                  <c:v>19.55</c:v>
                </c:pt>
                <c:pt idx="12">
                  <c:v>26.15</c:v>
                </c:pt>
                <c:pt idx="13">
                  <c:v>20.3</c:v>
                </c:pt>
                <c:pt idx="14">
                  <c:v>19.2</c:v>
                </c:pt>
                <c:pt idx="15">
                  <c:v>23.395</c:v>
                </c:pt>
                <c:pt idx="16">
                  <c:v>26.95</c:v>
                </c:pt>
                <c:pt idx="17">
                  <c:v>34.935000000000002</c:v>
                </c:pt>
                <c:pt idx="18">
                  <c:v>41.755000000000003</c:v>
                </c:pt>
                <c:pt idx="19">
                  <c:v>50.92</c:v>
                </c:pt>
                <c:pt idx="20">
                  <c:v>97.77</c:v>
                </c:pt>
                <c:pt idx="21">
                  <c:v>132.93</c:v>
                </c:pt>
                <c:pt idx="22">
                  <c:v>99.85</c:v>
                </c:pt>
                <c:pt idx="23">
                  <c:v>180.26</c:v>
                </c:pt>
                <c:pt idx="24">
                  <c:v>97.02</c:v>
                </c:pt>
                <c:pt idx="25">
                  <c:v>135</c:v>
                </c:pt>
                <c:pt idx="26">
                  <c:v>227.2</c:v>
                </c:pt>
                <c:pt idx="27">
                  <c:v>114.75</c:v>
                </c:pt>
                <c:pt idx="28">
                  <c:v>115.005</c:v>
                </c:pt>
                <c:pt idx="29">
                  <c:v>144.51</c:v>
                </c:pt>
                <c:pt idx="30">
                  <c:v>205.22</c:v>
                </c:pt>
                <c:pt idx="31">
                  <c:v>339.19</c:v>
                </c:pt>
                <c:pt idx="32">
                  <c:v>243</c:v>
                </c:pt>
                <c:pt idx="33">
                  <c:v>175.71</c:v>
                </c:pt>
                <c:pt idx="34">
                  <c:v>146.38999999999999</c:v>
                </c:pt>
                <c:pt idx="35">
                  <c:v>149.24</c:v>
                </c:pt>
                <c:pt idx="36">
                  <c:v>81.150000000000006</c:v>
                </c:pt>
                <c:pt idx="37">
                  <c:v>60.8</c:v>
                </c:pt>
                <c:pt idx="38">
                  <c:v>54.45</c:v>
                </c:pt>
                <c:pt idx="39">
                  <c:v>51.99</c:v>
                </c:pt>
                <c:pt idx="40">
                  <c:v>38.83</c:v>
                </c:pt>
                <c:pt idx="41">
                  <c:v>43.53</c:v>
                </c:pt>
                <c:pt idx="42">
                  <c:v>37.82</c:v>
                </c:pt>
                <c:pt idx="43">
                  <c:v>44.8</c:v>
                </c:pt>
                <c:pt idx="44">
                  <c:v>44.73</c:v>
                </c:pt>
                <c:pt idx="45">
                  <c:v>56.1</c:v>
                </c:pt>
                <c:pt idx="46">
                  <c:v>50.4</c:v>
                </c:pt>
                <c:pt idx="47">
                  <c:v>44.15</c:v>
                </c:pt>
                <c:pt idx="48">
                  <c:v>35.055</c:v>
                </c:pt>
                <c:pt idx="49">
                  <c:v>30.89</c:v>
                </c:pt>
                <c:pt idx="50">
                  <c:v>29.745000000000001</c:v>
                </c:pt>
                <c:pt idx="51">
                  <c:v>33.950000000000003</c:v>
                </c:pt>
                <c:pt idx="52">
                  <c:v>36.234999999999999</c:v>
                </c:pt>
                <c:pt idx="53">
                  <c:v>38.700000000000003</c:v>
                </c:pt>
                <c:pt idx="54">
                  <c:v>36</c:v>
                </c:pt>
                <c:pt idx="55">
                  <c:v>42.86</c:v>
                </c:pt>
                <c:pt idx="56">
                  <c:v>39.96</c:v>
                </c:pt>
                <c:pt idx="57">
                  <c:v>43.75</c:v>
                </c:pt>
                <c:pt idx="58">
                  <c:v>49.55</c:v>
                </c:pt>
                <c:pt idx="59">
                  <c:v>50.57</c:v>
                </c:pt>
                <c:pt idx="60">
                  <c:v>53.84</c:v>
                </c:pt>
                <c:pt idx="61">
                  <c:v>59.39</c:v>
                </c:pt>
                <c:pt idx="62">
                  <c:v>47.3</c:v>
                </c:pt>
                <c:pt idx="63">
                  <c:v>43.094999999999999</c:v>
                </c:pt>
                <c:pt idx="64">
                  <c:v>37.935000000000002</c:v>
                </c:pt>
                <c:pt idx="65">
                  <c:v>42.44</c:v>
                </c:pt>
                <c:pt idx="66">
                  <c:v>36.32</c:v>
                </c:pt>
                <c:pt idx="67">
                  <c:v>35.4</c:v>
                </c:pt>
              </c:numCache>
            </c:numRef>
          </c:val>
          <c:smooth val="0"/>
          <c:extLst>
            <c:ext xmlns:c16="http://schemas.microsoft.com/office/drawing/2014/chart" uri="{C3380CC4-5D6E-409C-BE32-E72D297353CC}">
              <c16:uniqueId val="{00000003-0A90-4A10-81C9-0969EFF52D2F}"/>
            </c:ext>
          </c:extLst>
        </c:ser>
        <c:dLbls>
          <c:showLegendKey val="0"/>
          <c:showVal val="0"/>
          <c:showCatName val="0"/>
          <c:showSerName val="0"/>
          <c:showPercent val="0"/>
          <c:showBubbleSize val="0"/>
        </c:dLbls>
        <c:marker val="1"/>
        <c:smooth val="0"/>
        <c:axId val="3"/>
        <c:axId val="4"/>
      </c:lineChart>
      <c:catAx>
        <c:axId val="72050892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700" b="0"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crossAx val="1"/>
        <c:crosses val="autoZero"/>
        <c:auto val="1"/>
        <c:lblAlgn val="ctr"/>
        <c:lblOffset val="100"/>
        <c:noMultiLvlLbl val="0"/>
      </c:catAx>
      <c:valAx>
        <c:axId val="1"/>
        <c:scaling>
          <c:orientation val="minMax"/>
        </c:scaling>
        <c:delete val="0"/>
        <c:axPos val="l"/>
        <c:majorGridlines>
          <c:spPr>
            <a:ln w="6350" cap="flat" cmpd="sng" algn="ctr">
              <a:solidFill>
                <a:schemeClr val="bg1">
                  <a:lumMod val="85000"/>
                </a:schemeClr>
              </a:solidFill>
              <a:prstDash val="solid"/>
              <a:round/>
            </a:ln>
            <a:effectLst/>
          </c:spPr>
        </c:majorGridlines>
        <c:numFmt formatCode="0"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700" b="0"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crossAx val="72050892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crossAx val="3"/>
        <c:crosses val="max"/>
        <c:crossBetween val="between"/>
      </c:valAx>
      <c:spPr>
        <a:solidFill>
          <a:schemeClr val="bg1"/>
        </a:solidFill>
        <a:ln>
          <a:noFill/>
        </a:ln>
        <a:effectLst/>
      </c:spPr>
    </c:plotArea>
    <c:legend>
      <c:legendPos val="r"/>
      <c:layout>
        <c:manualLayout>
          <c:xMode val="edge"/>
          <c:yMode val="edge"/>
          <c:x val="0.1159803453454757"/>
          <c:y val="0.81511605971128598"/>
          <c:w val="0.78547869759523303"/>
          <c:h val="0.18155341131491509"/>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legend>
    <c:plotVisOnly val="1"/>
    <c:dispBlanksAs val="gap"/>
    <c:showDLblsOverMax val="0"/>
  </c:chart>
  <c:spPr>
    <a:solidFill>
      <a:schemeClr val="bg1"/>
    </a:solidFill>
    <a:ln w="9525" cap="flat" cmpd="sng" algn="ctr">
      <a:solidFill>
        <a:schemeClr val="bg1">
          <a:lumMod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4.179375482802284E-2"/>
          <c:y val="4.5997614840931227E-2"/>
          <c:w val="0.94253672774488273"/>
          <c:h val="0.65930546549328395"/>
        </c:manualLayout>
      </c:layout>
      <c:barChart>
        <c:barDir val="col"/>
        <c:grouping val="stacked"/>
        <c:varyColors val="0"/>
        <c:ser>
          <c:idx val="1"/>
          <c:order val="1"/>
          <c:tx>
            <c:strRef>
              <c:f>'1.7 Διάγραμμα Τρεχου Συναλλαγων'!$A$4</c:f>
              <c:strCache>
                <c:ptCount val="1"/>
                <c:pt idx="0">
                  <c:v>Ισοζύγιο αγαθών</c:v>
                </c:pt>
              </c:strCache>
            </c:strRef>
          </c:tx>
          <c:spPr>
            <a:solidFill>
              <a:schemeClr val="tx2">
                <a:lumMod val="75000"/>
              </a:schemeClr>
            </a:solidFill>
            <a:ln>
              <a:noFill/>
            </a:ln>
            <a:effectLst/>
          </c:spPr>
          <c:invertIfNegative val="0"/>
          <c:val>
            <c:numRef>
              <c:f>'1.7 Διάγραμμα Τρεχου Συναλλαγων'!$B$4:$BP$4</c:f>
              <c:numCache>
                <c:formatCode>#,##0.0</c:formatCode>
                <c:ptCount val="67"/>
                <c:pt idx="0">
                  <c:v>-1997.3206030000001</c:v>
                </c:pt>
                <c:pt idx="1">
                  <c:v>-1793.8791930000002</c:v>
                </c:pt>
                <c:pt idx="2">
                  <c:v>-1803.0530620000004</c:v>
                </c:pt>
                <c:pt idx="3">
                  <c:v>-1266.3717300000001</c:v>
                </c:pt>
                <c:pt idx="4">
                  <c:v>-1206.2537480000003</c:v>
                </c:pt>
                <c:pt idx="5">
                  <c:v>-1340.1300350000001</c:v>
                </c:pt>
                <c:pt idx="6">
                  <c:v>-1595.7250249999997</c:v>
                </c:pt>
                <c:pt idx="7">
                  <c:v>-1631.2531409999999</c:v>
                </c:pt>
                <c:pt idx="8">
                  <c:v>-1491.273721</c:v>
                </c:pt>
                <c:pt idx="9">
                  <c:v>-1438.1877440000003</c:v>
                </c:pt>
                <c:pt idx="10">
                  <c:v>-1438.2573980000002</c:v>
                </c:pt>
                <c:pt idx="11">
                  <c:v>-1526.3641960000004</c:v>
                </c:pt>
                <c:pt idx="12">
                  <c:v>-1613.718484</c:v>
                </c:pt>
                <c:pt idx="13">
                  <c:v>-1277.2047349999998</c:v>
                </c:pt>
                <c:pt idx="14">
                  <c:v>-2167.7642600000004</c:v>
                </c:pt>
                <c:pt idx="15">
                  <c:v>-1960.590768</c:v>
                </c:pt>
                <c:pt idx="16">
                  <c:v>-1816.7049899999997</c:v>
                </c:pt>
                <c:pt idx="17">
                  <c:v>-2090.3998660000002</c:v>
                </c:pt>
                <c:pt idx="18">
                  <c:v>-2352.9298220000005</c:v>
                </c:pt>
                <c:pt idx="19">
                  <c:v>-2420.8321659999997</c:v>
                </c:pt>
                <c:pt idx="20">
                  <c:v>-2308.8193420000002</c:v>
                </c:pt>
                <c:pt idx="21">
                  <c:v>-2497.7948539999993</c:v>
                </c:pt>
                <c:pt idx="22">
                  <c:v>-2907.6260620000003</c:v>
                </c:pt>
                <c:pt idx="23">
                  <c:v>-3304.6673479999995</c:v>
                </c:pt>
                <c:pt idx="24">
                  <c:v>-3118.4187540000007</c:v>
                </c:pt>
                <c:pt idx="25">
                  <c:v>-3374.2411690000004</c:v>
                </c:pt>
                <c:pt idx="26">
                  <c:v>-2714.4461529999999</c:v>
                </c:pt>
                <c:pt idx="27">
                  <c:v>-2991.4831130000002</c:v>
                </c:pt>
                <c:pt idx="28">
                  <c:v>-3444.1610259999998</c:v>
                </c:pt>
                <c:pt idx="29">
                  <c:v>-3161.466676</c:v>
                </c:pt>
                <c:pt idx="30">
                  <c:v>-3190.1778909999994</c:v>
                </c:pt>
                <c:pt idx="31">
                  <c:v>-3045.6005789999999</c:v>
                </c:pt>
                <c:pt idx="32">
                  <c:v>-3694.7805840000019</c:v>
                </c:pt>
                <c:pt idx="33">
                  <c:v>-4077.8559649999997</c:v>
                </c:pt>
                <c:pt idx="34">
                  <c:v>-3753.2093859999995</c:v>
                </c:pt>
                <c:pt idx="35">
                  <c:v>-2991.7188030000007</c:v>
                </c:pt>
                <c:pt idx="36">
                  <c:v>-2529.0723859999998</c:v>
                </c:pt>
                <c:pt idx="37">
                  <c:v>-2279.9359559999994</c:v>
                </c:pt>
                <c:pt idx="38">
                  <c:v>-2586.2191730000004</c:v>
                </c:pt>
                <c:pt idx="39">
                  <c:v>-2314.2395049999996</c:v>
                </c:pt>
                <c:pt idx="40">
                  <c:v>-3027.445154</c:v>
                </c:pt>
                <c:pt idx="41">
                  <c:v>-2682.4303490000011</c:v>
                </c:pt>
                <c:pt idx="42">
                  <c:v>-2645.0364170000003</c:v>
                </c:pt>
                <c:pt idx="43">
                  <c:v>-2956.9784540000001</c:v>
                </c:pt>
                <c:pt idx="44">
                  <c:v>-2806.1204420000004</c:v>
                </c:pt>
                <c:pt idx="45">
                  <c:v>-2942.5892650000005</c:v>
                </c:pt>
                <c:pt idx="46">
                  <c:v>-2833.2687029999997</c:v>
                </c:pt>
                <c:pt idx="47">
                  <c:v>-3423.6001269999992</c:v>
                </c:pt>
                <c:pt idx="48">
                  <c:v>-2659.2352230000001</c:v>
                </c:pt>
                <c:pt idx="49">
                  <c:v>-3071.8118270000004</c:v>
                </c:pt>
                <c:pt idx="50">
                  <c:v>-2550.6801160000005</c:v>
                </c:pt>
                <c:pt idx="51">
                  <c:v>-3126.7016639999993</c:v>
                </c:pt>
                <c:pt idx="52">
                  <c:v>-3452.6531649999997</c:v>
                </c:pt>
                <c:pt idx="53">
                  <c:v>-2475.1146560000007</c:v>
                </c:pt>
                <c:pt idx="54">
                  <c:v>-2844.7962969999999</c:v>
                </c:pt>
                <c:pt idx="55">
                  <c:v>-2669.3877600000001</c:v>
                </c:pt>
                <c:pt idx="56">
                  <c:v>-3140.2303870000001</c:v>
                </c:pt>
                <c:pt idx="57">
                  <c:v>-3249.2166919999995</c:v>
                </c:pt>
                <c:pt idx="58">
                  <c:v>-3233.8190589999999</c:v>
                </c:pt>
                <c:pt idx="59">
                  <c:v>-3191.8984770000002</c:v>
                </c:pt>
                <c:pt idx="60">
                  <c:v>-2906.1471720000004</c:v>
                </c:pt>
                <c:pt idx="61">
                  <c:v>-2504.5366049999993</c:v>
                </c:pt>
                <c:pt idx="62">
                  <c:v>-3098.8199439999999</c:v>
                </c:pt>
                <c:pt idx="63">
                  <c:v>-2882.7770769999997</c:v>
                </c:pt>
                <c:pt idx="64">
                  <c:v>-2361.5307229999999</c:v>
                </c:pt>
                <c:pt idx="65">
                  <c:v>-3163.1874310000003</c:v>
                </c:pt>
                <c:pt idx="66">
                  <c:v>-2917.4774659999985</c:v>
                </c:pt>
              </c:numCache>
            </c:numRef>
          </c:val>
          <c:extLst>
            <c:ext xmlns:c16="http://schemas.microsoft.com/office/drawing/2014/chart" uri="{C3380CC4-5D6E-409C-BE32-E72D297353CC}">
              <c16:uniqueId val="{00000000-308E-424F-9C01-381C8E4F61BC}"/>
            </c:ext>
          </c:extLst>
        </c:ser>
        <c:ser>
          <c:idx val="2"/>
          <c:order val="2"/>
          <c:tx>
            <c:strRef>
              <c:f>'1.7 Διάγραμμα Τρεχου Συναλλαγων'!$A$5</c:f>
              <c:strCache>
                <c:ptCount val="1"/>
                <c:pt idx="0">
                  <c:v>Ισοζύγιο υπηρεσιών</c:v>
                </c:pt>
              </c:strCache>
            </c:strRef>
          </c:tx>
          <c:spPr>
            <a:solidFill>
              <a:schemeClr val="accent1"/>
            </a:solidFill>
            <a:ln>
              <a:noFill/>
            </a:ln>
            <a:effectLst/>
          </c:spPr>
          <c:invertIfNegative val="0"/>
          <c:val>
            <c:numRef>
              <c:f>'1.7 Διάγραμμα Τρεχου Συναλλαγων'!$B$5:$BP$5</c:f>
              <c:numCache>
                <c:formatCode>#,##0.0</c:formatCode>
                <c:ptCount val="67"/>
                <c:pt idx="0">
                  <c:v>401.03117499999985</c:v>
                </c:pt>
                <c:pt idx="1">
                  <c:v>386.88435299999992</c:v>
                </c:pt>
                <c:pt idx="2">
                  <c:v>355.82720300000005</c:v>
                </c:pt>
                <c:pt idx="3">
                  <c:v>386.52043299999968</c:v>
                </c:pt>
                <c:pt idx="4">
                  <c:v>331.05563299999994</c:v>
                </c:pt>
                <c:pt idx="5">
                  <c:v>312.68612499999995</c:v>
                </c:pt>
                <c:pt idx="6">
                  <c:v>892.05924800000025</c:v>
                </c:pt>
                <c:pt idx="7">
                  <c:v>1601.1553899999992</c:v>
                </c:pt>
                <c:pt idx="8">
                  <c:v>1106.3313620000001</c:v>
                </c:pt>
                <c:pt idx="9">
                  <c:v>868.89847000000032</c:v>
                </c:pt>
                <c:pt idx="10">
                  <c:v>418.49056700000006</c:v>
                </c:pt>
                <c:pt idx="11">
                  <c:v>217.38948600000072</c:v>
                </c:pt>
                <c:pt idx="12">
                  <c:v>275.76836899999989</c:v>
                </c:pt>
                <c:pt idx="13">
                  <c:v>168.10291300000017</c:v>
                </c:pt>
                <c:pt idx="14">
                  <c:v>275.83677699999976</c:v>
                </c:pt>
                <c:pt idx="15">
                  <c:v>302.14731500000016</c:v>
                </c:pt>
                <c:pt idx="16">
                  <c:v>328.31477399999972</c:v>
                </c:pt>
                <c:pt idx="17">
                  <c:v>840.77788300000043</c:v>
                </c:pt>
                <c:pt idx="18">
                  <c:v>2466.9720449999995</c:v>
                </c:pt>
                <c:pt idx="19">
                  <c:v>3303.7345129999999</c:v>
                </c:pt>
                <c:pt idx="20">
                  <c:v>2304.8521250000003</c:v>
                </c:pt>
                <c:pt idx="21">
                  <c:v>1683.1679980000004</c:v>
                </c:pt>
                <c:pt idx="22">
                  <c:v>484.92634400000043</c:v>
                </c:pt>
                <c:pt idx="23">
                  <c:v>410.3710860000001</c:v>
                </c:pt>
                <c:pt idx="24">
                  <c:v>334.4145390000001</c:v>
                </c:pt>
                <c:pt idx="25">
                  <c:v>226.96102199999928</c:v>
                </c:pt>
                <c:pt idx="26">
                  <c:v>396.19420500000069</c:v>
                </c:pt>
                <c:pt idx="27">
                  <c:v>794.38996600000019</c:v>
                </c:pt>
                <c:pt idx="28">
                  <c:v>1610.2184569999999</c:v>
                </c:pt>
                <c:pt idx="29">
                  <c:v>2643.1471489999999</c:v>
                </c:pt>
                <c:pt idx="30">
                  <c:v>3815.9086890000008</c:v>
                </c:pt>
                <c:pt idx="31">
                  <c:v>4314.6999599999999</c:v>
                </c:pt>
                <c:pt idx="32">
                  <c:v>2945.5266510000006</c:v>
                </c:pt>
                <c:pt idx="33">
                  <c:v>1589.8608770000005</c:v>
                </c:pt>
                <c:pt idx="34">
                  <c:v>359.8859450000009</c:v>
                </c:pt>
                <c:pt idx="35">
                  <c:v>360.06097500000033</c:v>
                </c:pt>
                <c:pt idx="36">
                  <c:v>245.9845320000004</c:v>
                </c:pt>
                <c:pt idx="37">
                  <c:v>344.37354700000037</c:v>
                </c:pt>
                <c:pt idx="38">
                  <c:v>415.84016299999985</c:v>
                </c:pt>
                <c:pt idx="39">
                  <c:v>811.87275300000056</c:v>
                </c:pt>
                <c:pt idx="40">
                  <c:v>1814.1714640000009</c:v>
                </c:pt>
                <c:pt idx="41">
                  <c:v>2990.0508420000001</c:v>
                </c:pt>
                <c:pt idx="42">
                  <c:v>4366.8068489999987</c:v>
                </c:pt>
                <c:pt idx="43">
                  <c:v>4505.2919290000009</c:v>
                </c:pt>
                <c:pt idx="44">
                  <c:v>3490.2039819999991</c:v>
                </c:pt>
                <c:pt idx="45">
                  <c:v>2002.5867720000006</c:v>
                </c:pt>
                <c:pt idx="46">
                  <c:v>448.41072000000031</c:v>
                </c:pt>
                <c:pt idx="47">
                  <c:v>382.87556200000063</c:v>
                </c:pt>
                <c:pt idx="48">
                  <c:v>452.89337199999954</c:v>
                </c:pt>
                <c:pt idx="49">
                  <c:v>396.01710299999968</c:v>
                </c:pt>
                <c:pt idx="50">
                  <c:v>507.84836200000063</c:v>
                </c:pt>
                <c:pt idx="51">
                  <c:v>941.21685400000024</c:v>
                </c:pt>
                <c:pt idx="52">
                  <c:v>1875.2320410000002</c:v>
                </c:pt>
                <c:pt idx="53">
                  <c:v>3134.3027950000005</c:v>
                </c:pt>
                <c:pt idx="54">
                  <c:v>4060.7203309999995</c:v>
                </c:pt>
                <c:pt idx="55">
                  <c:v>4333.2934600000008</c:v>
                </c:pt>
                <c:pt idx="56">
                  <c:v>3582.142918999999</c:v>
                </c:pt>
                <c:pt idx="57">
                  <c:v>2210.4740709999996</c:v>
                </c:pt>
                <c:pt idx="58">
                  <c:v>632.29690500000015</c:v>
                </c:pt>
                <c:pt idx="59">
                  <c:v>491.82791799999995</c:v>
                </c:pt>
                <c:pt idx="60">
                  <c:v>255.11146899999994</c:v>
                </c:pt>
                <c:pt idx="61">
                  <c:v>309.97309399999995</c:v>
                </c:pt>
                <c:pt idx="62">
                  <c:v>347.58619200000021</c:v>
                </c:pt>
                <c:pt idx="63">
                  <c:v>1001.032690999999</c:v>
                </c:pt>
                <c:pt idx="64">
                  <c:v>2208.612001</c:v>
                </c:pt>
                <c:pt idx="65">
                  <c:v>3223.7781969999996</c:v>
                </c:pt>
                <c:pt idx="66">
                  <c:v>4495.1580170000016</c:v>
                </c:pt>
              </c:numCache>
            </c:numRef>
          </c:val>
          <c:extLst>
            <c:ext xmlns:c16="http://schemas.microsoft.com/office/drawing/2014/chart" uri="{C3380CC4-5D6E-409C-BE32-E72D297353CC}">
              <c16:uniqueId val="{00000001-308E-424F-9C01-381C8E4F61BC}"/>
            </c:ext>
          </c:extLst>
        </c:ser>
        <c:ser>
          <c:idx val="3"/>
          <c:order val="3"/>
          <c:tx>
            <c:strRef>
              <c:f>'1.7 Διάγραμμα Τρεχου Συναλλαγων'!$A$6</c:f>
              <c:strCache>
                <c:ptCount val="1"/>
                <c:pt idx="0">
                  <c:v>Ισοζύγιο πρωτογενών εισοδημάτων</c:v>
                </c:pt>
              </c:strCache>
            </c:strRef>
          </c:tx>
          <c:spPr>
            <a:solidFill>
              <a:srgbClr val="00B0F0"/>
            </a:solidFill>
            <a:ln>
              <a:noFill/>
            </a:ln>
            <a:effectLst/>
          </c:spPr>
          <c:invertIfNegative val="0"/>
          <c:val>
            <c:numRef>
              <c:f>'1.7 Διάγραμμα Τρεχου Συναλλαγων'!$B$6:$BP$6</c:f>
              <c:numCache>
                <c:formatCode>#,##0.0</c:formatCode>
                <c:ptCount val="67"/>
                <c:pt idx="0">
                  <c:v>406.33807645000002</c:v>
                </c:pt>
                <c:pt idx="1">
                  <c:v>170.88779869999996</c:v>
                </c:pt>
                <c:pt idx="2">
                  <c:v>182.97240574999995</c:v>
                </c:pt>
                <c:pt idx="3">
                  <c:v>-125.87921685000003</c:v>
                </c:pt>
                <c:pt idx="4">
                  <c:v>80.346306349999907</c:v>
                </c:pt>
                <c:pt idx="5">
                  <c:v>-324.63683014999992</c:v>
                </c:pt>
                <c:pt idx="6">
                  <c:v>-530.99288210000009</c:v>
                </c:pt>
                <c:pt idx="7">
                  <c:v>-182.80549595000002</c:v>
                </c:pt>
                <c:pt idx="8">
                  <c:v>23.082077650000031</c:v>
                </c:pt>
                <c:pt idx="9">
                  <c:v>-26.499587400000109</c:v>
                </c:pt>
                <c:pt idx="10">
                  <c:v>-60.35225105000012</c:v>
                </c:pt>
                <c:pt idx="11">
                  <c:v>111.67705635000004</c:v>
                </c:pt>
                <c:pt idx="12">
                  <c:v>709.17879049999988</c:v>
                </c:pt>
                <c:pt idx="13">
                  <c:v>390.42675320000012</c:v>
                </c:pt>
                <c:pt idx="14">
                  <c:v>416.4969643</c:v>
                </c:pt>
                <c:pt idx="15">
                  <c:v>-104.31122450000004</c:v>
                </c:pt>
                <c:pt idx="16">
                  <c:v>197.24517005000007</c:v>
                </c:pt>
                <c:pt idx="17">
                  <c:v>-125.16639780000003</c:v>
                </c:pt>
                <c:pt idx="18">
                  <c:v>-368.26019519999988</c:v>
                </c:pt>
                <c:pt idx="19">
                  <c:v>-375.05868069999991</c:v>
                </c:pt>
                <c:pt idx="20">
                  <c:v>-86.091179849999946</c:v>
                </c:pt>
                <c:pt idx="21">
                  <c:v>-156.23800645</c:v>
                </c:pt>
                <c:pt idx="22">
                  <c:v>-151.14737235000013</c:v>
                </c:pt>
                <c:pt idx="23">
                  <c:v>21.627572449999889</c:v>
                </c:pt>
                <c:pt idx="24">
                  <c:v>462.66514004999999</c:v>
                </c:pt>
                <c:pt idx="25">
                  <c:v>660.01883585000007</c:v>
                </c:pt>
                <c:pt idx="26">
                  <c:v>-96.876137899999947</c:v>
                </c:pt>
                <c:pt idx="27">
                  <c:v>-92.17015925000004</c:v>
                </c:pt>
                <c:pt idx="28">
                  <c:v>7.597105450000015</c:v>
                </c:pt>
                <c:pt idx="29">
                  <c:v>-326.75857459999997</c:v>
                </c:pt>
                <c:pt idx="30">
                  <c:v>-370.37536415</c:v>
                </c:pt>
                <c:pt idx="31">
                  <c:v>-597.69677934999993</c:v>
                </c:pt>
                <c:pt idx="32">
                  <c:v>78.104472700000088</c:v>
                </c:pt>
                <c:pt idx="33">
                  <c:v>-72.201932199999987</c:v>
                </c:pt>
                <c:pt idx="34">
                  <c:v>-327.33160745000009</c:v>
                </c:pt>
                <c:pt idx="35">
                  <c:v>-82.635704900000064</c:v>
                </c:pt>
                <c:pt idx="36">
                  <c:v>616.91239584999971</c:v>
                </c:pt>
                <c:pt idx="37">
                  <c:v>577.75133240000014</c:v>
                </c:pt>
                <c:pt idx="38">
                  <c:v>-550.56985869999994</c:v>
                </c:pt>
                <c:pt idx="39">
                  <c:v>-207.66955105</c:v>
                </c:pt>
                <c:pt idx="40">
                  <c:v>-193.32234494999989</c:v>
                </c:pt>
                <c:pt idx="41">
                  <c:v>-868.42624589999969</c:v>
                </c:pt>
                <c:pt idx="42">
                  <c:v>-648.65581075</c:v>
                </c:pt>
                <c:pt idx="43">
                  <c:v>-750.42197724999994</c:v>
                </c:pt>
                <c:pt idx="44">
                  <c:v>-793.40643260000002</c:v>
                </c:pt>
                <c:pt idx="45">
                  <c:v>-85.42777245000002</c:v>
                </c:pt>
                <c:pt idx="46">
                  <c:v>-590.56060124999988</c:v>
                </c:pt>
                <c:pt idx="47">
                  <c:v>-553.7786276999999</c:v>
                </c:pt>
                <c:pt idx="48">
                  <c:v>464.0840768999999</c:v>
                </c:pt>
                <c:pt idx="49">
                  <c:v>-231.23488465000014</c:v>
                </c:pt>
                <c:pt idx="50">
                  <c:v>-343.32676679999986</c:v>
                </c:pt>
                <c:pt idx="51">
                  <c:v>-171.15696209999999</c:v>
                </c:pt>
                <c:pt idx="52">
                  <c:v>-514.94020405000003</c:v>
                </c:pt>
                <c:pt idx="53">
                  <c:v>-308.08939400000031</c:v>
                </c:pt>
                <c:pt idx="54">
                  <c:v>-824.20937394999987</c:v>
                </c:pt>
                <c:pt idx="55">
                  <c:v>-940.70133640000006</c:v>
                </c:pt>
                <c:pt idx="56">
                  <c:v>-645.9995328</c:v>
                </c:pt>
                <c:pt idx="57">
                  <c:v>277.15357844999994</c:v>
                </c:pt>
                <c:pt idx="58">
                  <c:v>-371.45354855000016</c:v>
                </c:pt>
                <c:pt idx="59">
                  <c:v>-682.46569470000009</c:v>
                </c:pt>
                <c:pt idx="60">
                  <c:v>400.06778079999981</c:v>
                </c:pt>
                <c:pt idx="61">
                  <c:v>-112.11476410000023</c:v>
                </c:pt>
                <c:pt idx="62">
                  <c:v>-147.15473765000002</c:v>
                </c:pt>
                <c:pt idx="63">
                  <c:v>-4.9208334500000319</c:v>
                </c:pt>
                <c:pt idx="64">
                  <c:v>-167.41603754999983</c:v>
                </c:pt>
                <c:pt idx="65">
                  <c:v>-973.75545429999988</c:v>
                </c:pt>
                <c:pt idx="66">
                  <c:v>-407.71024519999969</c:v>
                </c:pt>
              </c:numCache>
            </c:numRef>
          </c:val>
          <c:extLst>
            <c:ext xmlns:c16="http://schemas.microsoft.com/office/drawing/2014/chart" uri="{C3380CC4-5D6E-409C-BE32-E72D297353CC}">
              <c16:uniqueId val="{00000002-308E-424F-9C01-381C8E4F61BC}"/>
            </c:ext>
          </c:extLst>
        </c:ser>
        <c:ser>
          <c:idx val="4"/>
          <c:order val="4"/>
          <c:tx>
            <c:strRef>
              <c:f>'1.7 Διάγραμμα Τρεχου Συναλλαγων'!$A$7</c:f>
              <c:strCache>
                <c:ptCount val="1"/>
                <c:pt idx="0">
                  <c:v>Ισοζύγιο δευτερογενών εισοδημάτων</c:v>
                </c:pt>
              </c:strCache>
            </c:strRef>
          </c:tx>
          <c:spPr>
            <a:solidFill>
              <a:schemeClr val="accent1">
                <a:tint val="54000"/>
              </a:schemeClr>
            </a:solidFill>
            <a:ln>
              <a:noFill/>
            </a:ln>
            <a:effectLst/>
          </c:spPr>
          <c:invertIfNegative val="0"/>
          <c:val>
            <c:numRef>
              <c:f>'1.7 Διάγραμμα Τρεχου Συναλλαγων'!$B$7:$BP$7</c:f>
              <c:numCache>
                <c:formatCode>#,##0.0</c:formatCode>
                <c:ptCount val="67"/>
                <c:pt idx="0">
                  <c:v>-84.562216449999994</c:v>
                </c:pt>
                <c:pt idx="1">
                  <c:v>96.492687299999943</c:v>
                </c:pt>
                <c:pt idx="2">
                  <c:v>160.08917625000004</c:v>
                </c:pt>
                <c:pt idx="3">
                  <c:v>-125.44524915</c:v>
                </c:pt>
                <c:pt idx="4">
                  <c:v>-116.14081634999997</c:v>
                </c:pt>
                <c:pt idx="5">
                  <c:v>-58.468110849999988</c:v>
                </c:pt>
                <c:pt idx="6">
                  <c:v>452.3016561</c:v>
                </c:pt>
                <c:pt idx="7">
                  <c:v>62.129158949999976</c:v>
                </c:pt>
                <c:pt idx="8">
                  <c:v>-84.45137164999997</c:v>
                </c:pt>
                <c:pt idx="9">
                  <c:v>-139.95274960000003</c:v>
                </c:pt>
                <c:pt idx="10">
                  <c:v>-158.70210795</c:v>
                </c:pt>
                <c:pt idx="11">
                  <c:v>557.87999964999995</c:v>
                </c:pt>
                <c:pt idx="12">
                  <c:v>128.45373550000005</c:v>
                </c:pt>
                <c:pt idx="13">
                  <c:v>-84.226270199999988</c:v>
                </c:pt>
                <c:pt idx="14">
                  <c:v>-12.315486300000032</c:v>
                </c:pt>
                <c:pt idx="15">
                  <c:v>-335.18812750000001</c:v>
                </c:pt>
                <c:pt idx="16">
                  <c:v>-96.06746105000002</c:v>
                </c:pt>
                <c:pt idx="17">
                  <c:v>27.273086800000016</c:v>
                </c:pt>
                <c:pt idx="18">
                  <c:v>669.28184419999991</c:v>
                </c:pt>
                <c:pt idx="19">
                  <c:v>893.76504569999986</c:v>
                </c:pt>
                <c:pt idx="20">
                  <c:v>-206.19515015000002</c:v>
                </c:pt>
                <c:pt idx="21">
                  <c:v>-179.81445154999997</c:v>
                </c:pt>
                <c:pt idx="22">
                  <c:v>-166.89951065</c:v>
                </c:pt>
                <c:pt idx="23">
                  <c:v>595.73326055000007</c:v>
                </c:pt>
                <c:pt idx="24">
                  <c:v>147.12499694999997</c:v>
                </c:pt>
                <c:pt idx="25">
                  <c:v>66.82466015</c:v>
                </c:pt>
                <c:pt idx="26">
                  <c:v>-194.07442309999999</c:v>
                </c:pt>
                <c:pt idx="27">
                  <c:v>544.16523024999992</c:v>
                </c:pt>
                <c:pt idx="28">
                  <c:v>-458.3789644499999</c:v>
                </c:pt>
                <c:pt idx="29">
                  <c:v>-266.48942839999995</c:v>
                </c:pt>
                <c:pt idx="30">
                  <c:v>564.38019815000007</c:v>
                </c:pt>
                <c:pt idx="31">
                  <c:v>-193.67493464999998</c:v>
                </c:pt>
                <c:pt idx="32">
                  <c:v>-178.81097969999996</c:v>
                </c:pt>
                <c:pt idx="33">
                  <c:v>-150.99448179999999</c:v>
                </c:pt>
                <c:pt idx="34">
                  <c:v>-188.22254855000003</c:v>
                </c:pt>
                <c:pt idx="35">
                  <c:v>6.5255359000000226</c:v>
                </c:pt>
                <c:pt idx="36">
                  <c:v>1500.78329665</c:v>
                </c:pt>
                <c:pt idx="37">
                  <c:v>74.890744600000062</c:v>
                </c:pt>
                <c:pt idx="38">
                  <c:v>378.04559069999993</c:v>
                </c:pt>
                <c:pt idx="39">
                  <c:v>-118.15927995000001</c:v>
                </c:pt>
                <c:pt idx="40">
                  <c:v>-173.64433605000005</c:v>
                </c:pt>
                <c:pt idx="41">
                  <c:v>-90.540326100000016</c:v>
                </c:pt>
                <c:pt idx="42">
                  <c:v>-194.07785025000001</c:v>
                </c:pt>
                <c:pt idx="43">
                  <c:v>-186.06222174999996</c:v>
                </c:pt>
                <c:pt idx="44">
                  <c:v>-151.13628140000003</c:v>
                </c:pt>
                <c:pt idx="45">
                  <c:v>-182.71852454999996</c:v>
                </c:pt>
                <c:pt idx="46">
                  <c:v>-208.55028975000002</c:v>
                </c:pt>
                <c:pt idx="47">
                  <c:v>676.64479370000004</c:v>
                </c:pt>
                <c:pt idx="48">
                  <c:v>3543.4896621000003</c:v>
                </c:pt>
                <c:pt idx="49">
                  <c:v>-155.89253635</c:v>
                </c:pt>
                <c:pt idx="50">
                  <c:v>-114.93465520000001</c:v>
                </c:pt>
                <c:pt idx="51">
                  <c:v>-141.16411289999999</c:v>
                </c:pt>
                <c:pt idx="52">
                  <c:v>-223.57613794999995</c:v>
                </c:pt>
                <c:pt idx="53">
                  <c:v>-85.371485000000007</c:v>
                </c:pt>
                <c:pt idx="54">
                  <c:v>-181.78058705000001</c:v>
                </c:pt>
                <c:pt idx="55">
                  <c:v>-266.21963160000007</c:v>
                </c:pt>
                <c:pt idx="56">
                  <c:v>-140.34533419999997</c:v>
                </c:pt>
                <c:pt idx="57">
                  <c:v>270.53176055</c:v>
                </c:pt>
                <c:pt idx="58">
                  <c:v>-225.92467245000006</c:v>
                </c:pt>
                <c:pt idx="59">
                  <c:v>-202.4345543</c:v>
                </c:pt>
                <c:pt idx="60">
                  <c:v>3269.9159182000003</c:v>
                </c:pt>
                <c:pt idx="61">
                  <c:v>-184.85246389999998</c:v>
                </c:pt>
                <c:pt idx="62">
                  <c:v>-149.74787335000002</c:v>
                </c:pt>
                <c:pt idx="63">
                  <c:v>-225.43518955000002</c:v>
                </c:pt>
                <c:pt idx="64">
                  <c:v>516.81868554999994</c:v>
                </c:pt>
                <c:pt idx="65">
                  <c:v>-268.56576669999993</c:v>
                </c:pt>
                <c:pt idx="66">
                  <c:v>-231.55661180000004</c:v>
                </c:pt>
              </c:numCache>
            </c:numRef>
          </c:val>
          <c:extLst>
            <c:ext xmlns:c16="http://schemas.microsoft.com/office/drawing/2014/chart" uri="{C3380CC4-5D6E-409C-BE32-E72D297353CC}">
              <c16:uniqueId val="{00000003-308E-424F-9C01-381C8E4F61BC}"/>
            </c:ext>
          </c:extLst>
        </c:ser>
        <c:dLbls>
          <c:showLegendKey val="0"/>
          <c:showVal val="0"/>
          <c:showCatName val="0"/>
          <c:showSerName val="0"/>
          <c:showPercent val="0"/>
          <c:showBubbleSize val="0"/>
        </c:dLbls>
        <c:gapWidth val="150"/>
        <c:overlap val="100"/>
        <c:axId val="503185215"/>
        <c:axId val="1"/>
      </c:barChart>
      <c:lineChart>
        <c:grouping val="standard"/>
        <c:varyColors val="0"/>
        <c:ser>
          <c:idx val="0"/>
          <c:order val="0"/>
          <c:tx>
            <c:strRef>
              <c:f>'1.7 Διάγραμμα Τρεχου Συναλλαγων'!$A$3</c:f>
              <c:strCache>
                <c:ptCount val="1"/>
                <c:pt idx="0">
                  <c:v>Ισοζύγιο τρεχουσών συναλλαγών</c:v>
                </c:pt>
              </c:strCache>
            </c:strRef>
          </c:tx>
          <c:spPr>
            <a:ln w="19050" cap="rnd" cmpd="sng" algn="ctr">
              <a:solidFill>
                <a:schemeClr val="bg1">
                  <a:lumMod val="65000"/>
                </a:schemeClr>
              </a:solidFill>
              <a:prstDash val="solid"/>
              <a:round/>
            </a:ln>
            <a:effectLst/>
          </c:spPr>
          <c:marker>
            <c:symbol val="none"/>
          </c:marker>
          <c:cat>
            <c:strRef>
              <c:f>'1.7 Διάγραμμα Τρεχου Συναλλαγων'!$B$2:$BP$2</c:f>
              <c:strCache>
                <c:ptCount val="67"/>
                <c:pt idx="0">
                  <c:v>Ιαν-20</c:v>
                </c:pt>
                <c:pt idx="1">
                  <c:v>Φεβ-20</c:v>
                </c:pt>
                <c:pt idx="2">
                  <c:v>Μαρ-20</c:v>
                </c:pt>
                <c:pt idx="3">
                  <c:v>Απρ-20</c:v>
                </c:pt>
                <c:pt idx="4">
                  <c:v>Μαϊ-20</c:v>
                </c:pt>
                <c:pt idx="5">
                  <c:v>Ιουν-20</c:v>
                </c:pt>
                <c:pt idx="6">
                  <c:v>Ιουλ-20</c:v>
                </c:pt>
                <c:pt idx="7">
                  <c:v>Αυγ-20</c:v>
                </c:pt>
                <c:pt idx="8">
                  <c:v>Σεπ-20</c:v>
                </c:pt>
                <c:pt idx="9">
                  <c:v>Οκτ-20</c:v>
                </c:pt>
                <c:pt idx="10">
                  <c:v>Νοε-20</c:v>
                </c:pt>
                <c:pt idx="11">
                  <c:v>Δεκ-20</c:v>
                </c:pt>
                <c:pt idx="12">
                  <c:v>Ιαν-21</c:v>
                </c:pt>
                <c:pt idx="13">
                  <c:v>Φεβ-21</c:v>
                </c:pt>
                <c:pt idx="14">
                  <c:v>Μαρ-21</c:v>
                </c:pt>
                <c:pt idx="15">
                  <c:v>Απρ-21</c:v>
                </c:pt>
                <c:pt idx="16">
                  <c:v>Μαϊ-21</c:v>
                </c:pt>
                <c:pt idx="17">
                  <c:v>Ιουν-21</c:v>
                </c:pt>
                <c:pt idx="18">
                  <c:v>Ιουλ-21</c:v>
                </c:pt>
                <c:pt idx="19">
                  <c:v>Αυγ-21</c:v>
                </c:pt>
                <c:pt idx="20">
                  <c:v>Σεπ-21</c:v>
                </c:pt>
                <c:pt idx="21">
                  <c:v>Οκτ-21</c:v>
                </c:pt>
                <c:pt idx="22">
                  <c:v>Νοε-21</c:v>
                </c:pt>
                <c:pt idx="23">
                  <c:v>Δεκ-21</c:v>
                </c:pt>
                <c:pt idx="24">
                  <c:v>Ιαν-22</c:v>
                </c:pt>
                <c:pt idx="25">
                  <c:v>Φεβ-22</c:v>
                </c:pt>
                <c:pt idx="26">
                  <c:v>Μαρ-22</c:v>
                </c:pt>
                <c:pt idx="27">
                  <c:v>Απρ-22</c:v>
                </c:pt>
                <c:pt idx="28">
                  <c:v>Μαϊ-22</c:v>
                </c:pt>
                <c:pt idx="29">
                  <c:v>Ιουν-22</c:v>
                </c:pt>
                <c:pt idx="30">
                  <c:v>Ιουλ-22</c:v>
                </c:pt>
                <c:pt idx="31">
                  <c:v>Αυγ-22</c:v>
                </c:pt>
                <c:pt idx="32">
                  <c:v>Σεπ-22</c:v>
                </c:pt>
                <c:pt idx="33">
                  <c:v>Οκτ-22</c:v>
                </c:pt>
                <c:pt idx="34">
                  <c:v>Νοε-22</c:v>
                </c:pt>
                <c:pt idx="35">
                  <c:v>Δεκ-22</c:v>
                </c:pt>
                <c:pt idx="36">
                  <c:v>Ιαν-23</c:v>
                </c:pt>
                <c:pt idx="37">
                  <c:v>Φεβ-23</c:v>
                </c:pt>
                <c:pt idx="38">
                  <c:v>Μαρ-23</c:v>
                </c:pt>
                <c:pt idx="39">
                  <c:v>Απρ-23</c:v>
                </c:pt>
                <c:pt idx="40">
                  <c:v>Μαϊ-23</c:v>
                </c:pt>
                <c:pt idx="41">
                  <c:v>Ιουν-23</c:v>
                </c:pt>
                <c:pt idx="42">
                  <c:v>Ιουλ-23</c:v>
                </c:pt>
                <c:pt idx="43">
                  <c:v>Αυγ-23</c:v>
                </c:pt>
                <c:pt idx="44">
                  <c:v>Σεπ-23</c:v>
                </c:pt>
                <c:pt idx="45">
                  <c:v>Οκτ-23</c:v>
                </c:pt>
                <c:pt idx="46">
                  <c:v>Νοε-23</c:v>
                </c:pt>
                <c:pt idx="47">
                  <c:v>Δεκ-23</c:v>
                </c:pt>
                <c:pt idx="48">
                  <c:v>Ιαν-24</c:v>
                </c:pt>
                <c:pt idx="49">
                  <c:v>Φεβ-24</c:v>
                </c:pt>
                <c:pt idx="50">
                  <c:v>Μαρ-24</c:v>
                </c:pt>
                <c:pt idx="51">
                  <c:v>Απρ-24</c:v>
                </c:pt>
                <c:pt idx="52">
                  <c:v>Μαϊ-24</c:v>
                </c:pt>
                <c:pt idx="53">
                  <c:v>Ιουν-24</c:v>
                </c:pt>
                <c:pt idx="54">
                  <c:v>Ιουλ-24</c:v>
                </c:pt>
                <c:pt idx="55">
                  <c:v>Αυγ-24</c:v>
                </c:pt>
                <c:pt idx="56">
                  <c:v>Σεπ-24</c:v>
                </c:pt>
                <c:pt idx="57">
                  <c:v>Οκτ-24</c:v>
                </c:pt>
                <c:pt idx="58">
                  <c:v>Νοε-24</c:v>
                </c:pt>
                <c:pt idx="59">
                  <c:v>Δεκ-24</c:v>
                </c:pt>
                <c:pt idx="60">
                  <c:v>Ιαν-25</c:v>
                </c:pt>
                <c:pt idx="61">
                  <c:v>Φεβ-25</c:v>
                </c:pt>
                <c:pt idx="62">
                  <c:v>Μαρ-25</c:v>
                </c:pt>
                <c:pt idx="63">
                  <c:v>Απρ-25</c:v>
                </c:pt>
                <c:pt idx="64">
                  <c:v>Μαϊ-25</c:v>
                </c:pt>
                <c:pt idx="65">
                  <c:v>Ιουν-25</c:v>
                </c:pt>
                <c:pt idx="66">
                  <c:v>Ιουλ-25</c:v>
                </c:pt>
              </c:strCache>
            </c:strRef>
          </c:cat>
          <c:val>
            <c:numRef>
              <c:f>'1.7 Διάγραμμα Τρεχου Συναλλαγων'!$B$3:$BP$3</c:f>
              <c:numCache>
                <c:formatCode>#,##0.0</c:formatCode>
                <c:ptCount val="67"/>
                <c:pt idx="0">
                  <c:v>-1274.5135680000012</c:v>
                </c:pt>
                <c:pt idx="1">
                  <c:v>-1139.6143540000012</c:v>
                </c:pt>
                <c:pt idx="2">
                  <c:v>-1104.1642770000008</c:v>
                </c:pt>
                <c:pt idx="3">
                  <c:v>-1131.1757630000006</c:v>
                </c:pt>
                <c:pt idx="4">
                  <c:v>-910.99262499999986</c:v>
                </c:pt>
                <c:pt idx="5">
                  <c:v>-1410.5488510000005</c:v>
                </c:pt>
                <c:pt idx="6">
                  <c:v>-782.35700300000008</c:v>
                </c:pt>
                <c:pt idx="7">
                  <c:v>-150.77408800000194</c:v>
                </c:pt>
                <c:pt idx="8">
                  <c:v>-446.31165299999884</c:v>
                </c:pt>
                <c:pt idx="9">
                  <c:v>-735.74161099999947</c:v>
                </c:pt>
                <c:pt idx="10">
                  <c:v>-1238.8211899999997</c:v>
                </c:pt>
                <c:pt idx="11">
                  <c:v>-639.41765399999986</c:v>
                </c:pt>
                <c:pt idx="12">
                  <c:v>-500.31758900000023</c:v>
                </c:pt>
                <c:pt idx="13">
                  <c:v>-802.9013389999991</c:v>
                </c:pt>
                <c:pt idx="14">
                  <c:v>-1487.746005</c:v>
                </c:pt>
                <c:pt idx="15">
                  <c:v>-2097.9428049999997</c:v>
                </c:pt>
                <c:pt idx="16">
                  <c:v>-1387.2125070000002</c:v>
                </c:pt>
                <c:pt idx="17">
                  <c:v>-1347.5152939999998</c:v>
                </c:pt>
                <c:pt idx="18">
                  <c:v>415.06387199999881</c:v>
                </c:pt>
                <c:pt idx="19">
                  <c:v>1401.6087119999975</c:v>
                </c:pt>
                <c:pt idx="20">
                  <c:v>-296.25354700000207</c:v>
                </c:pt>
                <c:pt idx="21">
                  <c:v>-1150.679314</c:v>
                </c:pt>
                <c:pt idx="22">
                  <c:v>-2740.7466010000007</c:v>
                </c:pt>
                <c:pt idx="23">
                  <c:v>-2276.9354289999974</c:v>
                </c:pt>
                <c:pt idx="24">
                  <c:v>-2174.2140780000009</c:v>
                </c:pt>
                <c:pt idx="25">
                  <c:v>-2420.4366510000009</c:v>
                </c:pt>
                <c:pt idx="26">
                  <c:v>-2609.2025089999997</c:v>
                </c:pt>
                <c:pt idx="27">
                  <c:v>-1745.098076000002</c:v>
                </c:pt>
                <c:pt idx="28">
                  <c:v>-2284.7244279999977</c:v>
                </c:pt>
                <c:pt idx="29">
                  <c:v>-1111.5675300000021</c:v>
                </c:pt>
                <c:pt idx="30">
                  <c:v>819.73563200000353</c:v>
                </c:pt>
                <c:pt idx="31">
                  <c:v>477.7276669999992</c:v>
                </c:pt>
                <c:pt idx="32">
                  <c:v>-849.96044000000074</c:v>
                </c:pt>
                <c:pt idx="33">
                  <c:v>-2711.1915019999997</c:v>
                </c:pt>
                <c:pt idx="34">
                  <c:v>-3908.8775969999988</c:v>
                </c:pt>
                <c:pt idx="35">
                  <c:v>-2707.7679970000008</c:v>
                </c:pt>
                <c:pt idx="36">
                  <c:v>-165.39216150000175</c:v>
                </c:pt>
                <c:pt idx="37">
                  <c:v>-1282.9203319999997</c:v>
                </c:pt>
                <c:pt idx="38">
                  <c:v>-2342.9032780000016</c:v>
                </c:pt>
                <c:pt idx="39">
                  <c:v>-1828.1955829999988</c:v>
                </c:pt>
                <c:pt idx="40">
                  <c:v>-1580.2403709999999</c:v>
                </c:pt>
                <c:pt idx="41">
                  <c:v>-651.34607900000083</c:v>
                </c:pt>
                <c:pt idx="42">
                  <c:v>879.0367709999955</c:v>
                </c:pt>
                <c:pt idx="43">
                  <c:v>611.82927600000221</c:v>
                </c:pt>
                <c:pt idx="44">
                  <c:v>-260.45917400000326</c:v>
                </c:pt>
                <c:pt idx="45">
                  <c:v>-1208.1487900000011</c:v>
                </c:pt>
                <c:pt idx="46">
                  <c:v>-3183.9688739999983</c:v>
                </c:pt>
                <c:pt idx="47">
                  <c:v>-2917.8583989999988</c:v>
                </c:pt>
                <c:pt idx="48">
                  <c:v>1801.2318880000003</c:v>
                </c:pt>
                <c:pt idx="49">
                  <c:v>-3062.9221450000005</c:v>
                </c:pt>
                <c:pt idx="50">
                  <c:v>-2501.0931759999994</c:v>
                </c:pt>
                <c:pt idx="51">
                  <c:v>-2497.8058849999979</c:v>
                </c:pt>
                <c:pt idx="52">
                  <c:v>-2315.9374659999994</c:v>
                </c:pt>
                <c:pt idx="53">
                  <c:v>265.72725999999784</c:v>
                </c:pt>
                <c:pt idx="54">
                  <c:v>209.93407300000035</c:v>
                </c:pt>
                <c:pt idx="55">
                  <c:v>456.9847320000008</c:v>
                </c:pt>
                <c:pt idx="56">
                  <c:v>-344.43233499999951</c:v>
                </c:pt>
                <c:pt idx="57">
                  <c:v>-491.05728199999976</c:v>
                </c:pt>
                <c:pt idx="58">
                  <c:v>-3198.9003750000002</c:v>
                </c:pt>
                <c:pt idx="59">
                  <c:v>-3584.9708080000009</c:v>
                </c:pt>
                <c:pt idx="60">
                  <c:v>1018.9479960000008</c:v>
                </c:pt>
                <c:pt idx="61">
                  <c:v>-2491.5307389999998</c:v>
                </c:pt>
                <c:pt idx="62">
                  <c:v>-3048.1363629999996</c:v>
                </c:pt>
                <c:pt idx="63">
                  <c:v>-2112.1004090000006</c:v>
                </c:pt>
                <c:pt idx="64">
                  <c:v>196.48392599999897</c:v>
                </c:pt>
                <c:pt idx="65">
                  <c:v>-1181.7304550000008</c:v>
                </c:pt>
                <c:pt idx="66">
                  <c:v>938.4136940000044</c:v>
                </c:pt>
              </c:numCache>
            </c:numRef>
          </c:val>
          <c:smooth val="0"/>
          <c:extLst>
            <c:ext xmlns:c16="http://schemas.microsoft.com/office/drawing/2014/chart" uri="{C3380CC4-5D6E-409C-BE32-E72D297353CC}">
              <c16:uniqueId val="{00000004-308E-424F-9C01-381C8E4F61BC}"/>
            </c:ext>
          </c:extLst>
        </c:ser>
        <c:dLbls>
          <c:showLegendKey val="0"/>
          <c:showVal val="0"/>
          <c:showCatName val="0"/>
          <c:showSerName val="0"/>
          <c:showPercent val="0"/>
          <c:showBubbleSize val="0"/>
        </c:dLbls>
        <c:marker val="1"/>
        <c:smooth val="0"/>
        <c:axId val="503185215"/>
        <c:axId val="1"/>
      </c:lineChart>
      <c:catAx>
        <c:axId val="503185215"/>
        <c:scaling>
          <c:orientation val="minMax"/>
        </c:scaling>
        <c:delete val="0"/>
        <c:axPos val="b"/>
        <c:numFmt formatCode="[$-408]mmm\-yy;@" sourceLinked="0"/>
        <c:majorTickMark val="out"/>
        <c:minorTickMark val="none"/>
        <c:tickLblPos val="low"/>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700" b="0"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crossAx val="1"/>
        <c:crosses val="autoZero"/>
        <c:auto val="1"/>
        <c:lblAlgn val="ctr"/>
        <c:lblOffset val="100"/>
        <c:noMultiLvlLbl val="0"/>
      </c:catAx>
      <c:valAx>
        <c:axId val="1"/>
        <c:scaling>
          <c:orientation val="minMax"/>
          <c:max val="4500"/>
          <c:min val="-4000"/>
        </c:scaling>
        <c:delete val="0"/>
        <c:axPos val="l"/>
        <c:majorGridlines>
          <c:spPr>
            <a:ln w="6350" cap="flat" cmpd="sng" algn="ctr">
              <a:solidFill>
                <a:schemeClr val="bg1">
                  <a:lumMod val="85000"/>
                </a:schemeClr>
              </a:solidFill>
              <a:prstDash val="solid"/>
              <a:round/>
            </a:ln>
            <a:effectLst/>
          </c:spPr>
        </c:majorGridlines>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700" b="0"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crossAx val="503185215"/>
        <c:crosses val="autoZero"/>
        <c:crossBetween val="between"/>
      </c:valAx>
      <c:spPr>
        <a:solidFill>
          <a:schemeClr val="bg1"/>
        </a:solidFill>
        <a:ln>
          <a:noFill/>
        </a:ln>
        <a:effectLst/>
      </c:spPr>
    </c:plotArea>
    <c:legend>
      <c:legendPos val="b"/>
      <c:layout>
        <c:manualLayout>
          <c:xMode val="edge"/>
          <c:yMode val="edge"/>
          <c:x val="9.7760202797142093E-2"/>
          <c:y val="0.84962992888231648"/>
          <c:w val="0.78931842450233969"/>
          <c:h val="0.11674047762422728"/>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legend>
    <c:plotVisOnly val="1"/>
    <c:dispBlanksAs val="gap"/>
    <c:showDLblsOverMax val="0"/>
  </c:chart>
  <c:spPr>
    <a:solidFill>
      <a:schemeClr val="bg1"/>
    </a:solidFill>
    <a:ln w="6350" cap="flat" cmpd="sng" algn="ctr">
      <a:solidFill>
        <a:schemeClr val="bg1">
          <a:lumMod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35892388451444"/>
          <c:y val="5.5972222222222236E-2"/>
          <c:w val="0.86608552055993004"/>
          <c:h val="0.78452358865132432"/>
        </c:manualLayout>
      </c:layout>
      <c:lineChart>
        <c:grouping val="standard"/>
        <c:varyColors val="0"/>
        <c:ser>
          <c:idx val="0"/>
          <c:order val="0"/>
          <c:tx>
            <c:strRef>
              <c:f>'[Diagrams for the section of 2026.xlsx]Investment gap'!$E$19</c:f>
              <c:strCache>
                <c:ptCount val="1"/>
                <c:pt idx="0">
                  <c:v>Επενδύσεις στην Ευρωζώνη (% ΑΕΠ)</c:v>
                </c:pt>
              </c:strCache>
            </c:strRef>
          </c:tx>
          <c:spPr>
            <a:ln w="31750" cap="rnd">
              <a:solidFill>
                <a:srgbClr val="4F81BD"/>
              </a:solidFill>
              <a:round/>
            </a:ln>
            <a:effectLst>
              <a:outerShdw blurRad="40000" dist="23000" dir="5400000" rotWithShape="0">
                <a:srgbClr val="000000">
                  <a:alpha val="35000"/>
                </a:srgbClr>
              </a:outerShdw>
            </a:effectLst>
          </c:spPr>
          <c:marker>
            <c:symbol val="circle"/>
            <c:size val="6"/>
            <c:spPr>
              <a:solidFill>
                <a:srgbClr val="4F81BD"/>
              </a:solidFill>
              <a:ln w="12700">
                <a:solidFill>
                  <a:srgbClr val="4F81BD"/>
                </a:solidFill>
                <a:round/>
              </a:ln>
              <a:effectLst>
                <a:outerShdw blurRad="40000" dist="23000" dir="5400000" rotWithShape="0">
                  <a:srgbClr val="000000">
                    <a:alpha val="35000"/>
                  </a:srgbClr>
                </a:outerShdw>
              </a:effectLst>
            </c:spPr>
          </c:marker>
          <c:cat>
            <c:numRef>
              <c:f>'[Diagrams for the section of 2026.xlsx]Investment gap'!$G$9:$AG$9</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'[Diagrams for the section of 2026.xlsx]Investment gap'!$G$19:$AG$19</c:f>
              <c:numCache>
                <c:formatCode>0.0%</c:formatCode>
                <c:ptCount val="27"/>
                <c:pt idx="0">
                  <c:v>0.21998458492732276</c:v>
                </c:pt>
                <c:pt idx="1">
                  <c:v>0.21730855470378027</c:v>
                </c:pt>
                <c:pt idx="2">
                  <c:v>0.21227626087688262</c:v>
                </c:pt>
                <c:pt idx="3">
                  <c:v>0.21307607362924841</c:v>
                </c:pt>
                <c:pt idx="4">
                  <c:v>0.213518293075075</c:v>
                </c:pt>
                <c:pt idx="5">
                  <c:v>0.21577675954037681</c:v>
                </c:pt>
                <c:pt idx="6">
                  <c:v>0.22056531690563394</c:v>
                </c:pt>
                <c:pt idx="7">
                  <c:v>0.22489747154890979</c:v>
                </c:pt>
                <c:pt idx="8">
                  <c:v>0.22153776098732902</c:v>
                </c:pt>
                <c:pt idx="9">
                  <c:v>0.20588653304115945</c:v>
                </c:pt>
                <c:pt idx="10">
                  <c:v>0.20111646971999733</c:v>
                </c:pt>
                <c:pt idx="11">
                  <c:v>0.20087644910406535</c:v>
                </c:pt>
                <c:pt idx="12">
                  <c:v>0.1963013496870494</c:v>
                </c:pt>
                <c:pt idx="13">
                  <c:v>0.19211015588222494</c:v>
                </c:pt>
                <c:pt idx="14">
                  <c:v>0.19217344638235695</c:v>
                </c:pt>
                <c:pt idx="15">
                  <c:v>0.19722097784074469</c:v>
                </c:pt>
                <c:pt idx="16">
                  <c:v>0.20075546358002994</c:v>
                </c:pt>
                <c:pt idx="17">
                  <c:v>0.20330130005993541</c:v>
                </c:pt>
                <c:pt idx="18">
                  <c:v>0.20623003466899001</c:v>
                </c:pt>
                <c:pt idx="19">
                  <c:v>0.21732559613687377</c:v>
                </c:pt>
                <c:pt idx="20">
                  <c:v>0.21811625139343985</c:v>
                </c:pt>
                <c:pt idx="21">
                  <c:v>0.2127520947929265</c:v>
                </c:pt>
                <c:pt idx="22">
                  <c:v>0.20918576311065662</c:v>
                </c:pt>
                <c:pt idx="23">
                  <c:v>0.21191971123296252</c:v>
                </c:pt>
                <c:pt idx="24">
                  <c:v>0.20584601016897569</c:v>
                </c:pt>
                <c:pt idx="25">
                  <c:v>0.20678372508220336</c:v>
                </c:pt>
                <c:pt idx="26">
                  <c:v>0.20841988701353809</c:v>
                </c:pt>
              </c:numCache>
            </c:numRef>
          </c:val>
          <c:smooth val="0"/>
          <c:extLst>
            <c:ext xmlns:c16="http://schemas.microsoft.com/office/drawing/2014/chart" uri="{C3380CC4-5D6E-409C-BE32-E72D297353CC}">
              <c16:uniqueId val="{00000000-FB1B-4EA4-953E-A17D8C3BC324}"/>
            </c:ext>
          </c:extLst>
        </c:ser>
        <c:ser>
          <c:idx val="2"/>
          <c:order val="1"/>
          <c:tx>
            <c:strRef>
              <c:f>'[Diagrams for the section of 2026.xlsx]Investment gap'!$E$17</c:f>
              <c:strCache>
                <c:ptCount val="1"/>
                <c:pt idx="0">
                  <c:v>Επενδύσεις στην Ελλάδα (% ΑΕΠ)</c:v>
                </c:pt>
              </c:strCache>
            </c:strRef>
          </c:tx>
          <c:spPr>
            <a:ln w="31750" cap="rnd">
              <a:solidFill>
                <a:srgbClr val="1F497D">
                  <a:lumMod val="75000"/>
                </a:srgbClr>
              </a:solidFill>
              <a:round/>
            </a:ln>
            <a:effectLst>
              <a:outerShdw blurRad="40000" dist="23000" dir="5400000" rotWithShape="0">
                <a:srgbClr val="000000">
                  <a:alpha val="35000"/>
                </a:srgbClr>
              </a:outerShdw>
            </a:effectLst>
          </c:spPr>
          <c:marker>
            <c:symbol val="diamond"/>
            <c:size val="6"/>
            <c:spPr>
              <a:solidFill>
                <a:srgbClr val="1F497D">
                  <a:lumMod val="75000"/>
                </a:srgbClr>
              </a:solidFill>
              <a:ln w="12700" cap="flat">
                <a:solidFill>
                  <a:srgbClr val="1F497D">
                    <a:lumMod val="75000"/>
                  </a:srgbClr>
                </a:solidFill>
                <a:bevel/>
                <a:tailEnd type="oval"/>
              </a:ln>
              <a:effectLst>
                <a:outerShdw blurRad="40000" dist="23000" dir="5400000" rotWithShape="0">
                  <a:srgbClr val="000000">
                    <a:alpha val="35000"/>
                  </a:srgbClr>
                </a:outerShdw>
              </a:effectLst>
            </c:spPr>
          </c:marker>
          <c:cat>
            <c:numRef>
              <c:f>'[Diagrams for the section of 2026.xlsx]Investment gap'!$G$9:$AG$9</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'[Diagrams for the section of 2026.xlsx]Investment gap'!$G$17:$AG$17</c:f>
              <c:numCache>
                <c:formatCode>0.0%</c:formatCode>
                <c:ptCount val="27"/>
                <c:pt idx="0">
                  <c:v>0.23192825719586338</c:v>
                </c:pt>
                <c:pt idx="1">
                  <c:v>0.23033379993066866</c:v>
                </c:pt>
                <c:pt idx="2">
                  <c:v>0.21460282828409849</c:v>
                </c:pt>
                <c:pt idx="3">
                  <c:v>0.22668859019186388</c:v>
                </c:pt>
                <c:pt idx="4">
                  <c:v>0.23149962377692251</c:v>
                </c:pt>
                <c:pt idx="5">
                  <c:v>0.2012961074044966</c:v>
                </c:pt>
                <c:pt idx="6">
                  <c:v>0.22446652577707821</c:v>
                </c:pt>
                <c:pt idx="7">
                  <c:v>0.24269085111128069</c:v>
                </c:pt>
                <c:pt idx="8">
                  <c:v>0.22481784240634681</c:v>
                </c:pt>
                <c:pt idx="9">
                  <c:v>0.20338013289734402</c:v>
                </c:pt>
                <c:pt idx="10">
                  <c:v>0.1677808972402465</c:v>
                </c:pt>
                <c:pt idx="11">
                  <c:v>0.13916270739328057</c:v>
                </c:pt>
                <c:pt idx="12">
                  <c:v>0.12321193590071164</c:v>
                </c:pt>
                <c:pt idx="13">
                  <c:v>0.11427209356282329</c:v>
                </c:pt>
                <c:pt idx="14">
                  <c:v>0.11084179225495468</c:v>
                </c:pt>
                <c:pt idx="15">
                  <c:v>0.11129744477999812</c:v>
                </c:pt>
                <c:pt idx="16">
                  <c:v>0.11419246314242411</c:v>
                </c:pt>
                <c:pt idx="17">
                  <c:v>0.12115989881748165</c:v>
                </c:pt>
                <c:pt idx="18">
                  <c:v>0.1132870877476175</c:v>
                </c:pt>
                <c:pt idx="19">
                  <c:v>0.10984937173183486</c:v>
                </c:pt>
                <c:pt idx="20">
                  <c:v>0.12299845708027062</c:v>
                </c:pt>
                <c:pt idx="21">
                  <c:v>0.13772637981269967</c:v>
                </c:pt>
                <c:pt idx="22">
                  <c:v>0.15155570355370454</c:v>
                </c:pt>
                <c:pt idx="23">
                  <c:v>0.15782136730832588</c:v>
                </c:pt>
                <c:pt idx="24">
                  <c:v>0.16126102022693439</c:v>
                </c:pt>
                <c:pt idx="25">
                  <c:v>0.16680487833286209</c:v>
                </c:pt>
                <c:pt idx="26">
                  <c:v>0.1796022110020912</c:v>
                </c:pt>
              </c:numCache>
            </c:numRef>
          </c:val>
          <c:smooth val="0"/>
          <c:extLst>
            <c:ext xmlns:c16="http://schemas.microsoft.com/office/drawing/2014/chart" uri="{C3380CC4-5D6E-409C-BE32-E72D297353CC}">
              <c16:uniqueId val="{00000001-FB1B-4EA4-953E-A17D8C3BC324}"/>
            </c:ext>
          </c:extLst>
        </c:ser>
        <c:ser>
          <c:idx val="1"/>
          <c:order val="2"/>
          <c:tx>
            <c:strRef>
              <c:f>'[Diagrams for the section of 2026.xlsx]Investment gap'!$E$20</c:f>
              <c:strCache>
                <c:ptCount val="1"/>
                <c:pt idx="0">
                  <c:v>Επενδυτικό κενό της Ελλάδας</c:v>
                </c:pt>
              </c:strCache>
            </c:strRef>
          </c:tx>
          <c:spPr>
            <a:ln w="31750" cap="rnd">
              <a:solidFill>
                <a:srgbClr val="00B0F0"/>
              </a:solidFill>
              <a:round/>
              <a:headEnd type="none"/>
            </a:ln>
            <a:effectLst>
              <a:outerShdw blurRad="40000" dist="23000" dir="5400000" rotWithShape="0">
                <a:srgbClr val="000000">
                  <a:alpha val="35000"/>
                </a:srgbClr>
              </a:outerShdw>
            </a:effectLst>
          </c:spPr>
          <c:marker>
            <c:symbol val="circle"/>
            <c:size val="6"/>
            <c:spPr>
              <a:solidFill>
                <a:srgbClr val="00B0F0"/>
              </a:solidFill>
              <a:ln w="12700">
                <a:solidFill>
                  <a:srgbClr val="00B0F0"/>
                </a:solidFill>
                <a:round/>
              </a:ln>
              <a:effectLst>
                <a:outerShdw blurRad="40000" dist="23000" dir="5400000" rotWithShape="0">
                  <a:srgbClr val="000000">
                    <a:alpha val="35000"/>
                  </a:srgbClr>
                </a:outerShdw>
              </a:effectLst>
            </c:spPr>
          </c:marker>
          <c:cat>
            <c:numRef>
              <c:f>'[Diagrams for the section of 2026.xlsx]Investment gap'!$G$9:$AG$9</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'[Diagrams for the section of 2026.xlsx]Investment gap'!$G$20:$AG$20</c:f>
              <c:numCache>
                <c:formatCode>0.0%</c:formatCode>
                <c:ptCount val="27"/>
                <c:pt idx="0">
                  <c:v>1.1943672268540623E-2</c:v>
                </c:pt>
                <c:pt idx="1">
                  <c:v>1.3025245226888388E-2</c:v>
                </c:pt>
                <c:pt idx="2">
                  <c:v>2.3265674072158737E-3</c:v>
                </c:pt>
                <c:pt idx="3">
                  <c:v>1.3612516562615473E-2</c:v>
                </c:pt>
                <c:pt idx="4">
                  <c:v>1.7981330701847514E-2</c:v>
                </c:pt>
                <c:pt idx="5">
                  <c:v>-1.4480652135880206E-2</c:v>
                </c:pt>
                <c:pt idx="6">
                  <c:v>3.9012088714442672E-3</c:v>
                </c:pt>
                <c:pt idx="7">
                  <c:v>1.7793379562370898E-2</c:v>
                </c:pt>
                <c:pt idx="8">
                  <c:v>3.2800814190177829E-3</c:v>
                </c:pt>
                <c:pt idx="9">
                  <c:v>-2.5064001438154238E-3</c:v>
                </c:pt>
                <c:pt idx="10">
                  <c:v>-3.333557247975083E-2</c:v>
                </c:pt>
                <c:pt idx="11">
                  <c:v>-6.1713741710784781E-2</c:v>
                </c:pt>
                <c:pt idx="12">
                  <c:v>-7.3089413786337765E-2</c:v>
                </c:pt>
                <c:pt idx="13">
                  <c:v>-7.7838062319401644E-2</c:v>
                </c:pt>
                <c:pt idx="14">
                  <c:v>-8.1331654127402273E-2</c:v>
                </c:pt>
                <c:pt idx="15">
                  <c:v>-8.5923533060746571E-2</c:v>
                </c:pt>
                <c:pt idx="16">
                  <c:v>-8.6563000437605828E-2</c:v>
                </c:pt>
                <c:pt idx="17">
                  <c:v>-8.2141401242453754E-2</c:v>
                </c:pt>
                <c:pt idx="18">
                  <c:v>-9.2942946921372505E-2</c:v>
                </c:pt>
                <c:pt idx="19">
                  <c:v>-0.10747622440503891</c:v>
                </c:pt>
                <c:pt idx="20">
                  <c:v>-9.5117794313169232E-2</c:v>
                </c:pt>
                <c:pt idx="21">
                  <c:v>-7.5025714980226837E-2</c:v>
                </c:pt>
                <c:pt idx="22">
                  <c:v>-5.7630059556952079E-2</c:v>
                </c:pt>
                <c:pt idx="23">
                  <c:v>-5.4098343924636638E-2</c:v>
                </c:pt>
                <c:pt idx="24">
                  <c:v>-4.4584989942041298E-2</c:v>
                </c:pt>
                <c:pt idx="25">
                  <c:v>-3.9978846749341268E-2</c:v>
                </c:pt>
                <c:pt idx="26">
                  <c:v>-2.8817676011446886E-2</c:v>
                </c:pt>
              </c:numCache>
            </c:numRef>
          </c:val>
          <c:smooth val="0"/>
          <c:extLst>
            <c:ext xmlns:c16="http://schemas.microsoft.com/office/drawing/2014/chart" uri="{C3380CC4-5D6E-409C-BE32-E72D297353CC}">
              <c16:uniqueId val="{00000002-FB1B-4EA4-953E-A17D8C3BC324}"/>
            </c:ext>
          </c:extLst>
        </c:ser>
        <c:dLbls>
          <c:showLegendKey val="0"/>
          <c:showVal val="0"/>
          <c:showCatName val="0"/>
          <c:showSerName val="0"/>
          <c:showPercent val="0"/>
          <c:showBubbleSize val="0"/>
        </c:dLbls>
        <c:marker val="1"/>
        <c:smooth val="0"/>
        <c:axId val="548877360"/>
        <c:axId val="431479216"/>
      </c:lineChart>
      <c:catAx>
        <c:axId val="548877360"/>
        <c:scaling>
          <c:orientation val="minMax"/>
        </c:scaling>
        <c:delete val="0"/>
        <c:axPos val="b"/>
        <c:numFmt formatCode="##############"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l-GR"/>
          </a:p>
        </c:txPr>
        <c:crossAx val="431479216"/>
        <c:crosses val="autoZero"/>
        <c:auto val="1"/>
        <c:lblAlgn val="ctr"/>
        <c:lblOffset val="100"/>
        <c:noMultiLvlLbl val="0"/>
      </c:catAx>
      <c:valAx>
        <c:axId val="431479216"/>
        <c:scaling>
          <c:orientation val="minMax"/>
          <c:max val="0.27"/>
          <c:min val="-0.11000000000000001"/>
        </c:scaling>
        <c:delete val="0"/>
        <c:axPos val="l"/>
        <c:majorGridlines>
          <c:spPr>
            <a:ln w="6350" cap="flat" cmpd="sng" algn="ctr">
              <a:solidFill>
                <a:sysClr val="window" lastClr="FFFFFF">
                  <a:lumMod val="85000"/>
                </a:sys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l-GR"/>
          </a:p>
        </c:txPr>
        <c:crossAx val="548877360"/>
        <c:crosses val="autoZero"/>
        <c:crossBetween val="between"/>
        <c:majorUnit val="2.0000000000000004E-2"/>
      </c:valAx>
      <c:spPr>
        <a:noFill/>
        <a:ln>
          <a:noFill/>
        </a:ln>
        <a:effectLst/>
      </c:spPr>
    </c:plotArea>
    <c:legend>
      <c:legendPos val="b"/>
      <c:layout>
        <c:manualLayout>
          <c:xMode val="edge"/>
          <c:yMode val="edge"/>
          <c:x val="2.3507452968599433E-3"/>
          <c:y val="0.91593456233401072"/>
          <c:w val="0.99389288220160599"/>
          <c:h val="8.049772621284373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ysClr val="window" lastClr="FFFFFF">
          <a:lumMod val="85000"/>
        </a:sysClr>
      </a:solidFill>
      <a:round/>
    </a:ln>
    <a:effectLst/>
  </c:spPr>
  <c:txPr>
    <a:bodyPr/>
    <a:lstStyle/>
    <a:p>
      <a:pPr>
        <a:defRPr/>
      </a:pPr>
      <a:endParaRPr lang="el-GR"/>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0">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0.37748</cdr:x>
      <cdr:y>0.1174</cdr:y>
    </cdr:from>
    <cdr:to>
      <cdr:x>0.70109</cdr:x>
      <cdr:y>0.25828</cdr:y>
    </cdr:to>
    <cdr:sp macro="" textlink="">
      <cdr:nvSpPr>
        <cdr:cNvPr id="2" name="TextBox 1"/>
        <cdr:cNvSpPr txBox="1"/>
      </cdr:nvSpPr>
      <cdr:spPr>
        <a:xfrm xmlns:a="http://schemas.openxmlformats.org/drawingml/2006/main">
          <a:off x="3952270" y="762000"/>
          <a:ext cx="3388179"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0.40418</cdr:x>
      <cdr:y>0.05295</cdr:y>
    </cdr:from>
    <cdr:to>
      <cdr:x>1</cdr:x>
      <cdr:y>0.26719</cdr:y>
    </cdr:to>
    <cdr:sp macro="" textlink="">
      <cdr:nvSpPr>
        <cdr:cNvPr id="3" name="TextBox 2"/>
        <cdr:cNvSpPr txBox="1"/>
      </cdr:nvSpPr>
      <cdr:spPr>
        <a:xfrm xmlns:a="http://schemas.openxmlformats.org/drawingml/2006/main">
          <a:off x="4032217" y="227432"/>
          <a:ext cx="5944074" cy="9201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l-GR" sz="2000" b="1"/>
        </a:p>
      </cdr:txBody>
    </cdr:sp>
  </cdr:relSizeAnchor>
</c:userShapes>
</file>

<file path=word/theme/theme1.xml><?xml version="1.0" encoding="utf-8"?>
<a:theme xmlns:a="http://schemas.openxmlformats.org/drawingml/2006/main" name="Θέμα του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2BA3A-4B5E-4D3F-9424-4D1137019018}">
  <ds:schemaRefs>
    <ds:schemaRef ds:uri="http://schemas.openxmlformats.org/officeDocument/2006/bibliography"/>
  </ds:schemaRefs>
</ds:datastoreItem>
</file>

<file path=customXml/itemProps2.xml><?xml version="1.0" encoding="utf-8"?>
<ds:datastoreItem xmlns:ds="http://schemas.openxmlformats.org/officeDocument/2006/customXml" ds:itemID="{59491316-7EB7-45FE-BD19-EC7C7145F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PROSX2006</Template>
  <TotalTime>0</TotalTime>
  <Pages>62</Pages>
  <Words>25629</Words>
  <Characters>138398</Characters>
  <Application>Microsoft Office Word</Application>
  <DocSecurity>0</DocSecurity>
  <Lines>1153</Lines>
  <Paragraphs>327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ΠΡΟΣΧΕΔΙΟ ΚΡΑΤΙΚΟΥ ΠΡΟΫΠΟΛΟΓΙΣΜΟΥ 2026</vt:lpstr>
      <vt:lpstr>ΟΙΚΟΝΟΜΙΚΕΣ ΕΞΕΛΙΞΕΙΣ</vt:lpstr>
    </vt:vector>
  </TitlesOfParts>
  <Company/>
  <LinksUpToDate>false</LinksUpToDate>
  <CharactersWithSpaces>163700</CharactersWithSpaces>
  <SharedDoc>false</SharedDoc>
  <HLinks>
    <vt:vector size="330" baseType="variant">
      <vt:variant>
        <vt:i4>1508337</vt:i4>
      </vt:variant>
      <vt:variant>
        <vt:i4>420</vt:i4>
      </vt:variant>
      <vt:variant>
        <vt:i4>0</vt:i4>
      </vt:variant>
      <vt:variant>
        <vt:i4>5</vt:i4>
      </vt:variant>
      <vt:variant>
        <vt:lpwstr/>
      </vt:variant>
      <vt:variant>
        <vt:lpwstr>_Δημοσιονομικές_παρεμβάσεις_2024</vt:lpwstr>
      </vt:variant>
      <vt:variant>
        <vt:i4>1310773</vt:i4>
      </vt:variant>
      <vt:variant>
        <vt:i4>335</vt:i4>
      </vt:variant>
      <vt:variant>
        <vt:i4>0</vt:i4>
      </vt:variant>
      <vt:variant>
        <vt:i4>5</vt:i4>
      </vt:variant>
      <vt:variant>
        <vt:lpwstr/>
      </vt:variant>
      <vt:variant>
        <vt:lpwstr>_Toc178751922</vt:lpwstr>
      </vt:variant>
      <vt:variant>
        <vt:i4>1310773</vt:i4>
      </vt:variant>
      <vt:variant>
        <vt:i4>329</vt:i4>
      </vt:variant>
      <vt:variant>
        <vt:i4>0</vt:i4>
      </vt:variant>
      <vt:variant>
        <vt:i4>5</vt:i4>
      </vt:variant>
      <vt:variant>
        <vt:lpwstr/>
      </vt:variant>
      <vt:variant>
        <vt:lpwstr>_Toc178751921</vt:lpwstr>
      </vt:variant>
      <vt:variant>
        <vt:i4>1507381</vt:i4>
      </vt:variant>
      <vt:variant>
        <vt:i4>320</vt:i4>
      </vt:variant>
      <vt:variant>
        <vt:i4>0</vt:i4>
      </vt:variant>
      <vt:variant>
        <vt:i4>5</vt:i4>
      </vt:variant>
      <vt:variant>
        <vt:lpwstr/>
      </vt:variant>
      <vt:variant>
        <vt:lpwstr>_Toc178751916</vt:lpwstr>
      </vt:variant>
      <vt:variant>
        <vt:i4>1507381</vt:i4>
      </vt:variant>
      <vt:variant>
        <vt:i4>314</vt:i4>
      </vt:variant>
      <vt:variant>
        <vt:i4>0</vt:i4>
      </vt:variant>
      <vt:variant>
        <vt:i4>5</vt:i4>
      </vt:variant>
      <vt:variant>
        <vt:lpwstr/>
      </vt:variant>
      <vt:variant>
        <vt:lpwstr>_Toc178751915</vt:lpwstr>
      </vt:variant>
      <vt:variant>
        <vt:i4>1507381</vt:i4>
      </vt:variant>
      <vt:variant>
        <vt:i4>308</vt:i4>
      </vt:variant>
      <vt:variant>
        <vt:i4>0</vt:i4>
      </vt:variant>
      <vt:variant>
        <vt:i4>5</vt:i4>
      </vt:variant>
      <vt:variant>
        <vt:lpwstr/>
      </vt:variant>
      <vt:variant>
        <vt:lpwstr>_Toc178751914</vt:lpwstr>
      </vt:variant>
      <vt:variant>
        <vt:i4>1507381</vt:i4>
      </vt:variant>
      <vt:variant>
        <vt:i4>302</vt:i4>
      </vt:variant>
      <vt:variant>
        <vt:i4>0</vt:i4>
      </vt:variant>
      <vt:variant>
        <vt:i4>5</vt:i4>
      </vt:variant>
      <vt:variant>
        <vt:lpwstr/>
      </vt:variant>
      <vt:variant>
        <vt:lpwstr>_Toc178751913</vt:lpwstr>
      </vt:variant>
      <vt:variant>
        <vt:i4>1441845</vt:i4>
      </vt:variant>
      <vt:variant>
        <vt:i4>293</vt:i4>
      </vt:variant>
      <vt:variant>
        <vt:i4>0</vt:i4>
      </vt:variant>
      <vt:variant>
        <vt:i4>5</vt:i4>
      </vt:variant>
      <vt:variant>
        <vt:lpwstr/>
      </vt:variant>
      <vt:variant>
        <vt:lpwstr>_Toc178751908</vt:lpwstr>
      </vt:variant>
      <vt:variant>
        <vt:i4>1441845</vt:i4>
      </vt:variant>
      <vt:variant>
        <vt:i4>287</vt:i4>
      </vt:variant>
      <vt:variant>
        <vt:i4>0</vt:i4>
      </vt:variant>
      <vt:variant>
        <vt:i4>5</vt:i4>
      </vt:variant>
      <vt:variant>
        <vt:lpwstr/>
      </vt:variant>
      <vt:variant>
        <vt:lpwstr>_Toc178751907</vt:lpwstr>
      </vt:variant>
      <vt:variant>
        <vt:i4>1441845</vt:i4>
      </vt:variant>
      <vt:variant>
        <vt:i4>278</vt:i4>
      </vt:variant>
      <vt:variant>
        <vt:i4>0</vt:i4>
      </vt:variant>
      <vt:variant>
        <vt:i4>5</vt:i4>
      </vt:variant>
      <vt:variant>
        <vt:lpwstr/>
      </vt:variant>
      <vt:variant>
        <vt:lpwstr>_Toc178751900</vt:lpwstr>
      </vt:variant>
      <vt:variant>
        <vt:i4>1703987</vt:i4>
      </vt:variant>
      <vt:variant>
        <vt:i4>269</vt:i4>
      </vt:variant>
      <vt:variant>
        <vt:i4>0</vt:i4>
      </vt:variant>
      <vt:variant>
        <vt:i4>5</vt:i4>
      </vt:variant>
      <vt:variant>
        <vt:lpwstr/>
      </vt:variant>
      <vt:variant>
        <vt:lpwstr>_Toc179122996</vt:lpwstr>
      </vt:variant>
      <vt:variant>
        <vt:i4>1703987</vt:i4>
      </vt:variant>
      <vt:variant>
        <vt:i4>263</vt:i4>
      </vt:variant>
      <vt:variant>
        <vt:i4>0</vt:i4>
      </vt:variant>
      <vt:variant>
        <vt:i4>5</vt:i4>
      </vt:variant>
      <vt:variant>
        <vt:lpwstr/>
      </vt:variant>
      <vt:variant>
        <vt:lpwstr>_Toc179122995</vt:lpwstr>
      </vt:variant>
      <vt:variant>
        <vt:i4>1703987</vt:i4>
      </vt:variant>
      <vt:variant>
        <vt:i4>257</vt:i4>
      </vt:variant>
      <vt:variant>
        <vt:i4>0</vt:i4>
      </vt:variant>
      <vt:variant>
        <vt:i4>5</vt:i4>
      </vt:variant>
      <vt:variant>
        <vt:lpwstr/>
      </vt:variant>
      <vt:variant>
        <vt:lpwstr>_Toc179122994</vt:lpwstr>
      </vt:variant>
      <vt:variant>
        <vt:i4>1703987</vt:i4>
      </vt:variant>
      <vt:variant>
        <vt:i4>251</vt:i4>
      </vt:variant>
      <vt:variant>
        <vt:i4>0</vt:i4>
      </vt:variant>
      <vt:variant>
        <vt:i4>5</vt:i4>
      </vt:variant>
      <vt:variant>
        <vt:lpwstr/>
      </vt:variant>
      <vt:variant>
        <vt:lpwstr>_Toc179122993</vt:lpwstr>
      </vt:variant>
      <vt:variant>
        <vt:i4>1703987</vt:i4>
      </vt:variant>
      <vt:variant>
        <vt:i4>245</vt:i4>
      </vt:variant>
      <vt:variant>
        <vt:i4>0</vt:i4>
      </vt:variant>
      <vt:variant>
        <vt:i4>5</vt:i4>
      </vt:variant>
      <vt:variant>
        <vt:lpwstr/>
      </vt:variant>
      <vt:variant>
        <vt:lpwstr>_Toc179122992</vt:lpwstr>
      </vt:variant>
      <vt:variant>
        <vt:i4>1703987</vt:i4>
      </vt:variant>
      <vt:variant>
        <vt:i4>239</vt:i4>
      </vt:variant>
      <vt:variant>
        <vt:i4>0</vt:i4>
      </vt:variant>
      <vt:variant>
        <vt:i4>5</vt:i4>
      </vt:variant>
      <vt:variant>
        <vt:lpwstr/>
      </vt:variant>
      <vt:variant>
        <vt:lpwstr>_Toc179122991</vt:lpwstr>
      </vt:variant>
      <vt:variant>
        <vt:i4>1703987</vt:i4>
      </vt:variant>
      <vt:variant>
        <vt:i4>233</vt:i4>
      </vt:variant>
      <vt:variant>
        <vt:i4>0</vt:i4>
      </vt:variant>
      <vt:variant>
        <vt:i4>5</vt:i4>
      </vt:variant>
      <vt:variant>
        <vt:lpwstr/>
      </vt:variant>
      <vt:variant>
        <vt:lpwstr>_Toc179122990</vt:lpwstr>
      </vt:variant>
      <vt:variant>
        <vt:i4>1769523</vt:i4>
      </vt:variant>
      <vt:variant>
        <vt:i4>227</vt:i4>
      </vt:variant>
      <vt:variant>
        <vt:i4>0</vt:i4>
      </vt:variant>
      <vt:variant>
        <vt:i4>5</vt:i4>
      </vt:variant>
      <vt:variant>
        <vt:lpwstr/>
      </vt:variant>
      <vt:variant>
        <vt:lpwstr>_Toc179122989</vt:lpwstr>
      </vt:variant>
      <vt:variant>
        <vt:i4>1245246</vt:i4>
      </vt:variant>
      <vt:variant>
        <vt:i4>218</vt:i4>
      </vt:variant>
      <vt:variant>
        <vt:i4>0</vt:i4>
      </vt:variant>
      <vt:variant>
        <vt:i4>5</vt:i4>
      </vt:variant>
      <vt:variant>
        <vt:lpwstr/>
      </vt:variant>
      <vt:variant>
        <vt:lpwstr>_Toc178751255</vt:lpwstr>
      </vt:variant>
      <vt:variant>
        <vt:i4>1245246</vt:i4>
      </vt:variant>
      <vt:variant>
        <vt:i4>212</vt:i4>
      </vt:variant>
      <vt:variant>
        <vt:i4>0</vt:i4>
      </vt:variant>
      <vt:variant>
        <vt:i4>5</vt:i4>
      </vt:variant>
      <vt:variant>
        <vt:lpwstr/>
      </vt:variant>
      <vt:variant>
        <vt:lpwstr>_Toc178751254</vt:lpwstr>
      </vt:variant>
      <vt:variant>
        <vt:i4>1245246</vt:i4>
      </vt:variant>
      <vt:variant>
        <vt:i4>206</vt:i4>
      </vt:variant>
      <vt:variant>
        <vt:i4>0</vt:i4>
      </vt:variant>
      <vt:variant>
        <vt:i4>5</vt:i4>
      </vt:variant>
      <vt:variant>
        <vt:lpwstr/>
      </vt:variant>
      <vt:variant>
        <vt:lpwstr>_Toc178751253</vt:lpwstr>
      </vt:variant>
      <vt:variant>
        <vt:i4>1245246</vt:i4>
      </vt:variant>
      <vt:variant>
        <vt:i4>200</vt:i4>
      </vt:variant>
      <vt:variant>
        <vt:i4>0</vt:i4>
      </vt:variant>
      <vt:variant>
        <vt:i4>5</vt:i4>
      </vt:variant>
      <vt:variant>
        <vt:lpwstr/>
      </vt:variant>
      <vt:variant>
        <vt:lpwstr>_Toc178751250</vt:lpwstr>
      </vt:variant>
      <vt:variant>
        <vt:i4>1179710</vt:i4>
      </vt:variant>
      <vt:variant>
        <vt:i4>194</vt:i4>
      </vt:variant>
      <vt:variant>
        <vt:i4>0</vt:i4>
      </vt:variant>
      <vt:variant>
        <vt:i4>5</vt:i4>
      </vt:variant>
      <vt:variant>
        <vt:lpwstr/>
      </vt:variant>
      <vt:variant>
        <vt:lpwstr>_Toc178751249</vt:lpwstr>
      </vt:variant>
      <vt:variant>
        <vt:i4>1179710</vt:i4>
      </vt:variant>
      <vt:variant>
        <vt:i4>188</vt:i4>
      </vt:variant>
      <vt:variant>
        <vt:i4>0</vt:i4>
      </vt:variant>
      <vt:variant>
        <vt:i4>5</vt:i4>
      </vt:variant>
      <vt:variant>
        <vt:lpwstr/>
      </vt:variant>
      <vt:variant>
        <vt:lpwstr>_Toc178751248</vt:lpwstr>
      </vt:variant>
      <vt:variant>
        <vt:i4>1179710</vt:i4>
      </vt:variant>
      <vt:variant>
        <vt:i4>182</vt:i4>
      </vt:variant>
      <vt:variant>
        <vt:i4>0</vt:i4>
      </vt:variant>
      <vt:variant>
        <vt:i4>5</vt:i4>
      </vt:variant>
      <vt:variant>
        <vt:lpwstr/>
      </vt:variant>
      <vt:variant>
        <vt:lpwstr>_Toc178751247</vt:lpwstr>
      </vt:variant>
      <vt:variant>
        <vt:i4>1376318</vt:i4>
      </vt:variant>
      <vt:variant>
        <vt:i4>176</vt:i4>
      </vt:variant>
      <vt:variant>
        <vt:i4>0</vt:i4>
      </vt:variant>
      <vt:variant>
        <vt:i4>5</vt:i4>
      </vt:variant>
      <vt:variant>
        <vt:lpwstr/>
      </vt:variant>
      <vt:variant>
        <vt:lpwstr>_Toc178751236</vt:lpwstr>
      </vt:variant>
      <vt:variant>
        <vt:i4>1376318</vt:i4>
      </vt:variant>
      <vt:variant>
        <vt:i4>170</vt:i4>
      </vt:variant>
      <vt:variant>
        <vt:i4>0</vt:i4>
      </vt:variant>
      <vt:variant>
        <vt:i4>5</vt:i4>
      </vt:variant>
      <vt:variant>
        <vt:lpwstr/>
      </vt:variant>
      <vt:variant>
        <vt:lpwstr>_Toc178751234</vt:lpwstr>
      </vt:variant>
      <vt:variant>
        <vt:i4>1376318</vt:i4>
      </vt:variant>
      <vt:variant>
        <vt:i4>164</vt:i4>
      </vt:variant>
      <vt:variant>
        <vt:i4>0</vt:i4>
      </vt:variant>
      <vt:variant>
        <vt:i4>5</vt:i4>
      </vt:variant>
      <vt:variant>
        <vt:lpwstr/>
      </vt:variant>
      <vt:variant>
        <vt:lpwstr>_Toc178751233</vt:lpwstr>
      </vt:variant>
      <vt:variant>
        <vt:i4>1376318</vt:i4>
      </vt:variant>
      <vt:variant>
        <vt:i4>158</vt:i4>
      </vt:variant>
      <vt:variant>
        <vt:i4>0</vt:i4>
      </vt:variant>
      <vt:variant>
        <vt:i4>5</vt:i4>
      </vt:variant>
      <vt:variant>
        <vt:lpwstr/>
      </vt:variant>
      <vt:variant>
        <vt:lpwstr>_Toc178751232</vt:lpwstr>
      </vt:variant>
      <vt:variant>
        <vt:i4>1376318</vt:i4>
      </vt:variant>
      <vt:variant>
        <vt:i4>152</vt:i4>
      </vt:variant>
      <vt:variant>
        <vt:i4>0</vt:i4>
      </vt:variant>
      <vt:variant>
        <vt:i4>5</vt:i4>
      </vt:variant>
      <vt:variant>
        <vt:lpwstr/>
      </vt:variant>
      <vt:variant>
        <vt:lpwstr>_Toc178751231</vt:lpwstr>
      </vt:variant>
      <vt:variant>
        <vt:i4>1376318</vt:i4>
      </vt:variant>
      <vt:variant>
        <vt:i4>146</vt:i4>
      </vt:variant>
      <vt:variant>
        <vt:i4>0</vt:i4>
      </vt:variant>
      <vt:variant>
        <vt:i4>5</vt:i4>
      </vt:variant>
      <vt:variant>
        <vt:lpwstr/>
      </vt:variant>
      <vt:variant>
        <vt:lpwstr>_Toc178751230</vt:lpwstr>
      </vt:variant>
      <vt:variant>
        <vt:i4>1310782</vt:i4>
      </vt:variant>
      <vt:variant>
        <vt:i4>140</vt:i4>
      </vt:variant>
      <vt:variant>
        <vt:i4>0</vt:i4>
      </vt:variant>
      <vt:variant>
        <vt:i4>5</vt:i4>
      </vt:variant>
      <vt:variant>
        <vt:lpwstr/>
      </vt:variant>
      <vt:variant>
        <vt:lpwstr>_Toc178751229</vt:lpwstr>
      </vt:variant>
      <vt:variant>
        <vt:i4>1310782</vt:i4>
      </vt:variant>
      <vt:variant>
        <vt:i4>134</vt:i4>
      </vt:variant>
      <vt:variant>
        <vt:i4>0</vt:i4>
      </vt:variant>
      <vt:variant>
        <vt:i4>5</vt:i4>
      </vt:variant>
      <vt:variant>
        <vt:lpwstr/>
      </vt:variant>
      <vt:variant>
        <vt:lpwstr>_Toc178751227</vt:lpwstr>
      </vt:variant>
      <vt:variant>
        <vt:i4>1310782</vt:i4>
      </vt:variant>
      <vt:variant>
        <vt:i4>128</vt:i4>
      </vt:variant>
      <vt:variant>
        <vt:i4>0</vt:i4>
      </vt:variant>
      <vt:variant>
        <vt:i4>5</vt:i4>
      </vt:variant>
      <vt:variant>
        <vt:lpwstr/>
      </vt:variant>
      <vt:variant>
        <vt:lpwstr>_Toc178751226</vt:lpwstr>
      </vt:variant>
      <vt:variant>
        <vt:i4>1310782</vt:i4>
      </vt:variant>
      <vt:variant>
        <vt:i4>122</vt:i4>
      </vt:variant>
      <vt:variant>
        <vt:i4>0</vt:i4>
      </vt:variant>
      <vt:variant>
        <vt:i4>5</vt:i4>
      </vt:variant>
      <vt:variant>
        <vt:lpwstr/>
      </vt:variant>
      <vt:variant>
        <vt:lpwstr>_Toc178751225</vt:lpwstr>
      </vt:variant>
      <vt:variant>
        <vt:i4>1310782</vt:i4>
      </vt:variant>
      <vt:variant>
        <vt:i4>116</vt:i4>
      </vt:variant>
      <vt:variant>
        <vt:i4>0</vt:i4>
      </vt:variant>
      <vt:variant>
        <vt:i4>5</vt:i4>
      </vt:variant>
      <vt:variant>
        <vt:lpwstr/>
      </vt:variant>
      <vt:variant>
        <vt:lpwstr>_Toc178751224</vt:lpwstr>
      </vt:variant>
      <vt:variant>
        <vt:i4>1310782</vt:i4>
      </vt:variant>
      <vt:variant>
        <vt:i4>110</vt:i4>
      </vt:variant>
      <vt:variant>
        <vt:i4>0</vt:i4>
      </vt:variant>
      <vt:variant>
        <vt:i4>5</vt:i4>
      </vt:variant>
      <vt:variant>
        <vt:lpwstr/>
      </vt:variant>
      <vt:variant>
        <vt:lpwstr>_Toc178751223</vt:lpwstr>
      </vt:variant>
      <vt:variant>
        <vt:i4>1310782</vt:i4>
      </vt:variant>
      <vt:variant>
        <vt:i4>104</vt:i4>
      </vt:variant>
      <vt:variant>
        <vt:i4>0</vt:i4>
      </vt:variant>
      <vt:variant>
        <vt:i4>5</vt:i4>
      </vt:variant>
      <vt:variant>
        <vt:lpwstr/>
      </vt:variant>
      <vt:variant>
        <vt:lpwstr>_Toc178751222</vt:lpwstr>
      </vt:variant>
      <vt:variant>
        <vt:i4>1310782</vt:i4>
      </vt:variant>
      <vt:variant>
        <vt:i4>98</vt:i4>
      </vt:variant>
      <vt:variant>
        <vt:i4>0</vt:i4>
      </vt:variant>
      <vt:variant>
        <vt:i4>5</vt:i4>
      </vt:variant>
      <vt:variant>
        <vt:lpwstr/>
      </vt:variant>
      <vt:variant>
        <vt:lpwstr>_Toc178751221</vt:lpwstr>
      </vt:variant>
      <vt:variant>
        <vt:i4>1310782</vt:i4>
      </vt:variant>
      <vt:variant>
        <vt:i4>92</vt:i4>
      </vt:variant>
      <vt:variant>
        <vt:i4>0</vt:i4>
      </vt:variant>
      <vt:variant>
        <vt:i4>5</vt:i4>
      </vt:variant>
      <vt:variant>
        <vt:lpwstr/>
      </vt:variant>
      <vt:variant>
        <vt:lpwstr>_Toc178751220</vt:lpwstr>
      </vt:variant>
      <vt:variant>
        <vt:i4>1507390</vt:i4>
      </vt:variant>
      <vt:variant>
        <vt:i4>86</vt:i4>
      </vt:variant>
      <vt:variant>
        <vt:i4>0</vt:i4>
      </vt:variant>
      <vt:variant>
        <vt:i4>5</vt:i4>
      </vt:variant>
      <vt:variant>
        <vt:lpwstr/>
      </vt:variant>
      <vt:variant>
        <vt:lpwstr>_Toc178751219</vt:lpwstr>
      </vt:variant>
      <vt:variant>
        <vt:i4>1441854</vt:i4>
      </vt:variant>
      <vt:variant>
        <vt:i4>80</vt:i4>
      </vt:variant>
      <vt:variant>
        <vt:i4>0</vt:i4>
      </vt:variant>
      <vt:variant>
        <vt:i4>5</vt:i4>
      </vt:variant>
      <vt:variant>
        <vt:lpwstr/>
      </vt:variant>
      <vt:variant>
        <vt:lpwstr>_Toc178751209</vt:lpwstr>
      </vt:variant>
      <vt:variant>
        <vt:i4>1441854</vt:i4>
      </vt:variant>
      <vt:variant>
        <vt:i4>74</vt:i4>
      </vt:variant>
      <vt:variant>
        <vt:i4>0</vt:i4>
      </vt:variant>
      <vt:variant>
        <vt:i4>5</vt:i4>
      </vt:variant>
      <vt:variant>
        <vt:lpwstr/>
      </vt:variant>
      <vt:variant>
        <vt:lpwstr>_Toc178751208</vt:lpwstr>
      </vt:variant>
      <vt:variant>
        <vt:i4>1441854</vt:i4>
      </vt:variant>
      <vt:variant>
        <vt:i4>68</vt:i4>
      </vt:variant>
      <vt:variant>
        <vt:i4>0</vt:i4>
      </vt:variant>
      <vt:variant>
        <vt:i4>5</vt:i4>
      </vt:variant>
      <vt:variant>
        <vt:lpwstr/>
      </vt:variant>
      <vt:variant>
        <vt:lpwstr>_Toc178751207</vt:lpwstr>
      </vt:variant>
      <vt:variant>
        <vt:i4>1441854</vt:i4>
      </vt:variant>
      <vt:variant>
        <vt:i4>62</vt:i4>
      </vt:variant>
      <vt:variant>
        <vt:i4>0</vt:i4>
      </vt:variant>
      <vt:variant>
        <vt:i4>5</vt:i4>
      </vt:variant>
      <vt:variant>
        <vt:lpwstr/>
      </vt:variant>
      <vt:variant>
        <vt:lpwstr>_Toc178751206</vt:lpwstr>
      </vt:variant>
      <vt:variant>
        <vt:i4>1441854</vt:i4>
      </vt:variant>
      <vt:variant>
        <vt:i4>56</vt:i4>
      </vt:variant>
      <vt:variant>
        <vt:i4>0</vt:i4>
      </vt:variant>
      <vt:variant>
        <vt:i4>5</vt:i4>
      </vt:variant>
      <vt:variant>
        <vt:lpwstr/>
      </vt:variant>
      <vt:variant>
        <vt:lpwstr>_Toc178751205</vt:lpwstr>
      </vt:variant>
      <vt:variant>
        <vt:i4>1441854</vt:i4>
      </vt:variant>
      <vt:variant>
        <vt:i4>50</vt:i4>
      </vt:variant>
      <vt:variant>
        <vt:i4>0</vt:i4>
      </vt:variant>
      <vt:variant>
        <vt:i4>5</vt:i4>
      </vt:variant>
      <vt:variant>
        <vt:lpwstr/>
      </vt:variant>
      <vt:variant>
        <vt:lpwstr>_Toc178751204</vt:lpwstr>
      </vt:variant>
      <vt:variant>
        <vt:i4>1441854</vt:i4>
      </vt:variant>
      <vt:variant>
        <vt:i4>44</vt:i4>
      </vt:variant>
      <vt:variant>
        <vt:i4>0</vt:i4>
      </vt:variant>
      <vt:variant>
        <vt:i4>5</vt:i4>
      </vt:variant>
      <vt:variant>
        <vt:lpwstr/>
      </vt:variant>
      <vt:variant>
        <vt:lpwstr>_Toc178751200</vt:lpwstr>
      </vt:variant>
      <vt:variant>
        <vt:i4>2031677</vt:i4>
      </vt:variant>
      <vt:variant>
        <vt:i4>38</vt:i4>
      </vt:variant>
      <vt:variant>
        <vt:i4>0</vt:i4>
      </vt:variant>
      <vt:variant>
        <vt:i4>5</vt:i4>
      </vt:variant>
      <vt:variant>
        <vt:lpwstr/>
      </vt:variant>
      <vt:variant>
        <vt:lpwstr>_Toc178751198</vt:lpwstr>
      </vt:variant>
      <vt:variant>
        <vt:i4>2031677</vt:i4>
      </vt:variant>
      <vt:variant>
        <vt:i4>32</vt:i4>
      </vt:variant>
      <vt:variant>
        <vt:i4>0</vt:i4>
      </vt:variant>
      <vt:variant>
        <vt:i4>5</vt:i4>
      </vt:variant>
      <vt:variant>
        <vt:lpwstr/>
      </vt:variant>
      <vt:variant>
        <vt:lpwstr>_Toc178751197</vt:lpwstr>
      </vt:variant>
      <vt:variant>
        <vt:i4>2031677</vt:i4>
      </vt:variant>
      <vt:variant>
        <vt:i4>26</vt:i4>
      </vt:variant>
      <vt:variant>
        <vt:i4>0</vt:i4>
      </vt:variant>
      <vt:variant>
        <vt:i4>5</vt:i4>
      </vt:variant>
      <vt:variant>
        <vt:lpwstr/>
      </vt:variant>
      <vt:variant>
        <vt:lpwstr>_Toc178751196</vt:lpwstr>
      </vt:variant>
      <vt:variant>
        <vt:i4>2031677</vt:i4>
      </vt:variant>
      <vt:variant>
        <vt:i4>20</vt:i4>
      </vt:variant>
      <vt:variant>
        <vt:i4>0</vt:i4>
      </vt:variant>
      <vt:variant>
        <vt:i4>5</vt:i4>
      </vt:variant>
      <vt:variant>
        <vt:lpwstr/>
      </vt:variant>
      <vt:variant>
        <vt:lpwstr>_Toc178751195</vt:lpwstr>
      </vt:variant>
      <vt:variant>
        <vt:i4>2031677</vt:i4>
      </vt:variant>
      <vt:variant>
        <vt:i4>14</vt:i4>
      </vt:variant>
      <vt:variant>
        <vt:i4>0</vt:i4>
      </vt:variant>
      <vt:variant>
        <vt:i4>5</vt:i4>
      </vt:variant>
      <vt:variant>
        <vt:lpwstr/>
      </vt:variant>
      <vt:variant>
        <vt:lpwstr>_Toc178751194</vt:lpwstr>
      </vt:variant>
      <vt:variant>
        <vt:i4>2031677</vt:i4>
      </vt:variant>
      <vt:variant>
        <vt:i4>8</vt:i4>
      </vt:variant>
      <vt:variant>
        <vt:i4>0</vt:i4>
      </vt:variant>
      <vt:variant>
        <vt:i4>5</vt:i4>
      </vt:variant>
      <vt:variant>
        <vt:lpwstr/>
      </vt:variant>
      <vt:variant>
        <vt:lpwstr>_Toc178751193</vt:lpwstr>
      </vt:variant>
      <vt:variant>
        <vt:i4>2031677</vt:i4>
      </vt:variant>
      <vt:variant>
        <vt:i4>2</vt:i4>
      </vt:variant>
      <vt:variant>
        <vt:i4>0</vt:i4>
      </vt:variant>
      <vt:variant>
        <vt:i4>5</vt:i4>
      </vt:variant>
      <vt:variant>
        <vt:lpwstr/>
      </vt:variant>
      <vt:variant>
        <vt:lpwstr>_Toc178751192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ΠΡΟΣΧΕΔΙΟ ΚΡΑΤΙΚΟΥ ΠΡΟΫΠΟΛΟΓΙΣΜΟΥ 2026</dc:title>
  <dc:subject/>
  <dc:creator>PANTELIS</dc:creator>
  <cp:keywords/>
  <cp:lastModifiedBy>PANTELIS</cp:lastModifiedBy>
  <cp:revision>2</cp:revision>
  <cp:lastPrinted>2025-10-05T14:31:00Z</cp:lastPrinted>
  <dcterms:created xsi:type="dcterms:W3CDTF">2025-10-06T09:39:00Z</dcterms:created>
  <dcterms:modified xsi:type="dcterms:W3CDTF">2025-10-06T09:39:00Z</dcterms:modified>
</cp:coreProperties>
</file>