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115E" w14:textId="4BADBF06" w:rsidR="00EF5C56" w:rsidRPr="00AA0EB9" w:rsidRDefault="00A91CD9" w:rsidP="000F338E">
      <w:pPr>
        <w:tabs>
          <w:tab w:val="left" w:pos="450"/>
        </w:tabs>
        <w:jc w:val="center"/>
        <w:rPr>
          <w:rFonts w:cs="Arial"/>
          <w:b/>
          <w:bCs/>
          <w:u w:val="single"/>
          <w:lang w:val="el-GR"/>
        </w:rPr>
      </w:pPr>
      <w:r>
        <w:rPr>
          <w:rFonts w:cs="Arial"/>
          <w:b/>
          <w:bCs/>
          <w:u w:val="single"/>
          <w:lang w:val="el-GR"/>
        </w:rPr>
        <w:t>Ερωτήσεις και απαντήσεις</w:t>
      </w:r>
      <w:r w:rsidR="00EF5C56" w:rsidRPr="00A91CD9">
        <w:rPr>
          <w:rFonts w:cs="Arial"/>
          <w:b/>
          <w:bCs/>
          <w:u w:val="single"/>
          <w:lang w:val="el-GR"/>
        </w:rPr>
        <w:t xml:space="preserve"> </w:t>
      </w:r>
      <w:r w:rsidR="00EF5C56" w:rsidRPr="00AA0EB9">
        <w:rPr>
          <w:rFonts w:cs="Arial"/>
          <w:b/>
          <w:bCs/>
          <w:u w:val="single"/>
          <w:lang w:val="el-GR"/>
        </w:rPr>
        <w:t xml:space="preserve">για </w:t>
      </w:r>
      <w:r>
        <w:rPr>
          <w:rFonts w:cs="Arial"/>
          <w:b/>
          <w:bCs/>
          <w:u w:val="single"/>
          <w:lang w:val="el-GR"/>
        </w:rPr>
        <w:t>τη νομοθετική ρύθμιση σχετικά με τους ο</w:t>
      </w:r>
      <w:r w:rsidR="00F81E8C" w:rsidRPr="00AA0EB9">
        <w:rPr>
          <w:rFonts w:cs="Arial"/>
          <w:b/>
          <w:bCs/>
          <w:u w:val="single"/>
          <w:lang w:val="el-GR"/>
        </w:rPr>
        <w:t>ικισμούς</w:t>
      </w:r>
    </w:p>
    <w:p w14:paraId="4265490C" w14:textId="77777777" w:rsidR="007D1F6B" w:rsidRPr="00AA0EB9" w:rsidRDefault="007D1F6B" w:rsidP="000F338E">
      <w:pPr>
        <w:tabs>
          <w:tab w:val="left" w:pos="450"/>
        </w:tabs>
        <w:jc w:val="both"/>
        <w:rPr>
          <w:rFonts w:cs="Arial"/>
          <w:b/>
          <w:bCs/>
          <w:lang w:val="el-GR"/>
        </w:rPr>
      </w:pPr>
    </w:p>
    <w:p w14:paraId="2D5D19BA" w14:textId="4A46F01E" w:rsidR="00082A55" w:rsidRPr="00AA0EB9" w:rsidRDefault="007909BE" w:rsidP="000F338E">
      <w:pPr>
        <w:pStyle w:val="a6"/>
        <w:numPr>
          <w:ilvl w:val="0"/>
          <w:numId w:val="7"/>
        </w:numPr>
        <w:tabs>
          <w:tab w:val="left" w:pos="450"/>
        </w:tabs>
        <w:ind w:left="0" w:firstLine="0"/>
        <w:jc w:val="both"/>
        <w:rPr>
          <w:rFonts w:cs="Arial"/>
          <w:b/>
          <w:bCs/>
          <w:lang w:val="el-GR"/>
        </w:rPr>
      </w:pPr>
      <w:r w:rsidRPr="00AA0EB9">
        <w:rPr>
          <w:rFonts w:cs="Arial"/>
          <w:b/>
          <w:bCs/>
          <w:lang w:val="el-GR"/>
        </w:rPr>
        <w:t xml:space="preserve">Ποιο πρόβλημα </w:t>
      </w:r>
      <w:r w:rsidR="00AA0EB9">
        <w:rPr>
          <w:rFonts w:cs="Arial"/>
          <w:b/>
          <w:bCs/>
          <w:lang w:val="el-GR"/>
        </w:rPr>
        <w:t xml:space="preserve">έχει προκύψει </w:t>
      </w:r>
      <w:r w:rsidRPr="00AA0EB9">
        <w:rPr>
          <w:rFonts w:cs="Arial"/>
          <w:b/>
          <w:bCs/>
          <w:lang w:val="el-GR"/>
        </w:rPr>
        <w:t>με τους οικισμούς</w:t>
      </w:r>
      <w:r w:rsidR="00DC7B6E" w:rsidRPr="00AA0EB9">
        <w:rPr>
          <w:rFonts w:cs="Arial"/>
          <w:b/>
          <w:bCs/>
          <w:lang w:val="el-GR"/>
        </w:rPr>
        <w:t xml:space="preserve">; </w:t>
      </w:r>
    </w:p>
    <w:p w14:paraId="5EAAAE9F" w14:textId="112CA589" w:rsidR="00270B5F" w:rsidRDefault="00E5713D" w:rsidP="000F338E">
      <w:pPr>
        <w:tabs>
          <w:tab w:val="left" w:pos="450"/>
        </w:tabs>
        <w:jc w:val="both"/>
        <w:rPr>
          <w:rFonts w:cs="Arial"/>
          <w:lang w:val="el-GR"/>
        </w:rPr>
      </w:pPr>
      <w:r w:rsidRPr="00AA0EB9">
        <w:rPr>
          <w:rFonts w:cs="Arial"/>
          <w:lang w:val="el-GR"/>
        </w:rPr>
        <w:t>Το</w:t>
      </w:r>
      <w:r w:rsidR="00104350" w:rsidRPr="00AA0EB9">
        <w:rPr>
          <w:rFonts w:cs="Arial"/>
          <w:lang w:val="el-GR"/>
        </w:rPr>
        <w:t xml:space="preserve"> Σ</w:t>
      </w:r>
      <w:r w:rsidR="00AA0EB9">
        <w:rPr>
          <w:rFonts w:cs="Arial"/>
          <w:lang w:val="el-GR"/>
        </w:rPr>
        <w:t xml:space="preserve">υμβούλιο της </w:t>
      </w:r>
      <w:r w:rsidR="00104350" w:rsidRPr="00AA0EB9">
        <w:rPr>
          <w:rFonts w:cs="Arial"/>
          <w:lang w:val="el-GR"/>
        </w:rPr>
        <w:t>Ε</w:t>
      </w:r>
      <w:r w:rsidR="00AA0EB9">
        <w:rPr>
          <w:rFonts w:cs="Arial"/>
          <w:lang w:val="el-GR"/>
        </w:rPr>
        <w:t>πικρατείας</w:t>
      </w:r>
      <w:r w:rsidR="00104350" w:rsidRPr="00AA0EB9">
        <w:rPr>
          <w:rFonts w:cs="Arial"/>
          <w:lang w:val="el-GR"/>
        </w:rPr>
        <w:t xml:space="preserve"> </w:t>
      </w:r>
      <w:r w:rsidRPr="00AA0EB9">
        <w:rPr>
          <w:rFonts w:cs="Arial"/>
          <w:lang w:val="el-GR"/>
        </w:rPr>
        <w:t>ακύρωσε</w:t>
      </w:r>
      <w:r w:rsidR="00104350" w:rsidRPr="00AA0EB9">
        <w:rPr>
          <w:rFonts w:cs="Arial"/>
          <w:lang w:val="el-GR"/>
        </w:rPr>
        <w:t xml:space="preserve"> </w:t>
      </w:r>
      <w:r w:rsidR="00644371" w:rsidRPr="00AA0EB9">
        <w:rPr>
          <w:rFonts w:cs="Arial"/>
          <w:lang w:val="el-GR"/>
        </w:rPr>
        <w:t>-</w:t>
      </w:r>
      <w:r w:rsidR="00104350" w:rsidRPr="00AA0EB9">
        <w:rPr>
          <w:rFonts w:cs="Arial"/>
          <w:lang w:val="el-GR"/>
        </w:rPr>
        <w:t>με μια σειρά αποφάσε</w:t>
      </w:r>
      <w:r w:rsidR="00AA0EB9">
        <w:rPr>
          <w:rFonts w:cs="Arial"/>
          <w:lang w:val="el-GR"/>
        </w:rPr>
        <w:t>ώ</w:t>
      </w:r>
      <w:r w:rsidR="00104350" w:rsidRPr="00AA0EB9">
        <w:rPr>
          <w:rFonts w:cs="Arial"/>
          <w:lang w:val="el-GR"/>
        </w:rPr>
        <w:t>ν</w:t>
      </w:r>
      <w:r w:rsidR="00644371" w:rsidRPr="00AA0EB9">
        <w:rPr>
          <w:rFonts w:cs="Arial"/>
          <w:lang w:val="el-GR"/>
        </w:rPr>
        <w:t xml:space="preserve"> του</w:t>
      </w:r>
      <w:r w:rsidR="003B0E67" w:rsidRPr="00AA0EB9">
        <w:rPr>
          <w:rFonts w:cs="Arial"/>
          <w:lang w:val="el-GR"/>
        </w:rPr>
        <w:t xml:space="preserve"> </w:t>
      </w:r>
      <w:r w:rsidR="00AA0EB9">
        <w:rPr>
          <w:rFonts w:cs="Arial"/>
          <w:lang w:val="el-GR"/>
        </w:rPr>
        <w:t xml:space="preserve">το </w:t>
      </w:r>
      <w:r w:rsidR="003B0E67" w:rsidRPr="00AA0EB9">
        <w:rPr>
          <w:rFonts w:cs="Arial"/>
          <w:lang w:val="el-GR"/>
        </w:rPr>
        <w:t>2017, το 2019 και το 2022</w:t>
      </w:r>
      <w:r w:rsidR="00644371" w:rsidRPr="00AA0EB9">
        <w:rPr>
          <w:rFonts w:cs="Arial"/>
          <w:lang w:val="el-GR"/>
        </w:rPr>
        <w:t>-</w:t>
      </w:r>
      <w:r w:rsidR="00A019CF">
        <w:rPr>
          <w:rFonts w:cs="Arial"/>
          <w:lang w:val="el-GR"/>
        </w:rPr>
        <w:t>,</w:t>
      </w:r>
      <w:r w:rsidR="003B0E67" w:rsidRPr="00AA0EB9">
        <w:rPr>
          <w:rFonts w:cs="Arial"/>
          <w:lang w:val="el-GR"/>
        </w:rPr>
        <w:t xml:space="preserve"> </w:t>
      </w:r>
      <w:r w:rsidR="00104350" w:rsidRPr="00AA0EB9">
        <w:rPr>
          <w:rFonts w:cs="Arial"/>
          <w:lang w:val="el-GR"/>
        </w:rPr>
        <w:t>τ</w:t>
      </w:r>
      <w:r w:rsidR="003B0E67" w:rsidRPr="00AA0EB9">
        <w:rPr>
          <w:rFonts w:cs="Arial"/>
          <w:lang w:val="el-GR"/>
        </w:rPr>
        <w:t xml:space="preserve">α όρια </w:t>
      </w:r>
      <w:r w:rsidR="00CA46FC" w:rsidRPr="00AA0EB9">
        <w:rPr>
          <w:rFonts w:cs="Arial"/>
          <w:lang w:val="el-GR"/>
        </w:rPr>
        <w:t>οικισμών</w:t>
      </w:r>
      <w:r w:rsidR="00AA0EB9">
        <w:rPr>
          <w:rFonts w:cs="Arial"/>
          <w:lang w:val="el-GR"/>
        </w:rPr>
        <w:t xml:space="preserve"> </w:t>
      </w:r>
      <w:r w:rsidR="003B0E67" w:rsidRPr="00AA0EB9">
        <w:rPr>
          <w:rFonts w:cs="Arial"/>
          <w:lang w:val="el-GR"/>
        </w:rPr>
        <w:t>σ</w:t>
      </w:r>
      <w:r w:rsidRPr="00AA0EB9">
        <w:rPr>
          <w:rFonts w:cs="Arial"/>
          <w:lang w:val="el-GR"/>
        </w:rPr>
        <w:t>το</w:t>
      </w:r>
      <w:r w:rsidR="00D6481F" w:rsidRPr="00AA0EB9">
        <w:rPr>
          <w:rFonts w:cs="Arial"/>
          <w:lang w:val="el-GR"/>
        </w:rPr>
        <w:t xml:space="preserve"> </w:t>
      </w:r>
      <w:r w:rsidR="003B0E67" w:rsidRPr="00AA0EB9">
        <w:rPr>
          <w:rFonts w:cs="Arial"/>
          <w:lang w:val="el-GR"/>
        </w:rPr>
        <w:t xml:space="preserve">Λασίθι, το </w:t>
      </w:r>
      <w:r w:rsidR="00D6481F" w:rsidRPr="00AA0EB9">
        <w:rPr>
          <w:rFonts w:cs="Arial"/>
          <w:lang w:val="el-GR"/>
        </w:rPr>
        <w:t>Πήλιο</w:t>
      </w:r>
      <w:r w:rsidRPr="00AA0EB9">
        <w:rPr>
          <w:rFonts w:cs="Arial"/>
          <w:lang w:val="el-GR"/>
        </w:rPr>
        <w:t xml:space="preserve"> και την</w:t>
      </w:r>
      <w:r w:rsidR="00D6481F" w:rsidRPr="00AA0EB9">
        <w:rPr>
          <w:rFonts w:cs="Arial"/>
          <w:lang w:val="el-GR"/>
        </w:rPr>
        <w:t xml:space="preserve"> Πάρο</w:t>
      </w:r>
      <w:r w:rsidR="003B0E67" w:rsidRPr="00AA0EB9">
        <w:rPr>
          <w:rFonts w:cs="Arial"/>
          <w:lang w:val="el-GR"/>
        </w:rPr>
        <w:t xml:space="preserve">, τα οποία </w:t>
      </w:r>
      <w:r w:rsidR="00644371" w:rsidRPr="00AA0EB9">
        <w:rPr>
          <w:rFonts w:cs="Arial"/>
          <w:lang w:val="el-GR"/>
        </w:rPr>
        <w:t xml:space="preserve">είχαν </w:t>
      </w:r>
      <w:r w:rsidR="005B5D11">
        <w:rPr>
          <w:rFonts w:cs="Arial"/>
          <w:lang w:val="el-GR"/>
        </w:rPr>
        <w:t>καθ</w:t>
      </w:r>
      <w:r w:rsidR="00644371" w:rsidRPr="00AA0EB9">
        <w:rPr>
          <w:rFonts w:cs="Arial"/>
          <w:lang w:val="el-GR"/>
        </w:rPr>
        <w:t>οριστεί</w:t>
      </w:r>
      <w:r w:rsidR="003B0E67" w:rsidRPr="00AA0EB9">
        <w:rPr>
          <w:rFonts w:cs="Arial"/>
          <w:lang w:val="el-GR"/>
        </w:rPr>
        <w:t xml:space="preserve"> με αποφάσεις Νομαρχών. Συγκεκριμένα, το </w:t>
      </w:r>
      <w:proofErr w:type="spellStart"/>
      <w:r w:rsidR="003B0E67" w:rsidRPr="00AA0EB9">
        <w:rPr>
          <w:rFonts w:cs="Arial"/>
          <w:lang w:val="el-GR"/>
        </w:rPr>
        <w:t>ΣτΕ</w:t>
      </w:r>
      <w:proofErr w:type="spellEnd"/>
      <w:r w:rsidR="00D6481F" w:rsidRPr="00AA0EB9">
        <w:rPr>
          <w:rFonts w:cs="Arial"/>
          <w:lang w:val="el-GR"/>
        </w:rPr>
        <w:t xml:space="preserve"> </w:t>
      </w:r>
      <w:r w:rsidR="00AA0EB9">
        <w:rPr>
          <w:rFonts w:cs="Arial"/>
          <w:lang w:val="el-GR"/>
        </w:rPr>
        <w:t xml:space="preserve">έκρινε </w:t>
      </w:r>
      <w:r w:rsidRPr="00AA0EB9">
        <w:rPr>
          <w:rFonts w:cs="Arial"/>
          <w:lang w:val="el-GR"/>
        </w:rPr>
        <w:t>αναρμ</w:t>
      </w:r>
      <w:r w:rsidR="00AA0EB9">
        <w:rPr>
          <w:rFonts w:cs="Arial"/>
          <w:lang w:val="el-GR"/>
        </w:rPr>
        <w:t>όδιους τους</w:t>
      </w:r>
      <w:r w:rsidRPr="00AA0EB9">
        <w:rPr>
          <w:rFonts w:cs="Arial"/>
          <w:lang w:val="el-GR"/>
        </w:rPr>
        <w:t xml:space="preserve"> Νομ</w:t>
      </w:r>
      <w:r w:rsidR="00AA0EB9">
        <w:rPr>
          <w:rFonts w:cs="Arial"/>
          <w:lang w:val="el-GR"/>
        </w:rPr>
        <w:t>άρχες</w:t>
      </w:r>
      <w:r w:rsidRPr="00AA0EB9">
        <w:rPr>
          <w:rFonts w:cs="Arial"/>
          <w:lang w:val="el-GR"/>
        </w:rPr>
        <w:t xml:space="preserve"> </w:t>
      </w:r>
      <w:r w:rsidR="00AA0EB9">
        <w:rPr>
          <w:rFonts w:cs="Arial"/>
          <w:lang w:val="el-GR"/>
        </w:rPr>
        <w:t>και</w:t>
      </w:r>
      <w:r w:rsidR="003B0E67" w:rsidRPr="00AA0EB9">
        <w:rPr>
          <w:rFonts w:cs="Arial"/>
          <w:lang w:val="el-GR"/>
        </w:rPr>
        <w:t xml:space="preserve"> </w:t>
      </w:r>
      <w:r w:rsidR="00D6481F" w:rsidRPr="00AA0EB9">
        <w:rPr>
          <w:rFonts w:cs="Arial"/>
          <w:lang w:val="el-GR"/>
        </w:rPr>
        <w:t xml:space="preserve">ανεπαρκή </w:t>
      </w:r>
      <w:r w:rsidR="00AA0EB9">
        <w:rPr>
          <w:rFonts w:cs="Arial"/>
          <w:lang w:val="el-GR"/>
        </w:rPr>
        <w:t>τα κριτήρια οριοθέτησης</w:t>
      </w:r>
      <w:r w:rsidRPr="00AA0EB9">
        <w:rPr>
          <w:rFonts w:cs="Arial"/>
          <w:lang w:val="el-GR"/>
        </w:rPr>
        <w:t xml:space="preserve"> που ακολούθησαν</w:t>
      </w:r>
      <w:r w:rsidR="00D6481F" w:rsidRPr="00AA0EB9">
        <w:rPr>
          <w:rFonts w:cs="Arial"/>
          <w:lang w:val="el-GR"/>
        </w:rPr>
        <w:t>.</w:t>
      </w:r>
    </w:p>
    <w:p w14:paraId="31E9B276" w14:textId="78D72DBE" w:rsidR="00D931DA" w:rsidRDefault="00270B5F" w:rsidP="000F338E">
      <w:pPr>
        <w:tabs>
          <w:tab w:val="left" w:pos="450"/>
        </w:tabs>
        <w:jc w:val="both"/>
        <w:rPr>
          <w:rFonts w:cs="Arial"/>
          <w:lang w:val="el-GR"/>
        </w:rPr>
      </w:pPr>
      <w:r>
        <w:rPr>
          <w:rFonts w:cs="Arial"/>
          <w:lang w:val="el-GR"/>
        </w:rPr>
        <w:t xml:space="preserve">Οι αποφάσεις αυτές </w:t>
      </w:r>
      <w:r w:rsidRPr="00AA0EB9">
        <w:rPr>
          <w:rFonts w:cs="Arial"/>
          <w:b/>
          <w:bCs/>
          <w:lang w:val="el-GR"/>
        </w:rPr>
        <w:t xml:space="preserve">αφ’ ενός </w:t>
      </w:r>
      <w:r w:rsidRPr="00AA0EB9">
        <w:rPr>
          <w:rFonts w:cs="Arial"/>
          <w:lang w:val="el-GR"/>
        </w:rPr>
        <w:t>οδήγησ</w:t>
      </w:r>
      <w:r>
        <w:rPr>
          <w:rFonts w:cs="Arial"/>
          <w:lang w:val="el-GR"/>
        </w:rPr>
        <w:t>αν</w:t>
      </w:r>
      <w:r w:rsidRPr="00AA0EB9">
        <w:rPr>
          <w:rFonts w:cs="Arial"/>
          <w:lang w:val="el-GR"/>
        </w:rPr>
        <w:t xml:space="preserve"> τους </w:t>
      </w:r>
      <w:r w:rsidR="00433A49">
        <w:rPr>
          <w:rFonts w:cs="Arial"/>
          <w:lang w:val="el-GR"/>
        </w:rPr>
        <w:t xml:space="preserve">συγκεκριμένους </w:t>
      </w:r>
      <w:r w:rsidRPr="00AA0EB9">
        <w:rPr>
          <w:rFonts w:cs="Arial"/>
          <w:lang w:val="el-GR"/>
        </w:rPr>
        <w:t>οικισμούς σε οικοδομική αδράνεια, καθώς εκεί δεν εκδόθηκε ούτε μία οικοδομική άδεια</w:t>
      </w:r>
      <w:r w:rsidRPr="00270B5F">
        <w:rPr>
          <w:rFonts w:cs="Arial"/>
          <w:lang w:val="el-GR"/>
        </w:rPr>
        <w:t xml:space="preserve"> </w:t>
      </w:r>
      <w:r w:rsidRPr="00AA0EB9">
        <w:rPr>
          <w:rFonts w:cs="Arial"/>
          <w:lang w:val="el-GR"/>
        </w:rPr>
        <w:t>επί σειρά ετών</w:t>
      </w:r>
      <w:r w:rsidR="00420D35">
        <w:rPr>
          <w:rFonts w:cs="Arial"/>
          <w:lang w:val="el-GR"/>
        </w:rPr>
        <w:t xml:space="preserve"> και ως σήμερα</w:t>
      </w:r>
      <w:r w:rsidRPr="00AA0EB9">
        <w:rPr>
          <w:rFonts w:cs="Arial"/>
          <w:lang w:val="el-GR"/>
        </w:rPr>
        <w:t xml:space="preserve">, </w:t>
      </w:r>
      <w:r w:rsidRPr="00AA0EB9">
        <w:rPr>
          <w:rFonts w:cs="Arial"/>
          <w:b/>
          <w:bCs/>
          <w:lang w:val="el-GR"/>
        </w:rPr>
        <w:t>αφ’ ετέρου</w:t>
      </w:r>
      <w:r w:rsidRPr="00AA0EB9">
        <w:rPr>
          <w:rFonts w:cs="Arial"/>
          <w:lang w:val="el-GR"/>
        </w:rPr>
        <w:t xml:space="preserve"> έθεσε εν δυνάμει σε αμφισβήτηση την οριοθέτηση και των υπόλοιπων, 1</w:t>
      </w:r>
      <w:r w:rsidR="005A0C17">
        <w:rPr>
          <w:rFonts w:cs="Arial"/>
          <w:lang w:val="el-GR"/>
        </w:rPr>
        <w:t>2</w:t>
      </w:r>
      <w:r w:rsidR="00420D35">
        <w:rPr>
          <w:rFonts w:cs="Arial"/>
          <w:lang w:val="el-GR"/>
        </w:rPr>
        <w:t>.0</w:t>
      </w:r>
      <w:r w:rsidRPr="00AA0EB9">
        <w:rPr>
          <w:rFonts w:cs="Arial"/>
          <w:lang w:val="el-GR"/>
        </w:rPr>
        <w:t>00 οικισμών κάτω των 2.000 κατοίκων σε ολόκληρη την ελληνική Επικράτεια,</w:t>
      </w:r>
      <w:r>
        <w:rPr>
          <w:rFonts w:cs="Arial"/>
          <w:lang w:val="el-GR"/>
        </w:rPr>
        <w:t xml:space="preserve"> </w:t>
      </w:r>
      <w:r w:rsidRPr="00AA0EB9">
        <w:rPr>
          <w:rFonts w:cs="Arial"/>
          <w:lang w:val="el-GR"/>
        </w:rPr>
        <w:t>που δεν είναι θεσμοθετημένοι με Προεδρικό Διάταγμα</w:t>
      </w:r>
      <w:r w:rsidR="00A019CF">
        <w:rPr>
          <w:rFonts w:cs="Arial"/>
          <w:lang w:val="el-GR"/>
        </w:rPr>
        <w:t>,</w:t>
      </w:r>
      <w:r>
        <w:rPr>
          <w:rFonts w:cs="Arial"/>
          <w:lang w:val="el-GR"/>
        </w:rPr>
        <w:t xml:space="preserve"> αλλά </w:t>
      </w:r>
      <w:r w:rsidR="00AA0EB9" w:rsidRPr="00AA0EB9">
        <w:rPr>
          <w:rFonts w:cs="Arial"/>
          <w:lang w:val="el-GR"/>
        </w:rPr>
        <w:t>με αποφάσεις Νομαρχών.</w:t>
      </w:r>
    </w:p>
    <w:p w14:paraId="3018A374" w14:textId="77777777" w:rsidR="00AA0EB9" w:rsidRPr="00AA0EB9" w:rsidRDefault="00AA0EB9" w:rsidP="000F338E">
      <w:pPr>
        <w:tabs>
          <w:tab w:val="left" w:pos="450"/>
        </w:tabs>
        <w:jc w:val="both"/>
        <w:rPr>
          <w:rFonts w:cs="Arial"/>
          <w:b/>
          <w:bCs/>
          <w:lang w:val="el-GR"/>
        </w:rPr>
      </w:pPr>
    </w:p>
    <w:p w14:paraId="4E2BF9B2" w14:textId="6FBF53B2" w:rsidR="00644371" w:rsidRPr="00AA0EB9" w:rsidRDefault="00AA0EB9" w:rsidP="000F338E">
      <w:pPr>
        <w:pStyle w:val="a6"/>
        <w:numPr>
          <w:ilvl w:val="0"/>
          <w:numId w:val="7"/>
        </w:numPr>
        <w:tabs>
          <w:tab w:val="left" w:pos="450"/>
        </w:tabs>
        <w:ind w:left="0" w:firstLine="0"/>
        <w:jc w:val="both"/>
        <w:rPr>
          <w:rFonts w:cs="Arial"/>
          <w:b/>
          <w:bCs/>
          <w:lang w:val="el-GR"/>
        </w:rPr>
      </w:pPr>
      <w:r>
        <w:rPr>
          <w:rFonts w:cs="Arial"/>
          <w:b/>
          <w:bCs/>
          <w:lang w:val="el-GR"/>
        </w:rPr>
        <w:t>Τι</w:t>
      </w:r>
      <w:r w:rsidR="00D931DA" w:rsidRPr="00AA0EB9">
        <w:rPr>
          <w:rFonts w:cs="Arial"/>
          <w:b/>
          <w:bCs/>
          <w:lang w:val="el-GR"/>
        </w:rPr>
        <w:t xml:space="preserve"> προέβλεπε το Π</w:t>
      </w:r>
      <w:r w:rsidR="00270B5F">
        <w:rPr>
          <w:rFonts w:cs="Arial"/>
          <w:b/>
          <w:bCs/>
          <w:lang w:val="el-GR"/>
        </w:rPr>
        <w:t xml:space="preserve">ροεδρικό </w:t>
      </w:r>
      <w:r w:rsidR="00D931DA" w:rsidRPr="00AA0EB9">
        <w:rPr>
          <w:rFonts w:cs="Arial"/>
          <w:b/>
          <w:bCs/>
          <w:lang w:val="el-GR"/>
        </w:rPr>
        <w:t>Δ</w:t>
      </w:r>
      <w:r w:rsidR="00270B5F">
        <w:rPr>
          <w:rFonts w:cs="Arial"/>
          <w:b/>
          <w:bCs/>
          <w:lang w:val="el-GR"/>
        </w:rPr>
        <w:t>ιάταγμα</w:t>
      </w:r>
      <w:r w:rsidR="00A019CF">
        <w:rPr>
          <w:rFonts w:cs="Arial"/>
          <w:b/>
          <w:bCs/>
          <w:lang w:val="el-GR"/>
        </w:rPr>
        <w:t xml:space="preserve"> (ΠΔ)</w:t>
      </w:r>
      <w:r w:rsidR="00D931DA" w:rsidRPr="00AA0EB9">
        <w:rPr>
          <w:rFonts w:cs="Arial"/>
          <w:b/>
          <w:bCs/>
          <w:lang w:val="el-GR"/>
        </w:rPr>
        <w:t xml:space="preserve"> που πρότεινε</w:t>
      </w:r>
      <w:r>
        <w:rPr>
          <w:rFonts w:cs="Arial"/>
          <w:b/>
          <w:bCs/>
          <w:lang w:val="el-GR"/>
        </w:rPr>
        <w:t xml:space="preserve"> το Υπουργείο Περιβάλλοντος και Ενέργειας</w:t>
      </w:r>
      <w:r w:rsidR="00D931DA" w:rsidRPr="00AA0EB9">
        <w:rPr>
          <w:rFonts w:cs="Arial"/>
          <w:b/>
          <w:bCs/>
          <w:lang w:val="el-GR"/>
        </w:rPr>
        <w:t xml:space="preserve">; </w:t>
      </w:r>
    </w:p>
    <w:p w14:paraId="628EEF6D" w14:textId="601C3B7F" w:rsidR="00270B5F" w:rsidRDefault="00932865" w:rsidP="000F338E">
      <w:pPr>
        <w:tabs>
          <w:tab w:val="left" w:pos="450"/>
        </w:tabs>
        <w:jc w:val="both"/>
        <w:rPr>
          <w:rFonts w:cs="Arial"/>
          <w:lang w:val="el-GR"/>
        </w:rPr>
      </w:pPr>
      <w:r w:rsidRPr="00AA0EB9">
        <w:rPr>
          <w:rFonts w:cs="Arial"/>
          <w:color w:val="000000" w:themeColor="text1"/>
          <w:lang w:val="el-GR"/>
        </w:rPr>
        <w:t xml:space="preserve">Το ΠΔ </w:t>
      </w:r>
      <w:r w:rsidR="00270B5F">
        <w:rPr>
          <w:rFonts w:cs="Arial"/>
          <w:color w:val="000000" w:themeColor="text1"/>
          <w:lang w:val="el-GR"/>
        </w:rPr>
        <w:t>καθόρισε τα κριτήρια και τη μεθοδολογία</w:t>
      </w:r>
      <w:r w:rsidR="00596CCC">
        <w:rPr>
          <w:rFonts w:cs="Arial"/>
          <w:color w:val="000000" w:themeColor="text1"/>
          <w:lang w:val="el-GR"/>
        </w:rPr>
        <w:t xml:space="preserve"> για την οριοθέτηση των οικισμών</w:t>
      </w:r>
      <w:r w:rsidR="00B4463A">
        <w:rPr>
          <w:rFonts w:cs="Arial"/>
          <w:color w:val="000000" w:themeColor="text1"/>
          <w:lang w:val="el-GR"/>
        </w:rPr>
        <w:t xml:space="preserve"> προ </w:t>
      </w:r>
      <w:r w:rsidR="00B4463A" w:rsidRPr="00433A49">
        <w:rPr>
          <w:rFonts w:cs="Arial"/>
          <w:color w:val="000000" w:themeColor="text1"/>
          <w:lang w:val="el-GR"/>
        </w:rPr>
        <w:t xml:space="preserve">του </w:t>
      </w:r>
      <w:r w:rsidR="00433A49" w:rsidRPr="00433A49">
        <w:rPr>
          <w:rFonts w:cs="Arial"/>
          <w:color w:val="000000" w:themeColor="text1"/>
          <w:lang w:val="el-GR"/>
        </w:rPr>
        <w:t>1983</w:t>
      </w:r>
      <w:r w:rsidR="00B4463A">
        <w:rPr>
          <w:rFonts w:cs="Arial"/>
          <w:color w:val="000000" w:themeColor="text1"/>
          <w:lang w:val="el-GR"/>
        </w:rPr>
        <w:t xml:space="preserve"> και κάτω των 2.000 κατοίκων</w:t>
      </w:r>
      <w:r w:rsidR="00894740">
        <w:rPr>
          <w:rFonts w:cs="Arial"/>
          <w:color w:val="000000" w:themeColor="text1"/>
          <w:lang w:val="el-GR"/>
        </w:rPr>
        <w:t xml:space="preserve">. Αυτά </w:t>
      </w:r>
      <w:r w:rsidR="00270B5F">
        <w:rPr>
          <w:rFonts w:cs="Arial"/>
          <w:color w:val="000000" w:themeColor="text1"/>
          <w:lang w:val="el-GR"/>
        </w:rPr>
        <w:t xml:space="preserve">οφείλουν να λαμβάνουν υπόψη οι μελετητές </w:t>
      </w:r>
      <w:r w:rsidR="00894740">
        <w:rPr>
          <w:rFonts w:cs="Arial"/>
          <w:color w:val="000000" w:themeColor="text1"/>
          <w:lang w:val="el-GR"/>
        </w:rPr>
        <w:t>κατά την οριοθέτηση των οικισμών</w:t>
      </w:r>
      <w:r w:rsidR="00A019CF">
        <w:rPr>
          <w:rFonts w:cs="Arial"/>
          <w:color w:val="000000" w:themeColor="text1"/>
          <w:lang w:val="el-GR"/>
        </w:rPr>
        <w:t>,</w:t>
      </w:r>
      <w:r w:rsidR="00894740">
        <w:rPr>
          <w:rFonts w:cs="Arial"/>
          <w:color w:val="000000" w:themeColor="text1"/>
          <w:lang w:val="el-GR"/>
        </w:rPr>
        <w:t xml:space="preserve"> είτε κατά την εκπόνηση</w:t>
      </w:r>
      <w:r w:rsidR="00270B5F">
        <w:rPr>
          <w:rFonts w:cs="Arial"/>
          <w:color w:val="000000" w:themeColor="text1"/>
          <w:lang w:val="el-GR"/>
        </w:rPr>
        <w:t xml:space="preserve"> Τοπικ</w:t>
      </w:r>
      <w:r w:rsidR="00894740">
        <w:rPr>
          <w:rFonts w:cs="Arial"/>
          <w:color w:val="000000" w:themeColor="text1"/>
          <w:lang w:val="el-GR"/>
        </w:rPr>
        <w:t>ών</w:t>
      </w:r>
      <w:r w:rsidR="00270B5F">
        <w:rPr>
          <w:rFonts w:cs="Arial"/>
          <w:color w:val="000000" w:themeColor="text1"/>
          <w:lang w:val="el-GR"/>
        </w:rPr>
        <w:t xml:space="preserve"> και Ειδικ</w:t>
      </w:r>
      <w:r w:rsidR="00894740">
        <w:rPr>
          <w:rFonts w:cs="Arial"/>
          <w:color w:val="000000" w:themeColor="text1"/>
          <w:lang w:val="el-GR"/>
        </w:rPr>
        <w:t>ών</w:t>
      </w:r>
      <w:r w:rsidR="00270B5F">
        <w:rPr>
          <w:rFonts w:cs="Arial"/>
          <w:color w:val="000000" w:themeColor="text1"/>
          <w:lang w:val="el-GR"/>
        </w:rPr>
        <w:t xml:space="preserve"> Πολεοδομικ</w:t>
      </w:r>
      <w:r w:rsidR="00894740">
        <w:rPr>
          <w:rFonts w:cs="Arial"/>
          <w:color w:val="000000" w:themeColor="text1"/>
          <w:lang w:val="el-GR"/>
        </w:rPr>
        <w:t>ών</w:t>
      </w:r>
      <w:r w:rsidR="00270B5F">
        <w:rPr>
          <w:rFonts w:cs="Arial"/>
          <w:color w:val="000000" w:themeColor="text1"/>
          <w:lang w:val="el-GR"/>
        </w:rPr>
        <w:t xml:space="preserve"> Σχ</w:t>
      </w:r>
      <w:r w:rsidR="00894740">
        <w:rPr>
          <w:rFonts w:cs="Arial"/>
          <w:color w:val="000000" w:themeColor="text1"/>
          <w:lang w:val="el-GR"/>
        </w:rPr>
        <w:t>ε</w:t>
      </w:r>
      <w:r w:rsidR="00270B5F">
        <w:rPr>
          <w:rFonts w:cs="Arial"/>
          <w:color w:val="000000" w:themeColor="text1"/>
          <w:lang w:val="el-GR"/>
        </w:rPr>
        <w:t>δ</w:t>
      </w:r>
      <w:r w:rsidR="00894740">
        <w:rPr>
          <w:rFonts w:cs="Arial"/>
          <w:color w:val="000000" w:themeColor="text1"/>
          <w:lang w:val="el-GR"/>
        </w:rPr>
        <w:t>ίων</w:t>
      </w:r>
      <w:r w:rsidR="00A019CF">
        <w:rPr>
          <w:rFonts w:cs="Arial"/>
          <w:color w:val="000000" w:themeColor="text1"/>
          <w:lang w:val="el-GR"/>
        </w:rPr>
        <w:t>,</w:t>
      </w:r>
      <w:r w:rsidR="00894740">
        <w:rPr>
          <w:rFonts w:cs="Arial"/>
          <w:color w:val="000000" w:themeColor="text1"/>
          <w:lang w:val="el-GR"/>
        </w:rPr>
        <w:t xml:space="preserve"> είτε με αυτοτελείς μελέτες οριοθέτησης</w:t>
      </w:r>
      <w:r w:rsidR="00270B5F">
        <w:rPr>
          <w:rFonts w:cs="Arial"/>
          <w:color w:val="000000" w:themeColor="text1"/>
          <w:lang w:val="el-GR"/>
        </w:rPr>
        <w:t xml:space="preserve"> ανά την επικράτεια. Για πρώτη φορά ενοποιήθηκε, </w:t>
      </w:r>
      <w:proofErr w:type="spellStart"/>
      <w:r w:rsidR="00270B5F">
        <w:rPr>
          <w:rFonts w:cs="Arial"/>
          <w:color w:val="000000" w:themeColor="text1"/>
          <w:lang w:val="el-GR"/>
        </w:rPr>
        <w:t>επικαιροποιήθηκε</w:t>
      </w:r>
      <w:proofErr w:type="spellEnd"/>
      <w:r w:rsidR="00270B5F">
        <w:rPr>
          <w:rFonts w:cs="Arial"/>
          <w:color w:val="000000" w:themeColor="text1"/>
          <w:lang w:val="el-GR"/>
        </w:rPr>
        <w:t xml:space="preserve"> και κατέστη συνεκτική η αποσπασματική νομοθεσία</w:t>
      </w:r>
      <w:r w:rsidR="00A24475">
        <w:rPr>
          <w:rFonts w:cs="Arial"/>
          <w:color w:val="000000" w:themeColor="text1"/>
          <w:lang w:val="el-GR"/>
        </w:rPr>
        <w:t xml:space="preserve"> </w:t>
      </w:r>
      <w:r w:rsidR="00270B5F">
        <w:rPr>
          <w:rFonts w:cs="Arial"/>
          <w:color w:val="000000" w:themeColor="text1"/>
          <w:lang w:val="el-GR"/>
        </w:rPr>
        <w:t>που ίσχυε</w:t>
      </w:r>
      <w:r w:rsidR="00A24475">
        <w:rPr>
          <w:rFonts w:cs="Arial"/>
          <w:color w:val="000000" w:themeColor="text1"/>
          <w:lang w:val="el-GR"/>
        </w:rPr>
        <w:t>, από τη μία</w:t>
      </w:r>
      <w:r w:rsidR="00270B5F">
        <w:rPr>
          <w:rFonts w:cs="Arial"/>
          <w:color w:val="000000" w:themeColor="text1"/>
          <w:lang w:val="el-GR"/>
        </w:rPr>
        <w:t xml:space="preserve"> για τους οικισμούς προ του 1923 και </w:t>
      </w:r>
      <w:r w:rsidR="00A24475">
        <w:rPr>
          <w:rFonts w:cs="Arial"/>
          <w:color w:val="000000" w:themeColor="text1"/>
          <w:lang w:val="el-GR"/>
        </w:rPr>
        <w:t xml:space="preserve">από την άλλη </w:t>
      </w:r>
      <w:r w:rsidR="00270B5F">
        <w:rPr>
          <w:rFonts w:cs="Arial"/>
          <w:color w:val="000000" w:themeColor="text1"/>
          <w:lang w:val="el-GR"/>
        </w:rPr>
        <w:t>για τους οικισμούς κάτω των 2.000 κατοίκων. Για το</w:t>
      </w:r>
      <w:r w:rsidR="005F5E23">
        <w:rPr>
          <w:rFonts w:cs="Arial"/>
          <w:color w:val="000000" w:themeColor="text1"/>
          <w:lang w:val="el-GR"/>
        </w:rPr>
        <w:t>ν</w:t>
      </w:r>
      <w:r w:rsidR="00270B5F">
        <w:rPr>
          <w:rFonts w:cs="Arial"/>
          <w:color w:val="000000" w:themeColor="text1"/>
          <w:lang w:val="el-GR"/>
        </w:rPr>
        <w:t xml:space="preserve"> λόγο αυτό, το νέο Π</w:t>
      </w:r>
      <w:r w:rsidR="005F5E23">
        <w:rPr>
          <w:rFonts w:cs="Arial"/>
          <w:color w:val="000000" w:themeColor="text1"/>
          <w:lang w:val="el-GR"/>
        </w:rPr>
        <w:t>Δ</w:t>
      </w:r>
      <w:r w:rsidR="00270B5F">
        <w:rPr>
          <w:rFonts w:cs="Arial"/>
          <w:color w:val="000000" w:themeColor="text1"/>
          <w:lang w:val="el-GR"/>
        </w:rPr>
        <w:t xml:space="preserve"> </w:t>
      </w:r>
      <w:r w:rsidRPr="00AA0EB9">
        <w:rPr>
          <w:rFonts w:cs="Arial"/>
          <w:color w:val="000000" w:themeColor="text1"/>
          <w:lang w:val="el-GR"/>
        </w:rPr>
        <w:t xml:space="preserve">αποκατέστησε την αξία των </w:t>
      </w:r>
      <w:r w:rsidR="00BD0BF4">
        <w:rPr>
          <w:rFonts w:cs="Arial"/>
          <w:color w:val="000000" w:themeColor="text1"/>
          <w:lang w:val="el-GR"/>
        </w:rPr>
        <w:t>ιδιοκτησιών</w:t>
      </w:r>
      <w:r w:rsidRPr="00AA0EB9">
        <w:rPr>
          <w:rFonts w:cs="Arial"/>
          <w:color w:val="000000" w:themeColor="text1"/>
          <w:lang w:val="el-GR"/>
        </w:rPr>
        <w:t xml:space="preserve"> και εμπέδωσε την ασφάλεια </w:t>
      </w:r>
      <w:r w:rsidR="00270B5F">
        <w:rPr>
          <w:rFonts w:cs="Arial"/>
          <w:color w:val="000000" w:themeColor="text1"/>
          <w:lang w:val="el-GR"/>
        </w:rPr>
        <w:t>δ</w:t>
      </w:r>
      <w:r w:rsidRPr="00AA0EB9">
        <w:rPr>
          <w:rFonts w:cs="Arial"/>
          <w:color w:val="000000" w:themeColor="text1"/>
          <w:lang w:val="el-GR"/>
        </w:rPr>
        <w:t xml:space="preserve">ικαίου </w:t>
      </w:r>
      <w:r w:rsidR="00270B5F">
        <w:rPr>
          <w:rFonts w:cs="Arial"/>
          <w:color w:val="000000" w:themeColor="text1"/>
          <w:lang w:val="el-GR"/>
        </w:rPr>
        <w:t>στους οικισμούς της χώρας μας</w:t>
      </w:r>
      <w:r w:rsidRPr="00AA0EB9">
        <w:rPr>
          <w:rFonts w:cs="Arial"/>
          <w:color w:val="000000" w:themeColor="text1"/>
          <w:lang w:val="el-GR"/>
        </w:rPr>
        <w:t xml:space="preserve">. </w:t>
      </w:r>
      <w:r w:rsidR="00270B5F" w:rsidRPr="005F5E23">
        <w:rPr>
          <w:rFonts w:cs="Arial"/>
          <w:lang w:val="el-GR"/>
        </w:rPr>
        <w:t>Εξάλλου, η υπογραφή του ΠΔ ήταν απολύτως αναγκαία</w:t>
      </w:r>
      <w:r w:rsidR="005F5E23" w:rsidRPr="005F5E23">
        <w:rPr>
          <w:rFonts w:cs="Arial"/>
          <w:lang w:val="el-GR"/>
        </w:rPr>
        <w:t>,</w:t>
      </w:r>
      <w:r w:rsidR="00270B5F" w:rsidRPr="005F5E23">
        <w:rPr>
          <w:rFonts w:cs="Arial"/>
          <w:lang w:val="el-GR"/>
        </w:rPr>
        <w:t xml:space="preserve"> προκειμένου να </w:t>
      </w:r>
      <w:r w:rsidR="00D34A8D">
        <w:rPr>
          <w:rFonts w:cs="Arial"/>
          <w:lang w:val="el-GR"/>
        </w:rPr>
        <w:t>προχωρούν χωρίς καθυστέρηση</w:t>
      </w:r>
      <w:r w:rsidR="00D34A8D" w:rsidRPr="005F5E23">
        <w:rPr>
          <w:rFonts w:cs="Arial"/>
          <w:lang w:val="el-GR"/>
        </w:rPr>
        <w:t xml:space="preserve"> </w:t>
      </w:r>
      <w:r w:rsidR="00270B5F" w:rsidRPr="005F5E23">
        <w:rPr>
          <w:rFonts w:cs="Arial"/>
          <w:lang w:val="el-GR"/>
        </w:rPr>
        <w:t xml:space="preserve">οι μελέτες και να εξασφαλιστεί η υλοποίηση του </w:t>
      </w:r>
      <w:r w:rsidR="00A019CF">
        <w:rPr>
          <w:rFonts w:cs="Arial"/>
          <w:lang w:val="el-GR"/>
        </w:rPr>
        <w:t xml:space="preserve">εμβληματικού </w:t>
      </w:r>
      <w:r w:rsidR="00270B5F" w:rsidRPr="005F5E23">
        <w:rPr>
          <w:rFonts w:cs="Arial"/>
          <w:lang w:val="el-GR"/>
        </w:rPr>
        <w:t>προγράμματος «Κωνσταντίνος Δοξιάδης».</w:t>
      </w:r>
    </w:p>
    <w:p w14:paraId="185D5902" w14:textId="77777777" w:rsidR="00A019CF" w:rsidRPr="00A24475" w:rsidRDefault="00A019CF" w:rsidP="000F338E">
      <w:pPr>
        <w:tabs>
          <w:tab w:val="left" w:pos="450"/>
        </w:tabs>
        <w:jc w:val="both"/>
        <w:rPr>
          <w:rFonts w:cs="Arial"/>
          <w:highlight w:val="yellow"/>
          <w:lang w:val="el-GR"/>
        </w:rPr>
      </w:pPr>
    </w:p>
    <w:p w14:paraId="58C0C98F" w14:textId="25BDEFA3" w:rsidR="00A91CD9" w:rsidRPr="00270B5F" w:rsidRDefault="0027028A" w:rsidP="000F338E">
      <w:pPr>
        <w:pStyle w:val="a6"/>
        <w:numPr>
          <w:ilvl w:val="0"/>
          <w:numId w:val="7"/>
        </w:numPr>
        <w:tabs>
          <w:tab w:val="left" w:pos="450"/>
        </w:tabs>
        <w:ind w:left="0" w:firstLine="0"/>
        <w:jc w:val="both"/>
        <w:rPr>
          <w:rFonts w:cs="Arial"/>
          <w:b/>
          <w:bCs/>
          <w:lang w:val="el-GR"/>
        </w:rPr>
      </w:pPr>
      <w:r>
        <w:rPr>
          <w:rFonts w:cs="Arial"/>
          <w:b/>
          <w:bCs/>
          <w:lang w:val="el-GR"/>
        </w:rPr>
        <w:t>Το ΠΔ α</w:t>
      </w:r>
      <w:r w:rsidR="00A91CD9" w:rsidRPr="00AA0EB9">
        <w:rPr>
          <w:rFonts w:cs="Arial"/>
          <w:b/>
          <w:bCs/>
          <w:lang w:val="el-GR"/>
        </w:rPr>
        <w:t xml:space="preserve">φορά όλους τους οικισμούς της χώρας; </w:t>
      </w:r>
    </w:p>
    <w:p w14:paraId="7701575A" w14:textId="77777777" w:rsidR="00A91CD9" w:rsidRPr="00AA0EB9" w:rsidRDefault="00A91CD9" w:rsidP="000F338E">
      <w:pPr>
        <w:tabs>
          <w:tab w:val="left" w:pos="450"/>
        </w:tabs>
        <w:jc w:val="both"/>
        <w:rPr>
          <w:rFonts w:cs="Arial"/>
          <w:lang w:val="el-GR"/>
        </w:rPr>
      </w:pPr>
      <w:r w:rsidRPr="00AA0EB9">
        <w:rPr>
          <w:rFonts w:cs="Arial"/>
          <w:lang w:val="el-GR"/>
        </w:rPr>
        <w:t>Όχι, από το πεδίο εφαρμογής του ΠΔ εξαιρούνται:</w:t>
      </w:r>
    </w:p>
    <w:p w14:paraId="098100D3" w14:textId="77777777" w:rsidR="00A91CD9" w:rsidRPr="00AA0EB9" w:rsidRDefault="00A91CD9" w:rsidP="000F338E">
      <w:pPr>
        <w:pStyle w:val="a6"/>
        <w:numPr>
          <w:ilvl w:val="0"/>
          <w:numId w:val="6"/>
        </w:numPr>
        <w:tabs>
          <w:tab w:val="left" w:pos="450"/>
        </w:tabs>
        <w:ind w:left="0" w:firstLine="0"/>
        <w:jc w:val="both"/>
        <w:rPr>
          <w:rFonts w:cs="Arial"/>
          <w:lang w:val="el-GR"/>
        </w:rPr>
      </w:pPr>
      <w:r w:rsidRPr="00AA0EB9">
        <w:rPr>
          <w:rFonts w:cs="Arial"/>
          <w:lang w:val="el-GR"/>
        </w:rPr>
        <w:t xml:space="preserve">οι οικισμοί άνω των 2000 κατοίκων </w:t>
      </w:r>
    </w:p>
    <w:p w14:paraId="35094C23" w14:textId="77777777" w:rsidR="00A91CD9" w:rsidRPr="00AA0EB9" w:rsidRDefault="00A91CD9" w:rsidP="000F338E">
      <w:pPr>
        <w:pStyle w:val="a6"/>
        <w:numPr>
          <w:ilvl w:val="0"/>
          <w:numId w:val="6"/>
        </w:numPr>
        <w:tabs>
          <w:tab w:val="left" w:pos="450"/>
        </w:tabs>
        <w:ind w:left="0" w:firstLine="0"/>
        <w:jc w:val="both"/>
        <w:rPr>
          <w:rFonts w:cs="Arial"/>
          <w:lang w:val="el-GR"/>
        </w:rPr>
      </w:pPr>
      <w:r w:rsidRPr="00AA0EB9">
        <w:rPr>
          <w:rFonts w:cs="Arial"/>
          <w:lang w:val="el-GR"/>
        </w:rPr>
        <w:t>οι νέοι οικισμοί μετά το 1983</w:t>
      </w:r>
    </w:p>
    <w:p w14:paraId="40BA9802" w14:textId="36236C40" w:rsidR="00A91CD9" w:rsidRDefault="00A91CD9" w:rsidP="000F338E">
      <w:pPr>
        <w:pStyle w:val="a6"/>
        <w:numPr>
          <w:ilvl w:val="0"/>
          <w:numId w:val="6"/>
        </w:numPr>
        <w:tabs>
          <w:tab w:val="left" w:pos="450"/>
        </w:tabs>
        <w:ind w:left="0" w:firstLine="0"/>
        <w:jc w:val="both"/>
        <w:rPr>
          <w:rFonts w:cs="Arial"/>
          <w:lang w:val="el-GR"/>
        </w:rPr>
      </w:pPr>
      <w:r w:rsidRPr="00AA0EB9">
        <w:rPr>
          <w:rFonts w:cs="Arial"/>
          <w:lang w:val="el-GR"/>
        </w:rPr>
        <w:lastRenderedPageBreak/>
        <w:t>οι παραλιακοί οικισμοί που εντάσσονται σε Ζώνες Οικιστικού Ελέγχου (ΖΟΕ)</w:t>
      </w:r>
      <w:r w:rsidR="00A019CF">
        <w:rPr>
          <w:rFonts w:cs="Arial"/>
          <w:lang w:val="el-GR"/>
        </w:rPr>
        <w:t>,</w:t>
      </w:r>
      <w:r w:rsidRPr="00AA0EB9">
        <w:rPr>
          <w:rFonts w:cs="Arial"/>
          <w:lang w:val="el-GR"/>
        </w:rPr>
        <w:t xml:space="preserve"> σε συγκεκριμένες περιφερειακές ενότητες όπως η Αττική, η Εύβοια, η Κορινθία, η Θεσσαλονίκη, η Πιερία και η Χαλκιδική. </w:t>
      </w:r>
    </w:p>
    <w:p w14:paraId="65BCEC9A" w14:textId="77777777" w:rsidR="00BD0BF4" w:rsidRPr="00AA0EB9" w:rsidRDefault="00BD0BF4" w:rsidP="00BD0BF4">
      <w:pPr>
        <w:pStyle w:val="a6"/>
        <w:tabs>
          <w:tab w:val="left" w:pos="450"/>
        </w:tabs>
        <w:ind w:left="0"/>
        <w:jc w:val="both"/>
        <w:rPr>
          <w:rFonts w:cs="Arial"/>
          <w:lang w:val="el-GR"/>
        </w:rPr>
      </w:pPr>
    </w:p>
    <w:p w14:paraId="4CBCA55D" w14:textId="3D15F9AC" w:rsidR="00644371" w:rsidRPr="00AA0EB9" w:rsidRDefault="00644371" w:rsidP="000F338E">
      <w:pPr>
        <w:pStyle w:val="a6"/>
        <w:numPr>
          <w:ilvl w:val="0"/>
          <w:numId w:val="7"/>
        </w:numPr>
        <w:tabs>
          <w:tab w:val="left" w:pos="450"/>
        </w:tabs>
        <w:ind w:left="0" w:firstLine="0"/>
        <w:jc w:val="both"/>
        <w:rPr>
          <w:rFonts w:cs="Arial"/>
          <w:b/>
          <w:bCs/>
          <w:lang w:val="el-GR"/>
        </w:rPr>
      </w:pPr>
      <w:r w:rsidRPr="00AA0EB9">
        <w:rPr>
          <w:rFonts w:cs="Arial"/>
          <w:b/>
          <w:bCs/>
          <w:lang w:val="el-GR"/>
        </w:rPr>
        <w:t xml:space="preserve">Ποιο είναι το </w:t>
      </w:r>
      <w:r w:rsidR="007909BE" w:rsidRPr="00AA0EB9">
        <w:rPr>
          <w:rFonts w:cs="Arial"/>
          <w:b/>
          <w:bCs/>
          <w:lang w:val="el-GR"/>
        </w:rPr>
        <w:t>ζήτημα</w:t>
      </w:r>
      <w:r w:rsidRPr="00AA0EB9">
        <w:rPr>
          <w:rFonts w:cs="Arial"/>
          <w:b/>
          <w:bCs/>
          <w:lang w:val="el-GR"/>
        </w:rPr>
        <w:t xml:space="preserve"> που ανέκυψε</w:t>
      </w:r>
      <w:r w:rsidR="007909BE" w:rsidRPr="00AA0EB9">
        <w:rPr>
          <w:rFonts w:cs="Arial"/>
          <w:b/>
          <w:bCs/>
          <w:lang w:val="el-GR"/>
        </w:rPr>
        <w:t xml:space="preserve"> </w:t>
      </w:r>
      <w:r w:rsidR="0027028A">
        <w:rPr>
          <w:rFonts w:cs="Arial"/>
          <w:b/>
          <w:bCs/>
          <w:lang w:val="el-GR"/>
        </w:rPr>
        <w:t>κατά την επεξεργασία</w:t>
      </w:r>
      <w:r w:rsidR="007909BE" w:rsidRPr="00AA0EB9">
        <w:rPr>
          <w:rFonts w:cs="Arial"/>
          <w:b/>
          <w:bCs/>
          <w:lang w:val="el-GR"/>
        </w:rPr>
        <w:t xml:space="preserve"> το</w:t>
      </w:r>
      <w:r w:rsidR="0027028A">
        <w:rPr>
          <w:rFonts w:cs="Arial"/>
          <w:b/>
          <w:bCs/>
          <w:lang w:val="el-GR"/>
        </w:rPr>
        <w:t>υ</w:t>
      </w:r>
      <w:r w:rsidR="007909BE" w:rsidRPr="00AA0EB9">
        <w:rPr>
          <w:rFonts w:cs="Arial"/>
          <w:b/>
          <w:bCs/>
          <w:lang w:val="el-GR"/>
        </w:rPr>
        <w:t xml:space="preserve"> ΠΔ</w:t>
      </w:r>
      <w:r w:rsidR="0027028A">
        <w:rPr>
          <w:rFonts w:cs="Arial"/>
          <w:b/>
          <w:bCs/>
          <w:lang w:val="el-GR"/>
        </w:rPr>
        <w:t xml:space="preserve"> στο Συμβούλιο της Επικρατείας</w:t>
      </w:r>
      <w:r w:rsidRPr="00AA0EB9">
        <w:rPr>
          <w:rFonts w:cs="Arial"/>
          <w:b/>
          <w:bCs/>
          <w:lang w:val="el-GR"/>
        </w:rPr>
        <w:t>;</w:t>
      </w:r>
    </w:p>
    <w:p w14:paraId="4C7A55DF" w14:textId="07FCA96C" w:rsidR="00270B5F" w:rsidRDefault="00A24475" w:rsidP="000F338E">
      <w:pPr>
        <w:tabs>
          <w:tab w:val="left" w:pos="450"/>
        </w:tabs>
        <w:jc w:val="both"/>
        <w:rPr>
          <w:rFonts w:cs="Arial"/>
          <w:lang w:val="el-GR"/>
        </w:rPr>
      </w:pPr>
      <w:r>
        <w:rPr>
          <w:rFonts w:cs="Arial"/>
          <w:lang w:val="el-GR"/>
        </w:rPr>
        <w:t xml:space="preserve">Το ζήτημα ανέκυψε κατόπιν της </w:t>
      </w:r>
      <w:r w:rsidRPr="00433A49">
        <w:rPr>
          <w:rFonts w:cs="Arial"/>
          <w:lang w:val="el-GR"/>
        </w:rPr>
        <w:t xml:space="preserve">απόρριψης από το </w:t>
      </w:r>
      <w:proofErr w:type="spellStart"/>
      <w:r w:rsidRPr="00433A49">
        <w:rPr>
          <w:rFonts w:cs="Arial"/>
          <w:lang w:val="el-GR"/>
        </w:rPr>
        <w:t>ΣτΕ</w:t>
      </w:r>
      <w:proofErr w:type="spellEnd"/>
      <w:r w:rsidRPr="00433A49">
        <w:rPr>
          <w:rFonts w:cs="Arial"/>
          <w:lang w:val="el-GR"/>
        </w:rPr>
        <w:t xml:space="preserve"> της Ζώνης Γ</w:t>
      </w:r>
      <w:r w:rsidR="001A2DAD" w:rsidRPr="00433A49">
        <w:rPr>
          <w:rFonts w:cs="Arial"/>
          <w:lang w:val="el-GR"/>
        </w:rPr>
        <w:t xml:space="preserve"> (</w:t>
      </w:r>
      <w:r w:rsidR="00D34A8D" w:rsidRPr="00433A49">
        <w:rPr>
          <w:rFonts w:cs="Arial"/>
          <w:bCs/>
          <w:kern w:val="0"/>
          <w:lang w:val="el-GR"/>
          <w14:ligatures w14:val="none"/>
        </w:rPr>
        <w:t xml:space="preserve">στα εξωτερικά όρια του οικισμού που είχαν </w:t>
      </w:r>
      <w:proofErr w:type="spellStart"/>
      <w:r w:rsidR="00D34A8D" w:rsidRPr="00433A49">
        <w:rPr>
          <w:rFonts w:cs="Arial"/>
          <w:bCs/>
          <w:kern w:val="0"/>
          <w:lang w:val="el-GR"/>
          <w14:ligatures w14:val="none"/>
        </w:rPr>
        <w:t>οριοθετηθεί</w:t>
      </w:r>
      <w:proofErr w:type="spellEnd"/>
      <w:r w:rsidR="001A2DAD" w:rsidRPr="00433A49">
        <w:rPr>
          <w:rFonts w:cs="Arial"/>
          <w:lang w:val="el-GR"/>
        </w:rPr>
        <w:t xml:space="preserve">) </w:t>
      </w:r>
      <w:r w:rsidRPr="00433A49">
        <w:rPr>
          <w:rFonts w:cs="Arial"/>
          <w:lang w:val="el-GR"/>
        </w:rPr>
        <w:t>και αφορούσε αποκλειστικά και μόνο αδόμητα ακίνητα στη Ζώνη αυτή</w:t>
      </w:r>
      <w:r w:rsidR="00A019CF">
        <w:rPr>
          <w:rFonts w:cs="Arial"/>
          <w:lang w:val="el-GR"/>
        </w:rPr>
        <w:t>,</w:t>
      </w:r>
      <w:r w:rsidR="00A91CD9" w:rsidRPr="00433A49">
        <w:rPr>
          <w:rFonts w:cs="Arial"/>
          <w:lang w:val="el-GR"/>
        </w:rPr>
        <w:t xml:space="preserve"> των οικισμών</w:t>
      </w:r>
      <w:r w:rsidR="00A91CD9">
        <w:rPr>
          <w:rFonts w:cs="Arial"/>
          <w:lang w:val="el-GR"/>
        </w:rPr>
        <w:t xml:space="preserve"> κάτω των 2.000 κατοίκων</w:t>
      </w:r>
      <w:r>
        <w:rPr>
          <w:rFonts w:cs="Arial"/>
          <w:lang w:val="el-GR"/>
        </w:rPr>
        <w:t xml:space="preserve"> και μόνον τις περιπτώσεις στις οποίες οι νομαρχιακές αποφάσεις οριοθέτησης δεν</w:t>
      </w:r>
      <w:r w:rsidR="00644371" w:rsidRPr="00AA0EB9">
        <w:rPr>
          <w:rFonts w:cs="Arial"/>
          <w:lang w:val="el-GR"/>
        </w:rPr>
        <w:t xml:space="preserve"> </w:t>
      </w:r>
      <w:r>
        <w:rPr>
          <w:rFonts w:cs="Arial"/>
          <w:lang w:val="el-GR"/>
        </w:rPr>
        <w:t>πληρούσαν</w:t>
      </w:r>
      <w:r w:rsidR="00644371" w:rsidRPr="00AA0EB9">
        <w:rPr>
          <w:rFonts w:cs="Arial"/>
          <w:lang w:val="el-GR"/>
        </w:rPr>
        <w:t xml:space="preserve"> τα</w:t>
      </w:r>
      <w:r>
        <w:rPr>
          <w:rFonts w:cs="Arial"/>
          <w:lang w:val="el-GR"/>
        </w:rPr>
        <w:t xml:space="preserve"> απαιτούμενα</w:t>
      </w:r>
      <w:r w:rsidR="00644371" w:rsidRPr="00AA0EB9">
        <w:rPr>
          <w:rFonts w:cs="Arial"/>
          <w:lang w:val="el-GR"/>
        </w:rPr>
        <w:t xml:space="preserve"> </w:t>
      </w:r>
      <w:r>
        <w:rPr>
          <w:rFonts w:cs="Arial"/>
          <w:lang w:val="el-GR"/>
        </w:rPr>
        <w:t xml:space="preserve">επιστημονικά </w:t>
      </w:r>
      <w:r w:rsidR="00644371" w:rsidRPr="00AA0EB9">
        <w:rPr>
          <w:rFonts w:cs="Arial"/>
          <w:lang w:val="el-GR"/>
        </w:rPr>
        <w:t>κριτήρια.</w:t>
      </w:r>
    </w:p>
    <w:p w14:paraId="17E3A9AF" w14:textId="77777777" w:rsidR="005F5E23" w:rsidRPr="00AA0EB9" w:rsidRDefault="005F5E23" w:rsidP="000F338E">
      <w:pPr>
        <w:tabs>
          <w:tab w:val="left" w:pos="450"/>
        </w:tabs>
        <w:jc w:val="both"/>
        <w:rPr>
          <w:rFonts w:cs="Arial"/>
          <w:lang w:val="el-GR"/>
        </w:rPr>
      </w:pPr>
    </w:p>
    <w:p w14:paraId="51738552" w14:textId="7A8EE05F" w:rsidR="00932865" w:rsidRPr="00270B5F" w:rsidRDefault="00932865" w:rsidP="000F338E">
      <w:pPr>
        <w:pStyle w:val="a6"/>
        <w:numPr>
          <w:ilvl w:val="0"/>
          <w:numId w:val="7"/>
        </w:numPr>
        <w:tabs>
          <w:tab w:val="left" w:pos="450"/>
        </w:tabs>
        <w:ind w:left="0" w:firstLine="0"/>
        <w:jc w:val="both"/>
        <w:rPr>
          <w:rFonts w:cs="Arial"/>
          <w:b/>
          <w:bCs/>
          <w:lang w:val="el-GR"/>
        </w:rPr>
      </w:pPr>
      <w:r w:rsidRPr="00AA0EB9">
        <w:rPr>
          <w:rFonts w:cs="Arial"/>
          <w:b/>
          <w:bCs/>
          <w:lang w:val="el-GR"/>
        </w:rPr>
        <w:t>Ποια είναι η λύση που προκρίνει το Υ</w:t>
      </w:r>
      <w:r w:rsidR="00A019CF">
        <w:rPr>
          <w:rFonts w:cs="Arial"/>
          <w:b/>
          <w:bCs/>
          <w:lang w:val="el-GR"/>
        </w:rPr>
        <w:t>πουργείο Περιβάλλοντος και Ενέργειας</w:t>
      </w:r>
      <w:r w:rsidRPr="00AA0EB9">
        <w:rPr>
          <w:rFonts w:cs="Arial"/>
          <w:b/>
          <w:bCs/>
          <w:lang w:val="el-GR"/>
        </w:rPr>
        <w:t xml:space="preserve">; </w:t>
      </w:r>
    </w:p>
    <w:p w14:paraId="40F39268" w14:textId="663BA30C" w:rsidR="0027028A" w:rsidRDefault="0027028A" w:rsidP="000F338E">
      <w:pPr>
        <w:tabs>
          <w:tab w:val="left" w:pos="360"/>
          <w:tab w:val="left" w:pos="450"/>
        </w:tabs>
        <w:jc w:val="both"/>
        <w:rPr>
          <w:lang w:val="el-GR"/>
        </w:rPr>
      </w:pPr>
      <w:r>
        <w:rPr>
          <w:lang w:val="el-GR"/>
        </w:rPr>
        <w:t>Τ</w:t>
      </w:r>
      <w:r w:rsidRPr="00AA0EB9">
        <w:rPr>
          <w:lang w:val="el-GR"/>
        </w:rPr>
        <w:t xml:space="preserve">ο </w:t>
      </w:r>
      <w:r w:rsidR="00A019CF">
        <w:rPr>
          <w:lang w:val="el-GR"/>
        </w:rPr>
        <w:t xml:space="preserve">Υπουργείο Περιβάλλοντος και Ενέργειας </w:t>
      </w:r>
      <w:r w:rsidRPr="00AA0EB9">
        <w:rPr>
          <w:lang w:val="el-GR"/>
        </w:rPr>
        <w:t xml:space="preserve">έρχεται να επιλύσει αυτή την εκκρεμότητα, </w:t>
      </w:r>
      <w:r w:rsidR="00F219DB">
        <w:rPr>
          <w:lang w:val="el-GR"/>
        </w:rPr>
        <w:t>μ</w:t>
      </w:r>
      <w:r w:rsidR="00F81E8C" w:rsidRPr="00AA0EB9">
        <w:rPr>
          <w:lang w:val="el-GR"/>
        </w:rPr>
        <w:t>ε την εισαγωγή δύο νέων πολεοδομικών εργαλείων</w:t>
      </w:r>
      <w:r w:rsidR="00F219DB">
        <w:rPr>
          <w:lang w:val="el-GR"/>
        </w:rPr>
        <w:t xml:space="preserve">: </w:t>
      </w:r>
      <w:proofErr w:type="spellStart"/>
      <w:r w:rsidR="00F81E8C" w:rsidRPr="00AA0EB9">
        <w:t>i</w:t>
      </w:r>
      <w:proofErr w:type="spellEnd"/>
      <w:r w:rsidR="00F81E8C" w:rsidRPr="00AA0EB9">
        <w:rPr>
          <w:lang w:val="el-GR"/>
        </w:rPr>
        <w:t>.</w:t>
      </w:r>
      <w:r w:rsidR="00F219DB">
        <w:rPr>
          <w:lang w:val="el-GR"/>
        </w:rPr>
        <w:t xml:space="preserve"> </w:t>
      </w:r>
      <w:r w:rsidR="00F219DB" w:rsidRPr="00A019CF">
        <w:rPr>
          <w:b/>
          <w:lang w:val="el-GR"/>
        </w:rPr>
        <w:t>τη</w:t>
      </w:r>
      <w:r w:rsidR="00F81E8C" w:rsidRPr="00A019CF">
        <w:rPr>
          <w:b/>
          <w:lang w:val="el-GR"/>
        </w:rPr>
        <w:t xml:space="preserve"> Ζώνη Ανάπτυξης Οικισμού</w:t>
      </w:r>
      <w:r w:rsidR="00F81E8C" w:rsidRPr="00AA0EB9">
        <w:rPr>
          <w:lang w:val="el-GR"/>
        </w:rPr>
        <w:t xml:space="preserve"> και </w:t>
      </w:r>
      <w:r w:rsidR="00F81E8C" w:rsidRPr="00AA0EB9">
        <w:t>ii</w:t>
      </w:r>
      <w:r w:rsidR="00F81E8C" w:rsidRPr="00AA0EB9">
        <w:rPr>
          <w:lang w:val="el-GR"/>
        </w:rPr>
        <w:t xml:space="preserve">. </w:t>
      </w:r>
      <w:r w:rsidR="00F219DB">
        <w:rPr>
          <w:lang w:val="el-GR"/>
        </w:rPr>
        <w:t xml:space="preserve">την </w:t>
      </w:r>
      <w:r w:rsidR="00F81E8C" w:rsidRPr="00A019CF">
        <w:rPr>
          <w:b/>
          <w:lang w:val="el-GR"/>
        </w:rPr>
        <w:t xml:space="preserve">Περιοχή </w:t>
      </w:r>
      <w:r w:rsidR="000E5B4B" w:rsidRPr="00A019CF">
        <w:rPr>
          <w:b/>
          <w:lang w:val="el-GR"/>
        </w:rPr>
        <w:t>Ειδικών</w:t>
      </w:r>
      <w:r w:rsidR="00F81E8C" w:rsidRPr="00A019CF">
        <w:rPr>
          <w:b/>
          <w:lang w:val="el-GR"/>
        </w:rPr>
        <w:t xml:space="preserve"> Χρήσεων</w:t>
      </w:r>
      <w:r w:rsidR="00F81E8C" w:rsidRPr="00AA0EB9">
        <w:rPr>
          <w:lang w:val="el-GR"/>
        </w:rPr>
        <w:t xml:space="preserve">, με γνώμονα τη δημογραφική πρόκληση που αντιμετωπίζουν αυτοί οι οικισμοί, </w:t>
      </w:r>
      <w:r w:rsidR="00A24475">
        <w:rPr>
          <w:lang w:val="el-GR"/>
        </w:rPr>
        <w:t>την προστασία εμπράγματων δικαιωμάτων που έχουν αποκτηθεί καλόπιστα, καθώς</w:t>
      </w:r>
      <w:r w:rsidR="00F81E8C" w:rsidRPr="00AA0EB9">
        <w:rPr>
          <w:lang w:val="el-GR"/>
        </w:rPr>
        <w:t xml:space="preserve"> και τ</w:t>
      </w:r>
      <w:r w:rsidR="00F219DB">
        <w:rPr>
          <w:lang w:val="el-GR"/>
        </w:rPr>
        <w:t>η</w:t>
      </w:r>
      <w:r w:rsidR="00F81E8C" w:rsidRPr="00AA0EB9">
        <w:rPr>
          <w:lang w:val="el-GR"/>
        </w:rPr>
        <w:t xml:space="preserve"> σταθερότητα της σχέσης κράτους-πολίτη.</w:t>
      </w:r>
      <w:r w:rsidR="000F338E">
        <w:rPr>
          <w:lang w:val="el-GR"/>
        </w:rPr>
        <w:t xml:space="preserve"> </w:t>
      </w:r>
      <w:r w:rsidR="000F338E" w:rsidRPr="00AA0EB9">
        <w:rPr>
          <w:lang w:val="el-GR"/>
        </w:rPr>
        <w:t>Με τα δύο αυτά εργαλεία,  επιλύουμε την</w:t>
      </w:r>
      <w:r w:rsidR="000F338E" w:rsidRPr="00AA0EB9">
        <w:rPr>
          <w:b/>
          <w:lang w:val="el-GR"/>
        </w:rPr>
        <w:t xml:space="preserve"> κανονιστική ασάφεια, ενισχύουμε την προοπτική των μικρών οικισμών</w:t>
      </w:r>
      <w:r w:rsidR="000F338E" w:rsidRPr="00AA0EB9">
        <w:rPr>
          <w:lang w:val="el-GR"/>
        </w:rPr>
        <w:t xml:space="preserve">, με σεβασμό στην ταυτότητα και την ιστορική κληρονομιά </w:t>
      </w:r>
      <w:r w:rsidR="000F338E" w:rsidRPr="00AA0EB9">
        <w:t> </w:t>
      </w:r>
      <w:r w:rsidR="000F338E" w:rsidRPr="00AA0EB9">
        <w:rPr>
          <w:lang w:val="el-GR"/>
        </w:rPr>
        <w:t>του</w:t>
      </w:r>
      <w:r w:rsidR="000F338E" w:rsidRPr="00AA0EB9">
        <w:t> </w:t>
      </w:r>
      <w:r w:rsidR="000F338E" w:rsidRPr="00AA0EB9">
        <w:rPr>
          <w:lang w:val="el-GR"/>
        </w:rPr>
        <w:t>κάθε</w:t>
      </w:r>
      <w:r w:rsidR="000F338E" w:rsidRPr="00AA0EB9">
        <w:t> </w:t>
      </w:r>
      <w:r w:rsidR="000F338E" w:rsidRPr="00AA0EB9">
        <w:rPr>
          <w:lang w:val="el-GR"/>
        </w:rPr>
        <w:t>τόπου, για μια Ελλάδα χωροταξικά ασφαλή,</w:t>
      </w:r>
      <w:r w:rsidR="0034238A">
        <w:rPr>
          <w:lang w:val="el-GR"/>
        </w:rPr>
        <w:t xml:space="preserve"> αναπτυξιακά ισχυρή</w:t>
      </w:r>
      <w:r w:rsidR="000F338E" w:rsidRPr="00AA0EB9">
        <w:rPr>
          <w:lang w:val="el-GR"/>
        </w:rPr>
        <w:t xml:space="preserve"> </w:t>
      </w:r>
      <w:r w:rsidR="0034238A">
        <w:rPr>
          <w:lang w:val="el-GR"/>
        </w:rPr>
        <w:t>με προτεραιότητα στην αποκέντρωση και στήριξη του δημογραφικού</w:t>
      </w:r>
      <w:r w:rsidR="000F338E" w:rsidRPr="00AA0EB9">
        <w:rPr>
          <w:lang w:val="el-GR"/>
        </w:rPr>
        <w:t>.</w:t>
      </w:r>
      <w:r w:rsidR="0034238A">
        <w:rPr>
          <w:lang w:val="el-GR"/>
        </w:rPr>
        <w:t xml:space="preserve"> </w:t>
      </w:r>
      <w:r w:rsidR="000F338E" w:rsidRPr="00AA0EB9">
        <w:rPr>
          <w:lang w:val="el-GR"/>
        </w:rPr>
        <w:t xml:space="preserve"> </w:t>
      </w:r>
    </w:p>
    <w:p w14:paraId="51FEEB83" w14:textId="77777777" w:rsidR="00433A49" w:rsidRDefault="00433A49" w:rsidP="000F338E">
      <w:pPr>
        <w:tabs>
          <w:tab w:val="left" w:pos="360"/>
          <w:tab w:val="left" w:pos="450"/>
        </w:tabs>
        <w:jc w:val="both"/>
        <w:rPr>
          <w:lang w:val="el-GR"/>
        </w:rPr>
      </w:pPr>
    </w:p>
    <w:p w14:paraId="2B793761" w14:textId="4A4DC562" w:rsidR="00F81E8C" w:rsidRPr="0027028A" w:rsidRDefault="000F338E" w:rsidP="000F338E">
      <w:pPr>
        <w:tabs>
          <w:tab w:val="left" w:pos="450"/>
        </w:tabs>
        <w:rPr>
          <w:b/>
          <w:lang w:val="el-GR"/>
        </w:rPr>
      </w:pPr>
      <w:r>
        <w:rPr>
          <w:b/>
          <w:lang w:val="el-GR"/>
        </w:rPr>
        <w:t>6</w:t>
      </w:r>
      <w:r w:rsidR="0027028A" w:rsidRPr="0027028A">
        <w:rPr>
          <w:b/>
          <w:lang w:val="el-GR"/>
        </w:rPr>
        <w:t xml:space="preserve">. Τι </w:t>
      </w:r>
      <w:r w:rsidR="00997C45">
        <w:rPr>
          <w:b/>
          <w:lang w:val="el-GR"/>
        </w:rPr>
        <w:t>προβλέπ</w:t>
      </w:r>
      <w:r w:rsidR="00C91E6E">
        <w:rPr>
          <w:b/>
          <w:lang w:val="el-GR"/>
        </w:rPr>
        <w:t>ουν τα</w:t>
      </w:r>
      <w:r w:rsidR="00433A49">
        <w:rPr>
          <w:b/>
          <w:lang w:val="el-GR"/>
        </w:rPr>
        <w:t xml:space="preserve"> δύο</w:t>
      </w:r>
      <w:r w:rsidR="00C91E6E">
        <w:rPr>
          <w:b/>
          <w:lang w:val="el-GR"/>
        </w:rPr>
        <w:t xml:space="preserve"> νέα πολεοδομικά εργαλεία;</w:t>
      </w:r>
      <w:r w:rsidR="00997C45">
        <w:rPr>
          <w:b/>
          <w:lang w:val="el-GR"/>
        </w:rPr>
        <w:t xml:space="preserve"> </w:t>
      </w:r>
    </w:p>
    <w:p w14:paraId="1C6DB37D" w14:textId="1BA9C0F9" w:rsidR="00627A0D" w:rsidRPr="00C91E6E" w:rsidRDefault="00C91E6E" w:rsidP="00C91E6E">
      <w:pPr>
        <w:tabs>
          <w:tab w:val="left" w:pos="450"/>
        </w:tabs>
        <w:jc w:val="both"/>
        <w:rPr>
          <w:b/>
          <w:lang w:val="el-GR"/>
        </w:rPr>
      </w:pPr>
      <w:r w:rsidRPr="00A019CF">
        <w:rPr>
          <w:lang w:val="el-GR"/>
        </w:rPr>
        <w:t>Η</w:t>
      </w:r>
      <w:r w:rsidRPr="0027028A">
        <w:rPr>
          <w:b/>
          <w:lang w:val="el-GR"/>
        </w:rPr>
        <w:t xml:space="preserve"> </w:t>
      </w:r>
      <w:r w:rsidR="00A019CF" w:rsidRPr="0027028A">
        <w:rPr>
          <w:b/>
          <w:lang w:val="el-GR"/>
        </w:rPr>
        <w:t>Ζώνη Ανάπτυξης Οικισμού</w:t>
      </w:r>
      <w:r w:rsidR="00A019CF">
        <w:rPr>
          <w:b/>
          <w:lang w:val="el-GR"/>
        </w:rPr>
        <w:t xml:space="preserve"> </w:t>
      </w:r>
      <w:r w:rsidR="00A019CF">
        <w:rPr>
          <w:b/>
          <w:lang w:val="el-GR"/>
        </w:rPr>
        <w:t>(</w:t>
      </w:r>
      <w:r w:rsidRPr="0027028A">
        <w:rPr>
          <w:b/>
          <w:lang w:val="el-GR"/>
        </w:rPr>
        <w:t>Ζ.Α.Ο.</w:t>
      </w:r>
      <w:r w:rsidR="00A019CF">
        <w:rPr>
          <w:b/>
          <w:lang w:val="el-GR"/>
        </w:rPr>
        <w:t>)</w:t>
      </w:r>
      <w:r w:rsidRPr="00A019CF">
        <w:rPr>
          <w:lang w:val="el-GR"/>
        </w:rPr>
        <w:t xml:space="preserve"> είναι</w:t>
      </w:r>
      <w:r>
        <w:rPr>
          <w:b/>
          <w:lang w:val="el-GR"/>
        </w:rPr>
        <w:t xml:space="preserve"> </w:t>
      </w:r>
      <w:r w:rsidR="00627A0D">
        <w:rPr>
          <w:rFonts w:cstheme="majorHAnsi"/>
          <w:lang w:val="el-GR"/>
        </w:rPr>
        <w:t>ένα νέο</w:t>
      </w:r>
      <w:r w:rsidR="00F81E8C" w:rsidRPr="00AA0EB9">
        <w:rPr>
          <w:rFonts w:cstheme="majorHAnsi"/>
          <w:lang w:val="el-GR"/>
        </w:rPr>
        <w:t xml:space="preserve"> πολεοδομικό εργαλείο για την υποστήριξη και ενίσχυση του περιφερειακού δικτύου οικισμών</w:t>
      </w:r>
      <w:r w:rsidR="00433A49">
        <w:rPr>
          <w:rFonts w:cstheme="majorHAnsi"/>
          <w:lang w:val="el-GR"/>
        </w:rPr>
        <w:t>, στο πλαίσιο της αντιμετώπισης του δημογραφικού και ενίσχυσης της αποκέντρωσης</w:t>
      </w:r>
      <w:r w:rsidR="00F81E8C" w:rsidRPr="00AA0EB9">
        <w:rPr>
          <w:rFonts w:cstheme="majorHAnsi"/>
          <w:lang w:val="el-GR"/>
        </w:rPr>
        <w:t>. Βρίσκεται εντός οικισμού και προσομοιάζει στη Ζώνη Β1 αυτού.</w:t>
      </w:r>
      <w:r w:rsidR="00627A0D">
        <w:rPr>
          <w:rFonts w:cstheme="majorHAnsi"/>
          <w:lang w:val="el-GR"/>
        </w:rPr>
        <w:t xml:space="preserve"> </w:t>
      </w:r>
    </w:p>
    <w:p w14:paraId="77B83F7A" w14:textId="77777777" w:rsidR="00627A0D" w:rsidRDefault="00627A0D" w:rsidP="000F338E">
      <w:pPr>
        <w:pStyle w:val="a6"/>
        <w:tabs>
          <w:tab w:val="left" w:pos="450"/>
        </w:tabs>
        <w:ind w:left="0"/>
        <w:jc w:val="both"/>
        <w:rPr>
          <w:rFonts w:cstheme="majorHAnsi"/>
          <w:lang w:val="el-GR"/>
        </w:rPr>
      </w:pPr>
      <w:r>
        <w:rPr>
          <w:rFonts w:cstheme="majorHAnsi"/>
          <w:lang w:val="el-GR"/>
        </w:rPr>
        <w:t xml:space="preserve">Αφορά </w:t>
      </w:r>
      <w:r w:rsidR="00F81E8C" w:rsidRPr="00AA0EB9">
        <w:rPr>
          <w:rFonts w:cstheme="majorHAnsi"/>
          <w:b/>
          <w:u w:val="single"/>
          <w:lang w:val="el-GR"/>
        </w:rPr>
        <w:t>οικισμούς μέχρι και 700 κατοίκους</w:t>
      </w:r>
      <w:r w:rsidRPr="00627A0D">
        <w:rPr>
          <w:rFonts w:cstheme="majorHAnsi"/>
          <w:bCs/>
          <w:lang w:val="el-GR"/>
        </w:rPr>
        <w:t>. Μέσω του εργαλείου αυτο</w:t>
      </w:r>
      <w:r>
        <w:rPr>
          <w:rFonts w:cstheme="majorHAnsi"/>
          <w:bCs/>
          <w:lang w:val="el-GR"/>
        </w:rPr>
        <w:t>ύ</w:t>
      </w:r>
      <w:r w:rsidRPr="00627A0D">
        <w:rPr>
          <w:rFonts w:cstheme="majorHAnsi"/>
          <w:bCs/>
          <w:lang w:val="el-GR"/>
        </w:rPr>
        <w:t>,</w:t>
      </w:r>
      <w:r>
        <w:rPr>
          <w:rFonts w:cstheme="majorHAnsi"/>
          <w:b/>
          <w:u w:val="single"/>
          <w:lang w:val="el-GR"/>
        </w:rPr>
        <w:t xml:space="preserve"> </w:t>
      </w:r>
      <w:r>
        <w:rPr>
          <w:rFonts w:cstheme="majorHAnsi"/>
          <w:lang w:val="el-GR"/>
        </w:rPr>
        <w:t>π</w:t>
      </w:r>
      <w:r w:rsidRPr="00AA0EB9">
        <w:rPr>
          <w:rFonts w:cstheme="majorHAnsi"/>
          <w:lang w:val="el-GR"/>
        </w:rPr>
        <w:t xml:space="preserve">ροβλέπεται </w:t>
      </w:r>
      <w:r w:rsidR="00F81E8C" w:rsidRPr="00AA0EB9">
        <w:rPr>
          <w:rFonts w:cstheme="majorHAnsi"/>
          <w:lang w:val="el-GR"/>
        </w:rPr>
        <w:t>η δυνατότητα</w:t>
      </w:r>
      <w:r>
        <w:rPr>
          <w:rFonts w:cstheme="majorHAnsi"/>
          <w:lang w:val="el-GR"/>
        </w:rPr>
        <w:t>,</w:t>
      </w:r>
      <w:r w:rsidR="00F81E8C" w:rsidRPr="00AA0EB9">
        <w:rPr>
          <w:rFonts w:cstheme="majorHAnsi"/>
          <w:lang w:val="el-GR"/>
        </w:rPr>
        <w:t xml:space="preserve"> κατά την οριοθέτη</w:t>
      </w:r>
      <w:r>
        <w:rPr>
          <w:rFonts w:cstheme="majorHAnsi"/>
          <w:lang w:val="el-GR"/>
        </w:rPr>
        <w:t>ση των οικισμών</w:t>
      </w:r>
      <w:r w:rsidR="00F81E8C" w:rsidRPr="00AA0EB9">
        <w:rPr>
          <w:rFonts w:cstheme="majorHAnsi"/>
          <w:lang w:val="el-GR"/>
        </w:rPr>
        <w:t xml:space="preserve"> στο πλαίσιο του προγράμματος «Κωνσταντίνος Δοξιάδης» να διευρύνεται το όριό τους πέραν της Ζώνης Β1, έως το σημερινό όριο του οικισμού</w:t>
      </w:r>
      <w:r>
        <w:rPr>
          <w:rFonts w:cstheme="majorHAnsi"/>
          <w:lang w:val="el-GR"/>
        </w:rPr>
        <w:t xml:space="preserve">, </w:t>
      </w:r>
      <w:r w:rsidRPr="00AA0EB9">
        <w:rPr>
          <w:rFonts w:cstheme="majorHAnsi"/>
          <w:lang w:val="el-GR"/>
        </w:rPr>
        <w:t>κατόπιν ειδικής τεκμηρίωσης</w:t>
      </w:r>
      <w:r w:rsidR="00F81E8C" w:rsidRPr="00AA0EB9">
        <w:rPr>
          <w:rFonts w:cstheme="majorHAnsi"/>
          <w:lang w:val="el-GR"/>
        </w:rPr>
        <w:t xml:space="preserve">. </w:t>
      </w:r>
    </w:p>
    <w:p w14:paraId="0C53496F" w14:textId="5E904763" w:rsidR="00F81E8C" w:rsidRDefault="00F81E8C" w:rsidP="000F338E">
      <w:pPr>
        <w:pStyle w:val="a6"/>
        <w:tabs>
          <w:tab w:val="left" w:pos="450"/>
        </w:tabs>
        <w:ind w:left="0"/>
        <w:jc w:val="both"/>
        <w:rPr>
          <w:rFonts w:cstheme="majorHAnsi"/>
          <w:lang w:val="el-GR"/>
        </w:rPr>
      </w:pPr>
      <w:r w:rsidRPr="00AA0EB9">
        <w:rPr>
          <w:rFonts w:cstheme="majorHAnsi"/>
          <w:lang w:val="el-GR"/>
        </w:rPr>
        <w:lastRenderedPageBreak/>
        <w:t>Στη Ζ</w:t>
      </w:r>
      <w:r w:rsidR="00A019CF">
        <w:rPr>
          <w:rFonts w:cstheme="majorHAnsi"/>
          <w:lang w:val="el-GR"/>
        </w:rPr>
        <w:t>.</w:t>
      </w:r>
      <w:r w:rsidRPr="00AA0EB9">
        <w:rPr>
          <w:rFonts w:cstheme="majorHAnsi"/>
          <w:lang w:val="el-GR"/>
        </w:rPr>
        <w:t>Α</w:t>
      </w:r>
      <w:r w:rsidR="00A019CF">
        <w:rPr>
          <w:rFonts w:cstheme="majorHAnsi"/>
          <w:lang w:val="el-GR"/>
        </w:rPr>
        <w:t>.</w:t>
      </w:r>
      <w:r w:rsidRPr="00AA0EB9">
        <w:rPr>
          <w:rFonts w:cstheme="majorHAnsi"/>
          <w:lang w:val="el-GR"/>
        </w:rPr>
        <w:t>Ο</w:t>
      </w:r>
      <w:r w:rsidR="00A019CF">
        <w:rPr>
          <w:rFonts w:cstheme="majorHAnsi"/>
          <w:lang w:val="el-GR"/>
        </w:rPr>
        <w:t>.</w:t>
      </w:r>
      <w:r w:rsidRPr="00AA0EB9">
        <w:rPr>
          <w:rFonts w:cstheme="majorHAnsi"/>
          <w:lang w:val="el-GR"/>
        </w:rPr>
        <w:t xml:space="preserve"> </w:t>
      </w:r>
      <w:r w:rsidRPr="00AA0EB9">
        <w:rPr>
          <w:rFonts w:cstheme="majorHAnsi"/>
          <w:b/>
          <w:bCs/>
          <w:lang w:val="el-GR"/>
        </w:rPr>
        <w:t>άρτια</w:t>
      </w:r>
      <w:r w:rsidRPr="00AA0EB9">
        <w:rPr>
          <w:rFonts w:cstheme="majorHAnsi"/>
          <w:lang w:val="el-GR"/>
        </w:rPr>
        <w:t xml:space="preserve"> θα θεωρούνται τα οικόπεδα με ελάχιστο εμβαδόν αρτιότητας από 500 τ.μ. έως 2.000 τ.μ. και πρόσωπο ελάχιστου μήκους 10 μ. σε κοινόχρηστη οδό. Το εμβαδόν αρτιότητας και το ελάχιστο μήκος προσώπου σε κοινόχρηστη οδό εξειδικεύονται με το </w:t>
      </w:r>
      <w:r w:rsidR="00627A0D">
        <w:rPr>
          <w:rFonts w:cstheme="majorHAnsi"/>
          <w:lang w:val="el-GR"/>
        </w:rPr>
        <w:t>ΠΔ</w:t>
      </w:r>
      <w:r w:rsidRPr="00AA0EB9">
        <w:rPr>
          <w:rFonts w:cstheme="majorHAnsi"/>
          <w:lang w:val="el-GR"/>
        </w:rPr>
        <w:t xml:space="preserve"> οριοθέτησης του οικισμού. Για τα λοιπά μεγέθη, όρους και περιορισμούς δόμησης, ισχύουν τα οριζόμενα για την ζώνη Β1.</w:t>
      </w:r>
      <w:r w:rsidR="00627A0D">
        <w:rPr>
          <w:rFonts w:cstheme="majorHAnsi"/>
          <w:lang w:val="el-GR"/>
        </w:rPr>
        <w:t xml:space="preserve"> </w:t>
      </w:r>
      <w:r w:rsidRPr="00AA0EB9">
        <w:rPr>
          <w:rFonts w:cstheme="majorHAnsi"/>
          <w:lang w:val="el-GR"/>
        </w:rPr>
        <w:t>Επιτρεπόμενες χρήσεις γης μπορούν να είναι αυτές που επιτρέπονται στις Ζώνες Β και Β1, κατόπιν τεκμηρίωσης.</w:t>
      </w:r>
    </w:p>
    <w:p w14:paraId="3CFC8A70" w14:textId="77777777" w:rsidR="00F219DB" w:rsidRPr="00AA0EB9" w:rsidRDefault="00F219DB" w:rsidP="000F338E">
      <w:pPr>
        <w:pStyle w:val="a6"/>
        <w:tabs>
          <w:tab w:val="left" w:pos="450"/>
        </w:tabs>
        <w:ind w:left="0"/>
        <w:jc w:val="both"/>
        <w:rPr>
          <w:rFonts w:cstheme="majorHAnsi"/>
          <w:lang w:val="el-GR"/>
        </w:rPr>
      </w:pPr>
    </w:p>
    <w:p w14:paraId="5A676EA7" w14:textId="3A8D11E6" w:rsidR="00F81E8C" w:rsidRPr="00270B5F" w:rsidRDefault="00C91E6E" w:rsidP="00C91E6E">
      <w:pPr>
        <w:tabs>
          <w:tab w:val="left" w:pos="450"/>
        </w:tabs>
        <w:jc w:val="both"/>
        <w:rPr>
          <w:lang w:val="el-GR"/>
        </w:rPr>
      </w:pPr>
      <w:r w:rsidRPr="00A019CF">
        <w:rPr>
          <w:lang w:val="el-GR"/>
        </w:rPr>
        <w:t>Η</w:t>
      </w:r>
      <w:r w:rsidR="0027028A" w:rsidRPr="00F219DB">
        <w:rPr>
          <w:b/>
          <w:lang w:val="el-GR"/>
        </w:rPr>
        <w:t xml:space="preserve"> </w:t>
      </w:r>
      <w:r w:rsidR="00A019CF">
        <w:rPr>
          <w:b/>
          <w:lang w:val="el-GR"/>
        </w:rPr>
        <w:t xml:space="preserve">Περιοχή Ειδικών Χρήσεων </w:t>
      </w:r>
      <w:r w:rsidR="00A019CF">
        <w:rPr>
          <w:b/>
          <w:lang w:val="el-GR"/>
        </w:rPr>
        <w:t>(</w:t>
      </w:r>
      <w:r w:rsidR="00F81E8C" w:rsidRPr="00F219DB">
        <w:rPr>
          <w:b/>
          <w:lang w:val="el-GR"/>
        </w:rPr>
        <w:t>Π.Ε.Χ</w:t>
      </w:r>
      <w:r w:rsidR="00A019CF">
        <w:rPr>
          <w:b/>
          <w:lang w:val="el-GR"/>
        </w:rPr>
        <w:t>)</w:t>
      </w:r>
      <w:r w:rsidR="00F81E8C" w:rsidRPr="00F219DB">
        <w:rPr>
          <w:b/>
          <w:lang w:val="el-GR"/>
        </w:rPr>
        <w:t xml:space="preserve">. </w:t>
      </w:r>
      <w:r w:rsidRPr="00A019CF">
        <w:rPr>
          <w:lang w:val="el-GR"/>
        </w:rPr>
        <w:t>αποτελεί ένα</w:t>
      </w:r>
      <w:r>
        <w:rPr>
          <w:b/>
          <w:lang w:val="el-GR"/>
        </w:rPr>
        <w:t xml:space="preserve"> </w:t>
      </w:r>
      <w:r w:rsidR="00997C45">
        <w:rPr>
          <w:lang w:val="el-GR"/>
        </w:rPr>
        <w:t>π</w:t>
      </w:r>
      <w:r w:rsidR="00F81E8C" w:rsidRPr="00AA0EB9">
        <w:rPr>
          <w:lang w:val="el-GR"/>
        </w:rPr>
        <w:t xml:space="preserve">ολεοδομικό εργαλείο </w:t>
      </w:r>
      <w:r w:rsidR="00997C45">
        <w:rPr>
          <w:lang w:val="el-GR"/>
        </w:rPr>
        <w:t xml:space="preserve">που αφορά </w:t>
      </w:r>
      <w:r w:rsidR="00A019CF">
        <w:rPr>
          <w:lang w:val="el-GR"/>
        </w:rPr>
        <w:t>σ</w:t>
      </w:r>
      <w:r w:rsidR="00997C45">
        <w:rPr>
          <w:lang w:val="el-GR"/>
        </w:rPr>
        <w:t xml:space="preserve">τους </w:t>
      </w:r>
      <w:r w:rsidR="00997C45" w:rsidRPr="00AA0EB9">
        <w:rPr>
          <w:b/>
          <w:u w:val="single"/>
          <w:lang w:val="el-GR"/>
        </w:rPr>
        <w:t>οικισμούς με πληθυσμό 701</w:t>
      </w:r>
      <w:r w:rsidR="00A019CF">
        <w:rPr>
          <w:b/>
          <w:u w:val="single"/>
          <w:lang w:val="el-GR"/>
        </w:rPr>
        <w:t xml:space="preserve"> </w:t>
      </w:r>
      <w:r w:rsidR="00997C45" w:rsidRPr="00AA0EB9">
        <w:rPr>
          <w:b/>
          <w:u w:val="single"/>
          <w:lang w:val="el-GR"/>
        </w:rPr>
        <w:t>-</w:t>
      </w:r>
      <w:r w:rsidR="00A019CF">
        <w:rPr>
          <w:b/>
          <w:u w:val="single"/>
          <w:lang w:val="el-GR"/>
        </w:rPr>
        <w:t xml:space="preserve"> </w:t>
      </w:r>
      <w:r w:rsidR="00997C45" w:rsidRPr="00AA0EB9">
        <w:rPr>
          <w:b/>
          <w:u w:val="single"/>
          <w:lang w:val="el-GR"/>
        </w:rPr>
        <w:t>2000 κατοίκ</w:t>
      </w:r>
      <w:r w:rsidR="00A019CF">
        <w:rPr>
          <w:b/>
          <w:u w:val="single"/>
          <w:lang w:val="el-GR"/>
        </w:rPr>
        <w:t>ους</w:t>
      </w:r>
      <w:r w:rsidR="00997C45">
        <w:rPr>
          <w:b/>
          <w:u w:val="single"/>
          <w:lang w:val="el-GR"/>
        </w:rPr>
        <w:t>.</w:t>
      </w:r>
      <w:r w:rsidR="00F81E8C" w:rsidRPr="00AA0EB9">
        <w:rPr>
          <w:lang w:val="el-GR"/>
        </w:rPr>
        <w:t xml:space="preserve"> </w:t>
      </w:r>
      <w:r w:rsidR="00997C45">
        <w:rPr>
          <w:lang w:val="el-GR"/>
        </w:rPr>
        <w:t>Στους οικισμούς αυτούς, ε</w:t>
      </w:r>
      <w:r w:rsidR="00F81E8C" w:rsidRPr="00AA0EB9">
        <w:rPr>
          <w:lang w:val="el-GR"/>
        </w:rPr>
        <w:t>ισάγεται η δυνατότητα κατά την οριοθέτησ</w:t>
      </w:r>
      <w:r w:rsidR="00997C45">
        <w:rPr>
          <w:lang w:val="el-GR"/>
        </w:rPr>
        <w:t>ή</w:t>
      </w:r>
      <w:r w:rsidR="00F81E8C" w:rsidRPr="00AA0EB9">
        <w:rPr>
          <w:lang w:val="el-GR"/>
        </w:rPr>
        <w:t xml:space="preserve"> </w:t>
      </w:r>
      <w:r w:rsidR="00997C45">
        <w:rPr>
          <w:lang w:val="el-GR"/>
        </w:rPr>
        <w:t xml:space="preserve">τους </w:t>
      </w:r>
      <w:r w:rsidR="00997C45" w:rsidRPr="00AA0EB9">
        <w:rPr>
          <w:lang w:val="el-GR"/>
        </w:rPr>
        <w:t>στο πλαίσιο του προγράμματος «Κωνσταντίνος Δοξιάδης»</w:t>
      </w:r>
      <w:r w:rsidR="00997C45">
        <w:rPr>
          <w:lang w:val="el-GR"/>
        </w:rPr>
        <w:t xml:space="preserve"> </w:t>
      </w:r>
      <w:r w:rsidR="00F81E8C" w:rsidRPr="00AA0EB9">
        <w:rPr>
          <w:lang w:val="el-GR"/>
        </w:rPr>
        <w:t xml:space="preserve">να καθορίζεται </w:t>
      </w:r>
      <w:r w:rsidR="00997C45">
        <w:rPr>
          <w:lang w:val="el-GR"/>
        </w:rPr>
        <w:t xml:space="preserve">ως </w:t>
      </w:r>
      <w:r w:rsidR="00F81E8C" w:rsidRPr="00AA0EB9">
        <w:rPr>
          <w:lang w:val="el-GR"/>
        </w:rPr>
        <w:t>Π</w:t>
      </w:r>
      <w:r w:rsidR="00A019CF">
        <w:rPr>
          <w:lang w:val="el-GR"/>
        </w:rPr>
        <w:t>.</w:t>
      </w:r>
      <w:r w:rsidR="00F81E8C" w:rsidRPr="00AA0EB9">
        <w:rPr>
          <w:lang w:val="el-GR"/>
        </w:rPr>
        <w:t>Ε</w:t>
      </w:r>
      <w:r w:rsidR="00A019CF">
        <w:rPr>
          <w:lang w:val="el-GR"/>
        </w:rPr>
        <w:t>.</w:t>
      </w:r>
      <w:r w:rsidR="00F81E8C" w:rsidRPr="00AA0EB9">
        <w:rPr>
          <w:lang w:val="el-GR"/>
        </w:rPr>
        <w:t>Χ</w:t>
      </w:r>
      <w:r w:rsidR="00A019CF">
        <w:rPr>
          <w:lang w:val="el-GR"/>
        </w:rPr>
        <w:t>.</w:t>
      </w:r>
      <w:r w:rsidR="00F81E8C" w:rsidRPr="00AA0EB9">
        <w:rPr>
          <w:lang w:val="el-GR"/>
        </w:rPr>
        <w:t xml:space="preserve"> η περιοχή εκείνη που εκτείνεται πέραν της Ζώνης Β1 και φτάνει έως το σημερινό όριο του οικισμού.</w:t>
      </w:r>
      <w:r w:rsidR="000F338E">
        <w:rPr>
          <w:lang w:val="el-GR"/>
        </w:rPr>
        <w:t xml:space="preserve"> </w:t>
      </w:r>
      <w:r w:rsidR="00F81E8C" w:rsidRPr="00AA0EB9">
        <w:rPr>
          <w:lang w:val="el-GR"/>
        </w:rPr>
        <w:t>Στην Π</w:t>
      </w:r>
      <w:r w:rsidR="00A019CF">
        <w:rPr>
          <w:lang w:val="el-GR"/>
        </w:rPr>
        <w:t>.</w:t>
      </w:r>
      <w:r w:rsidR="00F81E8C" w:rsidRPr="00AA0EB9">
        <w:rPr>
          <w:lang w:val="el-GR"/>
        </w:rPr>
        <w:t>Ε</w:t>
      </w:r>
      <w:r w:rsidR="00A019CF">
        <w:rPr>
          <w:lang w:val="el-GR"/>
        </w:rPr>
        <w:t>.</w:t>
      </w:r>
      <w:r w:rsidR="00F81E8C" w:rsidRPr="00AA0EB9">
        <w:rPr>
          <w:lang w:val="el-GR"/>
        </w:rPr>
        <w:t>Χ</w:t>
      </w:r>
      <w:r w:rsidR="00A019CF">
        <w:rPr>
          <w:lang w:val="el-GR"/>
        </w:rPr>
        <w:t>.</w:t>
      </w:r>
      <w:r w:rsidR="00F81E8C" w:rsidRPr="00AA0EB9">
        <w:rPr>
          <w:lang w:val="el-GR"/>
        </w:rPr>
        <w:t xml:space="preserve">, </w:t>
      </w:r>
      <w:r w:rsidR="00F81E8C" w:rsidRPr="00AA0EB9">
        <w:rPr>
          <w:b/>
          <w:bCs/>
          <w:lang w:val="el-GR"/>
        </w:rPr>
        <w:t>άρτια</w:t>
      </w:r>
      <w:r w:rsidR="00F81E8C" w:rsidRPr="00AA0EB9">
        <w:rPr>
          <w:lang w:val="el-GR"/>
        </w:rPr>
        <w:t xml:space="preserve"> θα θεωρούνται τα γήπεδα με ελάχιστο εμβαδόν αρτιότητας από 2</w:t>
      </w:r>
      <w:r w:rsidR="000F338E">
        <w:rPr>
          <w:lang w:val="el-GR"/>
        </w:rPr>
        <w:t>.</w:t>
      </w:r>
      <w:r w:rsidR="00F81E8C" w:rsidRPr="00AA0EB9">
        <w:rPr>
          <w:lang w:val="el-GR"/>
        </w:rPr>
        <w:t>000 τ.μ. έως 4</w:t>
      </w:r>
      <w:r w:rsidR="000F338E">
        <w:rPr>
          <w:lang w:val="el-GR"/>
        </w:rPr>
        <w:t>.</w:t>
      </w:r>
      <w:r w:rsidR="00F81E8C" w:rsidRPr="00AA0EB9">
        <w:rPr>
          <w:lang w:val="el-GR"/>
        </w:rPr>
        <w:t>000 τ.μ. και πρόσωπο ελάχιστου μήκους 15 μ. σε κοινόχρηστη οδό. Επιτρεπόμενες χρήσεις γης μπορούν να είναι αυτές που επιτρέπονται στις Ζώνες Β και Β1, κατόπιν τεκμηρίωσης, με βάση τα ειδικότερα χαρακτηριστικά της περιοχής αυτής, ώστε να αποφεύγονται πιθανές μεταξύ τους συγκρούσεις και η ανεξέλεγκτη κατανάλωση φυσικών πόρων.</w:t>
      </w:r>
    </w:p>
    <w:p w14:paraId="25B993F6" w14:textId="77777777" w:rsidR="00644371" w:rsidRDefault="00644371" w:rsidP="000F338E">
      <w:pPr>
        <w:tabs>
          <w:tab w:val="left" w:pos="450"/>
        </w:tabs>
        <w:jc w:val="both"/>
        <w:rPr>
          <w:rFonts w:cs="Arial"/>
          <w:lang w:val="el-GR"/>
        </w:rPr>
      </w:pPr>
    </w:p>
    <w:p w14:paraId="40974EBF" w14:textId="458786AE" w:rsidR="000F338E" w:rsidRPr="000F338E" w:rsidRDefault="00C91E6E" w:rsidP="000F338E">
      <w:pPr>
        <w:tabs>
          <w:tab w:val="left" w:pos="450"/>
        </w:tabs>
        <w:jc w:val="both"/>
        <w:rPr>
          <w:rFonts w:cs="Arial"/>
          <w:b/>
          <w:bCs/>
          <w:lang w:val="el-GR"/>
        </w:rPr>
      </w:pPr>
      <w:r>
        <w:rPr>
          <w:b/>
          <w:bCs/>
          <w:lang w:val="el-GR"/>
        </w:rPr>
        <w:t>7</w:t>
      </w:r>
      <w:r w:rsidR="000F338E" w:rsidRPr="00F219DB">
        <w:rPr>
          <w:b/>
          <w:bCs/>
          <w:lang w:val="el-GR"/>
        </w:rPr>
        <w:t xml:space="preserve">. </w:t>
      </w:r>
      <w:r w:rsidR="000F338E" w:rsidRPr="00F219DB">
        <w:rPr>
          <w:rFonts w:cs="Arial"/>
          <w:b/>
          <w:bCs/>
          <w:lang w:val="el-GR"/>
        </w:rPr>
        <w:t>Για</w:t>
      </w:r>
      <w:r w:rsidR="000F338E">
        <w:rPr>
          <w:rFonts w:cs="Arial"/>
          <w:b/>
          <w:bCs/>
          <w:lang w:val="el-GR"/>
        </w:rPr>
        <w:t xml:space="preserve"> ποιο λόγο το Υπουργείο εισάγει αυτή τη ρύθμιση τώρα;</w:t>
      </w:r>
    </w:p>
    <w:p w14:paraId="62A110D7" w14:textId="1F3FD635" w:rsidR="00C91E6E" w:rsidRPr="00F219DB" w:rsidRDefault="0040643A" w:rsidP="00C91E6E">
      <w:pPr>
        <w:tabs>
          <w:tab w:val="left" w:pos="450"/>
        </w:tabs>
        <w:jc w:val="both"/>
        <w:rPr>
          <w:rFonts w:cs="Arial"/>
          <w:bCs/>
          <w:iCs/>
          <w:lang w:val="el-GR"/>
        </w:rPr>
      </w:pPr>
      <w:r>
        <w:rPr>
          <w:rFonts w:cs="Arial"/>
          <w:bCs/>
          <w:iCs/>
          <w:lang w:val="el-GR"/>
        </w:rPr>
        <w:t xml:space="preserve">Η άμεση υπογραφή του ΠΔ υπήρξε αναγκαία </w:t>
      </w:r>
      <w:r w:rsidR="00876FD3">
        <w:rPr>
          <w:rFonts w:cs="Arial"/>
          <w:lang w:val="el-GR"/>
        </w:rPr>
        <w:t xml:space="preserve"> </w:t>
      </w:r>
      <w:r>
        <w:rPr>
          <w:rFonts w:cs="Arial"/>
          <w:lang w:val="el-GR"/>
        </w:rPr>
        <w:t xml:space="preserve">προϋπόθεση προκειμένου να δοθούν οι απαιτούμενες κατευθύνσεις στους μελετητές των </w:t>
      </w:r>
      <w:r w:rsidRPr="0040643A">
        <w:rPr>
          <w:rFonts w:cs="Arial"/>
          <w:bCs/>
          <w:iCs/>
          <w:lang w:val="el-GR"/>
        </w:rPr>
        <w:t>Τοπικ</w:t>
      </w:r>
      <w:r w:rsidR="00334583">
        <w:rPr>
          <w:rFonts w:cs="Arial"/>
          <w:bCs/>
          <w:iCs/>
          <w:lang w:val="el-GR"/>
        </w:rPr>
        <w:t>ών</w:t>
      </w:r>
      <w:r w:rsidRPr="0040643A">
        <w:rPr>
          <w:rFonts w:cs="Arial"/>
          <w:bCs/>
          <w:iCs/>
          <w:lang w:val="el-GR"/>
        </w:rPr>
        <w:t xml:space="preserve"> και Ειδικ</w:t>
      </w:r>
      <w:r w:rsidR="00334583">
        <w:rPr>
          <w:rFonts w:cs="Arial"/>
          <w:bCs/>
          <w:iCs/>
          <w:lang w:val="el-GR"/>
        </w:rPr>
        <w:t>ών</w:t>
      </w:r>
      <w:r w:rsidRPr="0040643A">
        <w:rPr>
          <w:rFonts w:cs="Arial"/>
          <w:bCs/>
          <w:iCs/>
          <w:lang w:val="el-GR"/>
        </w:rPr>
        <w:t xml:space="preserve"> Πολεοδομικ</w:t>
      </w:r>
      <w:r w:rsidR="00334583">
        <w:rPr>
          <w:rFonts w:cs="Arial"/>
          <w:bCs/>
          <w:iCs/>
          <w:lang w:val="el-GR"/>
        </w:rPr>
        <w:t>ών</w:t>
      </w:r>
      <w:r w:rsidRPr="0040643A">
        <w:rPr>
          <w:rFonts w:cs="Arial"/>
          <w:bCs/>
          <w:iCs/>
          <w:lang w:val="el-GR"/>
        </w:rPr>
        <w:t xml:space="preserve"> Σχ</w:t>
      </w:r>
      <w:r w:rsidR="00334583">
        <w:rPr>
          <w:rFonts w:cs="Arial"/>
          <w:bCs/>
          <w:iCs/>
          <w:lang w:val="el-GR"/>
        </w:rPr>
        <w:t>εδίων</w:t>
      </w:r>
      <w:r w:rsidRPr="00F219DB">
        <w:rPr>
          <w:rFonts w:cs="Arial"/>
          <w:bCs/>
          <w:iCs/>
          <w:lang w:val="el-GR"/>
        </w:rPr>
        <w:t xml:space="preserve"> </w:t>
      </w:r>
      <w:r w:rsidRPr="0040643A">
        <w:rPr>
          <w:rFonts w:cs="Arial"/>
          <w:lang w:val="el-GR"/>
        </w:rPr>
        <w:t>και</w:t>
      </w:r>
      <w:r>
        <w:rPr>
          <w:rFonts w:cs="Arial"/>
          <w:lang w:val="el-GR"/>
        </w:rPr>
        <w:t>, με τον τρόπο αυτό, να διασφαλιστεί η υλοπ</w:t>
      </w:r>
      <w:r w:rsidR="00334583">
        <w:rPr>
          <w:rFonts w:cs="Arial"/>
          <w:lang w:val="el-GR"/>
        </w:rPr>
        <w:t>ο</w:t>
      </w:r>
      <w:r>
        <w:rPr>
          <w:rFonts w:cs="Arial"/>
          <w:lang w:val="el-GR"/>
        </w:rPr>
        <w:t xml:space="preserve">ίηση του εμβληματικού προγράμματος «Κωνσταντίνος Δοξιάδης», της μεγαλύτερης μεταρρύθμισης οργάνωσης του χώρου από καταβολής του ελληνικού κράτους. Κατά την εκπόνηση των </w:t>
      </w:r>
      <w:r w:rsidR="00A019CF">
        <w:rPr>
          <w:rFonts w:cs="Arial"/>
          <w:lang w:val="el-GR"/>
        </w:rPr>
        <w:t xml:space="preserve">Τοπικών Πολεοδομικών Σχεδίων (Τ.Π.Σ) και των Ειδικών </w:t>
      </w:r>
      <w:proofErr w:type="spellStart"/>
      <w:r w:rsidR="00A019CF">
        <w:rPr>
          <w:rFonts w:cs="Arial"/>
          <w:lang w:val="el-GR"/>
        </w:rPr>
        <w:t>Πολεδομικών</w:t>
      </w:r>
      <w:proofErr w:type="spellEnd"/>
      <w:r w:rsidR="00A019CF">
        <w:rPr>
          <w:rFonts w:cs="Arial"/>
          <w:lang w:val="el-GR"/>
        </w:rPr>
        <w:t xml:space="preserve"> Σχεδίων (Ε.Π.Σ.)</w:t>
      </w:r>
      <w:r>
        <w:rPr>
          <w:rFonts w:cs="Arial"/>
          <w:lang w:val="el-GR"/>
        </w:rPr>
        <w:t xml:space="preserve">, οι μελετητές ξεκινούν από τον πυρήνα του οικισμού και επεκτείνουν σταδιακά τη μελέτη τους προς τις εξωτερικές ζώνες των οικισμών. Συνεπώς, οποιαδήποτε καθυστέρηση στην έγκριση του ΠΔ θα έθετε σε κίνδυνο όλο το </w:t>
      </w:r>
      <w:r w:rsidR="00A35192">
        <w:rPr>
          <w:rFonts w:cs="Arial"/>
          <w:lang w:val="el-GR"/>
        </w:rPr>
        <w:t xml:space="preserve">πρόγραμμα «Κωνσταντίνος Δοξιάδης», που αποτελεί ορόσημο του Ταμείου Ανάκαμψης και Ανθεκτικότητας. </w:t>
      </w:r>
      <w:r w:rsidR="00C91E6E">
        <w:rPr>
          <w:rFonts w:cs="Arial"/>
          <w:bCs/>
          <w:iCs/>
          <w:lang w:val="el-GR"/>
        </w:rPr>
        <w:t>Παράλληλα, εισάγεται με γνώμονα την αποκέντρωση και την ανταπόκριση στη δημογραφική πρόκληση.</w:t>
      </w:r>
    </w:p>
    <w:p w14:paraId="7DAF478C" w14:textId="77777777" w:rsidR="000F338E" w:rsidRPr="00AA0EB9" w:rsidRDefault="000F338E" w:rsidP="000F338E">
      <w:pPr>
        <w:tabs>
          <w:tab w:val="left" w:pos="450"/>
        </w:tabs>
        <w:jc w:val="both"/>
        <w:rPr>
          <w:rFonts w:cs="Arial"/>
          <w:lang w:val="el-GR"/>
        </w:rPr>
      </w:pPr>
    </w:p>
    <w:p w14:paraId="283794F8" w14:textId="17BCCD31" w:rsidR="002251F5" w:rsidRPr="00F219DB" w:rsidRDefault="009753D4" w:rsidP="000F338E">
      <w:pPr>
        <w:tabs>
          <w:tab w:val="left" w:pos="450"/>
        </w:tabs>
        <w:jc w:val="both"/>
        <w:rPr>
          <w:rFonts w:cs="Arial"/>
          <w:b/>
          <w:bCs/>
          <w:lang w:val="el-GR"/>
        </w:rPr>
      </w:pPr>
      <w:r>
        <w:rPr>
          <w:rFonts w:cs="Arial"/>
          <w:b/>
          <w:bCs/>
          <w:lang w:val="el-GR"/>
        </w:rPr>
        <w:lastRenderedPageBreak/>
        <w:t>8</w:t>
      </w:r>
      <w:r w:rsidR="00F219DB">
        <w:rPr>
          <w:rFonts w:cs="Arial"/>
          <w:b/>
          <w:bCs/>
          <w:lang w:val="el-GR"/>
        </w:rPr>
        <w:t xml:space="preserve">. </w:t>
      </w:r>
      <w:r w:rsidR="00C91E6E">
        <w:rPr>
          <w:rFonts w:cs="Arial"/>
          <w:b/>
          <w:bCs/>
          <w:lang w:val="el-GR"/>
        </w:rPr>
        <w:t>Αυτή η</w:t>
      </w:r>
      <w:r w:rsidR="00644371" w:rsidRPr="00F219DB">
        <w:rPr>
          <w:rFonts w:cs="Arial"/>
          <w:b/>
          <w:bCs/>
          <w:lang w:val="el-GR"/>
        </w:rPr>
        <w:t xml:space="preserve"> </w:t>
      </w:r>
      <w:r w:rsidR="00C91E6E">
        <w:rPr>
          <w:rFonts w:cs="Arial"/>
          <w:b/>
          <w:bCs/>
          <w:lang w:val="el-GR"/>
        </w:rPr>
        <w:t>νομοθετική</w:t>
      </w:r>
      <w:r w:rsidR="00C91E6E" w:rsidRPr="00F219DB">
        <w:rPr>
          <w:rFonts w:cs="Arial"/>
          <w:b/>
          <w:bCs/>
          <w:lang w:val="el-GR"/>
        </w:rPr>
        <w:t xml:space="preserve"> </w:t>
      </w:r>
      <w:r w:rsidR="00644371" w:rsidRPr="00F219DB">
        <w:rPr>
          <w:rFonts w:cs="Arial"/>
          <w:b/>
          <w:bCs/>
          <w:lang w:val="el-GR"/>
        </w:rPr>
        <w:t>παρέμβαση</w:t>
      </w:r>
      <w:r w:rsidR="00C91E6E">
        <w:rPr>
          <w:rFonts w:cs="Arial"/>
          <w:b/>
          <w:bCs/>
          <w:lang w:val="el-GR"/>
        </w:rPr>
        <w:t xml:space="preserve"> είναι αποσπασματική ή μέρος μίας ευρύτερης πολεοδομικής μεταρρύθμισης;</w:t>
      </w:r>
    </w:p>
    <w:p w14:paraId="2927C26D" w14:textId="5AA39D8F" w:rsidR="00E5713D" w:rsidRPr="00AA0EB9" w:rsidRDefault="00E5713D" w:rsidP="000F338E">
      <w:pPr>
        <w:tabs>
          <w:tab w:val="left" w:pos="450"/>
        </w:tabs>
        <w:jc w:val="both"/>
        <w:rPr>
          <w:rFonts w:cs="Arial"/>
          <w:lang w:val="el-GR"/>
        </w:rPr>
      </w:pPr>
      <w:r w:rsidRPr="00AA0EB9">
        <w:rPr>
          <w:rFonts w:cs="Arial"/>
          <w:lang w:val="el-GR"/>
        </w:rPr>
        <w:t xml:space="preserve">Αυτή τη στιγμή στη χώρα μας συντελείται ουσιαστική πολεοδομική </w:t>
      </w:r>
      <w:r w:rsidR="009900EF" w:rsidRPr="00AA0EB9">
        <w:rPr>
          <w:rFonts w:cs="Arial"/>
          <w:lang w:val="el-GR"/>
        </w:rPr>
        <w:t>μεταρρύθμιση</w:t>
      </w:r>
      <w:r w:rsidR="000612BD">
        <w:rPr>
          <w:rFonts w:cs="Arial"/>
          <w:lang w:val="el-GR"/>
        </w:rPr>
        <w:t>,</w:t>
      </w:r>
      <w:r w:rsidR="009900EF" w:rsidRPr="00AA0EB9">
        <w:rPr>
          <w:rFonts w:cs="Arial"/>
          <w:lang w:val="el-GR"/>
        </w:rPr>
        <w:t xml:space="preserve"> που είχε να γίνει πάνω από 100 χρόνια</w:t>
      </w:r>
      <w:r w:rsidRPr="00AA0EB9">
        <w:rPr>
          <w:rFonts w:cs="Arial"/>
          <w:lang w:val="el-GR"/>
        </w:rPr>
        <w:t xml:space="preserve">. Το Υπουργείο Περιβάλλοντος και Ενέργειας </w:t>
      </w:r>
      <w:r w:rsidR="000F338E">
        <w:rPr>
          <w:rFonts w:cs="Arial"/>
          <w:lang w:val="el-GR"/>
        </w:rPr>
        <w:t xml:space="preserve">προχωρά στην </w:t>
      </w:r>
      <w:r w:rsidR="000F338E" w:rsidRPr="000F338E">
        <w:rPr>
          <w:rFonts w:cs="Arial"/>
          <w:b/>
          <w:bCs/>
          <w:lang w:val="el-GR"/>
        </w:rPr>
        <w:t>κωδικοποίηση της πολεοδομικής νομοθεσίας</w:t>
      </w:r>
      <w:r w:rsidR="000F338E">
        <w:rPr>
          <w:rFonts w:cs="Arial"/>
          <w:lang w:val="el-GR"/>
        </w:rPr>
        <w:t xml:space="preserve"> και </w:t>
      </w:r>
      <w:r w:rsidRPr="00AA0EB9">
        <w:rPr>
          <w:rFonts w:cs="Arial"/>
          <w:lang w:val="el-GR"/>
        </w:rPr>
        <w:t xml:space="preserve">εκπονεί το </w:t>
      </w:r>
      <w:r w:rsidRPr="000F338E">
        <w:rPr>
          <w:rFonts w:cs="Arial"/>
          <w:b/>
          <w:bCs/>
          <w:lang w:val="el-GR"/>
        </w:rPr>
        <w:t xml:space="preserve">εμβληματικό </w:t>
      </w:r>
      <w:r w:rsidR="000F338E">
        <w:rPr>
          <w:rFonts w:cs="Arial"/>
          <w:b/>
          <w:bCs/>
          <w:lang w:val="el-GR"/>
        </w:rPr>
        <w:t>π</w:t>
      </w:r>
      <w:r w:rsidRPr="000F338E">
        <w:rPr>
          <w:rFonts w:cs="Arial"/>
          <w:b/>
          <w:bCs/>
          <w:lang w:val="el-GR"/>
        </w:rPr>
        <w:t>ρόγραμμα</w:t>
      </w:r>
      <w:r w:rsidR="000F338E">
        <w:rPr>
          <w:rFonts w:cs="Arial"/>
          <w:b/>
          <w:bCs/>
          <w:lang w:val="el-GR"/>
        </w:rPr>
        <w:t xml:space="preserve"> πολεοδομικού σχεδιασμού</w:t>
      </w:r>
      <w:r w:rsidRPr="000F338E">
        <w:rPr>
          <w:rFonts w:cs="Arial"/>
          <w:b/>
          <w:bCs/>
          <w:lang w:val="el-GR"/>
        </w:rPr>
        <w:t xml:space="preserve"> «Κωνσταντίνος Δοξιάδης»</w:t>
      </w:r>
      <w:r w:rsidR="000F338E">
        <w:rPr>
          <w:rFonts w:cs="Arial"/>
          <w:b/>
          <w:bCs/>
          <w:lang w:val="el-GR"/>
        </w:rPr>
        <w:t xml:space="preserve"> </w:t>
      </w:r>
      <w:r w:rsidR="000F338E" w:rsidRPr="00A019CF">
        <w:rPr>
          <w:rFonts w:cs="Arial"/>
          <w:b/>
          <w:lang w:val="el-GR"/>
        </w:rPr>
        <w:t>για όλη την Επικράτεια</w:t>
      </w:r>
      <w:r w:rsidRPr="00A019CF">
        <w:rPr>
          <w:rFonts w:cs="Arial"/>
          <w:b/>
          <w:lang w:val="el-GR"/>
        </w:rPr>
        <w:t>.</w:t>
      </w:r>
      <w:r w:rsidR="00670FCC" w:rsidRPr="00AA0EB9">
        <w:rPr>
          <w:rFonts w:cs="Arial"/>
          <w:lang w:val="el-GR"/>
        </w:rPr>
        <w:t xml:space="preserve"> </w:t>
      </w:r>
      <w:r w:rsidRPr="00AA0EB9">
        <w:rPr>
          <w:rFonts w:cs="Arial"/>
          <w:lang w:val="el-GR"/>
        </w:rPr>
        <w:t xml:space="preserve">Για πρώτη φορά μπαίνει τάξη στον χώρο με σαφείς κανόνες, με προϋπολογισμό που αγγίζει το ένα δισεκατομμύριο ευρώ και αφορά πόρους του Ταμείου Ανάκαμψης και Ανθεκτικότητας. </w:t>
      </w:r>
      <w:r w:rsidR="000F338E">
        <w:rPr>
          <w:rFonts w:cs="Arial"/>
          <w:lang w:val="el-GR"/>
        </w:rPr>
        <w:t>Περιλαμβάνει</w:t>
      </w:r>
      <w:r w:rsidRPr="00AA0EB9">
        <w:rPr>
          <w:rFonts w:cs="Arial"/>
          <w:lang w:val="el-GR"/>
        </w:rPr>
        <w:t xml:space="preserve">: </w:t>
      </w:r>
    </w:p>
    <w:p w14:paraId="4FCF8362" w14:textId="77777777" w:rsidR="00E5713D" w:rsidRPr="00AA0EB9" w:rsidRDefault="00E5713D" w:rsidP="000F338E">
      <w:pPr>
        <w:tabs>
          <w:tab w:val="left" w:pos="450"/>
        </w:tabs>
        <w:jc w:val="both"/>
        <w:rPr>
          <w:rFonts w:cs="Arial"/>
          <w:lang w:val="el-GR"/>
        </w:rPr>
      </w:pPr>
      <w:r w:rsidRPr="00AA0EB9">
        <w:rPr>
          <w:rFonts w:cs="Arial"/>
          <w:lang w:val="el-GR"/>
        </w:rPr>
        <w:t>1.</w:t>
      </w:r>
      <w:r w:rsidRPr="00AA0EB9">
        <w:rPr>
          <w:rFonts w:cs="Arial"/>
          <w:lang w:val="el-GR"/>
        </w:rPr>
        <w:tab/>
        <w:t>227 Τοπικά Πολεοδομικά Σχέδια για 731 Δημοτικές Ενότητες</w:t>
      </w:r>
    </w:p>
    <w:p w14:paraId="66F0327F" w14:textId="77777777" w:rsidR="00E5713D" w:rsidRPr="00AA0EB9" w:rsidRDefault="00E5713D" w:rsidP="000F338E">
      <w:pPr>
        <w:tabs>
          <w:tab w:val="left" w:pos="450"/>
        </w:tabs>
        <w:jc w:val="both"/>
        <w:rPr>
          <w:rFonts w:cs="Arial"/>
          <w:lang w:val="el-GR"/>
        </w:rPr>
      </w:pPr>
      <w:r w:rsidRPr="00AA0EB9">
        <w:rPr>
          <w:rFonts w:cs="Arial"/>
          <w:lang w:val="el-GR"/>
        </w:rPr>
        <w:t>2.</w:t>
      </w:r>
      <w:r w:rsidRPr="00AA0EB9">
        <w:rPr>
          <w:rFonts w:cs="Arial"/>
          <w:lang w:val="el-GR"/>
        </w:rPr>
        <w:tab/>
        <w:t>18 Ειδικά Πολεοδομικά Σχέδια για 99 Δημοτικές Ενότητες</w:t>
      </w:r>
    </w:p>
    <w:p w14:paraId="27CE218F" w14:textId="77777777" w:rsidR="00E5713D" w:rsidRPr="00AA0EB9" w:rsidRDefault="00E5713D" w:rsidP="000F338E">
      <w:pPr>
        <w:tabs>
          <w:tab w:val="left" w:pos="450"/>
        </w:tabs>
        <w:jc w:val="both"/>
        <w:rPr>
          <w:rFonts w:cs="Arial"/>
          <w:lang w:val="el-GR"/>
        </w:rPr>
      </w:pPr>
      <w:r w:rsidRPr="00AA0EB9">
        <w:rPr>
          <w:rFonts w:cs="Arial"/>
          <w:lang w:val="el-GR"/>
        </w:rPr>
        <w:t>3.</w:t>
      </w:r>
      <w:r w:rsidRPr="00AA0EB9">
        <w:rPr>
          <w:rFonts w:cs="Arial"/>
          <w:lang w:val="el-GR"/>
        </w:rPr>
        <w:tab/>
        <w:t>12 Αυτοτελείς Μελέτες Οριοθέτησης Οικισμών</w:t>
      </w:r>
    </w:p>
    <w:p w14:paraId="29EA223F" w14:textId="46DB919D" w:rsidR="00E5713D" w:rsidRPr="00AA0EB9" w:rsidRDefault="00E5713D" w:rsidP="000F338E">
      <w:pPr>
        <w:tabs>
          <w:tab w:val="left" w:pos="450"/>
        </w:tabs>
        <w:jc w:val="both"/>
        <w:rPr>
          <w:rFonts w:cs="Arial"/>
          <w:lang w:val="el-GR"/>
        </w:rPr>
      </w:pPr>
      <w:r w:rsidRPr="00AA0EB9">
        <w:rPr>
          <w:rFonts w:cs="Arial"/>
          <w:lang w:val="el-GR"/>
        </w:rPr>
        <w:t>4.</w:t>
      </w:r>
      <w:r w:rsidRPr="00AA0EB9">
        <w:rPr>
          <w:rFonts w:cs="Arial"/>
          <w:lang w:val="el-GR"/>
        </w:rPr>
        <w:tab/>
        <w:t>Αυτοτελή Μελέτη για Ζώνες Υποδοχής Συντελεστή Δόμησης (Ζ.Υ.Σ.)</w:t>
      </w:r>
      <w:r w:rsidR="00670FCC" w:rsidRPr="00AA0EB9">
        <w:rPr>
          <w:rFonts w:cs="Arial"/>
          <w:lang w:val="el-GR"/>
        </w:rPr>
        <w:t xml:space="preserve"> </w:t>
      </w:r>
      <w:r w:rsidRPr="00AA0EB9">
        <w:rPr>
          <w:rFonts w:cs="Arial"/>
          <w:lang w:val="el-GR"/>
        </w:rPr>
        <w:t xml:space="preserve">και </w:t>
      </w:r>
    </w:p>
    <w:p w14:paraId="637701E1" w14:textId="48DABEC3" w:rsidR="00E5713D" w:rsidRPr="00AA0EB9" w:rsidRDefault="00E5713D" w:rsidP="000F338E">
      <w:pPr>
        <w:tabs>
          <w:tab w:val="left" w:pos="450"/>
        </w:tabs>
        <w:jc w:val="both"/>
        <w:rPr>
          <w:rFonts w:cs="Arial"/>
          <w:lang w:val="el-GR"/>
        </w:rPr>
      </w:pPr>
      <w:r w:rsidRPr="00AA0EB9">
        <w:rPr>
          <w:rFonts w:cs="Arial"/>
          <w:lang w:val="el-GR"/>
        </w:rPr>
        <w:t>5.</w:t>
      </w:r>
      <w:r w:rsidRPr="00AA0EB9">
        <w:rPr>
          <w:rFonts w:cs="Arial"/>
          <w:lang w:val="el-GR"/>
        </w:rPr>
        <w:tab/>
        <w:t>Αυτοτελή Μελέτη Χαρακτηρισμού Δημοτικών Οδών</w:t>
      </w:r>
      <w:r w:rsidR="000F338E">
        <w:rPr>
          <w:rFonts w:cs="Arial"/>
          <w:lang w:val="el-GR"/>
        </w:rPr>
        <w:t>.</w:t>
      </w:r>
    </w:p>
    <w:p w14:paraId="1DE062B8" w14:textId="77777777" w:rsidR="00E71AE8" w:rsidRPr="006F6D66" w:rsidRDefault="00E71AE8" w:rsidP="000F338E">
      <w:pPr>
        <w:tabs>
          <w:tab w:val="left" w:pos="450"/>
        </w:tabs>
        <w:jc w:val="both"/>
        <w:rPr>
          <w:rFonts w:ascii="Arial" w:hAnsi="Arial" w:cs="Arial"/>
          <w:lang w:val="el-GR"/>
        </w:rPr>
      </w:pPr>
    </w:p>
    <w:p w14:paraId="0A405072" w14:textId="4EE639FB" w:rsidR="00E71AE8" w:rsidRPr="006F6D66" w:rsidRDefault="00E71AE8" w:rsidP="000F338E">
      <w:pPr>
        <w:tabs>
          <w:tab w:val="left" w:pos="450"/>
        </w:tabs>
        <w:jc w:val="both"/>
        <w:rPr>
          <w:rFonts w:ascii="Arial" w:hAnsi="Arial" w:cs="Arial"/>
          <w:lang w:val="el-GR"/>
        </w:rPr>
      </w:pPr>
    </w:p>
    <w:p w14:paraId="12B3FBDA" w14:textId="598F18F1" w:rsidR="00DC7B6E" w:rsidRPr="006F6D66" w:rsidRDefault="00DC7B6E" w:rsidP="000F338E">
      <w:pPr>
        <w:tabs>
          <w:tab w:val="left" w:pos="450"/>
        </w:tabs>
        <w:jc w:val="both"/>
        <w:rPr>
          <w:rFonts w:ascii="Arial" w:hAnsi="Arial" w:cs="Arial"/>
          <w:b/>
          <w:bCs/>
          <w:lang w:val="el-GR"/>
        </w:rPr>
      </w:pPr>
    </w:p>
    <w:sectPr w:rsidR="00DC7B6E" w:rsidRPr="006F6D66" w:rsidSect="00EF5C5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A416" w14:textId="77777777" w:rsidR="009757F9" w:rsidRDefault="009757F9" w:rsidP="00627A0D">
      <w:pPr>
        <w:spacing w:after="0" w:line="240" w:lineRule="auto"/>
      </w:pPr>
      <w:r>
        <w:separator/>
      </w:r>
    </w:p>
  </w:endnote>
  <w:endnote w:type="continuationSeparator" w:id="0">
    <w:p w14:paraId="4E2302C6" w14:textId="77777777" w:rsidR="009757F9" w:rsidRDefault="009757F9" w:rsidP="0062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176217"/>
      <w:docPartObj>
        <w:docPartGallery w:val="Page Numbers (Bottom of Page)"/>
        <w:docPartUnique/>
      </w:docPartObj>
    </w:sdtPr>
    <w:sdtEndPr>
      <w:rPr>
        <w:noProof/>
      </w:rPr>
    </w:sdtEndPr>
    <w:sdtContent>
      <w:p w14:paraId="703E5FCF" w14:textId="203F2885" w:rsidR="00627A0D" w:rsidRDefault="00627A0D">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626E266D" w14:textId="77777777" w:rsidR="00627A0D" w:rsidRDefault="00627A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D67F" w14:textId="77777777" w:rsidR="009757F9" w:rsidRDefault="009757F9" w:rsidP="00627A0D">
      <w:pPr>
        <w:spacing w:after="0" w:line="240" w:lineRule="auto"/>
      </w:pPr>
      <w:r>
        <w:separator/>
      </w:r>
    </w:p>
  </w:footnote>
  <w:footnote w:type="continuationSeparator" w:id="0">
    <w:p w14:paraId="5B45233B" w14:textId="77777777" w:rsidR="009757F9" w:rsidRDefault="009757F9" w:rsidP="00627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566"/>
    <w:multiLevelType w:val="hybridMultilevel"/>
    <w:tmpl w:val="089EE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C5753E"/>
    <w:multiLevelType w:val="hybridMultilevel"/>
    <w:tmpl w:val="53FEB210"/>
    <w:lvl w:ilvl="0" w:tplc="3326C9A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D37735"/>
    <w:multiLevelType w:val="hybridMultilevel"/>
    <w:tmpl w:val="FEBE84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073991"/>
    <w:multiLevelType w:val="hybridMultilevel"/>
    <w:tmpl w:val="FEBE84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ED0C58"/>
    <w:multiLevelType w:val="hybridMultilevel"/>
    <w:tmpl w:val="6D667656"/>
    <w:lvl w:ilvl="0" w:tplc="30CC4A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F44BB"/>
    <w:multiLevelType w:val="hybridMultilevel"/>
    <w:tmpl w:val="1DEC7054"/>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1D03D50"/>
    <w:multiLevelType w:val="hybridMultilevel"/>
    <w:tmpl w:val="B32C1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82327"/>
    <w:multiLevelType w:val="hybridMultilevel"/>
    <w:tmpl w:val="A46894D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385C73"/>
    <w:multiLevelType w:val="hybridMultilevel"/>
    <w:tmpl w:val="5EEAD0DA"/>
    <w:lvl w:ilvl="0" w:tplc="C74657F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7CC77E4"/>
    <w:multiLevelType w:val="hybridMultilevel"/>
    <w:tmpl w:val="83D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95BB7"/>
    <w:multiLevelType w:val="hybridMultilevel"/>
    <w:tmpl w:val="81668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3967226">
    <w:abstractNumId w:val="6"/>
  </w:num>
  <w:num w:numId="2" w16cid:durableId="1266814728">
    <w:abstractNumId w:val="9"/>
  </w:num>
  <w:num w:numId="3" w16cid:durableId="1393114343">
    <w:abstractNumId w:val="4"/>
  </w:num>
  <w:num w:numId="4" w16cid:durableId="449327067">
    <w:abstractNumId w:val="5"/>
  </w:num>
  <w:num w:numId="5" w16cid:durableId="641078428">
    <w:abstractNumId w:val="8"/>
  </w:num>
  <w:num w:numId="6" w16cid:durableId="1296987024">
    <w:abstractNumId w:val="1"/>
  </w:num>
  <w:num w:numId="7" w16cid:durableId="839126566">
    <w:abstractNumId w:val="3"/>
  </w:num>
  <w:num w:numId="8" w16cid:durableId="1694190943">
    <w:abstractNumId w:val="0"/>
  </w:num>
  <w:num w:numId="9" w16cid:durableId="1055930530">
    <w:abstractNumId w:val="10"/>
  </w:num>
  <w:num w:numId="10" w16cid:durableId="215168979">
    <w:abstractNumId w:val="2"/>
  </w:num>
  <w:num w:numId="11" w16cid:durableId="2027901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16"/>
    <w:rsid w:val="000411C1"/>
    <w:rsid w:val="0005188E"/>
    <w:rsid w:val="000612BD"/>
    <w:rsid w:val="00082A55"/>
    <w:rsid w:val="0008320F"/>
    <w:rsid w:val="000E5B4B"/>
    <w:rsid w:val="000F338E"/>
    <w:rsid w:val="00104350"/>
    <w:rsid w:val="00124E9D"/>
    <w:rsid w:val="0015327F"/>
    <w:rsid w:val="00157B02"/>
    <w:rsid w:val="001A2DAD"/>
    <w:rsid w:val="001D1616"/>
    <w:rsid w:val="001F5BD2"/>
    <w:rsid w:val="002046B2"/>
    <w:rsid w:val="00210044"/>
    <w:rsid w:val="002251F5"/>
    <w:rsid w:val="0027028A"/>
    <w:rsid w:val="00270B5F"/>
    <w:rsid w:val="00302598"/>
    <w:rsid w:val="00305EB0"/>
    <w:rsid w:val="00310389"/>
    <w:rsid w:val="003232DC"/>
    <w:rsid w:val="00334583"/>
    <w:rsid w:val="0034238A"/>
    <w:rsid w:val="0038044A"/>
    <w:rsid w:val="003A177B"/>
    <w:rsid w:val="003B0E67"/>
    <w:rsid w:val="003C732C"/>
    <w:rsid w:val="003F51F2"/>
    <w:rsid w:val="0040643A"/>
    <w:rsid w:val="00420D35"/>
    <w:rsid w:val="00433A49"/>
    <w:rsid w:val="00434C61"/>
    <w:rsid w:val="0048014B"/>
    <w:rsid w:val="0048379D"/>
    <w:rsid w:val="004F5B58"/>
    <w:rsid w:val="00532B7D"/>
    <w:rsid w:val="005555CE"/>
    <w:rsid w:val="0057506F"/>
    <w:rsid w:val="00596CCC"/>
    <w:rsid w:val="005A0C17"/>
    <w:rsid w:val="005A4DAB"/>
    <w:rsid w:val="005B5D11"/>
    <w:rsid w:val="005D647D"/>
    <w:rsid w:val="005E19FF"/>
    <w:rsid w:val="005F4128"/>
    <w:rsid w:val="005F5E23"/>
    <w:rsid w:val="00606818"/>
    <w:rsid w:val="00627A0D"/>
    <w:rsid w:val="00644371"/>
    <w:rsid w:val="00670FCC"/>
    <w:rsid w:val="006B5C13"/>
    <w:rsid w:val="006E1E46"/>
    <w:rsid w:val="006F6D66"/>
    <w:rsid w:val="007203DB"/>
    <w:rsid w:val="00743B45"/>
    <w:rsid w:val="0075135C"/>
    <w:rsid w:val="007626CF"/>
    <w:rsid w:val="00765949"/>
    <w:rsid w:val="007677A3"/>
    <w:rsid w:val="00771B68"/>
    <w:rsid w:val="007909BE"/>
    <w:rsid w:val="007A4A4D"/>
    <w:rsid w:val="007D1F6B"/>
    <w:rsid w:val="007F288E"/>
    <w:rsid w:val="00876FD3"/>
    <w:rsid w:val="00877990"/>
    <w:rsid w:val="00894740"/>
    <w:rsid w:val="008A469D"/>
    <w:rsid w:val="008F341F"/>
    <w:rsid w:val="00932865"/>
    <w:rsid w:val="00935CAF"/>
    <w:rsid w:val="00941A38"/>
    <w:rsid w:val="00944C9D"/>
    <w:rsid w:val="00974437"/>
    <w:rsid w:val="009753D4"/>
    <w:rsid w:val="009757F9"/>
    <w:rsid w:val="009900EF"/>
    <w:rsid w:val="00997C45"/>
    <w:rsid w:val="009D2CED"/>
    <w:rsid w:val="009E43FE"/>
    <w:rsid w:val="00A019CF"/>
    <w:rsid w:val="00A24475"/>
    <w:rsid w:val="00A35192"/>
    <w:rsid w:val="00A91CD9"/>
    <w:rsid w:val="00AA0EB9"/>
    <w:rsid w:val="00AA5198"/>
    <w:rsid w:val="00AA7505"/>
    <w:rsid w:val="00AE1331"/>
    <w:rsid w:val="00B00A70"/>
    <w:rsid w:val="00B4463A"/>
    <w:rsid w:val="00BA63A1"/>
    <w:rsid w:val="00BD0BF4"/>
    <w:rsid w:val="00C01AE4"/>
    <w:rsid w:val="00C12AE9"/>
    <w:rsid w:val="00C36723"/>
    <w:rsid w:val="00C91E6E"/>
    <w:rsid w:val="00CA46FC"/>
    <w:rsid w:val="00CD56B7"/>
    <w:rsid w:val="00D132EA"/>
    <w:rsid w:val="00D34A8D"/>
    <w:rsid w:val="00D6481F"/>
    <w:rsid w:val="00D67F52"/>
    <w:rsid w:val="00D931DA"/>
    <w:rsid w:val="00DC7B6E"/>
    <w:rsid w:val="00DF3252"/>
    <w:rsid w:val="00E0753F"/>
    <w:rsid w:val="00E5713D"/>
    <w:rsid w:val="00E71AE8"/>
    <w:rsid w:val="00E77110"/>
    <w:rsid w:val="00E8484A"/>
    <w:rsid w:val="00EC1AE8"/>
    <w:rsid w:val="00EF5C56"/>
    <w:rsid w:val="00F03802"/>
    <w:rsid w:val="00F07C53"/>
    <w:rsid w:val="00F219DB"/>
    <w:rsid w:val="00F81E8C"/>
    <w:rsid w:val="00F909F8"/>
    <w:rsid w:val="00F9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D70B"/>
  <w15:chartTrackingRefBased/>
  <w15:docId w15:val="{DA80CBA6-11D1-4881-B04A-434ED6BF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D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16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16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16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16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16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16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16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161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161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161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161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161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16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16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16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1616"/>
    <w:rPr>
      <w:rFonts w:eastAsiaTheme="majorEastAsia" w:cstheme="majorBidi"/>
      <w:color w:val="272727" w:themeColor="text1" w:themeTint="D8"/>
    </w:rPr>
  </w:style>
  <w:style w:type="paragraph" w:styleId="a3">
    <w:name w:val="Title"/>
    <w:basedOn w:val="a"/>
    <w:next w:val="a"/>
    <w:link w:val="Char"/>
    <w:uiPriority w:val="10"/>
    <w:qFormat/>
    <w:rsid w:val="001D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16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16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16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1616"/>
    <w:pPr>
      <w:spacing w:before="160"/>
      <w:jc w:val="center"/>
    </w:pPr>
    <w:rPr>
      <w:i/>
      <w:iCs/>
      <w:color w:val="404040" w:themeColor="text1" w:themeTint="BF"/>
    </w:rPr>
  </w:style>
  <w:style w:type="character" w:customStyle="1" w:styleId="Char1">
    <w:name w:val="Απόσπασμα Char"/>
    <w:basedOn w:val="a0"/>
    <w:link w:val="a5"/>
    <w:uiPriority w:val="29"/>
    <w:rsid w:val="001D1616"/>
    <w:rPr>
      <w:i/>
      <w:iCs/>
      <w:color w:val="404040" w:themeColor="text1" w:themeTint="BF"/>
    </w:rPr>
  </w:style>
  <w:style w:type="paragraph" w:styleId="a6">
    <w:name w:val="List Paragraph"/>
    <w:basedOn w:val="a"/>
    <w:uiPriority w:val="34"/>
    <w:qFormat/>
    <w:rsid w:val="001D1616"/>
    <w:pPr>
      <w:ind w:left="720"/>
      <w:contextualSpacing/>
    </w:pPr>
  </w:style>
  <w:style w:type="character" w:styleId="a7">
    <w:name w:val="Intense Emphasis"/>
    <w:basedOn w:val="a0"/>
    <w:uiPriority w:val="21"/>
    <w:qFormat/>
    <w:rsid w:val="001D1616"/>
    <w:rPr>
      <w:i/>
      <w:iCs/>
      <w:color w:val="0F4761" w:themeColor="accent1" w:themeShade="BF"/>
    </w:rPr>
  </w:style>
  <w:style w:type="paragraph" w:styleId="a8">
    <w:name w:val="Intense Quote"/>
    <w:basedOn w:val="a"/>
    <w:next w:val="a"/>
    <w:link w:val="Char2"/>
    <w:uiPriority w:val="30"/>
    <w:qFormat/>
    <w:rsid w:val="001D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1616"/>
    <w:rPr>
      <w:i/>
      <w:iCs/>
      <w:color w:val="0F4761" w:themeColor="accent1" w:themeShade="BF"/>
    </w:rPr>
  </w:style>
  <w:style w:type="character" w:styleId="a9">
    <w:name w:val="Intense Reference"/>
    <w:basedOn w:val="a0"/>
    <w:uiPriority w:val="32"/>
    <w:qFormat/>
    <w:rsid w:val="001D1616"/>
    <w:rPr>
      <w:b/>
      <w:bCs/>
      <w:smallCaps/>
      <w:color w:val="0F4761" w:themeColor="accent1" w:themeShade="BF"/>
      <w:spacing w:val="5"/>
    </w:rPr>
  </w:style>
  <w:style w:type="paragraph" w:styleId="aa">
    <w:name w:val="header"/>
    <w:basedOn w:val="a"/>
    <w:link w:val="Char3"/>
    <w:uiPriority w:val="99"/>
    <w:unhideWhenUsed/>
    <w:rsid w:val="00627A0D"/>
    <w:pPr>
      <w:tabs>
        <w:tab w:val="center" w:pos="4680"/>
        <w:tab w:val="right" w:pos="9360"/>
      </w:tabs>
      <w:spacing w:after="0" w:line="240" w:lineRule="auto"/>
    </w:pPr>
  </w:style>
  <w:style w:type="character" w:customStyle="1" w:styleId="Char3">
    <w:name w:val="Κεφαλίδα Char"/>
    <w:basedOn w:val="a0"/>
    <w:link w:val="aa"/>
    <w:uiPriority w:val="99"/>
    <w:rsid w:val="00627A0D"/>
  </w:style>
  <w:style w:type="paragraph" w:styleId="ab">
    <w:name w:val="footer"/>
    <w:basedOn w:val="a"/>
    <w:link w:val="Char4"/>
    <w:uiPriority w:val="99"/>
    <w:unhideWhenUsed/>
    <w:rsid w:val="00627A0D"/>
    <w:pPr>
      <w:tabs>
        <w:tab w:val="center" w:pos="4680"/>
        <w:tab w:val="right" w:pos="9360"/>
      </w:tabs>
      <w:spacing w:after="0" w:line="240" w:lineRule="auto"/>
    </w:pPr>
  </w:style>
  <w:style w:type="character" w:customStyle="1" w:styleId="Char4">
    <w:name w:val="Υποσέλιδο Char"/>
    <w:basedOn w:val="a0"/>
    <w:link w:val="ab"/>
    <w:uiPriority w:val="99"/>
    <w:rsid w:val="00627A0D"/>
  </w:style>
  <w:style w:type="paragraph" w:styleId="ac">
    <w:name w:val="Revision"/>
    <w:hidden/>
    <w:uiPriority w:val="99"/>
    <w:semiHidden/>
    <w:rsid w:val="00D34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1053">
      <w:bodyDiv w:val="1"/>
      <w:marLeft w:val="0"/>
      <w:marRight w:val="0"/>
      <w:marTop w:val="0"/>
      <w:marBottom w:val="0"/>
      <w:divBdr>
        <w:top w:val="none" w:sz="0" w:space="0" w:color="auto"/>
        <w:left w:val="none" w:sz="0" w:space="0" w:color="auto"/>
        <w:bottom w:val="none" w:sz="0" w:space="0" w:color="auto"/>
        <w:right w:val="none" w:sz="0" w:space="0" w:color="auto"/>
      </w:divBdr>
    </w:div>
    <w:div w:id="453640965">
      <w:bodyDiv w:val="1"/>
      <w:marLeft w:val="0"/>
      <w:marRight w:val="0"/>
      <w:marTop w:val="0"/>
      <w:marBottom w:val="0"/>
      <w:divBdr>
        <w:top w:val="none" w:sz="0" w:space="0" w:color="auto"/>
        <w:left w:val="none" w:sz="0" w:space="0" w:color="auto"/>
        <w:bottom w:val="none" w:sz="0" w:space="0" w:color="auto"/>
        <w:right w:val="none" w:sz="0" w:space="0" w:color="auto"/>
      </w:divBdr>
    </w:div>
    <w:div w:id="533425947">
      <w:bodyDiv w:val="1"/>
      <w:marLeft w:val="0"/>
      <w:marRight w:val="0"/>
      <w:marTop w:val="0"/>
      <w:marBottom w:val="0"/>
      <w:divBdr>
        <w:top w:val="none" w:sz="0" w:space="0" w:color="auto"/>
        <w:left w:val="none" w:sz="0" w:space="0" w:color="auto"/>
        <w:bottom w:val="none" w:sz="0" w:space="0" w:color="auto"/>
        <w:right w:val="none" w:sz="0" w:space="0" w:color="auto"/>
      </w:divBdr>
      <w:divsChild>
        <w:div w:id="1759712295">
          <w:marLeft w:val="0"/>
          <w:marRight w:val="0"/>
          <w:marTop w:val="0"/>
          <w:marBottom w:val="0"/>
          <w:divBdr>
            <w:top w:val="none" w:sz="0" w:space="0" w:color="auto"/>
            <w:left w:val="none" w:sz="0" w:space="0" w:color="auto"/>
            <w:bottom w:val="none" w:sz="0" w:space="0" w:color="auto"/>
            <w:right w:val="none" w:sz="0" w:space="0" w:color="auto"/>
          </w:divBdr>
          <w:divsChild>
            <w:div w:id="1547908002">
              <w:marLeft w:val="0"/>
              <w:marRight w:val="0"/>
              <w:marTop w:val="0"/>
              <w:marBottom w:val="0"/>
              <w:divBdr>
                <w:top w:val="single" w:sz="8" w:space="3" w:color="E1E1E1"/>
                <w:left w:val="none" w:sz="0" w:space="0" w:color="auto"/>
                <w:bottom w:val="none" w:sz="0" w:space="0" w:color="auto"/>
                <w:right w:val="none" w:sz="0" w:space="0" w:color="auto"/>
              </w:divBdr>
            </w:div>
          </w:divsChild>
        </w:div>
        <w:div w:id="1774932061">
          <w:marLeft w:val="0"/>
          <w:marRight w:val="0"/>
          <w:marTop w:val="0"/>
          <w:marBottom w:val="0"/>
          <w:divBdr>
            <w:top w:val="none" w:sz="0" w:space="0" w:color="auto"/>
            <w:left w:val="none" w:sz="0" w:space="0" w:color="auto"/>
            <w:bottom w:val="none" w:sz="0" w:space="0" w:color="auto"/>
            <w:right w:val="none" w:sz="0" w:space="0" w:color="auto"/>
          </w:divBdr>
          <w:divsChild>
            <w:div w:id="937715291">
              <w:marLeft w:val="0"/>
              <w:marRight w:val="0"/>
              <w:marTop w:val="0"/>
              <w:marBottom w:val="0"/>
              <w:divBdr>
                <w:top w:val="none" w:sz="0" w:space="0" w:color="auto"/>
                <w:left w:val="none" w:sz="0" w:space="0" w:color="auto"/>
                <w:bottom w:val="none" w:sz="0" w:space="0" w:color="auto"/>
                <w:right w:val="none" w:sz="0" w:space="0" w:color="auto"/>
              </w:divBdr>
              <w:divsChild>
                <w:div w:id="4493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2171">
      <w:bodyDiv w:val="1"/>
      <w:marLeft w:val="0"/>
      <w:marRight w:val="0"/>
      <w:marTop w:val="0"/>
      <w:marBottom w:val="0"/>
      <w:divBdr>
        <w:top w:val="none" w:sz="0" w:space="0" w:color="auto"/>
        <w:left w:val="none" w:sz="0" w:space="0" w:color="auto"/>
        <w:bottom w:val="none" w:sz="0" w:space="0" w:color="auto"/>
        <w:right w:val="none" w:sz="0" w:space="0" w:color="auto"/>
      </w:divBdr>
    </w:div>
    <w:div w:id="654335889">
      <w:bodyDiv w:val="1"/>
      <w:marLeft w:val="0"/>
      <w:marRight w:val="0"/>
      <w:marTop w:val="0"/>
      <w:marBottom w:val="0"/>
      <w:divBdr>
        <w:top w:val="none" w:sz="0" w:space="0" w:color="auto"/>
        <w:left w:val="none" w:sz="0" w:space="0" w:color="auto"/>
        <w:bottom w:val="none" w:sz="0" w:space="0" w:color="auto"/>
        <w:right w:val="none" w:sz="0" w:space="0" w:color="auto"/>
      </w:divBdr>
    </w:div>
    <w:div w:id="932129938">
      <w:bodyDiv w:val="1"/>
      <w:marLeft w:val="0"/>
      <w:marRight w:val="0"/>
      <w:marTop w:val="0"/>
      <w:marBottom w:val="0"/>
      <w:divBdr>
        <w:top w:val="none" w:sz="0" w:space="0" w:color="auto"/>
        <w:left w:val="none" w:sz="0" w:space="0" w:color="auto"/>
        <w:bottom w:val="none" w:sz="0" w:space="0" w:color="auto"/>
        <w:right w:val="none" w:sz="0" w:space="0" w:color="auto"/>
      </w:divBdr>
      <w:divsChild>
        <w:div w:id="936794078">
          <w:marLeft w:val="0"/>
          <w:marRight w:val="0"/>
          <w:marTop w:val="0"/>
          <w:marBottom w:val="0"/>
          <w:divBdr>
            <w:top w:val="none" w:sz="0" w:space="0" w:color="auto"/>
            <w:left w:val="none" w:sz="0" w:space="0" w:color="auto"/>
            <w:bottom w:val="none" w:sz="0" w:space="0" w:color="auto"/>
            <w:right w:val="none" w:sz="0" w:space="0" w:color="auto"/>
          </w:divBdr>
          <w:divsChild>
            <w:div w:id="1275557487">
              <w:marLeft w:val="0"/>
              <w:marRight w:val="0"/>
              <w:marTop w:val="0"/>
              <w:marBottom w:val="0"/>
              <w:divBdr>
                <w:top w:val="single" w:sz="8" w:space="3" w:color="E1E1E1"/>
                <w:left w:val="none" w:sz="0" w:space="0" w:color="auto"/>
                <w:bottom w:val="none" w:sz="0" w:space="0" w:color="auto"/>
                <w:right w:val="none" w:sz="0" w:space="0" w:color="auto"/>
              </w:divBdr>
            </w:div>
          </w:divsChild>
        </w:div>
        <w:div w:id="1711956116">
          <w:marLeft w:val="0"/>
          <w:marRight w:val="0"/>
          <w:marTop w:val="0"/>
          <w:marBottom w:val="0"/>
          <w:divBdr>
            <w:top w:val="none" w:sz="0" w:space="0" w:color="auto"/>
            <w:left w:val="none" w:sz="0" w:space="0" w:color="auto"/>
            <w:bottom w:val="none" w:sz="0" w:space="0" w:color="auto"/>
            <w:right w:val="none" w:sz="0" w:space="0" w:color="auto"/>
          </w:divBdr>
          <w:divsChild>
            <w:div w:id="515773454">
              <w:marLeft w:val="0"/>
              <w:marRight w:val="0"/>
              <w:marTop w:val="0"/>
              <w:marBottom w:val="0"/>
              <w:divBdr>
                <w:top w:val="none" w:sz="0" w:space="0" w:color="auto"/>
                <w:left w:val="none" w:sz="0" w:space="0" w:color="auto"/>
                <w:bottom w:val="none" w:sz="0" w:space="0" w:color="auto"/>
                <w:right w:val="none" w:sz="0" w:space="0" w:color="auto"/>
              </w:divBdr>
              <w:divsChild>
                <w:div w:id="545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85357">
      <w:bodyDiv w:val="1"/>
      <w:marLeft w:val="0"/>
      <w:marRight w:val="0"/>
      <w:marTop w:val="0"/>
      <w:marBottom w:val="0"/>
      <w:divBdr>
        <w:top w:val="none" w:sz="0" w:space="0" w:color="auto"/>
        <w:left w:val="none" w:sz="0" w:space="0" w:color="auto"/>
        <w:bottom w:val="none" w:sz="0" w:space="0" w:color="auto"/>
        <w:right w:val="none" w:sz="0" w:space="0" w:color="auto"/>
      </w:divBdr>
    </w:div>
    <w:div w:id="164554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5967</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gianniadi</dc:creator>
  <cp:keywords/>
  <dc:description/>
  <cp:lastModifiedBy>Dimitris Korderas</cp:lastModifiedBy>
  <cp:revision>2</cp:revision>
  <dcterms:created xsi:type="dcterms:W3CDTF">2025-07-01T11:40:00Z</dcterms:created>
  <dcterms:modified xsi:type="dcterms:W3CDTF">2025-07-01T11:40:00Z</dcterms:modified>
</cp:coreProperties>
</file>