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C49A" w14:textId="77777777" w:rsidR="00080A36" w:rsidRDefault="00080A36" w:rsidP="00080A36">
      <w:pPr>
        <w:pStyle w:val="FK"/>
        <w:spacing w:after="0" w:line="360" w:lineRule="auto"/>
        <w:jc w:val="center"/>
        <w:rPr>
          <w:rFonts w:ascii="Eurobank Sans" w:hAnsi="Eurobank Sans" w:cs="Arial"/>
          <w:b/>
          <w:sz w:val="36"/>
          <w:szCs w:val="32"/>
        </w:rPr>
      </w:pPr>
    </w:p>
    <w:p w14:paraId="2EF3D8DF" w14:textId="77777777" w:rsidR="00F706D1" w:rsidRPr="00080A36" w:rsidRDefault="00F706D1" w:rsidP="00080A36">
      <w:pPr>
        <w:pStyle w:val="FK"/>
        <w:spacing w:after="0" w:line="360" w:lineRule="auto"/>
        <w:jc w:val="center"/>
        <w:rPr>
          <w:rFonts w:ascii="Eurobank Sans" w:hAnsi="Eurobank Sans" w:cs="Arial"/>
          <w:b/>
          <w:sz w:val="36"/>
          <w:szCs w:val="32"/>
        </w:rPr>
      </w:pPr>
    </w:p>
    <w:p w14:paraId="1C6514E5" w14:textId="70D8EAB7" w:rsidR="00080A36" w:rsidRPr="0021200D" w:rsidRDefault="00D70051" w:rsidP="00080A36">
      <w:pPr>
        <w:pStyle w:val="FK"/>
        <w:spacing w:after="0" w:line="360" w:lineRule="auto"/>
        <w:jc w:val="center"/>
        <w:rPr>
          <w:rFonts w:ascii="Eurobank Sans" w:hAnsi="Eurobank Sans" w:cs="Arial"/>
          <w:b/>
          <w:sz w:val="32"/>
          <w:szCs w:val="32"/>
        </w:rPr>
      </w:pPr>
      <w:r>
        <w:rPr>
          <w:rFonts w:ascii="Eurobank Sans" w:hAnsi="Eurobank Sans" w:cs="Arial"/>
          <w:b/>
          <w:sz w:val="32"/>
          <w:szCs w:val="32"/>
        </w:rPr>
        <w:t>Ομιλία</w:t>
      </w:r>
      <w:r w:rsidR="00080A36" w:rsidRPr="0021200D">
        <w:rPr>
          <w:rFonts w:ascii="Eurobank Sans" w:hAnsi="Eurobank Sans" w:cs="Arial"/>
          <w:b/>
          <w:sz w:val="32"/>
          <w:szCs w:val="32"/>
        </w:rPr>
        <w:t xml:space="preserve"> κ. </w:t>
      </w:r>
      <w:r w:rsidR="00A45B20">
        <w:rPr>
          <w:rFonts w:ascii="Eurobank Sans" w:hAnsi="Eurobank Sans" w:cs="Arial"/>
          <w:b/>
          <w:sz w:val="32"/>
          <w:szCs w:val="32"/>
        </w:rPr>
        <w:t>Γεώργιου Ζανιά</w:t>
      </w:r>
    </w:p>
    <w:p w14:paraId="6CDF45F8" w14:textId="389A36A1" w:rsidR="00080A36" w:rsidRPr="0021200D" w:rsidRDefault="00A45B20" w:rsidP="00080A36">
      <w:pPr>
        <w:pStyle w:val="FK"/>
        <w:spacing w:after="0" w:line="360" w:lineRule="auto"/>
        <w:jc w:val="center"/>
        <w:rPr>
          <w:rFonts w:ascii="Eurobank Sans" w:hAnsi="Eurobank Sans" w:cs="Arial"/>
          <w:b/>
          <w:sz w:val="32"/>
          <w:szCs w:val="32"/>
        </w:rPr>
      </w:pPr>
      <w:r>
        <w:rPr>
          <w:rFonts w:ascii="Eurobank Sans" w:hAnsi="Eurobank Sans" w:cs="Arial"/>
          <w:b/>
          <w:sz w:val="32"/>
          <w:szCs w:val="32"/>
        </w:rPr>
        <w:t>Προέδρου Δ.Σ.</w:t>
      </w:r>
    </w:p>
    <w:p w14:paraId="4C8C1E73" w14:textId="77777777" w:rsidR="00080A36" w:rsidRPr="0021200D" w:rsidRDefault="00080A36" w:rsidP="00080A36">
      <w:pPr>
        <w:pStyle w:val="FK"/>
        <w:spacing w:line="360" w:lineRule="auto"/>
        <w:jc w:val="center"/>
        <w:rPr>
          <w:rFonts w:ascii="Eurobank Sans" w:hAnsi="Eurobank Sans" w:cs="Arial"/>
          <w:b/>
          <w:sz w:val="32"/>
          <w:szCs w:val="32"/>
        </w:rPr>
      </w:pPr>
    </w:p>
    <w:p w14:paraId="3678F639" w14:textId="77777777" w:rsidR="00080A36" w:rsidRDefault="00080A36" w:rsidP="00080A36">
      <w:pPr>
        <w:pStyle w:val="FK"/>
        <w:spacing w:line="360" w:lineRule="auto"/>
        <w:jc w:val="center"/>
        <w:rPr>
          <w:rFonts w:ascii="Eurobank Sans" w:hAnsi="Eurobank Sans" w:cs="Arial"/>
          <w:b/>
          <w:sz w:val="32"/>
          <w:szCs w:val="32"/>
        </w:rPr>
      </w:pPr>
    </w:p>
    <w:p w14:paraId="5BD3BF9F" w14:textId="77777777" w:rsidR="00F706D1" w:rsidRDefault="00F706D1" w:rsidP="00080A36">
      <w:pPr>
        <w:pStyle w:val="FK"/>
        <w:spacing w:line="360" w:lineRule="auto"/>
        <w:jc w:val="center"/>
        <w:rPr>
          <w:rFonts w:ascii="Eurobank Sans" w:hAnsi="Eurobank Sans" w:cs="Arial"/>
          <w:b/>
          <w:sz w:val="32"/>
          <w:szCs w:val="32"/>
        </w:rPr>
      </w:pPr>
    </w:p>
    <w:p w14:paraId="598AB761" w14:textId="77777777" w:rsidR="00080A36" w:rsidRPr="00335DB0" w:rsidRDefault="00080A36" w:rsidP="00080A36">
      <w:pPr>
        <w:pStyle w:val="Default"/>
        <w:spacing w:line="360" w:lineRule="auto"/>
        <w:jc w:val="center"/>
        <w:rPr>
          <w:rFonts w:cs="Arial"/>
          <w:b/>
          <w:sz w:val="32"/>
          <w:szCs w:val="32"/>
        </w:rPr>
      </w:pPr>
    </w:p>
    <w:p w14:paraId="7BD9BA1E" w14:textId="33FA1636" w:rsidR="00080A36" w:rsidRPr="00094247" w:rsidRDefault="00094247" w:rsidP="00080A36">
      <w:pPr>
        <w:pStyle w:val="FK"/>
        <w:spacing w:line="240" w:lineRule="auto"/>
        <w:jc w:val="center"/>
        <w:rPr>
          <w:rFonts w:ascii="Eurobank Sans" w:eastAsiaTheme="minorHAnsi" w:hAnsi="Eurobank Sans" w:cs="Arial"/>
          <w:b/>
          <w:sz w:val="32"/>
          <w:szCs w:val="32"/>
          <w:bdr w:val="none" w:sz="0" w:space="0" w:color="auto"/>
          <w:lang w:eastAsia="en-US"/>
        </w:rPr>
      </w:pPr>
      <w:r>
        <w:rPr>
          <w:rFonts w:ascii="Eurobank Sans" w:eastAsiaTheme="minorHAnsi" w:hAnsi="Eurobank Sans" w:cs="Arial"/>
          <w:b/>
          <w:sz w:val="32"/>
          <w:szCs w:val="32"/>
          <w:bdr w:val="none" w:sz="0" w:space="0" w:color="auto"/>
          <w:lang w:eastAsia="en-US"/>
        </w:rPr>
        <w:t xml:space="preserve">Τακτική </w:t>
      </w:r>
      <w:r w:rsidR="00EF3D80">
        <w:rPr>
          <w:rFonts w:ascii="Eurobank Sans" w:eastAsiaTheme="minorHAnsi" w:hAnsi="Eurobank Sans" w:cs="Arial"/>
          <w:b/>
          <w:sz w:val="32"/>
          <w:szCs w:val="32"/>
          <w:bdr w:val="none" w:sz="0" w:space="0" w:color="auto"/>
          <w:lang w:eastAsia="en-US"/>
        </w:rPr>
        <w:t xml:space="preserve">Γενική Συνέλευση </w:t>
      </w:r>
    </w:p>
    <w:p w14:paraId="1C32F6F4" w14:textId="148BED48" w:rsidR="00094247" w:rsidRPr="009713E5" w:rsidRDefault="00094247" w:rsidP="00080A36">
      <w:pPr>
        <w:pStyle w:val="FK"/>
        <w:spacing w:line="240" w:lineRule="auto"/>
        <w:jc w:val="center"/>
        <w:rPr>
          <w:rFonts w:ascii="Eurobank Sans" w:hAnsi="Eurobank Sans" w:cs="Arial"/>
          <w:b/>
        </w:rPr>
      </w:pPr>
      <w:r>
        <w:rPr>
          <w:rFonts w:ascii="Eurobank Sans" w:eastAsiaTheme="minorHAnsi" w:hAnsi="Eurobank Sans" w:cs="Arial"/>
          <w:b/>
          <w:sz w:val="32"/>
          <w:szCs w:val="32"/>
          <w:bdr w:val="none" w:sz="0" w:space="0" w:color="auto"/>
          <w:lang w:val="en-US" w:eastAsia="en-US"/>
        </w:rPr>
        <w:t>Eurobank</w:t>
      </w:r>
      <w:r w:rsidRPr="009713E5">
        <w:rPr>
          <w:rFonts w:ascii="Eurobank Sans" w:eastAsiaTheme="minorHAnsi" w:hAnsi="Eurobank Sans" w:cs="Arial"/>
          <w:b/>
          <w:sz w:val="32"/>
          <w:szCs w:val="32"/>
          <w:bdr w:val="none" w:sz="0" w:space="0" w:color="auto"/>
          <w:lang w:eastAsia="en-US"/>
        </w:rPr>
        <w:t xml:space="preserve"> </w:t>
      </w:r>
      <w:r>
        <w:rPr>
          <w:rFonts w:ascii="Eurobank Sans" w:eastAsiaTheme="minorHAnsi" w:hAnsi="Eurobank Sans" w:cs="Arial"/>
          <w:b/>
          <w:sz w:val="32"/>
          <w:szCs w:val="32"/>
          <w:bdr w:val="none" w:sz="0" w:space="0" w:color="auto"/>
          <w:lang w:val="en-US" w:eastAsia="en-US"/>
        </w:rPr>
        <w:t>Holdings</w:t>
      </w:r>
      <w:r w:rsidRPr="009713E5">
        <w:rPr>
          <w:rFonts w:ascii="Eurobank Sans" w:eastAsiaTheme="minorHAnsi" w:hAnsi="Eurobank Sans" w:cs="Arial"/>
          <w:b/>
          <w:sz w:val="32"/>
          <w:szCs w:val="32"/>
          <w:bdr w:val="none" w:sz="0" w:space="0" w:color="auto"/>
          <w:lang w:eastAsia="en-US"/>
        </w:rPr>
        <w:t xml:space="preserve"> </w:t>
      </w:r>
      <w:r>
        <w:rPr>
          <w:rFonts w:ascii="Eurobank Sans" w:eastAsiaTheme="minorHAnsi" w:hAnsi="Eurobank Sans" w:cs="Arial"/>
          <w:b/>
          <w:sz w:val="32"/>
          <w:szCs w:val="32"/>
          <w:bdr w:val="none" w:sz="0" w:space="0" w:color="auto"/>
          <w:lang w:val="en-US" w:eastAsia="en-US"/>
        </w:rPr>
        <w:t>A</w:t>
      </w:r>
      <w:r w:rsidRPr="009713E5">
        <w:rPr>
          <w:rFonts w:ascii="Eurobank Sans" w:eastAsiaTheme="minorHAnsi" w:hAnsi="Eurobank Sans" w:cs="Arial"/>
          <w:b/>
          <w:sz w:val="32"/>
          <w:szCs w:val="32"/>
          <w:bdr w:val="none" w:sz="0" w:space="0" w:color="auto"/>
          <w:lang w:eastAsia="en-US"/>
        </w:rPr>
        <w:t>.</w:t>
      </w:r>
      <w:r>
        <w:rPr>
          <w:rFonts w:ascii="Eurobank Sans" w:eastAsiaTheme="minorHAnsi" w:hAnsi="Eurobank Sans" w:cs="Arial"/>
          <w:b/>
          <w:sz w:val="32"/>
          <w:szCs w:val="32"/>
          <w:bdr w:val="none" w:sz="0" w:space="0" w:color="auto"/>
          <w:lang w:val="en-US" w:eastAsia="en-US"/>
        </w:rPr>
        <w:t>E</w:t>
      </w:r>
      <w:r w:rsidRPr="009713E5">
        <w:rPr>
          <w:rFonts w:ascii="Eurobank Sans" w:eastAsiaTheme="minorHAnsi" w:hAnsi="Eurobank Sans" w:cs="Arial"/>
          <w:b/>
          <w:sz w:val="32"/>
          <w:szCs w:val="32"/>
          <w:bdr w:val="none" w:sz="0" w:space="0" w:color="auto"/>
          <w:lang w:eastAsia="en-US"/>
        </w:rPr>
        <w:t>.</w:t>
      </w:r>
    </w:p>
    <w:p w14:paraId="6AC61D03" w14:textId="77777777" w:rsidR="00080A36" w:rsidRPr="009713E5" w:rsidRDefault="00080A36" w:rsidP="00080A36">
      <w:pPr>
        <w:pStyle w:val="FK"/>
        <w:spacing w:line="240" w:lineRule="auto"/>
        <w:jc w:val="center"/>
        <w:rPr>
          <w:rFonts w:ascii="Eurobank Sans" w:hAnsi="Eurobank Sans" w:cs="Arial"/>
          <w:b/>
        </w:rPr>
      </w:pPr>
    </w:p>
    <w:p w14:paraId="4D53EFB4" w14:textId="77777777" w:rsidR="00080A36" w:rsidRPr="009713E5" w:rsidRDefault="00080A36" w:rsidP="00080A36">
      <w:pPr>
        <w:pStyle w:val="FK"/>
        <w:spacing w:line="240" w:lineRule="auto"/>
        <w:jc w:val="center"/>
        <w:rPr>
          <w:rFonts w:ascii="Eurobank Sans" w:hAnsi="Eurobank Sans" w:cs="Arial"/>
          <w:b/>
        </w:rPr>
      </w:pPr>
    </w:p>
    <w:p w14:paraId="281FB0B9" w14:textId="77777777" w:rsidR="00080A36" w:rsidRPr="009713E5" w:rsidRDefault="00080A36" w:rsidP="00080A36">
      <w:pPr>
        <w:pStyle w:val="FK"/>
        <w:spacing w:line="240" w:lineRule="auto"/>
        <w:rPr>
          <w:rFonts w:ascii="Eurobank Sans" w:hAnsi="Eurobank Sans" w:cs="Arial"/>
          <w:b/>
        </w:rPr>
      </w:pPr>
    </w:p>
    <w:p w14:paraId="62CB64FF" w14:textId="77777777" w:rsidR="00080A36" w:rsidRPr="009713E5" w:rsidRDefault="00080A36" w:rsidP="00080A36">
      <w:pPr>
        <w:pStyle w:val="FK"/>
        <w:spacing w:line="240" w:lineRule="auto"/>
        <w:rPr>
          <w:rFonts w:ascii="Eurobank Sans" w:hAnsi="Eurobank Sans" w:cs="Arial"/>
          <w:b/>
        </w:rPr>
      </w:pPr>
    </w:p>
    <w:p w14:paraId="6D066F23" w14:textId="09932ED3" w:rsidR="00080A36" w:rsidRPr="009713E5" w:rsidRDefault="009713E5" w:rsidP="00080A36">
      <w:pPr>
        <w:pStyle w:val="FK"/>
        <w:spacing w:line="240" w:lineRule="auto"/>
        <w:jc w:val="center"/>
        <w:rPr>
          <w:rFonts w:ascii="Eurobank Sans" w:hAnsi="Eurobank Sans" w:cs="Arial"/>
          <w:b/>
        </w:rPr>
      </w:pPr>
      <w:r>
        <w:rPr>
          <w:rFonts w:ascii="Eurobank Sans" w:hAnsi="Eurobank Sans" w:cs="Arial"/>
          <w:b/>
        </w:rPr>
        <w:t>Τετάρτη</w:t>
      </w:r>
      <w:r w:rsidR="00A45B20">
        <w:rPr>
          <w:rFonts w:ascii="Eurobank Sans" w:hAnsi="Eurobank Sans" w:cs="Arial"/>
          <w:b/>
        </w:rPr>
        <w:t>,</w:t>
      </w:r>
      <w:r w:rsidR="008E4CC2" w:rsidRPr="009713E5">
        <w:rPr>
          <w:rFonts w:ascii="Eurobank Sans" w:hAnsi="Eurobank Sans" w:cs="Arial"/>
          <w:b/>
        </w:rPr>
        <w:t xml:space="preserve"> </w:t>
      </w:r>
      <w:r>
        <w:rPr>
          <w:rFonts w:ascii="Eurobank Sans" w:hAnsi="Eurobank Sans" w:cs="Arial"/>
          <w:b/>
        </w:rPr>
        <w:t>30 Απριλίου</w:t>
      </w:r>
      <w:r w:rsidR="00D70051" w:rsidRPr="009713E5">
        <w:rPr>
          <w:rFonts w:ascii="Eurobank Sans" w:hAnsi="Eurobank Sans" w:cs="Arial"/>
          <w:b/>
        </w:rPr>
        <w:t xml:space="preserve"> </w:t>
      </w:r>
      <w:r w:rsidR="006A5C5A" w:rsidRPr="009713E5">
        <w:rPr>
          <w:rFonts w:ascii="Eurobank Sans" w:hAnsi="Eurobank Sans" w:cs="Arial"/>
          <w:b/>
        </w:rPr>
        <w:t>20</w:t>
      </w:r>
      <w:r w:rsidR="001B605D" w:rsidRPr="009713E5">
        <w:rPr>
          <w:rFonts w:ascii="Eurobank Sans" w:hAnsi="Eurobank Sans" w:cs="Arial"/>
          <w:b/>
        </w:rPr>
        <w:t>2</w:t>
      </w:r>
      <w:r>
        <w:rPr>
          <w:rFonts w:ascii="Eurobank Sans" w:hAnsi="Eurobank Sans" w:cs="Arial"/>
          <w:b/>
        </w:rPr>
        <w:t>5</w:t>
      </w:r>
      <w:r w:rsidR="00080A36" w:rsidRPr="009713E5">
        <w:rPr>
          <w:rFonts w:ascii="Eurobank Sans" w:hAnsi="Eurobank Sans" w:cs="Arial"/>
          <w:b/>
        </w:rPr>
        <w:t xml:space="preserve"> </w:t>
      </w:r>
    </w:p>
    <w:p w14:paraId="0F3F66B4" w14:textId="77777777" w:rsidR="00874EEF" w:rsidRPr="009713E5" w:rsidRDefault="00874EEF" w:rsidP="00874EEF">
      <w:pPr>
        <w:jc w:val="both"/>
        <w:rPr>
          <w:sz w:val="28"/>
          <w:szCs w:val="28"/>
          <w:lang w:val="el-GR"/>
        </w:rPr>
      </w:pPr>
    </w:p>
    <w:p w14:paraId="12652D63" w14:textId="77777777" w:rsidR="00080A36" w:rsidRPr="009713E5" w:rsidRDefault="00080A36" w:rsidP="00874EEF">
      <w:pPr>
        <w:jc w:val="both"/>
        <w:rPr>
          <w:sz w:val="28"/>
          <w:szCs w:val="28"/>
          <w:lang w:val="el-GR"/>
        </w:rPr>
      </w:pPr>
    </w:p>
    <w:p w14:paraId="0FE1CA12" w14:textId="55A34AAF" w:rsidR="007A1944" w:rsidRPr="007A1944" w:rsidRDefault="00335DB0" w:rsidP="00A45B20">
      <w:pPr>
        <w:spacing w:line="360" w:lineRule="auto"/>
        <w:jc w:val="both"/>
        <w:rPr>
          <w:rFonts w:ascii="Arial" w:hAnsi="Arial" w:cs="Arial"/>
          <w:b/>
          <w:bCs/>
          <w:color w:val="000000" w:themeColor="text1"/>
          <w:sz w:val="24"/>
          <w:szCs w:val="24"/>
          <w:lang w:val="el-GR"/>
        </w:rPr>
      </w:pPr>
      <w:r w:rsidRPr="00A45B20">
        <w:rPr>
          <w:rFonts w:ascii="Eurobank Sans" w:hAnsi="Eurobank Sans"/>
          <w:sz w:val="28"/>
          <w:szCs w:val="28"/>
          <w:lang w:val="el-GR"/>
        </w:rPr>
        <w:br w:type="page"/>
      </w:r>
    </w:p>
    <w:p w14:paraId="4E6927A8"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lastRenderedPageBreak/>
        <w:t>Κυρίες και κύριοι Μέτοχοι,</w:t>
      </w:r>
    </w:p>
    <w:p w14:paraId="332324AF"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Η φετινή μας Γενική Συνέλευση λαμβάνει χώρα αρκετά νωρίτερα μέσα στο έτος. Προσαρμοζόμαστε έτσι στις ευρωπαϊκές πρακτικές, και παράλληλα καθίσταται δυνατή η διανομή μερίσματος στους μετόχους μας τρεις μήνες νωρίτερα.</w:t>
      </w:r>
    </w:p>
    <w:p w14:paraId="66432071"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Η φετινή Τακτική Γενική Συνέλευση συμπίπτει επίσης με μια συγκυρία η οποία χαρακτηρίζεται από έντονη αβεβαιότητα, καθώς στις όποιες γεωπολιτικές ανησυχίες που συνεχίζουν να υπάρχουν, προστέθηκε και ένας εμπορικός πόλεμος ενώ ιδιαίτερη ανησυχία προκαλεί και η απειλούμενη άρση των αμυντικών εγγυήσεων των ΗΠΑ προς την Ευρώπη.</w:t>
      </w:r>
    </w:p>
    <w:p w14:paraId="38408B35"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Οι νέες αβεβαιότητες βέβαια φαίνεται πως επηρεάζουν λιγότερο τη χώρα μας, σε σχέση με την υπόλοιπη Ευρώπη, λόγω της διαφορετικής αναπτυξιακής φάσης που βρίσκεται, των σχετικά μικρών εμπορικών σχέσεων με τις ΗΠΑ καθώς και τις διαφορετικές αμυντικές ανάγκες της.</w:t>
      </w:r>
    </w:p>
    <w:p w14:paraId="1F294945"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Παρά τις εστίες αβεβαιότητας, το 2024 η παγκόσμια οικονομία παρουσίασε αξιόλογη αναπτυξιακή δυναμική, με το ρυθμό μεγέθυνσης να διαμορφώνεται στο 3,3%, ενώ η συνεχιζόμενη πτώση του πληθωρισμού και η στενότητα που χαρακτήρισε την αγορά εργασίας, συνέβαλαν στη διατήρηση του διαθέσιμου εισοδήματος των νοικοκυριών σε υψηλά επίπεδα.</w:t>
      </w:r>
    </w:p>
    <w:p w14:paraId="0DECADD1"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Για το 2025, παραμένει ασαφές σε ποιο βαθμό η αυξημένη αβεβαιότητα θα επηρεάσει τελικά την πορεία της παγκόσμιας οικονομίας, καθώς σημαντικά ερωτήματα για τον εμπορικό πόλεμο που ξεκίνησε παραμένουν αναπάντητα. Αυτή τη στιγμή πάντως, ο ρυθμός μεγέθυνσης για τη διεθνή οικονομία εκτιμάται στο 2,8% για το 2025, χαμηλότερα δηλαδή από την προηγούμενη χρονιά, με μεγαλύτερες επιπτώσεις για τις ΗΠΑ και μικρότερες για την Ευρωπαϊκή Ένωση. Στην Ευρώπη, θετικές αναμένεται να είναι οι επιδράσεις από το νέο χρηματοδοτικό σχέδιο της Κομισιόν για τον «</w:t>
      </w:r>
      <w:proofErr w:type="spellStart"/>
      <w:r w:rsidRPr="003F3E71">
        <w:rPr>
          <w:rFonts w:eastAsia="Calibri" w:cstheme="minorHAnsi"/>
          <w:sz w:val="24"/>
          <w:szCs w:val="24"/>
          <w:lang w:val="el-GR"/>
        </w:rPr>
        <w:t>επανεξοπλισμό</w:t>
      </w:r>
      <w:proofErr w:type="spellEnd"/>
      <w:r w:rsidRPr="003F3E71">
        <w:rPr>
          <w:rFonts w:eastAsia="Calibri" w:cstheme="minorHAnsi"/>
          <w:sz w:val="24"/>
          <w:szCs w:val="24"/>
          <w:lang w:val="el-GR"/>
        </w:rPr>
        <w:t xml:space="preserve">» της, καθώς και την αναμενόμενη σημαντική αύξηση των δαπανών για υποδομές στη Γερμανία, με έμμεσες θετικές επιδράσεις για την Ελλάδα. </w:t>
      </w:r>
    </w:p>
    <w:p w14:paraId="4BD4E4EB" w14:textId="77777777" w:rsidR="009713E5" w:rsidRPr="003F3E71" w:rsidRDefault="009713E5" w:rsidP="009713E5">
      <w:pPr>
        <w:spacing w:line="360" w:lineRule="auto"/>
        <w:jc w:val="both"/>
        <w:rPr>
          <w:rFonts w:eastAsia="Calibri" w:cstheme="minorHAnsi"/>
          <w:b/>
          <w:bCs/>
          <w:sz w:val="24"/>
          <w:szCs w:val="24"/>
          <w:lang w:val="el-GR"/>
        </w:rPr>
      </w:pPr>
      <w:r w:rsidRPr="003F3E71">
        <w:rPr>
          <w:rFonts w:eastAsia="Calibri" w:cstheme="minorHAnsi"/>
          <w:sz w:val="24"/>
          <w:szCs w:val="24"/>
          <w:lang w:val="el-GR"/>
        </w:rPr>
        <w:lastRenderedPageBreak/>
        <w:t xml:space="preserve">Εν μέσω γεωπολιτικών εντάσεων, πολιτικών ανακατατάξεων και διάχυτης αβεβαιότητας, η ελληνική οικονομία παρουσίασε ανθεκτικότητα και το 2024, ενώ συνέχισε να </w:t>
      </w:r>
      <w:proofErr w:type="spellStart"/>
      <w:r w:rsidRPr="003F3E71">
        <w:rPr>
          <w:rFonts w:eastAsia="Calibri" w:cstheme="minorHAnsi"/>
          <w:sz w:val="24"/>
          <w:szCs w:val="24"/>
          <w:lang w:val="el-GR"/>
        </w:rPr>
        <w:t>υπεραποδίδει</w:t>
      </w:r>
      <w:proofErr w:type="spellEnd"/>
      <w:r w:rsidRPr="003F3E71">
        <w:rPr>
          <w:rFonts w:eastAsia="Calibri" w:cstheme="minorHAnsi"/>
          <w:sz w:val="24"/>
          <w:szCs w:val="24"/>
          <w:lang w:val="el-GR"/>
        </w:rPr>
        <w:t xml:space="preserve"> συγκριτικά με την Ευρώπη για 4</w:t>
      </w:r>
      <w:r w:rsidRPr="003F3E71">
        <w:rPr>
          <w:rFonts w:eastAsia="Calibri" w:cstheme="minorHAnsi"/>
          <w:sz w:val="24"/>
          <w:szCs w:val="24"/>
          <w:vertAlign w:val="superscript"/>
          <w:lang w:val="el-GR"/>
        </w:rPr>
        <w:t>ο</w:t>
      </w:r>
      <w:r w:rsidRPr="003F3E71">
        <w:rPr>
          <w:rFonts w:eastAsia="Calibri" w:cstheme="minorHAnsi"/>
          <w:sz w:val="24"/>
          <w:szCs w:val="24"/>
          <w:lang w:val="el-GR"/>
        </w:rPr>
        <w:t xml:space="preserve"> έτος στη σειρά. Η ελληνική οικονομία επωφελείται από τους πόρους του Ταμείου Ανάκαμψης και Ανθεκτικότητας (ΤΑΑ), από την θετική πιστωτική επέκταση των εγχώριων τραπεζών προς τον ιδιωτικό τομέα της οικονομίας, από την εξωτερική ζήτηση για τουριστικές υπηρεσίες και από την εδραίωση κλίματος αξιοπιστίας και σταθερότητάς στο δημοσιονομικό και το χρηματοπιστωτικό</w:t>
      </w:r>
      <w:r w:rsidRPr="003F3E71" w:rsidDel="39E1C4EA">
        <w:rPr>
          <w:rFonts w:eastAsia="Calibri" w:cstheme="minorHAnsi"/>
          <w:sz w:val="24"/>
          <w:szCs w:val="24"/>
          <w:lang w:val="el-GR"/>
        </w:rPr>
        <w:t xml:space="preserve"> </w:t>
      </w:r>
      <w:r w:rsidRPr="003F3E71">
        <w:rPr>
          <w:rFonts w:eastAsia="Calibri" w:cstheme="minorHAnsi"/>
          <w:sz w:val="24"/>
          <w:szCs w:val="24"/>
          <w:lang w:val="el-GR"/>
        </w:rPr>
        <w:t xml:space="preserve">επίπεδο αντίστοιχα. </w:t>
      </w:r>
    </w:p>
    <w:p w14:paraId="415EFBD7" w14:textId="77777777" w:rsidR="009713E5" w:rsidRPr="003F3E71" w:rsidRDefault="009713E5" w:rsidP="009713E5">
      <w:pPr>
        <w:spacing w:after="120" w:line="360" w:lineRule="auto"/>
        <w:jc w:val="both"/>
        <w:rPr>
          <w:rFonts w:cstheme="minorHAnsi"/>
          <w:sz w:val="24"/>
          <w:szCs w:val="24"/>
          <w:lang w:val="el-GR"/>
        </w:rPr>
      </w:pPr>
      <w:r w:rsidRPr="003F3E71">
        <w:rPr>
          <w:rFonts w:eastAsia="Calibri" w:cstheme="minorHAnsi"/>
          <w:sz w:val="24"/>
          <w:szCs w:val="24"/>
          <w:lang w:val="el-GR"/>
        </w:rPr>
        <w:t xml:space="preserve">Το 2024 ο πραγματικός ρυθμός μεγέθυνσης στην Ελλάδα παρέμεινε σταθερός στο 2,3%, έναντι 0,9%  στην Ευρωζώνη. Μετά την αποκλιμάκωσή του από τα υψηλά 30ετίας τον Σεπ-22 (12,1%), ο πληθωρισμός στην Ελλάδα τους τελευταίους 18 μήνες κυμαίνεται γύρω από έναν μέσο όρο της τάξης του 3,1%, υψηλότερο αυτού της Ευρωζώνης, με τον τομέα των υπηρεσιών να «φρενάρει» προς το παρόν την περαιτέρω αποκλιμάκωση του γενικού δείκτη τιμών, καθώς οι αυξήσεις κόστους από διαταραχές κυρίως στην εφοδιαστική αλυσίδα και τις αγορές ενέργειας να έχουν πλέον διαχυθεί ευρύτερα στην οικονομία, σηματοδοτώντας τη επιμονή των πληθωριστικών πιέσεων, τουλάχιστον στο εγγύς μέλλον. </w:t>
      </w:r>
      <w:r w:rsidRPr="003F3E71">
        <w:rPr>
          <w:rFonts w:cstheme="minorHAnsi"/>
          <w:sz w:val="24"/>
          <w:szCs w:val="24"/>
          <w:lang w:val="el-GR"/>
        </w:rPr>
        <w:t>Το  ποσοστό ανεργίας περιορίστηκε το 2024 στο 10,1%, και αφορά κυρίως ανεργία διαρθρωτικής μορφής.</w:t>
      </w:r>
    </w:p>
    <w:p w14:paraId="73F0333B" w14:textId="77777777" w:rsidR="009713E5" w:rsidRPr="003F3E71" w:rsidRDefault="009713E5" w:rsidP="009713E5">
      <w:pPr>
        <w:spacing w:after="120" w:line="360" w:lineRule="auto"/>
        <w:jc w:val="both"/>
        <w:rPr>
          <w:rFonts w:eastAsia="Calibri" w:cstheme="minorHAnsi"/>
          <w:sz w:val="24"/>
          <w:szCs w:val="24"/>
          <w:lang w:val="el-GR"/>
        </w:rPr>
      </w:pPr>
      <w:r w:rsidRPr="003F3E71">
        <w:rPr>
          <w:rFonts w:cstheme="minorHAnsi"/>
          <w:sz w:val="24"/>
          <w:szCs w:val="24"/>
          <w:lang w:val="el-GR"/>
        </w:rPr>
        <w:t>Σημαντικό επίτευγμα, ιδιαίτερα για μια χώρα που κάποτε ήταν «πρωταθλήτρια Ευρώπης» στα δημοσιονομικά ελλείμματα, αποτελεί η επίτευξη, το 2024, πρωτογενούς δημοσιονομικού πλεονάσματος 4,8% και ολικού δημοσιονομικού πλεονάσματος στο 1,3% του ΑΕΠ. Ο</w:t>
      </w:r>
      <w:r w:rsidRPr="003F3E71">
        <w:rPr>
          <w:rFonts w:eastAsia="Calibri" w:cstheme="minorHAnsi"/>
          <w:sz w:val="24"/>
          <w:szCs w:val="24"/>
          <w:lang w:val="el-GR"/>
        </w:rPr>
        <w:t xml:space="preserve"> λόγος χρέους προς ΑΕΠ εκτιμάται στο 153.6% του ΑΕΠ το 2024 από 163,9% το 2023 και κορυφή του 209,4% το 2020, ενώ διαθέτει εξαιρετικά ποιοτικά χαρακτηριστικά. Η αποκλιμάκωση αποδίδεται στον συνδυασμό της  αύξησης του ονομαστικού ΑΕΠ, του χαμηλού και σταθερού επιτοκίου στο χρέος προς τον επίσημο τομέα, και των πρωτογενών δημοσιονομικών πλεονασμάτων. </w:t>
      </w:r>
    </w:p>
    <w:p w14:paraId="60EA4D40" w14:textId="77777777" w:rsidR="009713E5" w:rsidRPr="003F3E71" w:rsidRDefault="009713E5" w:rsidP="009713E5">
      <w:pPr>
        <w:spacing w:after="120" w:line="360" w:lineRule="auto"/>
        <w:jc w:val="both"/>
        <w:rPr>
          <w:rFonts w:eastAsia="Calibri" w:cstheme="minorHAnsi"/>
          <w:sz w:val="24"/>
          <w:szCs w:val="24"/>
          <w:lang w:val="el-GR"/>
        </w:rPr>
      </w:pPr>
      <w:r w:rsidRPr="003F3E71">
        <w:rPr>
          <w:rFonts w:eastAsia="Calibri" w:cstheme="minorHAnsi"/>
          <w:sz w:val="24"/>
          <w:szCs w:val="24"/>
          <w:lang w:val="el-GR"/>
        </w:rPr>
        <w:t xml:space="preserve">Οι δημοσιονομικές εξελίξεις αλλά και οι σχετικά γρήγοροι ρυθμοί ανάπτυξης οδήγησαν σε αναβαθμίσεις της πιστοληπτικής ικανότητας της χώρας, με δύο από τους σημαντικότερους διεθνείς Οίκους Αξιολόγησης να τοποθετούν την Ελληνική </w:t>
      </w:r>
      <w:r w:rsidRPr="003F3E71">
        <w:rPr>
          <w:rFonts w:eastAsia="Calibri" w:cstheme="minorHAnsi"/>
          <w:sz w:val="24"/>
          <w:szCs w:val="24"/>
          <w:lang w:val="el-GR"/>
        </w:rPr>
        <w:lastRenderedPageBreak/>
        <w:t>Δημοκρατία μια βαθμίδα πάνω από την επενδυτική και δύο από αυτούς στην επενδυτική βαθμίδα. Οι εξελίξεις αυτές οδήγησαν σε μείωση του περιθωρίου απόδοσης μεταξύ των 10ετών ελληνικών και γερμανικών ομολόγων σε κάτω από τις 100 μονάδες βάσης πρόσφατα και σε αποδόσεις των ελληνικών ομολόγων χαμηλότερες αυτών των ΗΠΑ και της Ιταλίας.</w:t>
      </w:r>
    </w:p>
    <w:p w14:paraId="17A282F8" w14:textId="77777777" w:rsidR="009713E5" w:rsidRPr="003F3E71" w:rsidRDefault="009713E5" w:rsidP="009713E5">
      <w:pPr>
        <w:spacing w:after="120" w:line="360" w:lineRule="auto"/>
        <w:jc w:val="both"/>
        <w:rPr>
          <w:rFonts w:eastAsia="Calibri" w:cstheme="minorHAnsi"/>
          <w:sz w:val="24"/>
          <w:szCs w:val="24"/>
          <w:lang w:val="el-GR"/>
        </w:rPr>
      </w:pPr>
      <w:r w:rsidRPr="003F3E71">
        <w:rPr>
          <w:rFonts w:eastAsia="Calibri" w:cstheme="minorHAnsi"/>
          <w:sz w:val="24"/>
          <w:szCs w:val="24"/>
          <w:lang w:val="el-GR"/>
        </w:rPr>
        <w:t xml:space="preserve">Για το 2025 η Ευρωπαϊκή Επιτροπή και το Διεθνές Νομισματικό Ταμείο προβλέπουν πως η Ελλάδα θα συνεχίσει να μεγεθύνεται με ρυθμούς της τάξης του 2%-2,5% τα επόμενα χρόνια, λαμβάνοντας ώθηση από την κατανάλωση των νοικοκυριών και τις –χρηματοδοτούμενες από το ΤΑΑ– επενδύσεις. </w:t>
      </w:r>
    </w:p>
    <w:p w14:paraId="50871B17" w14:textId="77777777" w:rsidR="009713E5" w:rsidRPr="003F3E71" w:rsidRDefault="009713E5" w:rsidP="009713E5">
      <w:pPr>
        <w:spacing w:after="120" w:line="360" w:lineRule="auto"/>
        <w:jc w:val="both"/>
        <w:rPr>
          <w:rFonts w:eastAsia="Calibri" w:cstheme="minorHAnsi"/>
          <w:sz w:val="24"/>
          <w:szCs w:val="24"/>
          <w:lang w:val="el-GR"/>
        </w:rPr>
      </w:pPr>
      <w:r w:rsidRPr="003F3E71">
        <w:rPr>
          <w:rFonts w:eastAsia="Calibri" w:cstheme="minorHAnsi"/>
          <w:sz w:val="24"/>
          <w:szCs w:val="24"/>
          <w:lang w:val="el-GR"/>
        </w:rPr>
        <w:t>Σημαντικό εγχώριο κίνδυνο, όμως, συνεχίζει να αποτελεί το μέγεθος του ελλείμματος του Ισοζυγίου Τρεχουσών Συναλλαγών (6,4% του ΑΕΠ το 2024). Η διατήρησή του σε υψηλά επίπεδα αποτελεί ένδειξη ότι, καθώς η οικονομία εξέρχεται από τη σχεδόν δεκαετή κρίση χρέους, τα υψηλά ελλείμματα του ΙΤΣ έχουν αρχίσει να καθίστανται εκ νέου εγγενές χαρακτηριστικό του αναπτυξιακού υποδείγματος της χώρας.</w:t>
      </w:r>
    </w:p>
    <w:p w14:paraId="6A2727A1"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 xml:space="preserve">Γενικά, οι προοπτικές της ελληνικής οικονομίας παραμένουν θετικές, υφίστανται όμως  καθοδικοί κίνδυνοι όπως: το ασθενές εξωτερικό περιβάλλον και αβεβαιότητα, </w:t>
      </w:r>
      <w:proofErr w:type="spellStart"/>
      <w:r w:rsidRPr="003F3E71">
        <w:rPr>
          <w:rFonts w:eastAsia="Calibri" w:cstheme="minorHAnsi"/>
          <w:sz w:val="24"/>
          <w:szCs w:val="24"/>
          <w:lang w:val="el-GR"/>
        </w:rPr>
        <w:t>γεωστρατηγικές</w:t>
      </w:r>
      <w:proofErr w:type="spellEnd"/>
      <w:r w:rsidRPr="003F3E71">
        <w:rPr>
          <w:rFonts w:eastAsia="Calibri" w:cstheme="minorHAnsi"/>
          <w:sz w:val="24"/>
          <w:szCs w:val="24"/>
          <w:lang w:val="el-GR"/>
        </w:rPr>
        <w:t xml:space="preserve"> αναταράξεις, ένα υπόδειγμα ανάπτυξης που βασίζεται υπερβολικά στην κατανάλωση και τον τουρισμό, χαμηλό επίπεδο γνώσης στο ελληνικό </w:t>
      </w:r>
      <w:proofErr w:type="spellStart"/>
      <w:r w:rsidRPr="003F3E71">
        <w:rPr>
          <w:rFonts w:eastAsia="Calibri" w:cstheme="minorHAnsi"/>
          <w:sz w:val="24"/>
          <w:szCs w:val="24"/>
          <w:lang w:val="el-GR"/>
        </w:rPr>
        <w:t>προϊοντικό</w:t>
      </w:r>
      <w:proofErr w:type="spellEnd"/>
      <w:r w:rsidRPr="003F3E71">
        <w:rPr>
          <w:rFonts w:eastAsia="Calibri" w:cstheme="minorHAnsi"/>
          <w:sz w:val="24"/>
          <w:szCs w:val="24"/>
          <w:lang w:val="el-GR"/>
        </w:rPr>
        <w:t xml:space="preserve"> μείγμα, διαρθρωτικές αδυναμίες, καθυστερήσεις στην εφαρμογή διαρθρωτικών μεταρρυθμίσεων για την αύξηση της αποτελεσματικότητας του Κράτους και περιβαλλοντικοί κίνδυνοι. Απαιτούνται </w:t>
      </w:r>
      <w:proofErr w:type="spellStart"/>
      <w:r w:rsidRPr="003F3E71">
        <w:rPr>
          <w:rFonts w:eastAsia="Calibri" w:cstheme="minorHAnsi"/>
          <w:sz w:val="24"/>
          <w:szCs w:val="24"/>
          <w:lang w:val="el-GR"/>
        </w:rPr>
        <w:t>στοχευμένες</w:t>
      </w:r>
      <w:proofErr w:type="spellEnd"/>
      <w:r w:rsidRPr="003F3E71">
        <w:rPr>
          <w:rFonts w:eastAsia="Calibri" w:cstheme="minorHAnsi"/>
          <w:sz w:val="24"/>
          <w:szCs w:val="24"/>
          <w:lang w:val="el-GR"/>
        </w:rPr>
        <w:t xml:space="preserve"> επενδύσεις, θεσμική ενδυνάμωση, φορολογική συμμόρφωση και συστηματική και φιλόδοξη υλοποίηση μεταρρυθμίσεων για διατήρηση της αναπτυξιακής πορείας στο μακροχρόνιο διάστημα.</w:t>
      </w:r>
    </w:p>
    <w:p w14:paraId="7B28495D" w14:textId="77777777" w:rsidR="009713E5" w:rsidRPr="003F3E71" w:rsidRDefault="009713E5" w:rsidP="009713E5">
      <w:pPr>
        <w:spacing w:after="120" w:line="360" w:lineRule="auto"/>
        <w:jc w:val="both"/>
        <w:rPr>
          <w:rFonts w:eastAsia="Calibri" w:cstheme="minorHAnsi"/>
          <w:sz w:val="24"/>
          <w:szCs w:val="24"/>
          <w:lang w:val="el-GR"/>
        </w:rPr>
      </w:pPr>
      <w:r w:rsidRPr="003F3E71">
        <w:rPr>
          <w:rFonts w:eastAsia="Calibri" w:cstheme="minorHAnsi"/>
          <w:sz w:val="24"/>
          <w:szCs w:val="24"/>
          <w:lang w:val="el-GR"/>
        </w:rPr>
        <w:t xml:space="preserve">Θετικές παραμένουν οι εξελίξεις και προοπτικές και στις δύο άλλες χώρες της Νοτιοανατολικής Ευρώπης στις οποίες δραστηριοποιείται η τράπεζά μας. Πιο συγκεκριμένα, στην Κύπρο η άνοδος του ΑΕΠ επιταχύνθηκε στο 3,4% το 2024, από 2,6% το 2023, ενώ τον Δεκέμβριο του 2024, η </w:t>
      </w:r>
      <w:r w:rsidRPr="003F3E71">
        <w:rPr>
          <w:rFonts w:eastAsia="Calibri" w:cstheme="minorHAnsi"/>
          <w:sz w:val="24"/>
          <w:szCs w:val="24"/>
        </w:rPr>
        <w:t>Fitch</w:t>
      </w:r>
      <w:r w:rsidRPr="003F3E71">
        <w:rPr>
          <w:rFonts w:eastAsia="Calibri" w:cstheme="minorHAnsi"/>
          <w:sz w:val="24"/>
          <w:szCs w:val="24"/>
          <w:lang w:val="el-GR"/>
        </w:rPr>
        <w:t xml:space="preserve"> </w:t>
      </w:r>
      <w:r w:rsidRPr="003F3E71">
        <w:rPr>
          <w:rFonts w:eastAsia="Calibri" w:cstheme="minorHAnsi"/>
          <w:sz w:val="24"/>
          <w:szCs w:val="24"/>
        </w:rPr>
        <w:t>Ratings</w:t>
      </w:r>
      <w:r w:rsidRPr="003F3E71">
        <w:rPr>
          <w:rFonts w:eastAsia="Calibri" w:cstheme="minorHAnsi"/>
          <w:sz w:val="24"/>
          <w:szCs w:val="24"/>
          <w:lang w:val="el-GR"/>
        </w:rPr>
        <w:t xml:space="preserve"> και η </w:t>
      </w:r>
      <w:r w:rsidRPr="003F3E71">
        <w:rPr>
          <w:rFonts w:eastAsia="Calibri" w:cstheme="minorHAnsi"/>
          <w:sz w:val="24"/>
          <w:szCs w:val="24"/>
        </w:rPr>
        <w:t>S</w:t>
      </w:r>
      <w:r w:rsidRPr="003F3E71">
        <w:rPr>
          <w:rFonts w:eastAsia="Calibri" w:cstheme="minorHAnsi"/>
          <w:sz w:val="24"/>
          <w:szCs w:val="24"/>
          <w:lang w:val="el-GR"/>
        </w:rPr>
        <w:t>&amp;</w:t>
      </w:r>
      <w:r w:rsidRPr="003F3E71">
        <w:rPr>
          <w:rFonts w:eastAsia="Calibri" w:cstheme="minorHAnsi"/>
          <w:sz w:val="24"/>
          <w:szCs w:val="24"/>
        </w:rPr>
        <w:t>P</w:t>
      </w:r>
      <w:r w:rsidRPr="003F3E71">
        <w:rPr>
          <w:rFonts w:eastAsia="Calibri" w:cstheme="minorHAnsi"/>
          <w:sz w:val="24"/>
          <w:szCs w:val="24"/>
          <w:lang w:val="el-GR"/>
        </w:rPr>
        <w:t xml:space="preserve"> </w:t>
      </w:r>
      <w:r w:rsidRPr="003F3E71">
        <w:rPr>
          <w:rFonts w:eastAsia="Calibri" w:cstheme="minorHAnsi"/>
          <w:sz w:val="24"/>
          <w:szCs w:val="24"/>
        </w:rPr>
        <w:t>Global</w:t>
      </w:r>
      <w:r w:rsidRPr="003F3E71">
        <w:rPr>
          <w:rFonts w:eastAsia="Calibri" w:cstheme="minorHAnsi"/>
          <w:sz w:val="24"/>
          <w:szCs w:val="24"/>
          <w:lang w:val="el-GR"/>
        </w:rPr>
        <w:t xml:space="preserve"> αναβάθμισαν την πιστοληπτική αξιολόγηση της Κύπρου σε </w:t>
      </w:r>
      <w:r w:rsidRPr="003F3E71">
        <w:rPr>
          <w:rFonts w:eastAsia="Calibri" w:cstheme="minorHAnsi"/>
          <w:sz w:val="24"/>
          <w:szCs w:val="24"/>
        </w:rPr>
        <w:t>A</w:t>
      </w:r>
      <w:r w:rsidRPr="003F3E71">
        <w:rPr>
          <w:rFonts w:eastAsia="Calibri" w:cstheme="minorHAnsi"/>
          <w:sz w:val="24"/>
          <w:szCs w:val="24"/>
          <w:lang w:val="el-GR"/>
        </w:rPr>
        <w:t xml:space="preserve">- από </w:t>
      </w:r>
      <w:r w:rsidRPr="003F3E71">
        <w:rPr>
          <w:rFonts w:eastAsia="Calibri" w:cstheme="minorHAnsi"/>
          <w:sz w:val="24"/>
          <w:szCs w:val="24"/>
        </w:rPr>
        <w:t>BBB</w:t>
      </w:r>
      <w:r w:rsidRPr="003F3E71">
        <w:rPr>
          <w:rFonts w:eastAsia="Calibri" w:cstheme="minorHAnsi"/>
          <w:sz w:val="24"/>
          <w:szCs w:val="24"/>
          <w:lang w:val="el-GR"/>
        </w:rPr>
        <w:t xml:space="preserve">+. </w:t>
      </w:r>
    </w:p>
    <w:p w14:paraId="53937AFB" w14:textId="77777777" w:rsidR="009713E5" w:rsidRPr="003F3E71" w:rsidRDefault="009713E5" w:rsidP="009713E5">
      <w:pPr>
        <w:spacing w:after="120" w:line="360" w:lineRule="auto"/>
        <w:jc w:val="both"/>
        <w:rPr>
          <w:rFonts w:eastAsia="Calibri" w:cstheme="minorHAnsi"/>
          <w:sz w:val="24"/>
          <w:szCs w:val="24"/>
          <w:lang w:val="el-GR"/>
        </w:rPr>
      </w:pPr>
      <w:r w:rsidRPr="003F3E71">
        <w:rPr>
          <w:rFonts w:eastAsia="Calibri" w:cstheme="minorHAnsi"/>
          <w:sz w:val="24"/>
          <w:szCs w:val="24"/>
          <w:lang w:val="el-GR"/>
        </w:rPr>
        <w:lastRenderedPageBreak/>
        <w:t>Στη Βουλγαρία, η οικονομία της αναπτύχθηκε με ρυθμό 2,8% το 2024, ταχύτερο του 1,9% την προηγούμενη χρονιά. Σημαντική εξέλιξη αποτελεί η συνέχιση του αποπληθωρισμού το 2024 με ταχύτερο ρυθμό, καθώς ο μέσος πληθωρισμός διαμορφώθηκε στο 2,6%, από 8,6% το 2023. Αυτή η εξέλιξη έφερε τη Βουλγαρία σε πολύ μικρή απόσταση από την εκπλήρωση και του μοναδικού εκκρεμούς κριτηρίου για την είσοδο της στην Ευρωζώνη, και αυξάνει πολύ την πιθανότητα να είναι η επόμενη χώρα που πολύ σύντομα θα ενταχθεί σε αυτή, επιτυγχάνοντας το σημαντικότερο στόχο της χώρας τουλάχιστον την τελευταία δεκαετία.</w:t>
      </w:r>
    </w:p>
    <w:p w14:paraId="5BE1D54F" w14:textId="77777777" w:rsidR="009713E5" w:rsidRPr="003F3E71" w:rsidRDefault="009713E5" w:rsidP="009713E5">
      <w:pPr>
        <w:spacing w:line="360" w:lineRule="auto"/>
        <w:jc w:val="both"/>
        <w:rPr>
          <w:rFonts w:eastAsia="Calibri" w:cstheme="minorHAnsi"/>
          <w:sz w:val="24"/>
          <w:szCs w:val="24"/>
          <w:lang w:val="el-GR"/>
        </w:rPr>
      </w:pPr>
    </w:p>
    <w:p w14:paraId="01C127A5"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Κυρίες και κύριοι Μέτοχοι,</w:t>
      </w:r>
    </w:p>
    <w:p w14:paraId="6A1AA6A7"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Μέσα σε ένα τέτοιο διεθνές και μακροοικονομικό πλαίσιο, η θετική πορεία των ελληνικών τραπεζών συνεχίστηκε και το 2024 και είναι σε ισχυρότερη θέση σε σχέση με το παρελθόν έναντι πιθανών γεωπολιτικών αναταράξεων καθώς και των πιθανών επιπτώσεων από την επιβολή δασμών από την Αμερική. Κατά τη διάρκεια του 2024 έγινε περαιτέρω </w:t>
      </w:r>
      <w:proofErr w:type="spellStart"/>
      <w:r w:rsidRPr="003F3E71">
        <w:rPr>
          <w:rFonts w:cstheme="minorHAnsi"/>
          <w:sz w:val="24"/>
          <w:szCs w:val="24"/>
          <w:lang w:val="el-GR"/>
        </w:rPr>
        <w:t>αποεπένδυση</w:t>
      </w:r>
      <w:proofErr w:type="spellEnd"/>
      <w:r w:rsidRPr="003F3E71">
        <w:rPr>
          <w:rFonts w:cstheme="minorHAnsi"/>
          <w:sz w:val="24"/>
          <w:szCs w:val="24"/>
          <w:lang w:val="el-GR"/>
        </w:rPr>
        <w:t xml:space="preserve"> του Ταμείου Χρηματοπιστωτικής Σταθερότητας (ΤΧΣ) από τις συστημικές τράπεζες, σηματοδοτώντας τη μετάβαση στην κανονικότητα.</w:t>
      </w:r>
    </w:p>
    <w:p w14:paraId="1B7839FA"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Το 2024 η συνολική χρηματοδότηση του ιδιωτικού τομέα αυξήθηκε κατά 9% σχεδόν, με την πιστωτική επέκταση να είναι πολλαπλάσια της ευρωζώνης, ενώ η  επιχειρηματική πίστη αυξήθηκε κατά 13,8%, ωθούμενη και από τους πόρους του Μηχανισμού Ανάκαμψης και Ανθεκτικότητας (</w:t>
      </w:r>
      <w:r w:rsidRPr="003F3E71">
        <w:rPr>
          <w:rFonts w:cstheme="minorHAnsi"/>
          <w:sz w:val="24"/>
          <w:szCs w:val="24"/>
        </w:rPr>
        <w:t>RRF</w:t>
      </w:r>
      <w:r w:rsidRPr="003F3E71">
        <w:rPr>
          <w:rFonts w:cstheme="minorHAnsi"/>
          <w:sz w:val="24"/>
          <w:szCs w:val="24"/>
          <w:lang w:val="el-GR"/>
        </w:rPr>
        <w:t>), της Ευρωπαϊκής Τράπεζας Επενδύσεων (</w:t>
      </w:r>
      <w:proofErr w:type="spellStart"/>
      <w:r w:rsidRPr="003F3E71">
        <w:rPr>
          <w:rFonts w:cstheme="minorHAnsi"/>
          <w:sz w:val="24"/>
          <w:szCs w:val="24"/>
          <w:lang w:val="el-GR"/>
        </w:rPr>
        <w:t>ΕΤΕπ</w:t>
      </w:r>
      <w:proofErr w:type="spellEnd"/>
      <w:r w:rsidRPr="003F3E71">
        <w:rPr>
          <w:rFonts w:cstheme="minorHAnsi"/>
          <w:sz w:val="24"/>
          <w:szCs w:val="24"/>
          <w:lang w:val="el-GR"/>
        </w:rPr>
        <w:t>) και της Ελληνικής Αναπτυξιακής Τράπεζας (ΕΑΤ).</w:t>
      </w:r>
    </w:p>
    <w:p w14:paraId="6E54E61D"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Η ρευστότητα του ελληνικού τραπεζικού συστήματος παραμένει ισχυρή και βελτιώθηκε περαιτέρω, με τους σχετικούς δείκτες ρευστότητας να είναι καλύτεροι του μέσου όρου της Ευρωζώνης. Οι καταθέσεις του ιδιωτικού τομέα το 2024 αυξήθηκαν κατά 4,5% σε σχέση με το τέλος του 2023 και ανήλθαν σε 203,8 δισ. Ευρώ, ενώ ο λόγος Δάνεια προς καταθέσεις ανήλθε σε 67% το Δεκέμβριο του 2024, χαμηλότερος κατά 23 ποσοστιαίες μονάδες από το μέσο όρο των τραπεζών της Ευρωζώνης. </w:t>
      </w:r>
    </w:p>
    <w:p w14:paraId="4A0CCC83"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lastRenderedPageBreak/>
        <w:t>Οι τράπεζες ενίσχυσαν σημαντικά την οργανική κερδοφορία τους, με τα καθαρά κέρδη να ανέρχονται σε 4,4 δισ. Ευρώ, έναντι 3,8 δισ. Ευρώ το 2023, αυξημένα κατά 14% περίπου. Θετικά συνέβαλε η αύξηση των καθαρών εσόδων από τόκους, ως αποτέλεσμα της αύξησης των βασικών επιτοκίων από την ΕΚΤ. Ο δείκτης αποδοτικότητας ιδίων κεφαλαίων (</w:t>
      </w:r>
      <w:proofErr w:type="spellStart"/>
      <w:r w:rsidRPr="003F3E71">
        <w:rPr>
          <w:rFonts w:cstheme="minorHAnsi"/>
          <w:sz w:val="24"/>
          <w:szCs w:val="24"/>
        </w:rPr>
        <w:t>RoE</w:t>
      </w:r>
      <w:proofErr w:type="spellEnd"/>
      <w:r w:rsidRPr="003F3E71">
        <w:rPr>
          <w:rFonts w:cstheme="minorHAnsi"/>
          <w:sz w:val="24"/>
          <w:szCs w:val="24"/>
          <w:lang w:val="el-GR"/>
        </w:rPr>
        <w:t xml:space="preserve">) διαμορφώθηκε το 2024 σε 12,2%, σε σύγκριση με 12,0% το 2023, και είναι ψηλότερος από τον ευρωπαϊκό μέσο όρο [9,5%].  </w:t>
      </w:r>
    </w:p>
    <w:p w14:paraId="680E9FAB"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Παράλληλα οι τράπεζες εξυγίαναν τους ισολογισμούς τους και ο λόγος των Μη Εξυπηρετούμενων Δανείων (ΜΕΔ) προς δάνεια για τις ελληνικές τράπεζες υποχώρησε σε 3,8% το 2024, από 6,7% το 2023, φθάνοντας στο χαμηλότερο επίπεδο από την είσοδο της Ελλάδος την ευρωζώνη. Περαιτέρω, τα αυξημένα κέρδη προ προβλέψεων επέτρεψαν την διατήρηση των επίπεδων κάλυψης των εν λόγω δανείων σε πολύ υψηλά επίπεδα, περιορίζοντας σημαντικά τον πιστωτικό κίνδυνο στους ισολογισμούς τους. </w:t>
      </w:r>
    </w:p>
    <w:p w14:paraId="14105A69"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Η κεφαλαιακή επάρκεια των τραπεζών ενισχύθηκε σημαντικά, κυρίως λόγω της εσωτερικής δημιουργίας κεφαλαίων μέσω της οργανικής κερδοφορίας, με τους σχετικούς δείκτες να είναι εφάμιλλοι των ευρωπαϊκών τραπεζών.</w:t>
      </w:r>
      <w:bookmarkStart w:id="0" w:name="_Hlk195008280"/>
    </w:p>
    <w:p w14:paraId="52692837" w14:textId="77777777" w:rsidR="009713E5" w:rsidRPr="003F3E71" w:rsidRDefault="009713E5" w:rsidP="009713E5">
      <w:pPr>
        <w:spacing w:line="360" w:lineRule="auto"/>
        <w:jc w:val="both"/>
        <w:rPr>
          <w:rFonts w:cstheme="minorHAnsi"/>
          <w:sz w:val="24"/>
          <w:szCs w:val="24"/>
          <w:lang w:val="el-GR"/>
        </w:rPr>
      </w:pPr>
    </w:p>
    <w:p w14:paraId="2738970E"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Κυρίες και Κύριοι Μέτοχοι,</w:t>
      </w:r>
    </w:p>
    <w:bookmarkEnd w:id="0"/>
    <w:p w14:paraId="4107BC18"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 xml:space="preserve">Με αίσθημα ευθύνης και ανταποδοτικότητας προς την κοινωνία, η </w:t>
      </w:r>
      <w:r w:rsidRPr="003F3E71">
        <w:rPr>
          <w:rFonts w:eastAsia="Calibri" w:cstheme="minorHAnsi"/>
          <w:sz w:val="24"/>
          <w:szCs w:val="24"/>
          <w:lang w:val="en-US"/>
        </w:rPr>
        <w:t>Eurobank</w:t>
      </w:r>
      <w:r w:rsidRPr="003F3E71">
        <w:rPr>
          <w:rFonts w:eastAsia="Calibri" w:cstheme="minorHAnsi"/>
          <w:sz w:val="24"/>
          <w:szCs w:val="24"/>
          <w:lang w:val="el-GR"/>
        </w:rPr>
        <w:t xml:space="preserve"> βελτίωσε περαιτέρω το </w:t>
      </w:r>
      <w:r w:rsidRPr="003F3E71">
        <w:rPr>
          <w:rFonts w:eastAsia="Calibri" w:cstheme="minorHAnsi"/>
          <w:b/>
          <w:sz w:val="24"/>
          <w:szCs w:val="24"/>
          <w:lang w:val="el-GR"/>
        </w:rPr>
        <w:t xml:space="preserve">πολύπλευρο Πρόγραμμα Εταιρικής Κοινωνικής Ευθύνης </w:t>
      </w:r>
      <w:r w:rsidRPr="003F3E71">
        <w:rPr>
          <w:rFonts w:eastAsia="Calibri" w:cstheme="minorHAnsi"/>
          <w:bCs/>
          <w:sz w:val="24"/>
          <w:szCs w:val="24"/>
          <w:lang w:val="el-GR"/>
        </w:rPr>
        <w:t>που υλοποιεί.</w:t>
      </w:r>
      <w:r w:rsidRPr="003F3E71">
        <w:rPr>
          <w:rFonts w:eastAsia="Calibri" w:cstheme="minorHAnsi"/>
          <w:sz w:val="24"/>
          <w:szCs w:val="24"/>
          <w:lang w:val="el-GR"/>
        </w:rPr>
        <w:t xml:space="preserve"> Θα αναφερθεί αναλυτικά σε αυτό ο Διευθύνων Σύμβουλος. Από την πλευρά μου θέλω να σημειώσω ότι η Τράπεζα, χάρη στη θετική της πορεία, μπορεί να διευρύνει τις κοινωνικές δράσεις της και να κάνει πράξη τη δέσμευση για επιστροφή μέρους της αξίας που δημιουργεί στην κοινωνία. </w:t>
      </w:r>
    </w:p>
    <w:p w14:paraId="6759C2FA"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Η φετινή χρονιά αποτέλεσε επίσης απόδειξη και της δέσμευσής μας στην περιβαλλοντική και κοινωνική υπευθυνότητα.</w:t>
      </w:r>
    </w:p>
    <w:p w14:paraId="7999D8F8"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lastRenderedPageBreak/>
        <w:t xml:space="preserve">Ένα από τα σημαντικότερα ορόσημα ήταν η ένταξή μας στη </w:t>
      </w:r>
      <w:r w:rsidRPr="003F3E71">
        <w:rPr>
          <w:rFonts w:cstheme="minorHAnsi"/>
          <w:b/>
          <w:bCs/>
          <w:sz w:val="24"/>
          <w:szCs w:val="24"/>
          <w:lang w:val="en-US"/>
        </w:rPr>
        <w:t>Net</w:t>
      </w:r>
      <w:r w:rsidRPr="003F3E71">
        <w:rPr>
          <w:rFonts w:cstheme="minorHAnsi"/>
          <w:b/>
          <w:bCs/>
          <w:sz w:val="24"/>
          <w:szCs w:val="24"/>
          <w:lang w:val="el-GR"/>
        </w:rPr>
        <w:t xml:space="preserve"> </w:t>
      </w:r>
      <w:r w:rsidRPr="003F3E71">
        <w:rPr>
          <w:rFonts w:cstheme="minorHAnsi"/>
          <w:b/>
          <w:bCs/>
          <w:sz w:val="24"/>
          <w:szCs w:val="24"/>
          <w:lang w:val="en-US"/>
        </w:rPr>
        <w:t>Zero</w:t>
      </w:r>
      <w:r w:rsidRPr="003F3E71">
        <w:rPr>
          <w:rFonts w:cstheme="minorHAnsi"/>
          <w:b/>
          <w:bCs/>
          <w:sz w:val="24"/>
          <w:szCs w:val="24"/>
          <w:lang w:val="el-GR"/>
        </w:rPr>
        <w:t xml:space="preserve"> </w:t>
      </w:r>
      <w:r w:rsidRPr="003F3E71">
        <w:rPr>
          <w:rFonts w:cstheme="minorHAnsi"/>
          <w:b/>
          <w:bCs/>
          <w:sz w:val="24"/>
          <w:szCs w:val="24"/>
          <w:lang w:val="en-US"/>
        </w:rPr>
        <w:t>Banking</w:t>
      </w:r>
      <w:r w:rsidRPr="003F3E71">
        <w:rPr>
          <w:rFonts w:cstheme="minorHAnsi"/>
          <w:b/>
          <w:bCs/>
          <w:sz w:val="24"/>
          <w:szCs w:val="24"/>
          <w:lang w:val="el-GR"/>
        </w:rPr>
        <w:t xml:space="preserve"> </w:t>
      </w:r>
      <w:r w:rsidRPr="003F3E71">
        <w:rPr>
          <w:rFonts w:cstheme="minorHAnsi"/>
          <w:b/>
          <w:bCs/>
          <w:sz w:val="24"/>
          <w:szCs w:val="24"/>
          <w:lang w:val="en-US"/>
        </w:rPr>
        <w:t>Alliance</w:t>
      </w:r>
      <w:r w:rsidRPr="003F3E71">
        <w:rPr>
          <w:rFonts w:cstheme="minorHAnsi"/>
          <w:b/>
          <w:bCs/>
          <w:sz w:val="24"/>
          <w:szCs w:val="24"/>
          <w:lang w:val="el-GR"/>
        </w:rPr>
        <w:t xml:space="preserve"> (</w:t>
      </w:r>
      <w:r w:rsidRPr="003F3E71">
        <w:rPr>
          <w:rFonts w:cstheme="minorHAnsi"/>
          <w:b/>
          <w:bCs/>
          <w:sz w:val="24"/>
          <w:szCs w:val="24"/>
          <w:lang w:val="en-US"/>
        </w:rPr>
        <w:t>NZBA</w:t>
      </w:r>
      <w:r w:rsidRPr="003F3E71">
        <w:rPr>
          <w:rFonts w:cstheme="minorHAnsi"/>
          <w:b/>
          <w:bCs/>
          <w:sz w:val="24"/>
          <w:szCs w:val="24"/>
          <w:lang w:val="el-GR"/>
        </w:rPr>
        <w:t>)</w:t>
      </w:r>
      <w:r w:rsidRPr="003F3E71">
        <w:rPr>
          <w:rFonts w:cstheme="minorHAnsi"/>
          <w:sz w:val="24"/>
          <w:szCs w:val="24"/>
          <w:lang w:val="el-GR"/>
        </w:rPr>
        <w:t xml:space="preserve">, το οποίο ενισχύει τη δέσμευσή μας στην ευθυγράμμιση των δανειοδοτικών και επενδυτικών χαρτοφυλακίων μας με τον φιλόδοξο στόχο της επιδίωξης για καθαρές μηδενικές εκπομπές έως το 2050 ενώ προχωρήσαμε με επιτυχία στην </w:t>
      </w:r>
      <w:r w:rsidRPr="003F3E71">
        <w:rPr>
          <w:rFonts w:cstheme="minorHAnsi"/>
          <w:b/>
          <w:bCs/>
          <w:sz w:val="24"/>
          <w:szCs w:val="24"/>
          <w:lang w:val="el-GR"/>
        </w:rPr>
        <w:t>έκδοση Πράσινου Ομολόγου ύψους €850 εκατ.</w:t>
      </w:r>
      <w:r w:rsidRPr="003F3E71">
        <w:rPr>
          <w:rFonts w:cstheme="minorHAnsi"/>
          <w:sz w:val="24"/>
          <w:szCs w:val="24"/>
          <w:lang w:val="el-GR"/>
        </w:rPr>
        <w:t xml:space="preserve">, για τη χρηματοδότηση χαρτοφυλακίου Πράσινων Έργων στη βάση των προβλεπόμενων κριτηρίων. </w:t>
      </w:r>
    </w:p>
    <w:p w14:paraId="1E258E5E"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Αυξήσαμε επίσης τον αριθμό των </w:t>
      </w:r>
      <w:r w:rsidRPr="003F3E71">
        <w:rPr>
          <w:rFonts w:cstheme="minorHAnsi"/>
          <w:b/>
          <w:bCs/>
          <w:sz w:val="24"/>
          <w:szCs w:val="24"/>
          <w:lang w:val="el-GR"/>
        </w:rPr>
        <w:t>πιστοποιημένων "πράσινων" κτιρίων μας σε 20.</w:t>
      </w:r>
    </w:p>
    <w:p w14:paraId="21D371C2"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Επιπλέον, </w:t>
      </w:r>
      <w:r w:rsidRPr="003F3E71">
        <w:rPr>
          <w:rFonts w:cstheme="minorHAnsi"/>
          <w:b/>
          <w:bCs/>
          <w:sz w:val="24"/>
          <w:szCs w:val="24"/>
          <w:lang w:val="el-GR"/>
        </w:rPr>
        <w:t>δεσμεύσαμε €12,5 εκατ. για τις προσπάθειες ανασυγκρότησης στη Θεσσαλία</w:t>
      </w:r>
      <w:r w:rsidRPr="003F3E71">
        <w:rPr>
          <w:rFonts w:cstheme="minorHAnsi"/>
          <w:sz w:val="24"/>
          <w:szCs w:val="24"/>
          <w:lang w:val="el-GR"/>
        </w:rPr>
        <w:t>, αποδεικνύοντας τη δέσμευσή μας στην υποστήριξη των τοπικών κοινωνιών που έχουν ανάγκη.</w:t>
      </w:r>
    </w:p>
    <w:p w14:paraId="47BFEF80"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Η κοινωνική μας δέσμευση είναι εξίσου ισχυρή. Έχουμε υιοθετήσει τις </w:t>
      </w:r>
      <w:r w:rsidRPr="003F3E71">
        <w:rPr>
          <w:rFonts w:cstheme="minorHAnsi"/>
          <w:b/>
          <w:bCs/>
          <w:sz w:val="24"/>
          <w:szCs w:val="24"/>
          <w:lang w:val="el-GR"/>
        </w:rPr>
        <w:t>Αρχές Ενδυνάμωσης των Γυναικών του ΟΗΕ (</w:t>
      </w:r>
      <w:r w:rsidRPr="003F3E71">
        <w:rPr>
          <w:rFonts w:cstheme="minorHAnsi"/>
          <w:b/>
          <w:bCs/>
          <w:sz w:val="24"/>
          <w:szCs w:val="24"/>
          <w:lang w:val="en-US"/>
        </w:rPr>
        <w:t>UN</w:t>
      </w:r>
      <w:r w:rsidRPr="003F3E71">
        <w:rPr>
          <w:rFonts w:cstheme="minorHAnsi"/>
          <w:b/>
          <w:bCs/>
          <w:sz w:val="24"/>
          <w:szCs w:val="24"/>
          <w:lang w:val="el-GR"/>
        </w:rPr>
        <w:t xml:space="preserve"> </w:t>
      </w:r>
      <w:r w:rsidRPr="003F3E71">
        <w:rPr>
          <w:rFonts w:cstheme="minorHAnsi"/>
          <w:b/>
          <w:bCs/>
          <w:sz w:val="24"/>
          <w:szCs w:val="24"/>
          <w:lang w:val="en-US"/>
        </w:rPr>
        <w:t>Women</w:t>
      </w:r>
      <w:r w:rsidRPr="003F3E71">
        <w:rPr>
          <w:rFonts w:cstheme="minorHAnsi"/>
          <w:b/>
          <w:bCs/>
          <w:sz w:val="24"/>
          <w:szCs w:val="24"/>
          <w:lang w:val="el-GR"/>
        </w:rPr>
        <w:t xml:space="preserve"> </w:t>
      </w:r>
      <w:r w:rsidRPr="003F3E71">
        <w:rPr>
          <w:rFonts w:cstheme="minorHAnsi"/>
          <w:b/>
          <w:bCs/>
          <w:sz w:val="24"/>
          <w:szCs w:val="24"/>
          <w:lang w:val="en-US"/>
        </w:rPr>
        <w:t>Empowerment</w:t>
      </w:r>
      <w:r w:rsidRPr="003F3E71">
        <w:rPr>
          <w:rFonts w:cstheme="minorHAnsi"/>
          <w:b/>
          <w:bCs/>
          <w:sz w:val="24"/>
          <w:szCs w:val="24"/>
          <w:lang w:val="el-GR"/>
        </w:rPr>
        <w:t xml:space="preserve"> </w:t>
      </w:r>
      <w:r w:rsidRPr="003F3E71">
        <w:rPr>
          <w:rFonts w:cstheme="minorHAnsi"/>
          <w:b/>
          <w:bCs/>
          <w:sz w:val="24"/>
          <w:szCs w:val="24"/>
          <w:lang w:val="en-US"/>
        </w:rPr>
        <w:t>Principles</w:t>
      </w:r>
      <w:r w:rsidRPr="003F3E71">
        <w:rPr>
          <w:rFonts w:cstheme="minorHAnsi"/>
          <w:b/>
          <w:bCs/>
          <w:sz w:val="24"/>
          <w:szCs w:val="24"/>
          <w:lang w:val="el-GR"/>
        </w:rPr>
        <w:t>)</w:t>
      </w:r>
      <w:r w:rsidRPr="003F3E71">
        <w:rPr>
          <w:rFonts w:cstheme="minorHAnsi"/>
          <w:sz w:val="24"/>
          <w:szCs w:val="24"/>
          <w:lang w:val="el-GR"/>
        </w:rPr>
        <w:t xml:space="preserve">, προωθώντας την ισότητα των φύλων στο χώρο εργασίας. Αποκτήσαμε </w:t>
      </w:r>
      <w:r w:rsidRPr="003F3E71">
        <w:rPr>
          <w:rFonts w:cstheme="minorHAnsi"/>
          <w:b/>
          <w:bCs/>
          <w:sz w:val="24"/>
          <w:szCs w:val="24"/>
          <w:lang w:val="el-GR"/>
        </w:rPr>
        <w:t xml:space="preserve">νέες πιστοποιήσεις </w:t>
      </w:r>
      <w:r w:rsidRPr="003F3E71">
        <w:rPr>
          <w:rFonts w:cstheme="minorHAnsi"/>
          <w:b/>
          <w:bCs/>
          <w:sz w:val="24"/>
          <w:szCs w:val="24"/>
          <w:lang w:val="en-US"/>
        </w:rPr>
        <w:t>ISO</w:t>
      </w:r>
      <w:r w:rsidRPr="003F3E71">
        <w:rPr>
          <w:rFonts w:cstheme="minorHAnsi"/>
          <w:sz w:val="24"/>
          <w:szCs w:val="24"/>
          <w:lang w:val="el-GR"/>
        </w:rPr>
        <w:t xml:space="preserve"> για την Καταπολέμηση της Διαφθοράς και της Δωροδοκίας, καθώς και για τις Βιώσιμες Προμήθειες, επιβεβαιώνοντας τη συμμόρφωσή μας με διεθνή πρότυπα ηθικής και περιβαλλοντικής διαχείρισης.</w:t>
      </w:r>
    </w:p>
    <w:p w14:paraId="2953DB0B"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Η </w:t>
      </w:r>
      <w:r w:rsidRPr="003F3E71">
        <w:rPr>
          <w:rFonts w:cstheme="minorHAnsi"/>
          <w:b/>
          <w:bCs/>
          <w:sz w:val="24"/>
          <w:szCs w:val="24"/>
          <w:lang w:val="el-GR"/>
        </w:rPr>
        <w:t>στρατηγική βιωσιμότητας</w:t>
      </w:r>
      <w:r w:rsidRPr="003F3E71">
        <w:rPr>
          <w:rFonts w:cstheme="minorHAnsi"/>
          <w:sz w:val="24"/>
          <w:szCs w:val="24"/>
          <w:lang w:val="el-GR"/>
        </w:rPr>
        <w:t xml:space="preserve"> εφαρμόστηκε με επιτυχία και οι προσπάθειές μας έχουν αναγνωριστεί διεθνώς, με σημαντική βελτίωση στις αξιολογήσεις βιωσιμότητας. Η </w:t>
      </w:r>
      <w:r w:rsidRPr="003F3E71">
        <w:rPr>
          <w:rFonts w:cstheme="minorHAnsi"/>
          <w:sz w:val="24"/>
          <w:szCs w:val="24"/>
          <w:lang w:val="en-US"/>
        </w:rPr>
        <w:t>Sustainalytics</w:t>
      </w:r>
      <w:r w:rsidRPr="003F3E71">
        <w:rPr>
          <w:rFonts w:cstheme="minorHAnsi"/>
          <w:sz w:val="24"/>
          <w:szCs w:val="24"/>
          <w:lang w:val="el-GR"/>
        </w:rPr>
        <w:t xml:space="preserve"> μας κατέταξε στην βέλτιστη κατηγορία ρίσκου “</w:t>
      </w:r>
      <w:r w:rsidRPr="003F3E71">
        <w:rPr>
          <w:rFonts w:cstheme="minorHAnsi"/>
          <w:sz w:val="24"/>
          <w:szCs w:val="24"/>
          <w:lang w:val="en-US"/>
        </w:rPr>
        <w:t>Negligible</w:t>
      </w:r>
      <w:r w:rsidRPr="003F3E71">
        <w:rPr>
          <w:rFonts w:cstheme="minorHAnsi"/>
          <w:sz w:val="24"/>
          <w:szCs w:val="24"/>
          <w:lang w:val="el-GR"/>
        </w:rPr>
        <w:t xml:space="preserve"> </w:t>
      </w:r>
      <w:r w:rsidRPr="003F3E71">
        <w:rPr>
          <w:rFonts w:cstheme="minorHAnsi"/>
          <w:sz w:val="24"/>
          <w:szCs w:val="24"/>
          <w:lang w:val="en-US"/>
        </w:rPr>
        <w:t>Risk</w:t>
      </w:r>
      <w:r w:rsidRPr="003F3E71">
        <w:rPr>
          <w:rFonts w:cstheme="minorHAnsi"/>
          <w:sz w:val="24"/>
          <w:szCs w:val="24"/>
          <w:lang w:val="el-GR"/>
        </w:rPr>
        <w:t>” επιτυγχάνοντας βαθμολογία 9,7, θέτοντάς μας στο κορυφαίο 4% των τραπεζών παγκοσμίως, ενώ σε όλες τις υπόλοιπες αξιολογήσεις βιωσιμότητας καταγράψαμε σημαντική βελτίωση.</w:t>
      </w:r>
    </w:p>
    <w:p w14:paraId="1106EACC"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Στο πλαίσιο της </w:t>
      </w:r>
      <w:r w:rsidRPr="003F3E71">
        <w:rPr>
          <w:rFonts w:cstheme="minorHAnsi"/>
          <w:b/>
          <w:bCs/>
          <w:sz w:val="24"/>
          <w:szCs w:val="24"/>
          <w:lang w:val="el-GR"/>
        </w:rPr>
        <w:t>στρατηγικής μας επιχειρησιακής επίδρασης</w:t>
      </w:r>
      <w:r w:rsidRPr="003F3E71">
        <w:rPr>
          <w:rFonts w:cstheme="minorHAnsi"/>
          <w:sz w:val="24"/>
          <w:szCs w:val="24"/>
          <w:lang w:val="el-GR"/>
        </w:rPr>
        <w:t>, έχουμε μειώσει σημαντικά τις εκπομπές μας και αυξήσει τη χρήση ανανεώσιμων πηγών ενέργειας.</w:t>
      </w:r>
    </w:p>
    <w:p w14:paraId="516A579E" w14:textId="77777777" w:rsidR="009713E5" w:rsidRPr="003F3E71" w:rsidRDefault="009713E5" w:rsidP="009713E5">
      <w:pPr>
        <w:spacing w:line="360" w:lineRule="auto"/>
        <w:jc w:val="both"/>
        <w:rPr>
          <w:rFonts w:cstheme="minorHAnsi"/>
          <w:sz w:val="24"/>
          <w:szCs w:val="24"/>
          <w:lang w:val="el-GR"/>
        </w:rPr>
      </w:pPr>
      <w:r w:rsidRPr="003F3E71">
        <w:rPr>
          <w:rFonts w:cstheme="minorHAnsi"/>
          <w:sz w:val="24"/>
          <w:szCs w:val="24"/>
          <w:lang w:val="el-GR"/>
        </w:rPr>
        <w:t xml:space="preserve">Στο πεδίο της διακυβέρνησης και συμμόρφωσης, ενισχύσαμε τη βιωσιμότητα στις πρακτικές προμηθειών, ενώ παράλληλα ενισχύσαμε τα πλαίσια ηθικής και </w:t>
      </w:r>
      <w:r w:rsidRPr="003F3E71">
        <w:rPr>
          <w:rFonts w:cstheme="minorHAnsi"/>
          <w:sz w:val="24"/>
          <w:szCs w:val="24"/>
          <w:lang w:val="el-GR"/>
        </w:rPr>
        <w:lastRenderedPageBreak/>
        <w:t>διαφάνειας με νέα συστήματα διαχείρισης συμμόρφωσης και πλαίσια διαχείρισης καταγγελιών (</w:t>
      </w:r>
      <w:r w:rsidRPr="003F3E71">
        <w:rPr>
          <w:rFonts w:cstheme="minorHAnsi"/>
          <w:sz w:val="24"/>
          <w:szCs w:val="24"/>
          <w:lang w:val="en-US"/>
        </w:rPr>
        <w:t>whistleblowing</w:t>
      </w:r>
      <w:r w:rsidRPr="003F3E71">
        <w:rPr>
          <w:rFonts w:cstheme="minorHAnsi"/>
          <w:sz w:val="24"/>
          <w:szCs w:val="24"/>
          <w:lang w:val="el-GR"/>
        </w:rPr>
        <w:t>).</w:t>
      </w:r>
    </w:p>
    <w:p w14:paraId="77B03B7C" w14:textId="77777777" w:rsidR="009713E5" w:rsidRPr="003F3E71" w:rsidRDefault="009713E5" w:rsidP="009713E5">
      <w:pPr>
        <w:spacing w:line="360" w:lineRule="auto"/>
        <w:jc w:val="both"/>
        <w:rPr>
          <w:rFonts w:cstheme="minorHAnsi"/>
          <w:sz w:val="24"/>
          <w:szCs w:val="24"/>
          <w:lang w:val="el-GR"/>
        </w:rPr>
      </w:pPr>
      <w:r w:rsidRPr="003F3E71">
        <w:rPr>
          <w:rFonts w:cstheme="minorHAnsi"/>
          <w:b/>
          <w:bCs/>
          <w:sz w:val="24"/>
          <w:szCs w:val="24"/>
          <w:lang w:val="el-GR"/>
        </w:rPr>
        <w:t>Η στρατηγική μας για την επίδραση χρηματοδοτήσεων</w:t>
      </w:r>
      <w:r w:rsidRPr="003F3E71">
        <w:rPr>
          <w:rFonts w:cstheme="minorHAnsi"/>
          <w:sz w:val="24"/>
          <w:szCs w:val="24"/>
          <w:lang w:val="el-GR"/>
        </w:rPr>
        <w:t xml:space="preserve"> εστιάζει στη μείωση των εκπομπών των χρηματοδοτούμενων έργων σε τομείς με υψηλό αποτύπωμα άνθρακα.</w:t>
      </w:r>
    </w:p>
    <w:p w14:paraId="3EE70440" w14:textId="77777777" w:rsidR="009713E5" w:rsidRPr="003F3E71" w:rsidRDefault="009713E5" w:rsidP="009713E5">
      <w:pPr>
        <w:spacing w:line="360" w:lineRule="auto"/>
        <w:jc w:val="both"/>
        <w:rPr>
          <w:rFonts w:eastAsia="Calibri" w:cstheme="minorHAnsi"/>
          <w:sz w:val="24"/>
          <w:szCs w:val="24"/>
          <w:lang w:val="el-GR"/>
        </w:rPr>
      </w:pPr>
    </w:p>
    <w:p w14:paraId="3F9ADCFF"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Κυρίες και κύριοι Μέτοχοι,</w:t>
      </w:r>
    </w:p>
    <w:p w14:paraId="331D02FF"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 xml:space="preserve">Το 2024 ήταν μια εξαιρετική χρονιά για την τράπεζά μας, όπως θα σας αναλύσει καλύτερα και ο Διευθύνων Σύμβουλος. </w:t>
      </w:r>
    </w:p>
    <w:p w14:paraId="7B08BABD"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Η κερδοφορία της εκτοξεύτηκε σε επίπεδα που δεν είχε πετύχει ποτέ στην ιστορία της ενώ τα κεφάλαιά της είναι αντίστοιχα με αυτά των ευρωπαϊκών τραπεζών και η ρευστότητά της καλύτερη αυτών.</w:t>
      </w:r>
    </w:p>
    <w:p w14:paraId="18F0D727"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 xml:space="preserve">Το 2024 αποτέλεσε μια χρονιά ορόσημο για τη </w:t>
      </w:r>
      <w:r w:rsidRPr="003F3E71">
        <w:rPr>
          <w:rFonts w:eastAsia="Calibri" w:cstheme="minorHAnsi"/>
          <w:sz w:val="24"/>
          <w:szCs w:val="24"/>
          <w:lang w:val="en-US"/>
        </w:rPr>
        <w:t>Eurobank</w:t>
      </w:r>
      <w:r w:rsidRPr="003F3E71">
        <w:rPr>
          <w:rFonts w:eastAsia="Calibri" w:cstheme="minorHAnsi"/>
          <w:sz w:val="24"/>
          <w:szCs w:val="24"/>
          <w:lang w:val="el-GR"/>
        </w:rPr>
        <w:t>. Η τράπεζά μας, με την εξαγορά της Ελληνικής Τράπεζας στην Κύπρο, κατέστη η μεγαλύτερη ελληνική τράπεζα, για πρώτη φορά στην ιστορία της, και η μεγαλύτερη τράπεζα με έδρα στην περιοχή της Νοτιοανατολικής Ευρώπης.</w:t>
      </w:r>
    </w:p>
    <w:p w14:paraId="6A7ABB9F"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Για την πορεία αυτή προς την κορυφή εργάστηκαν αποτελεσματικά η Διοικητική Ομάδα, τα στελέχη, οι εργαζόμενοι στην τράπεζα και το Διοικητικό Συμβούλιο, και είχαν τη δική σας στήριξη, των μετόχων μας.</w:t>
      </w:r>
    </w:p>
    <w:p w14:paraId="017CB568"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Θα συνεχίσουμε με την ίδια προσήλωση.</w:t>
      </w:r>
    </w:p>
    <w:p w14:paraId="284806D0" w14:textId="77777777" w:rsidR="009713E5" w:rsidRPr="003F3E71" w:rsidRDefault="009713E5" w:rsidP="009713E5">
      <w:pPr>
        <w:spacing w:line="360" w:lineRule="auto"/>
        <w:jc w:val="both"/>
        <w:rPr>
          <w:rFonts w:eastAsia="Calibri" w:cstheme="minorHAnsi"/>
          <w:sz w:val="24"/>
          <w:szCs w:val="24"/>
          <w:lang w:val="el-GR"/>
        </w:rPr>
      </w:pPr>
      <w:r w:rsidRPr="003F3E71">
        <w:rPr>
          <w:rFonts w:eastAsia="Calibri" w:cstheme="minorHAnsi"/>
          <w:sz w:val="24"/>
          <w:szCs w:val="24"/>
          <w:lang w:val="el-GR"/>
        </w:rPr>
        <w:t>Σας ευχαριστώ που με ακούσατε.</w:t>
      </w:r>
    </w:p>
    <w:p w14:paraId="5434EE9E" w14:textId="77777777" w:rsidR="004400C9" w:rsidRPr="003F3E71" w:rsidRDefault="004400C9" w:rsidP="00334E98">
      <w:pPr>
        <w:spacing w:line="360" w:lineRule="auto"/>
        <w:jc w:val="both"/>
        <w:rPr>
          <w:rFonts w:cstheme="minorHAnsi"/>
          <w:sz w:val="24"/>
          <w:szCs w:val="24"/>
          <w:lang w:val="el-GR"/>
        </w:rPr>
      </w:pPr>
    </w:p>
    <w:sectPr w:rsidR="004400C9" w:rsidRPr="003F3E71" w:rsidSect="005F48CD">
      <w:headerReference w:type="default" r:id="rId8"/>
      <w:footerReference w:type="default" r:id="rId9"/>
      <w:pgSz w:w="11906" w:h="16838"/>
      <w:pgMar w:top="1971" w:right="1797" w:bottom="15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9832E" w14:textId="77777777" w:rsidR="004E10C3" w:rsidRDefault="004E10C3" w:rsidP="00D01855">
      <w:pPr>
        <w:spacing w:after="0" w:line="240" w:lineRule="auto"/>
      </w:pPr>
      <w:r>
        <w:separator/>
      </w:r>
    </w:p>
  </w:endnote>
  <w:endnote w:type="continuationSeparator" w:id="0">
    <w:p w14:paraId="2DEBE167" w14:textId="77777777" w:rsidR="004E10C3" w:rsidRDefault="004E10C3" w:rsidP="00D0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robank Sans">
    <w:altName w:val="Calibri"/>
    <w:charset w:val="A1"/>
    <w:family w:val="auto"/>
    <w:pitch w:val="variable"/>
    <w:sig w:usb0="A00002BF" w:usb1="5000000A"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232096"/>
      <w:docPartObj>
        <w:docPartGallery w:val="Page Numbers (Bottom of Page)"/>
        <w:docPartUnique/>
      </w:docPartObj>
    </w:sdtPr>
    <w:sdtEndPr>
      <w:rPr>
        <w:noProof/>
      </w:rPr>
    </w:sdtEndPr>
    <w:sdtContent>
      <w:p w14:paraId="3CA22F27" w14:textId="2C16F28F" w:rsidR="00F31CF6" w:rsidRDefault="00F31CF6">
        <w:pPr>
          <w:pStyle w:val="aa"/>
          <w:jc w:val="center"/>
        </w:pPr>
        <w:r>
          <w:fldChar w:fldCharType="begin"/>
        </w:r>
        <w:r>
          <w:instrText xml:space="preserve"> PAGE   \* MERGEFORMAT </w:instrText>
        </w:r>
        <w:r>
          <w:fldChar w:fldCharType="separate"/>
        </w:r>
        <w:r w:rsidR="005F48CD">
          <w:rPr>
            <w:noProof/>
          </w:rPr>
          <w:t>1</w:t>
        </w:r>
        <w:r>
          <w:rPr>
            <w:noProof/>
          </w:rPr>
          <w:fldChar w:fldCharType="end"/>
        </w:r>
      </w:p>
    </w:sdtContent>
  </w:sdt>
  <w:p w14:paraId="369FD542" w14:textId="77777777" w:rsidR="00F31CF6" w:rsidRDefault="00F31C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168F" w14:textId="77777777" w:rsidR="004E10C3" w:rsidRDefault="004E10C3" w:rsidP="00D01855">
      <w:pPr>
        <w:spacing w:after="0" w:line="240" w:lineRule="auto"/>
      </w:pPr>
      <w:r>
        <w:separator/>
      </w:r>
    </w:p>
  </w:footnote>
  <w:footnote w:type="continuationSeparator" w:id="0">
    <w:p w14:paraId="7086FE80" w14:textId="77777777" w:rsidR="004E10C3" w:rsidRDefault="004E10C3" w:rsidP="00D0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93F3" w14:textId="3B1AD1E3" w:rsidR="00F31CF6" w:rsidRPr="00405416" w:rsidRDefault="00A45B20" w:rsidP="00A45B20">
    <w:pPr>
      <w:pStyle w:val="a9"/>
      <w:tabs>
        <w:tab w:val="clear" w:pos="4153"/>
        <w:tab w:val="clear" w:pos="8306"/>
        <w:tab w:val="left" w:pos="7464"/>
      </w:tabs>
      <w:rPr>
        <w:b/>
        <w:bCs/>
        <w:color w:val="244061" w:themeColor="accent1" w:themeShade="80"/>
        <w:lang w:val="en-US"/>
      </w:rPr>
    </w:pPr>
    <w:r w:rsidRPr="00405416">
      <w:rPr>
        <w:rFonts w:ascii="Times New Roman" w:hAnsi="Times New Roman" w:cs="Times New Roman"/>
        <w:b/>
        <w:bCs/>
        <w:noProof/>
        <w:color w:val="244061" w:themeColor="accent1" w:themeShade="80"/>
        <w:sz w:val="24"/>
        <w:szCs w:val="24"/>
      </w:rPr>
      <w:drawing>
        <wp:anchor distT="0" distB="0" distL="114300" distR="114300" simplePos="0" relativeHeight="251659264" behindDoc="0" locked="0" layoutInCell="1" allowOverlap="1" wp14:anchorId="1741C528" wp14:editId="46CD00ED">
          <wp:simplePos x="0" y="0"/>
          <wp:positionH relativeFrom="page">
            <wp:posOffset>165735</wp:posOffset>
          </wp:positionH>
          <wp:positionV relativeFrom="paragraph">
            <wp:posOffset>-366395</wp:posOffset>
          </wp:positionV>
          <wp:extent cx="527812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097280"/>
                  </a:xfrm>
                  <a:prstGeom prst="rect">
                    <a:avLst/>
                  </a:prstGeom>
                  <a:noFill/>
                </pic:spPr>
              </pic:pic>
            </a:graphicData>
          </a:graphic>
          <wp14:sizeRelH relativeFrom="page">
            <wp14:pctWidth>0</wp14:pctWidth>
          </wp14:sizeRelH>
          <wp14:sizeRelV relativeFrom="page">
            <wp14:pctHeight>0</wp14:pctHeight>
          </wp14:sizeRelV>
        </wp:anchor>
      </w:drawing>
    </w:r>
    <w:r w:rsidRPr="00405416">
      <w:rPr>
        <w:b/>
        <w:bCs/>
        <w:color w:val="244061" w:themeColor="accent1" w:themeShade="80"/>
        <w:lang w:val="el-GR"/>
      </w:rPr>
      <w:ptab w:relativeTo="margin" w:alignment="center" w:leader="none"/>
    </w:r>
    <w:r w:rsidRPr="00405416">
      <w:rPr>
        <w:b/>
        <w:bCs/>
        <w:color w:val="244061" w:themeColor="accent1" w:themeShade="80"/>
        <w:lang w:val="el-GR"/>
      </w:rPr>
      <w:ptab w:relativeTo="margin" w:alignment="right" w:leader="none"/>
    </w:r>
    <w:r w:rsidRPr="00405416">
      <w:rPr>
        <w:b/>
        <w:bCs/>
        <w:color w:val="244061" w:themeColor="accent1" w:themeShade="80"/>
        <w:lang w:val="el-GR"/>
      </w:rPr>
      <w:t>Πρόεδρος</w:t>
    </w:r>
    <w:r w:rsidRPr="00405416">
      <w:rPr>
        <w:b/>
        <w:bCs/>
        <w:color w:val="244061" w:themeColor="accent1" w:themeShade="80"/>
        <w:lang w:val="en-US"/>
      </w:rPr>
      <w:t xml:space="preserve"> </w:t>
    </w:r>
    <w:r w:rsidRPr="00405416">
      <w:rPr>
        <w:b/>
        <w:bCs/>
        <w:color w:val="244061" w:themeColor="accent1" w:themeShade="80"/>
        <w:lang w:val="el-GR"/>
      </w:rPr>
      <w:t>Δ</w:t>
    </w:r>
    <w:r w:rsidRPr="00405416">
      <w:rPr>
        <w:b/>
        <w:bCs/>
        <w:color w:val="244061" w:themeColor="accent1" w:themeShade="80"/>
        <w:lang w:val="en-US"/>
      </w:rPr>
      <w:t>.</w:t>
    </w:r>
    <w:r w:rsidRPr="00405416">
      <w:rPr>
        <w:b/>
        <w:bCs/>
        <w:color w:val="244061" w:themeColor="accent1" w:themeShade="80"/>
        <w:lang w:val="el-GR"/>
      </w:rPr>
      <w:t>Σ</w:t>
    </w:r>
    <w:r w:rsidRPr="00405416">
      <w:rPr>
        <w:b/>
        <w:bCs/>
        <w:color w:val="244061" w:themeColor="accent1" w:themeShade="8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F3BE0"/>
    <w:multiLevelType w:val="hybridMultilevel"/>
    <w:tmpl w:val="BB1EF1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5925B0"/>
    <w:multiLevelType w:val="hybridMultilevel"/>
    <w:tmpl w:val="FA54F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1870BD"/>
    <w:multiLevelType w:val="hybridMultilevel"/>
    <w:tmpl w:val="F426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653ACD"/>
    <w:multiLevelType w:val="hybridMultilevel"/>
    <w:tmpl w:val="11C654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63449E"/>
    <w:multiLevelType w:val="hybridMultilevel"/>
    <w:tmpl w:val="97062B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87581249">
    <w:abstractNumId w:val="0"/>
  </w:num>
  <w:num w:numId="2" w16cid:durableId="1788116701">
    <w:abstractNumId w:val="1"/>
  </w:num>
  <w:num w:numId="3" w16cid:durableId="1357728938">
    <w:abstractNumId w:val="3"/>
  </w:num>
  <w:num w:numId="4" w16cid:durableId="2095852598">
    <w:abstractNumId w:val="4"/>
  </w:num>
  <w:num w:numId="5" w16cid:durableId="7189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5C"/>
    <w:rsid w:val="00002106"/>
    <w:rsid w:val="00021AC4"/>
    <w:rsid w:val="00035D58"/>
    <w:rsid w:val="00042A56"/>
    <w:rsid w:val="00054C32"/>
    <w:rsid w:val="0005700D"/>
    <w:rsid w:val="0006367F"/>
    <w:rsid w:val="000746CE"/>
    <w:rsid w:val="00080A36"/>
    <w:rsid w:val="00094247"/>
    <w:rsid w:val="000948F4"/>
    <w:rsid w:val="000956C6"/>
    <w:rsid w:val="000973CC"/>
    <w:rsid w:val="000A2F99"/>
    <w:rsid w:val="000E0BFF"/>
    <w:rsid w:val="000E6D53"/>
    <w:rsid w:val="000E778D"/>
    <w:rsid w:val="000F2CEC"/>
    <w:rsid w:val="001037F5"/>
    <w:rsid w:val="0012733C"/>
    <w:rsid w:val="00163E44"/>
    <w:rsid w:val="00163F7D"/>
    <w:rsid w:val="00174635"/>
    <w:rsid w:val="001862F5"/>
    <w:rsid w:val="001B605D"/>
    <w:rsid w:val="001C2E6A"/>
    <w:rsid w:val="001C7FE8"/>
    <w:rsid w:val="00202F61"/>
    <w:rsid w:val="002078B0"/>
    <w:rsid w:val="00215853"/>
    <w:rsid w:val="002163A2"/>
    <w:rsid w:val="002247D4"/>
    <w:rsid w:val="0022727C"/>
    <w:rsid w:val="00264DC9"/>
    <w:rsid w:val="002757D0"/>
    <w:rsid w:val="002911A1"/>
    <w:rsid w:val="002A5A0E"/>
    <w:rsid w:val="002A6425"/>
    <w:rsid w:val="002A7F6B"/>
    <w:rsid w:val="002E1CB2"/>
    <w:rsid w:val="002F7923"/>
    <w:rsid w:val="00320EAD"/>
    <w:rsid w:val="003303E7"/>
    <w:rsid w:val="00334E98"/>
    <w:rsid w:val="00335DB0"/>
    <w:rsid w:val="00346BE0"/>
    <w:rsid w:val="00351518"/>
    <w:rsid w:val="00352EC7"/>
    <w:rsid w:val="0036588B"/>
    <w:rsid w:val="00382822"/>
    <w:rsid w:val="00393928"/>
    <w:rsid w:val="00395BE5"/>
    <w:rsid w:val="003A3D3E"/>
    <w:rsid w:val="003C1F51"/>
    <w:rsid w:val="003C5713"/>
    <w:rsid w:val="003E4B9E"/>
    <w:rsid w:val="003F322E"/>
    <w:rsid w:val="003F3E71"/>
    <w:rsid w:val="00405416"/>
    <w:rsid w:val="00427DAC"/>
    <w:rsid w:val="004368BC"/>
    <w:rsid w:val="004400C9"/>
    <w:rsid w:val="00486BFE"/>
    <w:rsid w:val="004966FB"/>
    <w:rsid w:val="004B33EC"/>
    <w:rsid w:val="004B3E33"/>
    <w:rsid w:val="004C663A"/>
    <w:rsid w:val="004E10C3"/>
    <w:rsid w:val="004E7834"/>
    <w:rsid w:val="005148D3"/>
    <w:rsid w:val="005208C4"/>
    <w:rsid w:val="0052506B"/>
    <w:rsid w:val="005348A4"/>
    <w:rsid w:val="005421BA"/>
    <w:rsid w:val="00554187"/>
    <w:rsid w:val="00570FF3"/>
    <w:rsid w:val="00573FD1"/>
    <w:rsid w:val="005A1A08"/>
    <w:rsid w:val="005A4C34"/>
    <w:rsid w:val="005B1C63"/>
    <w:rsid w:val="005C1019"/>
    <w:rsid w:val="005F3363"/>
    <w:rsid w:val="005F48CD"/>
    <w:rsid w:val="00625FBC"/>
    <w:rsid w:val="0063115E"/>
    <w:rsid w:val="00640F4B"/>
    <w:rsid w:val="00641B7C"/>
    <w:rsid w:val="006520FA"/>
    <w:rsid w:val="00673FA9"/>
    <w:rsid w:val="0067463B"/>
    <w:rsid w:val="006A3548"/>
    <w:rsid w:val="006A5C5A"/>
    <w:rsid w:val="006C0ACC"/>
    <w:rsid w:val="006D4C35"/>
    <w:rsid w:val="006E7BFB"/>
    <w:rsid w:val="00702E2A"/>
    <w:rsid w:val="007279C4"/>
    <w:rsid w:val="00730411"/>
    <w:rsid w:val="007332EB"/>
    <w:rsid w:val="007503A5"/>
    <w:rsid w:val="00750656"/>
    <w:rsid w:val="0075356F"/>
    <w:rsid w:val="007A1944"/>
    <w:rsid w:val="007A2537"/>
    <w:rsid w:val="007A43FB"/>
    <w:rsid w:val="007D5584"/>
    <w:rsid w:val="007E3264"/>
    <w:rsid w:val="0080338F"/>
    <w:rsid w:val="008146BA"/>
    <w:rsid w:val="008208EA"/>
    <w:rsid w:val="00841E27"/>
    <w:rsid w:val="008457E4"/>
    <w:rsid w:val="00847040"/>
    <w:rsid w:val="00860F27"/>
    <w:rsid w:val="00874EEF"/>
    <w:rsid w:val="00877952"/>
    <w:rsid w:val="00880B11"/>
    <w:rsid w:val="00893209"/>
    <w:rsid w:val="008A17FC"/>
    <w:rsid w:val="008A5E42"/>
    <w:rsid w:val="008C0E6E"/>
    <w:rsid w:val="008C70CF"/>
    <w:rsid w:val="008D174B"/>
    <w:rsid w:val="008D27AF"/>
    <w:rsid w:val="008E4CC2"/>
    <w:rsid w:val="008E57A9"/>
    <w:rsid w:val="008E7782"/>
    <w:rsid w:val="00914EB8"/>
    <w:rsid w:val="00935CDF"/>
    <w:rsid w:val="00936FDD"/>
    <w:rsid w:val="00953159"/>
    <w:rsid w:val="00965396"/>
    <w:rsid w:val="009713E5"/>
    <w:rsid w:val="00993CF7"/>
    <w:rsid w:val="009960B5"/>
    <w:rsid w:val="009A1D5C"/>
    <w:rsid w:val="009C476D"/>
    <w:rsid w:val="009D2CEC"/>
    <w:rsid w:val="009E76B5"/>
    <w:rsid w:val="009F5C63"/>
    <w:rsid w:val="00A35F00"/>
    <w:rsid w:val="00A43B96"/>
    <w:rsid w:val="00A4580E"/>
    <w:rsid w:val="00A45B20"/>
    <w:rsid w:val="00A501AE"/>
    <w:rsid w:val="00A6050E"/>
    <w:rsid w:val="00A642E6"/>
    <w:rsid w:val="00A836FF"/>
    <w:rsid w:val="00A91D40"/>
    <w:rsid w:val="00AD7C6D"/>
    <w:rsid w:val="00AF62BF"/>
    <w:rsid w:val="00B0196E"/>
    <w:rsid w:val="00B077F9"/>
    <w:rsid w:val="00B27B39"/>
    <w:rsid w:val="00B327F0"/>
    <w:rsid w:val="00B7182E"/>
    <w:rsid w:val="00B7735E"/>
    <w:rsid w:val="00B920B5"/>
    <w:rsid w:val="00BC438A"/>
    <w:rsid w:val="00BD32AE"/>
    <w:rsid w:val="00BE4D41"/>
    <w:rsid w:val="00BE63F3"/>
    <w:rsid w:val="00BF3B51"/>
    <w:rsid w:val="00BF4AC7"/>
    <w:rsid w:val="00C21DC0"/>
    <w:rsid w:val="00C25065"/>
    <w:rsid w:val="00C6243B"/>
    <w:rsid w:val="00C8764A"/>
    <w:rsid w:val="00C9650C"/>
    <w:rsid w:val="00C973FC"/>
    <w:rsid w:val="00CD7BD9"/>
    <w:rsid w:val="00D01855"/>
    <w:rsid w:val="00D2172B"/>
    <w:rsid w:val="00D250B6"/>
    <w:rsid w:val="00D30383"/>
    <w:rsid w:val="00D304E4"/>
    <w:rsid w:val="00D30CDA"/>
    <w:rsid w:val="00D52FEF"/>
    <w:rsid w:val="00D542EB"/>
    <w:rsid w:val="00D57805"/>
    <w:rsid w:val="00D642C6"/>
    <w:rsid w:val="00D67533"/>
    <w:rsid w:val="00D67638"/>
    <w:rsid w:val="00D70051"/>
    <w:rsid w:val="00D8778A"/>
    <w:rsid w:val="00D908B2"/>
    <w:rsid w:val="00DC6407"/>
    <w:rsid w:val="00DE5FF1"/>
    <w:rsid w:val="00DF0E43"/>
    <w:rsid w:val="00DF7731"/>
    <w:rsid w:val="00E07205"/>
    <w:rsid w:val="00E11F9D"/>
    <w:rsid w:val="00E16689"/>
    <w:rsid w:val="00E23FD8"/>
    <w:rsid w:val="00E25DB2"/>
    <w:rsid w:val="00E31CC6"/>
    <w:rsid w:val="00E37916"/>
    <w:rsid w:val="00E4185D"/>
    <w:rsid w:val="00E41F9C"/>
    <w:rsid w:val="00E510AF"/>
    <w:rsid w:val="00E70DD1"/>
    <w:rsid w:val="00E77539"/>
    <w:rsid w:val="00EA07B6"/>
    <w:rsid w:val="00EB3D31"/>
    <w:rsid w:val="00EC5958"/>
    <w:rsid w:val="00EF1061"/>
    <w:rsid w:val="00EF2264"/>
    <w:rsid w:val="00EF3D80"/>
    <w:rsid w:val="00F11168"/>
    <w:rsid w:val="00F15917"/>
    <w:rsid w:val="00F31CF6"/>
    <w:rsid w:val="00F503DE"/>
    <w:rsid w:val="00F54788"/>
    <w:rsid w:val="00F55680"/>
    <w:rsid w:val="00F63076"/>
    <w:rsid w:val="00F706D1"/>
    <w:rsid w:val="00F7104D"/>
    <w:rsid w:val="00FB4156"/>
    <w:rsid w:val="00FE34BF"/>
    <w:rsid w:val="00FE51E8"/>
    <w:rsid w:val="00FF415B"/>
    <w:rsid w:val="00FF4FC9"/>
    <w:rsid w:val="00FF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2251"/>
  <w15:docId w15:val="{56EB077D-186D-4190-8A51-4EF51745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38F"/>
    <w:pPr>
      <w:ind w:left="720"/>
      <w:contextualSpacing/>
    </w:pPr>
  </w:style>
  <w:style w:type="paragraph" w:styleId="a4">
    <w:name w:val="Balloon Text"/>
    <w:basedOn w:val="a"/>
    <w:link w:val="Char"/>
    <w:uiPriority w:val="99"/>
    <w:semiHidden/>
    <w:unhideWhenUsed/>
    <w:rsid w:val="004B3E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B3E33"/>
    <w:rPr>
      <w:rFonts w:ascii="Tahoma" w:hAnsi="Tahoma" w:cs="Tahoma"/>
      <w:sz w:val="16"/>
      <w:szCs w:val="16"/>
    </w:rPr>
  </w:style>
  <w:style w:type="paragraph" w:styleId="a5">
    <w:name w:val="Revision"/>
    <w:hidden/>
    <w:uiPriority w:val="99"/>
    <w:semiHidden/>
    <w:rsid w:val="008E7782"/>
    <w:pPr>
      <w:spacing w:after="0" w:line="240" w:lineRule="auto"/>
    </w:pPr>
  </w:style>
  <w:style w:type="character" w:styleId="a6">
    <w:name w:val="annotation reference"/>
    <w:basedOn w:val="a0"/>
    <w:uiPriority w:val="99"/>
    <w:semiHidden/>
    <w:unhideWhenUsed/>
    <w:rsid w:val="008E7782"/>
    <w:rPr>
      <w:sz w:val="16"/>
      <w:szCs w:val="16"/>
    </w:rPr>
  </w:style>
  <w:style w:type="paragraph" w:styleId="a7">
    <w:name w:val="annotation text"/>
    <w:basedOn w:val="a"/>
    <w:link w:val="Char0"/>
    <w:uiPriority w:val="99"/>
    <w:semiHidden/>
    <w:unhideWhenUsed/>
    <w:rsid w:val="008E7782"/>
    <w:pPr>
      <w:spacing w:line="240" w:lineRule="auto"/>
    </w:pPr>
    <w:rPr>
      <w:sz w:val="20"/>
      <w:szCs w:val="20"/>
    </w:rPr>
  </w:style>
  <w:style w:type="character" w:customStyle="1" w:styleId="Char0">
    <w:name w:val="Κείμενο σχολίου Char"/>
    <w:basedOn w:val="a0"/>
    <w:link w:val="a7"/>
    <w:uiPriority w:val="99"/>
    <w:semiHidden/>
    <w:rsid w:val="008E7782"/>
    <w:rPr>
      <w:sz w:val="20"/>
      <w:szCs w:val="20"/>
    </w:rPr>
  </w:style>
  <w:style w:type="paragraph" w:styleId="a8">
    <w:name w:val="annotation subject"/>
    <w:basedOn w:val="a7"/>
    <w:next w:val="a7"/>
    <w:link w:val="Char1"/>
    <w:uiPriority w:val="99"/>
    <w:semiHidden/>
    <w:unhideWhenUsed/>
    <w:rsid w:val="008E7782"/>
    <w:rPr>
      <w:b/>
      <w:bCs/>
    </w:rPr>
  </w:style>
  <w:style w:type="character" w:customStyle="1" w:styleId="Char1">
    <w:name w:val="Θέμα σχολίου Char"/>
    <w:basedOn w:val="Char0"/>
    <w:link w:val="a8"/>
    <w:uiPriority w:val="99"/>
    <w:semiHidden/>
    <w:rsid w:val="008E7782"/>
    <w:rPr>
      <w:b/>
      <w:bCs/>
      <w:sz w:val="20"/>
      <w:szCs w:val="20"/>
    </w:rPr>
  </w:style>
  <w:style w:type="paragraph" w:styleId="a9">
    <w:name w:val="header"/>
    <w:basedOn w:val="a"/>
    <w:link w:val="Char2"/>
    <w:uiPriority w:val="99"/>
    <w:unhideWhenUsed/>
    <w:rsid w:val="00D01855"/>
    <w:pPr>
      <w:tabs>
        <w:tab w:val="center" w:pos="4153"/>
        <w:tab w:val="right" w:pos="8306"/>
      </w:tabs>
      <w:spacing w:after="0" w:line="240" w:lineRule="auto"/>
    </w:pPr>
  </w:style>
  <w:style w:type="character" w:customStyle="1" w:styleId="Char2">
    <w:name w:val="Κεφαλίδα Char"/>
    <w:basedOn w:val="a0"/>
    <w:link w:val="a9"/>
    <w:uiPriority w:val="99"/>
    <w:rsid w:val="00D01855"/>
  </w:style>
  <w:style w:type="paragraph" w:styleId="aa">
    <w:name w:val="footer"/>
    <w:basedOn w:val="a"/>
    <w:link w:val="Char3"/>
    <w:uiPriority w:val="99"/>
    <w:unhideWhenUsed/>
    <w:rsid w:val="00D01855"/>
    <w:pPr>
      <w:tabs>
        <w:tab w:val="center" w:pos="4153"/>
        <w:tab w:val="right" w:pos="8306"/>
      </w:tabs>
      <w:spacing w:after="0" w:line="240" w:lineRule="auto"/>
    </w:pPr>
  </w:style>
  <w:style w:type="character" w:customStyle="1" w:styleId="Char3">
    <w:name w:val="Υποσέλιδο Char"/>
    <w:basedOn w:val="a0"/>
    <w:link w:val="aa"/>
    <w:uiPriority w:val="99"/>
    <w:rsid w:val="00D01855"/>
  </w:style>
  <w:style w:type="paragraph" w:customStyle="1" w:styleId="FK">
    <w:name w:val="FK"/>
    <w:rsid w:val="00080A36"/>
    <w:pPr>
      <w:pBdr>
        <w:top w:val="nil"/>
        <w:left w:val="nil"/>
        <w:bottom w:val="nil"/>
        <w:right w:val="nil"/>
        <w:between w:val="nil"/>
        <w:bar w:val="nil"/>
      </w:pBdr>
      <w:spacing w:line="480" w:lineRule="auto"/>
    </w:pPr>
    <w:rPr>
      <w:rFonts w:ascii="Arial Unicode MS" w:eastAsia="Arial Unicode MS" w:hAnsi="Arial Unicode MS" w:cs="Arial Unicode MS"/>
      <w:color w:val="000000"/>
      <w:sz w:val="28"/>
      <w:szCs w:val="28"/>
      <w:u w:color="000000"/>
      <w:bdr w:val="nil"/>
      <w:lang w:val="el-GR" w:eastAsia="el-GR"/>
    </w:rPr>
  </w:style>
  <w:style w:type="paragraph" w:customStyle="1" w:styleId="Default">
    <w:name w:val="Default"/>
    <w:rsid w:val="00080A36"/>
    <w:pPr>
      <w:autoSpaceDE w:val="0"/>
      <w:autoSpaceDN w:val="0"/>
      <w:adjustRightInd w:val="0"/>
      <w:spacing w:after="0" w:line="240" w:lineRule="auto"/>
    </w:pPr>
    <w:rPr>
      <w:rFonts w:ascii="Eurobank Sans" w:hAnsi="Eurobank Sans" w:cs="Eurobank Sans"/>
      <w:color w:val="000000"/>
      <w:sz w:val="24"/>
      <w:szCs w:val="24"/>
      <w:lang w:val="el-GR"/>
    </w:rPr>
  </w:style>
  <w:style w:type="paragraph" w:styleId="ab">
    <w:name w:val="footnote text"/>
    <w:basedOn w:val="a"/>
    <w:link w:val="Char4"/>
    <w:uiPriority w:val="99"/>
    <w:semiHidden/>
    <w:unhideWhenUsed/>
    <w:rsid w:val="005A1A08"/>
    <w:pPr>
      <w:spacing w:after="0" w:line="240" w:lineRule="auto"/>
    </w:pPr>
    <w:rPr>
      <w:sz w:val="20"/>
      <w:szCs w:val="20"/>
      <w:lang w:val="el-GR"/>
    </w:rPr>
  </w:style>
  <w:style w:type="character" w:customStyle="1" w:styleId="Char4">
    <w:name w:val="Κείμενο υποσημείωσης Char"/>
    <w:basedOn w:val="a0"/>
    <w:link w:val="ab"/>
    <w:uiPriority w:val="99"/>
    <w:semiHidden/>
    <w:rsid w:val="005A1A08"/>
    <w:rPr>
      <w:sz w:val="20"/>
      <w:szCs w:val="20"/>
      <w:lang w:val="el-GR"/>
    </w:rPr>
  </w:style>
  <w:style w:type="character" w:styleId="ac">
    <w:name w:val="footnote reference"/>
    <w:basedOn w:val="a0"/>
    <w:uiPriority w:val="99"/>
    <w:semiHidden/>
    <w:unhideWhenUsed/>
    <w:rsid w:val="005A1A08"/>
    <w:rPr>
      <w:vertAlign w:val="superscript"/>
    </w:rPr>
  </w:style>
  <w:style w:type="paragraph" w:customStyle="1" w:styleId="fkERBSans">
    <w:name w:val="fk ERB Sans"/>
    <w:basedOn w:val="a"/>
    <w:autoRedefine/>
    <w:qFormat/>
    <w:rsid w:val="00D2172B"/>
    <w:pPr>
      <w:spacing w:after="160" w:line="360" w:lineRule="auto"/>
    </w:pPr>
    <w:rPr>
      <w:rFonts w:ascii="Eurobank Sans" w:hAnsi="Eurobank Sans"/>
      <w:sz w:val="24"/>
      <w:lang w:val="el-GR"/>
    </w:rPr>
  </w:style>
  <w:style w:type="paragraph" w:customStyle="1" w:styleId="fkOPEN">
    <w:name w:val="fk OPEN"/>
    <w:basedOn w:val="a"/>
    <w:autoRedefine/>
    <w:qFormat/>
    <w:rsid w:val="00D2172B"/>
    <w:pPr>
      <w:spacing w:after="160" w:line="256" w:lineRule="auto"/>
    </w:pPr>
    <w:rPr>
      <w:rFonts w:ascii="Open Sans" w:hAnsi="Open Sans"/>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9917">
      <w:bodyDiv w:val="1"/>
      <w:marLeft w:val="0"/>
      <w:marRight w:val="0"/>
      <w:marTop w:val="0"/>
      <w:marBottom w:val="0"/>
      <w:divBdr>
        <w:top w:val="none" w:sz="0" w:space="0" w:color="auto"/>
        <w:left w:val="none" w:sz="0" w:space="0" w:color="auto"/>
        <w:bottom w:val="none" w:sz="0" w:space="0" w:color="auto"/>
        <w:right w:val="none" w:sz="0" w:space="0" w:color="auto"/>
      </w:divBdr>
    </w:div>
    <w:div w:id="178394597">
      <w:bodyDiv w:val="1"/>
      <w:marLeft w:val="0"/>
      <w:marRight w:val="0"/>
      <w:marTop w:val="0"/>
      <w:marBottom w:val="0"/>
      <w:divBdr>
        <w:top w:val="none" w:sz="0" w:space="0" w:color="auto"/>
        <w:left w:val="none" w:sz="0" w:space="0" w:color="auto"/>
        <w:bottom w:val="none" w:sz="0" w:space="0" w:color="auto"/>
        <w:right w:val="none" w:sz="0" w:space="0" w:color="auto"/>
      </w:divBdr>
    </w:div>
    <w:div w:id="1224831575">
      <w:bodyDiv w:val="1"/>
      <w:marLeft w:val="0"/>
      <w:marRight w:val="0"/>
      <w:marTop w:val="0"/>
      <w:marBottom w:val="0"/>
      <w:divBdr>
        <w:top w:val="none" w:sz="0" w:space="0" w:color="auto"/>
        <w:left w:val="none" w:sz="0" w:space="0" w:color="auto"/>
        <w:bottom w:val="none" w:sz="0" w:space="0" w:color="auto"/>
        <w:right w:val="none" w:sz="0" w:space="0" w:color="auto"/>
      </w:divBdr>
    </w:div>
    <w:div w:id="1420951715">
      <w:bodyDiv w:val="1"/>
      <w:marLeft w:val="0"/>
      <w:marRight w:val="0"/>
      <w:marTop w:val="0"/>
      <w:marBottom w:val="0"/>
      <w:divBdr>
        <w:top w:val="none" w:sz="0" w:space="0" w:color="auto"/>
        <w:left w:val="none" w:sz="0" w:space="0" w:color="auto"/>
        <w:bottom w:val="none" w:sz="0" w:space="0" w:color="auto"/>
        <w:right w:val="none" w:sz="0" w:space="0" w:color="auto"/>
      </w:divBdr>
      <w:divsChild>
        <w:div w:id="12917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3488">
              <w:marLeft w:val="0"/>
              <w:marRight w:val="0"/>
              <w:marTop w:val="0"/>
              <w:marBottom w:val="0"/>
              <w:divBdr>
                <w:top w:val="none" w:sz="0" w:space="0" w:color="auto"/>
                <w:left w:val="none" w:sz="0" w:space="0" w:color="auto"/>
                <w:bottom w:val="none" w:sz="0" w:space="0" w:color="auto"/>
                <w:right w:val="none" w:sz="0" w:space="0" w:color="auto"/>
              </w:divBdr>
              <w:divsChild>
                <w:div w:id="9517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933E-7EE7-48CF-8EC9-D54B0C26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myrtw</dc:creator>
  <cp:lastModifiedBy>PANTELIS</cp:lastModifiedBy>
  <cp:revision>2</cp:revision>
  <cp:lastPrinted>2023-07-19T12:12:00Z</cp:lastPrinted>
  <dcterms:created xsi:type="dcterms:W3CDTF">2025-04-30T09:28:00Z</dcterms:created>
  <dcterms:modified xsi:type="dcterms:W3CDTF">2025-04-30T09:28:00Z</dcterms:modified>
</cp:coreProperties>
</file>