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97151" w14:textId="77777777" w:rsidR="00A50AED" w:rsidRPr="00720A11" w:rsidRDefault="00836CCD" w:rsidP="007604A6">
      <w:pPr>
        <w:spacing w:line="276" w:lineRule="auto"/>
        <w:jc w:val="center"/>
        <w:rPr>
          <w:rFonts w:ascii="Century Gothic" w:hAnsi="Century Gothic" w:cstheme="minorHAnsi"/>
          <w:sz w:val="23"/>
          <w:szCs w:val="23"/>
        </w:rPr>
      </w:pPr>
      <w:r w:rsidRPr="00720A11">
        <w:rPr>
          <w:rFonts w:ascii="Century Gothic" w:hAnsi="Century Gothic" w:cstheme="minorHAnsi"/>
          <w:noProof/>
          <w:sz w:val="23"/>
          <w:szCs w:val="23"/>
          <w:lang w:eastAsia="el-GR"/>
        </w:rPr>
        <w:drawing>
          <wp:inline distT="0" distB="0" distL="0" distR="0" wp14:anchorId="34D2C904" wp14:editId="157669E9">
            <wp:extent cx="2730963" cy="1363224"/>
            <wp:effectExtent l="0" t="0" r="0" b="0"/>
            <wp:docPr id="1" name="Εικόνα 1" descr="C:\BC\BACKUP_ARACHOVAS\ΕΣΕΕ\ΛΟΓΟΤΥΠΑ_ΕΣΕΕ\ΝΕΑ_ΛΟΓΟΤΥΠΑ_Ιούλιος_2023\logo INEMY\INEMY_LOGO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BACKUP_ARACHOVAS\ΕΣΕΕ\ΛΟΓΟΤΥΠΑ_ΕΣΕΕ\ΝΕΑ_ΛΟΓΟΤΥΠΑ_Ιούλιος_2023\logo INEMY\INEMY_LOGO_20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362" cy="1368415"/>
                    </a:xfrm>
                    <a:prstGeom prst="rect">
                      <a:avLst/>
                    </a:prstGeom>
                    <a:noFill/>
                    <a:ln>
                      <a:noFill/>
                    </a:ln>
                  </pic:spPr>
                </pic:pic>
              </a:graphicData>
            </a:graphic>
          </wp:inline>
        </w:drawing>
      </w:r>
    </w:p>
    <w:p w14:paraId="11F02271" w14:textId="27BA05A6" w:rsidR="003E75A1" w:rsidRPr="00BB4B1F" w:rsidRDefault="00BB577B" w:rsidP="00BB577B">
      <w:pPr>
        <w:spacing w:line="276" w:lineRule="auto"/>
        <w:jc w:val="center"/>
        <w:rPr>
          <w:rFonts w:ascii="Century Gothic" w:hAnsi="Century Gothic" w:cstheme="minorHAnsi"/>
          <w:b/>
          <w:color w:val="1F4E79" w:themeColor="accent1" w:themeShade="80"/>
          <w:sz w:val="28"/>
          <w:szCs w:val="28"/>
        </w:rPr>
      </w:pPr>
      <w:r w:rsidRPr="00BB4B1F">
        <w:rPr>
          <w:rFonts w:ascii="Century Gothic" w:hAnsi="Century Gothic" w:cstheme="minorHAnsi"/>
          <w:b/>
          <w:color w:val="1F4E79" w:themeColor="accent1" w:themeShade="80"/>
          <w:sz w:val="28"/>
          <w:szCs w:val="28"/>
        </w:rPr>
        <w:t>Α</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Ν</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Α</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Λ</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Υ</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Σ</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Ε</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Ι</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 xml:space="preserve">Σ </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Ε</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Π</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Ι</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Κ</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Α</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Ι</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Ρ</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Ο</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Τ</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Η</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Τ</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Α</w:t>
      </w:r>
      <w:r w:rsidR="00BB4B1F">
        <w:rPr>
          <w:rFonts w:ascii="Century Gothic" w:hAnsi="Century Gothic" w:cstheme="minorHAnsi"/>
          <w:b/>
          <w:color w:val="1F4E79" w:themeColor="accent1" w:themeShade="80"/>
          <w:sz w:val="28"/>
          <w:szCs w:val="28"/>
        </w:rPr>
        <w:t xml:space="preserve"> </w:t>
      </w:r>
      <w:r w:rsidRPr="00BB4B1F">
        <w:rPr>
          <w:rFonts w:ascii="Century Gothic" w:hAnsi="Century Gothic" w:cstheme="minorHAnsi"/>
          <w:b/>
          <w:color w:val="1F4E79" w:themeColor="accent1" w:themeShade="80"/>
          <w:sz w:val="28"/>
          <w:szCs w:val="28"/>
        </w:rPr>
        <w:t>Σ</w:t>
      </w:r>
    </w:p>
    <w:p w14:paraId="1786DD64" w14:textId="2C0052ED" w:rsidR="003E75A1" w:rsidRDefault="003E75A1" w:rsidP="007604A6">
      <w:pPr>
        <w:spacing w:line="276" w:lineRule="auto"/>
        <w:rPr>
          <w:rFonts w:ascii="Century Gothic" w:hAnsi="Century Gothic" w:cstheme="minorHAnsi"/>
          <w:sz w:val="23"/>
          <w:szCs w:val="23"/>
        </w:rPr>
      </w:pPr>
    </w:p>
    <w:p w14:paraId="237A2ADC" w14:textId="77777777" w:rsidR="00BB4B1F" w:rsidRPr="00720A11" w:rsidRDefault="00BB4B1F" w:rsidP="007604A6">
      <w:pPr>
        <w:spacing w:line="276" w:lineRule="auto"/>
        <w:rPr>
          <w:rFonts w:ascii="Century Gothic" w:hAnsi="Century Gothic" w:cstheme="minorHAnsi"/>
          <w:sz w:val="23"/>
          <w:szCs w:val="23"/>
        </w:rPr>
      </w:pPr>
    </w:p>
    <w:p w14:paraId="6E97DC69" w14:textId="027CAF8E" w:rsidR="00836CCD" w:rsidRPr="00720A11" w:rsidRDefault="00E70CEF" w:rsidP="007604A6">
      <w:pPr>
        <w:spacing w:line="276" w:lineRule="auto"/>
        <w:jc w:val="center"/>
        <w:rPr>
          <w:rFonts w:ascii="Century Gothic" w:hAnsi="Century Gothic" w:cstheme="minorHAnsi"/>
          <w:b/>
          <w:sz w:val="24"/>
          <w:szCs w:val="24"/>
        </w:rPr>
      </w:pPr>
      <w:r w:rsidRPr="00720A11">
        <w:rPr>
          <w:rFonts w:ascii="Century Gothic" w:hAnsi="Century Gothic" w:cstheme="minorHAnsi"/>
          <w:b/>
          <w:sz w:val="24"/>
          <w:szCs w:val="24"/>
        </w:rPr>
        <w:t>Η λ</w:t>
      </w:r>
      <w:r w:rsidR="001B0673" w:rsidRPr="00720A11">
        <w:rPr>
          <w:rFonts w:ascii="Century Gothic" w:hAnsi="Century Gothic" w:cstheme="minorHAnsi"/>
          <w:b/>
          <w:sz w:val="24"/>
          <w:szCs w:val="24"/>
        </w:rPr>
        <w:t>ειτουργία του εγχώριου τραπεζικού συστήματος</w:t>
      </w:r>
      <w:r w:rsidR="00641512" w:rsidRPr="00720A11">
        <w:rPr>
          <w:rFonts w:ascii="Century Gothic" w:hAnsi="Century Gothic" w:cstheme="minorHAnsi"/>
          <w:b/>
          <w:sz w:val="24"/>
          <w:szCs w:val="24"/>
        </w:rPr>
        <w:t xml:space="preserve"> και η ενίσχυση της</w:t>
      </w:r>
      <w:r w:rsidRPr="00720A11">
        <w:rPr>
          <w:rFonts w:ascii="Century Gothic" w:hAnsi="Century Gothic" w:cstheme="minorHAnsi"/>
          <w:b/>
          <w:sz w:val="24"/>
          <w:szCs w:val="24"/>
        </w:rPr>
        <w:t xml:space="preserve"> αγορά</w:t>
      </w:r>
      <w:r w:rsidR="003E75A1" w:rsidRPr="00720A11">
        <w:rPr>
          <w:rFonts w:ascii="Century Gothic" w:hAnsi="Century Gothic" w:cstheme="minorHAnsi"/>
          <w:b/>
          <w:sz w:val="24"/>
          <w:szCs w:val="24"/>
        </w:rPr>
        <w:t>ς</w:t>
      </w:r>
    </w:p>
    <w:p w14:paraId="52EFA08E" w14:textId="77777777" w:rsidR="00836CCD" w:rsidRPr="00720A11" w:rsidRDefault="00836CCD" w:rsidP="007604A6">
      <w:pPr>
        <w:spacing w:line="276" w:lineRule="auto"/>
        <w:jc w:val="both"/>
        <w:rPr>
          <w:rFonts w:ascii="Century Gothic" w:hAnsi="Century Gothic" w:cstheme="minorHAnsi"/>
          <w:sz w:val="23"/>
          <w:szCs w:val="23"/>
        </w:rPr>
      </w:pPr>
    </w:p>
    <w:p w14:paraId="4DEF3D87" w14:textId="2B347755" w:rsidR="00014CA1" w:rsidRPr="00720A11" w:rsidRDefault="00CE2A13" w:rsidP="007604A6">
      <w:pPr>
        <w:spacing w:line="276" w:lineRule="auto"/>
        <w:jc w:val="both"/>
        <w:rPr>
          <w:rFonts w:ascii="Century Gothic" w:hAnsi="Century Gothic" w:cstheme="minorHAnsi"/>
          <w:sz w:val="23"/>
          <w:szCs w:val="23"/>
        </w:rPr>
      </w:pPr>
      <w:r w:rsidRPr="00720A11">
        <w:rPr>
          <w:rFonts w:ascii="Century Gothic" w:hAnsi="Century Gothic" w:cstheme="minorHAnsi"/>
          <w:sz w:val="23"/>
          <w:szCs w:val="23"/>
        </w:rPr>
        <w:t xml:space="preserve">Ένα εύρυθμο και ρυθμισμένο τραπεζικό σύστημα είναι κρίσιμο για την αποτελεσματική λειτουργία της αγοράς. </w:t>
      </w:r>
      <w:r w:rsidR="00F3065D" w:rsidRPr="00720A11">
        <w:rPr>
          <w:rFonts w:ascii="Century Gothic" w:hAnsi="Century Gothic" w:cstheme="minorHAnsi"/>
          <w:sz w:val="23"/>
          <w:szCs w:val="23"/>
        </w:rPr>
        <w:t>Η ορθολογική κατανομή κεφαλαίων μεταξύ πλεοναζόντων (καταθετών) και ελλειμματικών (δανειοληπτών) μονάδων ενισχύει τις επενδύσεις και συνεπώς την παραγωγικότητα και την ανταγωνιστικότητα της οικονομίας</w:t>
      </w:r>
      <w:r w:rsidR="000F569B" w:rsidRPr="00720A11">
        <w:rPr>
          <w:rFonts w:ascii="Century Gothic" w:hAnsi="Century Gothic" w:cstheme="minorHAnsi"/>
          <w:sz w:val="23"/>
          <w:szCs w:val="23"/>
        </w:rPr>
        <w:t>,</w:t>
      </w:r>
      <w:r w:rsidR="00F3065D" w:rsidRPr="00720A11">
        <w:rPr>
          <w:rFonts w:ascii="Century Gothic" w:hAnsi="Century Gothic" w:cstheme="minorHAnsi"/>
          <w:sz w:val="23"/>
          <w:szCs w:val="23"/>
        </w:rPr>
        <w:t xml:space="preserve"> καθώς </w:t>
      </w:r>
      <w:r w:rsidR="000F569B" w:rsidRPr="00720A11">
        <w:rPr>
          <w:rFonts w:ascii="Century Gothic" w:hAnsi="Century Gothic" w:cstheme="minorHAnsi"/>
          <w:sz w:val="23"/>
          <w:szCs w:val="23"/>
        </w:rPr>
        <w:t xml:space="preserve">επίσης </w:t>
      </w:r>
      <w:r w:rsidR="00F3065D" w:rsidRPr="00720A11">
        <w:rPr>
          <w:rFonts w:ascii="Century Gothic" w:hAnsi="Century Gothic" w:cstheme="minorHAnsi"/>
          <w:sz w:val="23"/>
          <w:szCs w:val="23"/>
        </w:rPr>
        <w:t>την κατανάλωση και την απασχόληση.</w:t>
      </w:r>
      <w:r w:rsidR="00014CA1" w:rsidRPr="00720A11">
        <w:rPr>
          <w:rFonts w:ascii="Century Gothic" w:hAnsi="Century Gothic" w:cstheme="minorHAnsi"/>
          <w:sz w:val="23"/>
          <w:szCs w:val="23"/>
        </w:rPr>
        <w:t xml:space="preserve"> </w:t>
      </w:r>
      <w:r w:rsidR="00DD30FC" w:rsidRPr="00720A11">
        <w:rPr>
          <w:rFonts w:ascii="Century Gothic" w:hAnsi="Century Gothic" w:cstheme="minorHAnsi"/>
          <w:sz w:val="23"/>
          <w:szCs w:val="23"/>
          <w:lang w:val="en-US"/>
        </w:rPr>
        <w:t>H</w:t>
      </w:r>
      <w:r w:rsidR="00DD30FC" w:rsidRPr="00720A11">
        <w:rPr>
          <w:rFonts w:ascii="Century Gothic" w:hAnsi="Century Gothic" w:cstheme="minorHAnsi"/>
          <w:sz w:val="23"/>
          <w:szCs w:val="23"/>
        </w:rPr>
        <w:t xml:space="preserve"> κατανομή της χρηματοδότησης σε μια οικονομία είναι εξαιρετικά κρίσιμη καθώς μπορεί, σε αρκετές περιπτώσεις, να αλλάξει δραματικά τον ανταγωνισμό. Ειδικά στο εμπόριο, η χρηματοδότηση μπορεί να επιφέρει σημαντικές ανακατατάξεις στα κανάλια διανομής δημιουργώντας νέες επιχειρηματικές ευκαιρίες.  </w:t>
      </w:r>
      <w:r w:rsidR="00014CA1" w:rsidRPr="00720A11">
        <w:rPr>
          <w:rFonts w:ascii="Century Gothic" w:hAnsi="Century Gothic" w:cstheme="minorHAnsi"/>
          <w:sz w:val="23"/>
          <w:szCs w:val="23"/>
        </w:rPr>
        <w:t xml:space="preserve"> </w:t>
      </w:r>
    </w:p>
    <w:p w14:paraId="4FA7F46E" w14:textId="5832AD70" w:rsidR="00DF6BCF" w:rsidRPr="00720A11" w:rsidRDefault="00A5433B" w:rsidP="007604A6">
      <w:pPr>
        <w:spacing w:line="276" w:lineRule="auto"/>
        <w:jc w:val="both"/>
        <w:rPr>
          <w:rFonts w:ascii="Century Gothic" w:hAnsi="Century Gothic" w:cstheme="minorHAnsi"/>
          <w:sz w:val="23"/>
          <w:szCs w:val="23"/>
        </w:rPr>
      </w:pPr>
      <w:r w:rsidRPr="00720A11">
        <w:rPr>
          <w:rFonts w:ascii="Century Gothic" w:hAnsi="Century Gothic" w:cstheme="minorHAnsi"/>
          <w:sz w:val="23"/>
          <w:szCs w:val="23"/>
        </w:rPr>
        <w:t>Στην Ελλάδα, π</w:t>
      </w:r>
      <w:r w:rsidR="00014CA1" w:rsidRPr="00720A11">
        <w:rPr>
          <w:rFonts w:ascii="Century Gothic" w:hAnsi="Century Gothic" w:cstheme="minorHAnsi"/>
          <w:sz w:val="23"/>
          <w:szCs w:val="23"/>
        </w:rPr>
        <w:t xml:space="preserve">αρά τη σαφή πρόοδο της λειτουργίας </w:t>
      </w:r>
      <w:r w:rsidR="000F569B" w:rsidRPr="00720A11">
        <w:rPr>
          <w:rFonts w:ascii="Century Gothic" w:hAnsi="Century Gothic" w:cstheme="minorHAnsi"/>
          <w:sz w:val="23"/>
          <w:szCs w:val="23"/>
        </w:rPr>
        <w:t xml:space="preserve">και των δυνατοτήτων </w:t>
      </w:r>
      <w:r w:rsidR="00014CA1" w:rsidRPr="00720A11">
        <w:rPr>
          <w:rFonts w:ascii="Century Gothic" w:hAnsi="Century Gothic" w:cstheme="minorHAnsi"/>
          <w:sz w:val="23"/>
          <w:szCs w:val="23"/>
        </w:rPr>
        <w:t xml:space="preserve">του τραπεζικού συστήματος </w:t>
      </w:r>
      <w:r w:rsidR="000F569B" w:rsidRPr="00720A11">
        <w:rPr>
          <w:rFonts w:ascii="Century Gothic" w:hAnsi="Century Gothic" w:cstheme="minorHAnsi"/>
          <w:sz w:val="23"/>
          <w:szCs w:val="23"/>
        </w:rPr>
        <w:t>αλλά και των ε</w:t>
      </w:r>
      <w:r w:rsidRPr="00720A11">
        <w:rPr>
          <w:rFonts w:ascii="Century Gothic" w:hAnsi="Century Gothic" w:cstheme="minorHAnsi"/>
          <w:sz w:val="23"/>
          <w:szCs w:val="23"/>
        </w:rPr>
        <w:t>λεγκτικών μηχανισμών</w:t>
      </w:r>
      <w:r w:rsidR="00014CA1" w:rsidRPr="00720A11">
        <w:rPr>
          <w:rFonts w:ascii="Century Gothic" w:hAnsi="Century Gothic" w:cstheme="minorHAnsi"/>
          <w:sz w:val="23"/>
          <w:szCs w:val="23"/>
        </w:rPr>
        <w:t xml:space="preserve">, </w:t>
      </w:r>
      <w:r w:rsidR="000F569B" w:rsidRPr="00720A11">
        <w:rPr>
          <w:rFonts w:ascii="Century Gothic" w:hAnsi="Century Gothic" w:cstheme="minorHAnsi"/>
          <w:sz w:val="23"/>
          <w:szCs w:val="23"/>
        </w:rPr>
        <w:t xml:space="preserve">παρατηρούνται αρκετές αρρυθμίες κατά τη διαδικασία μεταφοράς ρευστότητας στην πραγματική οικονομία. Το μέγεθος αυτών των αστοχιών γίνεται καλύτερα αντιληπτό όταν τα </w:t>
      </w:r>
      <w:r w:rsidR="004E1B3F" w:rsidRPr="00720A11">
        <w:rPr>
          <w:rFonts w:ascii="Century Gothic" w:hAnsi="Century Gothic" w:cstheme="minorHAnsi"/>
          <w:sz w:val="23"/>
          <w:szCs w:val="23"/>
        </w:rPr>
        <w:t xml:space="preserve">σχετικά τραπεζικά </w:t>
      </w:r>
      <w:r w:rsidR="000F569B" w:rsidRPr="00720A11">
        <w:rPr>
          <w:rFonts w:ascii="Century Gothic" w:hAnsi="Century Gothic" w:cstheme="minorHAnsi"/>
          <w:sz w:val="23"/>
          <w:szCs w:val="23"/>
        </w:rPr>
        <w:t xml:space="preserve">δεδομένα για τη χώρα μας συγκρίνονται όχι </w:t>
      </w:r>
      <w:r w:rsidR="00B735D7" w:rsidRPr="00720A11">
        <w:rPr>
          <w:rFonts w:ascii="Century Gothic" w:hAnsi="Century Gothic" w:cstheme="minorHAnsi"/>
          <w:sz w:val="23"/>
          <w:szCs w:val="23"/>
        </w:rPr>
        <w:t>μόνο</w:t>
      </w:r>
      <w:r w:rsidR="00720A11">
        <w:rPr>
          <w:rFonts w:ascii="Century Gothic" w:hAnsi="Century Gothic" w:cstheme="minorHAnsi"/>
          <w:sz w:val="23"/>
          <w:szCs w:val="23"/>
        </w:rPr>
        <w:t xml:space="preserve"> </w:t>
      </w:r>
      <w:r w:rsidR="000F569B" w:rsidRPr="00720A11">
        <w:rPr>
          <w:rFonts w:ascii="Century Gothic" w:hAnsi="Century Gothic" w:cstheme="minorHAnsi"/>
          <w:sz w:val="23"/>
          <w:szCs w:val="23"/>
        </w:rPr>
        <w:t xml:space="preserve">με εκείνα άλλων </w:t>
      </w:r>
      <w:r w:rsidR="004E1B3F" w:rsidRPr="00720A11">
        <w:rPr>
          <w:rFonts w:ascii="Century Gothic" w:hAnsi="Century Gothic" w:cstheme="minorHAnsi"/>
          <w:sz w:val="23"/>
          <w:szCs w:val="23"/>
        </w:rPr>
        <w:t xml:space="preserve">οικονομιών, οι οποίες μπορεί για διάφορους λόγους να σημειώνουν καλύτερες επιδόσεις, </w:t>
      </w:r>
      <w:r w:rsidR="000F569B" w:rsidRPr="00720A11">
        <w:rPr>
          <w:rFonts w:ascii="Century Gothic" w:hAnsi="Century Gothic" w:cstheme="minorHAnsi"/>
          <w:sz w:val="23"/>
          <w:szCs w:val="23"/>
        </w:rPr>
        <w:t>αλλά και με το μέσο όρο των χωρών της Ευρωζώνης.</w:t>
      </w:r>
      <w:r w:rsidR="00DF6BCF" w:rsidRPr="00720A11">
        <w:rPr>
          <w:rFonts w:ascii="Century Gothic" w:hAnsi="Century Gothic" w:cstheme="minorHAnsi"/>
          <w:sz w:val="23"/>
          <w:szCs w:val="23"/>
        </w:rPr>
        <w:t xml:space="preserve"> Πιο συγκεκριμένα:</w:t>
      </w:r>
    </w:p>
    <w:p w14:paraId="0C1DBDEA" w14:textId="521C7FE3" w:rsidR="003E75A1" w:rsidRPr="00720A11" w:rsidRDefault="003E75A1" w:rsidP="007604A6">
      <w:pPr>
        <w:spacing w:line="276" w:lineRule="auto"/>
        <w:jc w:val="both"/>
        <w:rPr>
          <w:rFonts w:ascii="Century Gothic" w:hAnsi="Century Gothic" w:cstheme="minorHAnsi"/>
          <w:b/>
          <w:sz w:val="23"/>
          <w:szCs w:val="23"/>
        </w:rPr>
      </w:pPr>
    </w:p>
    <w:p w14:paraId="2A630EDE" w14:textId="353E279A" w:rsidR="003E75A1" w:rsidRPr="00720A11" w:rsidRDefault="003E75A1" w:rsidP="007604A6">
      <w:pPr>
        <w:spacing w:line="276" w:lineRule="auto"/>
        <w:jc w:val="both"/>
        <w:rPr>
          <w:rFonts w:ascii="Century Gothic" w:hAnsi="Century Gothic" w:cstheme="minorHAnsi"/>
          <w:b/>
          <w:sz w:val="23"/>
          <w:szCs w:val="23"/>
        </w:rPr>
      </w:pPr>
    </w:p>
    <w:p w14:paraId="2C820754" w14:textId="135FE6D4" w:rsidR="003E75A1" w:rsidRPr="00720A11" w:rsidRDefault="003E75A1" w:rsidP="007604A6">
      <w:pPr>
        <w:spacing w:line="276" w:lineRule="auto"/>
        <w:jc w:val="both"/>
        <w:rPr>
          <w:rFonts w:ascii="Century Gothic" w:hAnsi="Century Gothic" w:cstheme="minorHAnsi"/>
          <w:b/>
          <w:sz w:val="23"/>
          <w:szCs w:val="23"/>
        </w:rPr>
      </w:pPr>
    </w:p>
    <w:p w14:paraId="6127072A" w14:textId="314AC048" w:rsidR="003E75A1" w:rsidRPr="00720A11" w:rsidRDefault="003E75A1" w:rsidP="007604A6">
      <w:pPr>
        <w:spacing w:line="276" w:lineRule="auto"/>
        <w:jc w:val="both"/>
        <w:rPr>
          <w:rFonts w:ascii="Century Gothic" w:hAnsi="Century Gothic" w:cstheme="minorHAnsi"/>
          <w:b/>
          <w:sz w:val="23"/>
          <w:szCs w:val="23"/>
        </w:rPr>
      </w:pPr>
    </w:p>
    <w:p w14:paraId="02C77D6E" w14:textId="422AF93A" w:rsidR="00E70CEF" w:rsidRPr="00720A11" w:rsidRDefault="00E70CEF" w:rsidP="007604A6">
      <w:pPr>
        <w:spacing w:line="276" w:lineRule="auto"/>
        <w:jc w:val="both"/>
        <w:rPr>
          <w:rFonts w:ascii="Century Gothic" w:hAnsi="Century Gothic" w:cstheme="minorHAnsi"/>
          <w:b/>
          <w:sz w:val="23"/>
          <w:szCs w:val="23"/>
        </w:rPr>
      </w:pPr>
      <w:r w:rsidRPr="00720A11">
        <w:rPr>
          <w:rFonts w:ascii="Century Gothic" w:hAnsi="Century Gothic" w:cstheme="minorHAnsi"/>
          <w:b/>
          <w:sz w:val="23"/>
          <w:szCs w:val="23"/>
        </w:rPr>
        <w:t>Διαφορά επιτοκίων και χορηγήσεις δανείων</w:t>
      </w:r>
    </w:p>
    <w:p w14:paraId="3501E224" w14:textId="0E4C2EED" w:rsidR="00A34990" w:rsidRPr="00720A11" w:rsidRDefault="00E70CEF" w:rsidP="007604A6">
      <w:pPr>
        <w:spacing w:line="276" w:lineRule="auto"/>
        <w:jc w:val="both"/>
        <w:rPr>
          <w:rFonts w:ascii="Century Gothic" w:hAnsi="Century Gothic" w:cstheme="minorHAnsi"/>
          <w:sz w:val="23"/>
          <w:szCs w:val="23"/>
        </w:rPr>
      </w:pPr>
      <w:r w:rsidRPr="00720A11">
        <w:rPr>
          <w:rFonts w:ascii="Century Gothic" w:hAnsi="Century Gothic" w:cstheme="minorHAnsi"/>
          <w:sz w:val="23"/>
          <w:szCs w:val="23"/>
        </w:rPr>
        <w:t>Σ</w:t>
      </w:r>
      <w:r w:rsidR="00070FEF" w:rsidRPr="00720A11">
        <w:rPr>
          <w:rFonts w:ascii="Century Gothic" w:hAnsi="Century Gothic" w:cstheme="minorHAnsi"/>
          <w:sz w:val="23"/>
          <w:szCs w:val="23"/>
        </w:rPr>
        <w:t>την Ελλάδα παρατηρείται ιδιαίτερα διευρυμένη απόσταση μεταξύ των επιτοκίων καταθέσεων και χορηγήσεων</w:t>
      </w:r>
      <w:r w:rsidR="005042EA" w:rsidRPr="00720A11">
        <w:rPr>
          <w:rFonts w:ascii="Century Gothic" w:hAnsi="Century Gothic" w:cstheme="minorHAnsi"/>
          <w:sz w:val="23"/>
          <w:szCs w:val="23"/>
        </w:rPr>
        <w:t xml:space="preserve"> γνωστό και ως </w:t>
      </w:r>
      <w:r w:rsidR="005042EA" w:rsidRPr="00720A11">
        <w:rPr>
          <w:rFonts w:ascii="Century Gothic" w:hAnsi="Century Gothic" w:cstheme="minorHAnsi"/>
          <w:i/>
          <w:sz w:val="23"/>
          <w:szCs w:val="23"/>
        </w:rPr>
        <w:t>περιθώριο επιτοκίου</w:t>
      </w:r>
      <w:r w:rsidR="005042EA" w:rsidRPr="00720A11">
        <w:rPr>
          <w:rFonts w:ascii="Century Gothic" w:hAnsi="Century Gothic" w:cstheme="minorHAnsi"/>
          <w:sz w:val="23"/>
          <w:szCs w:val="23"/>
        </w:rPr>
        <w:t xml:space="preserve">. Το περιθώριο αυτό ισούται με τη διαφορά του μέσου σταθμισμένου επιτοκίου όλων των δανείων από το μέσο σταθμισμένο επιτόκιο όλων των καταθέσεων. </w:t>
      </w:r>
      <w:r w:rsidR="005042EA" w:rsidRPr="00720A11">
        <w:rPr>
          <w:rFonts w:ascii="Century Gothic" w:hAnsi="Century Gothic" w:cstheme="minorHAnsi"/>
          <w:color w:val="222222"/>
          <w:sz w:val="23"/>
          <w:szCs w:val="23"/>
          <w:shd w:val="clear" w:color="auto" w:fill="FFFFFF"/>
        </w:rPr>
        <w:t xml:space="preserve">Τον Οκτώβριο του 2024, το περιθώριο επιτοκίου μεταξύ των νέων καταθέσεων και νέων δανείων μειώθηκε στις 488 μονάδες βάσης (4,88%) ενώ εκείνο </w:t>
      </w:r>
      <w:r w:rsidR="005042EA" w:rsidRPr="00720A11">
        <w:rPr>
          <w:rFonts w:ascii="Century Gothic" w:eastAsia="Times New Roman" w:hAnsi="Century Gothic" w:cstheme="minorHAnsi"/>
          <w:color w:val="222222"/>
          <w:sz w:val="23"/>
          <w:szCs w:val="23"/>
          <w:lang w:eastAsia="el-GR"/>
        </w:rPr>
        <w:t>μεταξύ των υφιστάμενων καταθέσεων και υφιστάμενων δανείων μειώθηκε στις 532 μονάδες βάσης (5,32</w:t>
      </w:r>
      <w:r w:rsidR="00DF6EC0" w:rsidRPr="00720A11">
        <w:rPr>
          <w:rFonts w:ascii="Century Gothic" w:eastAsia="Times New Roman" w:hAnsi="Century Gothic" w:cstheme="minorHAnsi"/>
          <w:color w:val="222222"/>
          <w:sz w:val="23"/>
          <w:szCs w:val="23"/>
          <w:lang w:eastAsia="el-GR"/>
        </w:rPr>
        <w:t>%), αμφότερα με πτωτική τάση το τελευταίο διάστημα λόγω</w:t>
      </w:r>
      <w:r w:rsidR="00CE2A13" w:rsidRPr="00720A11">
        <w:rPr>
          <w:rFonts w:ascii="Century Gothic" w:eastAsia="Times New Roman" w:hAnsi="Century Gothic" w:cstheme="minorHAnsi"/>
          <w:color w:val="222222"/>
          <w:sz w:val="23"/>
          <w:szCs w:val="23"/>
          <w:lang w:eastAsia="el-GR"/>
        </w:rPr>
        <w:t xml:space="preserve"> της χαλάρωσης της νομισματικής πολιτικής</w:t>
      </w:r>
      <w:r w:rsidR="00DF6EC0" w:rsidRPr="00720A11">
        <w:rPr>
          <w:rFonts w:ascii="Century Gothic" w:eastAsia="Times New Roman" w:hAnsi="Century Gothic" w:cstheme="minorHAnsi"/>
          <w:color w:val="222222"/>
          <w:sz w:val="23"/>
          <w:szCs w:val="23"/>
          <w:lang w:eastAsia="el-GR"/>
        </w:rPr>
        <w:t xml:space="preserve"> και της υποχώρησης των επιτοκίων παρέμβασης της ΕΚΤ.</w:t>
      </w:r>
      <w:r w:rsidR="00A34990" w:rsidRPr="00720A11">
        <w:rPr>
          <w:rFonts w:ascii="Century Gothic" w:eastAsia="Times New Roman" w:hAnsi="Century Gothic" w:cstheme="minorHAnsi"/>
          <w:color w:val="222222"/>
          <w:sz w:val="23"/>
          <w:szCs w:val="23"/>
          <w:lang w:eastAsia="el-GR"/>
        </w:rPr>
        <w:t xml:space="preserve"> </w:t>
      </w:r>
    </w:p>
    <w:p w14:paraId="244D6043" w14:textId="2E8E0AFF" w:rsidR="005E56C7" w:rsidRPr="00720A11" w:rsidRDefault="00A34990" w:rsidP="007604A6">
      <w:pPr>
        <w:spacing w:line="276" w:lineRule="auto"/>
        <w:jc w:val="both"/>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Με βάση τα στατιστικά στοιχεία του Ενιαίου Εποπτικού Μηχανισμού της Ευρωπαϊκής Κεντρικής Τράπεζας ως προς τα συστημικά πιστωτικά ιδρύματα που υπόκεινται στην άμεση εποπτεία του (1</w:t>
      </w:r>
      <w:r w:rsidR="00B16D6C" w:rsidRPr="00720A11">
        <w:rPr>
          <w:rFonts w:ascii="Century Gothic" w:eastAsia="Times New Roman" w:hAnsi="Century Gothic" w:cstheme="minorHAnsi"/>
          <w:color w:val="222222"/>
          <w:sz w:val="23"/>
          <w:szCs w:val="23"/>
          <w:lang w:eastAsia="el-GR"/>
        </w:rPr>
        <w:t>1</w:t>
      </w:r>
      <w:r w:rsidRPr="00720A11">
        <w:rPr>
          <w:rFonts w:ascii="Century Gothic" w:eastAsia="Times New Roman" w:hAnsi="Century Gothic" w:cstheme="minorHAnsi"/>
          <w:color w:val="222222"/>
          <w:sz w:val="23"/>
          <w:szCs w:val="23"/>
          <w:lang w:eastAsia="el-GR"/>
        </w:rPr>
        <w:t xml:space="preserve">0 συνολικά στην </w:t>
      </w:r>
      <w:r w:rsidRPr="00720A11">
        <w:rPr>
          <w:rFonts w:ascii="Century Gothic" w:eastAsia="Times New Roman" w:hAnsi="Century Gothic" w:cstheme="minorHAnsi"/>
          <w:color w:val="222222"/>
          <w:sz w:val="23"/>
          <w:szCs w:val="23"/>
          <w:shd w:val="clear" w:color="auto" w:fill="FFFFFF" w:themeFill="background1"/>
          <w:lang w:eastAsia="el-GR"/>
        </w:rPr>
        <w:t xml:space="preserve">Ευρωζώνη εκ των οποίων τα 4 στην Ελλάδα), το καθαρό </w:t>
      </w:r>
      <w:proofErr w:type="spellStart"/>
      <w:r w:rsidRPr="00720A11">
        <w:rPr>
          <w:rFonts w:ascii="Century Gothic" w:eastAsia="Times New Roman" w:hAnsi="Century Gothic" w:cstheme="minorHAnsi"/>
          <w:color w:val="222222"/>
          <w:sz w:val="23"/>
          <w:szCs w:val="23"/>
          <w:shd w:val="clear" w:color="auto" w:fill="FFFFFF" w:themeFill="background1"/>
          <w:lang w:eastAsia="el-GR"/>
        </w:rPr>
        <w:t>επιτοκιακό</w:t>
      </w:r>
      <w:proofErr w:type="spellEnd"/>
      <w:r w:rsidRPr="00720A11">
        <w:rPr>
          <w:rFonts w:ascii="Century Gothic" w:eastAsia="Times New Roman" w:hAnsi="Century Gothic" w:cstheme="minorHAnsi"/>
          <w:color w:val="222222"/>
          <w:sz w:val="23"/>
          <w:szCs w:val="23"/>
          <w:shd w:val="clear" w:color="auto" w:fill="FFFFFF" w:themeFill="background1"/>
          <w:lang w:eastAsia="el-GR"/>
        </w:rPr>
        <w:t xml:space="preserve"> περιθώριο (ΝΙΜ) </w:t>
      </w:r>
      <w:r w:rsidR="00415CBE" w:rsidRPr="00720A11">
        <w:rPr>
          <w:rFonts w:ascii="Century Gothic" w:eastAsia="Times New Roman" w:hAnsi="Century Gothic" w:cstheme="minorHAnsi"/>
          <w:color w:val="222222"/>
          <w:sz w:val="23"/>
          <w:szCs w:val="23"/>
          <w:shd w:val="clear" w:color="auto" w:fill="FFFFFF" w:themeFill="background1"/>
          <w:lang w:eastAsia="el-GR"/>
        </w:rPr>
        <w:t xml:space="preserve">είναι </w:t>
      </w:r>
      <w:r w:rsidR="00962DF8" w:rsidRPr="00720A11">
        <w:rPr>
          <w:rFonts w:ascii="Century Gothic" w:eastAsia="Times New Roman" w:hAnsi="Century Gothic" w:cstheme="minorHAnsi"/>
          <w:color w:val="222222"/>
          <w:sz w:val="23"/>
          <w:szCs w:val="23"/>
          <w:shd w:val="clear" w:color="auto" w:fill="FFFFFF" w:themeFill="background1"/>
          <w:lang w:eastAsia="el-GR"/>
        </w:rPr>
        <w:t xml:space="preserve"> </w:t>
      </w:r>
      <w:r w:rsidR="00720A11" w:rsidRPr="00720A11">
        <w:rPr>
          <w:rFonts w:ascii="Century Gothic" w:eastAsia="Times New Roman" w:hAnsi="Century Gothic" w:cstheme="minorHAnsi"/>
          <w:color w:val="222222"/>
          <w:sz w:val="23"/>
          <w:szCs w:val="23"/>
          <w:shd w:val="clear" w:color="auto" w:fill="FFFFFF" w:themeFill="background1"/>
          <w:lang w:eastAsia="el-GR"/>
        </w:rPr>
        <w:t>αρκετά</w:t>
      </w:r>
      <w:r w:rsidRPr="00720A11">
        <w:rPr>
          <w:rFonts w:ascii="Century Gothic" w:eastAsia="Times New Roman" w:hAnsi="Century Gothic" w:cstheme="minorHAnsi"/>
          <w:color w:val="222222"/>
          <w:sz w:val="23"/>
          <w:szCs w:val="23"/>
          <w:shd w:val="clear" w:color="auto" w:fill="FFFFFF" w:themeFill="background1"/>
          <w:lang w:eastAsia="el-GR"/>
        </w:rPr>
        <w:t xml:space="preserve"> υψηλότερο στη χώρα </w:t>
      </w:r>
      <w:r w:rsidR="002B6E97" w:rsidRPr="00720A11">
        <w:rPr>
          <w:rFonts w:ascii="Century Gothic" w:eastAsia="Times New Roman" w:hAnsi="Century Gothic" w:cstheme="minorHAnsi"/>
          <w:color w:val="222222"/>
          <w:sz w:val="23"/>
          <w:szCs w:val="23"/>
          <w:shd w:val="clear" w:color="auto" w:fill="FFFFFF" w:themeFill="background1"/>
          <w:lang w:eastAsia="el-GR"/>
        </w:rPr>
        <w:t>μας σε σύγκριση με τις άλλες χώρες της Ευρωζώνης</w:t>
      </w:r>
      <w:r w:rsidR="00DF6BCF" w:rsidRPr="00720A11">
        <w:rPr>
          <w:rFonts w:ascii="Century Gothic" w:eastAsia="Times New Roman" w:hAnsi="Century Gothic" w:cstheme="minorHAnsi"/>
          <w:color w:val="222222"/>
          <w:sz w:val="23"/>
          <w:szCs w:val="23"/>
          <w:shd w:val="clear" w:color="auto" w:fill="FFFFFF" w:themeFill="background1"/>
          <w:lang w:eastAsia="el-GR"/>
        </w:rPr>
        <w:t>. Το στοιχείο</w:t>
      </w:r>
      <w:r w:rsidRPr="00720A11">
        <w:rPr>
          <w:rFonts w:ascii="Century Gothic" w:eastAsia="Times New Roman" w:hAnsi="Century Gothic" w:cstheme="minorHAnsi"/>
          <w:color w:val="222222"/>
          <w:sz w:val="23"/>
          <w:szCs w:val="23"/>
          <w:shd w:val="clear" w:color="auto" w:fill="FFFFFF" w:themeFill="background1"/>
          <w:lang w:eastAsia="el-GR"/>
        </w:rPr>
        <w:t xml:space="preserve"> αυτό σημαίνει πως το καθαρό εισόδημα από τόκους που </w:t>
      </w:r>
      <w:r w:rsidR="00DF6BCF" w:rsidRPr="00720A11">
        <w:rPr>
          <w:rFonts w:ascii="Century Gothic" w:eastAsia="Times New Roman" w:hAnsi="Century Gothic" w:cstheme="minorHAnsi"/>
          <w:color w:val="222222"/>
          <w:sz w:val="23"/>
          <w:szCs w:val="23"/>
          <w:shd w:val="clear" w:color="auto" w:fill="FFFFFF" w:themeFill="background1"/>
          <w:lang w:eastAsia="el-GR"/>
        </w:rPr>
        <w:t>εισέπραξαν</w:t>
      </w:r>
      <w:r w:rsidRPr="00720A11">
        <w:rPr>
          <w:rFonts w:ascii="Century Gothic" w:eastAsia="Times New Roman" w:hAnsi="Century Gothic" w:cstheme="minorHAnsi"/>
          <w:color w:val="222222"/>
          <w:sz w:val="23"/>
          <w:szCs w:val="23"/>
          <w:shd w:val="clear" w:color="auto" w:fill="FFFFFF" w:themeFill="background1"/>
          <w:lang w:eastAsia="el-GR"/>
        </w:rPr>
        <w:t xml:space="preserve"> οι 4 συστημικές ελληνικές τράπεζες από τις χορηγήσεις</w:t>
      </w:r>
      <w:r w:rsidRPr="00720A11">
        <w:rPr>
          <w:rFonts w:ascii="Century Gothic" w:eastAsia="Times New Roman" w:hAnsi="Century Gothic" w:cstheme="minorHAnsi"/>
          <w:color w:val="222222"/>
          <w:sz w:val="23"/>
          <w:szCs w:val="23"/>
          <w:lang w:eastAsia="el-GR"/>
        </w:rPr>
        <w:t xml:space="preserve">, </w:t>
      </w:r>
      <w:r w:rsidR="002B6E97" w:rsidRPr="00720A11">
        <w:rPr>
          <w:rFonts w:ascii="Century Gothic" w:eastAsia="Times New Roman" w:hAnsi="Century Gothic" w:cstheme="minorHAnsi"/>
          <w:color w:val="222222"/>
          <w:sz w:val="23"/>
          <w:szCs w:val="23"/>
          <w:lang w:eastAsia="el-GR"/>
        </w:rPr>
        <w:t>μείον τους τόκους που κατ</w:t>
      </w:r>
      <w:r w:rsidR="00B735D7" w:rsidRPr="00720A11">
        <w:rPr>
          <w:rFonts w:ascii="Century Gothic" w:eastAsia="Times New Roman" w:hAnsi="Century Gothic" w:cstheme="minorHAnsi"/>
          <w:color w:val="222222"/>
          <w:sz w:val="23"/>
          <w:szCs w:val="23"/>
          <w:lang w:eastAsia="el-GR"/>
        </w:rPr>
        <w:t>έβα</w:t>
      </w:r>
      <w:r w:rsidR="002B6E97" w:rsidRPr="00720A11">
        <w:rPr>
          <w:rFonts w:ascii="Century Gothic" w:eastAsia="Times New Roman" w:hAnsi="Century Gothic" w:cstheme="minorHAnsi"/>
          <w:color w:val="222222"/>
          <w:sz w:val="23"/>
          <w:szCs w:val="23"/>
          <w:lang w:eastAsia="el-GR"/>
        </w:rPr>
        <w:t>λλαν</w:t>
      </w:r>
      <w:r w:rsidRPr="00720A11">
        <w:rPr>
          <w:rFonts w:ascii="Century Gothic" w:eastAsia="Times New Roman" w:hAnsi="Century Gothic" w:cstheme="minorHAnsi"/>
          <w:color w:val="222222"/>
          <w:sz w:val="23"/>
          <w:szCs w:val="23"/>
          <w:lang w:eastAsia="el-GR"/>
        </w:rPr>
        <w:t xml:space="preserve"> στους καταθέτες </w:t>
      </w:r>
      <w:r w:rsidR="00DF6BCF" w:rsidRPr="00720A11">
        <w:rPr>
          <w:rFonts w:ascii="Century Gothic" w:eastAsia="Times New Roman" w:hAnsi="Century Gothic" w:cstheme="minorHAnsi"/>
          <w:color w:val="222222"/>
          <w:sz w:val="23"/>
          <w:szCs w:val="23"/>
          <w:lang w:eastAsia="el-GR"/>
        </w:rPr>
        <w:t>είναι διευρυμένο</w:t>
      </w:r>
      <w:r w:rsidRPr="00720A11">
        <w:rPr>
          <w:rFonts w:ascii="Century Gothic" w:eastAsia="Times New Roman" w:hAnsi="Century Gothic" w:cstheme="minorHAnsi"/>
          <w:color w:val="222222"/>
          <w:sz w:val="23"/>
          <w:szCs w:val="23"/>
          <w:lang w:eastAsia="el-GR"/>
        </w:rPr>
        <w:t xml:space="preserve"> εξαιτίας κυρίως των </w:t>
      </w:r>
      <w:r w:rsidR="00CE2A13" w:rsidRPr="00720A11">
        <w:rPr>
          <w:rFonts w:ascii="Century Gothic" w:eastAsia="Times New Roman" w:hAnsi="Century Gothic" w:cstheme="minorHAnsi"/>
          <w:color w:val="222222"/>
          <w:sz w:val="23"/>
          <w:szCs w:val="23"/>
          <w:lang w:eastAsia="el-GR"/>
        </w:rPr>
        <w:t xml:space="preserve">ιδιαίτερα </w:t>
      </w:r>
      <w:r w:rsidRPr="00720A11">
        <w:rPr>
          <w:rFonts w:ascii="Century Gothic" w:eastAsia="Times New Roman" w:hAnsi="Century Gothic" w:cstheme="minorHAnsi"/>
          <w:color w:val="222222"/>
          <w:sz w:val="23"/>
          <w:szCs w:val="23"/>
          <w:lang w:eastAsia="el-GR"/>
        </w:rPr>
        <w:t xml:space="preserve">χαμηλών επιτοκίων </w:t>
      </w:r>
      <w:r w:rsidR="00496A7F" w:rsidRPr="00720A11">
        <w:rPr>
          <w:rFonts w:ascii="Century Gothic" w:eastAsia="Times New Roman" w:hAnsi="Century Gothic" w:cstheme="minorHAnsi"/>
          <w:color w:val="222222"/>
          <w:sz w:val="23"/>
          <w:szCs w:val="23"/>
          <w:lang w:eastAsia="el-GR"/>
        </w:rPr>
        <w:t xml:space="preserve">καταθέσεων. </w:t>
      </w:r>
    </w:p>
    <w:p w14:paraId="4772B45E" w14:textId="5FA7C0F7" w:rsidR="005042EA" w:rsidRPr="00720A11" w:rsidRDefault="00496A7F" w:rsidP="007604A6">
      <w:pPr>
        <w:spacing w:line="276" w:lineRule="auto"/>
        <w:jc w:val="both"/>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 xml:space="preserve">Αυτό συνέβη διότι υπήρξε περιορισμένη </w:t>
      </w:r>
      <w:proofErr w:type="spellStart"/>
      <w:r w:rsidR="00A34990" w:rsidRPr="00720A11">
        <w:rPr>
          <w:rFonts w:ascii="Century Gothic" w:eastAsia="Times New Roman" w:hAnsi="Century Gothic" w:cstheme="minorHAnsi"/>
          <w:color w:val="222222"/>
          <w:sz w:val="23"/>
          <w:szCs w:val="23"/>
          <w:lang w:eastAsia="el-GR"/>
        </w:rPr>
        <w:t>μετακύλιση</w:t>
      </w:r>
      <w:proofErr w:type="spellEnd"/>
      <w:r w:rsidR="00A34990" w:rsidRPr="00720A11">
        <w:rPr>
          <w:rFonts w:ascii="Century Gothic" w:eastAsia="Times New Roman" w:hAnsi="Century Gothic" w:cstheme="minorHAnsi"/>
          <w:color w:val="222222"/>
          <w:sz w:val="23"/>
          <w:szCs w:val="23"/>
          <w:lang w:eastAsia="el-GR"/>
        </w:rPr>
        <w:t xml:space="preserve"> της ανόδου</w:t>
      </w:r>
      <w:r w:rsidRPr="00720A11">
        <w:rPr>
          <w:rFonts w:ascii="Century Gothic" w:eastAsia="Times New Roman" w:hAnsi="Century Gothic" w:cstheme="minorHAnsi"/>
          <w:color w:val="222222"/>
          <w:sz w:val="23"/>
          <w:szCs w:val="23"/>
          <w:lang w:eastAsia="el-GR"/>
        </w:rPr>
        <w:t xml:space="preserve"> των επιτοκίων παρέμβασης της ΕΚΤ από το 2022, οπότε και η Κεντρική Τράπεζα άρχισε να αυξάνει τα επιτόκια καταθέσεων. </w:t>
      </w:r>
      <w:r w:rsidR="005E56C7" w:rsidRPr="00720A11">
        <w:rPr>
          <w:rFonts w:ascii="Century Gothic" w:eastAsia="Times New Roman" w:hAnsi="Century Gothic" w:cstheme="minorHAnsi"/>
          <w:color w:val="222222"/>
          <w:sz w:val="23"/>
          <w:szCs w:val="23"/>
          <w:lang w:eastAsia="el-GR"/>
        </w:rPr>
        <w:t>Μ</w:t>
      </w:r>
      <w:r w:rsidR="006808EF" w:rsidRPr="00720A11">
        <w:rPr>
          <w:rFonts w:ascii="Century Gothic" w:eastAsia="Times New Roman" w:hAnsi="Century Gothic" w:cstheme="minorHAnsi"/>
          <w:color w:val="222222"/>
          <w:sz w:val="23"/>
          <w:szCs w:val="23"/>
          <w:lang w:eastAsia="el-GR"/>
        </w:rPr>
        <w:t xml:space="preserve">άλιστα, κατά το </w:t>
      </w:r>
      <w:r w:rsidR="00415CBE" w:rsidRPr="00720A11">
        <w:rPr>
          <w:rFonts w:ascii="Century Gothic" w:eastAsia="Times New Roman" w:hAnsi="Century Gothic" w:cstheme="minorHAnsi"/>
          <w:color w:val="222222"/>
          <w:sz w:val="23"/>
          <w:szCs w:val="23"/>
          <w:lang w:eastAsia="el-GR"/>
        </w:rPr>
        <w:t>δεύτερο</w:t>
      </w:r>
      <w:r w:rsidR="006808EF" w:rsidRPr="00720A11">
        <w:rPr>
          <w:rFonts w:ascii="Century Gothic" w:eastAsia="Times New Roman" w:hAnsi="Century Gothic" w:cstheme="minorHAnsi"/>
          <w:color w:val="222222"/>
          <w:sz w:val="23"/>
          <w:szCs w:val="23"/>
          <w:lang w:eastAsia="el-GR"/>
        </w:rPr>
        <w:t xml:space="preserve"> τρίμηνο του 2024</w:t>
      </w:r>
      <w:r w:rsidR="005E56C7" w:rsidRPr="00720A11">
        <w:rPr>
          <w:rFonts w:ascii="Century Gothic" w:eastAsia="Times New Roman" w:hAnsi="Century Gothic" w:cstheme="minorHAnsi"/>
          <w:color w:val="222222"/>
          <w:sz w:val="23"/>
          <w:szCs w:val="23"/>
          <w:lang w:eastAsia="el-GR"/>
        </w:rPr>
        <w:t>,</w:t>
      </w:r>
      <w:r w:rsidR="006808EF" w:rsidRPr="00720A11">
        <w:rPr>
          <w:rFonts w:ascii="Century Gothic" w:eastAsia="Times New Roman" w:hAnsi="Century Gothic" w:cstheme="minorHAnsi"/>
          <w:color w:val="222222"/>
          <w:sz w:val="23"/>
          <w:szCs w:val="23"/>
          <w:lang w:eastAsia="el-GR"/>
        </w:rPr>
        <w:t xml:space="preserve"> </w:t>
      </w:r>
      <w:r w:rsidR="005E56C7" w:rsidRPr="00720A11">
        <w:rPr>
          <w:rFonts w:ascii="Century Gothic" w:eastAsia="Times New Roman" w:hAnsi="Century Gothic" w:cstheme="minorHAnsi"/>
          <w:color w:val="222222"/>
          <w:sz w:val="23"/>
          <w:szCs w:val="23"/>
          <w:lang w:eastAsia="el-GR"/>
        </w:rPr>
        <w:t xml:space="preserve">το καθαρό </w:t>
      </w:r>
      <w:proofErr w:type="spellStart"/>
      <w:r w:rsidR="005E56C7" w:rsidRPr="00720A11">
        <w:rPr>
          <w:rFonts w:ascii="Century Gothic" w:eastAsia="Times New Roman" w:hAnsi="Century Gothic" w:cstheme="minorHAnsi"/>
          <w:color w:val="222222"/>
          <w:sz w:val="23"/>
          <w:szCs w:val="23"/>
          <w:lang w:eastAsia="el-GR"/>
        </w:rPr>
        <w:t>επ</w:t>
      </w:r>
      <w:r w:rsidR="006808EF" w:rsidRPr="00720A11">
        <w:rPr>
          <w:rFonts w:ascii="Century Gothic" w:eastAsia="Times New Roman" w:hAnsi="Century Gothic" w:cstheme="minorHAnsi"/>
          <w:color w:val="222222"/>
          <w:sz w:val="23"/>
          <w:szCs w:val="23"/>
          <w:lang w:eastAsia="el-GR"/>
        </w:rPr>
        <w:t>ιτοκιακό</w:t>
      </w:r>
      <w:proofErr w:type="spellEnd"/>
      <w:r w:rsidR="006808EF" w:rsidRPr="00720A11">
        <w:rPr>
          <w:rFonts w:ascii="Century Gothic" w:eastAsia="Times New Roman" w:hAnsi="Century Gothic" w:cstheme="minorHAnsi"/>
          <w:color w:val="222222"/>
          <w:sz w:val="23"/>
          <w:szCs w:val="23"/>
          <w:lang w:eastAsia="el-GR"/>
        </w:rPr>
        <w:t xml:space="preserve"> περιθώριο </w:t>
      </w:r>
      <w:r w:rsidR="005E56C7" w:rsidRPr="00720A11">
        <w:rPr>
          <w:rFonts w:ascii="Century Gothic" w:eastAsia="Times New Roman" w:hAnsi="Century Gothic" w:cstheme="minorHAnsi"/>
          <w:color w:val="222222"/>
          <w:sz w:val="23"/>
          <w:szCs w:val="23"/>
          <w:lang w:eastAsia="el-GR"/>
        </w:rPr>
        <w:t>ενισχύθηκε ελαφρώς κατά 1</w:t>
      </w:r>
      <w:r w:rsidR="00415CBE" w:rsidRPr="00720A11">
        <w:rPr>
          <w:rFonts w:ascii="Century Gothic" w:eastAsia="Times New Roman" w:hAnsi="Century Gothic" w:cstheme="minorHAnsi"/>
          <w:color w:val="222222"/>
          <w:sz w:val="23"/>
          <w:szCs w:val="23"/>
          <w:lang w:eastAsia="el-GR"/>
        </w:rPr>
        <w:t>1</w:t>
      </w:r>
      <w:r w:rsidR="005E56C7" w:rsidRPr="00720A11">
        <w:rPr>
          <w:rFonts w:ascii="Century Gothic" w:eastAsia="Times New Roman" w:hAnsi="Century Gothic" w:cstheme="minorHAnsi"/>
          <w:color w:val="222222"/>
          <w:sz w:val="23"/>
          <w:szCs w:val="23"/>
          <w:lang w:eastAsia="el-GR"/>
        </w:rPr>
        <w:t xml:space="preserve"> μονάδες βάσης</w:t>
      </w:r>
      <w:r w:rsidR="00415CBE" w:rsidRPr="00720A11">
        <w:rPr>
          <w:rFonts w:ascii="Century Gothic" w:eastAsia="Times New Roman" w:hAnsi="Century Gothic" w:cstheme="minorHAnsi"/>
          <w:color w:val="222222"/>
          <w:sz w:val="23"/>
          <w:szCs w:val="23"/>
          <w:lang w:eastAsia="el-GR"/>
        </w:rPr>
        <w:t xml:space="preserve"> συγκριτικά με το αντίστοιχο τρίμηνο του 2023</w:t>
      </w:r>
      <w:r w:rsidR="005E56C7" w:rsidRPr="00720A11">
        <w:rPr>
          <w:rFonts w:ascii="Century Gothic" w:eastAsia="Times New Roman" w:hAnsi="Century Gothic" w:cstheme="minorHAnsi"/>
          <w:color w:val="222222"/>
          <w:sz w:val="23"/>
          <w:szCs w:val="23"/>
          <w:lang w:eastAsia="el-GR"/>
        </w:rPr>
        <w:t xml:space="preserve">, </w:t>
      </w:r>
      <w:r w:rsidR="006808EF" w:rsidRPr="00720A11">
        <w:rPr>
          <w:rFonts w:ascii="Century Gothic" w:eastAsia="Times New Roman" w:hAnsi="Century Gothic" w:cstheme="minorHAnsi"/>
          <w:color w:val="222222"/>
          <w:sz w:val="23"/>
          <w:szCs w:val="23"/>
          <w:lang w:eastAsia="el-GR"/>
        </w:rPr>
        <w:t>διευρύνοντας περαιτέρω την ήδη μεγάλη απόσταση που χώριζε τις ελληνικές τράπεζες από τις αντίστοιχες ευρωπαϊκές</w:t>
      </w:r>
      <w:r w:rsidR="005E56C7" w:rsidRPr="00720A11">
        <w:rPr>
          <w:rFonts w:ascii="Century Gothic" w:eastAsia="Times New Roman" w:hAnsi="Century Gothic" w:cstheme="minorHAnsi"/>
          <w:color w:val="222222"/>
          <w:sz w:val="23"/>
          <w:szCs w:val="23"/>
          <w:lang w:eastAsia="el-GR"/>
        </w:rPr>
        <w:t xml:space="preserve"> (Πίνακας 1)</w:t>
      </w:r>
      <w:r w:rsidR="006808EF" w:rsidRPr="00720A11">
        <w:rPr>
          <w:rFonts w:ascii="Century Gothic" w:eastAsia="Times New Roman" w:hAnsi="Century Gothic" w:cstheme="minorHAnsi"/>
          <w:color w:val="222222"/>
          <w:sz w:val="23"/>
          <w:szCs w:val="23"/>
          <w:lang w:eastAsia="el-GR"/>
        </w:rPr>
        <w:t>.</w:t>
      </w:r>
      <w:r w:rsidR="00415CBE" w:rsidRPr="00720A11">
        <w:rPr>
          <w:rFonts w:ascii="Century Gothic" w:eastAsia="Times New Roman" w:hAnsi="Century Gothic" w:cstheme="minorHAnsi"/>
          <w:color w:val="222222"/>
          <w:sz w:val="23"/>
          <w:szCs w:val="23"/>
          <w:lang w:eastAsia="el-GR"/>
        </w:rPr>
        <w:t xml:space="preserve"> </w:t>
      </w:r>
    </w:p>
    <w:p w14:paraId="167E65AC" w14:textId="77777777" w:rsidR="005E56C7" w:rsidRPr="00720A11" w:rsidRDefault="005E56C7" w:rsidP="007604A6">
      <w:pPr>
        <w:spacing w:line="276" w:lineRule="auto"/>
        <w:jc w:val="both"/>
        <w:rPr>
          <w:rFonts w:ascii="Century Gothic" w:eastAsia="Times New Roman" w:hAnsi="Century Gothic" w:cstheme="minorHAnsi"/>
          <w:color w:val="222222"/>
          <w:sz w:val="23"/>
          <w:szCs w:val="23"/>
          <w:lang w:eastAsia="el-GR"/>
        </w:rPr>
      </w:pPr>
    </w:p>
    <w:p w14:paraId="0A0F4411" w14:textId="77777777" w:rsidR="005E56C7" w:rsidRPr="00720A11" w:rsidRDefault="005E56C7" w:rsidP="007604A6">
      <w:pPr>
        <w:spacing w:line="276" w:lineRule="auto"/>
        <w:jc w:val="both"/>
        <w:rPr>
          <w:rFonts w:ascii="Century Gothic" w:eastAsia="Times New Roman" w:hAnsi="Century Gothic" w:cstheme="minorHAnsi"/>
          <w:i/>
          <w:color w:val="222222"/>
          <w:sz w:val="23"/>
          <w:szCs w:val="23"/>
          <w:lang w:eastAsia="el-GR"/>
        </w:rPr>
      </w:pPr>
      <w:r w:rsidRPr="00720A11">
        <w:rPr>
          <w:rFonts w:ascii="Century Gothic" w:eastAsia="Times New Roman" w:hAnsi="Century Gothic" w:cstheme="minorHAnsi"/>
          <w:i/>
          <w:color w:val="222222"/>
          <w:sz w:val="23"/>
          <w:szCs w:val="23"/>
          <w:lang w:eastAsia="el-GR"/>
        </w:rPr>
        <w:t xml:space="preserve">Πίνακας 1: Καθαρό </w:t>
      </w:r>
      <w:proofErr w:type="spellStart"/>
      <w:r w:rsidRPr="00720A11">
        <w:rPr>
          <w:rFonts w:ascii="Century Gothic" w:eastAsia="Times New Roman" w:hAnsi="Century Gothic" w:cstheme="minorHAnsi"/>
          <w:i/>
          <w:color w:val="222222"/>
          <w:sz w:val="23"/>
          <w:szCs w:val="23"/>
          <w:lang w:eastAsia="el-GR"/>
        </w:rPr>
        <w:t>Επιτοκιακό</w:t>
      </w:r>
      <w:proofErr w:type="spellEnd"/>
      <w:r w:rsidRPr="00720A11">
        <w:rPr>
          <w:rFonts w:ascii="Century Gothic" w:eastAsia="Times New Roman" w:hAnsi="Century Gothic" w:cstheme="minorHAnsi"/>
          <w:i/>
          <w:color w:val="222222"/>
          <w:sz w:val="23"/>
          <w:szCs w:val="23"/>
          <w:lang w:eastAsia="el-GR"/>
        </w:rPr>
        <w:t xml:space="preserve"> Περιθώριο (ΝΙΜ)</w:t>
      </w:r>
    </w:p>
    <w:tbl>
      <w:tblPr>
        <w:tblStyle w:val="TableGrid"/>
        <w:tblW w:w="0" w:type="auto"/>
        <w:tblLook w:val="04A0" w:firstRow="1" w:lastRow="0" w:firstColumn="1" w:lastColumn="0" w:noHBand="0" w:noVBand="1"/>
      </w:tblPr>
      <w:tblGrid>
        <w:gridCol w:w="1567"/>
        <w:gridCol w:w="982"/>
        <w:gridCol w:w="981"/>
        <w:gridCol w:w="981"/>
        <w:gridCol w:w="981"/>
        <w:gridCol w:w="981"/>
        <w:gridCol w:w="982"/>
        <w:gridCol w:w="841"/>
      </w:tblGrid>
      <w:tr w:rsidR="00B735D7" w:rsidRPr="00720A11" w14:paraId="28EB0F69" w14:textId="55F42AC0" w:rsidTr="00B735D7">
        <w:tc>
          <w:tcPr>
            <w:tcW w:w="1572" w:type="dxa"/>
          </w:tcPr>
          <w:p w14:paraId="06B2E5B8" w14:textId="77777777" w:rsidR="00B735D7" w:rsidRPr="00720A11" w:rsidRDefault="00B735D7" w:rsidP="007604A6">
            <w:pPr>
              <w:spacing w:line="276" w:lineRule="auto"/>
              <w:jc w:val="both"/>
              <w:rPr>
                <w:rFonts w:ascii="Century Gothic" w:eastAsia="Times New Roman" w:hAnsi="Century Gothic" w:cstheme="minorHAnsi"/>
                <w:color w:val="222222"/>
                <w:sz w:val="23"/>
                <w:szCs w:val="23"/>
                <w:lang w:eastAsia="el-GR"/>
              </w:rPr>
            </w:pPr>
          </w:p>
        </w:tc>
        <w:tc>
          <w:tcPr>
            <w:tcW w:w="999" w:type="dxa"/>
          </w:tcPr>
          <w:p w14:paraId="18237766" w14:textId="77777777" w:rsidR="00B735D7" w:rsidRPr="00720A11" w:rsidRDefault="00B735D7" w:rsidP="007604A6">
            <w:pPr>
              <w:spacing w:line="276" w:lineRule="auto"/>
              <w:rPr>
                <w:rFonts w:ascii="Century Gothic" w:hAnsi="Century Gothic" w:cstheme="minorHAnsi"/>
                <w:sz w:val="23"/>
                <w:szCs w:val="23"/>
              </w:rPr>
            </w:pPr>
            <w:r w:rsidRPr="00720A11">
              <w:rPr>
                <w:rFonts w:ascii="Century Gothic" w:eastAsia="Times New Roman" w:hAnsi="Century Gothic" w:cstheme="minorHAnsi"/>
                <w:color w:val="222222"/>
                <w:sz w:val="23"/>
                <w:szCs w:val="23"/>
                <w:lang w:val="en-US" w:eastAsia="el-GR"/>
              </w:rPr>
              <w:t>Q4 2022</w:t>
            </w:r>
          </w:p>
        </w:tc>
        <w:tc>
          <w:tcPr>
            <w:tcW w:w="998" w:type="dxa"/>
          </w:tcPr>
          <w:p w14:paraId="23A83655" w14:textId="77777777" w:rsidR="00B735D7" w:rsidRPr="00720A11" w:rsidRDefault="00B735D7" w:rsidP="007604A6">
            <w:pPr>
              <w:spacing w:line="276" w:lineRule="auto"/>
              <w:rPr>
                <w:rFonts w:ascii="Century Gothic" w:hAnsi="Century Gothic" w:cstheme="minorHAnsi"/>
                <w:sz w:val="23"/>
                <w:szCs w:val="23"/>
              </w:rPr>
            </w:pPr>
            <w:r w:rsidRPr="00720A11">
              <w:rPr>
                <w:rFonts w:ascii="Century Gothic" w:eastAsia="Times New Roman" w:hAnsi="Century Gothic" w:cstheme="minorHAnsi"/>
                <w:color w:val="222222"/>
                <w:sz w:val="23"/>
                <w:szCs w:val="23"/>
                <w:lang w:val="en-US" w:eastAsia="el-GR"/>
              </w:rPr>
              <w:t>Q1 2023</w:t>
            </w:r>
          </w:p>
        </w:tc>
        <w:tc>
          <w:tcPr>
            <w:tcW w:w="998" w:type="dxa"/>
          </w:tcPr>
          <w:p w14:paraId="07393027" w14:textId="77777777" w:rsidR="00B735D7" w:rsidRPr="00720A11" w:rsidRDefault="00B735D7" w:rsidP="007604A6">
            <w:pPr>
              <w:spacing w:line="276" w:lineRule="auto"/>
              <w:rPr>
                <w:rFonts w:ascii="Century Gothic" w:hAnsi="Century Gothic" w:cstheme="minorHAnsi"/>
                <w:sz w:val="23"/>
                <w:szCs w:val="23"/>
              </w:rPr>
            </w:pPr>
            <w:r w:rsidRPr="00720A11">
              <w:rPr>
                <w:rFonts w:ascii="Century Gothic" w:eastAsia="Times New Roman" w:hAnsi="Century Gothic" w:cstheme="minorHAnsi"/>
                <w:color w:val="222222"/>
                <w:sz w:val="23"/>
                <w:szCs w:val="23"/>
                <w:lang w:val="en-US" w:eastAsia="el-GR"/>
              </w:rPr>
              <w:t>Q2 2023</w:t>
            </w:r>
          </w:p>
        </w:tc>
        <w:tc>
          <w:tcPr>
            <w:tcW w:w="998" w:type="dxa"/>
          </w:tcPr>
          <w:p w14:paraId="37F8F068" w14:textId="77777777" w:rsidR="00B735D7" w:rsidRPr="00720A11" w:rsidRDefault="00B735D7" w:rsidP="007604A6">
            <w:pPr>
              <w:spacing w:line="276" w:lineRule="auto"/>
              <w:rPr>
                <w:rFonts w:ascii="Century Gothic" w:hAnsi="Century Gothic" w:cstheme="minorHAnsi"/>
                <w:sz w:val="23"/>
                <w:szCs w:val="23"/>
              </w:rPr>
            </w:pPr>
            <w:r w:rsidRPr="00720A11">
              <w:rPr>
                <w:rFonts w:ascii="Century Gothic" w:eastAsia="Times New Roman" w:hAnsi="Century Gothic" w:cstheme="minorHAnsi"/>
                <w:color w:val="222222"/>
                <w:sz w:val="23"/>
                <w:szCs w:val="23"/>
                <w:lang w:val="en-US" w:eastAsia="el-GR"/>
              </w:rPr>
              <w:t>Q3 2023</w:t>
            </w:r>
          </w:p>
        </w:tc>
        <w:tc>
          <w:tcPr>
            <w:tcW w:w="998" w:type="dxa"/>
          </w:tcPr>
          <w:p w14:paraId="642B8E03" w14:textId="77777777" w:rsidR="00B735D7" w:rsidRPr="00720A11" w:rsidRDefault="00B735D7" w:rsidP="007604A6">
            <w:pPr>
              <w:spacing w:line="276" w:lineRule="auto"/>
              <w:jc w:val="both"/>
              <w:rPr>
                <w:rFonts w:ascii="Century Gothic" w:eastAsia="Times New Roman" w:hAnsi="Century Gothic" w:cstheme="minorHAnsi"/>
                <w:color w:val="222222"/>
                <w:sz w:val="23"/>
                <w:szCs w:val="23"/>
                <w:lang w:val="en-US" w:eastAsia="el-GR"/>
              </w:rPr>
            </w:pPr>
            <w:r w:rsidRPr="00720A11">
              <w:rPr>
                <w:rFonts w:ascii="Century Gothic" w:eastAsia="Times New Roman" w:hAnsi="Century Gothic" w:cstheme="minorHAnsi"/>
                <w:color w:val="222222"/>
                <w:sz w:val="23"/>
                <w:szCs w:val="23"/>
                <w:lang w:val="en-US" w:eastAsia="el-GR"/>
              </w:rPr>
              <w:t>Q4 2023</w:t>
            </w:r>
          </w:p>
        </w:tc>
        <w:tc>
          <w:tcPr>
            <w:tcW w:w="999" w:type="dxa"/>
          </w:tcPr>
          <w:p w14:paraId="75F3E6D2" w14:textId="77777777" w:rsidR="00B735D7" w:rsidRPr="00720A11" w:rsidRDefault="00B735D7" w:rsidP="007604A6">
            <w:pPr>
              <w:spacing w:line="276" w:lineRule="auto"/>
              <w:jc w:val="both"/>
              <w:rPr>
                <w:rFonts w:ascii="Century Gothic" w:eastAsia="Times New Roman" w:hAnsi="Century Gothic" w:cstheme="minorHAnsi"/>
                <w:color w:val="222222"/>
                <w:sz w:val="23"/>
                <w:szCs w:val="23"/>
                <w:lang w:val="en-US" w:eastAsia="el-GR"/>
              </w:rPr>
            </w:pPr>
            <w:r w:rsidRPr="00720A11">
              <w:rPr>
                <w:rFonts w:ascii="Century Gothic" w:eastAsia="Times New Roman" w:hAnsi="Century Gothic" w:cstheme="minorHAnsi"/>
                <w:color w:val="222222"/>
                <w:sz w:val="23"/>
                <w:szCs w:val="23"/>
                <w:lang w:val="en-US" w:eastAsia="el-GR"/>
              </w:rPr>
              <w:t>Q1 2024</w:t>
            </w:r>
          </w:p>
        </w:tc>
        <w:tc>
          <w:tcPr>
            <w:tcW w:w="734" w:type="dxa"/>
          </w:tcPr>
          <w:p w14:paraId="1318F513" w14:textId="356005F1" w:rsidR="00B735D7" w:rsidRPr="00720A11" w:rsidRDefault="00B735D7" w:rsidP="007604A6">
            <w:pPr>
              <w:spacing w:line="276" w:lineRule="auto"/>
              <w:jc w:val="both"/>
              <w:rPr>
                <w:rFonts w:ascii="Century Gothic" w:eastAsia="Times New Roman" w:hAnsi="Century Gothic" w:cstheme="minorHAnsi"/>
                <w:color w:val="222222"/>
                <w:sz w:val="23"/>
                <w:szCs w:val="23"/>
                <w:lang w:val="en-US" w:eastAsia="el-GR"/>
              </w:rPr>
            </w:pPr>
            <w:r w:rsidRPr="00720A11">
              <w:rPr>
                <w:rFonts w:ascii="Century Gothic" w:eastAsia="Times New Roman" w:hAnsi="Century Gothic" w:cstheme="minorHAnsi"/>
                <w:color w:val="222222"/>
                <w:sz w:val="23"/>
                <w:szCs w:val="23"/>
                <w:lang w:val="en-US" w:eastAsia="el-GR"/>
              </w:rPr>
              <w:t>Q2 2024</w:t>
            </w:r>
          </w:p>
        </w:tc>
      </w:tr>
      <w:tr w:rsidR="00B735D7" w:rsidRPr="00720A11" w14:paraId="64761532" w14:textId="3F7E8DE7" w:rsidTr="00B735D7">
        <w:tc>
          <w:tcPr>
            <w:tcW w:w="1572" w:type="dxa"/>
          </w:tcPr>
          <w:p w14:paraId="5CBAF234" w14:textId="77777777" w:rsidR="00B735D7" w:rsidRPr="00720A11" w:rsidRDefault="00B735D7" w:rsidP="007604A6">
            <w:pPr>
              <w:spacing w:line="276" w:lineRule="auto"/>
              <w:jc w:val="both"/>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Ευρωπαϊκές Συστημικές</w:t>
            </w:r>
          </w:p>
        </w:tc>
        <w:tc>
          <w:tcPr>
            <w:tcW w:w="999" w:type="dxa"/>
          </w:tcPr>
          <w:p w14:paraId="0AEAA48A"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1,36%</w:t>
            </w:r>
          </w:p>
        </w:tc>
        <w:tc>
          <w:tcPr>
            <w:tcW w:w="998" w:type="dxa"/>
          </w:tcPr>
          <w:p w14:paraId="66B6E7F8"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1,48%</w:t>
            </w:r>
          </w:p>
        </w:tc>
        <w:tc>
          <w:tcPr>
            <w:tcW w:w="998" w:type="dxa"/>
          </w:tcPr>
          <w:p w14:paraId="11EE0AE2"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1,53%</w:t>
            </w:r>
          </w:p>
        </w:tc>
        <w:tc>
          <w:tcPr>
            <w:tcW w:w="998" w:type="dxa"/>
          </w:tcPr>
          <w:p w14:paraId="74244841"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1,56%</w:t>
            </w:r>
          </w:p>
        </w:tc>
        <w:tc>
          <w:tcPr>
            <w:tcW w:w="998" w:type="dxa"/>
          </w:tcPr>
          <w:p w14:paraId="2EF4E2BF"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1,60%</w:t>
            </w:r>
          </w:p>
        </w:tc>
        <w:tc>
          <w:tcPr>
            <w:tcW w:w="999" w:type="dxa"/>
          </w:tcPr>
          <w:p w14:paraId="03AB7A0E"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1,62%</w:t>
            </w:r>
          </w:p>
        </w:tc>
        <w:tc>
          <w:tcPr>
            <w:tcW w:w="734" w:type="dxa"/>
          </w:tcPr>
          <w:p w14:paraId="7516B300" w14:textId="028ECFC5" w:rsidR="00B735D7" w:rsidRPr="00720A11" w:rsidRDefault="00B735D7" w:rsidP="007604A6">
            <w:pPr>
              <w:spacing w:line="276" w:lineRule="auto"/>
              <w:jc w:val="center"/>
              <w:rPr>
                <w:rFonts w:ascii="Century Gothic" w:eastAsia="Times New Roman" w:hAnsi="Century Gothic" w:cstheme="minorHAnsi"/>
                <w:color w:val="222222"/>
                <w:sz w:val="23"/>
                <w:szCs w:val="23"/>
                <w:lang w:val="en-US" w:eastAsia="el-GR"/>
              </w:rPr>
            </w:pPr>
            <w:r w:rsidRPr="00720A11">
              <w:rPr>
                <w:rFonts w:ascii="Century Gothic" w:eastAsia="Times New Roman" w:hAnsi="Century Gothic" w:cstheme="minorHAnsi"/>
                <w:color w:val="222222"/>
                <w:sz w:val="23"/>
                <w:szCs w:val="23"/>
                <w:lang w:val="en-US" w:eastAsia="el-GR"/>
              </w:rPr>
              <w:t>1,61%</w:t>
            </w:r>
          </w:p>
        </w:tc>
      </w:tr>
      <w:tr w:rsidR="00B735D7" w:rsidRPr="00720A11" w14:paraId="70D14855" w14:textId="02DE1046" w:rsidTr="00B735D7">
        <w:tc>
          <w:tcPr>
            <w:tcW w:w="1572" w:type="dxa"/>
          </w:tcPr>
          <w:p w14:paraId="2117FC27" w14:textId="77777777" w:rsidR="00B735D7" w:rsidRPr="00720A11" w:rsidRDefault="00B735D7" w:rsidP="007604A6">
            <w:pPr>
              <w:spacing w:line="276" w:lineRule="auto"/>
              <w:jc w:val="both"/>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lastRenderedPageBreak/>
              <w:t>Ελληνικές Συστημικές</w:t>
            </w:r>
          </w:p>
        </w:tc>
        <w:tc>
          <w:tcPr>
            <w:tcW w:w="999" w:type="dxa"/>
          </w:tcPr>
          <w:p w14:paraId="3031279B"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2,14%</w:t>
            </w:r>
          </w:p>
        </w:tc>
        <w:tc>
          <w:tcPr>
            <w:tcW w:w="998" w:type="dxa"/>
          </w:tcPr>
          <w:p w14:paraId="68C92B11"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2,99%</w:t>
            </w:r>
          </w:p>
        </w:tc>
        <w:tc>
          <w:tcPr>
            <w:tcW w:w="998" w:type="dxa"/>
          </w:tcPr>
          <w:p w14:paraId="08860924"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3,13%</w:t>
            </w:r>
          </w:p>
        </w:tc>
        <w:tc>
          <w:tcPr>
            <w:tcW w:w="998" w:type="dxa"/>
          </w:tcPr>
          <w:p w14:paraId="19195504"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3,20%</w:t>
            </w:r>
          </w:p>
        </w:tc>
        <w:tc>
          <w:tcPr>
            <w:tcW w:w="998" w:type="dxa"/>
          </w:tcPr>
          <w:p w14:paraId="7BDF30FF"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3,23%</w:t>
            </w:r>
          </w:p>
        </w:tc>
        <w:tc>
          <w:tcPr>
            <w:tcW w:w="999" w:type="dxa"/>
          </w:tcPr>
          <w:p w14:paraId="3C67AFD5" w14:textId="77777777" w:rsidR="00B735D7" w:rsidRPr="00720A11" w:rsidRDefault="00B735D7" w:rsidP="007604A6">
            <w:pPr>
              <w:spacing w:line="276" w:lineRule="auto"/>
              <w:jc w:val="center"/>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3,37%</w:t>
            </w:r>
          </w:p>
        </w:tc>
        <w:tc>
          <w:tcPr>
            <w:tcW w:w="734" w:type="dxa"/>
          </w:tcPr>
          <w:p w14:paraId="1C22F7EB" w14:textId="55C17AA9" w:rsidR="00B735D7" w:rsidRPr="00720A11" w:rsidRDefault="00B735D7" w:rsidP="007604A6">
            <w:pPr>
              <w:spacing w:line="276" w:lineRule="auto"/>
              <w:jc w:val="center"/>
              <w:rPr>
                <w:rFonts w:ascii="Century Gothic" w:eastAsia="Times New Roman" w:hAnsi="Century Gothic" w:cstheme="minorHAnsi"/>
                <w:color w:val="222222"/>
                <w:sz w:val="23"/>
                <w:szCs w:val="23"/>
                <w:lang w:val="en-US" w:eastAsia="el-GR"/>
              </w:rPr>
            </w:pPr>
            <w:r w:rsidRPr="00720A11">
              <w:rPr>
                <w:rFonts w:ascii="Century Gothic" w:eastAsia="Times New Roman" w:hAnsi="Century Gothic" w:cstheme="minorHAnsi"/>
                <w:color w:val="222222"/>
                <w:sz w:val="23"/>
                <w:szCs w:val="23"/>
                <w:lang w:val="en-US" w:eastAsia="el-GR"/>
              </w:rPr>
              <w:t>3,32%</w:t>
            </w:r>
          </w:p>
        </w:tc>
      </w:tr>
    </w:tbl>
    <w:p w14:paraId="27D0C96F" w14:textId="77777777" w:rsidR="00B6360D" w:rsidRPr="00720A11" w:rsidRDefault="00B6360D" w:rsidP="007604A6">
      <w:pPr>
        <w:pStyle w:val="NormalWeb"/>
        <w:spacing w:after="300" w:line="276" w:lineRule="auto"/>
        <w:jc w:val="both"/>
        <w:rPr>
          <w:rFonts w:ascii="Century Gothic" w:hAnsi="Century Gothic" w:cstheme="minorHAnsi"/>
          <w:color w:val="222222"/>
          <w:sz w:val="23"/>
          <w:szCs w:val="23"/>
          <w:lang w:val="en-US"/>
        </w:rPr>
      </w:pPr>
      <w:r w:rsidRPr="00720A11">
        <w:rPr>
          <w:rFonts w:ascii="Century Gothic" w:hAnsi="Century Gothic" w:cstheme="minorHAnsi"/>
          <w:color w:val="222222"/>
          <w:sz w:val="23"/>
          <w:szCs w:val="23"/>
        </w:rPr>
        <w:t>Πηγή</w:t>
      </w:r>
      <w:r w:rsidRPr="00720A11">
        <w:rPr>
          <w:rFonts w:ascii="Century Gothic" w:hAnsi="Century Gothic" w:cstheme="minorHAnsi"/>
          <w:color w:val="222222"/>
          <w:sz w:val="23"/>
          <w:szCs w:val="23"/>
          <w:lang w:val="en-US"/>
        </w:rPr>
        <w:t xml:space="preserve">: European Central </w:t>
      </w:r>
      <w:r w:rsidRPr="00720A11">
        <w:rPr>
          <w:rFonts w:ascii="Century Gothic" w:hAnsi="Century Gothic" w:cstheme="minorHAnsi"/>
          <w:color w:val="222222"/>
          <w:sz w:val="23"/>
          <w:szCs w:val="23"/>
        </w:rPr>
        <w:t>Β</w:t>
      </w:r>
      <w:proofErr w:type="spellStart"/>
      <w:r w:rsidRPr="00720A11">
        <w:rPr>
          <w:rFonts w:ascii="Century Gothic" w:hAnsi="Century Gothic" w:cstheme="minorHAnsi"/>
          <w:color w:val="222222"/>
          <w:sz w:val="23"/>
          <w:szCs w:val="23"/>
          <w:lang w:val="en-US"/>
        </w:rPr>
        <w:t>ank</w:t>
      </w:r>
      <w:proofErr w:type="spellEnd"/>
      <w:r w:rsidRPr="00720A11">
        <w:rPr>
          <w:rFonts w:ascii="Century Gothic" w:hAnsi="Century Gothic" w:cstheme="minorHAnsi"/>
          <w:color w:val="222222"/>
          <w:sz w:val="23"/>
          <w:szCs w:val="23"/>
          <w:lang w:val="en-US"/>
        </w:rPr>
        <w:t>, Banking Supervision, Supervisory Banking Statistics for significant institution</w:t>
      </w:r>
    </w:p>
    <w:p w14:paraId="41A2A224" w14:textId="78FD1DF5" w:rsidR="00967D6A" w:rsidRPr="00720A11" w:rsidRDefault="00967D6A" w:rsidP="00967D6A">
      <w:pPr>
        <w:spacing w:line="276" w:lineRule="auto"/>
        <w:jc w:val="both"/>
        <w:rPr>
          <w:rFonts w:ascii="Century Gothic" w:eastAsia="Times New Roman" w:hAnsi="Century Gothic" w:cstheme="minorHAnsi"/>
          <w:color w:val="222222"/>
          <w:sz w:val="23"/>
          <w:szCs w:val="23"/>
          <w:lang w:eastAsia="el-GR"/>
        </w:rPr>
      </w:pPr>
      <w:r w:rsidRPr="00720A11">
        <w:rPr>
          <w:rFonts w:ascii="Century Gothic" w:eastAsia="Times New Roman" w:hAnsi="Century Gothic" w:cstheme="minorHAnsi"/>
          <w:color w:val="222222"/>
          <w:sz w:val="23"/>
          <w:szCs w:val="23"/>
          <w:lang w:eastAsia="el-GR"/>
        </w:rPr>
        <w:t>Σύμφωνα μάλιστα με τα τελευταία διαθέσιμα στοιχεία (</w:t>
      </w:r>
      <w:r w:rsidRPr="00720A11">
        <w:rPr>
          <w:rFonts w:ascii="Century Gothic" w:eastAsia="Times New Roman" w:hAnsi="Century Gothic" w:cstheme="minorHAnsi"/>
          <w:color w:val="222222"/>
          <w:sz w:val="23"/>
          <w:szCs w:val="23"/>
          <w:lang w:val="en-US" w:eastAsia="el-GR"/>
        </w:rPr>
        <w:t>Q</w:t>
      </w:r>
      <w:r w:rsidRPr="00720A11">
        <w:rPr>
          <w:rFonts w:ascii="Century Gothic" w:eastAsia="Times New Roman" w:hAnsi="Century Gothic" w:cstheme="minorHAnsi"/>
          <w:color w:val="222222"/>
          <w:sz w:val="23"/>
          <w:szCs w:val="23"/>
          <w:lang w:eastAsia="el-GR"/>
        </w:rPr>
        <w:t xml:space="preserve">2 2024), το καθαρό περιθώριο επιτοκίου των σημαντικότερων ιδρυμάτων στην Ελλάδα ήταν το πέμπτο υψηλότερο στην Ευρώπη (Πίνακας 2), με μεγάλη απόσταση από τις υπόλοιπες χώρες, ιδιαίτερα σε σχέση με όσες διαθέτουν ώριμα τραπεζικά συστήματα. </w:t>
      </w:r>
      <w:r w:rsidR="00B23153" w:rsidRPr="00720A11">
        <w:rPr>
          <w:rFonts w:ascii="Century Gothic" w:eastAsia="Times New Roman" w:hAnsi="Century Gothic" w:cstheme="minorHAnsi"/>
          <w:color w:val="222222"/>
          <w:sz w:val="23"/>
          <w:szCs w:val="23"/>
          <w:lang w:eastAsia="el-GR"/>
        </w:rPr>
        <w:t xml:space="preserve">Βέβαια, εδώ ενδεχομένως να εγείρονται και ζητήματα ανταγωνισμού και ορθής λειτουργίας της αγοράς αφού στην Ελλάδα τα συστημικά ιδρύματα είναι 4 όταν π.χ. στη Γερμανία είναι 22, στην Ιταλία 12, στη Γαλλία 11. Αντίθετα, σε Λετονία, Σλοβενία και Εσθονία είναι </w:t>
      </w:r>
      <w:r w:rsidR="00A424E0" w:rsidRPr="00720A11">
        <w:rPr>
          <w:rFonts w:ascii="Century Gothic" w:eastAsia="Times New Roman" w:hAnsi="Century Gothic" w:cstheme="minorHAnsi"/>
          <w:color w:val="222222"/>
          <w:sz w:val="23"/>
          <w:szCs w:val="23"/>
          <w:lang w:eastAsia="el-GR"/>
        </w:rPr>
        <w:t xml:space="preserve">μόλις 3 και στη Λιθουανία 2. </w:t>
      </w:r>
      <w:r w:rsidR="00B23153" w:rsidRPr="00720A11">
        <w:rPr>
          <w:rFonts w:ascii="Century Gothic" w:eastAsia="Times New Roman" w:hAnsi="Century Gothic" w:cstheme="minorHAnsi"/>
          <w:color w:val="222222"/>
          <w:sz w:val="23"/>
          <w:szCs w:val="23"/>
          <w:lang w:eastAsia="el-GR"/>
        </w:rPr>
        <w:t xml:space="preserve">Από την άλλη, στο Βέλγιο, όπου το περιθώριο επιτοκίων είναι το τρίτο χαμηλότερο, τα συστημικά </w:t>
      </w:r>
      <w:r w:rsidR="00A424E0" w:rsidRPr="00720A11">
        <w:rPr>
          <w:rFonts w:ascii="Century Gothic" w:eastAsia="Times New Roman" w:hAnsi="Century Gothic" w:cstheme="minorHAnsi"/>
          <w:color w:val="222222"/>
          <w:sz w:val="23"/>
          <w:szCs w:val="23"/>
          <w:lang w:eastAsia="el-GR"/>
        </w:rPr>
        <w:t xml:space="preserve">ιδρύματα είναι </w:t>
      </w:r>
      <w:r w:rsidR="00B23153" w:rsidRPr="00720A11">
        <w:rPr>
          <w:rFonts w:ascii="Century Gothic" w:eastAsia="Times New Roman" w:hAnsi="Century Gothic" w:cstheme="minorHAnsi"/>
          <w:color w:val="222222"/>
          <w:sz w:val="23"/>
          <w:szCs w:val="23"/>
          <w:lang w:eastAsia="el-GR"/>
        </w:rPr>
        <w:t>5</w:t>
      </w:r>
      <w:r w:rsidR="00A424E0" w:rsidRPr="00720A11">
        <w:rPr>
          <w:rFonts w:ascii="Century Gothic" w:eastAsia="Times New Roman" w:hAnsi="Century Gothic" w:cstheme="minorHAnsi"/>
          <w:color w:val="222222"/>
          <w:sz w:val="23"/>
          <w:szCs w:val="23"/>
          <w:lang w:eastAsia="el-GR"/>
        </w:rPr>
        <w:t>, ενώ στο Λουξεμβούργο και Φινλανδία μόλις 3.</w:t>
      </w:r>
    </w:p>
    <w:p w14:paraId="0FCC782D" w14:textId="73225381" w:rsidR="005E56C7" w:rsidRPr="00720A11" w:rsidRDefault="005E56C7" w:rsidP="007604A6">
      <w:pPr>
        <w:spacing w:line="276" w:lineRule="auto"/>
        <w:jc w:val="both"/>
        <w:rPr>
          <w:rFonts w:ascii="Century Gothic" w:eastAsia="Times New Roman" w:hAnsi="Century Gothic" w:cstheme="minorHAnsi"/>
          <w:color w:val="222222"/>
          <w:sz w:val="23"/>
          <w:szCs w:val="23"/>
          <w:lang w:eastAsia="el-GR"/>
        </w:rPr>
      </w:pPr>
    </w:p>
    <w:p w14:paraId="5006422E" w14:textId="773B201A" w:rsidR="00967D6A" w:rsidRPr="00720A11" w:rsidRDefault="00B23153" w:rsidP="00967D6A">
      <w:pPr>
        <w:spacing w:line="276" w:lineRule="auto"/>
        <w:jc w:val="both"/>
        <w:rPr>
          <w:rFonts w:ascii="Century Gothic" w:eastAsia="Times New Roman" w:hAnsi="Century Gothic" w:cstheme="minorHAnsi"/>
          <w:i/>
          <w:color w:val="222222"/>
          <w:sz w:val="23"/>
          <w:szCs w:val="23"/>
          <w:lang w:eastAsia="el-GR"/>
        </w:rPr>
      </w:pPr>
      <w:r w:rsidRPr="00720A11">
        <w:rPr>
          <w:rFonts w:ascii="Century Gothic" w:eastAsia="Times New Roman" w:hAnsi="Century Gothic" w:cstheme="minorHAnsi"/>
          <w:color w:val="222222"/>
          <w:sz w:val="23"/>
          <w:szCs w:val="23"/>
          <w:lang w:eastAsia="el-GR"/>
        </w:rPr>
        <w:t>Διάγραμμα</w:t>
      </w:r>
      <w:r w:rsidR="00967D6A" w:rsidRPr="00720A11">
        <w:rPr>
          <w:rFonts w:ascii="Century Gothic" w:eastAsia="Times New Roman" w:hAnsi="Century Gothic" w:cstheme="minorHAnsi"/>
          <w:color w:val="222222"/>
          <w:sz w:val="23"/>
          <w:szCs w:val="23"/>
          <w:lang w:eastAsia="el-GR"/>
        </w:rPr>
        <w:t xml:space="preserve"> 2:</w:t>
      </w:r>
      <w:r w:rsidR="00967D6A" w:rsidRPr="00720A11">
        <w:rPr>
          <w:rFonts w:ascii="Century Gothic" w:eastAsia="Times New Roman" w:hAnsi="Century Gothic" w:cstheme="minorHAnsi"/>
          <w:i/>
          <w:color w:val="222222"/>
          <w:sz w:val="23"/>
          <w:szCs w:val="23"/>
          <w:lang w:eastAsia="el-GR"/>
        </w:rPr>
        <w:t xml:space="preserve"> : Καθαρό </w:t>
      </w:r>
      <w:proofErr w:type="spellStart"/>
      <w:r w:rsidR="00967D6A" w:rsidRPr="00720A11">
        <w:rPr>
          <w:rFonts w:ascii="Century Gothic" w:eastAsia="Times New Roman" w:hAnsi="Century Gothic" w:cstheme="minorHAnsi"/>
          <w:i/>
          <w:color w:val="222222"/>
          <w:sz w:val="23"/>
          <w:szCs w:val="23"/>
          <w:lang w:eastAsia="el-GR"/>
        </w:rPr>
        <w:t>Επιτοκιακό</w:t>
      </w:r>
      <w:proofErr w:type="spellEnd"/>
      <w:r w:rsidR="00967D6A" w:rsidRPr="00720A11">
        <w:rPr>
          <w:rFonts w:ascii="Century Gothic" w:eastAsia="Times New Roman" w:hAnsi="Century Gothic" w:cstheme="minorHAnsi"/>
          <w:i/>
          <w:color w:val="222222"/>
          <w:sz w:val="23"/>
          <w:szCs w:val="23"/>
          <w:lang w:eastAsia="el-GR"/>
        </w:rPr>
        <w:t xml:space="preserve"> Περιθώριο (ΝΙΜ) σε επιλεγμένες χώρες, δεύτερο τρίμηνο 2024</w:t>
      </w:r>
    </w:p>
    <w:p w14:paraId="1A4C03B7" w14:textId="44D7D86A" w:rsidR="00967D6A" w:rsidRPr="00720A11" w:rsidRDefault="00967D6A" w:rsidP="00967D6A">
      <w:pPr>
        <w:spacing w:line="276" w:lineRule="auto"/>
        <w:jc w:val="both"/>
        <w:rPr>
          <w:rFonts w:ascii="Century Gothic" w:eastAsia="Times New Roman" w:hAnsi="Century Gothic" w:cstheme="minorHAnsi"/>
          <w:i/>
          <w:color w:val="222222"/>
          <w:sz w:val="23"/>
          <w:szCs w:val="23"/>
          <w:lang w:eastAsia="el-GR"/>
        </w:rPr>
      </w:pPr>
      <w:r w:rsidRPr="00720A11">
        <w:rPr>
          <w:noProof/>
          <w:lang w:eastAsia="el-GR"/>
        </w:rPr>
        <w:drawing>
          <wp:inline distT="0" distB="0" distL="0" distR="0" wp14:anchorId="27963207" wp14:editId="049380FC">
            <wp:extent cx="5276850" cy="3733800"/>
            <wp:effectExtent l="0" t="0" r="0" b="0"/>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392DAE" w14:textId="77777777" w:rsidR="00A424E0" w:rsidRPr="00720A11" w:rsidRDefault="00A424E0" w:rsidP="00A424E0">
      <w:pPr>
        <w:pStyle w:val="NormalWeb"/>
        <w:spacing w:after="300" w:line="276" w:lineRule="auto"/>
        <w:jc w:val="both"/>
        <w:rPr>
          <w:rFonts w:ascii="Century Gothic" w:hAnsi="Century Gothic" w:cstheme="minorHAnsi"/>
          <w:color w:val="222222"/>
          <w:sz w:val="23"/>
          <w:szCs w:val="23"/>
          <w:lang w:val="en-US"/>
        </w:rPr>
      </w:pPr>
      <w:r w:rsidRPr="00720A11">
        <w:rPr>
          <w:rFonts w:ascii="Century Gothic" w:hAnsi="Century Gothic" w:cstheme="minorHAnsi"/>
          <w:color w:val="222222"/>
          <w:sz w:val="23"/>
          <w:szCs w:val="23"/>
        </w:rPr>
        <w:lastRenderedPageBreak/>
        <w:t>Πηγή</w:t>
      </w:r>
      <w:r w:rsidRPr="00720A11">
        <w:rPr>
          <w:rFonts w:ascii="Century Gothic" w:hAnsi="Century Gothic" w:cstheme="minorHAnsi"/>
          <w:color w:val="222222"/>
          <w:sz w:val="23"/>
          <w:szCs w:val="23"/>
          <w:lang w:val="en-US"/>
        </w:rPr>
        <w:t xml:space="preserve">: European Central </w:t>
      </w:r>
      <w:r w:rsidRPr="00720A11">
        <w:rPr>
          <w:rFonts w:ascii="Century Gothic" w:hAnsi="Century Gothic" w:cstheme="minorHAnsi"/>
          <w:color w:val="222222"/>
          <w:sz w:val="23"/>
          <w:szCs w:val="23"/>
        </w:rPr>
        <w:t>Β</w:t>
      </w:r>
      <w:proofErr w:type="spellStart"/>
      <w:r w:rsidRPr="00720A11">
        <w:rPr>
          <w:rFonts w:ascii="Century Gothic" w:hAnsi="Century Gothic" w:cstheme="minorHAnsi"/>
          <w:color w:val="222222"/>
          <w:sz w:val="23"/>
          <w:szCs w:val="23"/>
          <w:lang w:val="en-US"/>
        </w:rPr>
        <w:t>ank</w:t>
      </w:r>
      <w:proofErr w:type="spellEnd"/>
      <w:r w:rsidRPr="00720A11">
        <w:rPr>
          <w:rFonts w:ascii="Century Gothic" w:hAnsi="Century Gothic" w:cstheme="minorHAnsi"/>
          <w:color w:val="222222"/>
          <w:sz w:val="23"/>
          <w:szCs w:val="23"/>
          <w:lang w:val="en-US"/>
        </w:rPr>
        <w:t>, Banking Supervision, Supervisory Banking Statistics for significant institution</w:t>
      </w:r>
    </w:p>
    <w:p w14:paraId="322B0973" w14:textId="29B980BA" w:rsidR="009A3486" w:rsidRPr="00720A11" w:rsidRDefault="009A3486" w:rsidP="002B6E97">
      <w:pPr>
        <w:spacing w:line="276" w:lineRule="auto"/>
        <w:jc w:val="both"/>
        <w:rPr>
          <w:rFonts w:ascii="Century Gothic" w:hAnsi="Century Gothic" w:cstheme="minorHAnsi"/>
          <w:sz w:val="23"/>
          <w:szCs w:val="23"/>
        </w:rPr>
      </w:pPr>
      <w:r w:rsidRPr="00720A11">
        <w:rPr>
          <w:rFonts w:ascii="Century Gothic" w:hAnsi="Century Gothic" w:cstheme="minorHAnsi"/>
          <w:sz w:val="23"/>
          <w:szCs w:val="23"/>
        </w:rPr>
        <w:t>Για τους πα</w:t>
      </w:r>
      <w:r w:rsidR="00C3587F" w:rsidRPr="00720A11">
        <w:rPr>
          <w:rFonts w:ascii="Century Gothic" w:hAnsi="Century Gothic" w:cstheme="minorHAnsi"/>
          <w:sz w:val="23"/>
          <w:szCs w:val="23"/>
        </w:rPr>
        <w:t xml:space="preserve">ραπάνω λόγους, είναι σημαντική η </w:t>
      </w:r>
      <w:r w:rsidRPr="00720A11">
        <w:rPr>
          <w:rFonts w:ascii="Century Gothic" w:hAnsi="Century Gothic" w:cstheme="minorHAnsi"/>
          <w:sz w:val="23"/>
          <w:szCs w:val="23"/>
        </w:rPr>
        <w:t xml:space="preserve">έκδοση των δύο πράξεων της Εκτελεστικής Επιτροπής </w:t>
      </w:r>
      <w:r w:rsidR="00CE2A13" w:rsidRPr="00720A11">
        <w:rPr>
          <w:rFonts w:ascii="Century Gothic" w:hAnsi="Century Gothic" w:cstheme="minorHAnsi"/>
          <w:sz w:val="23"/>
          <w:szCs w:val="23"/>
        </w:rPr>
        <w:t>της</w:t>
      </w:r>
      <w:r w:rsidRPr="00720A11">
        <w:rPr>
          <w:rFonts w:ascii="Century Gothic" w:hAnsi="Century Gothic" w:cstheme="minorHAnsi"/>
          <w:sz w:val="23"/>
          <w:szCs w:val="23"/>
        </w:rPr>
        <w:t xml:space="preserve"> Τράπεζα</w:t>
      </w:r>
      <w:r w:rsidR="00CE2A13" w:rsidRPr="00720A11">
        <w:rPr>
          <w:rFonts w:ascii="Century Gothic" w:hAnsi="Century Gothic" w:cstheme="minorHAnsi"/>
          <w:sz w:val="23"/>
          <w:szCs w:val="23"/>
        </w:rPr>
        <w:t>ς</w:t>
      </w:r>
      <w:r w:rsidRPr="00720A11">
        <w:rPr>
          <w:rFonts w:ascii="Century Gothic" w:hAnsi="Century Gothic" w:cstheme="minorHAnsi"/>
          <w:sz w:val="23"/>
          <w:szCs w:val="23"/>
        </w:rPr>
        <w:t xml:space="preserve"> της Ελλάδος (237/2/25-11-2024 και της 237/3/25-11-2024) σύμφωνα με τις οποίες ενισχύεται το πλαίσιο παροχής πληροφόρησης προς το συναλλακτικό κοινό και συνεπώς και η διαφάνεια στις τραπεζικές συναλλαγές. Αναλυτικότερα, η Κεντρική Τράπεζα της χώρας μας θα δημοσιεύει στοιχεία και πληροφορίες για τα χρηματοπιστωτικά ιδρύματα σχετικά με μια σειρά χρεώσεων και προμηθειών όπως: </w:t>
      </w:r>
      <w:r w:rsidR="00C3587F" w:rsidRPr="00720A11">
        <w:rPr>
          <w:rFonts w:ascii="Century Gothic" w:hAnsi="Century Gothic" w:cstheme="minorHAnsi"/>
          <w:sz w:val="23"/>
          <w:szCs w:val="23"/>
        </w:rPr>
        <w:t xml:space="preserve"> </w:t>
      </w:r>
      <w:r w:rsidRPr="00720A11">
        <w:rPr>
          <w:rFonts w:ascii="Century Gothic" w:hAnsi="Century Gothic" w:cstheme="minorHAnsi"/>
          <w:sz w:val="23"/>
          <w:szCs w:val="23"/>
        </w:rPr>
        <w:t>Τα επιτόκια καταθέσεων, τα επιτόκια χορηγήσεων (στεγαστικά και καταναλωτικά) συμπεριλαμβανομένων των πιστωτικών καρτών και των προμηθειών</w:t>
      </w:r>
      <w:r w:rsidR="00C3587F" w:rsidRPr="00720A11">
        <w:rPr>
          <w:rFonts w:ascii="Century Gothic" w:hAnsi="Century Gothic" w:cstheme="minorHAnsi"/>
          <w:sz w:val="23"/>
          <w:szCs w:val="23"/>
        </w:rPr>
        <w:t xml:space="preserve"> </w:t>
      </w:r>
      <w:r w:rsidRPr="00720A11">
        <w:rPr>
          <w:rFonts w:ascii="Century Gothic" w:hAnsi="Century Gothic" w:cstheme="minorHAnsi"/>
          <w:sz w:val="23"/>
          <w:szCs w:val="23"/>
        </w:rPr>
        <w:t>/ εξόδων για αυτές τις πιστώσεις καθώς και τις χρεώσεις</w:t>
      </w:r>
      <w:r w:rsidR="00C3587F" w:rsidRPr="00720A11">
        <w:rPr>
          <w:rFonts w:ascii="Century Gothic" w:hAnsi="Century Gothic" w:cstheme="minorHAnsi"/>
          <w:sz w:val="23"/>
          <w:szCs w:val="23"/>
        </w:rPr>
        <w:t xml:space="preserve"> </w:t>
      </w:r>
      <w:r w:rsidRPr="00720A11">
        <w:rPr>
          <w:rFonts w:ascii="Century Gothic" w:hAnsi="Century Gothic" w:cstheme="minorHAnsi"/>
          <w:sz w:val="23"/>
          <w:szCs w:val="23"/>
        </w:rPr>
        <w:t xml:space="preserve">/ προμήθειες που συνδέονται με τους λογαριασμούς πληρωμών. Στο ίδιο πλαίσιο, κρίνεται απαραίτητη και η περαιτέρω διεύρυνση των δημοσιοποιούμενων δεδομένων.  </w:t>
      </w:r>
    </w:p>
    <w:p w14:paraId="381655F9" w14:textId="1BACBF0B" w:rsidR="005E56C7" w:rsidRPr="00720A11" w:rsidRDefault="005E56C7" w:rsidP="007604A6">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Την ίδια στιγμή, ο Συνολικός Δείκτης Κεφαλαίου </w:t>
      </w:r>
      <w:r w:rsidR="009A3486" w:rsidRPr="00720A11">
        <w:rPr>
          <w:rFonts w:ascii="Century Gothic" w:hAnsi="Century Gothic" w:cstheme="minorHAnsi"/>
          <w:color w:val="222222"/>
          <w:sz w:val="23"/>
          <w:szCs w:val="23"/>
        </w:rPr>
        <w:t>(</w:t>
      </w:r>
      <w:r w:rsidR="009A3486" w:rsidRPr="00720A11">
        <w:rPr>
          <w:rFonts w:ascii="Century Gothic" w:hAnsi="Century Gothic" w:cstheme="minorHAnsi"/>
          <w:color w:val="222222"/>
          <w:sz w:val="23"/>
          <w:szCs w:val="23"/>
          <w:lang w:val="en-US"/>
        </w:rPr>
        <w:t>Total</w:t>
      </w:r>
      <w:r w:rsidR="009A3486" w:rsidRPr="00720A11">
        <w:rPr>
          <w:rFonts w:ascii="Century Gothic" w:hAnsi="Century Gothic" w:cstheme="minorHAnsi"/>
          <w:color w:val="222222"/>
          <w:sz w:val="23"/>
          <w:szCs w:val="23"/>
        </w:rPr>
        <w:t xml:space="preserve"> </w:t>
      </w:r>
      <w:r w:rsidR="009A3486" w:rsidRPr="00720A11">
        <w:rPr>
          <w:rFonts w:ascii="Century Gothic" w:hAnsi="Century Gothic" w:cstheme="minorHAnsi"/>
          <w:color w:val="222222"/>
          <w:sz w:val="23"/>
          <w:szCs w:val="23"/>
          <w:lang w:val="en-US"/>
        </w:rPr>
        <w:t>Capital</w:t>
      </w:r>
      <w:r w:rsidR="009A3486" w:rsidRPr="00720A11">
        <w:rPr>
          <w:rFonts w:ascii="Century Gothic" w:hAnsi="Century Gothic" w:cstheme="minorHAnsi"/>
          <w:color w:val="222222"/>
          <w:sz w:val="23"/>
          <w:szCs w:val="23"/>
        </w:rPr>
        <w:t xml:space="preserve"> </w:t>
      </w:r>
      <w:r w:rsidR="009A3486" w:rsidRPr="00720A11">
        <w:rPr>
          <w:rFonts w:ascii="Century Gothic" w:hAnsi="Century Gothic" w:cstheme="minorHAnsi"/>
          <w:color w:val="222222"/>
          <w:sz w:val="23"/>
          <w:szCs w:val="23"/>
          <w:lang w:val="en-US"/>
        </w:rPr>
        <w:t>Ratio</w:t>
      </w:r>
      <w:r w:rsidR="009A3486" w:rsidRPr="00720A11">
        <w:rPr>
          <w:rFonts w:ascii="Century Gothic" w:hAnsi="Century Gothic" w:cstheme="minorHAnsi"/>
          <w:color w:val="222222"/>
          <w:sz w:val="23"/>
          <w:szCs w:val="23"/>
        </w:rPr>
        <w:t xml:space="preserve">) των 4 ελληνικών συστημικών (18,84%) βρίσκεται πολύ κοντά στον αντίστοιχο ευρωπαϊκό (19,71%), γεγονός που δείχνει ότι η ευρωστία του εγχώριου τραπεζικού συστήματος έχει ενισχυθεί σημαντικά </w:t>
      </w:r>
      <w:r w:rsidR="00C3587F" w:rsidRPr="00720A11">
        <w:rPr>
          <w:rFonts w:ascii="Century Gothic" w:hAnsi="Century Gothic" w:cstheme="minorHAnsi"/>
          <w:color w:val="222222"/>
          <w:sz w:val="23"/>
          <w:szCs w:val="23"/>
        </w:rPr>
        <w:t>τα τελευταία χρόνια. Ωστόσο</w:t>
      </w:r>
      <w:r w:rsidR="009A3486" w:rsidRPr="00720A11">
        <w:rPr>
          <w:rFonts w:ascii="Century Gothic" w:hAnsi="Century Gothic" w:cstheme="minorHAnsi"/>
          <w:color w:val="222222"/>
          <w:sz w:val="23"/>
          <w:szCs w:val="23"/>
        </w:rPr>
        <w:t>, το ποσοστό δανείων προς καταθέσεις είναι πολύ χαμηλότερο στην Ελλάδα, και μάλιστα βαίνει μειούμενο. Αυτό το εύρημα υπογραμμίζει ουσιαστικά ότι οι εγχώριες τράπεζες, εκτός του ότι χρεώνουν υψηλά επιτόκια, δεν επιτελούν τον ουσιαστικό τους ρόλο, εκείνο των χορηγήσεων δανείων (Πίνακας 2</w:t>
      </w:r>
      <w:r w:rsidR="007604A6" w:rsidRPr="00720A11">
        <w:rPr>
          <w:rFonts w:ascii="Century Gothic" w:hAnsi="Century Gothic" w:cstheme="minorHAnsi"/>
          <w:color w:val="222222"/>
          <w:sz w:val="23"/>
          <w:szCs w:val="23"/>
        </w:rPr>
        <w:t>, Διάγραμμα 1</w:t>
      </w:r>
      <w:r w:rsidR="009A3486" w:rsidRPr="00720A11">
        <w:rPr>
          <w:rFonts w:ascii="Century Gothic" w:hAnsi="Century Gothic" w:cstheme="minorHAnsi"/>
          <w:color w:val="222222"/>
          <w:sz w:val="23"/>
          <w:szCs w:val="23"/>
        </w:rPr>
        <w:t>).</w:t>
      </w:r>
    </w:p>
    <w:p w14:paraId="4BECF917" w14:textId="77777777" w:rsidR="009A3486" w:rsidRPr="00720A11" w:rsidRDefault="009A3486" w:rsidP="007604A6">
      <w:pPr>
        <w:pStyle w:val="NormalWeb"/>
        <w:spacing w:before="0" w:beforeAutospacing="0" w:after="300" w:afterAutospacing="0" w:line="276" w:lineRule="auto"/>
        <w:jc w:val="both"/>
        <w:rPr>
          <w:rFonts w:ascii="Century Gothic" w:hAnsi="Century Gothic" w:cstheme="minorHAnsi"/>
          <w:i/>
          <w:color w:val="222222"/>
          <w:sz w:val="23"/>
          <w:szCs w:val="23"/>
        </w:rPr>
      </w:pPr>
      <w:r w:rsidRPr="00720A11">
        <w:rPr>
          <w:rFonts w:ascii="Century Gothic" w:hAnsi="Century Gothic" w:cstheme="minorHAnsi"/>
          <w:i/>
          <w:color w:val="222222"/>
          <w:sz w:val="23"/>
          <w:szCs w:val="23"/>
        </w:rPr>
        <w:t>Πίνακας 2: Ποσοστό Δανείων προς καταθέσεις</w:t>
      </w:r>
    </w:p>
    <w:tbl>
      <w:tblPr>
        <w:tblStyle w:val="TableGrid"/>
        <w:tblW w:w="0" w:type="auto"/>
        <w:tblLook w:val="04A0" w:firstRow="1" w:lastRow="0" w:firstColumn="1" w:lastColumn="0" w:noHBand="0" w:noVBand="1"/>
      </w:tblPr>
      <w:tblGrid>
        <w:gridCol w:w="1838"/>
        <w:gridCol w:w="3692"/>
        <w:gridCol w:w="2766"/>
      </w:tblGrid>
      <w:tr w:rsidR="009A3486" w:rsidRPr="00720A11" w14:paraId="6139AD14" w14:textId="77777777" w:rsidTr="005D6170">
        <w:tc>
          <w:tcPr>
            <w:tcW w:w="1838" w:type="dxa"/>
          </w:tcPr>
          <w:p w14:paraId="5D1CB3B5"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p>
        </w:tc>
        <w:tc>
          <w:tcPr>
            <w:tcW w:w="3692" w:type="dxa"/>
          </w:tcPr>
          <w:p w14:paraId="3127041E"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Ευρωπαϊκές Συστημικές</w:t>
            </w:r>
          </w:p>
        </w:tc>
        <w:tc>
          <w:tcPr>
            <w:tcW w:w="2766" w:type="dxa"/>
          </w:tcPr>
          <w:p w14:paraId="40D5B2D0"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Ελληνικές Συστημικές</w:t>
            </w:r>
          </w:p>
        </w:tc>
      </w:tr>
      <w:tr w:rsidR="009A3486" w:rsidRPr="00720A11" w14:paraId="30EA9E17" w14:textId="77777777" w:rsidTr="005D6170">
        <w:trPr>
          <w:trHeight w:val="485"/>
        </w:trPr>
        <w:tc>
          <w:tcPr>
            <w:tcW w:w="1838" w:type="dxa"/>
          </w:tcPr>
          <w:p w14:paraId="7CB1B818"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2022</w:t>
            </w:r>
          </w:p>
        </w:tc>
        <w:tc>
          <w:tcPr>
            <w:tcW w:w="3692" w:type="dxa"/>
          </w:tcPr>
          <w:p w14:paraId="48F07D22"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103,52%</w:t>
            </w:r>
          </w:p>
        </w:tc>
        <w:tc>
          <w:tcPr>
            <w:tcW w:w="2766" w:type="dxa"/>
          </w:tcPr>
          <w:p w14:paraId="4CFD6A7A"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60,44%</w:t>
            </w:r>
          </w:p>
        </w:tc>
      </w:tr>
      <w:tr w:rsidR="009A3486" w:rsidRPr="00720A11" w14:paraId="50ACAE48" w14:textId="77777777" w:rsidTr="005D6170">
        <w:trPr>
          <w:trHeight w:val="409"/>
        </w:trPr>
        <w:tc>
          <w:tcPr>
            <w:tcW w:w="1838" w:type="dxa"/>
          </w:tcPr>
          <w:p w14:paraId="33BFB50B"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2023</w:t>
            </w:r>
          </w:p>
        </w:tc>
        <w:tc>
          <w:tcPr>
            <w:tcW w:w="3692" w:type="dxa"/>
          </w:tcPr>
          <w:p w14:paraId="5C9134EC"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102,74%</w:t>
            </w:r>
          </w:p>
        </w:tc>
        <w:tc>
          <w:tcPr>
            <w:tcW w:w="2766" w:type="dxa"/>
          </w:tcPr>
          <w:p w14:paraId="49A817FA" w14:textId="77777777" w:rsidR="009A3486" w:rsidRPr="00720A11" w:rsidRDefault="009A3486" w:rsidP="005D6170">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58,81%</w:t>
            </w:r>
          </w:p>
        </w:tc>
      </w:tr>
    </w:tbl>
    <w:p w14:paraId="0BA6DF8B" w14:textId="77777777" w:rsidR="00B6360D" w:rsidRPr="00720A11" w:rsidRDefault="00B6360D" w:rsidP="007604A6">
      <w:pPr>
        <w:pStyle w:val="NormalWeb"/>
        <w:spacing w:after="300" w:line="276" w:lineRule="auto"/>
        <w:jc w:val="both"/>
        <w:rPr>
          <w:rFonts w:ascii="Century Gothic" w:hAnsi="Century Gothic" w:cstheme="minorHAnsi"/>
          <w:color w:val="222222"/>
          <w:sz w:val="23"/>
          <w:szCs w:val="23"/>
          <w:lang w:val="en-US"/>
        </w:rPr>
      </w:pPr>
      <w:r w:rsidRPr="00720A11">
        <w:rPr>
          <w:rFonts w:ascii="Century Gothic" w:hAnsi="Century Gothic" w:cstheme="minorHAnsi"/>
          <w:color w:val="222222"/>
          <w:sz w:val="23"/>
          <w:szCs w:val="23"/>
        </w:rPr>
        <w:t>Πηγή</w:t>
      </w:r>
      <w:r w:rsidRPr="00720A11">
        <w:rPr>
          <w:rFonts w:ascii="Century Gothic" w:hAnsi="Century Gothic" w:cstheme="minorHAnsi"/>
          <w:color w:val="222222"/>
          <w:sz w:val="23"/>
          <w:szCs w:val="23"/>
          <w:lang w:val="en-US"/>
        </w:rPr>
        <w:t xml:space="preserve">: European Central </w:t>
      </w:r>
      <w:r w:rsidRPr="00720A11">
        <w:rPr>
          <w:rFonts w:ascii="Century Gothic" w:hAnsi="Century Gothic" w:cstheme="minorHAnsi"/>
          <w:color w:val="222222"/>
          <w:sz w:val="23"/>
          <w:szCs w:val="23"/>
        </w:rPr>
        <w:t>Β</w:t>
      </w:r>
      <w:proofErr w:type="spellStart"/>
      <w:r w:rsidRPr="00720A11">
        <w:rPr>
          <w:rFonts w:ascii="Century Gothic" w:hAnsi="Century Gothic" w:cstheme="minorHAnsi"/>
          <w:color w:val="222222"/>
          <w:sz w:val="23"/>
          <w:szCs w:val="23"/>
          <w:lang w:val="en-US"/>
        </w:rPr>
        <w:t>ank</w:t>
      </w:r>
      <w:proofErr w:type="spellEnd"/>
      <w:r w:rsidRPr="00720A11">
        <w:rPr>
          <w:rFonts w:ascii="Century Gothic" w:hAnsi="Century Gothic" w:cstheme="minorHAnsi"/>
          <w:color w:val="222222"/>
          <w:sz w:val="23"/>
          <w:szCs w:val="23"/>
          <w:lang w:val="en-US"/>
        </w:rPr>
        <w:t>, Banking Supervision, Supervisory Banking Statistics for significant institution</w:t>
      </w:r>
    </w:p>
    <w:p w14:paraId="1BDA93BE" w14:textId="77777777" w:rsidR="007604A6" w:rsidRPr="00720A11" w:rsidRDefault="007604A6" w:rsidP="007604A6">
      <w:pPr>
        <w:pStyle w:val="NormalWeb"/>
        <w:spacing w:after="300" w:line="276" w:lineRule="auto"/>
        <w:jc w:val="both"/>
        <w:rPr>
          <w:rFonts w:ascii="Century Gothic" w:hAnsi="Century Gothic" w:cstheme="minorHAnsi"/>
          <w:color w:val="222222"/>
          <w:sz w:val="23"/>
          <w:szCs w:val="23"/>
          <w:lang w:val="en-US"/>
        </w:rPr>
      </w:pPr>
    </w:p>
    <w:p w14:paraId="2B629500" w14:textId="77777777" w:rsidR="002B6E97" w:rsidRPr="00720A11" w:rsidRDefault="002B6E97" w:rsidP="007604A6">
      <w:pPr>
        <w:pStyle w:val="NormalWeb"/>
        <w:spacing w:after="300" w:line="276" w:lineRule="auto"/>
        <w:jc w:val="both"/>
        <w:rPr>
          <w:rFonts w:ascii="Century Gothic" w:hAnsi="Century Gothic" w:cstheme="minorHAnsi"/>
          <w:color w:val="222222"/>
          <w:sz w:val="23"/>
          <w:szCs w:val="23"/>
          <w:lang w:val="en-US"/>
        </w:rPr>
      </w:pPr>
    </w:p>
    <w:p w14:paraId="7FFAE495" w14:textId="77777777" w:rsidR="002B6E97" w:rsidRPr="00720A11" w:rsidRDefault="002B6E97" w:rsidP="007604A6">
      <w:pPr>
        <w:pStyle w:val="NormalWeb"/>
        <w:spacing w:after="300" w:line="276" w:lineRule="auto"/>
        <w:jc w:val="both"/>
        <w:rPr>
          <w:rFonts w:ascii="Century Gothic" w:hAnsi="Century Gothic" w:cstheme="minorHAnsi"/>
          <w:color w:val="222222"/>
          <w:sz w:val="23"/>
          <w:szCs w:val="23"/>
          <w:lang w:val="en-US"/>
        </w:rPr>
      </w:pPr>
    </w:p>
    <w:p w14:paraId="57202230" w14:textId="77777777" w:rsidR="002B6E97" w:rsidRPr="00720A11" w:rsidRDefault="002B6E97" w:rsidP="007604A6">
      <w:pPr>
        <w:pStyle w:val="NormalWeb"/>
        <w:spacing w:after="300" w:line="276" w:lineRule="auto"/>
        <w:jc w:val="both"/>
        <w:rPr>
          <w:rFonts w:ascii="Century Gothic" w:hAnsi="Century Gothic" w:cstheme="minorHAnsi"/>
          <w:color w:val="222222"/>
          <w:sz w:val="23"/>
          <w:szCs w:val="23"/>
          <w:lang w:val="en-US"/>
        </w:rPr>
      </w:pPr>
    </w:p>
    <w:p w14:paraId="06CC613C" w14:textId="0FC124AF" w:rsidR="002B6E97" w:rsidRPr="00720A11" w:rsidRDefault="002B6E97" w:rsidP="007604A6">
      <w:pPr>
        <w:pStyle w:val="NormalWeb"/>
        <w:spacing w:after="300" w:line="276" w:lineRule="auto"/>
        <w:jc w:val="both"/>
        <w:rPr>
          <w:rFonts w:ascii="Century Gothic" w:hAnsi="Century Gothic" w:cstheme="minorHAnsi"/>
          <w:color w:val="222222"/>
          <w:sz w:val="23"/>
          <w:szCs w:val="23"/>
          <w:lang w:val="en-US"/>
        </w:rPr>
      </w:pPr>
    </w:p>
    <w:p w14:paraId="7FA90AC9" w14:textId="77777777" w:rsidR="00E70CEF" w:rsidRPr="00720A11" w:rsidRDefault="00E70CEF" w:rsidP="007604A6">
      <w:pPr>
        <w:pStyle w:val="NormalWeb"/>
        <w:spacing w:after="300" w:line="276" w:lineRule="auto"/>
        <w:jc w:val="both"/>
        <w:rPr>
          <w:rFonts w:ascii="Century Gothic" w:hAnsi="Century Gothic" w:cstheme="minorHAnsi"/>
          <w:color w:val="222222"/>
          <w:sz w:val="23"/>
          <w:szCs w:val="23"/>
          <w:lang w:val="en-US"/>
        </w:rPr>
      </w:pPr>
    </w:p>
    <w:p w14:paraId="69BAED72" w14:textId="5193AC9C" w:rsidR="007604A6" w:rsidRPr="00720A11" w:rsidRDefault="007604A6" w:rsidP="007604A6">
      <w:pPr>
        <w:pStyle w:val="NormalWeb"/>
        <w:spacing w:after="30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Διάγραμμα 1:</w:t>
      </w:r>
      <w:r w:rsidR="0052057C" w:rsidRPr="00720A11">
        <w:rPr>
          <w:rFonts w:ascii="Century Gothic" w:hAnsi="Century Gothic" w:cstheme="minorHAnsi"/>
          <w:color w:val="222222"/>
          <w:sz w:val="23"/>
          <w:szCs w:val="23"/>
        </w:rPr>
        <w:t xml:space="preserve"> </w:t>
      </w:r>
      <w:r w:rsidRPr="00720A11">
        <w:rPr>
          <w:rFonts w:ascii="Century Gothic" w:hAnsi="Century Gothic" w:cstheme="minorHAnsi"/>
          <w:color w:val="222222"/>
          <w:sz w:val="23"/>
          <w:szCs w:val="23"/>
        </w:rPr>
        <w:t>Εξέλιξη Δείκτη Δανείων προς Καταθέσεις, Ελλάδα και Ευρωζώνη, 2000-2023</w:t>
      </w:r>
    </w:p>
    <w:p w14:paraId="43342686" w14:textId="77777777" w:rsidR="00B6360D" w:rsidRPr="00720A11" w:rsidRDefault="007604A6" w:rsidP="007604A6">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noProof/>
          <w:sz w:val="23"/>
          <w:szCs w:val="23"/>
        </w:rPr>
        <w:drawing>
          <wp:inline distT="0" distB="0" distL="0" distR="0" wp14:anchorId="7AC9BFBF" wp14:editId="5C359EFA">
            <wp:extent cx="5274310" cy="2399030"/>
            <wp:effectExtent l="0" t="0" r="2540" b="1270"/>
            <wp:docPr id="1169630393" name="Εικόνα 1" descr="Εικόνα που περιέχει κείμενο, γράφημα, γραμμή,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0393" name="Εικόνα 1" descr="Εικόνα που περιέχει κείμενο, γράφημα, γραμμή, διάγραμμα&#10;&#10;Περιγραφή που δημιουργήθηκε αυτόματα"/>
                    <pic:cNvPicPr/>
                  </pic:nvPicPr>
                  <pic:blipFill rotWithShape="1">
                    <a:blip r:embed="rId10" cstate="print">
                      <a:extLst>
                        <a:ext uri="{28A0092B-C50C-407E-A947-70E740481C1C}">
                          <a14:useLocalDpi xmlns:a14="http://schemas.microsoft.com/office/drawing/2010/main" val="0"/>
                        </a:ext>
                      </a:extLst>
                    </a:blip>
                    <a:srcRect l="-2170" t="9203" r="2026" b="-1169"/>
                    <a:stretch/>
                  </pic:blipFill>
                  <pic:spPr bwMode="auto">
                    <a:xfrm>
                      <a:off x="0" y="0"/>
                      <a:ext cx="5274310" cy="2399030"/>
                    </a:xfrm>
                    <a:prstGeom prst="rect">
                      <a:avLst/>
                    </a:prstGeom>
                    <a:ln>
                      <a:noFill/>
                    </a:ln>
                    <a:extLst>
                      <a:ext uri="{53640926-AAD7-44D8-BBD7-CCE9431645EC}">
                        <a14:shadowObscured xmlns:a14="http://schemas.microsoft.com/office/drawing/2010/main"/>
                      </a:ext>
                    </a:extLst>
                  </pic:spPr>
                </pic:pic>
              </a:graphicData>
            </a:graphic>
          </wp:inline>
        </w:drawing>
      </w:r>
    </w:p>
    <w:p w14:paraId="705598C5" w14:textId="0BA0DCDA" w:rsidR="00A424E0" w:rsidRPr="00720A11" w:rsidRDefault="005E56C7" w:rsidP="007604A6">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Το υψηλό </w:t>
      </w:r>
      <w:proofErr w:type="spellStart"/>
      <w:r w:rsidRPr="00720A11">
        <w:rPr>
          <w:rFonts w:ascii="Century Gothic" w:hAnsi="Century Gothic" w:cstheme="minorHAnsi"/>
          <w:color w:val="222222"/>
          <w:sz w:val="23"/>
          <w:szCs w:val="23"/>
        </w:rPr>
        <w:t>επιτοκιακό</w:t>
      </w:r>
      <w:proofErr w:type="spellEnd"/>
      <w:r w:rsidRPr="00720A11">
        <w:rPr>
          <w:rFonts w:ascii="Century Gothic" w:hAnsi="Century Gothic" w:cstheme="minorHAnsi"/>
          <w:color w:val="222222"/>
          <w:sz w:val="23"/>
          <w:szCs w:val="23"/>
        </w:rPr>
        <w:t xml:space="preserve"> περιθώριο ώθησε</w:t>
      </w:r>
      <w:r w:rsidR="0059582D" w:rsidRPr="00720A11">
        <w:rPr>
          <w:rFonts w:ascii="Century Gothic" w:hAnsi="Century Gothic" w:cstheme="minorHAnsi"/>
          <w:color w:val="222222"/>
          <w:sz w:val="23"/>
          <w:szCs w:val="23"/>
        </w:rPr>
        <w:t xml:space="preserve"> ανοδικά</w:t>
      </w:r>
      <w:r w:rsidRPr="00720A11">
        <w:rPr>
          <w:rFonts w:ascii="Century Gothic" w:hAnsi="Century Gothic" w:cstheme="minorHAnsi"/>
          <w:color w:val="222222"/>
          <w:sz w:val="23"/>
          <w:szCs w:val="23"/>
        </w:rPr>
        <w:t xml:space="preserve"> και την κερδοφορία των ελληνικών τραπεζών που ανήλθε το α΄ τρίμηνο του έτους στο 1,09 δισ. ευρώ έναντι 774,9 εκατ. ευρώ το αντίστοιχο τρίμηνο</w:t>
      </w:r>
      <w:r w:rsidR="00CE2A13" w:rsidRPr="00720A11">
        <w:rPr>
          <w:rFonts w:ascii="Century Gothic" w:hAnsi="Century Gothic" w:cstheme="minorHAnsi"/>
          <w:color w:val="222222"/>
          <w:sz w:val="23"/>
          <w:szCs w:val="23"/>
        </w:rPr>
        <w:t xml:space="preserve"> του 2023</w:t>
      </w:r>
      <w:r w:rsidR="0059582D" w:rsidRPr="00720A11">
        <w:rPr>
          <w:rFonts w:ascii="Century Gothic" w:hAnsi="Century Gothic" w:cstheme="minorHAnsi"/>
          <w:color w:val="222222"/>
          <w:sz w:val="23"/>
          <w:szCs w:val="23"/>
        </w:rPr>
        <w:t xml:space="preserve">. Ως εκ τούτου, οι τέσσερις ελληνικές συστημικές κατέγραψαν τόνωση της κερδοφορίας τους κατά </w:t>
      </w:r>
      <w:r w:rsidRPr="00720A11">
        <w:rPr>
          <w:rFonts w:ascii="Century Gothic" w:hAnsi="Century Gothic" w:cstheme="minorHAnsi"/>
          <w:color w:val="222222"/>
          <w:sz w:val="23"/>
          <w:szCs w:val="23"/>
        </w:rPr>
        <w:t>40</w:t>
      </w:r>
      <w:r w:rsidR="0059582D" w:rsidRPr="00720A11">
        <w:rPr>
          <w:rFonts w:ascii="Century Gothic" w:hAnsi="Century Gothic" w:cstheme="minorHAnsi"/>
          <w:color w:val="222222"/>
          <w:sz w:val="23"/>
          <w:szCs w:val="23"/>
        </w:rPr>
        <w:t>,6</w:t>
      </w:r>
      <w:r w:rsidRPr="00720A11">
        <w:rPr>
          <w:rFonts w:ascii="Century Gothic" w:hAnsi="Century Gothic" w:cstheme="minorHAnsi"/>
          <w:color w:val="222222"/>
          <w:sz w:val="23"/>
          <w:szCs w:val="23"/>
        </w:rPr>
        <w:t>% έναντι 6,8% που ήταν η αντίστοιχη άνοδο</w:t>
      </w:r>
      <w:r w:rsidR="0059582D" w:rsidRPr="00720A11">
        <w:rPr>
          <w:rFonts w:ascii="Century Gothic" w:hAnsi="Century Gothic" w:cstheme="minorHAnsi"/>
          <w:color w:val="222222"/>
          <w:sz w:val="23"/>
          <w:szCs w:val="23"/>
        </w:rPr>
        <w:t>ς των ευρωπαϊκών τραπεζών</w:t>
      </w:r>
      <w:r w:rsidR="00720A11" w:rsidRPr="00720A11">
        <w:rPr>
          <w:rFonts w:ascii="Century Gothic" w:hAnsi="Century Gothic" w:cstheme="minorHAnsi"/>
          <w:color w:val="222222"/>
          <w:sz w:val="23"/>
          <w:szCs w:val="23"/>
        </w:rPr>
        <w:t xml:space="preserve">. </w:t>
      </w:r>
      <w:r w:rsidR="00EB04F5" w:rsidRPr="00720A11">
        <w:rPr>
          <w:rFonts w:ascii="Century Gothic" w:hAnsi="Century Gothic" w:cstheme="minorHAnsi"/>
          <w:color w:val="222222"/>
          <w:sz w:val="23"/>
          <w:szCs w:val="23"/>
        </w:rPr>
        <w:t xml:space="preserve">Αυτό το εύρημα υπογραμμίζει ουσιαστικά ότι οι εγχώριες τράπεζες, εκτός του ότι χρεώνουν υψηλά επιτόκια, δεν επιτελούν τον ουσιαστικό τους ρόλο, εκείνο των χορηγήσεων δανείων. Με </w:t>
      </w:r>
      <w:r w:rsidR="00C37D8D" w:rsidRPr="00720A11">
        <w:rPr>
          <w:rFonts w:ascii="Century Gothic" w:hAnsi="Century Gothic" w:cstheme="minorHAnsi"/>
          <w:color w:val="222222"/>
          <w:sz w:val="23"/>
          <w:szCs w:val="23"/>
        </w:rPr>
        <w:t xml:space="preserve">τα </w:t>
      </w:r>
      <w:r w:rsidR="00EB04F5" w:rsidRPr="00720A11">
        <w:rPr>
          <w:rFonts w:ascii="Century Gothic" w:hAnsi="Century Gothic" w:cstheme="minorHAnsi"/>
          <w:color w:val="222222"/>
          <w:sz w:val="23"/>
          <w:szCs w:val="23"/>
        </w:rPr>
        <w:t>πλέον πρόσφατα στοιχεία</w:t>
      </w:r>
      <w:r w:rsidR="00EB04F5" w:rsidRPr="00720A11">
        <w:rPr>
          <w:rFonts w:ascii="Century Gothic" w:hAnsi="Century Gothic" w:cstheme="minorHAnsi"/>
          <w:i/>
          <w:color w:val="222222"/>
          <w:sz w:val="23"/>
          <w:szCs w:val="23"/>
        </w:rPr>
        <w:t xml:space="preserve"> </w:t>
      </w:r>
      <w:r w:rsidR="00C37D8D" w:rsidRPr="00720A11">
        <w:rPr>
          <w:rFonts w:ascii="Century Gothic" w:hAnsi="Century Gothic" w:cstheme="minorHAnsi"/>
          <w:i/>
          <w:color w:val="000000"/>
          <w:sz w:val="23"/>
          <w:szCs w:val="23"/>
          <w:shd w:val="clear" w:color="auto" w:fill="FFFFFF"/>
        </w:rPr>
        <w:t xml:space="preserve">«The European </w:t>
      </w:r>
      <w:proofErr w:type="spellStart"/>
      <w:r w:rsidR="00C37D8D" w:rsidRPr="00720A11">
        <w:rPr>
          <w:rFonts w:ascii="Century Gothic" w:hAnsi="Century Gothic" w:cstheme="minorHAnsi"/>
          <w:i/>
          <w:color w:val="000000"/>
          <w:sz w:val="23"/>
          <w:szCs w:val="23"/>
          <w:shd w:val="clear" w:color="auto" w:fill="FFFFFF"/>
        </w:rPr>
        <w:t>Small</w:t>
      </w:r>
      <w:proofErr w:type="spellEnd"/>
      <w:r w:rsidR="00C37D8D" w:rsidRPr="00720A11">
        <w:rPr>
          <w:rFonts w:ascii="Century Gothic" w:hAnsi="Century Gothic" w:cstheme="minorHAnsi"/>
          <w:i/>
          <w:color w:val="000000"/>
          <w:sz w:val="23"/>
          <w:szCs w:val="23"/>
          <w:shd w:val="clear" w:color="auto" w:fill="FFFFFF"/>
        </w:rPr>
        <w:t xml:space="preserve"> </w:t>
      </w:r>
      <w:proofErr w:type="spellStart"/>
      <w:r w:rsidR="00C37D8D" w:rsidRPr="00720A11">
        <w:rPr>
          <w:rFonts w:ascii="Century Gothic" w:hAnsi="Century Gothic" w:cstheme="minorHAnsi"/>
          <w:i/>
          <w:color w:val="000000"/>
          <w:sz w:val="23"/>
          <w:szCs w:val="23"/>
          <w:shd w:val="clear" w:color="auto" w:fill="FFFFFF"/>
        </w:rPr>
        <w:t>Business</w:t>
      </w:r>
      <w:proofErr w:type="spellEnd"/>
      <w:r w:rsidR="00C37D8D" w:rsidRPr="00720A11">
        <w:rPr>
          <w:rFonts w:ascii="Century Gothic" w:hAnsi="Century Gothic" w:cstheme="minorHAnsi"/>
          <w:i/>
          <w:color w:val="000000"/>
          <w:sz w:val="23"/>
          <w:szCs w:val="23"/>
          <w:shd w:val="clear" w:color="auto" w:fill="FFFFFF"/>
        </w:rPr>
        <w:t xml:space="preserve"> </w:t>
      </w:r>
      <w:proofErr w:type="spellStart"/>
      <w:r w:rsidR="00C37D8D" w:rsidRPr="00720A11">
        <w:rPr>
          <w:rFonts w:ascii="Century Gothic" w:hAnsi="Century Gothic" w:cstheme="minorHAnsi"/>
          <w:i/>
          <w:color w:val="000000"/>
          <w:sz w:val="23"/>
          <w:szCs w:val="23"/>
          <w:shd w:val="clear" w:color="auto" w:fill="FFFFFF"/>
        </w:rPr>
        <w:t>Finance</w:t>
      </w:r>
      <w:proofErr w:type="spellEnd"/>
      <w:r w:rsidR="00C37D8D" w:rsidRPr="00720A11">
        <w:rPr>
          <w:rFonts w:ascii="Century Gothic" w:hAnsi="Century Gothic" w:cstheme="minorHAnsi"/>
          <w:i/>
          <w:color w:val="000000"/>
          <w:sz w:val="23"/>
          <w:szCs w:val="23"/>
          <w:shd w:val="clear" w:color="auto" w:fill="FFFFFF"/>
        </w:rPr>
        <w:t xml:space="preserve"> Outlook (ESBFO) 2023» του EIF </w:t>
      </w:r>
      <w:r w:rsidR="00EB04F5" w:rsidRPr="00720A11">
        <w:rPr>
          <w:rFonts w:ascii="Century Gothic" w:hAnsi="Century Gothic" w:cstheme="minorHAnsi"/>
          <w:color w:val="222222"/>
          <w:sz w:val="23"/>
          <w:szCs w:val="23"/>
        </w:rPr>
        <w:t xml:space="preserve">οι ελληνικές επιχειρήσεις βρίσκονται στην τελευταία θέση </w:t>
      </w:r>
      <w:r w:rsidR="00C37D8D" w:rsidRPr="00720A11">
        <w:rPr>
          <w:rFonts w:ascii="Century Gothic" w:hAnsi="Century Gothic" w:cstheme="minorHAnsi"/>
          <w:color w:val="222222"/>
          <w:sz w:val="23"/>
          <w:szCs w:val="23"/>
        </w:rPr>
        <w:t>στην πρόσβαση στη χρηματοδότηση</w:t>
      </w:r>
      <w:r w:rsidR="00720A11">
        <w:rPr>
          <w:rFonts w:ascii="Century Gothic" w:hAnsi="Century Gothic" w:cstheme="minorHAnsi"/>
          <w:color w:val="222222"/>
          <w:sz w:val="23"/>
          <w:szCs w:val="23"/>
        </w:rPr>
        <w:t>.</w:t>
      </w:r>
      <w:r w:rsidR="00C37D8D" w:rsidRPr="00720A11">
        <w:rPr>
          <w:rFonts w:ascii="Century Gothic" w:hAnsi="Century Gothic" w:cstheme="minorHAnsi"/>
          <w:color w:val="000000"/>
          <w:sz w:val="23"/>
          <w:szCs w:val="23"/>
          <w:shd w:val="clear" w:color="auto" w:fill="FFFFFF"/>
        </w:rPr>
        <w:t xml:space="preserve">  </w:t>
      </w:r>
      <w:r w:rsidR="00EB04F5" w:rsidRPr="00720A11">
        <w:rPr>
          <w:rFonts w:ascii="Century Gothic" w:hAnsi="Century Gothic" w:cstheme="minorHAnsi"/>
          <w:color w:val="222222"/>
          <w:sz w:val="23"/>
          <w:szCs w:val="23"/>
        </w:rPr>
        <w:t xml:space="preserve">Ουσιαστικά δηλαδή, παρά την </w:t>
      </w:r>
      <w:proofErr w:type="spellStart"/>
      <w:r w:rsidR="00EB04F5" w:rsidRPr="00720A11">
        <w:rPr>
          <w:rFonts w:ascii="Century Gothic" w:hAnsi="Century Gothic" w:cstheme="minorHAnsi"/>
          <w:color w:val="222222"/>
          <w:sz w:val="23"/>
          <w:szCs w:val="23"/>
        </w:rPr>
        <w:t>υποχρηματοδότηση</w:t>
      </w:r>
      <w:proofErr w:type="spellEnd"/>
      <w:r w:rsidR="00EB04F5" w:rsidRPr="00720A11">
        <w:rPr>
          <w:rFonts w:ascii="Century Gothic" w:hAnsi="Century Gothic" w:cstheme="minorHAnsi"/>
          <w:color w:val="222222"/>
          <w:sz w:val="23"/>
          <w:szCs w:val="23"/>
        </w:rPr>
        <w:t>, η όποια πρόσβ</w:t>
      </w:r>
      <w:r w:rsidR="00720A11">
        <w:rPr>
          <w:rFonts w:ascii="Century Gothic" w:hAnsi="Century Gothic" w:cstheme="minorHAnsi"/>
          <w:color w:val="222222"/>
          <w:sz w:val="23"/>
          <w:szCs w:val="23"/>
        </w:rPr>
        <w:t>αση στη χρηματοδότηση παραμένε</w:t>
      </w:r>
      <w:r w:rsidR="00EB04F5" w:rsidRPr="00720A11">
        <w:rPr>
          <w:rFonts w:ascii="Century Gothic" w:hAnsi="Century Gothic" w:cstheme="minorHAnsi"/>
          <w:color w:val="222222"/>
          <w:sz w:val="23"/>
          <w:szCs w:val="23"/>
        </w:rPr>
        <w:t>ι</w:t>
      </w:r>
      <w:r w:rsidR="00720A11">
        <w:rPr>
          <w:rFonts w:ascii="Century Gothic" w:hAnsi="Century Gothic" w:cstheme="minorHAnsi"/>
          <w:color w:val="222222"/>
          <w:sz w:val="23"/>
          <w:szCs w:val="23"/>
        </w:rPr>
        <w:t xml:space="preserve"> να έχει ιδιαίτερα υψηλό κόστος</w:t>
      </w:r>
      <w:r w:rsidR="00EB04F5" w:rsidRPr="00720A11">
        <w:rPr>
          <w:rFonts w:ascii="Century Gothic" w:hAnsi="Century Gothic" w:cstheme="minorHAnsi"/>
          <w:color w:val="222222"/>
          <w:sz w:val="23"/>
          <w:szCs w:val="23"/>
        </w:rPr>
        <w:t xml:space="preserve">, επιβραδύνοντας τον μετασχηματισμό των εμπορικών επιχειρήσεων.  </w:t>
      </w:r>
    </w:p>
    <w:p w14:paraId="2D78ABEA" w14:textId="3894671F" w:rsidR="006574C6" w:rsidRPr="00720A11" w:rsidRDefault="006574C6" w:rsidP="00A424E0">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Η ελληνική αυτή «ιδιαιτερότητα», δηλαδή η ισχυρή απόκλιση μεταξύ εσόδων από τόκους και εσόδων από προμήθειες εδράζεται και στο γεγονός ότι </w:t>
      </w:r>
      <w:r w:rsidRPr="00720A11">
        <w:rPr>
          <w:rFonts w:ascii="Century Gothic" w:hAnsi="Century Gothic" w:cstheme="minorHAnsi"/>
          <w:color w:val="222222"/>
          <w:sz w:val="23"/>
          <w:szCs w:val="23"/>
        </w:rPr>
        <w:lastRenderedPageBreak/>
        <w:t xml:space="preserve">μέχρι και την κρίση χρέους, οι εγχώριες τράπεζες είχαν εστιάσει στο μοντέλο της ενίσχυσης των εργασιών τους μέσου εκτεταμένων τραπεζικών χορηγήσεων. Σε αυτό συνετέλεσε και η παγιωμένη αντίληψη για την κυριαρχία των μετρητών στην αγορά, ως προτιμητέου μέσου συναλλαγών, αλλά και η, μέχρι τότε, σχετικά περιορισμένη εξοικείωση με τις ηλεκτρονικές συναλλαγές. Ως εκ τούτου, η τάση σύγκλισης που παρατηρείται μεταξύ των παραπάνω κατηγοριών εσόδων είναι μάλλον αναμενόμενη, ειδικά αν ληφθούν υπόψη αφενός ο περιορισμένος τραπεζικός δανεισμός στην οικονομία. Άλλωστε, μετά την παρατεταμένη περιπέτεια της ελληνικής οικονομίας, τα κριτήρια για την παροχή δανείων έχουν </w:t>
      </w:r>
      <w:proofErr w:type="spellStart"/>
      <w:r w:rsidRPr="00720A11">
        <w:rPr>
          <w:rFonts w:ascii="Century Gothic" w:hAnsi="Century Gothic" w:cstheme="minorHAnsi"/>
          <w:color w:val="222222"/>
          <w:sz w:val="23"/>
          <w:szCs w:val="23"/>
        </w:rPr>
        <w:t>αυστηροποιηθεί</w:t>
      </w:r>
      <w:proofErr w:type="spellEnd"/>
      <w:r w:rsidRPr="00720A11">
        <w:rPr>
          <w:rFonts w:ascii="Century Gothic" w:hAnsi="Century Gothic" w:cstheme="minorHAnsi"/>
          <w:color w:val="222222"/>
          <w:sz w:val="23"/>
          <w:szCs w:val="23"/>
        </w:rPr>
        <w:t xml:space="preserve"> σε μεγάλο βαθμό, εξαιρώντας τη συντριπτική πλειονότητα επιχειρήσεων, καθώς οι τελευταίες χαρακτηρίζονται ως </w:t>
      </w:r>
      <w:r w:rsidRPr="00720A11">
        <w:rPr>
          <w:rFonts w:ascii="Century Gothic" w:hAnsi="Century Gothic" w:cstheme="minorHAnsi"/>
          <w:i/>
          <w:color w:val="222222"/>
          <w:sz w:val="23"/>
          <w:szCs w:val="23"/>
        </w:rPr>
        <w:t>“</w:t>
      </w:r>
      <w:r w:rsidRPr="00720A11">
        <w:rPr>
          <w:rFonts w:ascii="Century Gothic" w:hAnsi="Century Gothic" w:cstheme="minorHAnsi"/>
          <w:i/>
          <w:color w:val="222222"/>
          <w:sz w:val="23"/>
          <w:szCs w:val="23"/>
          <w:lang w:val="en-US"/>
        </w:rPr>
        <w:t>non</w:t>
      </w:r>
      <w:r w:rsidRPr="00720A11">
        <w:rPr>
          <w:rFonts w:ascii="Century Gothic" w:hAnsi="Century Gothic" w:cstheme="minorHAnsi"/>
          <w:i/>
          <w:color w:val="222222"/>
          <w:sz w:val="23"/>
          <w:szCs w:val="23"/>
        </w:rPr>
        <w:t xml:space="preserve"> </w:t>
      </w:r>
      <w:r w:rsidRPr="00720A11">
        <w:rPr>
          <w:rFonts w:ascii="Century Gothic" w:hAnsi="Century Gothic" w:cstheme="minorHAnsi"/>
          <w:i/>
          <w:color w:val="222222"/>
          <w:sz w:val="23"/>
          <w:szCs w:val="23"/>
          <w:lang w:val="en-US"/>
        </w:rPr>
        <w:t>bankable</w:t>
      </w:r>
      <w:r w:rsidRPr="00720A11">
        <w:rPr>
          <w:rFonts w:ascii="Century Gothic" w:hAnsi="Century Gothic" w:cstheme="minorHAnsi"/>
          <w:color w:val="222222"/>
          <w:sz w:val="23"/>
          <w:szCs w:val="23"/>
        </w:rPr>
        <w:t>”.</w:t>
      </w:r>
    </w:p>
    <w:p w14:paraId="14964E06" w14:textId="32818283" w:rsidR="00A424E0" w:rsidRPr="00720A11" w:rsidRDefault="00A424E0" w:rsidP="00A424E0">
      <w:pPr>
        <w:pStyle w:val="NormalWeb"/>
        <w:spacing w:before="0" w:beforeAutospacing="0" w:after="300" w:afterAutospacing="0" w:line="276" w:lineRule="auto"/>
        <w:jc w:val="both"/>
        <w:rPr>
          <w:rFonts w:ascii="Century Gothic" w:hAnsi="Century Gothic" w:cstheme="minorHAnsi"/>
          <w:b/>
          <w:color w:val="222222"/>
          <w:sz w:val="23"/>
          <w:szCs w:val="23"/>
        </w:rPr>
      </w:pPr>
      <w:r w:rsidRPr="00720A11">
        <w:rPr>
          <w:rFonts w:ascii="Century Gothic" w:hAnsi="Century Gothic" w:cstheme="minorHAnsi"/>
          <w:b/>
          <w:color w:val="222222"/>
          <w:sz w:val="23"/>
          <w:szCs w:val="23"/>
        </w:rPr>
        <w:t>Προμήθειες/χρεώσεις τραπεζών</w:t>
      </w:r>
    </w:p>
    <w:p w14:paraId="786520BC" w14:textId="674785AF" w:rsidR="002B6E97" w:rsidRPr="00720A11" w:rsidRDefault="005E56C7" w:rsidP="007604A6">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Η σημαντική </w:t>
      </w:r>
      <w:r w:rsidR="0059582D" w:rsidRPr="00720A11">
        <w:rPr>
          <w:rFonts w:ascii="Century Gothic" w:hAnsi="Century Gothic" w:cstheme="minorHAnsi"/>
          <w:color w:val="222222"/>
          <w:sz w:val="23"/>
          <w:szCs w:val="23"/>
        </w:rPr>
        <w:t xml:space="preserve">ενίσχυση </w:t>
      </w:r>
      <w:r w:rsidRPr="00720A11">
        <w:rPr>
          <w:rFonts w:ascii="Century Gothic" w:hAnsi="Century Gothic" w:cstheme="minorHAnsi"/>
          <w:color w:val="222222"/>
          <w:sz w:val="23"/>
          <w:szCs w:val="23"/>
        </w:rPr>
        <w:t>της κερδοφορίας σε ετήσια βάση οφείλεται και στο γεγονός ότι τα έσοδα από τόκους αντιπροσωπεύουν μεγαλύτερο ποσοστό των οργανικών εσόδων των ελληνικών τραπεζών σε σχέση με τις ευρωπαϊκές που αντλούν το ένα τρίτο περίπου των εσόδων τους κατά μέσον όρο από τις προμήθειες</w:t>
      </w:r>
      <w:r w:rsidR="00A424E0" w:rsidRPr="00720A11">
        <w:rPr>
          <w:rFonts w:ascii="Century Gothic" w:hAnsi="Century Gothic" w:cstheme="minorHAnsi"/>
          <w:color w:val="222222"/>
          <w:sz w:val="23"/>
          <w:szCs w:val="23"/>
        </w:rPr>
        <w:t xml:space="preserve"> (Πίνακας 3)</w:t>
      </w:r>
      <w:r w:rsidRPr="00720A11">
        <w:rPr>
          <w:rFonts w:ascii="Century Gothic" w:hAnsi="Century Gothic" w:cstheme="minorHAnsi"/>
          <w:color w:val="222222"/>
          <w:sz w:val="23"/>
          <w:szCs w:val="23"/>
        </w:rPr>
        <w:t xml:space="preserve">. Συγκεκριμένα, το ποσοστό των εσόδων από τόκους στα συνολικά λειτουργικά έσοδα διαμορφώθηκε στο 79% για τα 4 συστημικά πιστωτικά ιδρύματα της Ελλάδας, ενώ </w:t>
      </w:r>
      <w:r w:rsidR="0059582D" w:rsidRPr="00720A11">
        <w:rPr>
          <w:rFonts w:ascii="Century Gothic" w:hAnsi="Century Gothic" w:cstheme="minorHAnsi"/>
          <w:color w:val="222222"/>
          <w:sz w:val="23"/>
          <w:szCs w:val="23"/>
        </w:rPr>
        <w:t>το αντίστοιχο ποσοστό για τις 1</w:t>
      </w:r>
      <w:r w:rsidR="00B16D6C" w:rsidRPr="00720A11">
        <w:rPr>
          <w:rFonts w:ascii="Century Gothic" w:hAnsi="Century Gothic" w:cstheme="minorHAnsi"/>
          <w:color w:val="222222"/>
          <w:sz w:val="23"/>
          <w:szCs w:val="23"/>
        </w:rPr>
        <w:t>10</w:t>
      </w:r>
      <w:r w:rsidRPr="00720A11">
        <w:rPr>
          <w:rFonts w:ascii="Century Gothic" w:hAnsi="Century Gothic" w:cstheme="minorHAnsi"/>
          <w:color w:val="222222"/>
          <w:sz w:val="23"/>
          <w:szCs w:val="23"/>
        </w:rPr>
        <w:t xml:space="preserve"> συστημικές τράπεζες της Ε.Ε. ήταν 60,5%. </w:t>
      </w:r>
    </w:p>
    <w:p w14:paraId="4A990CD8" w14:textId="60C2F050" w:rsidR="00A424E0" w:rsidRPr="00720A11" w:rsidRDefault="00A424E0" w:rsidP="007604A6">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Πίνακας 3: </w:t>
      </w:r>
      <w:r w:rsidR="00B16D6C" w:rsidRPr="00720A11">
        <w:rPr>
          <w:rFonts w:ascii="Century Gothic" w:hAnsi="Century Gothic" w:cstheme="minorHAnsi"/>
          <w:color w:val="222222"/>
          <w:sz w:val="23"/>
          <w:szCs w:val="23"/>
        </w:rPr>
        <w:t xml:space="preserve">Καθαρά </w:t>
      </w:r>
      <w:r w:rsidRPr="00720A11">
        <w:rPr>
          <w:rFonts w:ascii="Century Gothic" w:hAnsi="Century Gothic" w:cstheme="minorHAnsi"/>
          <w:color w:val="222222"/>
          <w:sz w:val="23"/>
          <w:szCs w:val="23"/>
        </w:rPr>
        <w:t xml:space="preserve">Έσοδα από </w:t>
      </w:r>
      <w:r w:rsidR="00B16D6C" w:rsidRPr="00720A11">
        <w:rPr>
          <w:rFonts w:ascii="Century Gothic" w:hAnsi="Century Gothic" w:cstheme="minorHAnsi"/>
          <w:color w:val="222222"/>
          <w:sz w:val="23"/>
          <w:szCs w:val="23"/>
        </w:rPr>
        <w:t xml:space="preserve">τόκους και καθαρά έσοδα από προμήθειες </w:t>
      </w:r>
      <w:r w:rsidR="00CE7EBA" w:rsidRPr="00720A11">
        <w:rPr>
          <w:rFonts w:ascii="Century Gothic" w:hAnsi="Century Gothic" w:cstheme="minorHAnsi"/>
          <w:color w:val="222222"/>
          <w:sz w:val="23"/>
          <w:szCs w:val="23"/>
        </w:rPr>
        <w:t>(</w:t>
      </w:r>
      <w:r w:rsidR="004D54D6" w:rsidRPr="00720A11">
        <w:rPr>
          <w:rFonts w:ascii="Century Gothic" w:hAnsi="Century Gothic" w:cstheme="minorHAnsi"/>
          <w:color w:val="222222"/>
          <w:sz w:val="23"/>
          <w:szCs w:val="23"/>
        </w:rPr>
        <w:t xml:space="preserve">ποσά </w:t>
      </w:r>
      <w:r w:rsidR="00CE7EBA" w:rsidRPr="00720A11">
        <w:rPr>
          <w:rFonts w:ascii="Century Gothic" w:hAnsi="Century Gothic" w:cstheme="minorHAnsi"/>
          <w:color w:val="222222"/>
          <w:sz w:val="23"/>
          <w:szCs w:val="23"/>
        </w:rPr>
        <w:t>σε εκατ. ευρώ)</w:t>
      </w:r>
    </w:p>
    <w:tbl>
      <w:tblPr>
        <w:tblStyle w:val="TableGrid"/>
        <w:tblW w:w="8727" w:type="dxa"/>
        <w:tblInd w:w="-431" w:type="dxa"/>
        <w:tblLook w:val="04A0" w:firstRow="1" w:lastRow="0" w:firstColumn="1" w:lastColumn="0" w:noHBand="0" w:noVBand="1"/>
      </w:tblPr>
      <w:tblGrid>
        <w:gridCol w:w="1912"/>
        <w:gridCol w:w="1363"/>
        <w:gridCol w:w="1363"/>
        <w:gridCol w:w="1363"/>
        <w:gridCol w:w="1363"/>
        <w:gridCol w:w="1363"/>
      </w:tblGrid>
      <w:tr w:rsidR="00C37D8D" w:rsidRPr="00720A11" w14:paraId="5F2D1EAB" w14:textId="77777777" w:rsidTr="00720A11">
        <w:tc>
          <w:tcPr>
            <w:tcW w:w="1912" w:type="dxa"/>
          </w:tcPr>
          <w:p w14:paraId="0479D864"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p>
        </w:tc>
        <w:tc>
          <w:tcPr>
            <w:tcW w:w="1363" w:type="dxa"/>
            <w:vAlign w:val="center"/>
          </w:tcPr>
          <w:p w14:paraId="516F312B"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2021</w:t>
            </w:r>
          </w:p>
        </w:tc>
        <w:tc>
          <w:tcPr>
            <w:tcW w:w="1363" w:type="dxa"/>
            <w:vAlign w:val="center"/>
          </w:tcPr>
          <w:p w14:paraId="31BE2B58"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2022</w:t>
            </w:r>
          </w:p>
        </w:tc>
        <w:tc>
          <w:tcPr>
            <w:tcW w:w="1363" w:type="dxa"/>
            <w:vAlign w:val="center"/>
          </w:tcPr>
          <w:p w14:paraId="679197F2"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2023</w:t>
            </w:r>
          </w:p>
        </w:tc>
        <w:tc>
          <w:tcPr>
            <w:tcW w:w="1363" w:type="dxa"/>
            <w:vAlign w:val="center"/>
          </w:tcPr>
          <w:p w14:paraId="577F1BF8"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Ά εξάμηνο 2023</w:t>
            </w:r>
          </w:p>
        </w:tc>
        <w:tc>
          <w:tcPr>
            <w:tcW w:w="1363" w:type="dxa"/>
            <w:vAlign w:val="center"/>
          </w:tcPr>
          <w:p w14:paraId="4260D901" w14:textId="77777777" w:rsidR="00C37D8D" w:rsidRPr="00720A11" w:rsidRDefault="00C37D8D" w:rsidP="007B6F43">
            <w:pPr>
              <w:pStyle w:val="NormalWeb"/>
              <w:spacing w:before="0" w:beforeAutospacing="0" w:after="0" w:afterAutospacing="0"/>
              <w:jc w:val="center"/>
              <w:rPr>
                <w:rFonts w:ascii="Century Gothic" w:hAnsi="Century Gothic" w:cstheme="minorHAnsi"/>
                <w:color w:val="222222"/>
                <w:sz w:val="23"/>
                <w:szCs w:val="23"/>
              </w:rPr>
            </w:pPr>
            <w:r w:rsidRPr="00720A11">
              <w:rPr>
                <w:rFonts w:ascii="Century Gothic" w:hAnsi="Century Gothic" w:cstheme="minorHAnsi"/>
                <w:color w:val="222222"/>
                <w:sz w:val="23"/>
                <w:szCs w:val="23"/>
              </w:rPr>
              <w:t>Ά εξάμηνο</w:t>
            </w:r>
          </w:p>
          <w:p w14:paraId="1871C206"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2024</w:t>
            </w:r>
          </w:p>
        </w:tc>
      </w:tr>
      <w:tr w:rsidR="00C37D8D" w:rsidRPr="00720A11" w14:paraId="67B3EDE2" w14:textId="77777777" w:rsidTr="00720A11">
        <w:tc>
          <w:tcPr>
            <w:tcW w:w="1912" w:type="dxa"/>
          </w:tcPr>
          <w:p w14:paraId="60FE72B1"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Καθαρά έσοδα από τόκους</w:t>
            </w:r>
          </w:p>
        </w:tc>
        <w:tc>
          <w:tcPr>
            <w:tcW w:w="1363" w:type="dxa"/>
            <w:vAlign w:val="center"/>
          </w:tcPr>
          <w:p w14:paraId="1C82D1B6"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5.508</w:t>
            </w:r>
          </w:p>
        </w:tc>
        <w:tc>
          <w:tcPr>
            <w:tcW w:w="1363" w:type="dxa"/>
            <w:vAlign w:val="center"/>
          </w:tcPr>
          <w:p w14:paraId="61B3EBB0"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5.613</w:t>
            </w:r>
          </w:p>
        </w:tc>
        <w:tc>
          <w:tcPr>
            <w:tcW w:w="1363" w:type="dxa"/>
            <w:vAlign w:val="center"/>
          </w:tcPr>
          <w:p w14:paraId="4E659E19"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8.505</w:t>
            </w:r>
          </w:p>
        </w:tc>
        <w:tc>
          <w:tcPr>
            <w:tcW w:w="1363" w:type="dxa"/>
            <w:vAlign w:val="center"/>
          </w:tcPr>
          <w:p w14:paraId="2B6EF2C9"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3.987</w:t>
            </w:r>
          </w:p>
        </w:tc>
        <w:tc>
          <w:tcPr>
            <w:tcW w:w="1363" w:type="dxa"/>
            <w:vAlign w:val="center"/>
          </w:tcPr>
          <w:p w14:paraId="5A64CA5B"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4.440</w:t>
            </w:r>
          </w:p>
        </w:tc>
      </w:tr>
      <w:tr w:rsidR="00C37D8D" w:rsidRPr="00720A11" w14:paraId="0629CB46" w14:textId="77777777" w:rsidTr="00720A11">
        <w:tc>
          <w:tcPr>
            <w:tcW w:w="1912" w:type="dxa"/>
          </w:tcPr>
          <w:p w14:paraId="7CB9D55C"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Ετήσια μεταβολή (%)</w:t>
            </w:r>
          </w:p>
        </w:tc>
        <w:tc>
          <w:tcPr>
            <w:tcW w:w="1363" w:type="dxa"/>
            <w:vAlign w:val="center"/>
          </w:tcPr>
          <w:p w14:paraId="003B1799"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-3,0%</w:t>
            </w:r>
          </w:p>
        </w:tc>
        <w:tc>
          <w:tcPr>
            <w:tcW w:w="1363" w:type="dxa"/>
            <w:vAlign w:val="center"/>
          </w:tcPr>
          <w:p w14:paraId="7604EEB8"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1,9%</w:t>
            </w:r>
          </w:p>
        </w:tc>
        <w:tc>
          <w:tcPr>
            <w:tcW w:w="1363" w:type="dxa"/>
            <w:vAlign w:val="center"/>
          </w:tcPr>
          <w:p w14:paraId="3646F425"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51,5%</w:t>
            </w:r>
          </w:p>
        </w:tc>
        <w:tc>
          <w:tcPr>
            <w:tcW w:w="1363" w:type="dxa"/>
            <w:vAlign w:val="center"/>
          </w:tcPr>
          <w:p w14:paraId="5B10F57F"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54,4%</w:t>
            </w:r>
          </w:p>
        </w:tc>
        <w:tc>
          <w:tcPr>
            <w:tcW w:w="1363" w:type="dxa"/>
            <w:vAlign w:val="center"/>
          </w:tcPr>
          <w:p w14:paraId="34A702F9"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11,4%</w:t>
            </w:r>
          </w:p>
        </w:tc>
      </w:tr>
      <w:tr w:rsidR="00C37D8D" w:rsidRPr="00720A11" w14:paraId="2C5FBF53" w14:textId="77777777" w:rsidTr="00720A11">
        <w:tc>
          <w:tcPr>
            <w:tcW w:w="1912" w:type="dxa"/>
          </w:tcPr>
          <w:p w14:paraId="0C67F47B"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Καθαρά έσοδα από προμήθειες</w:t>
            </w:r>
          </w:p>
        </w:tc>
        <w:tc>
          <w:tcPr>
            <w:tcW w:w="1363" w:type="dxa"/>
            <w:vAlign w:val="center"/>
          </w:tcPr>
          <w:p w14:paraId="0B1AC111"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1.514</w:t>
            </w:r>
          </w:p>
        </w:tc>
        <w:tc>
          <w:tcPr>
            <w:tcW w:w="1363" w:type="dxa"/>
            <w:vAlign w:val="center"/>
          </w:tcPr>
          <w:p w14:paraId="1C6D6D5D"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1.660</w:t>
            </w:r>
          </w:p>
        </w:tc>
        <w:tc>
          <w:tcPr>
            <w:tcW w:w="1363" w:type="dxa"/>
            <w:vAlign w:val="center"/>
          </w:tcPr>
          <w:p w14:paraId="2D094780"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1.798</w:t>
            </w:r>
          </w:p>
        </w:tc>
        <w:tc>
          <w:tcPr>
            <w:tcW w:w="1363" w:type="dxa"/>
            <w:vAlign w:val="center"/>
          </w:tcPr>
          <w:p w14:paraId="5808D49D"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857</w:t>
            </w:r>
          </w:p>
        </w:tc>
        <w:tc>
          <w:tcPr>
            <w:tcW w:w="1363" w:type="dxa"/>
            <w:vAlign w:val="center"/>
          </w:tcPr>
          <w:p w14:paraId="65D16014"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993</w:t>
            </w:r>
          </w:p>
        </w:tc>
      </w:tr>
      <w:tr w:rsidR="00C37D8D" w:rsidRPr="00720A11" w14:paraId="3E7EC23D" w14:textId="77777777" w:rsidTr="00720A11">
        <w:tc>
          <w:tcPr>
            <w:tcW w:w="1912" w:type="dxa"/>
          </w:tcPr>
          <w:p w14:paraId="703BA7BE"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Ετήσια μεταβολή (%)</w:t>
            </w:r>
          </w:p>
        </w:tc>
        <w:tc>
          <w:tcPr>
            <w:tcW w:w="1363" w:type="dxa"/>
            <w:vAlign w:val="center"/>
          </w:tcPr>
          <w:p w14:paraId="3B9F2700"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21,6%</w:t>
            </w:r>
          </w:p>
        </w:tc>
        <w:tc>
          <w:tcPr>
            <w:tcW w:w="1363" w:type="dxa"/>
            <w:vAlign w:val="center"/>
          </w:tcPr>
          <w:p w14:paraId="63A7F1F5"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9,6%</w:t>
            </w:r>
          </w:p>
        </w:tc>
        <w:tc>
          <w:tcPr>
            <w:tcW w:w="1363" w:type="dxa"/>
            <w:vAlign w:val="center"/>
          </w:tcPr>
          <w:p w14:paraId="3CFA1E5E"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8,3%</w:t>
            </w:r>
          </w:p>
        </w:tc>
        <w:tc>
          <w:tcPr>
            <w:tcW w:w="1363" w:type="dxa"/>
            <w:vAlign w:val="center"/>
          </w:tcPr>
          <w:p w14:paraId="626BD83C"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1,9%</w:t>
            </w:r>
          </w:p>
        </w:tc>
        <w:tc>
          <w:tcPr>
            <w:tcW w:w="1363" w:type="dxa"/>
            <w:vAlign w:val="center"/>
          </w:tcPr>
          <w:p w14:paraId="5E5358B3" w14:textId="77777777" w:rsidR="00C37D8D" w:rsidRPr="00720A11" w:rsidRDefault="00C37D8D" w:rsidP="007B6F43">
            <w:pPr>
              <w:pStyle w:val="NormalWeb"/>
              <w:spacing w:before="0" w:beforeAutospacing="0" w:after="0" w:afterAutospacing="0"/>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15,9%</w:t>
            </w:r>
          </w:p>
        </w:tc>
      </w:tr>
    </w:tbl>
    <w:p w14:paraId="1B180297" w14:textId="260DC432" w:rsidR="00C37D8D" w:rsidRPr="00720A11" w:rsidRDefault="00C37D8D" w:rsidP="00C37D8D">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Πηγή: Τράπεζα της Ελλάδος, Εκθέσεις Χρηματοπιστωτικής Σταθερότητας, διάφορα έτη. </w:t>
      </w:r>
    </w:p>
    <w:p w14:paraId="1D955697" w14:textId="77777777" w:rsidR="00720A11" w:rsidRPr="00720A11" w:rsidRDefault="00720A11" w:rsidP="0052057C">
      <w:pPr>
        <w:pStyle w:val="NormalWeb"/>
        <w:spacing w:before="0" w:beforeAutospacing="0" w:after="300" w:afterAutospacing="0" w:line="276" w:lineRule="auto"/>
        <w:jc w:val="both"/>
        <w:rPr>
          <w:rFonts w:ascii="Century Gothic" w:hAnsi="Century Gothic" w:cstheme="minorHAnsi"/>
          <w:color w:val="222222"/>
          <w:sz w:val="23"/>
          <w:szCs w:val="23"/>
        </w:rPr>
      </w:pPr>
    </w:p>
    <w:p w14:paraId="68150B74" w14:textId="27DE7E05" w:rsidR="00C3587F" w:rsidRPr="00720A11" w:rsidRDefault="00C3587F" w:rsidP="0052057C">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Μια σειρά από νέες χρεώσεις σωρευτικά δημιουργούν ένα ασφυκτικό κλοιό στις επιχειρήσεις. Χρεώσεις σε </w:t>
      </w:r>
      <w:r w:rsidRPr="00720A11">
        <w:rPr>
          <w:rFonts w:ascii="Century Gothic" w:hAnsi="Century Gothic" w:cstheme="minorHAnsi"/>
          <w:bCs/>
          <w:color w:val="222222"/>
          <w:sz w:val="23"/>
          <w:szCs w:val="23"/>
        </w:rPr>
        <w:t xml:space="preserve">εισερχόμενα και εξερχόμενα εμβάσματα, στις αναλήψεις από ΑΤΜ αλλά και στη μεταφορά χρημάτων σε άλλη τράπεζα, </w:t>
      </w:r>
      <w:r w:rsidRPr="00720A11">
        <w:rPr>
          <w:rFonts w:ascii="Century Gothic" w:hAnsi="Century Gothic" w:cstheme="minorHAnsi"/>
          <w:color w:val="222222"/>
          <w:sz w:val="23"/>
          <w:szCs w:val="23"/>
        </w:rPr>
        <w:t>χρέωση για την επανέκδοση χρεωστικής ή πιστωτικής κάρτας λόγω λήξης, κλοπής, απώλειας ή φθοράς</w:t>
      </w:r>
      <w:r w:rsidRPr="00720A11">
        <w:rPr>
          <w:rFonts w:ascii="Century Gothic" w:hAnsi="Century Gothic" w:cstheme="minorHAnsi"/>
          <w:bCs/>
          <w:color w:val="222222"/>
          <w:sz w:val="23"/>
          <w:szCs w:val="23"/>
        </w:rPr>
        <w:t>, επανέκδοση κάρτας, π</w:t>
      </w:r>
      <w:r w:rsidRPr="00720A11">
        <w:rPr>
          <w:rFonts w:ascii="Century Gothic" w:hAnsi="Century Gothic" w:cstheme="minorHAnsi"/>
          <w:color w:val="222222"/>
          <w:sz w:val="23"/>
          <w:szCs w:val="23"/>
        </w:rPr>
        <w:t>ρομήθεια για την πληρωμή λογαριασμών (π.χ. ΔΕΚΟ, κινητής τηλεφωνίας) μέσω τραπεζικών καναλιών, ετήσια χρέωση για τη διατήρηση πιστωτικής κάρτας, χ</w:t>
      </w:r>
      <w:r w:rsidRPr="00720A11">
        <w:rPr>
          <w:rFonts w:ascii="Century Gothic" w:hAnsi="Century Gothic" w:cstheme="minorHAnsi"/>
          <w:bCs/>
          <w:color w:val="222222"/>
          <w:sz w:val="23"/>
          <w:szCs w:val="23"/>
        </w:rPr>
        <w:t>ρήση POS από μικρές επιχε</w:t>
      </w:r>
      <w:r w:rsidR="00A424E0" w:rsidRPr="00720A11">
        <w:rPr>
          <w:rFonts w:ascii="Century Gothic" w:hAnsi="Century Gothic" w:cstheme="minorHAnsi"/>
          <w:bCs/>
          <w:color w:val="222222"/>
          <w:sz w:val="23"/>
          <w:szCs w:val="23"/>
        </w:rPr>
        <w:t>ιρήσεις, προμήθειες σε βασικές σ</w:t>
      </w:r>
      <w:r w:rsidRPr="00720A11">
        <w:rPr>
          <w:rFonts w:ascii="Century Gothic" w:hAnsi="Century Gothic" w:cstheme="minorHAnsi"/>
          <w:bCs/>
          <w:color w:val="222222"/>
          <w:sz w:val="23"/>
          <w:szCs w:val="23"/>
        </w:rPr>
        <w:t>υναλλαγές και τέλος χρέωση για άνοιγμα λογαριασμού.</w:t>
      </w:r>
    </w:p>
    <w:p w14:paraId="2926EB62" w14:textId="66BF43DB" w:rsidR="00A5433B" w:rsidRPr="00720A11" w:rsidRDefault="00C3587F" w:rsidP="0052057C">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Όπως προκύπτει </w:t>
      </w:r>
      <w:r w:rsidR="005E56C7" w:rsidRPr="00720A11">
        <w:rPr>
          <w:rFonts w:ascii="Century Gothic" w:hAnsi="Century Gothic" w:cstheme="minorHAnsi"/>
          <w:color w:val="222222"/>
          <w:sz w:val="23"/>
          <w:szCs w:val="23"/>
        </w:rPr>
        <w:t>α</w:t>
      </w:r>
      <w:r w:rsidRPr="00720A11">
        <w:rPr>
          <w:rFonts w:ascii="Century Gothic" w:hAnsi="Century Gothic" w:cstheme="minorHAnsi"/>
          <w:color w:val="222222"/>
          <w:sz w:val="23"/>
          <w:szCs w:val="23"/>
        </w:rPr>
        <w:t xml:space="preserve">πό τις ετήσιες μελέτες της </w:t>
      </w:r>
      <w:r w:rsidR="00241195" w:rsidRPr="00720A11">
        <w:rPr>
          <w:rFonts w:ascii="Century Gothic" w:hAnsi="Century Gothic" w:cstheme="minorHAnsi"/>
          <w:color w:val="222222"/>
          <w:sz w:val="23"/>
          <w:szCs w:val="23"/>
        </w:rPr>
        <w:t>Ευρωπαϊκής</w:t>
      </w:r>
      <w:r w:rsidRPr="00720A11">
        <w:rPr>
          <w:rFonts w:ascii="Century Gothic" w:hAnsi="Century Gothic" w:cstheme="minorHAnsi"/>
          <w:color w:val="222222"/>
          <w:sz w:val="23"/>
          <w:szCs w:val="23"/>
        </w:rPr>
        <w:t xml:space="preserve"> Κεντρικής Τράπεζας</w:t>
      </w:r>
      <w:r w:rsidR="005E56C7" w:rsidRPr="00720A11">
        <w:rPr>
          <w:rFonts w:ascii="Century Gothic" w:hAnsi="Century Gothic" w:cstheme="minorHAnsi"/>
          <w:color w:val="222222"/>
          <w:sz w:val="23"/>
          <w:szCs w:val="23"/>
        </w:rPr>
        <w:t xml:space="preserve"> </w:t>
      </w:r>
      <w:r w:rsidR="00241195" w:rsidRPr="00720A11">
        <w:rPr>
          <w:rFonts w:ascii="Century Gothic" w:hAnsi="Century Gothic" w:cstheme="minorHAnsi"/>
          <w:color w:val="222222"/>
          <w:sz w:val="23"/>
          <w:szCs w:val="23"/>
        </w:rPr>
        <w:t xml:space="preserve">τα </w:t>
      </w:r>
      <w:r w:rsidR="005E56C7" w:rsidRPr="00720A11">
        <w:rPr>
          <w:rFonts w:ascii="Century Gothic" w:hAnsi="Century Gothic" w:cstheme="minorHAnsi"/>
          <w:color w:val="222222"/>
          <w:sz w:val="23"/>
          <w:szCs w:val="23"/>
        </w:rPr>
        <w:t xml:space="preserve">έσοδα από προμήθειες </w:t>
      </w:r>
      <w:r w:rsidR="00E70CEF" w:rsidRPr="00720A11">
        <w:rPr>
          <w:rFonts w:ascii="Century Gothic" w:hAnsi="Century Gothic" w:cstheme="minorHAnsi"/>
          <w:color w:val="222222"/>
          <w:sz w:val="23"/>
          <w:szCs w:val="23"/>
        </w:rPr>
        <w:t>(</w:t>
      </w:r>
      <w:r w:rsidR="00E70CEF" w:rsidRPr="00720A11">
        <w:rPr>
          <w:rFonts w:ascii="Century Gothic" w:hAnsi="Century Gothic" w:cstheme="minorHAnsi"/>
          <w:color w:val="222222"/>
          <w:sz w:val="23"/>
          <w:szCs w:val="23"/>
          <w:lang w:val="en-US"/>
        </w:rPr>
        <w:t>Net</w:t>
      </w:r>
      <w:r w:rsidR="00E70CEF" w:rsidRPr="00720A11">
        <w:rPr>
          <w:rFonts w:ascii="Century Gothic" w:hAnsi="Century Gothic" w:cstheme="minorHAnsi"/>
          <w:color w:val="222222"/>
          <w:sz w:val="23"/>
          <w:szCs w:val="23"/>
        </w:rPr>
        <w:t xml:space="preserve"> </w:t>
      </w:r>
      <w:r w:rsidR="00E70CEF" w:rsidRPr="00720A11">
        <w:rPr>
          <w:rFonts w:ascii="Century Gothic" w:hAnsi="Century Gothic" w:cstheme="minorHAnsi"/>
          <w:color w:val="222222"/>
          <w:sz w:val="23"/>
          <w:szCs w:val="23"/>
          <w:lang w:val="en-US"/>
        </w:rPr>
        <w:t>fee</w:t>
      </w:r>
      <w:r w:rsidR="00E70CEF" w:rsidRPr="00720A11">
        <w:rPr>
          <w:rFonts w:ascii="Century Gothic" w:hAnsi="Century Gothic" w:cstheme="minorHAnsi"/>
          <w:color w:val="222222"/>
          <w:sz w:val="23"/>
          <w:szCs w:val="23"/>
        </w:rPr>
        <w:t xml:space="preserve"> </w:t>
      </w:r>
      <w:r w:rsidR="00E70CEF" w:rsidRPr="00720A11">
        <w:rPr>
          <w:rFonts w:ascii="Century Gothic" w:hAnsi="Century Gothic" w:cstheme="minorHAnsi"/>
          <w:color w:val="222222"/>
          <w:sz w:val="23"/>
          <w:szCs w:val="23"/>
          <w:lang w:val="en-US"/>
        </w:rPr>
        <w:t>and</w:t>
      </w:r>
      <w:r w:rsidR="00E70CEF" w:rsidRPr="00720A11">
        <w:rPr>
          <w:rFonts w:ascii="Century Gothic" w:hAnsi="Century Gothic" w:cstheme="minorHAnsi"/>
          <w:color w:val="222222"/>
          <w:sz w:val="23"/>
          <w:szCs w:val="23"/>
        </w:rPr>
        <w:t xml:space="preserve"> </w:t>
      </w:r>
      <w:r w:rsidR="00E70CEF" w:rsidRPr="00720A11">
        <w:rPr>
          <w:rFonts w:ascii="Century Gothic" w:hAnsi="Century Gothic" w:cstheme="minorHAnsi"/>
          <w:color w:val="222222"/>
          <w:sz w:val="23"/>
          <w:szCs w:val="23"/>
          <w:lang w:val="en-US"/>
        </w:rPr>
        <w:t>commission</w:t>
      </w:r>
      <w:r w:rsidR="00E70CEF" w:rsidRPr="00720A11">
        <w:rPr>
          <w:rFonts w:ascii="Century Gothic" w:hAnsi="Century Gothic" w:cstheme="minorHAnsi"/>
          <w:color w:val="222222"/>
          <w:sz w:val="23"/>
          <w:szCs w:val="23"/>
        </w:rPr>
        <w:t xml:space="preserve"> </w:t>
      </w:r>
      <w:r w:rsidR="00E70CEF" w:rsidRPr="00720A11">
        <w:rPr>
          <w:rFonts w:ascii="Century Gothic" w:hAnsi="Century Gothic" w:cstheme="minorHAnsi"/>
          <w:color w:val="222222"/>
          <w:sz w:val="23"/>
          <w:szCs w:val="23"/>
          <w:lang w:val="en-US"/>
        </w:rPr>
        <w:t>income</w:t>
      </w:r>
      <w:r w:rsidR="00E70CEF" w:rsidRPr="00720A11">
        <w:rPr>
          <w:rFonts w:ascii="Century Gothic" w:hAnsi="Century Gothic" w:cstheme="minorHAnsi"/>
          <w:color w:val="222222"/>
          <w:sz w:val="23"/>
          <w:szCs w:val="23"/>
        </w:rPr>
        <w:t xml:space="preserve">) </w:t>
      </w:r>
      <w:r w:rsidR="005E56C7" w:rsidRPr="00720A11">
        <w:rPr>
          <w:rFonts w:ascii="Century Gothic" w:hAnsi="Century Gothic" w:cstheme="minorHAnsi"/>
          <w:color w:val="222222"/>
          <w:sz w:val="23"/>
          <w:szCs w:val="23"/>
        </w:rPr>
        <w:t xml:space="preserve">ως ποσοστό των συνολικών λειτουργικών </w:t>
      </w:r>
      <w:r w:rsidR="00241195" w:rsidRPr="00720A11">
        <w:rPr>
          <w:rFonts w:ascii="Century Gothic" w:hAnsi="Century Gothic" w:cstheme="minorHAnsi"/>
          <w:color w:val="222222"/>
          <w:sz w:val="23"/>
          <w:szCs w:val="23"/>
        </w:rPr>
        <w:t xml:space="preserve">εσόδων </w:t>
      </w:r>
      <w:r w:rsidR="00E70CEF" w:rsidRPr="00720A11">
        <w:rPr>
          <w:rFonts w:ascii="Century Gothic" w:hAnsi="Century Gothic" w:cstheme="minorHAnsi"/>
          <w:color w:val="222222"/>
          <w:sz w:val="23"/>
          <w:szCs w:val="23"/>
        </w:rPr>
        <w:t>(</w:t>
      </w:r>
      <w:r w:rsidR="00E70CEF" w:rsidRPr="00720A11">
        <w:rPr>
          <w:rFonts w:ascii="Century Gothic" w:hAnsi="Century Gothic" w:cstheme="minorHAnsi"/>
          <w:color w:val="222222"/>
          <w:sz w:val="23"/>
          <w:szCs w:val="23"/>
          <w:lang w:val="en-US"/>
        </w:rPr>
        <w:t>operating</w:t>
      </w:r>
      <w:r w:rsidR="00E70CEF" w:rsidRPr="00720A11">
        <w:rPr>
          <w:rFonts w:ascii="Century Gothic" w:hAnsi="Century Gothic" w:cstheme="minorHAnsi"/>
          <w:color w:val="222222"/>
          <w:sz w:val="23"/>
          <w:szCs w:val="23"/>
        </w:rPr>
        <w:t xml:space="preserve"> </w:t>
      </w:r>
      <w:r w:rsidR="00E70CEF" w:rsidRPr="00720A11">
        <w:rPr>
          <w:rFonts w:ascii="Century Gothic" w:hAnsi="Century Gothic" w:cstheme="minorHAnsi"/>
          <w:color w:val="222222"/>
          <w:sz w:val="23"/>
          <w:szCs w:val="23"/>
          <w:lang w:val="en-US"/>
        </w:rPr>
        <w:t>income</w:t>
      </w:r>
      <w:r w:rsidR="00E70CEF" w:rsidRPr="00720A11">
        <w:rPr>
          <w:rFonts w:ascii="Century Gothic" w:hAnsi="Century Gothic" w:cstheme="minorHAnsi"/>
          <w:color w:val="222222"/>
          <w:sz w:val="23"/>
          <w:szCs w:val="23"/>
        </w:rPr>
        <w:t xml:space="preserve">) </w:t>
      </w:r>
      <w:r w:rsidR="00241195" w:rsidRPr="00720A11">
        <w:rPr>
          <w:rFonts w:ascii="Century Gothic" w:hAnsi="Century Gothic" w:cstheme="minorHAnsi"/>
          <w:color w:val="222222"/>
          <w:sz w:val="23"/>
          <w:szCs w:val="23"/>
        </w:rPr>
        <w:t>για τις 4</w:t>
      </w:r>
      <w:r w:rsidR="005E56C7" w:rsidRPr="00720A11">
        <w:rPr>
          <w:rFonts w:ascii="Century Gothic" w:hAnsi="Century Gothic" w:cstheme="minorHAnsi"/>
          <w:color w:val="222222"/>
          <w:sz w:val="23"/>
          <w:szCs w:val="23"/>
        </w:rPr>
        <w:t xml:space="preserve"> συστημικές τράπεζ</w:t>
      </w:r>
      <w:r w:rsidR="00241195" w:rsidRPr="00720A11">
        <w:rPr>
          <w:rFonts w:ascii="Century Gothic" w:hAnsi="Century Gothic" w:cstheme="minorHAnsi"/>
          <w:color w:val="222222"/>
          <w:sz w:val="23"/>
          <w:szCs w:val="23"/>
        </w:rPr>
        <w:t>ες στην Ελλάδα</w:t>
      </w:r>
      <w:r w:rsidR="005E56C7" w:rsidRPr="00720A11">
        <w:rPr>
          <w:rFonts w:ascii="Century Gothic" w:hAnsi="Century Gothic" w:cstheme="minorHAnsi"/>
          <w:color w:val="222222"/>
          <w:sz w:val="23"/>
          <w:szCs w:val="23"/>
        </w:rPr>
        <w:t xml:space="preserve"> </w:t>
      </w:r>
      <w:r w:rsidR="00241195" w:rsidRPr="00720A11">
        <w:rPr>
          <w:rFonts w:ascii="Century Gothic" w:hAnsi="Century Gothic" w:cstheme="minorHAnsi"/>
          <w:color w:val="222222"/>
          <w:sz w:val="23"/>
          <w:szCs w:val="23"/>
        </w:rPr>
        <w:t xml:space="preserve">ήταν χαμηλότερα από </w:t>
      </w:r>
      <w:r w:rsidR="005E56C7" w:rsidRPr="00720A11">
        <w:rPr>
          <w:rFonts w:ascii="Century Gothic" w:hAnsi="Century Gothic" w:cstheme="minorHAnsi"/>
          <w:color w:val="222222"/>
          <w:sz w:val="23"/>
          <w:szCs w:val="23"/>
        </w:rPr>
        <w:t xml:space="preserve">τα </w:t>
      </w:r>
      <w:r w:rsidR="009A3486" w:rsidRPr="00720A11">
        <w:rPr>
          <w:rFonts w:ascii="Century Gothic" w:hAnsi="Century Gothic" w:cstheme="minorHAnsi"/>
          <w:color w:val="222222"/>
          <w:sz w:val="23"/>
          <w:szCs w:val="23"/>
        </w:rPr>
        <w:t xml:space="preserve">αντίστοιχα </w:t>
      </w:r>
      <w:r w:rsidR="005E56C7" w:rsidRPr="00720A11">
        <w:rPr>
          <w:rFonts w:ascii="Century Gothic" w:hAnsi="Century Gothic" w:cstheme="minorHAnsi"/>
          <w:color w:val="222222"/>
          <w:sz w:val="23"/>
          <w:szCs w:val="23"/>
        </w:rPr>
        <w:t>συστημικά πιστωτικά ιδρύματα στην Ε.Ε.</w:t>
      </w:r>
      <w:r w:rsidRPr="00720A11">
        <w:rPr>
          <w:rFonts w:ascii="Century Gothic" w:hAnsi="Century Gothic" w:cstheme="minorHAnsi"/>
          <w:color w:val="222222"/>
          <w:sz w:val="23"/>
          <w:szCs w:val="23"/>
        </w:rPr>
        <w:t xml:space="preserve"> Όμως</w:t>
      </w:r>
      <w:r w:rsidR="0052057C" w:rsidRPr="00720A11">
        <w:rPr>
          <w:rFonts w:ascii="Century Gothic" w:hAnsi="Century Gothic" w:cstheme="minorHAnsi"/>
          <w:color w:val="222222"/>
          <w:sz w:val="23"/>
          <w:szCs w:val="23"/>
        </w:rPr>
        <w:t xml:space="preserve"> όπως διαφαίνεται </w:t>
      </w:r>
      <w:r w:rsidR="00E70CEF" w:rsidRPr="00720A11">
        <w:rPr>
          <w:rFonts w:ascii="Century Gothic" w:hAnsi="Century Gothic" w:cstheme="minorHAnsi"/>
          <w:color w:val="222222"/>
          <w:sz w:val="23"/>
          <w:szCs w:val="23"/>
        </w:rPr>
        <w:t xml:space="preserve">(Πίνακας </w:t>
      </w:r>
      <w:r w:rsidR="00A424E0" w:rsidRPr="00720A11">
        <w:rPr>
          <w:rFonts w:ascii="Century Gothic" w:hAnsi="Century Gothic" w:cstheme="minorHAnsi"/>
          <w:color w:val="222222"/>
          <w:sz w:val="23"/>
          <w:szCs w:val="23"/>
        </w:rPr>
        <w:t>4</w:t>
      </w:r>
      <w:r w:rsidR="00E70CEF" w:rsidRPr="00720A11">
        <w:rPr>
          <w:rFonts w:ascii="Century Gothic" w:hAnsi="Century Gothic" w:cstheme="minorHAnsi"/>
          <w:color w:val="222222"/>
          <w:sz w:val="23"/>
          <w:szCs w:val="23"/>
        </w:rPr>
        <w:t xml:space="preserve"> και Διάγραμμα </w:t>
      </w:r>
      <w:r w:rsidR="00A424E0" w:rsidRPr="00720A11">
        <w:rPr>
          <w:rFonts w:ascii="Century Gothic" w:hAnsi="Century Gothic" w:cstheme="minorHAnsi"/>
          <w:color w:val="222222"/>
          <w:sz w:val="23"/>
          <w:szCs w:val="23"/>
        </w:rPr>
        <w:t>3</w:t>
      </w:r>
      <w:r w:rsidR="0052057C" w:rsidRPr="00720A11">
        <w:rPr>
          <w:rFonts w:ascii="Century Gothic" w:hAnsi="Century Gothic" w:cstheme="minorHAnsi"/>
          <w:color w:val="222222"/>
          <w:sz w:val="23"/>
          <w:szCs w:val="23"/>
        </w:rPr>
        <w:t xml:space="preserve">, </w:t>
      </w:r>
      <w:r w:rsidRPr="00720A11">
        <w:rPr>
          <w:rFonts w:ascii="Century Gothic" w:hAnsi="Century Gothic" w:cstheme="minorHAnsi"/>
          <w:color w:val="222222"/>
          <w:sz w:val="23"/>
          <w:szCs w:val="23"/>
        </w:rPr>
        <w:t xml:space="preserve"> </w:t>
      </w:r>
      <w:r w:rsidR="0052057C" w:rsidRPr="00720A11">
        <w:rPr>
          <w:rFonts w:ascii="Century Gothic" w:hAnsi="Century Gothic" w:cstheme="minorHAnsi"/>
          <w:color w:val="222222"/>
          <w:sz w:val="23"/>
          <w:szCs w:val="23"/>
        </w:rPr>
        <w:t>η ποσοστιαία συμμετοχή των εσόδων από προμήθειες στα συνολικά λειτουργικά έσοδα των ελληνικών τραπεζών</w:t>
      </w:r>
      <w:r w:rsidR="00241195" w:rsidRPr="00720A11">
        <w:rPr>
          <w:rFonts w:ascii="Century Gothic" w:hAnsi="Century Gothic" w:cstheme="minorHAnsi"/>
          <w:color w:val="222222"/>
          <w:sz w:val="23"/>
          <w:szCs w:val="23"/>
        </w:rPr>
        <w:t xml:space="preserve"> </w:t>
      </w:r>
      <w:r w:rsidR="00E70CEF" w:rsidRPr="00720A11">
        <w:rPr>
          <w:rFonts w:ascii="Century Gothic" w:hAnsi="Century Gothic" w:cstheme="minorHAnsi"/>
          <w:color w:val="222222"/>
          <w:sz w:val="23"/>
          <w:szCs w:val="23"/>
        </w:rPr>
        <w:t xml:space="preserve">σταδιακά </w:t>
      </w:r>
      <w:r w:rsidR="00241195" w:rsidRPr="00720A11">
        <w:rPr>
          <w:rFonts w:ascii="Century Gothic" w:hAnsi="Century Gothic" w:cstheme="minorHAnsi"/>
          <w:color w:val="222222"/>
          <w:sz w:val="23"/>
          <w:szCs w:val="23"/>
        </w:rPr>
        <w:t>αυξάνεται. Το</w:t>
      </w:r>
      <w:r w:rsidR="0052057C" w:rsidRPr="00720A11">
        <w:rPr>
          <w:rFonts w:ascii="Century Gothic" w:hAnsi="Century Gothic" w:cstheme="minorHAnsi"/>
          <w:color w:val="222222"/>
          <w:sz w:val="23"/>
          <w:szCs w:val="23"/>
        </w:rPr>
        <w:t xml:space="preserve"> 2022 </w:t>
      </w:r>
      <w:r w:rsidR="00241195" w:rsidRPr="00720A11">
        <w:rPr>
          <w:rFonts w:ascii="Century Gothic" w:hAnsi="Century Gothic" w:cstheme="minorHAnsi"/>
          <w:color w:val="222222"/>
          <w:sz w:val="23"/>
          <w:szCs w:val="23"/>
        </w:rPr>
        <w:t xml:space="preserve">ήταν </w:t>
      </w:r>
      <w:r w:rsidR="0052057C" w:rsidRPr="00720A11">
        <w:rPr>
          <w:rFonts w:ascii="Century Gothic" w:hAnsi="Century Gothic" w:cstheme="minorHAnsi"/>
          <w:color w:val="222222"/>
          <w:sz w:val="23"/>
          <w:szCs w:val="23"/>
        </w:rPr>
        <w:t>(14,9%)</w:t>
      </w:r>
      <w:r w:rsidR="00241195" w:rsidRPr="00720A11">
        <w:rPr>
          <w:rFonts w:ascii="Century Gothic" w:hAnsi="Century Gothic" w:cstheme="minorHAnsi"/>
          <w:color w:val="222222"/>
          <w:sz w:val="23"/>
          <w:szCs w:val="23"/>
        </w:rPr>
        <w:t>, το 2023 αυξάνεται σε (16,2%)</w:t>
      </w:r>
      <w:r w:rsidR="0052057C" w:rsidRPr="00720A11">
        <w:rPr>
          <w:rFonts w:ascii="Century Gothic" w:hAnsi="Century Gothic" w:cstheme="minorHAnsi"/>
          <w:color w:val="222222"/>
          <w:sz w:val="23"/>
          <w:szCs w:val="23"/>
        </w:rPr>
        <w:t xml:space="preserve"> και</w:t>
      </w:r>
      <w:r w:rsidR="00241195" w:rsidRPr="00720A11">
        <w:rPr>
          <w:rFonts w:ascii="Century Gothic" w:hAnsi="Century Gothic" w:cstheme="minorHAnsi"/>
          <w:color w:val="222222"/>
          <w:sz w:val="23"/>
          <w:szCs w:val="23"/>
        </w:rPr>
        <w:t xml:space="preserve"> το </w:t>
      </w:r>
      <w:r w:rsidR="0052057C" w:rsidRPr="00720A11">
        <w:rPr>
          <w:rFonts w:ascii="Century Gothic" w:hAnsi="Century Gothic" w:cstheme="minorHAnsi"/>
          <w:color w:val="222222"/>
          <w:sz w:val="23"/>
          <w:szCs w:val="23"/>
        </w:rPr>
        <w:t xml:space="preserve">2024 </w:t>
      </w:r>
      <w:r w:rsidR="00241195" w:rsidRPr="00720A11">
        <w:rPr>
          <w:rFonts w:ascii="Century Gothic" w:hAnsi="Century Gothic" w:cstheme="minorHAnsi"/>
          <w:color w:val="222222"/>
          <w:sz w:val="23"/>
          <w:szCs w:val="23"/>
        </w:rPr>
        <w:t xml:space="preserve">φτάνει στο </w:t>
      </w:r>
      <w:r w:rsidR="0052057C" w:rsidRPr="00720A11">
        <w:rPr>
          <w:rFonts w:ascii="Century Gothic" w:hAnsi="Century Gothic" w:cstheme="minorHAnsi"/>
          <w:color w:val="222222"/>
          <w:sz w:val="23"/>
          <w:szCs w:val="23"/>
        </w:rPr>
        <w:t>(17,2%).</w:t>
      </w:r>
      <w:r w:rsidR="00720A11" w:rsidRPr="00720A11">
        <w:rPr>
          <w:rFonts w:ascii="Century Gothic" w:hAnsi="Century Gothic" w:cstheme="minorHAnsi"/>
          <w:color w:val="222222"/>
          <w:sz w:val="23"/>
          <w:szCs w:val="23"/>
        </w:rPr>
        <w:t xml:space="preserve"> </w:t>
      </w:r>
      <w:r w:rsidR="00E70CEF" w:rsidRPr="00720A11">
        <w:rPr>
          <w:rFonts w:ascii="Century Gothic" w:hAnsi="Century Gothic" w:cstheme="minorHAnsi"/>
          <w:color w:val="222222"/>
          <w:sz w:val="23"/>
          <w:szCs w:val="23"/>
        </w:rPr>
        <w:t>Μάλιστα  έσοδα από προμήθειες ενισχύθηκαν κατά το πρώτο εξάμηνο του 2024 ταχύτερα (15,9%) έναντι των συνολικών λειτουργικών εσόδων (10,8%) την ίδια περίοδο</w:t>
      </w:r>
      <w:r w:rsidR="00A424E0" w:rsidRPr="00720A11">
        <w:rPr>
          <w:rFonts w:ascii="Century Gothic" w:hAnsi="Century Gothic" w:cstheme="minorHAnsi"/>
          <w:color w:val="222222"/>
          <w:sz w:val="23"/>
          <w:szCs w:val="23"/>
        </w:rPr>
        <w:t>, ένδειξη ότι το άνοιγμα μεταξύ εσόδων από τόκους και εσόδων από προμήθειες διατηρείται μειούμενο.</w:t>
      </w:r>
      <w:r w:rsidR="00E70CEF" w:rsidRPr="00720A11">
        <w:rPr>
          <w:rFonts w:ascii="Century Gothic" w:hAnsi="Century Gothic" w:cstheme="minorHAnsi"/>
          <w:color w:val="222222"/>
          <w:sz w:val="23"/>
          <w:szCs w:val="23"/>
        </w:rPr>
        <w:t xml:space="preserve"> Το τελευταίο υποκρύπτει μια πρόσθετη επιβάρυνση των επιχειρήσεων, οι οποίες, σε ένα μεγάλο ποσοστό είναι αποκλεισμένες από την επίσημη τραπεζική χρηματοδότηση</w:t>
      </w:r>
      <w:r w:rsidR="00FD5119" w:rsidRPr="00720A11">
        <w:rPr>
          <w:rFonts w:ascii="Century Gothic" w:hAnsi="Century Gothic" w:cstheme="minorHAnsi"/>
          <w:color w:val="222222"/>
          <w:sz w:val="23"/>
          <w:szCs w:val="23"/>
        </w:rPr>
        <w:t xml:space="preserve">. </w:t>
      </w:r>
    </w:p>
    <w:p w14:paraId="69FDCEAB" w14:textId="6B2EF503" w:rsidR="007604A6" w:rsidRPr="00720A11" w:rsidRDefault="00E0553C" w:rsidP="007604A6">
      <w:pPr>
        <w:pStyle w:val="NormalWeb"/>
        <w:spacing w:before="0" w:beforeAutospacing="0" w:after="300" w:afterAutospacing="0" w:line="276" w:lineRule="auto"/>
        <w:jc w:val="both"/>
        <w:rPr>
          <w:rFonts w:ascii="Century Gothic" w:hAnsi="Century Gothic" w:cstheme="minorHAnsi"/>
          <w:i/>
          <w:color w:val="222222"/>
          <w:sz w:val="23"/>
          <w:szCs w:val="23"/>
        </w:rPr>
      </w:pPr>
      <w:r w:rsidRPr="00720A11">
        <w:rPr>
          <w:rFonts w:ascii="Century Gothic" w:hAnsi="Century Gothic" w:cstheme="minorHAnsi"/>
          <w:i/>
          <w:color w:val="222222"/>
          <w:sz w:val="23"/>
          <w:szCs w:val="23"/>
        </w:rPr>
        <w:t xml:space="preserve">Πίνακας </w:t>
      </w:r>
      <w:r w:rsidR="00A424E0" w:rsidRPr="00720A11">
        <w:rPr>
          <w:rFonts w:ascii="Century Gothic" w:hAnsi="Century Gothic" w:cstheme="minorHAnsi"/>
          <w:i/>
          <w:color w:val="222222"/>
          <w:sz w:val="23"/>
          <w:szCs w:val="23"/>
        </w:rPr>
        <w:t>4</w:t>
      </w:r>
      <w:r w:rsidRPr="00720A11">
        <w:rPr>
          <w:rFonts w:ascii="Century Gothic" w:hAnsi="Century Gothic" w:cstheme="minorHAnsi"/>
          <w:i/>
          <w:color w:val="222222"/>
          <w:sz w:val="23"/>
          <w:szCs w:val="23"/>
        </w:rPr>
        <w:t xml:space="preserve">: Έσοδα από προμήθειες ως ποσοστό στα συνολικά λειτουργικά </w:t>
      </w:r>
      <w:r w:rsidR="007604A6" w:rsidRPr="00720A11">
        <w:rPr>
          <w:rFonts w:ascii="Century Gothic" w:hAnsi="Century Gothic" w:cstheme="minorHAnsi"/>
          <w:i/>
          <w:color w:val="222222"/>
          <w:sz w:val="23"/>
          <w:szCs w:val="23"/>
        </w:rPr>
        <w:t>έσοδα (σε %)</w:t>
      </w:r>
    </w:p>
    <w:tbl>
      <w:tblPr>
        <w:tblW w:w="8075" w:type="dxa"/>
        <w:tblLook w:val="04A0" w:firstRow="1" w:lastRow="0" w:firstColumn="1" w:lastColumn="0" w:noHBand="0" w:noVBand="1"/>
      </w:tblPr>
      <w:tblGrid>
        <w:gridCol w:w="1980"/>
        <w:gridCol w:w="1843"/>
        <w:gridCol w:w="2079"/>
        <w:gridCol w:w="2173"/>
      </w:tblGrid>
      <w:tr w:rsidR="007604A6" w:rsidRPr="00720A11" w14:paraId="69E2E40B" w14:textId="77777777" w:rsidTr="007604A6">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E73A0"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ED6A47A" w14:textId="77777777" w:rsidR="007604A6" w:rsidRPr="00720A11" w:rsidRDefault="007604A6" w:rsidP="007604A6">
            <w:pPr>
              <w:spacing w:after="0" w:line="240" w:lineRule="auto"/>
              <w:jc w:val="center"/>
              <w:rPr>
                <w:rFonts w:ascii="Century Gothic" w:eastAsia="Times New Roman" w:hAnsi="Century Gothic" w:cstheme="minorHAnsi"/>
                <w:bCs/>
                <w:color w:val="000000"/>
                <w:sz w:val="23"/>
                <w:szCs w:val="23"/>
                <w:lang w:val="en-US" w:eastAsia="el-GR"/>
              </w:rPr>
            </w:pPr>
            <w:r w:rsidRPr="00720A11">
              <w:rPr>
                <w:rFonts w:ascii="Century Gothic" w:eastAsia="Times New Roman" w:hAnsi="Century Gothic" w:cstheme="minorHAnsi"/>
                <w:bCs/>
                <w:color w:val="000000"/>
                <w:sz w:val="23"/>
                <w:szCs w:val="23"/>
                <w:lang w:eastAsia="el-GR"/>
              </w:rPr>
              <w:t xml:space="preserve">2024 </w:t>
            </w:r>
            <w:r w:rsidRPr="00720A11">
              <w:rPr>
                <w:rFonts w:ascii="Century Gothic" w:eastAsia="Times New Roman" w:hAnsi="Century Gothic" w:cstheme="minorHAnsi"/>
                <w:bCs/>
                <w:color w:val="000000"/>
                <w:sz w:val="23"/>
                <w:szCs w:val="23"/>
                <w:lang w:val="en-US" w:eastAsia="el-GR"/>
              </w:rPr>
              <w:t>Q2</w:t>
            </w:r>
          </w:p>
        </w:tc>
        <w:tc>
          <w:tcPr>
            <w:tcW w:w="2079" w:type="dxa"/>
            <w:tcBorders>
              <w:top w:val="single" w:sz="4" w:space="0" w:color="auto"/>
              <w:left w:val="nil"/>
              <w:bottom w:val="single" w:sz="4" w:space="0" w:color="auto"/>
              <w:right w:val="single" w:sz="4" w:space="0" w:color="auto"/>
            </w:tcBorders>
            <w:shd w:val="clear" w:color="auto" w:fill="auto"/>
            <w:noWrap/>
            <w:vAlign w:val="bottom"/>
            <w:hideMark/>
          </w:tcPr>
          <w:p w14:paraId="0B70D6FB" w14:textId="77777777" w:rsidR="007604A6" w:rsidRPr="00720A11" w:rsidRDefault="007604A6" w:rsidP="007604A6">
            <w:pPr>
              <w:spacing w:after="0" w:line="240" w:lineRule="auto"/>
              <w:jc w:val="center"/>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2023</w:t>
            </w:r>
          </w:p>
        </w:tc>
        <w:tc>
          <w:tcPr>
            <w:tcW w:w="2173" w:type="dxa"/>
            <w:tcBorders>
              <w:top w:val="single" w:sz="4" w:space="0" w:color="auto"/>
              <w:left w:val="nil"/>
              <w:bottom w:val="single" w:sz="4" w:space="0" w:color="auto"/>
              <w:right w:val="single" w:sz="4" w:space="0" w:color="auto"/>
            </w:tcBorders>
            <w:shd w:val="clear" w:color="auto" w:fill="auto"/>
            <w:noWrap/>
            <w:vAlign w:val="bottom"/>
            <w:hideMark/>
          </w:tcPr>
          <w:p w14:paraId="02F41C00" w14:textId="77777777" w:rsidR="007604A6" w:rsidRPr="00720A11" w:rsidRDefault="007604A6" w:rsidP="007604A6">
            <w:pPr>
              <w:spacing w:after="0" w:line="240" w:lineRule="auto"/>
              <w:jc w:val="center"/>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2022</w:t>
            </w:r>
          </w:p>
        </w:tc>
      </w:tr>
      <w:tr w:rsidR="007604A6" w:rsidRPr="00720A11" w14:paraId="1450907F" w14:textId="77777777" w:rsidTr="007604A6">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053751B"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Ευρώπη</w:t>
            </w:r>
          </w:p>
        </w:tc>
        <w:tc>
          <w:tcPr>
            <w:tcW w:w="1843" w:type="dxa"/>
            <w:tcBorders>
              <w:top w:val="nil"/>
              <w:left w:val="nil"/>
              <w:bottom w:val="single" w:sz="4" w:space="0" w:color="auto"/>
              <w:right w:val="single" w:sz="4" w:space="0" w:color="auto"/>
            </w:tcBorders>
            <w:shd w:val="clear" w:color="auto" w:fill="auto"/>
            <w:noWrap/>
            <w:vAlign w:val="bottom"/>
            <w:hideMark/>
          </w:tcPr>
          <w:p w14:paraId="5CC067FF" w14:textId="77777777" w:rsidR="007604A6" w:rsidRPr="00720A11" w:rsidRDefault="007604A6" w:rsidP="007604A6">
            <w:pPr>
              <w:spacing w:after="0" w:line="240" w:lineRule="auto"/>
              <w:jc w:val="center"/>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28,77</w:t>
            </w:r>
          </w:p>
        </w:tc>
        <w:tc>
          <w:tcPr>
            <w:tcW w:w="2079" w:type="dxa"/>
            <w:tcBorders>
              <w:top w:val="nil"/>
              <w:left w:val="nil"/>
              <w:bottom w:val="single" w:sz="4" w:space="0" w:color="auto"/>
              <w:right w:val="single" w:sz="4" w:space="0" w:color="auto"/>
            </w:tcBorders>
            <w:shd w:val="clear" w:color="auto" w:fill="auto"/>
            <w:noWrap/>
            <w:vAlign w:val="bottom"/>
            <w:hideMark/>
          </w:tcPr>
          <w:p w14:paraId="5C627DA6" w14:textId="77777777" w:rsidR="007604A6" w:rsidRPr="00720A11" w:rsidRDefault="007604A6" w:rsidP="007604A6">
            <w:pPr>
              <w:spacing w:after="0" w:line="240" w:lineRule="auto"/>
              <w:jc w:val="center"/>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28,21</w:t>
            </w:r>
          </w:p>
        </w:tc>
        <w:tc>
          <w:tcPr>
            <w:tcW w:w="2173" w:type="dxa"/>
            <w:tcBorders>
              <w:top w:val="nil"/>
              <w:left w:val="nil"/>
              <w:bottom w:val="single" w:sz="4" w:space="0" w:color="auto"/>
              <w:right w:val="single" w:sz="4" w:space="0" w:color="auto"/>
            </w:tcBorders>
            <w:shd w:val="clear" w:color="auto" w:fill="auto"/>
            <w:noWrap/>
            <w:vAlign w:val="bottom"/>
            <w:hideMark/>
          </w:tcPr>
          <w:p w14:paraId="497B253E" w14:textId="77777777" w:rsidR="007604A6" w:rsidRPr="00720A11" w:rsidRDefault="007604A6" w:rsidP="007604A6">
            <w:pPr>
              <w:spacing w:after="0" w:line="240" w:lineRule="auto"/>
              <w:jc w:val="center"/>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31,92</w:t>
            </w:r>
          </w:p>
        </w:tc>
      </w:tr>
      <w:tr w:rsidR="007604A6" w:rsidRPr="00720A11" w14:paraId="19E58B30" w14:textId="77777777" w:rsidTr="007604A6">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C40ADC"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Ελλάδα</w:t>
            </w:r>
          </w:p>
        </w:tc>
        <w:tc>
          <w:tcPr>
            <w:tcW w:w="1843" w:type="dxa"/>
            <w:tcBorders>
              <w:top w:val="nil"/>
              <w:left w:val="nil"/>
              <w:bottom w:val="single" w:sz="4" w:space="0" w:color="auto"/>
              <w:right w:val="single" w:sz="4" w:space="0" w:color="auto"/>
            </w:tcBorders>
            <w:shd w:val="clear" w:color="auto" w:fill="auto"/>
            <w:noWrap/>
            <w:vAlign w:val="bottom"/>
            <w:hideMark/>
          </w:tcPr>
          <w:p w14:paraId="08E19901"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17,2</w:t>
            </w:r>
          </w:p>
        </w:tc>
        <w:tc>
          <w:tcPr>
            <w:tcW w:w="2079" w:type="dxa"/>
            <w:tcBorders>
              <w:top w:val="nil"/>
              <w:left w:val="nil"/>
              <w:bottom w:val="single" w:sz="4" w:space="0" w:color="auto"/>
              <w:right w:val="single" w:sz="4" w:space="0" w:color="auto"/>
            </w:tcBorders>
            <w:shd w:val="clear" w:color="auto" w:fill="auto"/>
            <w:noWrap/>
            <w:vAlign w:val="bottom"/>
            <w:hideMark/>
          </w:tcPr>
          <w:p w14:paraId="51B7713C"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16,3</w:t>
            </w:r>
          </w:p>
        </w:tc>
        <w:tc>
          <w:tcPr>
            <w:tcW w:w="2173" w:type="dxa"/>
            <w:tcBorders>
              <w:top w:val="nil"/>
              <w:left w:val="nil"/>
              <w:bottom w:val="single" w:sz="4" w:space="0" w:color="auto"/>
              <w:right w:val="single" w:sz="4" w:space="0" w:color="auto"/>
            </w:tcBorders>
            <w:shd w:val="clear" w:color="auto" w:fill="auto"/>
            <w:noWrap/>
            <w:vAlign w:val="bottom"/>
            <w:hideMark/>
          </w:tcPr>
          <w:p w14:paraId="057FFBA5"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14,9</w:t>
            </w:r>
          </w:p>
        </w:tc>
      </w:tr>
      <w:tr w:rsidR="007604A6" w:rsidRPr="00720A11" w14:paraId="65A63B94" w14:textId="77777777" w:rsidTr="007604A6">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19644A"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Βέλγιο</w:t>
            </w:r>
          </w:p>
        </w:tc>
        <w:tc>
          <w:tcPr>
            <w:tcW w:w="1843" w:type="dxa"/>
            <w:tcBorders>
              <w:top w:val="nil"/>
              <w:left w:val="nil"/>
              <w:bottom w:val="single" w:sz="4" w:space="0" w:color="auto"/>
              <w:right w:val="single" w:sz="4" w:space="0" w:color="auto"/>
            </w:tcBorders>
            <w:shd w:val="clear" w:color="auto" w:fill="auto"/>
            <w:noWrap/>
            <w:vAlign w:val="bottom"/>
            <w:hideMark/>
          </w:tcPr>
          <w:p w14:paraId="67293908"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22,58</w:t>
            </w:r>
          </w:p>
        </w:tc>
        <w:tc>
          <w:tcPr>
            <w:tcW w:w="2079" w:type="dxa"/>
            <w:tcBorders>
              <w:top w:val="nil"/>
              <w:left w:val="nil"/>
              <w:bottom w:val="single" w:sz="4" w:space="0" w:color="auto"/>
              <w:right w:val="single" w:sz="4" w:space="0" w:color="auto"/>
            </w:tcBorders>
            <w:shd w:val="clear" w:color="auto" w:fill="auto"/>
            <w:noWrap/>
            <w:vAlign w:val="bottom"/>
            <w:hideMark/>
          </w:tcPr>
          <w:p w14:paraId="337DD30E"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25,62</w:t>
            </w:r>
          </w:p>
        </w:tc>
        <w:tc>
          <w:tcPr>
            <w:tcW w:w="2173" w:type="dxa"/>
            <w:tcBorders>
              <w:top w:val="nil"/>
              <w:left w:val="nil"/>
              <w:bottom w:val="single" w:sz="4" w:space="0" w:color="auto"/>
              <w:right w:val="single" w:sz="4" w:space="0" w:color="auto"/>
            </w:tcBorders>
            <w:shd w:val="clear" w:color="auto" w:fill="auto"/>
            <w:noWrap/>
            <w:vAlign w:val="bottom"/>
            <w:hideMark/>
          </w:tcPr>
          <w:p w14:paraId="7D16902E"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29,4</w:t>
            </w:r>
          </w:p>
        </w:tc>
      </w:tr>
      <w:tr w:rsidR="007604A6" w:rsidRPr="00720A11" w14:paraId="13B00C50" w14:textId="77777777" w:rsidTr="007604A6">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489B2C"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Γερμανία</w:t>
            </w:r>
          </w:p>
        </w:tc>
        <w:tc>
          <w:tcPr>
            <w:tcW w:w="1843" w:type="dxa"/>
            <w:tcBorders>
              <w:top w:val="nil"/>
              <w:left w:val="nil"/>
              <w:bottom w:val="single" w:sz="4" w:space="0" w:color="auto"/>
              <w:right w:val="single" w:sz="4" w:space="0" w:color="auto"/>
            </w:tcBorders>
            <w:shd w:val="clear" w:color="auto" w:fill="auto"/>
            <w:noWrap/>
            <w:vAlign w:val="bottom"/>
            <w:hideMark/>
          </w:tcPr>
          <w:p w14:paraId="3D75AADF"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31,34</w:t>
            </w:r>
          </w:p>
        </w:tc>
        <w:tc>
          <w:tcPr>
            <w:tcW w:w="2079" w:type="dxa"/>
            <w:tcBorders>
              <w:top w:val="nil"/>
              <w:left w:val="nil"/>
              <w:bottom w:val="single" w:sz="4" w:space="0" w:color="auto"/>
              <w:right w:val="single" w:sz="4" w:space="0" w:color="auto"/>
            </w:tcBorders>
            <w:shd w:val="clear" w:color="auto" w:fill="auto"/>
            <w:noWrap/>
            <w:vAlign w:val="bottom"/>
            <w:hideMark/>
          </w:tcPr>
          <w:p w14:paraId="6628F637"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30,28</w:t>
            </w:r>
          </w:p>
        </w:tc>
        <w:tc>
          <w:tcPr>
            <w:tcW w:w="2173" w:type="dxa"/>
            <w:tcBorders>
              <w:top w:val="nil"/>
              <w:left w:val="nil"/>
              <w:bottom w:val="single" w:sz="4" w:space="0" w:color="auto"/>
              <w:right w:val="single" w:sz="4" w:space="0" w:color="auto"/>
            </w:tcBorders>
            <w:shd w:val="clear" w:color="auto" w:fill="auto"/>
            <w:noWrap/>
            <w:vAlign w:val="bottom"/>
            <w:hideMark/>
          </w:tcPr>
          <w:p w14:paraId="4C7A8794"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36,54</w:t>
            </w:r>
          </w:p>
        </w:tc>
      </w:tr>
      <w:tr w:rsidR="007604A6" w:rsidRPr="00720A11" w14:paraId="23D3255D" w14:textId="77777777" w:rsidTr="007604A6">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3D520D8"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Ιρλανδία</w:t>
            </w:r>
          </w:p>
        </w:tc>
        <w:tc>
          <w:tcPr>
            <w:tcW w:w="1843" w:type="dxa"/>
            <w:tcBorders>
              <w:top w:val="nil"/>
              <w:left w:val="nil"/>
              <w:bottom w:val="single" w:sz="4" w:space="0" w:color="auto"/>
              <w:right w:val="single" w:sz="4" w:space="0" w:color="auto"/>
            </w:tcBorders>
            <w:shd w:val="clear" w:color="auto" w:fill="auto"/>
            <w:noWrap/>
            <w:vAlign w:val="bottom"/>
            <w:hideMark/>
          </w:tcPr>
          <w:p w14:paraId="0259D8C3"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22,65</w:t>
            </w:r>
          </w:p>
        </w:tc>
        <w:tc>
          <w:tcPr>
            <w:tcW w:w="2079" w:type="dxa"/>
            <w:tcBorders>
              <w:top w:val="nil"/>
              <w:left w:val="nil"/>
              <w:bottom w:val="single" w:sz="4" w:space="0" w:color="auto"/>
              <w:right w:val="single" w:sz="4" w:space="0" w:color="auto"/>
            </w:tcBorders>
            <w:shd w:val="clear" w:color="auto" w:fill="auto"/>
            <w:noWrap/>
            <w:vAlign w:val="bottom"/>
            <w:hideMark/>
          </w:tcPr>
          <w:p w14:paraId="4BDD5F98"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21,83</w:t>
            </w:r>
          </w:p>
        </w:tc>
        <w:tc>
          <w:tcPr>
            <w:tcW w:w="2173" w:type="dxa"/>
            <w:tcBorders>
              <w:top w:val="nil"/>
              <w:left w:val="nil"/>
              <w:bottom w:val="single" w:sz="4" w:space="0" w:color="auto"/>
              <w:right w:val="single" w:sz="4" w:space="0" w:color="auto"/>
            </w:tcBorders>
            <w:shd w:val="clear" w:color="auto" w:fill="auto"/>
            <w:noWrap/>
            <w:vAlign w:val="bottom"/>
            <w:hideMark/>
          </w:tcPr>
          <w:p w14:paraId="06A93140"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31,65</w:t>
            </w:r>
          </w:p>
        </w:tc>
      </w:tr>
      <w:tr w:rsidR="007604A6" w:rsidRPr="00720A11" w14:paraId="4E9B7F10" w14:textId="77777777" w:rsidTr="007604A6">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64D34B4"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Ισπανία</w:t>
            </w:r>
          </w:p>
        </w:tc>
        <w:tc>
          <w:tcPr>
            <w:tcW w:w="1843" w:type="dxa"/>
            <w:tcBorders>
              <w:top w:val="nil"/>
              <w:left w:val="nil"/>
              <w:bottom w:val="single" w:sz="4" w:space="0" w:color="auto"/>
              <w:right w:val="single" w:sz="4" w:space="0" w:color="auto"/>
            </w:tcBorders>
            <w:shd w:val="clear" w:color="auto" w:fill="auto"/>
            <w:noWrap/>
            <w:vAlign w:val="bottom"/>
            <w:hideMark/>
          </w:tcPr>
          <w:p w14:paraId="0AEBC804"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22,98</w:t>
            </w:r>
          </w:p>
        </w:tc>
        <w:tc>
          <w:tcPr>
            <w:tcW w:w="2079" w:type="dxa"/>
            <w:tcBorders>
              <w:top w:val="nil"/>
              <w:left w:val="nil"/>
              <w:bottom w:val="single" w:sz="4" w:space="0" w:color="auto"/>
              <w:right w:val="single" w:sz="4" w:space="0" w:color="auto"/>
            </w:tcBorders>
            <w:shd w:val="clear" w:color="auto" w:fill="auto"/>
            <w:noWrap/>
            <w:vAlign w:val="bottom"/>
            <w:hideMark/>
          </w:tcPr>
          <w:p w14:paraId="12650737"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23,41</w:t>
            </w:r>
          </w:p>
        </w:tc>
        <w:tc>
          <w:tcPr>
            <w:tcW w:w="2173" w:type="dxa"/>
            <w:tcBorders>
              <w:top w:val="nil"/>
              <w:left w:val="nil"/>
              <w:bottom w:val="single" w:sz="4" w:space="0" w:color="auto"/>
              <w:right w:val="single" w:sz="4" w:space="0" w:color="auto"/>
            </w:tcBorders>
            <w:shd w:val="clear" w:color="auto" w:fill="auto"/>
            <w:noWrap/>
            <w:vAlign w:val="bottom"/>
            <w:hideMark/>
          </w:tcPr>
          <w:p w14:paraId="48D28094"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26,38</w:t>
            </w:r>
          </w:p>
        </w:tc>
      </w:tr>
      <w:tr w:rsidR="007604A6" w:rsidRPr="00720A11" w14:paraId="23C447FC" w14:textId="77777777" w:rsidTr="007604A6">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6665B9" w14:textId="77777777" w:rsidR="007604A6" w:rsidRPr="00720A11" w:rsidRDefault="007604A6" w:rsidP="007604A6">
            <w:pPr>
              <w:spacing w:after="0" w:line="240" w:lineRule="auto"/>
              <w:rPr>
                <w:rFonts w:ascii="Century Gothic" w:eastAsia="Times New Roman" w:hAnsi="Century Gothic" w:cstheme="minorHAnsi"/>
                <w:bCs/>
                <w:color w:val="000000"/>
                <w:sz w:val="23"/>
                <w:szCs w:val="23"/>
                <w:lang w:eastAsia="el-GR"/>
              </w:rPr>
            </w:pPr>
            <w:r w:rsidRPr="00720A11">
              <w:rPr>
                <w:rFonts w:ascii="Century Gothic" w:eastAsia="Times New Roman" w:hAnsi="Century Gothic" w:cstheme="minorHAnsi"/>
                <w:bCs/>
                <w:color w:val="000000"/>
                <w:sz w:val="23"/>
                <w:szCs w:val="23"/>
                <w:lang w:eastAsia="el-GR"/>
              </w:rPr>
              <w:t>Πορτογαλία</w:t>
            </w:r>
          </w:p>
        </w:tc>
        <w:tc>
          <w:tcPr>
            <w:tcW w:w="1843" w:type="dxa"/>
            <w:tcBorders>
              <w:top w:val="nil"/>
              <w:left w:val="nil"/>
              <w:bottom w:val="single" w:sz="4" w:space="0" w:color="auto"/>
              <w:right w:val="single" w:sz="4" w:space="0" w:color="auto"/>
            </w:tcBorders>
            <w:shd w:val="clear" w:color="auto" w:fill="auto"/>
            <w:noWrap/>
            <w:vAlign w:val="bottom"/>
            <w:hideMark/>
          </w:tcPr>
          <w:p w14:paraId="79594D09"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19,62</w:t>
            </w:r>
          </w:p>
        </w:tc>
        <w:tc>
          <w:tcPr>
            <w:tcW w:w="2079" w:type="dxa"/>
            <w:tcBorders>
              <w:top w:val="nil"/>
              <w:left w:val="nil"/>
              <w:bottom w:val="single" w:sz="4" w:space="0" w:color="auto"/>
              <w:right w:val="single" w:sz="4" w:space="0" w:color="auto"/>
            </w:tcBorders>
            <w:shd w:val="clear" w:color="auto" w:fill="auto"/>
            <w:noWrap/>
            <w:vAlign w:val="bottom"/>
            <w:hideMark/>
          </w:tcPr>
          <w:p w14:paraId="71ED4282"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18,72</w:t>
            </w:r>
          </w:p>
        </w:tc>
        <w:tc>
          <w:tcPr>
            <w:tcW w:w="2173" w:type="dxa"/>
            <w:tcBorders>
              <w:top w:val="nil"/>
              <w:left w:val="nil"/>
              <w:bottom w:val="single" w:sz="4" w:space="0" w:color="auto"/>
              <w:right w:val="single" w:sz="4" w:space="0" w:color="auto"/>
            </w:tcBorders>
            <w:shd w:val="clear" w:color="auto" w:fill="auto"/>
            <w:noWrap/>
            <w:vAlign w:val="bottom"/>
            <w:hideMark/>
          </w:tcPr>
          <w:p w14:paraId="361D7953" w14:textId="77777777" w:rsidR="007604A6" w:rsidRPr="00720A11" w:rsidRDefault="007604A6" w:rsidP="007604A6">
            <w:pPr>
              <w:spacing w:after="0" w:line="240" w:lineRule="auto"/>
              <w:jc w:val="center"/>
              <w:rPr>
                <w:rFonts w:ascii="Century Gothic" w:eastAsia="Times New Roman" w:hAnsi="Century Gothic" w:cstheme="minorHAnsi"/>
                <w:color w:val="000000"/>
                <w:sz w:val="23"/>
                <w:szCs w:val="23"/>
                <w:lang w:eastAsia="el-GR"/>
              </w:rPr>
            </w:pPr>
            <w:r w:rsidRPr="00720A11">
              <w:rPr>
                <w:rFonts w:ascii="Century Gothic" w:eastAsia="Times New Roman" w:hAnsi="Century Gothic" w:cstheme="minorHAnsi"/>
                <w:color w:val="000000"/>
                <w:sz w:val="23"/>
                <w:szCs w:val="23"/>
                <w:lang w:eastAsia="el-GR"/>
              </w:rPr>
              <w:t>27,83</w:t>
            </w:r>
          </w:p>
        </w:tc>
      </w:tr>
    </w:tbl>
    <w:p w14:paraId="60C1BEDE" w14:textId="1C975194" w:rsidR="00E70CEF" w:rsidRPr="00720A11" w:rsidRDefault="00B6360D" w:rsidP="00720A11">
      <w:pPr>
        <w:pStyle w:val="NormalWeb"/>
        <w:spacing w:after="300"/>
        <w:jc w:val="both"/>
        <w:rPr>
          <w:rFonts w:ascii="Century Gothic" w:hAnsi="Century Gothic" w:cstheme="minorHAnsi"/>
          <w:color w:val="222222"/>
          <w:sz w:val="23"/>
          <w:szCs w:val="23"/>
          <w:lang w:val="en-US"/>
        </w:rPr>
      </w:pPr>
      <w:r w:rsidRPr="00720A11">
        <w:rPr>
          <w:rFonts w:ascii="Century Gothic" w:hAnsi="Century Gothic" w:cstheme="minorHAnsi"/>
          <w:color w:val="222222"/>
          <w:sz w:val="23"/>
          <w:szCs w:val="23"/>
        </w:rPr>
        <w:lastRenderedPageBreak/>
        <w:t>Πηγή</w:t>
      </w:r>
      <w:r w:rsidRPr="00720A11">
        <w:rPr>
          <w:rFonts w:ascii="Century Gothic" w:hAnsi="Century Gothic" w:cstheme="minorHAnsi"/>
          <w:color w:val="222222"/>
          <w:sz w:val="23"/>
          <w:szCs w:val="23"/>
          <w:lang w:val="en-US"/>
        </w:rPr>
        <w:t xml:space="preserve">: European Central </w:t>
      </w:r>
      <w:r w:rsidRPr="00720A11">
        <w:rPr>
          <w:rFonts w:ascii="Century Gothic" w:hAnsi="Century Gothic" w:cstheme="minorHAnsi"/>
          <w:color w:val="222222"/>
          <w:sz w:val="23"/>
          <w:szCs w:val="23"/>
        </w:rPr>
        <w:t>Β</w:t>
      </w:r>
      <w:proofErr w:type="spellStart"/>
      <w:r w:rsidRPr="00720A11">
        <w:rPr>
          <w:rFonts w:ascii="Century Gothic" w:hAnsi="Century Gothic" w:cstheme="minorHAnsi"/>
          <w:color w:val="222222"/>
          <w:sz w:val="23"/>
          <w:szCs w:val="23"/>
          <w:lang w:val="en-US"/>
        </w:rPr>
        <w:t>ank</w:t>
      </w:r>
      <w:proofErr w:type="spellEnd"/>
      <w:r w:rsidRPr="00720A11">
        <w:rPr>
          <w:rFonts w:ascii="Century Gothic" w:hAnsi="Century Gothic" w:cstheme="minorHAnsi"/>
          <w:color w:val="222222"/>
          <w:sz w:val="23"/>
          <w:szCs w:val="23"/>
          <w:lang w:val="en-US"/>
        </w:rPr>
        <w:t>, Banking Supervision, Supervisory Banking Statistics for significant institution</w:t>
      </w:r>
    </w:p>
    <w:p w14:paraId="16A0E9FC" w14:textId="15860A31" w:rsidR="0052057C" w:rsidRPr="00720A11" w:rsidRDefault="0052057C" w:rsidP="0052057C">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Διάγραμμα </w:t>
      </w:r>
      <w:r w:rsidR="00A424E0" w:rsidRPr="00720A11">
        <w:rPr>
          <w:rFonts w:ascii="Century Gothic" w:hAnsi="Century Gothic" w:cstheme="minorHAnsi"/>
          <w:color w:val="222222"/>
          <w:sz w:val="23"/>
          <w:szCs w:val="23"/>
        </w:rPr>
        <w:t>3</w:t>
      </w:r>
      <w:r w:rsidRPr="00720A11">
        <w:rPr>
          <w:rFonts w:ascii="Century Gothic" w:hAnsi="Century Gothic" w:cstheme="minorHAnsi"/>
          <w:color w:val="222222"/>
          <w:sz w:val="23"/>
          <w:szCs w:val="23"/>
        </w:rPr>
        <w:t>: Έσοδα από προμήθειες ως ποσοστό στα συνολικά λειτουργικά έσοδα (σε %)</w:t>
      </w:r>
    </w:p>
    <w:p w14:paraId="56A757C0" w14:textId="1446EF3F" w:rsidR="006574C6" w:rsidRPr="00720A11" w:rsidRDefault="007604A6" w:rsidP="006D5E3A">
      <w:pPr>
        <w:pStyle w:val="NormalWeb"/>
        <w:spacing w:after="300" w:line="276" w:lineRule="auto"/>
        <w:jc w:val="both"/>
        <w:rPr>
          <w:rFonts w:ascii="Century Gothic" w:hAnsi="Century Gothic" w:cstheme="minorHAnsi"/>
          <w:color w:val="222222"/>
          <w:sz w:val="23"/>
          <w:szCs w:val="23"/>
          <w:lang w:val="en-US"/>
        </w:rPr>
      </w:pPr>
      <w:r w:rsidRPr="00720A11">
        <w:rPr>
          <w:rFonts w:ascii="Century Gothic" w:hAnsi="Century Gothic" w:cstheme="minorHAnsi"/>
          <w:noProof/>
          <w:sz w:val="23"/>
          <w:szCs w:val="23"/>
        </w:rPr>
        <w:drawing>
          <wp:inline distT="0" distB="0" distL="0" distR="0" wp14:anchorId="000D0637" wp14:editId="0EB409F5">
            <wp:extent cx="5233670" cy="2695575"/>
            <wp:effectExtent l="0" t="0" r="5080" b="9525"/>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20A11">
        <w:rPr>
          <w:rFonts w:ascii="Century Gothic" w:hAnsi="Century Gothic" w:cstheme="minorHAnsi"/>
          <w:color w:val="222222"/>
          <w:sz w:val="22"/>
          <w:szCs w:val="22"/>
        </w:rPr>
        <w:t>Πηγή</w:t>
      </w:r>
      <w:r w:rsidRPr="00720A11">
        <w:rPr>
          <w:rFonts w:ascii="Century Gothic" w:hAnsi="Century Gothic" w:cstheme="minorHAnsi"/>
          <w:color w:val="222222"/>
          <w:sz w:val="22"/>
          <w:szCs w:val="22"/>
          <w:lang w:val="en-US"/>
        </w:rPr>
        <w:t xml:space="preserve">: European Central </w:t>
      </w:r>
      <w:r w:rsidRPr="00720A11">
        <w:rPr>
          <w:rFonts w:ascii="Century Gothic" w:hAnsi="Century Gothic" w:cstheme="minorHAnsi"/>
          <w:color w:val="222222"/>
          <w:sz w:val="22"/>
          <w:szCs w:val="22"/>
        </w:rPr>
        <w:t>Β</w:t>
      </w:r>
      <w:proofErr w:type="spellStart"/>
      <w:r w:rsidRPr="00720A11">
        <w:rPr>
          <w:rFonts w:ascii="Century Gothic" w:hAnsi="Century Gothic" w:cstheme="minorHAnsi"/>
          <w:color w:val="222222"/>
          <w:sz w:val="22"/>
          <w:szCs w:val="22"/>
          <w:lang w:val="en-US"/>
        </w:rPr>
        <w:t>ank</w:t>
      </w:r>
      <w:proofErr w:type="spellEnd"/>
      <w:r w:rsidRPr="00720A11">
        <w:rPr>
          <w:rFonts w:ascii="Century Gothic" w:hAnsi="Century Gothic" w:cstheme="minorHAnsi"/>
          <w:color w:val="222222"/>
          <w:sz w:val="22"/>
          <w:szCs w:val="22"/>
          <w:lang w:val="en-US"/>
        </w:rPr>
        <w:t>, Banking Supervision, Supervisory Banking Statistics for significant institution</w:t>
      </w:r>
    </w:p>
    <w:p w14:paraId="1FEBF731" w14:textId="2E825C11" w:rsidR="00E70CEF" w:rsidRPr="00720A11" w:rsidRDefault="005635BD" w:rsidP="006D5E3A">
      <w:pPr>
        <w:pStyle w:val="NormalWeb"/>
        <w:spacing w:after="30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Επιπρόσθετα, καταναλωτές και επιχειρήσεις έρχονται αντιμέτωπες με χαμηλό επίπεδο εξυπηρέτησης. Η υγειονομική κρίση εξαιτίας του </w:t>
      </w:r>
      <w:proofErr w:type="spellStart"/>
      <w:r w:rsidRPr="00720A11">
        <w:rPr>
          <w:rFonts w:ascii="Century Gothic" w:hAnsi="Century Gothic" w:cstheme="minorHAnsi"/>
          <w:color w:val="222222"/>
          <w:sz w:val="23"/>
          <w:szCs w:val="23"/>
        </w:rPr>
        <w:t>κορωνοϊού</w:t>
      </w:r>
      <w:proofErr w:type="spellEnd"/>
      <w:r w:rsidRPr="00720A11">
        <w:rPr>
          <w:rFonts w:ascii="Century Gothic" w:hAnsi="Century Gothic" w:cstheme="minorHAnsi"/>
          <w:color w:val="222222"/>
          <w:sz w:val="23"/>
          <w:szCs w:val="23"/>
        </w:rPr>
        <w:t xml:space="preserve"> ουσιαστικά εισήγαγε μαζικά την έννοια της τηλεργασίας, η οποία στις τράπεζες συνεχίζεται μέχρι σήμερα, όταν ταυτόχρονα πολλά στελέχη έχουν αποχωρήσει από τον κλάδο, συνήθως μέσω ελκυστικών πακέτων παροχών και σχετικών κινήτρων.</w:t>
      </w:r>
      <w:r w:rsidR="00720A11">
        <w:rPr>
          <w:rFonts w:ascii="Century Gothic" w:hAnsi="Century Gothic" w:cstheme="minorHAnsi"/>
          <w:color w:val="222222"/>
          <w:sz w:val="23"/>
          <w:szCs w:val="23"/>
        </w:rPr>
        <w:t xml:space="preserve"> </w:t>
      </w:r>
      <w:r w:rsidRPr="00720A11">
        <w:rPr>
          <w:rFonts w:ascii="Century Gothic" w:hAnsi="Century Gothic" w:cstheme="minorHAnsi"/>
          <w:color w:val="222222"/>
          <w:sz w:val="23"/>
          <w:szCs w:val="23"/>
        </w:rPr>
        <w:t xml:space="preserve"> Συνεπώς, τα υφιστάμενα τραπεζικά καταστήματα δεν διαθέτουν επαρκές προσωπικό, γεγονός που φαίνεται και από το απαιτούμενο χρονικό διάστημα για την πραγματοποίηση </w:t>
      </w:r>
      <w:r w:rsidR="00720A11">
        <w:rPr>
          <w:rFonts w:ascii="Century Gothic" w:hAnsi="Century Gothic" w:cstheme="minorHAnsi"/>
          <w:color w:val="222222"/>
          <w:sz w:val="23"/>
          <w:szCs w:val="23"/>
        </w:rPr>
        <w:t>,</w:t>
      </w:r>
      <w:r w:rsidRPr="00720A11">
        <w:rPr>
          <w:rFonts w:ascii="Century Gothic" w:hAnsi="Century Gothic" w:cstheme="minorHAnsi"/>
          <w:color w:val="222222"/>
          <w:sz w:val="23"/>
          <w:szCs w:val="23"/>
        </w:rPr>
        <w:t>προγραμματισμένων συναντήσεων εξυπηρέτησης πελατών</w:t>
      </w:r>
      <w:r w:rsidR="004D54D6" w:rsidRPr="00720A11">
        <w:rPr>
          <w:rFonts w:ascii="Century Gothic" w:hAnsi="Century Gothic" w:cstheme="minorHAnsi"/>
          <w:color w:val="222222"/>
          <w:sz w:val="23"/>
          <w:szCs w:val="23"/>
        </w:rPr>
        <w:t>, δυσχεραίνοντας έτσι το έργο των επιχειρήσεων ακόμη και για ζητήματα μικρής σημασίας</w:t>
      </w:r>
      <w:r w:rsidRPr="00720A11">
        <w:rPr>
          <w:rFonts w:ascii="Century Gothic" w:hAnsi="Century Gothic" w:cstheme="minorHAnsi"/>
          <w:color w:val="222222"/>
          <w:sz w:val="23"/>
          <w:szCs w:val="23"/>
        </w:rPr>
        <w:t xml:space="preserve">. </w:t>
      </w:r>
    </w:p>
    <w:p w14:paraId="6CDE514A" w14:textId="71824AF4" w:rsidR="006574C6" w:rsidRPr="00720A11" w:rsidRDefault="00720A11" w:rsidP="006574C6">
      <w:pPr>
        <w:pStyle w:val="NormalWeb"/>
        <w:spacing w:before="0" w:beforeAutospacing="0" w:after="300" w:afterAutospacing="0" w:line="276" w:lineRule="auto"/>
        <w:jc w:val="both"/>
        <w:rPr>
          <w:rFonts w:ascii="Century Gothic" w:hAnsi="Century Gothic" w:cstheme="minorHAnsi"/>
          <w:color w:val="222222"/>
          <w:sz w:val="23"/>
          <w:szCs w:val="23"/>
        </w:rPr>
      </w:pPr>
      <w:r w:rsidRPr="00720A11">
        <w:rPr>
          <w:rFonts w:ascii="Century Gothic" w:hAnsi="Century Gothic" w:cstheme="minorHAnsi"/>
          <w:color w:val="222222"/>
          <w:sz w:val="23"/>
          <w:szCs w:val="23"/>
        </w:rPr>
        <w:t xml:space="preserve">Τέλος σημαντικό </w:t>
      </w:r>
      <w:r w:rsidR="006574C6" w:rsidRPr="00720A11">
        <w:rPr>
          <w:rFonts w:ascii="Century Gothic" w:hAnsi="Century Gothic" w:cstheme="minorHAnsi"/>
          <w:color w:val="222222"/>
          <w:sz w:val="23"/>
          <w:szCs w:val="23"/>
        </w:rPr>
        <w:t xml:space="preserve">αρνητικό αντίκτυπο για την επιχειρηματικότητα έχει και η γραφειοκρατία. Ενώ είναι αλήθεια πως η χώρα πραγματοποίησε άλματα αναφορικά με την </w:t>
      </w:r>
      <w:r>
        <w:rPr>
          <w:rFonts w:ascii="Century Gothic" w:hAnsi="Century Gothic" w:cstheme="minorHAnsi"/>
          <w:color w:val="222222"/>
          <w:sz w:val="23"/>
          <w:szCs w:val="23"/>
        </w:rPr>
        <w:t>ψηφιοποίηση</w:t>
      </w:r>
      <w:r w:rsidR="006574C6" w:rsidRPr="00720A11">
        <w:rPr>
          <w:rFonts w:ascii="Century Gothic" w:hAnsi="Century Gothic" w:cstheme="minorHAnsi"/>
          <w:color w:val="222222"/>
          <w:sz w:val="23"/>
          <w:szCs w:val="23"/>
        </w:rPr>
        <w:t xml:space="preserve"> των διαδικασιών, την ενσωμάτωση των νέων τεχνολογιών και τον εκσυγχρονισμό του θεσμικού πλαισίου, οι μεταρρυθμίσεις αυτές δεν φαίνεται να έχουν </w:t>
      </w:r>
      <w:proofErr w:type="spellStart"/>
      <w:r w:rsidR="006574C6" w:rsidRPr="00720A11">
        <w:rPr>
          <w:rFonts w:ascii="Century Gothic" w:hAnsi="Century Gothic" w:cstheme="minorHAnsi"/>
          <w:color w:val="222222"/>
          <w:sz w:val="23"/>
          <w:szCs w:val="23"/>
        </w:rPr>
        <w:t>μετακυλισθεί</w:t>
      </w:r>
      <w:proofErr w:type="spellEnd"/>
      <w:r w:rsidR="006574C6" w:rsidRPr="00720A11">
        <w:rPr>
          <w:rFonts w:ascii="Century Gothic" w:hAnsi="Century Gothic" w:cstheme="minorHAnsi"/>
          <w:color w:val="222222"/>
          <w:sz w:val="23"/>
          <w:szCs w:val="23"/>
        </w:rPr>
        <w:t xml:space="preserve"> πλήρως στην πραγματική οικονομία. Πολλές φορές οι διαδικασίες δεν είναι επαρκώς </w:t>
      </w:r>
      <w:r w:rsidR="006574C6" w:rsidRPr="00720A11">
        <w:rPr>
          <w:rFonts w:ascii="Century Gothic" w:hAnsi="Century Gothic" w:cstheme="minorHAnsi"/>
          <w:color w:val="222222"/>
          <w:sz w:val="23"/>
          <w:szCs w:val="23"/>
        </w:rPr>
        <w:lastRenderedPageBreak/>
        <w:t>σαφείς, ενώ δεν λείπουν οι περιπτώσεις όπου η γραφειοκρατία παραμένει απλώς σε νέα, ψηφιακή, μορφή.</w:t>
      </w:r>
    </w:p>
    <w:p w14:paraId="3BAE8D42" w14:textId="77777777" w:rsidR="004D54D6" w:rsidRPr="00720A11" w:rsidRDefault="004D54D6" w:rsidP="006D5E3A">
      <w:pPr>
        <w:pStyle w:val="NormalWeb"/>
        <w:spacing w:after="300" w:line="276" w:lineRule="auto"/>
        <w:jc w:val="both"/>
        <w:rPr>
          <w:rFonts w:ascii="Century Gothic" w:hAnsi="Century Gothic" w:cstheme="minorHAnsi"/>
          <w:color w:val="222222"/>
          <w:sz w:val="23"/>
          <w:szCs w:val="23"/>
        </w:rPr>
      </w:pPr>
    </w:p>
    <w:p w14:paraId="0E342F63" w14:textId="77777777" w:rsidR="00641512" w:rsidRPr="00720A11" w:rsidRDefault="00641512" w:rsidP="006D5E3A">
      <w:pPr>
        <w:pStyle w:val="NormalWeb"/>
        <w:spacing w:after="300" w:line="276" w:lineRule="auto"/>
        <w:jc w:val="both"/>
        <w:rPr>
          <w:rFonts w:ascii="Century Gothic" w:hAnsi="Century Gothic" w:cstheme="minorHAnsi"/>
          <w:b/>
          <w:color w:val="222222"/>
          <w:sz w:val="23"/>
          <w:szCs w:val="23"/>
        </w:rPr>
      </w:pPr>
      <w:r w:rsidRPr="00720A11">
        <w:rPr>
          <w:rFonts w:ascii="Century Gothic" w:hAnsi="Century Gothic" w:cstheme="minorHAnsi"/>
          <w:b/>
          <w:color w:val="222222"/>
          <w:sz w:val="23"/>
          <w:szCs w:val="23"/>
        </w:rPr>
        <w:t xml:space="preserve">Συμπερασματικά </w:t>
      </w:r>
    </w:p>
    <w:p w14:paraId="70DBA195" w14:textId="612CF571" w:rsidR="00311186" w:rsidRPr="00E70CEF" w:rsidRDefault="00E70CEF" w:rsidP="00CE7EBA">
      <w:pPr>
        <w:pStyle w:val="NormalWeb"/>
        <w:spacing w:after="300" w:line="276" w:lineRule="auto"/>
        <w:jc w:val="both"/>
        <w:rPr>
          <w:rFonts w:ascii="Century Gothic" w:hAnsi="Century Gothic" w:cstheme="minorHAnsi"/>
          <w:sz w:val="23"/>
          <w:szCs w:val="23"/>
        </w:rPr>
      </w:pPr>
      <w:r w:rsidRPr="00720A11">
        <w:rPr>
          <w:rFonts w:ascii="Century Gothic" w:hAnsi="Century Gothic" w:cstheme="minorHAnsi"/>
          <w:color w:val="222222"/>
          <w:sz w:val="23"/>
          <w:szCs w:val="23"/>
        </w:rPr>
        <w:t>Παρά το γεγονός ότι</w:t>
      </w:r>
      <w:r w:rsidR="00C403EA" w:rsidRPr="00720A11">
        <w:rPr>
          <w:rFonts w:ascii="Century Gothic" w:hAnsi="Century Gothic" w:cstheme="minorHAnsi"/>
          <w:color w:val="222222"/>
          <w:sz w:val="23"/>
          <w:szCs w:val="23"/>
        </w:rPr>
        <w:t xml:space="preserve">, ο δισταγμός των τραπεζών στη χορήγηση δανείων εδράζεται στο σχετικά πρόσφατο παρελθόν, οπότε και «κουρεύτηκαν» τα ομόλογα του ελληνικού δημοσίου που είχαν στην κατοχή τους και χρειάστηκαν τρεις </w:t>
      </w:r>
      <w:proofErr w:type="spellStart"/>
      <w:r w:rsidR="00C403EA" w:rsidRPr="00720A11">
        <w:rPr>
          <w:rFonts w:ascii="Century Gothic" w:hAnsi="Century Gothic" w:cstheme="minorHAnsi"/>
          <w:color w:val="222222"/>
          <w:sz w:val="23"/>
          <w:szCs w:val="23"/>
        </w:rPr>
        <w:t>ανακεφαλαιοποιήσεις</w:t>
      </w:r>
      <w:proofErr w:type="spellEnd"/>
      <w:r w:rsidR="00C403EA" w:rsidRPr="00720A11">
        <w:rPr>
          <w:rFonts w:ascii="Century Gothic" w:hAnsi="Century Gothic" w:cstheme="minorHAnsi"/>
          <w:color w:val="222222"/>
          <w:sz w:val="23"/>
          <w:szCs w:val="23"/>
        </w:rPr>
        <w:t xml:space="preserve"> για να μπορέσο</w:t>
      </w:r>
      <w:r w:rsidRPr="00720A11">
        <w:rPr>
          <w:rFonts w:ascii="Century Gothic" w:hAnsi="Century Gothic" w:cstheme="minorHAnsi"/>
          <w:color w:val="222222"/>
          <w:sz w:val="23"/>
          <w:szCs w:val="23"/>
        </w:rPr>
        <w:t>υν να παραμείνουν σε λειτουργία</w:t>
      </w:r>
      <w:r w:rsidR="00641512" w:rsidRPr="00720A11">
        <w:rPr>
          <w:rFonts w:ascii="Century Gothic" w:hAnsi="Century Gothic" w:cstheme="minorHAnsi"/>
          <w:color w:val="222222"/>
          <w:sz w:val="23"/>
          <w:szCs w:val="23"/>
        </w:rPr>
        <w:t>,</w:t>
      </w:r>
      <w:r w:rsidRPr="00720A11">
        <w:rPr>
          <w:rFonts w:ascii="Century Gothic" w:hAnsi="Century Gothic" w:cstheme="minorHAnsi"/>
          <w:color w:val="222222"/>
          <w:sz w:val="23"/>
          <w:szCs w:val="23"/>
        </w:rPr>
        <w:t xml:space="preserve"> είναι </w:t>
      </w:r>
      <w:r w:rsidR="00641512" w:rsidRPr="00720A11">
        <w:rPr>
          <w:rFonts w:ascii="Century Gothic" w:hAnsi="Century Gothic" w:cstheme="minorHAnsi"/>
          <w:color w:val="222222"/>
          <w:sz w:val="23"/>
          <w:szCs w:val="23"/>
        </w:rPr>
        <w:t>πλέον περισσότερο από επείγον η ενίσχυση της ρευστότητας στην αγορά. Ταυτόχρονα, η αυξητική τάση των χρεώσεων –παρά το γεγονός ότι αυτές είναι χαμηλότερες από το ΜΟ της Ευρωζώνης δημιουργούν πιέσεις στη λειτουργία των επιχειρήσεων.</w:t>
      </w:r>
      <w:r w:rsidR="00641512">
        <w:rPr>
          <w:rFonts w:ascii="Century Gothic" w:hAnsi="Century Gothic" w:cstheme="minorHAnsi"/>
          <w:color w:val="222222"/>
          <w:sz w:val="23"/>
          <w:szCs w:val="23"/>
        </w:rPr>
        <w:t xml:space="preserve">  </w:t>
      </w:r>
    </w:p>
    <w:sectPr w:rsidR="00311186" w:rsidRPr="00E70CEF">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C05C0" w14:textId="77777777" w:rsidR="004971CA" w:rsidRDefault="004971CA" w:rsidP="001B0673">
      <w:pPr>
        <w:spacing w:after="0" w:line="240" w:lineRule="auto"/>
      </w:pPr>
      <w:r>
        <w:separator/>
      </w:r>
    </w:p>
  </w:endnote>
  <w:endnote w:type="continuationSeparator" w:id="0">
    <w:p w14:paraId="5E6D1E46" w14:textId="77777777" w:rsidR="004971CA" w:rsidRDefault="004971CA" w:rsidP="001B0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FA5CB" w14:textId="77777777" w:rsidR="001B0673" w:rsidRDefault="001B0673" w:rsidP="001B0673">
    <w:pPr>
      <w:pStyle w:val="Footer"/>
    </w:pPr>
    <w:r w:rsidRPr="00397B22">
      <w:t xml:space="preserve">        </w:t>
    </w:r>
    <w:r>
      <w:t xml:space="preserve">                                                                                                                              </w:t>
    </w:r>
    <w:r>
      <w:rPr>
        <w:noProof/>
        <w:lang w:eastAsia="el-GR"/>
      </w:rPr>
      <w:drawing>
        <wp:inline distT="0" distB="0" distL="0" distR="0" wp14:anchorId="1C3AF6E9" wp14:editId="1D1F0D5B">
          <wp:extent cx="720090" cy="333817"/>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706" cy="338275"/>
                  </a:xfrm>
                  <a:prstGeom prst="rect">
                    <a:avLst/>
                  </a:prstGeom>
                  <a:noFill/>
                </pic:spPr>
              </pic:pic>
            </a:graphicData>
          </a:graphic>
        </wp:inline>
      </w:drawing>
    </w:r>
    <w:r>
      <w:t xml:space="preserve">                              </w:t>
    </w:r>
    <w:r>
      <w:rPr>
        <w:noProof/>
        <w:lang w:eastAsia="el-GR"/>
      </w:rPr>
      <mc:AlternateContent>
        <mc:Choice Requires="wps">
          <w:drawing>
            <wp:inline distT="0" distB="0" distL="0" distR="0" wp14:anchorId="4B502530" wp14:editId="5CAF8711">
              <wp:extent cx="304800" cy="304800"/>
              <wp:effectExtent l="0" t="0" r="0" b="0"/>
              <wp:docPr id="4" name="AutoShape 4" descr="EuroCommer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1ABFA1" id="AutoShape 4" o:spid="_x0000_s1026" alt="EuroCommer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86AED">
      <w:rPr>
        <w:noProof/>
        <w:lang w:eastAsia="el-GR"/>
      </w:rPr>
      <w:drawing>
        <wp:inline distT="0" distB="0" distL="0" distR="0" wp14:anchorId="54DD6ED7" wp14:editId="4DF21BE0">
          <wp:extent cx="721360" cy="436417"/>
          <wp:effectExtent l="0" t="0" r="2540" b="1905"/>
          <wp:docPr id="6" name="Εικόνα 6" descr="C:\BC\BACKUP_ARACHOVAS\ΕΣΕΕ\ΛΟΓΟΤΥΠΑ_ΕΣΕΕ\ΝΕΑ_ΛΟΓΟΤΥΠΑ_Ιούλιος_2023\ESEE\ESEE_LOGO_G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BACKUP_ARACHOVAS\ΕΣΕΕ\ΛΟΓΟΤΥΠΑ_ΕΣΕΕ\ΝΕΑ_ΛΟΓΟΤΥΠΑ_Ιούλιος_2023\ESEE\ESEE_LOGO_GR-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2584" cy="443208"/>
                  </a:xfrm>
                  <a:prstGeom prst="rect">
                    <a:avLst/>
                  </a:prstGeom>
                  <a:noFill/>
                  <a:ln>
                    <a:noFill/>
                  </a:ln>
                </pic:spPr>
              </pic:pic>
            </a:graphicData>
          </a:graphic>
        </wp:inline>
      </w:drawing>
    </w:r>
    <w:r>
      <w:t xml:space="preserve">                                   Μέλος των:                                            </w:t>
    </w:r>
    <w:r>
      <w:rPr>
        <w:noProof/>
        <w:lang w:eastAsia="el-GR"/>
      </w:rPr>
      <w:drawing>
        <wp:inline distT="0" distB="0" distL="0" distR="0" wp14:anchorId="5C243E2F" wp14:editId="75727ACC">
          <wp:extent cx="807085" cy="295839"/>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2108" cy="327004"/>
                  </a:xfrm>
                  <a:prstGeom prst="rect">
                    <a:avLst/>
                  </a:prstGeom>
                  <a:noFill/>
                </pic:spPr>
              </pic:pic>
            </a:graphicData>
          </a:graphic>
        </wp:inline>
      </w:drawing>
    </w:r>
  </w:p>
  <w:p w14:paraId="5418463F" w14:textId="77777777" w:rsidR="001B0673" w:rsidRDefault="001B0673" w:rsidP="001B0673">
    <w:pPr>
      <w:pStyle w:val="Footer"/>
      <w:jc w:val="right"/>
    </w:pPr>
    <w:r>
      <w:t xml:space="preserve">                        </w:t>
    </w:r>
    <w:r w:rsidRPr="00397B22">
      <w:rPr>
        <w:noProof/>
        <w:lang w:eastAsia="el-GR"/>
      </w:rPr>
      <w:drawing>
        <wp:inline distT="0" distB="0" distL="0" distR="0" wp14:anchorId="43DDC943" wp14:editId="2E7EF192">
          <wp:extent cx="778897" cy="202565"/>
          <wp:effectExtent l="0" t="0" r="2540" b="6985"/>
          <wp:docPr id="7" name="Εικόνα 7" descr="https://encrypted-tbn0.gstatic.com/images?q=tbn:ANd9GcSk5J7seoRg99-lZwhkal0hf0c6LIu0DolAujVhZkOO&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Sk5J7seoRg99-lZwhkal0hf0c6LIu0DolAujVhZkOO&am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198" cy="216167"/>
                  </a:xfrm>
                  <a:prstGeom prst="rect">
                    <a:avLst/>
                  </a:prstGeom>
                  <a:noFill/>
                  <a:ln>
                    <a:noFill/>
                  </a:ln>
                </pic:spPr>
              </pic:pic>
            </a:graphicData>
          </a:graphic>
        </wp:inline>
      </w:drawing>
    </w:r>
    <w:r>
      <w:rPr>
        <w:noProof/>
        <w:lang w:eastAsia="el-GR"/>
      </w:rPr>
      <mc:AlternateContent>
        <mc:Choice Requires="wps">
          <w:drawing>
            <wp:inline distT="0" distB="0" distL="0" distR="0" wp14:anchorId="57064CE6" wp14:editId="27C0EBBF">
              <wp:extent cx="304800" cy="304800"/>
              <wp:effectExtent l="0" t="0" r="0" b="0"/>
              <wp:docPr id="8" name="AutoShape 3" descr="https://media.licdn.com/dms/image/C4D16AQH0CaGsBfOtyg/profile-displaybackgroundimage-shrink_200_800/0/1631875595303?e=2147483647&amp;v=beta&amp;t=Dg5aZhHkFtlktiiyRhctzPo4AcnhPb5ow0WET_Y96M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23A38" id="AutoShape 3" o:spid="_x0000_s1026" alt="https://media.licdn.com/dms/image/C4D16AQH0CaGsBfOtyg/profile-displaybackgroundimage-shrink_200_800/0/1631875595303?e=2147483647&amp;v=beta&amp;t=Dg5aZhHkFtlktiiyRhctzPo4AcnhPb5ow0WET_Y96M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FDB10" w14:textId="77777777" w:rsidR="004971CA" w:rsidRDefault="004971CA" w:rsidP="001B0673">
      <w:pPr>
        <w:spacing w:after="0" w:line="240" w:lineRule="auto"/>
      </w:pPr>
      <w:r>
        <w:separator/>
      </w:r>
    </w:p>
  </w:footnote>
  <w:footnote w:type="continuationSeparator" w:id="0">
    <w:p w14:paraId="15A3FD16" w14:textId="77777777" w:rsidR="004971CA" w:rsidRDefault="004971CA" w:rsidP="001B0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CA2AD9"/>
    <w:multiLevelType w:val="multilevel"/>
    <w:tmpl w:val="10D8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903310"/>
    <w:multiLevelType w:val="multilevel"/>
    <w:tmpl w:val="2EE8F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3205309">
    <w:abstractNumId w:val="1"/>
  </w:num>
  <w:num w:numId="2" w16cid:durableId="235213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CCD"/>
    <w:rsid w:val="00014CA1"/>
    <w:rsid w:val="00070FEF"/>
    <w:rsid w:val="000F569B"/>
    <w:rsid w:val="001B0673"/>
    <w:rsid w:val="00241195"/>
    <w:rsid w:val="002B2804"/>
    <w:rsid w:val="002B6E97"/>
    <w:rsid w:val="002E5F64"/>
    <w:rsid w:val="00311186"/>
    <w:rsid w:val="003D70C5"/>
    <w:rsid w:val="003E75A1"/>
    <w:rsid w:val="00415CBE"/>
    <w:rsid w:val="00417F92"/>
    <w:rsid w:val="00496A7F"/>
    <w:rsid w:val="004971CA"/>
    <w:rsid w:val="004D54D6"/>
    <w:rsid w:val="004E1B3F"/>
    <w:rsid w:val="005042EA"/>
    <w:rsid w:val="00511C52"/>
    <w:rsid w:val="0052057C"/>
    <w:rsid w:val="005635BD"/>
    <w:rsid w:val="0057491E"/>
    <w:rsid w:val="0059582D"/>
    <w:rsid w:val="005C5642"/>
    <w:rsid w:val="005D6170"/>
    <w:rsid w:val="005E56C7"/>
    <w:rsid w:val="00641512"/>
    <w:rsid w:val="006574C6"/>
    <w:rsid w:val="00662958"/>
    <w:rsid w:val="006808EF"/>
    <w:rsid w:val="006D5E3A"/>
    <w:rsid w:val="00720A11"/>
    <w:rsid w:val="007604A6"/>
    <w:rsid w:val="00781437"/>
    <w:rsid w:val="007E20AF"/>
    <w:rsid w:val="007E5791"/>
    <w:rsid w:val="00836CCD"/>
    <w:rsid w:val="00866692"/>
    <w:rsid w:val="008D39A8"/>
    <w:rsid w:val="00962DF8"/>
    <w:rsid w:val="00967D6A"/>
    <w:rsid w:val="009A3486"/>
    <w:rsid w:val="00A34990"/>
    <w:rsid w:val="00A424E0"/>
    <w:rsid w:val="00A50AED"/>
    <w:rsid w:val="00A5433B"/>
    <w:rsid w:val="00B05421"/>
    <w:rsid w:val="00B07CFB"/>
    <w:rsid w:val="00B16D6C"/>
    <w:rsid w:val="00B23153"/>
    <w:rsid w:val="00B6360D"/>
    <w:rsid w:val="00B735D7"/>
    <w:rsid w:val="00BB4B1F"/>
    <w:rsid w:val="00BB577B"/>
    <w:rsid w:val="00BD0F27"/>
    <w:rsid w:val="00C11134"/>
    <w:rsid w:val="00C3587F"/>
    <w:rsid w:val="00C37D8D"/>
    <w:rsid w:val="00C403EA"/>
    <w:rsid w:val="00C75D42"/>
    <w:rsid w:val="00CE2A13"/>
    <w:rsid w:val="00CE7EBA"/>
    <w:rsid w:val="00D42252"/>
    <w:rsid w:val="00DD30FC"/>
    <w:rsid w:val="00DF6BCF"/>
    <w:rsid w:val="00DF6EC0"/>
    <w:rsid w:val="00E0553C"/>
    <w:rsid w:val="00E23174"/>
    <w:rsid w:val="00E70CEF"/>
    <w:rsid w:val="00EB04F5"/>
    <w:rsid w:val="00ED3DAB"/>
    <w:rsid w:val="00F3065D"/>
    <w:rsid w:val="00F767D4"/>
    <w:rsid w:val="00FD5119"/>
    <w:rsid w:val="00FE48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6B5E5A"/>
  <w15:docId w15:val="{553F8544-41F4-40B6-B716-F280190F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67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0673"/>
  </w:style>
  <w:style w:type="paragraph" w:styleId="Footer">
    <w:name w:val="footer"/>
    <w:basedOn w:val="Normal"/>
    <w:link w:val="FooterChar"/>
    <w:uiPriority w:val="99"/>
    <w:unhideWhenUsed/>
    <w:rsid w:val="001B067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0673"/>
  </w:style>
  <w:style w:type="table" w:styleId="TableGrid">
    <w:name w:val="Table Grid"/>
    <w:basedOn w:val="TableNormal"/>
    <w:uiPriority w:val="39"/>
    <w:rsid w:val="005E5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56C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A5433B"/>
    <w:rPr>
      <w:b/>
      <w:bCs/>
    </w:rPr>
  </w:style>
  <w:style w:type="paragraph" w:styleId="Revision">
    <w:name w:val="Revision"/>
    <w:hidden/>
    <w:uiPriority w:val="99"/>
    <w:semiHidden/>
    <w:rsid w:val="00DD30FC"/>
    <w:pPr>
      <w:spacing w:after="0" w:line="240" w:lineRule="auto"/>
    </w:pPr>
  </w:style>
  <w:style w:type="character" w:styleId="CommentReference">
    <w:name w:val="annotation reference"/>
    <w:basedOn w:val="DefaultParagraphFont"/>
    <w:uiPriority w:val="99"/>
    <w:semiHidden/>
    <w:unhideWhenUsed/>
    <w:rsid w:val="00CE2A13"/>
    <w:rPr>
      <w:sz w:val="16"/>
      <w:szCs w:val="16"/>
    </w:rPr>
  </w:style>
  <w:style w:type="paragraph" w:styleId="CommentText">
    <w:name w:val="annotation text"/>
    <w:basedOn w:val="Normal"/>
    <w:link w:val="CommentTextChar"/>
    <w:uiPriority w:val="99"/>
    <w:unhideWhenUsed/>
    <w:rsid w:val="00CE2A13"/>
    <w:pPr>
      <w:spacing w:line="240" w:lineRule="auto"/>
    </w:pPr>
    <w:rPr>
      <w:sz w:val="20"/>
      <w:szCs w:val="20"/>
    </w:rPr>
  </w:style>
  <w:style w:type="character" w:customStyle="1" w:styleId="CommentTextChar">
    <w:name w:val="Comment Text Char"/>
    <w:basedOn w:val="DefaultParagraphFont"/>
    <w:link w:val="CommentText"/>
    <w:uiPriority w:val="99"/>
    <w:rsid w:val="00CE2A13"/>
    <w:rPr>
      <w:sz w:val="20"/>
      <w:szCs w:val="20"/>
    </w:rPr>
  </w:style>
  <w:style w:type="paragraph" w:styleId="CommentSubject">
    <w:name w:val="annotation subject"/>
    <w:basedOn w:val="CommentText"/>
    <w:next w:val="CommentText"/>
    <w:link w:val="CommentSubjectChar"/>
    <w:uiPriority w:val="99"/>
    <w:semiHidden/>
    <w:unhideWhenUsed/>
    <w:rsid w:val="00CE2A13"/>
    <w:rPr>
      <w:b/>
      <w:bCs/>
    </w:rPr>
  </w:style>
  <w:style w:type="character" w:customStyle="1" w:styleId="CommentSubjectChar">
    <w:name w:val="Comment Subject Char"/>
    <w:basedOn w:val="CommentTextChar"/>
    <w:link w:val="CommentSubject"/>
    <w:uiPriority w:val="99"/>
    <w:semiHidden/>
    <w:rsid w:val="00CE2A13"/>
    <w:rPr>
      <w:b/>
      <w:bCs/>
      <w:sz w:val="20"/>
      <w:szCs w:val="20"/>
    </w:rPr>
  </w:style>
  <w:style w:type="paragraph" w:styleId="BalloonText">
    <w:name w:val="Balloon Text"/>
    <w:basedOn w:val="Normal"/>
    <w:link w:val="BalloonTextChar"/>
    <w:uiPriority w:val="99"/>
    <w:semiHidden/>
    <w:unhideWhenUsed/>
    <w:rsid w:val="00C75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D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080130">
      <w:bodyDiv w:val="1"/>
      <w:marLeft w:val="0"/>
      <w:marRight w:val="0"/>
      <w:marTop w:val="0"/>
      <w:marBottom w:val="0"/>
      <w:divBdr>
        <w:top w:val="none" w:sz="0" w:space="0" w:color="auto"/>
        <w:left w:val="none" w:sz="0" w:space="0" w:color="auto"/>
        <w:bottom w:val="none" w:sz="0" w:space="0" w:color="auto"/>
        <w:right w:val="none" w:sz="0" w:space="0" w:color="auto"/>
      </w:divBdr>
    </w:div>
    <w:div w:id="521286373">
      <w:bodyDiv w:val="1"/>
      <w:marLeft w:val="0"/>
      <w:marRight w:val="0"/>
      <w:marTop w:val="0"/>
      <w:marBottom w:val="0"/>
      <w:divBdr>
        <w:top w:val="none" w:sz="0" w:space="0" w:color="auto"/>
        <w:left w:val="none" w:sz="0" w:space="0" w:color="auto"/>
        <w:bottom w:val="none" w:sz="0" w:space="0" w:color="auto"/>
        <w:right w:val="none" w:sz="0" w:space="0" w:color="auto"/>
      </w:divBdr>
    </w:div>
    <w:div w:id="653607170">
      <w:bodyDiv w:val="1"/>
      <w:marLeft w:val="0"/>
      <w:marRight w:val="0"/>
      <w:marTop w:val="0"/>
      <w:marBottom w:val="0"/>
      <w:divBdr>
        <w:top w:val="none" w:sz="0" w:space="0" w:color="auto"/>
        <w:left w:val="none" w:sz="0" w:space="0" w:color="auto"/>
        <w:bottom w:val="none" w:sz="0" w:space="0" w:color="auto"/>
        <w:right w:val="none" w:sz="0" w:space="0" w:color="auto"/>
      </w:divBdr>
    </w:div>
    <w:div w:id="754059669">
      <w:bodyDiv w:val="1"/>
      <w:marLeft w:val="0"/>
      <w:marRight w:val="0"/>
      <w:marTop w:val="0"/>
      <w:marBottom w:val="0"/>
      <w:divBdr>
        <w:top w:val="none" w:sz="0" w:space="0" w:color="auto"/>
        <w:left w:val="none" w:sz="0" w:space="0" w:color="auto"/>
        <w:bottom w:val="none" w:sz="0" w:space="0" w:color="auto"/>
        <w:right w:val="none" w:sz="0" w:space="0" w:color="auto"/>
      </w:divBdr>
    </w:div>
    <w:div w:id="968630229">
      <w:bodyDiv w:val="1"/>
      <w:marLeft w:val="0"/>
      <w:marRight w:val="0"/>
      <w:marTop w:val="0"/>
      <w:marBottom w:val="0"/>
      <w:divBdr>
        <w:top w:val="none" w:sz="0" w:space="0" w:color="auto"/>
        <w:left w:val="none" w:sz="0" w:space="0" w:color="auto"/>
        <w:bottom w:val="none" w:sz="0" w:space="0" w:color="auto"/>
        <w:right w:val="none" w:sz="0" w:space="0" w:color="auto"/>
      </w:divBdr>
    </w:div>
    <w:div w:id="1158618418">
      <w:bodyDiv w:val="1"/>
      <w:marLeft w:val="0"/>
      <w:marRight w:val="0"/>
      <w:marTop w:val="0"/>
      <w:marBottom w:val="0"/>
      <w:divBdr>
        <w:top w:val="none" w:sz="0" w:space="0" w:color="auto"/>
        <w:left w:val="none" w:sz="0" w:space="0" w:color="auto"/>
        <w:bottom w:val="none" w:sz="0" w:space="0" w:color="auto"/>
        <w:right w:val="none" w:sz="0" w:space="0" w:color="auto"/>
      </w:divBdr>
    </w:div>
    <w:div w:id="1660577054">
      <w:bodyDiv w:val="1"/>
      <w:marLeft w:val="0"/>
      <w:marRight w:val="0"/>
      <w:marTop w:val="0"/>
      <w:marBottom w:val="0"/>
      <w:divBdr>
        <w:top w:val="none" w:sz="0" w:space="0" w:color="auto"/>
        <w:left w:val="none" w:sz="0" w:space="0" w:color="auto"/>
        <w:bottom w:val="none" w:sz="0" w:space="0" w:color="auto"/>
        <w:right w:val="none" w:sz="0" w:space="0" w:color="auto"/>
      </w:divBdr>
    </w:div>
    <w:div w:id="205700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Διάγραμμα 2: </a:t>
            </a:r>
          </a:p>
        </c:rich>
      </c:tx>
      <c:overlay val="0"/>
      <c:spPr>
        <a:noFill/>
        <a:ln>
          <a:noFill/>
        </a:ln>
        <a:effectLst/>
      </c:sp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Φύλλο1!$B$3:$B$18</c:f>
              <c:strCache>
                <c:ptCount val="16"/>
                <c:pt idx="0">
                  <c:v>Λετονία</c:v>
                </c:pt>
                <c:pt idx="1">
                  <c:v>Λιθουανία</c:v>
                </c:pt>
                <c:pt idx="2">
                  <c:v>Εσθονία</c:v>
                </c:pt>
                <c:pt idx="3">
                  <c:v>Σλοβενία</c:v>
                </c:pt>
                <c:pt idx="4">
                  <c:v>Ελλάδα</c:v>
                </c:pt>
                <c:pt idx="5">
                  <c:v>Πορτογαλία</c:v>
                </c:pt>
                <c:pt idx="6">
                  <c:v>Ισπανία</c:v>
                </c:pt>
                <c:pt idx="7">
                  <c:v>Αυστρία</c:v>
                </c:pt>
                <c:pt idx="8">
                  <c:v>Ιταλία</c:v>
                </c:pt>
                <c:pt idx="9">
                  <c:v>Ιρλανδία</c:v>
                </c:pt>
                <c:pt idx="10">
                  <c:v>Φινλανδία</c:v>
                </c:pt>
                <c:pt idx="11">
                  <c:v>Λουξεμβούργο</c:v>
                </c:pt>
                <c:pt idx="12">
                  <c:v>Ολλανδία</c:v>
                </c:pt>
                <c:pt idx="13">
                  <c:v>Βέλγιο</c:v>
                </c:pt>
                <c:pt idx="14">
                  <c:v>Γερμανία</c:v>
                </c:pt>
                <c:pt idx="15">
                  <c:v>Γαλλία</c:v>
                </c:pt>
              </c:strCache>
            </c:strRef>
          </c:cat>
          <c:val>
            <c:numRef>
              <c:f>Φύλλο1!$C$3:$C$18</c:f>
              <c:numCache>
                <c:formatCode>0.00%</c:formatCode>
                <c:ptCount val="16"/>
                <c:pt idx="0">
                  <c:v>3.78E-2</c:v>
                </c:pt>
                <c:pt idx="1">
                  <c:v>3.6700000000000003E-2</c:v>
                </c:pt>
                <c:pt idx="2">
                  <c:v>3.6400000000000002E-2</c:v>
                </c:pt>
                <c:pt idx="3">
                  <c:v>3.6299999999999999E-2</c:v>
                </c:pt>
                <c:pt idx="4">
                  <c:v>3.32E-2</c:v>
                </c:pt>
                <c:pt idx="5">
                  <c:v>2.9600000000000001E-2</c:v>
                </c:pt>
                <c:pt idx="6">
                  <c:v>2.8799999999999999E-2</c:v>
                </c:pt>
                <c:pt idx="7">
                  <c:v>2.4400000000000002E-2</c:v>
                </c:pt>
                <c:pt idx="8">
                  <c:v>2.3099999999999999E-2</c:v>
                </c:pt>
                <c:pt idx="9">
                  <c:v>2.1299999999999999E-2</c:v>
                </c:pt>
                <c:pt idx="10">
                  <c:v>1.7100000000000001E-2</c:v>
                </c:pt>
                <c:pt idx="11">
                  <c:v>1.6400000000000001E-2</c:v>
                </c:pt>
                <c:pt idx="12">
                  <c:v>1.5599999999999999E-2</c:v>
                </c:pt>
                <c:pt idx="13">
                  <c:v>1.41E-2</c:v>
                </c:pt>
                <c:pt idx="14">
                  <c:v>1.0699999999999999E-2</c:v>
                </c:pt>
                <c:pt idx="15">
                  <c:v>8.8999999999999999E-3</c:v>
                </c:pt>
              </c:numCache>
            </c:numRef>
          </c:val>
          <c:extLst>
            <c:ext xmlns:c16="http://schemas.microsoft.com/office/drawing/2014/chart" uri="{C3380CC4-5D6E-409C-BE32-E72D297353CC}">
              <c16:uniqueId val="{00000000-F2A2-4FE6-A33F-FA8D7AAA175B}"/>
            </c:ext>
          </c:extLst>
        </c:ser>
        <c:dLbls>
          <c:showLegendKey val="0"/>
          <c:showVal val="0"/>
          <c:showCatName val="0"/>
          <c:showSerName val="0"/>
          <c:showPercent val="0"/>
          <c:showBubbleSize val="0"/>
        </c:dLbls>
        <c:gapWidth val="150"/>
        <c:overlap val="100"/>
        <c:axId val="262336512"/>
        <c:axId val="185366720"/>
      </c:barChart>
      <c:catAx>
        <c:axId val="26233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66720"/>
        <c:crosses val="autoZero"/>
        <c:auto val="1"/>
        <c:lblAlgn val="ctr"/>
        <c:lblOffset val="100"/>
        <c:noMultiLvlLbl val="0"/>
      </c:catAx>
      <c:valAx>
        <c:axId val="1853667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3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59858219010055E-2"/>
          <c:y val="0.22372340425531917"/>
          <c:w val="0.9151492131812301"/>
          <c:h val="0.61289579494052604"/>
        </c:manualLayout>
      </c:layout>
      <c:lineChart>
        <c:grouping val="standard"/>
        <c:varyColors val="0"/>
        <c:ser>
          <c:idx val="0"/>
          <c:order val="0"/>
          <c:tx>
            <c:strRef>
              <c:f>'[Table (002).xlsx]Graph'!$B$8</c:f>
              <c:strCache>
                <c:ptCount val="1"/>
                <c:pt idx="0">
                  <c:v>Peer Group</c:v>
                </c:pt>
              </c:strCache>
            </c:strRef>
          </c:tx>
          <c:spPr>
            <a:ln w="28575" cap="rnd">
              <a:solidFill>
                <a:schemeClr val="accent1"/>
              </a:solidFill>
              <a:round/>
            </a:ln>
            <a:effectLst/>
          </c:spPr>
          <c:marker>
            <c:symbol val="none"/>
          </c:marker>
          <c:dLbls>
            <c:dLbl>
              <c:idx val="0"/>
              <c:layout>
                <c:manualLayout>
                  <c:x val="-1.1111111111111112E-2"/>
                  <c:y val="-9.2592592592592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83-48EF-B504-840BD9C5262C}"/>
                </c:ext>
              </c:extLst>
            </c:dLbl>
            <c:dLbl>
              <c:idx val="1"/>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83-48EF-B504-840BD9C5262C}"/>
                </c:ext>
              </c:extLst>
            </c:dLbl>
            <c:dLbl>
              <c:idx val="2"/>
              <c:layout>
                <c:manualLayout>
                  <c:x val="-5.5555555555556572E-3"/>
                  <c:y val="-9.7222222222222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83-48EF-B504-840BD9C5262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(002).xlsx]Graph'!$C$7:$E$7</c:f>
              <c:numCache>
                <c:formatCode>General</c:formatCode>
                <c:ptCount val="3"/>
                <c:pt idx="0">
                  <c:v>2022</c:v>
                </c:pt>
                <c:pt idx="1">
                  <c:v>2023</c:v>
                </c:pt>
                <c:pt idx="2">
                  <c:v>2024</c:v>
                </c:pt>
              </c:numCache>
            </c:numRef>
          </c:cat>
          <c:val>
            <c:numRef>
              <c:f>'[Table (002).xlsx]Graph'!$C$8:$E$8</c:f>
              <c:numCache>
                <c:formatCode>General</c:formatCode>
                <c:ptCount val="3"/>
                <c:pt idx="0">
                  <c:v>31.92</c:v>
                </c:pt>
                <c:pt idx="1">
                  <c:v>28.21</c:v>
                </c:pt>
                <c:pt idx="2">
                  <c:v>28.77</c:v>
                </c:pt>
              </c:numCache>
            </c:numRef>
          </c:val>
          <c:smooth val="0"/>
          <c:extLst>
            <c:ext xmlns:c16="http://schemas.microsoft.com/office/drawing/2014/chart" uri="{C3380CC4-5D6E-409C-BE32-E72D297353CC}">
              <c16:uniqueId val="{00000003-AA83-48EF-B504-840BD9C5262C}"/>
            </c:ext>
          </c:extLst>
        </c:ser>
        <c:ser>
          <c:idx val="1"/>
          <c:order val="1"/>
          <c:tx>
            <c:strRef>
              <c:f>'[Table (002).xlsx]Graph'!$B$9</c:f>
              <c:strCache>
                <c:ptCount val="1"/>
                <c:pt idx="0">
                  <c:v>Greece SIs</c:v>
                </c:pt>
              </c:strCache>
            </c:strRef>
          </c:tx>
          <c:spPr>
            <a:ln w="28575" cap="rnd">
              <a:solidFill>
                <a:schemeClr val="accent2"/>
              </a:solidFill>
              <a:round/>
            </a:ln>
            <a:effectLst/>
          </c:spPr>
          <c:marker>
            <c:symbol val="none"/>
          </c:marker>
          <c:dLbls>
            <c:dLbl>
              <c:idx val="0"/>
              <c:layout>
                <c:manualLayout>
                  <c:x val="8.3333333333333332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83-48EF-B504-840BD9C5262C}"/>
                </c:ext>
              </c:extLst>
            </c:dLbl>
            <c:dLbl>
              <c:idx val="1"/>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83-48EF-B504-840BD9C5262C}"/>
                </c:ext>
              </c:extLst>
            </c:dLbl>
            <c:dLbl>
              <c:idx val="2"/>
              <c:layout>
                <c:manualLayout>
                  <c:x val="2.2222222222222223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83-48EF-B504-840BD9C5262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(002).xlsx]Graph'!$C$7:$E$7</c:f>
              <c:numCache>
                <c:formatCode>General</c:formatCode>
                <c:ptCount val="3"/>
                <c:pt idx="0">
                  <c:v>2022</c:v>
                </c:pt>
                <c:pt idx="1">
                  <c:v>2023</c:v>
                </c:pt>
                <c:pt idx="2">
                  <c:v>2024</c:v>
                </c:pt>
              </c:numCache>
            </c:numRef>
          </c:cat>
          <c:val>
            <c:numRef>
              <c:f>'[Table (002).xlsx]Graph'!$C$9:$E$9</c:f>
              <c:numCache>
                <c:formatCode>General</c:formatCode>
                <c:ptCount val="3"/>
                <c:pt idx="0">
                  <c:v>14.9</c:v>
                </c:pt>
                <c:pt idx="1">
                  <c:v>16.3</c:v>
                </c:pt>
                <c:pt idx="2">
                  <c:v>17.2</c:v>
                </c:pt>
              </c:numCache>
            </c:numRef>
          </c:val>
          <c:smooth val="0"/>
          <c:extLst>
            <c:ext xmlns:c16="http://schemas.microsoft.com/office/drawing/2014/chart" uri="{C3380CC4-5D6E-409C-BE32-E72D297353CC}">
              <c16:uniqueId val="{00000007-AA83-48EF-B504-840BD9C5262C}"/>
            </c:ext>
          </c:extLst>
        </c:ser>
        <c:dLbls>
          <c:showLegendKey val="0"/>
          <c:showVal val="0"/>
          <c:showCatName val="0"/>
          <c:showSerName val="0"/>
          <c:showPercent val="0"/>
          <c:showBubbleSize val="0"/>
        </c:dLbls>
        <c:smooth val="0"/>
        <c:axId val="262340096"/>
        <c:axId val="279737408"/>
      </c:lineChart>
      <c:catAx>
        <c:axId val="26234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737408"/>
        <c:crosses val="autoZero"/>
        <c:auto val="1"/>
        <c:lblAlgn val="ctr"/>
        <c:lblOffset val="100"/>
        <c:noMultiLvlLbl val="0"/>
      </c:catAx>
      <c:valAx>
        <c:axId val="27973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34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93988-841A-43FE-93E5-426156B5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1915</Words>
  <Characters>10919</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Charalambos Arachovas</dc:creator>
  <cp:lastModifiedBy>Giorgos Flokas</cp:lastModifiedBy>
  <cp:revision>2</cp:revision>
  <dcterms:created xsi:type="dcterms:W3CDTF">2024-12-12T08:04:00Z</dcterms:created>
  <dcterms:modified xsi:type="dcterms:W3CDTF">2024-12-12T08:04:00Z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9fb7f8b92ac538539f2c1fa19b3e1591daf4bb985f4d6c3f934514793b38bf04</vt:lpwstr>
  </property>
</Properties>
</file>