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ajorEastAsia"/>
        </w:rPr>
        <w:id w:val="1459625244"/>
        <w:docPartObj>
          <w:docPartGallery w:val="Cover Pages"/>
          <w:docPartUnique/>
        </w:docPartObj>
      </w:sdtPr>
      <w:sdtEndPr>
        <w:rPr>
          <w:rFonts w:eastAsiaTheme="minorEastAsia"/>
          <w:sz w:val="24"/>
          <w:szCs w:val="24"/>
          <w:lang w:val="en-US"/>
        </w:rPr>
      </w:sdtEndPr>
      <w:sdtContent>
        <w:p w14:paraId="5CBE07D0" w14:textId="57C70B52" w:rsidR="00957716" w:rsidRDefault="007F7CB5" w:rsidP="00B85732">
          <w:pPr>
            <w:jc w:val="center"/>
            <w:rPr>
              <w:rFonts w:eastAsiaTheme="majorEastAsia"/>
              <w:lang w:val="en-US"/>
            </w:rPr>
          </w:pPr>
          <w:r>
            <w:rPr>
              <w:rFonts w:eastAsiaTheme="majorEastAsia"/>
              <w:noProof/>
              <w:sz w:val="32"/>
              <w:szCs w:val="32"/>
            </w:rPr>
            <w:drawing>
              <wp:anchor distT="0" distB="0" distL="114300" distR="114300" simplePos="0" relativeHeight="251764736" behindDoc="0" locked="0" layoutInCell="1" allowOverlap="1" wp14:anchorId="50A0D51D" wp14:editId="024713DA">
                <wp:simplePos x="0" y="0"/>
                <wp:positionH relativeFrom="column">
                  <wp:posOffset>-1108240</wp:posOffset>
                </wp:positionH>
                <wp:positionV relativeFrom="paragraph">
                  <wp:posOffset>-615926</wp:posOffset>
                </wp:positionV>
                <wp:extent cx="7243948" cy="10103193"/>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ver_final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9958" cy="10111576"/>
                        </a:xfrm>
                        <a:prstGeom prst="rect">
                          <a:avLst/>
                        </a:prstGeom>
                      </pic:spPr>
                    </pic:pic>
                  </a:graphicData>
                </a:graphic>
                <wp14:sizeRelH relativeFrom="margin">
                  <wp14:pctWidth>0</wp14:pctWidth>
                </wp14:sizeRelH>
                <wp14:sizeRelV relativeFrom="margin">
                  <wp14:pctHeight>0</wp14:pctHeight>
                </wp14:sizeRelV>
              </wp:anchor>
            </w:drawing>
          </w:r>
          <w:r w:rsidR="00B85732">
            <w:rPr>
              <w:rFonts w:eastAsiaTheme="majorEastAsia"/>
              <w:lang w:val="en-US"/>
            </w:rPr>
            <w:t>[ cover ]</w:t>
          </w:r>
        </w:p>
        <w:p w14:paraId="64E6BE63" w14:textId="61FFD409" w:rsidR="00936E86" w:rsidRDefault="00936E86" w:rsidP="00936E86">
          <w:pPr>
            <w:jc w:val="center"/>
            <w:rPr>
              <w:rFonts w:eastAsiaTheme="majorEastAsia"/>
              <w:b/>
              <w:sz w:val="32"/>
              <w:szCs w:val="32"/>
              <w:lang w:val="en-US"/>
            </w:rPr>
          </w:pPr>
        </w:p>
        <w:p w14:paraId="013EB0DA" w14:textId="0BD07938" w:rsidR="00B85732" w:rsidRDefault="00B85732" w:rsidP="00B85732">
          <w:pPr>
            <w:jc w:val="center"/>
            <w:rPr>
              <w:rFonts w:eastAsiaTheme="majorEastAsia"/>
              <w:sz w:val="32"/>
              <w:szCs w:val="32"/>
              <w:lang w:val="en-US"/>
            </w:rPr>
          </w:pPr>
          <w:r w:rsidRPr="00B85732">
            <w:rPr>
              <w:rFonts w:eastAsiaTheme="majorEastAsia"/>
              <w:sz w:val="32"/>
              <w:szCs w:val="32"/>
              <w:lang w:val="en-US"/>
            </w:rPr>
            <w:t>Medium-</w:t>
          </w:r>
          <w:r w:rsidR="00DE59F5">
            <w:rPr>
              <w:rFonts w:eastAsiaTheme="majorEastAsia"/>
              <w:sz w:val="32"/>
              <w:szCs w:val="32"/>
              <w:lang w:val="en-US"/>
            </w:rPr>
            <w:t>t</w:t>
          </w:r>
          <w:r w:rsidRPr="00B85732">
            <w:rPr>
              <w:rFonts w:eastAsiaTheme="majorEastAsia"/>
              <w:sz w:val="32"/>
              <w:szCs w:val="32"/>
              <w:lang w:val="en-US"/>
            </w:rPr>
            <w:t xml:space="preserve">erm </w:t>
          </w:r>
          <w:r w:rsidR="00DE59F5">
            <w:rPr>
              <w:rFonts w:eastAsiaTheme="majorEastAsia"/>
              <w:sz w:val="32"/>
              <w:szCs w:val="32"/>
              <w:lang w:val="en-US"/>
            </w:rPr>
            <w:t>f</w:t>
          </w:r>
          <w:r w:rsidRPr="00B85732">
            <w:rPr>
              <w:rFonts w:eastAsiaTheme="majorEastAsia"/>
              <w:sz w:val="32"/>
              <w:szCs w:val="32"/>
              <w:lang w:val="en-US"/>
            </w:rPr>
            <w:t>iscal-</w:t>
          </w:r>
          <w:r w:rsidR="00DE59F5">
            <w:rPr>
              <w:rFonts w:eastAsiaTheme="majorEastAsia"/>
              <w:sz w:val="32"/>
              <w:szCs w:val="32"/>
              <w:lang w:val="en-US"/>
            </w:rPr>
            <w:t>s</w:t>
          </w:r>
          <w:r w:rsidRPr="00B85732">
            <w:rPr>
              <w:rFonts w:eastAsiaTheme="majorEastAsia"/>
              <w:sz w:val="32"/>
              <w:szCs w:val="32"/>
              <w:lang w:val="en-US"/>
            </w:rPr>
            <w:t xml:space="preserve">tructural </w:t>
          </w:r>
          <w:r w:rsidR="00DE59F5">
            <w:rPr>
              <w:rFonts w:eastAsiaTheme="majorEastAsia"/>
              <w:sz w:val="32"/>
              <w:szCs w:val="32"/>
              <w:lang w:val="en-US"/>
            </w:rPr>
            <w:t>p</w:t>
          </w:r>
          <w:r w:rsidRPr="00B85732">
            <w:rPr>
              <w:rFonts w:eastAsiaTheme="majorEastAsia"/>
              <w:sz w:val="32"/>
              <w:szCs w:val="32"/>
              <w:lang w:val="en-US"/>
            </w:rPr>
            <w:t>lan 2025-2028</w:t>
          </w:r>
        </w:p>
        <w:p w14:paraId="2D4535D7" w14:textId="2B68A8AD" w:rsidR="00936E86" w:rsidRPr="00E77D7E" w:rsidRDefault="00936E86" w:rsidP="00936E86">
          <w:pPr>
            <w:jc w:val="center"/>
            <w:rPr>
              <w:rFonts w:eastAsiaTheme="majorEastAsia"/>
              <w:b/>
              <w:sz w:val="28"/>
            </w:rPr>
          </w:pPr>
          <w:r w:rsidRPr="00E77D7E">
            <w:rPr>
              <w:rFonts w:eastAsiaTheme="majorEastAsia"/>
              <w:b/>
              <w:sz w:val="28"/>
            </w:rPr>
            <w:t>Greece</w:t>
          </w:r>
        </w:p>
        <w:p w14:paraId="5D133917" w14:textId="7F15A42B" w:rsidR="00271936" w:rsidRPr="00281903" w:rsidRDefault="00271936" w:rsidP="00281903">
          <w:pPr>
            <w:rPr>
              <w:rFonts w:eastAsiaTheme="majorEastAsia"/>
              <w:lang w:val="en-US"/>
            </w:rPr>
          </w:pPr>
        </w:p>
        <w:p w14:paraId="45821367" w14:textId="3D05CC6A" w:rsidR="00A22029" w:rsidRPr="00B85732" w:rsidRDefault="00A22029" w:rsidP="007A7773">
          <w:pPr>
            <w:pStyle w:val="NoSpacing"/>
            <w:rPr>
              <w:rFonts w:asciiTheme="majorHAnsi" w:hAnsiTheme="majorHAnsi" w:cstheme="minorHAnsi"/>
              <w:b/>
              <w:color w:val="1F497D" w:themeColor="text2"/>
              <w:sz w:val="12"/>
              <w:szCs w:val="24"/>
              <w:lang w:val="en-US"/>
            </w:rPr>
          </w:pPr>
        </w:p>
        <w:p w14:paraId="2A2F38E0" w14:textId="3F381B27" w:rsidR="00271936" w:rsidRPr="00271936" w:rsidRDefault="00271936" w:rsidP="007A7773">
          <w:pPr>
            <w:pStyle w:val="NoSpacing"/>
            <w:rPr>
              <w:rFonts w:asciiTheme="majorHAnsi" w:eastAsiaTheme="majorEastAsia" w:hAnsiTheme="majorHAnsi" w:cstheme="majorBidi"/>
              <w:color w:val="1F497D" w:themeColor="text2"/>
              <w:sz w:val="36"/>
              <w:szCs w:val="36"/>
              <w:lang w:val="en-US"/>
            </w:rPr>
          </w:pPr>
        </w:p>
        <w:p w14:paraId="70A5B6C6" w14:textId="77777777" w:rsidR="00271936" w:rsidRDefault="00271936" w:rsidP="007A7773">
          <w:pPr>
            <w:pStyle w:val="NoSpacing"/>
            <w:rPr>
              <w:rFonts w:asciiTheme="majorHAnsi" w:eastAsiaTheme="majorEastAsia" w:hAnsiTheme="majorHAnsi" w:cstheme="majorBidi"/>
              <w:color w:val="1F497D" w:themeColor="text2"/>
              <w:sz w:val="36"/>
              <w:szCs w:val="36"/>
              <w:lang w:val="en-US"/>
            </w:rPr>
          </w:pPr>
        </w:p>
        <w:p w14:paraId="2061BC1F" w14:textId="77777777" w:rsidR="003975D1" w:rsidRPr="00271936" w:rsidRDefault="003975D1" w:rsidP="007A7773">
          <w:pPr>
            <w:pStyle w:val="NoSpacing"/>
            <w:rPr>
              <w:rFonts w:asciiTheme="majorHAnsi" w:eastAsiaTheme="majorEastAsia" w:hAnsiTheme="majorHAnsi" w:cstheme="majorBidi"/>
              <w:color w:val="1F497D" w:themeColor="text2"/>
              <w:sz w:val="36"/>
              <w:szCs w:val="36"/>
              <w:lang w:val="en-US"/>
            </w:rPr>
          </w:pPr>
        </w:p>
        <w:p w14:paraId="607AC435" w14:textId="77777777" w:rsidR="00271936" w:rsidRPr="00271936" w:rsidRDefault="00271936" w:rsidP="007A7773">
          <w:pPr>
            <w:pStyle w:val="NoSpacing"/>
            <w:rPr>
              <w:color w:val="1F497D" w:themeColor="text2"/>
              <w:lang w:val="en-US"/>
            </w:rPr>
          </w:pPr>
        </w:p>
        <w:p w14:paraId="60C60203" w14:textId="77777777" w:rsidR="00271936" w:rsidRPr="003975D1" w:rsidRDefault="00271936" w:rsidP="007A7773">
          <w:pPr>
            <w:pStyle w:val="NoSpacing"/>
            <w:rPr>
              <w:color w:val="1F497D" w:themeColor="text2"/>
              <w:sz w:val="24"/>
              <w:lang w:val="en-US"/>
            </w:rPr>
          </w:pPr>
        </w:p>
        <w:p w14:paraId="27482859" w14:textId="77777777" w:rsidR="00271936" w:rsidRPr="00271936" w:rsidRDefault="00271936" w:rsidP="007A7773">
          <w:pPr>
            <w:pStyle w:val="NoSpacing"/>
            <w:rPr>
              <w:color w:val="1F497D" w:themeColor="text2"/>
              <w:lang w:val="en-US"/>
            </w:rPr>
          </w:pPr>
        </w:p>
        <w:p w14:paraId="1640B075" w14:textId="77777777" w:rsidR="00271936" w:rsidRPr="00271936" w:rsidRDefault="00271936" w:rsidP="007A7773">
          <w:pPr>
            <w:jc w:val="left"/>
            <w:rPr>
              <w:lang w:val="en-US"/>
            </w:rPr>
          </w:pPr>
        </w:p>
        <w:p w14:paraId="4ABE2EFA" w14:textId="77777777" w:rsidR="00271936" w:rsidRDefault="00271936" w:rsidP="007A7773">
          <w:pPr>
            <w:jc w:val="left"/>
            <w:rPr>
              <w:sz w:val="24"/>
              <w:szCs w:val="24"/>
              <w:lang w:val="en-US"/>
            </w:rPr>
          </w:pPr>
          <w:r>
            <w:rPr>
              <w:sz w:val="24"/>
              <w:szCs w:val="24"/>
              <w:lang w:val="en-US"/>
            </w:rPr>
            <w:br w:type="page"/>
          </w:r>
        </w:p>
      </w:sdtContent>
    </w:sdt>
    <w:p w14:paraId="7D1D08AE" w14:textId="77777777" w:rsidR="00893525" w:rsidRDefault="00893525" w:rsidP="007A7773">
      <w:pPr>
        <w:jc w:val="left"/>
        <w:sectPr w:rsidR="00893525" w:rsidSect="006D781A">
          <w:footerReference w:type="even" r:id="rId9"/>
          <w:footerReference w:type="default" r:id="rId10"/>
          <w:footerReference w:type="first" r:id="rId11"/>
          <w:pgSz w:w="11906" w:h="16838"/>
          <w:pgMar w:top="1531" w:right="1304" w:bottom="1418" w:left="1588" w:header="709" w:footer="709" w:gutter="737"/>
          <w:cols w:space="708"/>
          <w:titlePg/>
          <w:docGrid w:linePitch="360"/>
        </w:sectPr>
      </w:pPr>
    </w:p>
    <w:p w14:paraId="5DE2EF93" w14:textId="41F2F117" w:rsidR="00271936" w:rsidRDefault="00271936" w:rsidP="007A7773">
      <w:pPr>
        <w:jc w:val="left"/>
      </w:pPr>
    </w:p>
    <w:p w14:paraId="660DB7B0" w14:textId="07F87F0F" w:rsidR="00751F16" w:rsidRDefault="00875BA3" w:rsidP="00393363">
      <w:pPr>
        <w:rPr>
          <w:lang w:val="en-US"/>
        </w:rPr>
      </w:pPr>
      <w:r>
        <w:rPr>
          <w:noProof/>
        </w:rPr>
        <mc:AlternateContent>
          <mc:Choice Requires="wps">
            <w:drawing>
              <wp:anchor distT="0" distB="0" distL="114300" distR="114300" simplePos="0" relativeHeight="251675648" behindDoc="0" locked="0" layoutInCell="1" allowOverlap="1" wp14:anchorId="6BECF1E1" wp14:editId="401A3288">
                <wp:simplePos x="0" y="0"/>
                <wp:positionH relativeFrom="column">
                  <wp:posOffset>-262890</wp:posOffset>
                </wp:positionH>
                <wp:positionV relativeFrom="paragraph">
                  <wp:posOffset>8552180</wp:posOffset>
                </wp:positionV>
                <wp:extent cx="6539230" cy="78676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9230" cy="7867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99B58" id="Rectangle 29" o:spid="_x0000_s1026" style="position:absolute;margin-left:-20.7pt;margin-top:673.4pt;width:514.9pt;height:6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iZnwIAAJ8FAAAOAAAAZHJzL2Uyb0RvYy54bWysVN9P2zAQfp+0/8Hy+0hbaIGIFFUgpkkV&#10;VMDEs+vYTTTH59lu0+6v39lOQmFoD9PyYOV83333w3d3db1vFNkJ62rQBR2fjCgRmkNZ601Bvz/f&#10;fbmgxHmmS6ZAi4IehKPX88+frlqTiwlUoEphCZJol7emoJX3Js8yxyvRMHcCRmhUSrAN8yjaTVZa&#10;1iJ7o7LJaDTLWrClscCFc3h7m5R0HvmlFNw/SOmEJ6qgGJuPp43nOpzZ/IrlG8tMVfMuDPYPUTSs&#10;1uh0oLplnpGtrf+gampuwYH0JxyaDKSsuYg5YDbj0btsnipmRMwFi+PMUCb3/2j5/W5lSV0WdHJJ&#10;iWYNvtEjVo3pjRIE77BArXE54p7MyoYUnVkC/+FQkb3RBMF1mL20TcBigmQfq30Yqi32nnC8nE1P&#10;Lyen+CgcdecXs/PZNHjLWN5bG+v8VwENCT8FtRhXLDLbLZ1P0B4SAwNVl3e1UlEIHSRulCU7hm+/&#10;3ow7cneMUjpgNQSrRBhuYl4plZiUPygRcEo/ConFwuAnMZDYpq9OGOdC+3FSVawUyfd0hF/vvQ8r&#10;JhoJA7NE/wN3R9AjE0nPnaLs8MFUxC4fjEd/CywZDxbRM2g/GDe1BvsRgcKsOs8J3xcplSZUaQ3l&#10;AVvJQpoxZ/hdjc+2ZM6vmMWhwpfGReEf8JAK2oJC90dJBfbXR/cBj72OWkpaHNKCup9bZgUl6pvG&#10;Kbgcn52FqY7C2fR8goI91qyPNXrb3AD2whhXkuHxN+C96n+lheYF98kieEUV0xx9F5R72ws3Pi0P&#10;3EhcLBYRhpNsmF/qJ8MDeahqaMvn/Quzputdj11/D/1As/xdCydssNSw2HqQdezv17p29cYtEBun&#10;21hhzRzLEfW6V+e/AQAA//8DAFBLAwQUAAYACAAAACEAOhitQeEAAAANAQAADwAAAGRycy9kb3du&#10;cmV2LnhtbEyPwU7DMBBE70j8g7VI3Fq7NG1CiFMhBBVwozQ9u7FJIux1iJ02/D3LCY478zQ7U2wm&#10;Z9nJDKHzKGExF8AM1l532EjYvz/NMmAhKtTKejQSvk2ATXl5Uahc+zO+mdMuNoxCMORKQhtjn3Me&#10;6tY4Fea+N0jehx+cinQODdeDOlO4s/xGiDV3qkP60KrePLSm/tyNTsK4Sl8ep8PXdlmJKn2t7Oo5&#10;bnspr6+m+ztg0UzxD4bf+lQdSup09CPqwKyEWbJICCVjmaxpBCG3WUbSkaQkFSnwsuD/V5Q/AAAA&#10;//8DAFBLAQItABQABgAIAAAAIQC2gziS/gAAAOEBAAATAAAAAAAAAAAAAAAAAAAAAABbQ29udGVu&#10;dF9UeXBlc10ueG1sUEsBAi0AFAAGAAgAAAAhADj9If/WAAAAlAEAAAsAAAAAAAAAAAAAAAAALwEA&#10;AF9yZWxzLy5yZWxzUEsBAi0AFAAGAAgAAAAhAPptqJmfAgAAnwUAAA4AAAAAAAAAAAAAAAAALgIA&#10;AGRycy9lMm9Eb2MueG1sUEsBAi0AFAAGAAgAAAAhADoYrUHhAAAADQEAAA8AAAAAAAAAAAAAAAAA&#10;+QQAAGRycy9kb3ducmV2LnhtbFBLBQYAAAAABAAEAPMAAAAHBgAAAAA=&#10;" fillcolor="white [3212]" stroked="f" strokeweight="2pt"/>
            </w:pict>
          </mc:Fallback>
        </mc:AlternateContent>
      </w:r>
      <w:r w:rsidR="005F62F9">
        <w:rPr>
          <w:lang w:val="en-US"/>
        </w:rPr>
        <w:br w:type="page"/>
      </w:r>
    </w:p>
    <w:sdt>
      <w:sdtPr>
        <w:rPr>
          <w:rFonts w:asciiTheme="minorHAnsi" w:eastAsiaTheme="minorEastAsia" w:hAnsiTheme="minorHAnsi" w:cstheme="minorBidi"/>
          <w:b w:val="0"/>
          <w:bCs w:val="0"/>
          <w:color w:val="auto"/>
          <w:w w:val="100"/>
          <w:sz w:val="40"/>
          <w:szCs w:val="22"/>
          <w:lang w:eastAsia="el-GR"/>
        </w:rPr>
        <w:id w:val="32896403"/>
        <w:docPartObj>
          <w:docPartGallery w:val="Table of Contents"/>
          <w:docPartUnique/>
        </w:docPartObj>
      </w:sdtPr>
      <w:sdtEndPr>
        <w:rPr>
          <w:sz w:val="23"/>
        </w:rPr>
      </w:sdtEndPr>
      <w:sdtContent>
        <w:p w14:paraId="374CBA3F" w14:textId="77777777" w:rsidR="00654672" w:rsidRPr="005C0E75" w:rsidRDefault="00033CDA" w:rsidP="00F43E76">
          <w:pPr>
            <w:pStyle w:val="TOCHeading"/>
            <w:spacing w:after="120" w:line="280" w:lineRule="atLeast"/>
            <w:rPr>
              <w:rFonts w:ascii="Calibri" w:hAnsi="Calibri" w:cs="Calibri"/>
              <w:bCs w:val="0"/>
              <w:w w:val="100"/>
              <w:sz w:val="40"/>
              <w:lang w:val="en-US"/>
            </w:rPr>
          </w:pPr>
          <w:r w:rsidRPr="005C0E75">
            <w:rPr>
              <w:rFonts w:ascii="Calibri" w:hAnsi="Calibri" w:cs="Calibri"/>
              <w:bCs w:val="0"/>
              <w:w w:val="100"/>
              <w:sz w:val="40"/>
              <w:lang w:val="en-US"/>
            </w:rPr>
            <w:t>C</w:t>
          </w:r>
          <w:r w:rsidR="00E3589A" w:rsidRPr="005C0E75">
            <w:rPr>
              <w:rFonts w:ascii="Calibri" w:hAnsi="Calibri" w:cs="Calibri"/>
              <w:bCs w:val="0"/>
              <w:w w:val="100"/>
              <w:sz w:val="40"/>
              <w:lang w:val="en-US"/>
            </w:rPr>
            <w:t>ontents</w:t>
          </w:r>
        </w:p>
        <w:p w14:paraId="7EA2D851" w14:textId="4C552241" w:rsidR="00836903" w:rsidRDefault="00A54B46" w:rsidP="00836903">
          <w:pPr>
            <w:pStyle w:val="TOC1"/>
            <w:spacing w:after="80"/>
            <w:rPr>
              <w:b w:val="0"/>
              <w:sz w:val="22"/>
              <w:lang w:val="el-GR"/>
            </w:rPr>
          </w:pPr>
          <w:r w:rsidRPr="00026C1E">
            <w:rPr>
              <w:rFonts w:cstheme="minorHAnsi"/>
              <w:sz w:val="28"/>
              <w:szCs w:val="24"/>
            </w:rPr>
            <w:fldChar w:fldCharType="begin"/>
          </w:r>
          <w:r w:rsidR="00654672" w:rsidRPr="00026C1E">
            <w:rPr>
              <w:rFonts w:cstheme="minorHAnsi"/>
              <w:szCs w:val="24"/>
            </w:rPr>
            <w:instrText xml:space="preserve"> TOC \o "1-3" \h \z \u </w:instrText>
          </w:r>
          <w:r w:rsidRPr="00026C1E">
            <w:rPr>
              <w:rFonts w:cstheme="minorHAnsi"/>
              <w:sz w:val="28"/>
              <w:szCs w:val="24"/>
            </w:rPr>
            <w:fldChar w:fldCharType="separate"/>
          </w:r>
          <w:hyperlink w:anchor="_Toc178070087" w:history="1">
            <w:r w:rsidR="00836903" w:rsidRPr="000F7AA3">
              <w:rPr>
                <w:rStyle w:val="Hyperlink"/>
              </w:rPr>
              <w:t>1.</w:t>
            </w:r>
            <w:r w:rsidR="00836903">
              <w:rPr>
                <w:b w:val="0"/>
                <w:sz w:val="22"/>
                <w:lang w:val="el-GR"/>
              </w:rPr>
              <w:tab/>
            </w:r>
            <w:r w:rsidR="00836903" w:rsidRPr="000F7AA3">
              <w:rPr>
                <w:rStyle w:val="Hyperlink"/>
              </w:rPr>
              <w:t>Introduction</w:t>
            </w:r>
            <w:r w:rsidR="00836903">
              <w:rPr>
                <w:webHidden/>
              </w:rPr>
              <w:tab/>
            </w:r>
            <w:r w:rsidR="00836903">
              <w:rPr>
                <w:webHidden/>
              </w:rPr>
              <w:fldChar w:fldCharType="begin"/>
            </w:r>
            <w:r w:rsidR="00836903">
              <w:rPr>
                <w:webHidden/>
              </w:rPr>
              <w:instrText xml:space="preserve"> PAGEREF _Toc178070087 \h </w:instrText>
            </w:r>
            <w:r w:rsidR="00836903">
              <w:rPr>
                <w:webHidden/>
              </w:rPr>
            </w:r>
            <w:r w:rsidR="00836903">
              <w:rPr>
                <w:webHidden/>
              </w:rPr>
              <w:fldChar w:fldCharType="separate"/>
            </w:r>
            <w:r w:rsidR="00000F2A">
              <w:rPr>
                <w:webHidden/>
              </w:rPr>
              <w:t>5</w:t>
            </w:r>
            <w:r w:rsidR="00836903">
              <w:rPr>
                <w:webHidden/>
              </w:rPr>
              <w:fldChar w:fldCharType="end"/>
            </w:r>
          </w:hyperlink>
        </w:p>
        <w:p w14:paraId="485194CF" w14:textId="74F0B253" w:rsidR="00836903" w:rsidRDefault="00925230" w:rsidP="00836903">
          <w:pPr>
            <w:pStyle w:val="TOC1"/>
            <w:spacing w:after="80"/>
            <w:rPr>
              <w:b w:val="0"/>
              <w:sz w:val="22"/>
              <w:lang w:val="el-GR"/>
            </w:rPr>
          </w:pPr>
          <w:hyperlink w:anchor="_Toc178070088" w:history="1">
            <w:r w:rsidR="00836903" w:rsidRPr="000F7AA3">
              <w:rPr>
                <w:rStyle w:val="Hyperlink"/>
              </w:rPr>
              <w:t>2.</w:t>
            </w:r>
            <w:r w:rsidR="00836903">
              <w:rPr>
                <w:b w:val="0"/>
                <w:sz w:val="22"/>
                <w:lang w:val="el-GR"/>
              </w:rPr>
              <w:tab/>
            </w:r>
            <w:r w:rsidR="00836903" w:rsidRPr="000F7AA3">
              <w:rPr>
                <w:rStyle w:val="Hyperlink"/>
              </w:rPr>
              <w:t>Overview of the fiscal commitment and summary of main variables</w:t>
            </w:r>
            <w:r w:rsidR="00836903">
              <w:rPr>
                <w:webHidden/>
              </w:rPr>
              <w:tab/>
            </w:r>
            <w:r w:rsidR="00836903">
              <w:rPr>
                <w:webHidden/>
              </w:rPr>
              <w:fldChar w:fldCharType="begin"/>
            </w:r>
            <w:r w:rsidR="00836903">
              <w:rPr>
                <w:webHidden/>
              </w:rPr>
              <w:instrText xml:space="preserve"> PAGEREF _Toc178070088 \h </w:instrText>
            </w:r>
            <w:r w:rsidR="00836903">
              <w:rPr>
                <w:webHidden/>
              </w:rPr>
            </w:r>
            <w:r w:rsidR="00836903">
              <w:rPr>
                <w:webHidden/>
              </w:rPr>
              <w:fldChar w:fldCharType="separate"/>
            </w:r>
            <w:r w:rsidR="00000F2A">
              <w:rPr>
                <w:webHidden/>
              </w:rPr>
              <w:t>6</w:t>
            </w:r>
            <w:r w:rsidR="00836903">
              <w:rPr>
                <w:webHidden/>
              </w:rPr>
              <w:fldChar w:fldCharType="end"/>
            </w:r>
          </w:hyperlink>
        </w:p>
        <w:p w14:paraId="7CC6ACED" w14:textId="0C246965" w:rsidR="00836903" w:rsidRDefault="00925230" w:rsidP="00836903">
          <w:pPr>
            <w:pStyle w:val="TOC1"/>
            <w:spacing w:after="80"/>
            <w:rPr>
              <w:b w:val="0"/>
              <w:sz w:val="22"/>
              <w:lang w:val="el-GR"/>
            </w:rPr>
          </w:pPr>
          <w:hyperlink w:anchor="_Toc178070089" w:history="1">
            <w:r w:rsidR="00836903" w:rsidRPr="000F7AA3">
              <w:rPr>
                <w:rStyle w:val="Hyperlink"/>
              </w:rPr>
              <w:t>3.</w:t>
            </w:r>
            <w:r w:rsidR="00836903">
              <w:rPr>
                <w:b w:val="0"/>
                <w:sz w:val="22"/>
                <w:lang w:val="el-GR"/>
              </w:rPr>
              <w:tab/>
            </w:r>
            <w:r w:rsidR="00836903" w:rsidRPr="000F7AA3">
              <w:rPr>
                <w:rStyle w:val="Hyperlink"/>
              </w:rPr>
              <w:t>Macroeconomic context and prospects  in the framework of the MTP 2025-2028</w:t>
            </w:r>
            <w:r w:rsidR="00836903">
              <w:rPr>
                <w:webHidden/>
              </w:rPr>
              <w:tab/>
            </w:r>
            <w:r w:rsidR="00836903">
              <w:rPr>
                <w:webHidden/>
              </w:rPr>
              <w:fldChar w:fldCharType="begin"/>
            </w:r>
            <w:r w:rsidR="00836903">
              <w:rPr>
                <w:webHidden/>
              </w:rPr>
              <w:instrText xml:space="preserve"> PAGEREF _Toc178070089 \h </w:instrText>
            </w:r>
            <w:r w:rsidR="00836903">
              <w:rPr>
                <w:webHidden/>
              </w:rPr>
            </w:r>
            <w:r w:rsidR="00836903">
              <w:rPr>
                <w:webHidden/>
              </w:rPr>
              <w:fldChar w:fldCharType="separate"/>
            </w:r>
            <w:r w:rsidR="00000F2A">
              <w:rPr>
                <w:webHidden/>
              </w:rPr>
              <w:t>8</w:t>
            </w:r>
            <w:r w:rsidR="00836903">
              <w:rPr>
                <w:webHidden/>
              </w:rPr>
              <w:fldChar w:fldCharType="end"/>
            </w:r>
          </w:hyperlink>
        </w:p>
        <w:p w14:paraId="6CE4F73B" w14:textId="58E3FD36" w:rsidR="00836903" w:rsidRDefault="00925230" w:rsidP="00836903">
          <w:pPr>
            <w:pStyle w:val="TOC2"/>
            <w:spacing w:after="80"/>
            <w:rPr>
              <w:noProof/>
              <w:sz w:val="22"/>
            </w:rPr>
          </w:pPr>
          <w:hyperlink w:anchor="_Toc178070090" w:history="1">
            <w:r w:rsidR="00836903" w:rsidRPr="000F7AA3">
              <w:rPr>
                <w:rStyle w:val="Hyperlink"/>
                <w:noProof/>
                <w:lang w:val="en-US"/>
              </w:rPr>
              <w:t>3.1.</w:t>
            </w:r>
            <w:r w:rsidR="00836903">
              <w:rPr>
                <w:noProof/>
                <w:sz w:val="22"/>
              </w:rPr>
              <w:tab/>
            </w:r>
            <w:r w:rsidR="00836903" w:rsidRPr="000F7AA3">
              <w:rPr>
                <w:rStyle w:val="Hyperlink"/>
                <w:noProof/>
                <w:lang w:val="en-US"/>
              </w:rPr>
              <w:t>Macroeconomic estimates for 2024 and projections for 2025</w:t>
            </w:r>
            <w:r w:rsidR="00836903">
              <w:rPr>
                <w:noProof/>
                <w:webHidden/>
              </w:rPr>
              <w:tab/>
            </w:r>
            <w:r w:rsidR="00836903">
              <w:rPr>
                <w:noProof/>
                <w:webHidden/>
              </w:rPr>
              <w:fldChar w:fldCharType="begin"/>
            </w:r>
            <w:r w:rsidR="00836903">
              <w:rPr>
                <w:noProof/>
                <w:webHidden/>
              </w:rPr>
              <w:instrText xml:space="preserve"> PAGEREF _Toc178070090 \h </w:instrText>
            </w:r>
            <w:r w:rsidR="00836903">
              <w:rPr>
                <w:noProof/>
                <w:webHidden/>
              </w:rPr>
            </w:r>
            <w:r w:rsidR="00836903">
              <w:rPr>
                <w:noProof/>
                <w:webHidden/>
              </w:rPr>
              <w:fldChar w:fldCharType="separate"/>
            </w:r>
            <w:r w:rsidR="00000F2A">
              <w:rPr>
                <w:noProof/>
                <w:webHidden/>
              </w:rPr>
              <w:t>8</w:t>
            </w:r>
            <w:r w:rsidR="00836903">
              <w:rPr>
                <w:noProof/>
                <w:webHidden/>
              </w:rPr>
              <w:fldChar w:fldCharType="end"/>
            </w:r>
          </w:hyperlink>
        </w:p>
        <w:p w14:paraId="26ED8B72" w14:textId="700DAC5C" w:rsidR="00836903" w:rsidRDefault="00925230" w:rsidP="00836903">
          <w:pPr>
            <w:pStyle w:val="TOC2"/>
            <w:spacing w:after="80"/>
            <w:rPr>
              <w:noProof/>
              <w:sz w:val="22"/>
            </w:rPr>
          </w:pPr>
          <w:hyperlink w:anchor="_Toc178070091" w:history="1">
            <w:r w:rsidR="00836903" w:rsidRPr="000F7AA3">
              <w:rPr>
                <w:rStyle w:val="Hyperlink"/>
                <w:noProof/>
                <w:lang w:val="en-US"/>
              </w:rPr>
              <w:t>3.2.</w:t>
            </w:r>
            <w:r w:rsidR="00836903">
              <w:rPr>
                <w:noProof/>
                <w:sz w:val="22"/>
              </w:rPr>
              <w:tab/>
            </w:r>
            <w:r w:rsidR="00836903" w:rsidRPr="000F7AA3">
              <w:rPr>
                <w:rStyle w:val="Hyperlink"/>
                <w:noProof/>
                <w:lang w:val="en-US"/>
              </w:rPr>
              <w:t>Macroeconomic projections for 2026-2028</w:t>
            </w:r>
            <w:r w:rsidR="00836903">
              <w:rPr>
                <w:noProof/>
                <w:webHidden/>
              </w:rPr>
              <w:tab/>
            </w:r>
            <w:r w:rsidR="00836903">
              <w:rPr>
                <w:noProof/>
                <w:webHidden/>
              </w:rPr>
              <w:fldChar w:fldCharType="begin"/>
            </w:r>
            <w:r w:rsidR="00836903">
              <w:rPr>
                <w:noProof/>
                <w:webHidden/>
              </w:rPr>
              <w:instrText xml:space="preserve"> PAGEREF _Toc178070091 \h </w:instrText>
            </w:r>
            <w:r w:rsidR="00836903">
              <w:rPr>
                <w:noProof/>
                <w:webHidden/>
              </w:rPr>
            </w:r>
            <w:r w:rsidR="00836903">
              <w:rPr>
                <w:noProof/>
                <w:webHidden/>
              </w:rPr>
              <w:fldChar w:fldCharType="separate"/>
            </w:r>
            <w:r w:rsidR="00000F2A">
              <w:rPr>
                <w:noProof/>
                <w:webHidden/>
              </w:rPr>
              <w:t>11</w:t>
            </w:r>
            <w:r w:rsidR="00836903">
              <w:rPr>
                <w:noProof/>
                <w:webHidden/>
              </w:rPr>
              <w:fldChar w:fldCharType="end"/>
            </w:r>
          </w:hyperlink>
        </w:p>
        <w:p w14:paraId="020B5562" w14:textId="51E9F9D7" w:rsidR="00836903" w:rsidRDefault="00925230" w:rsidP="00836903">
          <w:pPr>
            <w:pStyle w:val="TOC2"/>
            <w:spacing w:after="80"/>
            <w:rPr>
              <w:noProof/>
              <w:sz w:val="22"/>
            </w:rPr>
          </w:pPr>
          <w:hyperlink w:anchor="_Toc178070092" w:history="1">
            <w:r w:rsidR="00836903" w:rsidRPr="000F7AA3">
              <w:rPr>
                <w:rStyle w:val="Hyperlink"/>
                <w:noProof/>
                <w:lang w:val="en-US"/>
              </w:rPr>
              <w:t>3.3.</w:t>
            </w:r>
            <w:r w:rsidR="00836903">
              <w:rPr>
                <w:noProof/>
                <w:sz w:val="22"/>
              </w:rPr>
              <w:tab/>
            </w:r>
            <w:r w:rsidR="00836903" w:rsidRPr="000F7AA3">
              <w:rPr>
                <w:rStyle w:val="Hyperlink"/>
                <w:noProof/>
                <w:lang w:val="en-US"/>
              </w:rPr>
              <w:t>Downside and upside risks to the outlook</w:t>
            </w:r>
            <w:r w:rsidR="00836903">
              <w:rPr>
                <w:noProof/>
                <w:webHidden/>
              </w:rPr>
              <w:tab/>
            </w:r>
            <w:r w:rsidR="00836903">
              <w:rPr>
                <w:noProof/>
                <w:webHidden/>
              </w:rPr>
              <w:fldChar w:fldCharType="begin"/>
            </w:r>
            <w:r w:rsidR="00836903">
              <w:rPr>
                <w:noProof/>
                <w:webHidden/>
              </w:rPr>
              <w:instrText xml:space="preserve"> PAGEREF _Toc178070092 \h </w:instrText>
            </w:r>
            <w:r w:rsidR="00836903">
              <w:rPr>
                <w:noProof/>
                <w:webHidden/>
              </w:rPr>
            </w:r>
            <w:r w:rsidR="00836903">
              <w:rPr>
                <w:noProof/>
                <w:webHidden/>
              </w:rPr>
              <w:fldChar w:fldCharType="separate"/>
            </w:r>
            <w:r w:rsidR="00000F2A">
              <w:rPr>
                <w:noProof/>
                <w:webHidden/>
              </w:rPr>
              <w:t>12</w:t>
            </w:r>
            <w:r w:rsidR="00836903">
              <w:rPr>
                <w:noProof/>
                <w:webHidden/>
              </w:rPr>
              <w:fldChar w:fldCharType="end"/>
            </w:r>
          </w:hyperlink>
        </w:p>
        <w:p w14:paraId="07D7303A" w14:textId="00F5D433" w:rsidR="00836903" w:rsidRDefault="00925230" w:rsidP="00836903">
          <w:pPr>
            <w:pStyle w:val="TOC1"/>
            <w:spacing w:after="80"/>
            <w:rPr>
              <w:b w:val="0"/>
              <w:sz w:val="22"/>
              <w:lang w:val="el-GR"/>
            </w:rPr>
          </w:pPr>
          <w:hyperlink w:anchor="_Toc178070093" w:history="1">
            <w:r w:rsidR="00836903" w:rsidRPr="000F7AA3">
              <w:rPr>
                <w:rStyle w:val="Hyperlink"/>
              </w:rPr>
              <w:t>4.</w:t>
            </w:r>
            <w:r w:rsidR="00836903">
              <w:rPr>
                <w:b w:val="0"/>
                <w:sz w:val="22"/>
                <w:lang w:val="el-GR"/>
              </w:rPr>
              <w:tab/>
            </w:r>
            <w:r w:rsidR="00836903" w:rsidRPr="000F7AA3">
              <w:rPr>
                <w:rStyle w:val="Hyperlink"/>
              </w:rPr>
              <w:t>Budgetary projections</w:t>
            </w:r>
            <w:r w:rsidR="00836903">
              <w:rPr>
                <w:webHidden/>
              </w:rPr>
              <w:tab/>
            </w:r>
            <w:r w:rsidR="00836903">
              <w:rPr>
                <w:webHidden/>
              </w:rPr>
              <w:fldChar w:fldCharType="begin"/>
            </w:r>
            <w:r w:rsidR="00836903">
              <w:rPr>
                <w:webHidden/>
              </w:rPr>
              <w:instrText xml:space="preserve"> PAGEREF _Toc178070093 \h </w:instrText>
            </w:r>
            <w:r w:rsidR="00836903">
              <w:rPr>
                <w:webHidden/>
              </w:rPr>
            </w:r>
            <w:r w:rsidR="00836903">
              <w:rPr>
                <w:webHidden/>
              </w:rPr>
              <w:fldChar w:fldCharType="separate"/>
            </w:r>
            <w:r w:rsidR="00000F2A">
              <w:rPr>
                <w:webHidden/>
              </w:rPr>
              <w:t>13</w:t>
            </w:r>
            <w:r w:rsidR="00836903">
              <w:rPr>
                <w:webHidden/>
              </w:rPr>
              <w:fldChar w:fldCharType="end"/>
            </w:r>
          </w:hyperlink>
        </w:p>
        <w:p w14:paraId="6561C736" w14:textId="62363675" w:rsidR="00836903" w:rsidRDefault="00925230" w:rsidP="00836903">
          <w:pPr>
            <w:pStyle w:val="TOC1"/>
            <w:spacing w:after="80"/>
            <w:rPr>
              <w:b w:val="0"/>
              <w:sz w:val="22"/>
              <w:lang w:val="el-GR"/>
            </w:rPr>
          </w:pPr>
          <w:hyperlink w:anchor="_Toc178070094" w:history="1">
            <w:r w:rsidR="00836903" w:rsidRPr="000F7AA3">
              <w:rPr>
                <w:rStyle w:val="Hyperlink"/>
              </w:rPr>
              <w:t>5.</w:t>
            </w:r>
            <w:r w:rsidR="00836903">
              <w:rPr>
                <w:b w:val="0"/>
                <w:sz w:val="22"/>
                <w:lang w:val="el-GR"/>
              </w:rPr>
              <w:tab/>
            </w:r>
            <w:r w:rsidR="00836903" w:rsidRPr="000F7AA3">
              <w:rPr>
                <w:rStyle w:val="Hyperlink"/>
              </w:rPr>
              <w:t>Debt developments</w:t>
            </w:r>
            <w:r w:rsidR="00836903">
              <w:rPr>
                <w:webHidden/>
              </w:rPr>
              <w:tab/>
            </w:r>
            <w:r w:rsidR="00836903">
              <w:rPr>
                <w:webHidden/>
              </w:rPr>
              <w:fldChar w:fldCharType="begin"/>
            </w:r>
            <w:r w:rsidR="00836903">
              <w:rPr>
                <w:webHidden/>
              </w:rPr>
              <w:instrText xml:space="preserve"> PAGEREF _Toc178070094 \h </w:instrText>
            </w:r>
            <w:r w:rsidR="00836903">
              <w:rPr>
                <w:webHidden/>
              </w:rPr>
            </w:r>
            <w:r w:rsidR="00836903">
              <w:rPr>
                <w:webHidden/>
              </w:rPr>
              <w:fldChar w:fldCharType="separate"/>
            </w:r>
            <w:r w:rsidR="00000F2A">
              <w:rPr>
                <w:webHidden/>
              </w:rPr>
              <w:t>22</w:t>
            </w:r>
            <w:r w:rsidR="00836903">
              <w:rPr>
                <w:webHidden/>
              </w:rPr>
              <w:fldChar w:fldCharType="end"/>
            </w:r>
          </w:hyperlink>
        </w:p>
        <w:p w14:paraId="73243E8B" w14:textId="642F40DD" w:rsidR="00836903" w:rsidRDefault="00925230" w:rsidP="00836903">
          <w:pPr>
            <w:pStyle w:val="TOC1"/>
            <w:spacing w:after="80"/>
            <w:rPr>
              <w:b w:val="0"/>
              <w:sz w:val="22"/>
              <w:lang w:val="el-GR"/>
            </w:rPr>
          </w:pPr>
          <w:hyperlink w:anchor="_Toc178070095" w:history="1">
            <w:r w:rsidR="00836903" w:rsidRPr="000F7AA3">
              <w:rPr>
                <w:rStyle w:val="Hyperlink"/>
              </w:rPr>
              <w:t>6.</w:t>
            </w:r>
            <w:r w:rsidR="00836903">
              <w:rPr>
                <w:b w:val="0"/>
                <w:sz w:val="22"/>
                <w:lang w:val="el-GR"/>
              </w:rPr>
              <w:tab/>
            </w:r>
            <w:r w:rsidR="00836903" w:rsidRPr="000F7AA3">
              <w:rPr>
                <w:rStyle w:val="Hyperlink"/>
              </w:rPr>
              <w:t>Contingent liabilities</w:t>
            </w:r>
            <w:r w:rsidR="00836903">
              <w:rPr>
                <w:webHidden/>
              </w:rPr>
              <w:tab/>
            </w:r>
            <w:r w:rsidR="00836903">
              <w:rPr>
                <w:webHidden/>
              </w:rPr>
              <w:fldChar w:fldCharType="begin"/>
            </w:r>
            <w:r w:rsidR="00836903">
              <w:rPr>
                <w:webHidden/>
              </w:rPr>
              <w:instrText xml:space="preserve"> PAGEREF _Toc178070095 \h </w:instrText>
            </w:r>
            <w:r w:rsidR="00836903">
              <w:rPr>
                <w:webHidden/>
              </w:rPr>
            </w:r>
            <w:r w:rsidR="00836903">
              <w:rPr>
                <w:webHidden/>
              </w:rPr>
              <w:fldChar w:fldCharType="separate"/>
            </w:r>
            <w:r w:rsidR="00000F2A">
              <w:rPr>
                <w:webHidden/>
              </w:rPr>
              <w:t>30</w:t>
            </w:r>
            <w:r w:rsidR="00836903">
              <w:rPr>
                <w:webHidden/>
              </w:rPr>
              <w:fldChar w:fldCharType="end"/>
            </w:r>
          </w:hyperlink>
        </w:p>
        <w:p w14:paraId="5080468B" w14:textId="1AE7DE8A" w:rsidR="00836903" w:rsidRDefault="00925230" w:rsidP="00836903">
          <w:pPr>
            <w:pStyle w:val="TOC1"/>
            <w:spacing w:after="80"/>
            <w:rPr>
              <w:b w:val="0"/>
              <w:sz w:val="22"/>
              <w:lang w:val="el-GR"/>
            </w:rPr>
          </w:pPr>
          <w:hyperlink w:anchor="_Toc178070096" w:history="1">
            <w:r w:rsidR="00836903" w:rsidRPr="000F7AA3">
              <w:rPr>
                <w:rStyle w:val="Hyperlink"/>
              </w:rPr>
              <w:t>7.</w:t>
            </w:r>
            <w:r w:rsidR="00836903">
              <w:rPr>
                <w:b w:val="0"/>
                <w:sz w:val="22"/>
                <w:lang w:val="el-GR"/>
              </w:rPr>
              <w:tab/>
            </w:r>
            <w:r w:rsidR="00836903" w:rsidRPr="000F7AA3">
              <w:rPr>
                <w:rStyle w:val="Hyperlink"/>
              </w:rPr>
              <w:t>Differences to the Reference Trajectory</w:t>
            </w:r>
            <w:r w:rsidR="00836903">
              <w:rPr>
                <w:webHidden/>
              </w:rPr>
              <w:tab/>
            </w:r>
            <w:r w:rsidR="00836903">
              <w:rPr>
                <w:webHidden/>
              </w:rPr>
              <w:fldChar w:fldCharType="begin"/>
            </w:r>
            <w:r w:rsidR="00836903">
              <w:rPr>
                <w:webHidden/>
              </w:rPr>
              <w:instrText xml:space="preserve"> PAGEREF _Toc178070096 \h </w:instrText>
            </w:r>
            <w:r w:rsidR="00836903">
              <w:rPr>
                <w:webHidden/>
              </w:rPr>
            </w:r>
            <w:r w:rsidR="00836903">
              <w:rPr>
                <w:webHidden/>
              </w:rPr>
              <w:fldChar w:fldCharType="separate"/>
            </w:r>
            <w:r w:rsidR="00000F2A">
              <w:rPr>
                <w:webHidden/>
              </w:rPr>
              <w:t>31</w:t>
            </w:r>
            <w:r w:rsidR="00836903">
              <w:rPr>
                <w:webHidden/>
              </w:rPr>
              <w:fldChar w:fldCharType="end"/>
            </w:r>
          </w:hyperlink>
        </w:p>
        <w:p w14:paraId="641F19A3" w14:textId="5C1677E9" w:rsidR="00836903" w:rsidRDefault="00925230" w:rsidP="00836903">
          <w:pPr>
            <w:pStyle w:val="TOC2"/>
            <w:spacing w:after="80"/>
            <w:rPr>
              <w:noProof/>
              <w:sz w:val="22"/>
            </w:rPr>
          </w:pPr>
          <w:hyperlink w:anchor="_Toc178070097" w:history="1">
            <w:r w:rsidR="00836903" w:rsidRPr="000F7AA3">
              <w:rPr>
                <w:rStyle w:val="Hyperlink"/>
                <w:noProof/>
                <w:lang w:val="en-US"/>
              </w:rPr>
              <w:t>7.1.</w:t>
            </w:r>
            <w:r w:rsidR="00836903">
              <w:rPr>
                <w:noProof/>
                <w:sz w:val="22"/>
              </w:rPr>
              <w:tab/>
            </w:r>
            <w:r w:rsidR="00836903" w:rsidRPr="000F7AA3">
              <w:rPr>
                <w:rStyle w:val="Hyperlink"/>
                <w:noProof/>
                <w:lang w:val="en-US"/>
              </w:rPr>
              <w:t>The Reference Trajectory and main assumptions</w:t>
            </w:r>
            <w:r w:rsidR="00836903">
              <w:rPr>
                <w:noProof/>
                <w:webHidden/>
              </w:rPr>
              <w:tab/>
            </w:r>
            <w:r w:rsidR="00836903">
              <w:rPr>
                <w:noProof/>
                <w:webHidden/>
              </w:rPr>
              <w:fldChar w:fldCharType="begin"/>
            </w:r>
            <w:r w:rsidR="00836903">
              <w:rPr>
                <w:noProof/>
                <w:webHidden/>
              </w:rPr>
              <w:instrText xml:space="preserve"> PAGEREF _Toc178070097 \h </w:instrText>
            </w:r>
            <w:r w:rsidR="00836903">
              <w:rPr>
                <w:noProof/>
                <w:webHidden/>
              </w:rPr>
            </w:r>
            <w:r w:rsidR="00836903">
              <w:rPr>
                <w:noProof/>
                <w:webHidden/>
              </w:rPr>
              <w:fldChar w:fldCharType="separate"/>
            </w:r>
            <w:r w:rsidR="00000F2A">
              <w:rPr>
                <w:noProof/>
                <w:webHidden/>
              </w:rPr>
              <w:t>31</w:t>
            </w:r>
            <w:r w:rsidR="00836903">
              <w:rPr>
                <w:noProof/>
                <w:webHidden/>
              </w:rPr>
              <w:fldChar w:fldCharType="end"/>
            </w:r>
          </w:hyperlink>
        </w:p>
        <w:p w14:paraId="18276593" w14:textId="41CD6A2A" w:rsidR="00836903" w:rsidRDefault="00925230" w:rsidP="00836903">
          <w:pPr>
            <w:pStyle w:val="TOC2"/>
            <w:spacing w:after="80"/>
            <w:rPr>
              <w:noProof/>
              <w:sz w:val="22"/>
            </w:rPr>
          </w:pPr>
          <w:hyperlink w:anchor="_Toc178070098" w:history="1">
            <w:r w:rsidR="00836903" w:rsidRPr="000F7AA3">
              <w:rPr>
                <w:rStyle w:val="Hyperlink"/>
                <w:noProof/>
                <w:lang w:val="en-US"/>
              </w:rPr>
              <w:t>7.2.</w:t>
            </w:r>
            <w:r w:rsidR="00836903">
              <w:rPr>
                <w:noProof/>
                <w:sz w:val="22"/>
              </w:rPr>
              <w:tab/>
            </w:r>
            <w:r w:rsidR="00836903" w:rsidRPr="000F7AA3">
              <w:rPr>
                <w:rStyle w:val="Hyperlink"/>
                <w:noProof/>
                <w:lang w:val="en-US"/>
              </w:rPr>
              <w:t>Updated fiscal data for 2024  that affect the average net expenditure growth</w:t>
            </w:r>
            <w:r w:rsidR="00836903">
              <w:rPr>
                <w:noProof/>
                <w:webHidden/>
              </w:rPr>
              <w:tab/>
            </w:r>
            <w:r w:rsidR="00836903">
              <w:rPr>
                <w:noProof/>
                <w:webHidden/>
              </w:rPr>
              <w:fldChar w:fldCharType="begin"/>
            </w:r>
            <w:r w:rsidR="00836903">
              <w:rPr>
                <w:noProof/>
                <w:webHidden/>
              </w:rPr>
              <w:instrText xml:space="preserve"> PAGEREF _Toc178070098 \h </w:instrText>
            </w:r>
            <w:r w:rsidR="00836903">
              <w:rPr>
                <w:noProof/>
                <w:webHidden/>
              </w:rPr>
            </w:r>
            <w:r w:rsidR="00836903">
              <w:rPr>
                <w:noProof/>
                <w:webHidden/>
              </w:rPr>
              <w:fldChar w:fldCharType="separate"/>
            </w:r>
            <w:r w:rsidR="00000F2A">
              <w:rPr>
                <w:noProof/>
                <w:webHidden/>
              </w:rPr>
              <w:t>32</w:t>
            </w:r>
            <w:r w:rsidR="00836903">
              <w:rPr>
                <w:noProof/>
                <w:webHidden/>
              </w:rPr>
              <w:fldChar w:fldCharType="end"/>
            </w:r>
          </w:hyperlink>
        </w:p>
        <w:p w14:paraId="3A706656" w14:textId="2EC58A80" w:rsidR="00836903" w:rsidRDefault="00925230" w:rsidP="00836903">
          <w:pPr>
            <w:pStyle w:val="TOC2"/>
            <w:spacing w:after="80"/>
            <w:rPr>
              <w:noProof/>
              <w:sz w:val="22"/>
            </w:rPr>
          </w:pPr>
          <w:hyperlink w:anchor="_Toc178070099" w:history="1">
            <w:r w:rsidR="00836903" w:rsidRPr="000F7AA3">
              <w:rPr>
                <w:rStyle w:val="Hyperlink"/>
                <w:noProof/>
                <w:lang w:val="en-US"/>
              </w:rPr>
              <w:t>7.3.</w:t>
            </w:r>
            <w:r w:rsidR="00836903">
              <w:rPr>
                <w:noProof/>
                <w:sz w:val="22"/>
              </w:rPr>
              <w:tab/>
            </w:r>
            <w:r w:rsidR="00836903" w:rsidRPr="000F7AA3">
              <w:rPr>
                <w:rStyle w:val="Hyperlink"/>
                <w:noProof/>
                <w:lang w:val="en-US"/>
              </w:rPr>
              <w:t xml:space="preserve">Differences to the estimated potential GDP and  revenue elasticity </w:t>
            </w:r>
            <w:r w:rsidR="00005763">
              <w:rPr>
                <w:rStyle w:val="Hyperlink"/>
                <w:noProof/>
                <w:lang w:val="en-US"/>
              </w:rPr>
              <w:br/>
            </w:r>
            <w:r w:rsidR="00836903" w:rsidRPr="000F7AA3">
              <w:rPr>
                <w:rStyle w:val="Hyperlink"/>
                <w:noProof/>
                <w:lang w:val="en-US"/>
              </w:rPr>
              <w:t>that do not affect the average net expenditure growth</w:t>
            </w:r>
            <w:r w:rsidR="00836903">
              <w:rPr>
                <w:noProof/>
                <w:webHidden/>
              </w:rPr>
              <w:tab/>
            </w:r>
            <w:r w:rsidR="00836903">
              <w:rPr>
                <w:noProof/>
                <w:webHidden/>
              </w:rPr>
              <w:fldChar w:fldCharType="begin"/>
            </w:r>
            <w:r w:rsidR="00836903">
              <w:rPr>
                <w:noProof/>
                <w:webHidden/>
              </w:rPr>
              <w:instrText xml:space="preserve"> PAGEREF _Toc178070099 \h </w:instrText>
            </w:r>
            <w:r w:rsidR="00836903">
              <w:rPr>
                <w:noProof/>
                <w:webHidden/>
              </w:rPr>
            </w:r>
            <w:r w:rsidR="00836903">
              <w:rPr>
                <w:noProof/>
                <w:webHidden/>
              </w:rPr>
              <w:fldChar w:fldCharType="separate"/>
            </w:r>
            <w:r w:rsidR="00000F2A">
              <w:rPr>
                <w:noProof/>
                <w:webHidden/>
              </w:rPr>
              <w:t>33</w:t>
            </w:r>
            <w:r w:rsidR="00836903">
              <w:rPr>
                <w:noProof/>
                <w:webHidden/>
              </w:rPr>
              <w:fldChar w:fldCharType="end"/>
            </w:r>
          </w:hyperlink>
        </w:p>
        <w:p w14:paraId="0512B1FC" w14:textId="38815B7A" w:rsidR="00836903" w:rsidRDefault="00925230" w:rsidP="00836903">
          <w:pPr>
            <w:pStyle w:val="TOC1"/>
            <w:spacing w:after="80"/>
            <w:rPr>
              <w:b w:val="0"/>
              <w:sz w:val="22"/>
              <w:lang w:val="el-GR"/>
            </w:rPr>
          </w:pPr>
          <w:hyperlink w:anchor="_Toc178070100" w:history="1">
            <w:r w:rsidR="00836903" w:rsidRPr="000F7AA3">
              <w:rPr>
                <w:rStyle w:val="Hyperlink"/>
              </w:rPr>
              <w:t>Annex I: Reforms &amp; investments</w:t>
            </w:r>
            <w:r w:rsidR="00836903">
              <w:rPr>
                <w:webHidden/>
              </w:rPr>
              <w:tab/>
            </w:r>
            <w:r w:rsidR="00836903">
              <w:rPr>
                <w:webHidden/>
              </w:rPr>
              <w:fldChar w:fldCharType="begin"/>
            </w:r>
            <w:r w:rsidR="00836903">
              <w:rPr>
                <w:webHidden/>
              </w:rPr>
              <w:instrText xml:space="preserve"> PAGEREF _Toc178070100 \h </w:instrText>
            </w:r>
            <w:r w:rsidR="00836903">
              <w:rPr>
                <w:webHidden/>
              </w:rPr>
            </w:r>
            <w:r w:rsidR="00836903">
              <w:rPr>
                <w:webHidden/>
              </w:rPr>
              <w:fldChar w:fldCharType="separate"/>
            </w:r>
            <w:r w:rsidR="00000F2A">
              <w:rPr>
                <w:webHidden/>
              </w:rPr>
              <w:t>36</w:t>
            </w:r>
            <w:r w:rsidR="00836903">
              <w:rPr>
                <w:webHidden/>
              </w:rPr>
              <w:fldChar w:fldCharType="end"/>
            </w:r>
          </w:hyperlink>
        </w:p>
        <w:p w14:paraId="3942C1A0" w14:textId="543125F7" w:rsidR="00836903" w:rsidRDefault="00925230" w:rsidP="00836903">
          <w:pPr>
            <w:pStyle w:val="TOC2"/>
            <w:spacing w:after="80"/>
            <w:rPr>
              <w:noProof/>
              <w:sz w:val="22"/>
            </w:rPr>
          </w:pPr>
          <w:hyperlink w:anchor="_Toc178070101" w:history="1">
            <w:r w:rsidR="00836903" w:rsidRPr="000F7AA3">
              <w:rPr>
                <w:rStyle w:val="Hyperlink"/>
                <w:noProof/>
                <w:lang w:val="en-US"/>
              </w:rPr>
              <w:t>Ministry of National Economy and Finance</w:t>
            </w:r>
            <w:r w:rsidR="00836903">
              <w:rPr>
                <w:noProof/>
                <w:webHidden/>
              </w:rPr>
              <w:tab/>
            </w:r>
            <w:r w:rsidR="00836903">
              <w:rPr>
                <w:noProof/>
                <w:webHidden/>
              </w:rPr>
              <w:fldChar w:fldCharType="begin"/>
            </w:r>
            <w:r w:rsidR="00836903">
              <w:rPr>
                <w:noProof/>
                <w:webHidden/>
              </w:rPr>
              <w:instrText xml:space="preserve"> PAGEREF _Toc178070101 \h </w:instrText>
            </w:r>
            <w:r w:rsidR="00836903">
              <w:rPr>
                <w:noProof/>
                <w:webHidden/>
              </w:rPr>
            </w:r>
            <w:r w:rsidR="00836903">
              <w:rPr>
                <w:noProof/>
                <w:webHidden/>
              </w:rPr>
              <w:fldChar w:fldCharType="separate"/>
            </w:r>
            <w:r w:rsidR="00000F2A">
              <w:rPr>
                <w:noProof/>
                <w:webHidden/>
              </w:rPr>
              <w:t>39</w:t>
            </w:r>
            <w:r w:rsidR="00836903">
              <w:rPr>
                <w:noProof/>
                <w:webHidden/>
              </w:rPr>
              <w:fldChar w:fldCharType="end"/>
            </w:r>
          </w:hyperlink>
        </w:p>
        <w:p w14:paraId="510AEFFD" w14:textId="6430E377" w:rsidR="00836903" w:rsidRDefault="00925230" w:rsidP="00836903">
          <w:pPr>
            <w:pStyle w:val="TOC2"/>
            <w:spacing w:after="80"/>
            <w:rPr>
              <w:noProof/>
              <w:sz w:val="22"/>
            </w:rPr>
          </w:pPr>
          <w:hyperlink w:anchor="_Toc178070102"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F</w:t>
            </w:r>
            <w:r w:rsidR="00836903" w:rsidRPr="000F7AA3">
              <w:rPr>
                <w:rStyle w:val="Hyperlink"/>
                <w:noProof/>
              </w:rPr>
              <w:t xml:space="preserve">oreign </w:t>
            </w:r>
            <w:r w:rsidR="00836903" w:rsidRPr="000F7AA3">
              <w:rPr>
                <w:rStyle w:val="Hyperlink"/>
                <w:noProof/>
                <w:lang w:val="en-US"/>
              </w:rPr>
              <w:t>A</w:t>
            </w:r>
            <w:r w:rsidR="00836903" w:rsidRPr="000F7AA3">
              <w:rPr>
                <w:rStyle w:val="Hyperlink"/>
                <w:noProof/>
              </w:rPr>
              <w:t>ffairs</w:t>
            </w:r>
            <w:r w:rsidR="00836903">
              <w:rPr>
                <w:noProof/>
                <w:webHidden/>
              </w:rPr>
              <w:tab/>
            </w:r>
            <w:r w:rsidR="00836903">
              <w:rPr>
                <w:noProof/>
                <w:webHidden/>
              </w:rPr>
              <w:fldChar w:fldCharType="begin"/>
            </w:r>
            <w:r w:rsidR="00836903">
              <w:rPr>
                <w:noProof/>
                <w:webHidden/>
              </w:rPr>
              <w:instrText xml:space="preserve"> PAGEREF _Toc178070102 \h </w:instrText>
            </w:r>
            <w:r w:rsidR="00836903">
              <w:rPr>
                <w:noProof/>
                <w:webHidden/>
              </w:rPr>
            </w:r>
            <w:r w:rsidR="00836903">
              <w:rPr>
                <w:noProof/>
                <w:webHidden/>
              </w:rPr>
              <w:fldChar w:fldCharType="separate"/>
            </w:r>
            <w:r w:rsidR="00000F2A">
              <w:rPr>
                <w:noProof/>
                <w:webHidden/>
              </w:rPr>
              <w:t>50</w:t>
            </w:r>
            <w:r w:rsidR="00836903">
              <w:rPr>
                <w:noProof/>
                <w:webHidden/>
              </w:rPr>
              <w:fldChar w:fldCharType="end"/>
            </w:r>
          </w:hyperlink>
        </w:p>
        <w:p w14:paraId="2BA5A716" w14:textId="2278CE98" w:rsidR="00836903" w:rsidRDefault="00925230" w:rsidP="00836903">
          <w:pPr>
            <w:pStyle w:val="TOC2"/>
            <w:spacing w:after="80"/>
            <w:rPr>
              <w:noProof/>
              <w:sz w:val="22"/>
            </w:rPr>
          </w:pPr>
          <w:hyperlink w:anchor="_Toc178070103"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N</w:t>
            </w:r>
            <w:r w:rsidR="00836903" w:rsidRPr="000F7AA3">
              <w:rPr>
                <w:rStyle w:val="Hyperlink"/>
                <w:noProof/>
              </w:rPr>
              <w:t xml:space="preserve">ational </w:t>
            </w:r>
            <w:r w:rsidR="00836903" w:rsidRPr="000F7AA3">
              <w:rPr>
                <w:rStyle w:val="Hyperlink"/>
                <w:noProof/>
                <w:lang w:val="en-US"/>
              </w:rPr>
              <w:t>D</w:t>
            </w:r>
            <w:r w:rsidR="00836903" w:rsidRPr="000F7AA3">
              <w:rPr>
                <w:rStyle w:val="Hyperlink"/>
                <w:noProof/>
              </w:rPr>
              <w:t>efence</w:t>
            </w:r>
            <w:r w:rsidR="00836903">
              <w:rPr>
                <w:noProof/>
                <w:webHidden/>
              </w:rPr>
              <w:tab/>
            </w:r>
            <w:r w:rsidR="00836903">
              <w:rPr>
                <w:noProof/>
                <w:webHidden/>
              </w:rPr>
              <w:fldChar w:fldCharType="begin"/>
            </w:r>
            <w:r w:rsidR="00836903">
              <w:rPr>
                <w:noProof/>
                <w:webHidden/>
              </w:rPr>
              <w:instrText xml:space="preserve"> PAGEREF _Toc178070103 \h </w:instrText>
            </w:r>
            <w:r w:rsidR="00836903">
              <w:rPr>
                <w:noProof/>
                <w:webHidden/>
              </w:rPr>
            </w:r>
            <w:r w:rsidR="00836903">
              <w:rPr>
                <w:noProof/>
                <w:webHidden/>
              </w:rPr>
              <w:fldChar w:fldCharType="separate"/>
            </w:r>
            <w:r w:rsidR="00000F2A">
              <w:rPr>
                <w:noProof/>
                <w:webHidden/>
              </w:rPr>
              <w:t>53</w:t>
            </w:r>
            <w:r w:rsidR="00836903">
              <w:rPr>
                <w:noProof/>
                <w:webHidden/>
              </w:rPr>
              <w:fldChar w:fldCharType="end"/>
            </w:r>
          </w:hyperlink>
        </w:p>
        <w:p w14:paraId="0D07B93B" w14:textId="2DF9CFA1" w:rsidR="00836903" w:rsidRDefault="00925230" w:rsidP="00836903">
          <w:pPr>
            <w:pStyle w:val="TOC2"/>
            <w:spacing w:after="80"/>
            <w:rPr>
              <w:noProof/>
              <w:sz w:val="22"/>
            </w:rPr>
          </w:pPr>
          <w:hyperlink w:anchor="_Toc178070104"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I</w:t>
            </w:r>
            <w:r w:rsidR="00836903" w:rsidRPr="000F7AA3">
              <w:rPr>
                <w:rStyle w:val="Hyperlink"/>
                <w:noProof/>
              </w:rPr>
              <w:t>nterior</w:t>
            </w:r>
            <w:r w:rsidR="00836903">
              <w:rPr>
                <w:noProof/>
                <w:webHidden/>
              </w:rPr>
              <w:tab/>
            </w:r>
            <w:r w:rsidR="00836903">
              <w:rPr>
                <w:noProof/>
                <w:webHidden/>
              </w:rPr>
              <w:fldChar w:fldCharType="begin"/>
            </w:r>
            <w:r w:rsidR="00836903">
              <w:rPr>
                <w:noProof/>
                <w:webHidden/>
              </w:rPr>
              <w:instrText xml:space="preserve"> PAGEREF _Toc178070104 \h </w:instrText>
            </w:r>
            <w:r w:rsidR="00836903">
              <w:rPr>
                <w:noProof/>
                <w:webHidden/>
              </w:rPr>
            </w:r>
            <w:r w:rsidR="00836903">
              <w:rPr>
                <w:noProof/>
                <w:webHidden/>
              </w:rPr>
              <w:fldChar w:fldCharType="separate"/>
            </w:r>
            <w:r w:rsidR="00000F2A">
              <w:rPr>
                <w:noProof/>
                <w:webHidden/>
              </w:rPr>
              <w:t>55</w:t>
            </w:r>
            <w:r w:rsidR="00836903">
              <w:rPr>
                <w:noProof/>
                <w:webHidden/>
              </w:rPr>
              <w:fldChar w:fldCharType="end"/>
            </w:r>
          </w:hyperlink>
        </w:p>
        <w:p w14:paraId="7C59D5C9" w14:textId="6CF6BD0C" w:rsidR="00836903" w:rsidRDefault="00925230" w:rsidP="00836903">
          <w:pPr>
            <w:pStyle w:val="TOC2"/>
            <w:spacing w:after="80"/>
            <w:rPr>
              <w:noProof/>
              <w:sz w:val="22"/>
            </w:rPr>
          </w:pPr>
          <w:hyperlink w:anchor="_Toc178070105" w:history="1">
            <w:r w:rsidR="00836903" w:rsidRPr="000F7AA3">
              <w:rPr>
                <w:rStyle w:val="Hyperlink"/>
                <w:noProof/>
                <w:lang w:val="en-US"/>
              </w:rPr>
              <w:t>Ministry of Education, Religious Affairs and Sports</w:t>
            </w:r>
            <w:r w:rsidR="00836903">
              <w:rPr>
                <w:noProof/>
                <w:webHidden/>
              </w:rPr>
              <w:tab/>
            </w:r>
            <w:r w:rsidR="00836903">
              <w:rPr>
                <w:noProof/>
                <w:webHidden/>
              </w:rPr>
              <w:fldChar w:fldCharType="begin"/>
            </w:r>
            <w:r w:rsidR="00836903">
              <w:rPr>
                <w:noProof/>
                <w:webHidden/>
              </w:rPr>
              <w:instrText xml:space="preserve"> PAGEREF _Toc178070105 \h </w:instrText>
            </w:r>
            <w:r w:rsidR="00836903">
              <w:rPr>
                <w:noProof/>
                <w:webHidden/>
              </w:rPr>
            </w:r>
            <w:r w:rsidR="00836903">
              <w:rPr>
                <w:noProof/>
                <w:webHidden/>
              </w:rPr>
              <w:fldChar w:fldCharType="separate"/>
            </w:r>
            <w:r w:rsidR="00000F2A">
              <w:rPr>
                <w:noProof/>
                <w:webHidden/>
              </w:rPr>
              <w:t>57</w:t>
            </w:r>
            <w:r w:rsidR="00836903">
              <w:rPr>
                <w:noProof/>
                <w:webHidden/>
              </w:rPr>
              <w:fldChar w:fldCharType="end"/>
            </w:r>
          </w:hyperlink>
        </w:p>
        <w:p w14:paraId="1D6B798E" w14:textId="5978C4CE" w:rsidR="00836903" w:rsidRDefault="00925230" w:rsidP="00836903">
          <w:pPr>
            <w:pStyle w:val="TOC2"/>
            <w:spacing w:after="80"/>
            <w:rPr>
              <w:noProof/>
              <w:sz w:val="22"/>
            </w:rPr>
          </w:pPr>
          <w:hyperlink w:anchor="_Toc178070106"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H</w:t>
            </w:r>
            <w:r w:rsidR="00836903" w:rsidRPr="000F7AA3">
              <w:rPr>
                <w:rStyle w:val="Hyperlink"/>
                <w:noProof/>
              </w:rPr>
              <w:t>ealth</w:t>
            </w:r>
            <w:r w:rsidR="00836903">
              <w:rPr>
                <w:noProof/>
                <w:webHidden/>
              </w:rPr>
              <w:tab/>
            </w:r>
            <w:r w:rsidR="00836903">
              <w:rPr>
                <w:noProof/>
                <w:webHidden/>
              </w:rPr>
              <w:fldChar w:fldCharType="begin"/>
            </w:r>
            <w:r w:rsidR="00836903">
              <w:rPr>
                <w:noProof/>
                <w:webHidden/>
              </w:rPr>
              <w:instrText xml:space="preserve"> PAGEREF _Toc178070106 \h </w:instrText>
            </w:r>
            <w:r w:rsidR="00836903">
              <w:rPr>
                <w:noProof/>
                <w:webHidden/>
              </w:rPr>
            </w:r>
            <w:r w:rsidR="00836903">
              <w:rPr>
                <w:noProof/>
                <w:webHidden/>
              </w:rPr>
              <w:fldChar w:fldCharType="separate"/>
            </w:r>
            <w:r w:rsidR="00000F2A">
              <w:rPr>
                <w:noProof/>
                <w:webHidden/>
              </w:rPr>
              <w:t>62</w:t>
            </w:r>
            <w:r w:rsidR="00836903">
              <w:rPr>
                <w:noProof/>
                <w:webHidden/>
              </w:rPr>
              <w:fldChar w:fldCharType="end"/>
            </w:r>
          </w:hyperlink>
        </w:p>
        <w:p w14:paraId="3F23080A" w14:textId="1B2962AB" w:rsidR="00836903" w:rsidRDefault="00925230" w:rsidP="00836903">
          <w:pPr>
            <w:pStyle w:val="TOC2"/>
            <w:spacing w:after="80"/>
            <w:rPr>
              <w:noProof/>
              <w:sz w:val="22"/>
            </w:rPr>
          </w:pPr>
          <w:hyperlink w:anchor="_Toc178070107"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C</w:t>
            </w:r>
            <w:r w:rsidR="00836903" w:rsidRPr="000F7AA3">
              <w:rPr>
                <w:rStyle w:val="Hyperlink"/>
                <w:noProof/>
              </w:rPr>
              <w:t xml:space="preserve">itizens’ </w:t>
            </w:r>
            <w:r w:rsidR="00836903" w:rsidRPr="000F7AA3">
              <w:rPr>
                <w:rStyle w:val="Hyperlink"/>
                <w:noProof/>
                <w:lang w:val="en-US"/>
              </w:rPr>
              <w:t>P</w:t>
            </w:r>
            <w:r w:rsidR="00836903" w:rsidRPr="000F7AA3">
              <w:rPr>
                <w:rStyle w:val="Hyperlink"/>
                <w:noProof/>
              </w:rPr>
              <w:t>rotection</w:t>
            </w:r>
            <w:r w:rsidR="00836903">
              <w:rPr>
                <w:noProof/>
                <w:webHidden/>
              </w:rPr>
              <w:tab/>
            </w:r>
            <w:r w:rsidR="00836903">
              <w:rPr>
                <w:noProof/>
                <w:webHidden/>
              </w:rPr>
              <w:fldChar w:fldCharType="begin"/>
            </w:r>
            <w:r w:rsidR="00836903">
              <w:rPr>
                <w:noProof/>
                <w:webHidden/>
              </w:rPr>
              <w:instrText xml:space="preserve"> PAGEREF _Toc178070107 \h </w:instrText>
            </w:r>
            <w:r w:rsidR="00836903">
              <w:rPr>
                <w:noProof/>
                <w:webHidden/>
              </w:rPr>
            </w:r>
            <w:r w:rsidR="00836903">
              <w:rPr>
                <w:noProof/>
                <w:webHidden/>
              </w:rPr>
              <w:fldChar w:fldCharType="separate"/>
            </w:r>
            <w:r w:rsidR="00000F2A">
              <w:rPr>
                <w:noProof/>
                <w:webHidden/>
              </w:rPr>
              <w:t>67</w:t>
            </w:r>
            <w:r w:rsidR="00836903">
              <w:rPr>
                <w:noProof/>
                <w:webHidden/>
              </w:rPr>
              <w:fldChar w:fldCharType="end"/>
            </w:r>
          </w:hyperlink>
        </w:p>
        <w:p w14:paraId="3DF83E1A" w14:textId="2B924635" w:rsidR="00836903" w:rsidRDefault="00925230" w:rsidP="00836903">
          <w:pPr>
            <w:pStyle w:val="TOC2"/>
            <w:spacing w:after="80"/>
            <w:rPr>
              <w:noProof/>
              <w:sz w:val="22"/>
            </w:rPr>
          </w:pPr>
          <w:hyperlink w:anchor="_Toc178070108" w:history="1">
            <w:r w:rsidR="00836903" w:rsidRPr="000F7AA3">
              <w:rPr>
                <w:rStyle w:val="Hyperlink"/>
                <w:noProof/>
                <w:lang w:val="en-US"/>
              </w:rPr>
              <w:t>Ministry of Infrastructure and Transport</w:t>
            </w:r>
            <w:r w:rsidR="00836903">
              <w:rPr>
                <w:noProof/>
                <w:webHidden/>
              </w:rPr>
              <w:tab/>
            </w:r>
            <w:r w:rsidR="00836903">
              <w:rPr>
                <w:noProof/>
                <w:webHidden/>
              </w:rPr>
              <w:fldChar w:fldCharType="begin"/>
            </w:r>
            <w:r w:rsidR="00836903">
              <w:rPr>
                <w:noProof/>
                <w:webHidden/>
              </w:rPr>
              <w:instrText xml:space="preserve"> PAGEREF _Toc178070108 \h </w:instrText>
            </w:r>
            <w:r w:rsidR="00836903">
              <w:rPr>
                <w:noProof/>
                <w:webHidden/>
              </w:rPr>
            </w:r>
            <w:r w:rsidR="00836903">
              <w:rPr>
                <w:noProof/>
                <w:webHidden/>
              </w:rPr>
              <w:fldChar w:fldCharType="separate"/>
            </w:r>
            <w:r w:rsidR="00000F2A">
              <w:rPr>
                <w:noProof/>
                <w:webHidden/>
              </w:rPr>
              <w:t>70</w:t>
            </w:r>
            <w:r w:rsidR="00836903">
              <w:rPr>
                <w:noProof/>
                <w:webHidden/>
              </w:rPr>
              <w:fldChar w:fldCharType="end"/>
            </w:r>
          </w:hyperlink>
        </w:p>
        <w:p w14:paraId="77733672" w14:textId="71EBA60E" w:rsidR="00836903" w:rsidRDefault="00925230" w:rsidP="00836903">
          <w:pPr>
            <w:pStyle w:val="TOC2"/>
            <w:spacing w:after="80"/>
            <w:rPr>
              <w:noProof/>
              <w:sz w:val="22"/>
            </w:rPr>
          </w:pPr>
          <w:hyperlink w:anchor="_Toc178070109" w:history="1">
            <w:r w:rsidR="00836903" w:rsidRPr="000F7AA3">
              <w:rPr>
                <w:rStyle w:val="Hyperlink"/>
                <w:noProof/>
                <w:lang w:val="en-US"/>
              </w:rPr>
              <w:t>Ministry of Environment and Energy</w:t>
            </w:r>
            <w:r w:rsidR="00836903">
              <w:rPr>
                <w:noProof/>
                <w:webHidden/>
              </w:rPr>
              <w:tab/>
            </w:r>
            <w:r w:rsidR="00836903">
              <w:rPr>
                <w:noProof/>
                <w:webHidden/>
              </w:rPr>
              <w:fldChar w:fldCharType="begin"/>
            </w:r>
            <w:r w:rsidR="00836903">
              <w:rPr>
                <w:noProof/>
                <w:webHidden/>
              </w:rPr>
              <w:instrText xml:space="preserve"> PAGEREF _Toc178070109 \h </w:instrText>
            </w:r>
            <w:r w:rsidR="00836903">
              <w:rPr>
                <w:noProof/>
                <w:webHidden/>
              </w:rPr>
            </w:r>
            <w:r w:rsidR="00836903">
              <w:rPr>
                <w:noProof/>
                <w:webHidden/>
              </w:rPr>
              <w:fldChar w:fldCharType="separate"/>
            </w:r>
            <w:r w:rsidR="00000F2A">
              <w:rPr>
                <w:noProof/>
                <w:webHidden/>
              </w:rPr>
              <w:t>76</w:t>
            </w:r>
            <w:r w:rsidR="00836903">
              <w:rPr>
                <w:noProof/>
                <w:webHidden/>
              </w:rPr>
              <w:fldChar w:fldCharType="end"/>
            </w:r>
          </w:hyperlink>
        </w:p>
        <w:p w14:paraId="19FCACCD" w14:textId="737B6C97" w:rsidR="00836903" w:rsidRDefault="00925230" w:rsidP="00836903">
          <w:pPr>
            <w:pStyle w:val="TOC2"/>
            <w:spacing w:after="80"/>
            <w:rPr>
              <w:noProof/>
              <w:sz w:val="22"/>
            </w:rPr>
          </w:pPr>
          <w:hyperlink w:anchor="_Toc178070110" w:history="1">
            <w:r w:rsidR="00836903" w:rsidRPr="000F7AA3">
              <w:rPr>
                <w:rStyle w:val="Hyperlink"/>
                <w:noProof/>
                <w:lang w:val="en-US"/>
              </w:rPr>
              <w:t>Ministry of Development</w:t>
            </w:r>
            <w:r w:rsidR="00836903">
              <w:rPr>
                <w:noProof/>
                <w:webHidden/>
              </w:rPr>
              <w:tab/>
            </w:r>
            <w:r w:rsidR="00836903">
              <w:rPr>
                <w:noProof/>
                <w:webHidden/>
              </w:rPr>
              <w:fldChar w:fldCharType="begin"/>
            </w:r>
            <w:r w:rsidR="00836903">
              <w:rPr>
                <w:noProof/>
                <w:webHidden/>
              </w:rPr>
              <w:instrText xml:space="preserve"> PAGEREF _Toc178070110 \h </w:instrText>
            </w:r>
            <w:r w:rsidR="00836903">
              <w:rPr>
                <w:noProof/>
                <w:webHidden/>
              </w:rPr>
            </w:r>
            <w:r w:rsidR="00836903">
              <w:rPr>
                <w:noProof/>
                <w:webHidden/>
              </w:rPr>
              <w:fldChar w:fldCharType="separate"/>
            </w:r>
            <w:r w:rsidR="00000F2A">
              <w:rPr>
                <w:noProof/>
                <w:webHidden/>
              </w:rPr>
              <w:t>87</w:t>
            </w:r>
            <w:r w:rsidR="00836903">
              <w:rPr>
                <w:noProof/>
                <w:webHidden/>
              </w:rPr>
              <w:fldChar w:fldCharType="end"/>
            </w:r>
          </w:hyperlink>
        </w:p>
        <w:p w14:paraId="0D7DF1D8" w14:textId="1C59FEED" w:rsidR="00836903" w:rsidRDefault="00925230" w:rsidP="00836903">
          <w:pPr>
            <w:pStyle w:val="TOC2"/>
            <w:spacing w:after="80"/>
            <w:rPr>
              <w:noProof/>
              <w:sz w:val="22"/>
            </w:rPr>
          </w:pPr>
          <w:hyperlink w:anchor="_Toc178070111" w:history="1">
            <w:r w:rsidR="00836903" w:rsidRPr="000F7AA3">
              <w:rPr>
                <w:rStyle w:val="Hyperlink"/>
                <w:noProof/>
                <w:lang w:val="en-US"/>
              </w:rPr>
              <w:t>Ministry of Labour and Social Security</w:t>
            </w:r>
            <w:r w:rsidR="00836903">
              <w:rPr>
                <w:noProof/>
                <w:webHidden/>
              </w:rPr>
              <w:tab/>
            </w:r>
            <w:r w:rsidR="00836903">
              <w:rPr>
                <w:noProof/>
                <w:webHidden/>
              </w:rPr>
              <w:fldChar w:fldCharType="begin"/>
            </w:r>
            <w:r w:rsidR="00836903">
              <w:rPr>
                <w:noProof/>
                <w:webHidden/>
              </w:rPr>
              <w:instrText xml:space="preserve"> PAGEREF _Toc178070111 \h </w:instrText>
            </w:r>
            <w:r w:rsidR="00836903">
              <w:rPr>
                <w:noProof/>
                <w:webHidden/>
              </w:rPr>
            </w:r>
            <w:r w:rsidR="00836903">
              <w:rPr>
                <w:noProof/>
                <w:webHidden/>
              </w:rPr>
              <w:fldChar w:fldCharType="separate"/>
            </w:r>
            <w:r w:rsidR="00000F2A">
              <w:rPr>
                <w:noProof/>
                <w:webHidden/>
              </w:rPr>
              <w:t>97</w:t>
            </w:r>
            <w:r w:rsidR="00836903">
              <w:rPr>
                <w:noProof/>
                <w:webHidden/>
              </w:rPr>
              <w:fldChar w:fldCharType="end"/>
            </w:r>
          </w:hyperlink>
        </w:p>
        <w:p w14:paraId="33B395E1" w14:textId="5CE4B532" w:rsidR="00836903" w:rsidRDefault="00925230" w:rsidP="00836903">
          <w:pPr>
            <w:pStyle w:val="TOC2"/>
            <w:spacing w:after="80"/>
            <w:rPr>
              <w:noProof/>
              <w:sz w:val="22"/>
            </w:rPr>
          </w:pPr>
          <w:hyperlink w:anchor="_Toc178070112" w:history="1">
            <w:r w:rsidR="00836903" w:rsidRPr="000F7AA3">
              <w:rPr>
                <w:rStyle w:val="Hyperlink"/>
                <w:noProof/>
                <w:lang w:val="en-US"/>
              </w:rPr>
              <w:t>Ministry of Justice</w:t>
            </w:r>
            <w:r w:rsidR="00836903">
              <w:rPr>
                <w:noProof/>
                <w:webHidden/>
              </w:rPr>
              <w:tab/>
            </w:r>
            <w:r w:rsidR="00836903">
              <w:rPr>
                <w:noProof/>
                <w:webHidden/>
              </w:rPr>
              <w:fldChar w:fldCharType="begin"/>
            </w:r>
            <w:r w:rsidR="00836903">
              <w:rPr>
                <w:noProof/>
                <w:webHidden/>
              </w:rPr>
              <w:instrText xml:space="preserve"> PAGEREF _Toc178070112 \h </w:instrText>
            </w:r>
            <w:r w:rsidR="00836903">
              <w:rPr>
                <w:noProof/>
                <w:webHidden/>
              </w:rPr>
            </w:r>
            <w:r w:rsidR="00836903">
              <w:rPr>
                <w:noProof/>
                <w:webHidden/>
              </w:rPr>
              <w:fldChar w:fldCharType="separate"/>
            </w:r>
            <w:r w:rsidR="00000F2A">
              <w:rPr>
                <w:noProof/>
                <w:webHidden/>
              </w:rPr>
              <w:t>102</w:t>
            </w:r>
            <w:r w:rsidR="00836903">
              <w:rPr>
                <w:noProof/>
                <w:webHidden/>
              </w:rPr>
              <w:fldChar w:fldCharType="end"/>
            </w:r>
          </w:hyperlink>
        </w:p>
        <w:p w14:paraId="0B89AB3D" w14:textId="4ECD3DD5" w:rsidR="00836903" w:rsidRDefault="00925230" w:rsidP="00836903">
          <w:pPr>
            <w:pStyle w:val="TOC2"/>
            <w:spacing w:after="80"/>
            <w:rPr>
              <w:noProof/>
              <w:sz w:val="22"/>
            </w:rPr>
          </w:pPr>
          <w:hyperlink w:anchor="_Toc178070113" w:history="1">
            <w:r w:rsidR="00836903" w:rsidRPr="000F7AA3">
              <w:rPr>
                <w:rStyle w:val="Hyperlink"/>
                <w:noProof/>
                <w:lang w:val="en-US"/>
              </w:rPr>
              <w:t>Ministry of Rural Development and Food</w:t>
            </w:r>
            <w:r w:rsidR="00836903">
              <w:rPr>
                <w:noProof/>
                <w:webHidden/>
              </w:rPr>
              <w:tab/>
            </w:r>
            <w:r w:rsidR="00836903">
              <w:rPr>
                <w:noProof/>
                <w:webHidden/>
              </w:rPr>
              <w:fldChar w:fldCharType="begin"/>
            </w:r>
            <w:r w:rsidR="00836903">
              <w:rPr>
                <w:noProof/>
                <w:webHidden/>
              </w:rPr>
              <w:instrText xml:space="preserve"> PAGEREF _Toc178070113 \h </w:instrText>
            </w:r>
            <w:r w:rsidR="00836903">
              <w:rPr>
                <w:noProof/>
                <w:webHidden/>
              </w:rPr>
            </w:r>
            <w:r w:rsidR="00836903">
              <w:rPr>
                <w:noProof/>
                <w:webHidden/>
              </w:rPr>
              <w:fldChar w:fldCharType="separate"/>
            </w:r>
            <w:r w:rsidR="00000F2A">
              <w:rPr>
                <w:noProof/>
                <w:webHidden/>
              </w:rPr>
              <w:t>104</w:t>
            </w:r>
            <w:r w:rsidR="00836903">
              <w:rPr>
                <w:noProof/>
                <w:webHidden/>
              </w:rPr>
              <w:fldChar w:fldCharType="end"/>
            </w:r>
          </w:hyperlink>
        </w:p>
        <w:p w14:paraId="3B7AF61D" w14:textId="067FDAA2" w:rsidR="00836903" w:rsidRDefault="00925230" w:rsidP="00836903">
          <w:pPr>
            <w:pStyle w:val="TOC2"/>
            <w:spacing w:after="80"/>
            <w:rPr>
              <w:noProof/>
              <w:sz w:val="22"/>
            </w:rPr>
          </w:pPr>
          <w:hyperlink w:anchor="_Toc178070114"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C</w:t>
            </w:r>
            <w:r w:rsidR="00836903" w:rsidRPr="000F7AA3">
              <w:rPr>
                <w:rStyle w:val="Hyperlink"/>
                <w:noProof/>
              </w:rPr>
              <w:t>ulture</w:t>
            </w:r>
            <w:r w:rsidR="00836903">
              <w:rPr>
                <w:noProof/>
                <w:webHidden/>
              </w:rPr>
              <w:tab/>
            </w:r>
            <w:r w:rsidR="00836903">
              <w:rPr>
                <w:noProof/>
                <w:webHidden/>
              </w:rPr>
              <w:fldChar w:fldCharType="begin"/>
            </w:r>
            <w:r w:rsidR="00836903">
              <w:rPr>
                <w:noProof/>
                <w:webHidden/>
              </w:rPr>
              <w:instrText xml:space="preserve"> PAGEREF _Toc178070114 \h </w:instrText>
            </w:r>
            <w:r w:rsidR="00836903">
              <w:rPr>
                <w:noProof/>
                <w:webHidden/>
              </w:rPr>
            </w:r>
            <w:r w:rsidR="00836903">
              <w:rPr>
                <w:noProof/>
                <w:webHidden/>
              </w:rPr>
              <w:fldChar w:fldCharType="separate"/>
            </w:r>
            <w:r w:rsidR="00000F2A">
              <w:rPr>
                <w:noProof/>
                <w:webHidden/>
              </w:rPr>
              <w:t>106</w:t>
            </w:r>
            <w:r w:rsidR="00836903">
              <w:rPr>
                <w:noProof/>
                <w:webHidden/>
              </w:rPr>
              <w:fldChar w:fldCharType="end"/>
            </w:r>
          </w:hyperlink>
        </w:p>
        <w:p w14:paraId="77407DCA" w14:textId="19B33BC9" w:rsidR="00836903" w:rsidRDefault="00925230" w:rsidP="00836903">
          <w:pPr>
            <w:pStyle w:val="TOC2"/>
            <w:spacing w:after="80"/>
            <w:rPr>
              <w:noProof/>
              <w:sz w:val="22"/>
            </w:rPr>
          </w:pPr>
          <w:hyperlink w:anchor="_Toc178070115" w:history="1">
            <w:r w:rsidR="00836903" w:rsidRPr="000F7AA3">
              <w:rPr>
                <w:rStyle w:val="Hyperlink"/>
                <w:noProof/>
                <w:lang w:val="en-US"/>
              </w:rPr>
              <w:t>Ministry of Migration and Asylum</w:t>
            </w:r>
            <w:r w:rsidR="00836903">
              <w:rPr>
                <w:noProof/>
                <w:webHidden/>
              </w:rPr>
              <w:tab/>
            </w:r>
            <w:r w:rsidR="00836903">
              <w:rPr>
                <w:noProof/>
                <w:webHidden/>
              </w:rPr>
              <w:fldChar w:fldCharType="begin"/>
            </w:r>
            <w:r w:rsidR="00836903">
              <w:rPr>
                <w:noProof/>
                <w:webHidden/>
              </w:rPr>
              <w:instrText xml:space="preserve"> PAGEREF _Toc178070115 \h </w:instrText>
            </w:r>
            <w:r w:rsidR="00836903">
              <w:rPr>
                <w:noProof/>
                <w:webHidden/>
              </w:rPr>
            </w:r>
            <w:r w:rsidR="00836903">
              <w:rPr>
                <w:noProof/>
                <w:webHidden/>
              </w:rPr>
              <w:fldChar w:fldCharType="separate"/>
            </w:r>
            <w:r w:rsidR="00000F2A">
              <w:rPr>
                <w:noProof/>
                <w:webHidden/>
              </w:rPr>
              <w:t>110</w:t>
            </w:r>
            <w:r w:rsidR="00836903">
              <w:rPr>
                <w:noProof/>
                <w:webHidden/>
              </w:rPr>
              <w:fldChar w:fldCharType="end"/>
            </w:r>
          </w:hyperlink>
        </w:p>
        <w:p w14:paraId="0026A4A0" w14:textId="5A2DF64A" w:rsidR="00836903" w:rsidRDefault="00925230" w:rsidP="00836903">
          <w:pPr>
            <w:pStyle w:val="TOC2"/>
            <w:spacing w:after="80"/>
            <w:rPr>
              <w:noProof/>
              <w:sz w:val="22"/>
            </w:rPr>
          </w:pPr>
          <w:hyperlink w:anchor="_Toc178070116" w:history="1">
            <w:r w:rsidR="00836903" w:rsidRPr="000F7AA3">
              <w:rPr>
                <w:rStyle w:val="Hyperlink"/>
                <w:noProof/>
                <w:lang w:val="en-US"/>
              </w:rPr>
              <w:t>Ministry of Social Cohesion and Family Affairs</w:t>
            </w:r>
            <w:r w:rsidR="00836903">
              <w:rPr>
                <w:noProof/>
                <w:webHidden/>
              </w:rPr>
              <w:tab/>
            </w:r>
            <w:r w:rsidR="00836903">
              <w:rPr>
                <w:noProof/>
                <w:webHidden/>
              </w:rPr>
              <w:fldChar w:fldCharType="begin"/>
            </w:r>
            <w:r w:rsidR="00836903">
              <w:rPr>
                <w:noProof/>
                <w:webHidden/>
              </w:rPr>
              <w:instrText xml:space="preserve"> PAGEREF _Toc178070116 \h </w:instrText>
            </w:r>
            <w:r w:rsidR="00836903">
              <w:rPr>
                <w:noProof/>
                <w:webHidden/>
              </w:rPr>
            </w:r>
            <w:r w:rsidR="00836903">
              <w:rPr>
                <w:noProof/>
                <w:webHidden/>
              </w:rPr>
              <w:fldChar w:fldCharType="separate"/>
            </w:r>
            <w:r w:rsidR="00000F2A">
              <w:rPr>
                <w:noProof/>
                <w:webHidden/>
              </w:rPr>
              <w:t>113</w:t>
            </w:r>
            <w:r w:rsidR="00836903">
              <w:rPr>
                <w:noProof/>
                <w:webHidden/>
              </w:rPr>
              <w:fldChar w:fldCharType="end"/>
            </w:r>
          </w:hyperlink>
        </w:p>
        <w:p w14:paraId="65863383" w14:textId="4A64FBE4" w:rsidR="00836903" w:rsidRDefault="00925230" w:rsidP="00836903">
          <w:pPr>
            <w:pStyle w:val="TOC2"/>
            <w:spacing w:after="80"/>
            <w:rPr>
              <w:noProof/>
              <w:sz w:val="22"/>
            </w:rPr>
          </w:pPr>
          <w:hyperlink w:anchor="_Toc178070117" w:history="1">
            <w:r w:rsidR="00836903" w:rsidRPr="000F7AA3">
              <w:rPr>
                <w:rStyle w:val="Hyperlink"/>
                <w:noProof/>
                <w:lang w:val="en-US"/>
              </w:rPr>
              <w:t>Ministry of Maritime Affairs and Insular Policy</w:t>
            </w:r>
            <w:r w:rsidR="00836903">
              <w:rPr>
                <w:noProof/>
                <w:webHidden/>
              </w:rPr>
              <w:tab/>
            </w:r>
            <w:r w:rsidR="00836903">
              <w:rPr>
                <w:noProof/>
                <w:webHidden/>
              </w:rPr>
              <w:fldChar w:fldCharType="begin"/>
            </w:r>
            <w:r w:rsidR="00836903">
              <w:rPr>
                <w:noProof/>
                <w:webHidden/>
              </w:rPr>
              <w:instrText xml:space="preserve"> PAGEREF _Toc178070117 \h </w:instrText>
            </w:r>
            <w:r w:rsidR="00836903">
              <w:rPr>
                <w:noProof/>
                <w:webHidden/>
              </w:rPr>
            </w:r>
            <w:r w:rsidR="00836903">
              <w:rPr>
                <w:noProof/>
                <w:webHidden/>
              </w:rPr>
              <w:fldChar w:fldCharType="separate"/>
            </w:r>
            <w:r w:rsidR="00000F2A">
              <w:rPr>
                <w:noProof/>
                <w:webHidden/>
              </w:rPr>
              <w:t>118</w:t>
            </w:r>
            <w:r w:rsidR="00836903">
              <w:rPr>
                <w:noProof/>
                <w:webHidden/>
              </w:rPr>
              <w:fldChar w:fldCharType="end"/>
            </w:r>
          </w:hyperlink>
        </w:p>
        <w:p w14:paraId="68731AEE" w14:textId="32F1E735" w:rsidR="00836903" w:rsidRDefault="00925230" w:rsidP="00836903">
          <w:pPr>
            <w:pStyle w:val="TOC2"/>
            <w:spacing w:after="80"/>
            <w:rPr>
              <w:noProof/>
              <w:sz w:val="22"/>
            </w:rPr>
          </w:pPr>
          <w:hyperlink w:anchor="_Toc178070118" w:history="1">
            <w:r w:rsidR="00836903" w:rsidRPr="000F7AA3">
              <w:rPr>
                <w:rStyle w:val="Hyperlink"/>
                <w:noProof/>
                <w:lang w:val="en-US"/>
              </w:rPr>
              <w:t>M</w:t>
            </w:r>
            <w:r w:rsidR="00836903" w:rsidRPr="000F7AA3">
              <w:rPr>
                <w:rStyle w:val="Hyperlink"/>
                <w:noProof/>
              </w:rPr>
              <w:t xml:space="preserve">inistry of </w:t>
            </w:r>
            <w:r w:rsidR="00836903" w:rsidRPr="000F7AA3">
              <w:rPr>
                <w:rStyle w:val="Hyperlink"/>
                <w:noProof/>
                <w:lang w:val="en-US"/>
              </w:rPr>
              <w:t>T</w:t>
            </w:r>
            <w:r w:rsidR="00836903" w:rsidRPr="000F7AA3">
              <w:rPr>
                <w:rStyle w:val="Hyperlink"/>
                <w:noProof/>
              </w:rPr>
              <w:t>ourism</w:t>
            </w:r>
            <w:r w:rsidR="00836903">
              <w:rPr>
                <w:noProof/>
                <w:webHidden/>
              </w:rPr>
              <w:tab/>
            </w:r>
            <w:r w:rsidR="00836903">
              <w:rPr>
                <w:noProof/>
                <w:webHidden/>
              </w:rPr>
              <w:fldChar w:fldCharType="begin"/>
            </w:r>
            <w:r w:rsidR="00836903">
              <w:rPr>
                <w:noProof/>
                <w:webHidden/>
              </w:rPr>
              <w:instrText xml:space="preserve"> PAGEREF _Toc178070118 \h </w:instrText>
            </w:r>
            <w:r w:rsidR="00836903">
              <w:rPr>
                <w:noProof/>
                <w:webHidden/>
              </w:rPr>
            </w:r>
            <w:r w:rsidR="00836903">
              <w:rPr>
                <w:noProof/>
                <w:webHidden/>
              </w:rPr>
              <w:fldChar w:fldCharType="separate"/>
            </w:r>
            <w:r w:rsidR="00000F2A">
              <w:rPr>
                <w:noProof/>
                <w:webHidden/>
              </w:rPr>
              <w:t>120</w:t>
            </w:r>
            <w:r w:rsidR="00836903">
              <w:rPr>
                <w:noProof/>
                <w:webHidden/>
              </w:rPr>
              <w:fldChar w:fldCharType="end"/>
            </w:r>
          </w:hyperlink>
        </w:p>
        <w:p w14:paraId="22DD0BBB" w14:textId="74A77183" w:rsidR="00836903" w:rsidRDefault="00925230" w:rsidP="00836903">
          <w:pPr>
            <w:pStyle w:val="TOC2"/>
            <w:spacing w:after="80"/>
            <w:rPr>
              <w:noProof/>
              <w:sz w:val="22"/>
            </w:rPr>
          </w:pPr>
          <w:hyperlink w:anchor="_Toc178070119" w:history="1">
            <w:r w:rsidR="00836903" w:rsidRPr="000F7AA3">
              <w:rPr>
                <w:rStyle w:val="Hyperlink"/>
                <w:noProof/>
                <w:lang w:val="en-US"/>
              </w:rPr>
              <w:t>Ministry of Digital Governance</w:t>
            </w:r>
            <w:r w:rsidR="00836903">
              <w:rPr>
                <w:noProof/>
                <w:webHidden/>
              </w:rPr>
              <w:tab/>
            </w:r>
            <w:r w:rsidR="00836903">
              <w:rPr>
                <w:noProof/>
                <w:webHidden/>
              </w:rPr>
              <w:fldChar w:fldCharType="begin"/>
            </w:r>
            <w:r w:rsidR="00836903">
              <w:rPr>
                <w:noProof/>
                <w:webHidden/>
              </w:rPr>
              <w:instrText xml:space="preserve"> PAGEREF _Toc178070119 \h </w:instrText>
            </w:r>
            <w:r w:rsidR="00836903">
              <w:rPr>
                <w:noProof/>
                <w:webHidden/>
              </w:rPr>
            </w:r>
            <w:r w:rsidR="00836903">
              <w:rPr>
                <w:noProof/>
                <w:webHidden/>
              </w:rPr>
              <w:fldChar w:fldCharType="separate"/>
            </w:r>
            <w:r w:rsidR="00000F2A">
              <w:rPr>
                <w:noProof/>
                <w:webHidden/>
              </w:rPr>
              <w:t>122</w:t>
            </w:r>
            <w:r w:rsidR="00836903">
              <w:rPr>
                <w:noProof/>
                <w:webHidden/>
              </w:rPr>
              <w:fldChar w:fldCharType="end"/>
            </w:r>
          </w:hyperlink>
        </w:p>
        <w:p w14:paraId="1517D4A9" w14:textId="53AAE9AA" w:rsidR="00836903" w:rsidRDefault="00925230" w:rsidP="00836903">
          <w:pPr>
            <w:pStyle w:val="TOC2"/>
            <w:spacing w:after="80"/>
            <w:rPr>
              <w:noProof/>
              <w:sz w:val="22"/>
            </w:rPr>
          </w:pPr>
          <w:hyperlink w:anchor="_Toc178070120" w:history="1">
            <w:r w:rsidR="00836903" w:rsidRPr="000F7AA3">
              <w:rPr>
                <w:rStyle w:val="Hyperlink"/>
                <w:noProof/>
                <w:lang w:val="en-US"/>
              </w:rPr>
              <w:t>Ministry of Climate Crisis and Civil Protection</w:t>
            </w:r>
            <w:r w:rsidR="00836903">
              <w:rPr>
                <w:noProof/>
                <w:webHidden/>
              </w:rPr>
              <w:tab/>
            </w:r>
            <w:r w:rsidR="00836903">
              <w:rPr>
                <w:noProof/>
                <w:webHidden/>
              </w:rPr>
              <w:fldChar w:fldCharType="begin"/>
            </w:r>
            <w:r w:rsidR="00836903">
              <w:rPr>
                <w:noProof/>
                <w:webHidden/>
              </w:rPr>
              <w:instrText xml:space="preserve"> PAGEREF _Toc178070120 \h </w:instrText>
            </w:r>
            <w:r w:rsidR="00836903">
              <w:rPr>
                <w:noProof/>
                <w:webHidden/>
              </w:rPr>
            </w:r>
            <w:r w:rsidR="00836903">
              <w:rPr>
                <w:noProof/>
                <w:webHidden/>
              </w:rPr>
              <w:fldChar w:fldCharType="separate"/>
            </w:r>
            <w:r w:rsidR="00000F2A">
              <w:rPr>
                <w:noProof/>
                <w:webHidden/>
              </w:rPr>
              <w:t>127</w:t>
            </w:r>
            <w:r w:rsidR="00836903">
              <w:rPr>
                <w:noProof/>
                <w:webHidden/>
              </w:rPr>
              <w:fldChar w:fldCharType="end"/>
            </w:r>
          </w:hyperlink>
        </w:p>
        <w:p w14:paraId="4E46150F" w14:textId="5EA076DD" w:rsidR="00836903" w:rsidRDefault="00925230" w:rsidP="00836903">
          <w:pPr>
            <w:pStyle w:val="TOC2"/>
            <w:spacing w:after="80"/>
            <w:rPr>
              <w:noProof/>
              <w:sz w:val="22"/>
            </w:rPr>
          </w:pPr>
          <w:hyperlink w:anchor="_Toc178070121" w:history="1">
            <w:r w:rsidR="00836903" w:rsidRPr="000F7AA3">
              <w:rPr>
                <w:rStyle w:val="Hyperlink"/>
                <w:noProof/>
                <w:lang w:val="en-US"/>
              </w:rPr>
              <w:t>Investment needs related to the common priorities of the Union</w:t>
            </w:r>
            <w:r w:rsidR="00836903">
              <w:rPr>
                <w:noProof/>
                <w:webHidden/>
              </w:rPr>
              <w:tab/>
            </w:r>
            <w:r w:rsidR="00836903">
              <w:rPr>
                <w:noProof/>
                <w:webHidden/>
              </w:rPr>
              <w:fldChar w:fldCharType="begin"/>
            </w:r>
            <w:r w:rsidR="00836903">
              <w:rPr>
                <w:noProof/>
                <w:webHidden/>
              </w:rPr>
              <w:instrText xml:space="preserve"> PAGEREF _Toc178070121 \h </w:instrText>
            </w:r>
            <w:r w:rsidR="00836903">
              <w:rPr>
                <w:noProof/>
                <w:webHidden/>
              </w:rPr>
            </w:r>
            <w:r w:rsidR="00836903">
              <w:rPr>
                <w:noProof/>
                <w:webHidden/>
              </w:rPr>
              <w:fldChar w:fldCharType="separate"/>
            </w:r>
            <w:r w:rsidR="00000F2A">
              <w:rPr>
                <w:noProof/>
                <w:webHidden/>
              </w:rPr>
              <w:t>133</w:t>
            </w:r>
            <w:r w:rsidR="00836903">
              <w:rPr>
                <w:noProof/>
                <w:webHidden/>
              </w:rPr>
              <w:fldChar w:fldCharType="end"/>
            </w:r>
          </w:hyperlink>
        </w:p>
        <w:p w14:paraId="71A2CD18" w14:textId="1E838F33" w:rsidR="00836903" w:rsidRDefault="00925230" w:rsidP="00836903">
          <w:pPr>
            <w:pStyle w:val="TOC1"/>
            <w:spacing w:after="80"/>
            <w:rPr>
              <w:b w:val="0"/>
              <w:sz w:val="22"/>
              <w:lang w:val="el-GR"/>
            </w:rPr>
          </w:pPr>
          <w:hyperlink w:anchor="_Toc178070122" w:history="1">
            <w:r w:rsidR="00836903" w:rsidRPr="000F7AA3">
              <w:rPr>
                <w:rStyle w:val="Hyperlink"/>
              </w:rPr>
              <w:t>Annex II: Discretionary revenue measures tables</w:t>
            </w:r>
            <w:r w:rsidR="00836903">
              <w:rPr>
                <w:webHidden/>
              </w:rPr>
              <w:tab/>
            </w:r>
            <w:r w:rsidR="00836903">
              <w:rPr>
                <w:webHidden/>
              </w:rPr>
              <w:fldChar w:fldCharType="begin"/>
            </w:r>
            <w:r w:rsidR="00836903">
              <w:rPr>
                <w:webHidden/>
              </w:rPr>
              <w:instrText xml:space="preserve"> PAGEREF _Toc178070122 \h </w:instrText>
            </w:r>
            <w:r w:rsidR="00836903">
              <w:rPr>
                <w:webHidden/>
              </w:rPr>
            </w:r>
            <w:r w:rsidR="00836903">
              <w:rPr>
                <w:webHidden/>
              </w:rPr>
              <w:fldChar w:fldCharType="separate"/>
            </w:r>
            <w:r w:rsidR="00000F2A">
              <w:rPr>
                <w:webHidden/>
              </w:rPr>
              <w:t>141</w:t>
            </w:r>
            <w:r w:rsidR="00836903">
              <w:rPr>
                <w:webHidden/>
              </w:rPr>
              <w:fldChar w:fldCharType="end"/>
            </w:r>
          </w:hyperlink>
        </w:p>
        <w:p w14:paraId="0DA2FA19" w14:textId="3F6D3F5E" w:rsidR="00836903" w:rsidRDefault="00925230" w:rsidP="00836903">
          <w:pPr>
            <w:pStyle w:val="TOC1"/>
            <w:spacing w:after="80"/>
            <w:rPr>
              <w:b w:val="0"/>
              <w:sz w:val="22"/>
              <w:lang w:val="el-GR"/>
            </w:rPr>
          </w:pPr>
          <w:hyperlink w:anchor="_Toc178070123" w:history="1">
            <w:r w:rsidR="00836903" w:rsidRPr="000F7AA3">
              <w:rPr>
                <w:rStyle w:val="Hyperlink"/>
              </w:rPr>
              <w:t>Annex III: Hellenic Fiscal Council opinion</w:t>
            </w:r>
            <w:r w:rsidR="00836903">
              <w:rPr>
                <w:webHidden/>
              </w:rPr>
              <w:tab/>
            </w:r>
            <w:r w:rsidR="00836903">
              <w:rPr>
                <w:webHidden/>
              </w:rPr>
              <w:fldChar w:fldCharType="begin"/>
            </w:r>
            <w:r w:rsidR="00836903">
              <w:rPr>
                <w:webHidden/>
              </w:rPr>
              <w:instrText xml:space="preserve"> PAGEREF _Toc178070123 \h </w:instrText>
            </w:r>
            <w:r w:rsidR="00836903">
              <w:rPr>
                <w:webHidden/>
              </w:rPr>
            </w:r>
            <w:r w:rsidR="00836903">
              <w:rPr>
                <w:webHidden/>
              </w:rPr>
              <w:fldChar w:fldCharType="separate"/>
            </w:r>
            <w:r w:rsidR="00000F2A">
              <w:rPr>
                <w:webHidden/>
              </w:rPr>
              <w:t>143</w:t>
            </w:r>
            <w:r w:rsidR="00836903">
              <w:rPr>
                <w:webHidden/>
              </w:rPr>
              <w:fldChar w:fldCharType="end"/>
            </w:r>
          </w:hyperlink>
        </w:p>
        <w:p w14:paraId="3A34771C" w14:textId="009E4978" w:rsidR="00654672" w:rsidRPr="00A40C1F" w:rsidRDefault="00A54B46" w:rsidP="007A7773">
          <w:pPr>
            <w:spacing w:after="60" w:line="320" w:lineRule="atLeast"/>
            <w:jc w:val="left"/>
          </w:pPr>
          <w:r w:rsidRPr="00026C1E">
            <w:rPr>
              <w:rFonts w:cstheme="minorHAnsi"/>
              <w:sz w:val="24"/>
              <w:szCs w:val="24"/>
            </w:rPr>
            <w:fldChar w:fldCharType="end"/>
          </w:r>
        </w:p>
      </w:sdtContent>
    </w:sdt>
    <w:p w14:paraId="2AF2A249" w14:textId="3C52C504" w:rsidR="009F432E" w:rsidRPr="005C0E75" w:rsidRDefault="007C572E" w:rsidP="005C3ADA">
      <w:pPr>
        <w:pStyle w:val="TOCHeading"/>
        <w:spacing w:after="480" w:line="300" w:lineRule="atLeast"/>
        <w:rPr>
          <w:rFonts w:asciiTheme="minorHAnsi" w:eastAsiaTheme="minorEastAsia" w:hAnsiTheme="minorHAnsi" w:cstheme="minorHAnsi"/>
          <w:bCs w:val="0"/>
          <w:w w:val="100"/>
          <w:sz w:val="40"/>
          <w:szCs w:val="22"/>
          <w:lang w:eastAsia="el-GR"/>
        </w:rPr>
      </w:pPr>
      <w:r>
        <w:rPr>
          <w:rFonts w:ascii="Calibri" w:hAnsi="Calibri" w:cs="Calibri"/>
          <w:b w:val="0"/>
          <w:bCs w:val="0"/>
          <w:sz w:val="40"/>
        </w:rPr>
        <w:br w:type="page"/>
      </w:r>
      <w:r w:rsidR="00BE36D2" w:rsidRPr="005C0E75">
        <w:rPr>
          <w:rFonts w:asciiTheme="minorHAnsi" w:eastAsiaTheme="minorEastAsia" w:hAnsiTheme="minorHAnsi" w:cstheme="minorHAnsi"/>
          <w:bCs w:val="0"/>
          <w:w w:val="100"/>
          <w:sz w:val="40"/>
          <w:szCs w:val="22"/>
          <w:lang w:eastAsia="el-GR"/>
        </w:rPr>
        <w:lastRenderedPageBreak/>
        <w:t>Tables</w:t>
      </w:r>
    </w:p>
    <w:p w14:paraId="4C9A1728" w14:textId="6AA4CFB9" w:rsidR="001461DC" w:rsidRDefault="00A54B46" w:rsidP="00E77D7E">
      <w:pPr>
        <w:pStyle w:val="TableofFigures"/>
        <w:tabs>
          <w:tab w:val="right" w:leader="dot" w:pos="8891"/>
        </w:tabs>
        <w:ind w:left="993" w:hanging="993"/>
        <w:rPr>
          <w:noProof/>
          <w:sz w:val="22"/>
        </w:rPr>
      </w:pPr>
      <w:r w:rsidRPr="002D5119">
        <w:rPr>
          <w:rFonts w:cstheme="minorHAnsi"/>
          <w:lang w:val="en-US"/>
        </w:rPr>
        <w:fldChar w:fldCharType="begin"/>
      </w:r>
      <w:r w:rsidR="002D7C5D" w:rsidRPr="002D5119">
        <w:rPr>
          <w:rFonts w:cstheme="minorHAnsi"/>
          <w:lang w:val="en-US"/>
        </w:rPr>
        <w:instrText xml:space="preserve"> TOC \h \z \c "Table" </w:instrText>
      </w:r>
      <w:r w:rsidRPr="002D5119">
        <w:rPr>
          <w:rFonts w:cstheme="minorHAnsi"/>
          <w:lang w:val="en-US"/>
        </w:rPr>
        <w:fldChar w:fldCharType="separate"/>
      </w:r>
      <w:hyperlink w:anchor="_Toc177747031" w:history="1">
        <w:r w:rsidR="001461DC" w:rsidRPr="00572BD1">
          <w:rPr>
            <w:rStyle w:val="Hyperlink"/>
            <w:noProof/>
          </w:rPr>
          <w:t xml:space="preserve">Table 1 </w:t>
        </w:r>
        <w:r w:rsidR="001461DC">
          <w:rPr>
            <w:rStyle w:val="Hyperlink"/>
            <w:noProof/>
          </w:rPr>
          <w:tab/>
        </w:r>
        <w:r w:rsidR="001461DC" w:rsidRPr="00572BD1">
          <w:rPr>
            <w:rStyle w:val="Hyperlink"/>
            <w:noProof/>
          </w:rPr>
          <w:t>Fiscal commitments</w:t>
        </w:r>
        <w:r w:rsidR="001461DC">
          <w:rPr>
            <w:noProof/>
            <w:webHidden/>
          </w:rPr>
          <w:tab/>
        </w:r>
        <w:r w:rsidR="001461DC">
          <w:rPr>
            <w:noProof/>
            <w:webHidden/>
          </w:rPr>
          <w:fldChar w:fldCharType="begin"/>
        </w:r>
        <w:r w:rsidR="001461DC">
          <w:rPr>
            <w:noProof/>
            <w:webHidden/>
          </w:rPr>
          <w:instrText xml:space="preserve"> PAGEREF _Toc177747031 \h </w:instrText>
        </w:r>
        <w:r w:rsidR="001461DC">
          <w:rPr>
            <w:noProof/>
            <w:webHidden/>
          </w:rPr>
        </w:r>
        <w:r w:rsidR="001461DC">
          <w:rPr>
            <w:noProof/>
            <w:webHidden/>
          </w:rPr>
          <w:fldChar w:fldCharType="separate"/>
        </w:r>
        <w:r w:rsidR="00000F2A">
          <w:rPr>
            <w:noProof/>
            <w:webHidden/>
          </w:rPr>
          <w:t>6</w:t>
        </w:r>
        <w:r w:rsidR="001461DC">
          <w:rPr>
            <w:noProof/>
            <w:webHidden/>
          </w:rPr>
          <w:fldChar w:fldCharType="end"/>
        </w:r>
      </w:hyperlink>
    </w:p>
    <w:p w14:paraId="4E773744" w14:textId="5CA2F4CF" w:rsidR="001461DC" w:rsidRDefault="00925230" w:rsidP="00E77D7E">
      <w:pPr>
        <w:pStyle w:val="TableofFigures"/>
        <w:tabs>
          <w:tab w:val="right" w:leader="dot" w:pos="8891"/>
        </w:tabs>
        <w:ind w:left="993" w:hanging="993"/>
        <w:rPr>
          <w:noProof/>
          <w:sz w:val="22"/>
        </w:rPr>
      </w:pPr>
      <w:hyperlink w:anchor="_Toc177747032" w:history="1">
        <w:r w:rsidR="001461DC" w:rsidRPr="00572BD1">
          <w:rPr>
            <w:rStyle w:val="Hyperlink"/>
            <w:noProof/>
          </w:rPr>
          <w:t xml:space="preserve">Table 2 </w:t>
        </w:r>
        <w:r w:rsidR="001461DC">
          <w:rPr>
            <w:rStyle w:val="Hyperlink"/>
            <w:noProof/>
          </w:rPr>
          <w:tab/>
        </w:r>
        <w:r w:rsidR="001461DC" w:rsidRPr="00572BD1">
          <w:rPr>
            <w:rStyle w:val="Hyperlink"/>
            <w:noProof/>
          </w:rPr>
          <w:t>Main variables</w:t>
        </w:r>
        <w:r w:rsidR="001461DC">
          <w:rPr>
            <w:noProof/>
            <w:webHidden/>
          </w:rPr>
          <w:tab/>
        </w:r>
        <w:r w:rsidR="001461DC">
          <w:rPr>
            <w:noProof/>
            <w:webHidden/>
          </w:rPr>
          <w:fldChar w:fldCharType="begin"/>
        </w:r>
        <w:r w:rsidR="001461DC">
          <w:rPr>
            <w:noProof/>
            <w:webHidden/>
          </w:rPr>
          <w:instrText xml:space="preserve"> PAGEREF _Toc177747032 \h </w:instrText>
        </w:r>
        <w:r w:rsidR="001461DC">
          <w:rPr>
            <w:noProof/>
            <w:webHidden/>
          </w:rPr>
        </w:r>
        <w:r w:rsidR="001461DC">
          <w:rPr>
            <w:noProof/>
            <w:webHidden/>
          </w:rPr>
          <w:fldChar w:fldCharType="separate"/>
        </w:r>
        <w:r w:rsidR="00000F2A">
          <w:rPr>
            <w:noProof/>
            <w:webHidden/>
          </w:rPr>
          <w:t>7</w:t>
        </w:r>
        <w:r w:rsidR="001461DC">
          <w:rPr>
            <w:noProof/>
            <w:webHidden/>
          </w:rPr>
          <w:fldChar w:fldCharType="end"/>
        </w:r>
      </w:hyperlink>
    </w:p>
    <w:p w14:paraId="4E900E75" w14:textId="13DD406B" w:rsidR="001461DC" w:rsidRDefault="00925230" w:rsidP="00E77D7E">
      <w:pPr>
        <w:pStyle w:val="TableofFigures"/>
        <w:tabs>
          <w:tab w:val="right" w:leader="dot" w:pos="8891"/>
        </w:tabs>
        <w:ind w:left="993" w:hanging="993"/>
        <w:rPr>
          <w:noProof/>
          <w:sz w:val="22"/>
        </w:rPr>
      </w:pPr>
      <w:hyperlink w:anchor="_Toc177747033" w:history="1">
        <w:r w:rsidR="001461DC" w:rsidRPr="00572BD1">
          <w:rPr>
            <w:rStyle w:val="Hyperlink"/>
            <w:noProof/>
          </w:rPr>
          <w:t xml:space="preserve">Table 3 </w:t>
        </w:r>
        <w:r w:rsidR="001461DC">
          <w:rPr>
            <w:rStyle w:val="Hyperlink"/>
            <w:noProof/>
          </w:rPr>
          <w:tab/>
        </w:r>
        <w:r w:rsidR="001461DC" w:rsidRPr="00572BD1">
          <w:rPr>
            <w:rStyle w:val="Hyperlink"/>
            <w:noProof/>
          </w:rPr>
          <w:t>Macroeconomic scenario</w:t>
        </w:r>
        <w:r w:rsidR="001461DC">
          <w:rPr>
            <w:noProof/>
            <w:webHidden/>
          </w:rPr>
          <w:tab/>
        </w:r>
        <w:r w:rsidR="001461DC">
          <w:rPr>
            <w:noProof/>
            <w:webHidden/>
          </w:rPr>
          <w:fldChar w:fldCharType="begin"/>
        </w:r>
        <w:r w:rsidR="001461DC">
          <w:rPr>
            <w:noProof/>
            <w:webHidden/>
          </w:rPr>
          <w:instrText xml:space="preserve"> PAGEREF _Toc177747033 \h </w:instrText>
        </w:r>
        <w:r w:rsidR="001461DC">
          <w:rPr>
            <w:noProof/>
            <w:webHidden/>
          </w:rPr>
        </w:r>
        <w:r w:rsidR="001461DC">
          <w:rPr>
            <w:noProof/>
            <w:webHidden/>
          </w:rPr>
          <w:fldChar w:fldCharType="separate"/>
        </w:r>
        <w:r w:rsidR="00000F2A">
          <w:rPr>
            <w:noProof/>
            <w:webHidden/>
          </w:rPr>
          <w:t>10</w:t>
        </w:r>
        <w:r w:rsidR="001461DC">
          <w:rPr>
            <w:noProof/>
            <w:webHidden/>
          </w:rPr>
          <w:fldChar w:fldCharType="end"/>
        </w:r>
      </w:hyperlink>
    </w:p>
    <w:p w14:paraId="078787C8" w14:textId="6BED9708" w:rsidR="001461DC" w:rsidRDefault="00925230" w:rsidP="00E77D7E">
      <w:pPr>
        <w:pStyle w:val="TableofFigures"/>
        <w:tabs>
          <w:tab w:val="right" w:leader="dot" w:pos="8891"/>
        </w:tabs>
        <w:ind w:left="993" w:hanging="993"/>
        <w:rPr>
          <w:noProof/>
          <w:sz w:val="22"/>
        </w:rPr>
      </w:pPr>
      <w:hyperlink w:anchor="_Toc177747034" w:history="1">
        <w:r w:rsidR="001461DC" w:rsidRPr="00572BD1">
          <w:rPr>
            <w:rStyle w:val="Hyperlink"/>
            <w:noProof/>
          </w:rPr>
          <w:t xml:space="preserve">Table 4 </w:t>
        </w:r>
        <w:r w:rsidR="001461DC">
          <w:rPr>
            <w:rStyle w:val="Hyperlink"/>
            <w:noProof/>
          </w:rPr>
          <w:tab/>
        </w:r>
        <w:r w:rsidR="001461DC" w:rsidRPr="00572BD1">
          <w:rPr>
            <w:rStyle w:val="Hyperlink"/>
            <w:noProof/>
          </w:rPr>
          <w:t>External assumptions</w:t>
        </w:r>
        <w:r w:rsidR="001461DC">
          <w:rPr>
            <w:noProof/>
            <w:webHidden/>
          </w:rPr>
          <w:tab/>
        </w:r>
        <w:r w:rsidR="001461DC">
          <w:rPr>
            <w:noProof/>
            <w:webHidden/>
          </w:rPr>
          <w:fldChar w:fldCharType="begin"/>
        </w:r>
        <w:r w:rsidR="001461DC">
          <w:rPr>
            <w:noProof/>
            <w:webHidden/>
          </w:rPr>
          <w:instrText xml:space="preserve"> PAGEREF _Toc177747034 \h </w:instrText>
        </w:r>
        <w:r w:rsidR="001461DC">
          <w:rPr>
            <w:noProof/>
            <w:webHidden/>
          </w:rPr>
        </w:r>
        <w:r w:rsidR="001461DC">
          <w:rPr>
            <w:noProof/>
            <w:webHidden/>
          </w:rPr>
          <w:fldChar w:fldCharType="separate"/>
        </w:r>
        <w:r w:rsidR="00000F2A">
          <w:rPr>
            <w:noProof/>
            <w:webHidden/>
          </w:rPr>
          <w:t>12</w:t>
        </w:r>
        <w:r w:rsidR="001461DC">
          <w:rPr>
            <w:noProof/>
            <w:webHidden/>
          </w:rPr>
          <w:fldChar w:fldCharType="end"/>
        </w:r>
      </w:hyperlink>
    </w:p>
    <w:p w14:paraId="7570BEFF" w14:textId="5964DED5" w:rsidR="001461DC" w:rsidRDefault="00925230" w:rsidP="00E77D7E">
      <w:pPr>
        <w:pStyle w:val="TableofFigures"/>
        <w:tabs>
          <w:tab w:val="right" w:leader="dot" w:pos="8891"/>
        </w:tabs>
        <w:ind w:left="993" w:hanging="993"/>
        <w:rPr>
          <w:noProof/>
          <w:sz w:val="22"/>
        </w:rPr>
      </w:pPr>
      <w:hyperlink w:anchor="_Toc177747035" w:history="1">
        <w:r w:rsidR="001461DC" w:rsidRPr="00572BD1">
          <w:rPr>
            <w:rStyle w:val="Hyperlink"/>
            <w:noProof/>
          </w:rPr>
          <w:t xml:space="preserve">Table 5 </w:t>
        </w:r>
        <w:r w:rsidR="001461DC">
          <w:rPr>
            <w:rStyle w:val="Hyperlink"/>
            <w:noProof/>
          </w:rPr>
          <w:tab/>
        </w:r>
        <w:r w:rsidR="001461DC" w:rsidRPr="00572BD1">
          <w:rPr>
            <w:rStyle w:val="Hyperlink"/>
            <w:noProof/>
          </w:rPr>
          <w:t>Budgetary projections</w:t>
        </w:r>
        <w:r w:rsidR="001461DC">
          <w:rPr>
            <w:noProof/>
            <w:webHidden/>
          </w:rPr>
          <w:tab/>
        </w:r>
        <w:r w:rsidR="001461DC">
          <w:rPr>
            <w:noProof/>
            <w:webHidden/>
          </w:rPr>
          <w:fldChar w:fldCharType="begin"/>
        </w:r>
        <w:r w:rsidR="001461DC">
          <w:rPr>
            <w:noProof/>
            <w:webHidden/>
          </w:rPr>
          <w:instrText xml:space="preserve"> PAGEREF _Toc177747035 \h </w:instrText>
        </w:r>
        <w:r w:rsidR="001461DC">
          <w:rPr>
            <w:noProof/>
            <w:webHidden/>
          </w:rPr>
        </w:r>
        <w:r w:rsidR="001461DC">
          <w:rPr>
            <w:noProof/>
            <w:webHidden/>
          </w:rPr>
          <w:fldChar w:fldCharType="separate"/>
        </w:r>
        <w:r w:rsidR="00000F2A">
          <w:rPr>
            <w:noProof/>
            <w:webHidden/>
          </w:rPr>
          <w:t>13</w:t>
        </w:r>
        <w:r w:rsidR="001461DC">
          <w:rPr>
            <w:noProof/>
            <w:webHidden/>
          </w:rPr>
          <w:fldChar w:fldCharType="end"/>
        </w:r>
      </w:hyperlink>
    </w:p>
    <w:p w14:paraId="015C3773" w14:textId="6B21E455" w:rsidR="001461DC" w:rsidRDefault="00925230" w:rsidP="00E77D7E">
      <w:pPr>
        <w:pStyle w:val="TableofFigures"/>
        <w:tabs>
          <w:tab w:val="right" w:leader="dot" w:pos="8891"/>
        </w:tabs>
        <w:ind w:left="993" w:hanging="993"/>
        <w:rPr>
          <w:noProof/>
          <w:sz w:val="22"/>
        </w:rPr>
      </w:pPr>
      <w:hyperlink w:anchor="_Toc177747036" w:history="1">
        <w:r w:rsidR="001461DC" w:rsidRPr="00572BD1">
          <w:rPr>
            <w:rStyle w:val="Hyperlink"/>
            <w:noProof/>
          </w:rPr>
          <w:t xml:space="preserve">Table 6 </w:t>
        </w:r>
        <w:r w:rsidR="001461DC">
          <w:rPr>
            <w:rStyle w:val="Hyperlink"/>
            <w:noProof/>
          </w:rPr>
          <w:tab/>
        </w:r>
        <w:r w:rsidR="001461DC" w:rsidRPr="00572BD1">
          <w:rPr>
            <w:rStyle w:val="Hyperlink"/>
            <w:noProof/>
          </w:rPr>
          <w:t>Public Investment Budget projections 2023-2028</w:t>
        </w:r>
        <w:r w:rsidR="001461DC">
          <w:rPr>
            <w:noProof/>
            <w:webHidden/>
          </w:rPr>
          <w:tab/>
        </w:r>
        <w:r w:rsidR="001461DC">
          <w:rPr>
            <w:noProof/>
            <w:webHidden/>
          </w:rPr>
          <w:fldChar w:fldCharType="begin"/>
        </w:r>
        <w:r w:rsidR="001461DC">
          <w:rPr>
            <w:noProof/>
            <w:webHidden/>
          </w:rPr>
          <w:instrText xml:space="preserve"> PAGEREF _Toc177747036 \h </w:instrText>
        </w:r>
        <w:r w:rsidR="001461DC">
          <w:rPr>
            <w:noProof/>
            <w:webHidden/>
          </w:rPr>
        </w:r>
        <w:r w:rsidR="001461DC">
          <w:rPr>
            <w:noProof/>
            <w:webHidden/>
          </w:rPr>
          <w:fldChar w:fldCharType="separate"/>
        </w:r>
        <w:r w:rsidR="00000F2A">
          <w:rPr>
            <w:noProof/>
            <w:webHidden/>
          </w:rPr>
          <w:t>20</w:t>
        </w:r>
        <w:r w:rsidR="001461DC">
          <w:rPr>
            <w:noProof/>
            <w:webHidden/>
          </w:rPr>
          <w:fldChar w:fldCharType="end"/>
        </w:r>
      </w:hyperlink>
    </w:p>
    <w:p w14:paraId="49C7DF2A" w14:textId="7F687DFF" w:rsidR="001461DC" w:rsidRDefault="00925230" w:rsidP="00E77D7E">
      <w:pPr>
        <w:pStyle w:val="TableofFigures"/>
        <w:tabs>
          <w:tab w:val="right" w:leader="dot" w:pos="8891"/>
        </w:tabs>
        <w:ind w:left="993" w:hanging="993"/>
        <w:jc w:val="left"/>
        <w:rPr>
          <w:noProof/>
          <w:sz w:val="22"/>
        </w:rPr>
      </w:pPr>
      <w:hyperlink w:anchor="_Toc177747037" w:history="1">
        <w:r w:rsidR="001461DC" w:rsidRPr="00572BD1">
          <w:rPr>
            <w:rStyle w:val="Hyperlink"/>
            <w:noProof/>
          </w:rPr>
          <w:t xml:space="preserve">Table 7 </w:t>
        </w:r>
        <w:r w:rsidR="001461DC">
          <w:rPr>
            <w:rStyle w:val="Hyperlink"/>
            <w:noProof/>
          </w:rPr>
          <w:tab/>
        </w:r>
        <w:r w:rsidR="001461DC" w:rsidRPr="00572BD1">
          <w:rPr>
            <w:rStyle w:val="Hyperlink"/>
            <w:noProof/>
          </w:rPr>
          <w:t xml:space="preserve">Debt and headline balance projections and key underlying assumptions </w:t>
        </w:r>
        <w:r w:rsidR="0036051C">
          <w:rPr>
            <w:rStyle w:val="Hyperlink"/>
            <w:noProof/>
          </w:rPr>
          <w:br/>
        </w:r>
        <w:r w:rsidR="001461DC" w:rsidRPr="00572BD1">
          <w:rPr>
            <w:rStyle w:val="Hyperlink"/>
            <w:noProof/>
          </w:rPr>
          <w:t>(under the planned fiscal path)</w:t>
        </w:r>
        <w:r w:rsidR="001461DC">
          <w:rPr>
            <w:noProof/>
            <w:webHidden/>
          </w:rPr>
          <w:tab/>
        </w:r>
        <w:r w:rsidR="001461DC">
          <w:rPr>
            <w:noProof/>
            <w:webHidden/>
          </w:rPr>
          <w:fldChar w:fldCharType="begin"/>
        </w:r>
        <w:r w:rsidR="001461DC">
          <w:rPr>
            <w:noProof/>
            <w:webHidden/>
          </w:rPr>
          <w:instrText xml:space="preserve"> PAGEREF _Toc177747037 \h </w:instrText>
        </w:r>
        <w:r w:rsidR="001461DC">
          <w:rPr>
            <w:noProof/>
            <w:webHidden/>
          </w:rPr>
        </w:r>
        <w:r w:rsidR="001461DC">
          <w:rPr>
            <w:noProof/>
            <w:webHidden/>
          </w:rPr>
          <w:fldChar w:fldCharType="separate"/>
        </w:r>
        <w:r w:rsidR="00000F2A">
          <w:rPr>
            <w:noProof/>
            <w:webHidden/>
          </w:rPr>
          <w:t>23</w:t>
        </w:r>
        <w:r w:rsidR="001461DC">
          <w:rPr>
            <w:noProof/>
            <w:webHidden/>
          </w:rPr>
          <w:fldChar w:fldCharType="end"/>
        </w:r>
      </w:hyperlink>
    </w:p>
    <w:p w14:paraId="13C9246E" w14:textId="0801E2B7" w:rsidR="001461DC" w:rsidRDefault="00925230" w:rsidP="00E77D7E">
      <w:pPr>
        <w:pStyle w:val="TableofFigures"/>
        <w:tabs>
          <w:tab w:val="right" w:leader="dot" w:pos="8891"/>
        </w:tabs>
        <w:ind w:left="993" w:hanging="993"/>
        <w:jc w:val="left"/>
        <w:rPr>
          <w:noProof/>
          <w:sz w:val="22"/>
        </w:rPr>
      </w:pPr>
      <w:hyperlink w:anchor="_Toc177747038" w:history="1">
        <w:r w:rsidR="001461DC" w:rsidRPr="00572BD1">
          <w:rPr>
            <w:rStyle w:val="Hyperlink"/>
            <w:noProof/>
          </w:rPr>
          <w:t xml:space="preserve">Table 8 </w:t>
        </w:r>
        <w:r w:rsidR="001461DC">
          <w:rPr>
            <w:rStyle w:val="Hyperlink"/>
            <w:noProof/>
          </w:rPr>
          <w:tab/>
        </w:r>
        <w:r w:rsidR="001461DC" w:rsidRPr="00572BD1">
          <w:rPr>
            <w:rStyle w:val="Hyperlink"/>
            <w:noProof/>
          </w:rPr>
          <w:t xml:space="preserve">Debt and headline balance projections and underlying assumptions </w:t>
        </w:r>
        <w:r w:rsidR="0036051C">
          <w:rPr>
            <w:rStyle w:val="Hyperlink"/>
            <w:noProof/>
          </w:rPr>
          <w:br/>
        </w:r>
        <w:r w:rsidR="001461DC" w:rsidRPr="00572BD1">
          <w:rPr>
            <w:rStyle w:val="Hyperlink"/>
            <w:noProof/>
          </w:rPr>
          <w:t>(under 'no-fiscal-policy-change' baseline)</w:t>
        </w:r>
        <w:r w:rsidR="001461DC">
          <w:rPr>
            <w:noProof/>
            <w:webHidden/>
          </w:rPr>
          <w:tab/>
        </w:r>
        <w:r w:rsidR="001461DC">
          <w:rPr>
            <w:noProof/>
            <w:webHidden/>
          </w:rPr>
          <w:fldChar w:fldCharType="begin"/>
        </w:r>
        <w:r w:rsidR="001461DC">
          <w:rPr>
            <w:noProof/>
            <w:webHidden/>
          </w:rPr>
          <w:instrText xml:space="preserve"> PAGEREF _Toc177747038 \h </w:instrText>
        </w:r>
        <w:r w:rsidR="001461DC">
          <w:rPr>
            <w:noProof/>
            <w:webHidden/>
          </w:rPr>
        </w:r>
        <w:r w:rsidR="001461DC">
          <w:rPr>
            <w:noProof/>
            <w:webHidden/>
          </w:rPr>
          <w:fldChar w:fldCharType="separate"/>
        </w:r>
        <w:r w:rsidR="00000F2A">
          <w:rPr>
            <w:noProof/>
            <w:webHidden/>
          </w:rPr>
          <w:t>24</w:t>
        </w:r>
        <w:r w:rsidR="001461DC">
          <w:rPr>
            <w:noProof/>
            <w:webHidden/>
          </w:rPr>
          <w:fldChar w:fldCharType="end"/>
        </w:r>
      </w:hyperlink>
    </w:p>
    <w:p w14:paraId="26874A8F" w14:textId="37ECE69A" w:rsidR="001461DC" w:rsidRDefault="00925230" w:rsidP="00E77D7E">
      <w:pPr>
        <w:pStyle w:val="TableofFigures"/>
        <w:tabs>
          <w:tab w:val="right" w:leader="dot" w:pos="8891"/>
        </w:tabs>
        <w:ind w:left="993" w:hanging="993"/>
        <w:rPr>
          <w:noProof/>
          <w:sz w:val="22"/>
        </w:rPr>
      </w:pPr>
      <w:hyperlink w:anchor="_Toc177747039" w:history="1">
        <w:r w:rsidR="001461DC" w:rsidRPr="00572BD1">
          <w:rPr>
            <w:rStyle w:val="Hyperlink"/>
            <w:noProof/>
          </w:rPr>
          <w:t xml:space="preserve">Table 9 </w:t>
        </w:r>
        <w:r w:rsidR="001461DC">
          <w:rPr>
            <w:rStyle w:val="Hyperlink"/>
            <w:noProof/>
          </w:rPr>
          <w:tab/>
        </w:r>
        <w:r w:rsidR="001461DC" w:rsidRPr="00572BD1">
          <w:rPr>
            <w:rStyle w:val="Hyperlink"/>
            <w:noProof/>
          </w:rPr>
          <w:t>Debt projections and additional assumptions (under the projected fiscal path)</w:t>
        </w:r>
        <w:r w:rsidR="001461DC">
          <w:rPr>
            <w:noProof/>
            <w:webHidden/>
          </w:rPr>
          <w:tab/>
        </w:r>
        <w:r w:rsidR="001461DC">
          <w:rPr>
            <w:noProof/>
            <w:webHidden/>
          </w:rPr>
          <w:fldChar w:fldCharType="begin"/>
        </w:r>
        <w:r w:rsidR="001461DC">
          <w:rPr>
            <w:noProof/>
            <w:webHidden/>
          </w:rPr>
          <w:instrText xml:space="preserve"> PAGEREF _Toc177747039 \h </w:instrText>
        </w:r>
        <w:r w:rsidR="001461DC">
          <w:rPr>
            <w:noProof/>
            <w:webHidden/>
          </w:rPr>
        </w:r>
        <w:r w:rsidR="001461DC">
          <w:rPr>
            <w:noProof/>
            <w:webHidden/>
          </w:rPr>
          <w:fldChar w:fldCharType="separate"/>
        </w:r>
        <w:r w:rsidR="00000F2A">
          <w:rPr>
            <w:noProof/>
            <w:webHidden/>
          </w:rPr>
          <w:t>24</w:t>
        </w:r>
        <w:r w:rsidR="001461DC">
          <w:rPr>
            <w:noProof/>
            <w:webHidden/>
          </w:rPr>
          <w:fldChar w:fldCharType="end"/>
        </w:r>
      </w:hyperlink>
    </w:p>
    <w:p w14:paraId="2F440513" w14:textId="31C22765" w:rsidR="001461DC" w:rsidRDefault="00925230" w:rsidP="00E77D7E">
      <w:pPr>
        <w:pStyle w:val="TableofFigures"/>
        <w:tabs>
          <w:tab w:val="right" w:leader="dot" w:pos="8891"/>
        </w:tabs>
        <w:ind w:left="993" w:hanging="993"/>
        <w:jc w:val="left"/>
        <w:rPr>
          <w:noProof/>
          <w:sz w:val="22"/>
        </w:rPr>
      </w:pPr>
      <w:hyperlink w:anchor="_Toc177747040" w:history="1">
        <w:r w:rsidR="001461DC" w:rsidRPr="00572BD1">
          <w:rPr>
            <w:rStyle w:val="Hyperlink"/>
            <w:noProof/>
          </w:rPr>
          <w:t xml:space="preserve">Table 10 </w:t>
        </w:r>
        <w:r w:rsidR="001461DC">
          <w:rPr>
            <w:rStyle w:val="Hyperlink"/>
            <w:noProof/>
          </w:rPr>
          <w:tab/>
        </w:r>
        <w:r w:rsidR="001461DC" w:rsidRPr="00572BD1">
          <w:rPr>
            <w:rStyle w:val="Hyperlink"/>
            <w:noProof/>
          </w:rPr>
          <w:t xml:space="preserve">Debt projections and key stressed variables, </w:t>
        </w:r>
        <w:r w:rsidR="00E41D9F">
          <w:rPr>
            <w:rStyle w:val="Hyperlink"/>
            <w:noProof/>
          </w:rPr>
          <w:br/>
        </w:r>
        <w:r w:rsidR="001461DC" w:rsidRPr="00572BD1">
          <w:rPr>
            <w:rStyle w:val="Hyperlink"/>
            <w:noProof/>
          </w:rPr>
          <w:t>deterministic scenarios and stochastic simulations</w:t>
        </w:r>
        <w:r w:rsidR="001461DC">
          <w:rPr>
            <w:noProof/>
            <w:webHidden/>
          </w:rPr>
          <w:tab/>
        </w:r>
        <w:r w:rsidR="001461DC">
          <w:rPr>
            <w:noProof/>
            <w:webHidden/>
          </w:rPr>
          <w:fldChar w:fldCharType="begin"/>
        </w:r>
        <w:r w:rsidR="001461DC">
          <w:rPr>
            <w:noProof/>
            <w:webHidden/>
          </w:rPr>
          <w:instrText xml:space="preserve"> PAGEREF _Toc177747040 \h </w:instrText>
        </w:r>
        <w:r w:rsidR="001461DC">
          <w:rPr>
            <w:noProof/>
            <w:webHidden/>
          </w:rPr>
        </w:r>
        <w:r w:rsidR="001461DC">
          <w:rPr>
            <w:noProof/>
            <w:webHidden/>
          </w:rPr>
          <w:fldChar w:fldCharType="separate"/>
        </w:r>
        <w:r w:rsidR="00000F2A">
          <w:rPr>
            <w:noProof/>
            <w:webHidden/>
          </w:rPr>
          <w:t>29</w:t>
        </w:r>
        <w:r w:rsidR="001461DC">
          <w:rPr>
            <w:noProof/>
            <w:webHidden/>
          </w:rPr>
          <w:fldChar w:fldCharType="end"/>
        </w:r>
      </w:hyperlink>
    </w:p>
    <w:p w14:paraId="5F837B6C" w14:textId="1CBE8047" w:rsidR="001461DC" w:rsidRDefault="00925230" w:rsidP="00E77D7E">
      <w:pPr>
        <w:pStyle w:val="TableofFigures"/>
        <w:tabs>
          <w:tab w:val="right" w:leader="dot" w:pos="8891"/>
        </w:tabs>
        <w:ind w:left="993" w:hanging="993"/>
        <w:rPr>
          <w:noProof/>
          <w:sz w:val="22"/>
        </w:rPr>
      </w:pPr>
      <w:hyperlink w:anchor="_Toc177747041" w:history="1">
        <w:r w:rsidR="001461DC" w:rsidRPr="00572BD1">
          <w:rPr>
            <w:rStyle w:val="Hyperlink"/>
            <w:noProof/>
          </w:rPr>
          <w:t xml:space="preserve">Table 11 </w:t>
        </w:r>
        <w:r w:rsidR="001461DC">
          <w:rPr>
            <w:rStyle w:val="Hyperlink"/>
            <w:noProof/>
          </w:rPr>
          <w:tab/>
        </w:r>
        <w:r w:rsidR="001461DC" w:rsidRPr="00572BD1">
          <w:rPr>
            <w:rStyle w:val="Hyperlink"/>
            <w:noProof/>
          </w:rPr>
          <w:t>Contingent liabilities</w:t>
        </w:r>
        <w:r w:rsidR="001461DC">
          <w:rPr>
            <w:noProof/>
            <w:webHidden/>
          </w:rPr>
          <w:tab/>
        </w:r>
        <w:r w:rsidR="001461DC">
          <w:rPr>
            <w:noProof/>
            <w:webHidden/>
          </w:rPr>
          <w:fldChar w:fldCharType="begin"/>
        </w:r>
        <w:r w:rsidR="001461DC">
          <w:rPr>
            <w:noProof/>
            <w:webHidden/>
          </w:rPr>
          <w:instrText xml:space="preserve"> PAGEREF _Toc177747041 \h </w:instrText>
        </w:r>
        <w:r w:rsidR="001461DC">
          <w:rPr>
            <w:noProof/>
            <w:webHidden/>
          </w:rPr>
        </w:r>
        <w:r w:rsidR="001461DC">
          <w:rPr>
            <w:noProof/>
            <w:webHidden/>
          </w:rPr>
          <w:fldChar w:fldCharType="separate"/>
        </w:r>
        <w:r w:rsidR="00000F2A">
          <w:rPr>
            <w:noProof/>
            <w:webHidden/>
          </w:rPr>
          <w:t>30</w:t>
        </w:r>
        <w:r w:rsidR="001461DC">
          <w:rPr>
            <w:noProof/>
            <w:webHidden/>
          </w:rPr>
          <w:fldChar w:fldCharType="end"/>
        </w:r>
      </w:hyperlink>
    </w:p>
    <w:p w14:paraId="5222D00D" w14:textId="243CF950" w:rsidR="001461DC" w:rsidRDefault="00925230" w:rsidP="00E77D7E">
      <w:pPr>
        <w:pStyle w:val="TableofFigures"/>
        <w:tabs>
          <w:tab w:val="right" w:leader="dot" w:pos="8891"/>
        </w:tabs>
        <w:ind w:left="993" w:hanging="993"/>
        <w:jc w:val="left"/>
        <w:rPr>
          <w:noProof/>
          <w:sz w:val="22"/>
        </w:rPr>
      </w:pPr>
      <w:hyperlink w:anchor="_Toc177747042" w:history="1">
        <w:r w:rsidR="001461DC" w:rsidRPr="00572BD1">
          <w:rPr>
            <w:rStyle w:val="Hyperlink"/>
            <w:noProof/>
          </w:rPr>
          <w:t xml:space="preserve">Table 12 </w:t>
        </w:r>
        <w:r w:rsidR="001461DC">
          <w:rPr>
            <w:rStyle w:val="Hyperlink"/>
            <w:noProof/>
          </w:rPr>
          <w:tab/>
        </w:r>
        <w:r w:rsidR="001461DC" w:rsidRPr="00572BD1">
          <w:rPr>
            <w:rStyle w:val="Hyperlink"/>
            <w:noProof/>
          </w:rPr>
          <w:t xml:space="preserve">Contingent Liabilities of the general government from other sources: </w:t>
        </w:r>
        <w:r w:rsidR="0036051C">
          <w:rPr>
            <w:rStyle w:val="Hyperlink"/>
            <w:noProof/>
          </w:rPr>
          <w:br/>
        </w:r>
        <w:r w:rsidR="001461DC" w:rsidRPr="00572BD1">
          <w:rPr>
            <w:rStyle w:val="Hyperlink"/>
            <w:noProof/>
          </w:rPr>
          <w:t xml:space="preserve">PPPs recorded off-balance sheet; NPLs; </w:t>
        </w:r>
        <w:r w:rsidR="0036051C">
          <w:rPr>
            <w:rStyle w:val="Hyperlink"/>
            <w:noProof/>
          </w:rPr>
          <w:br/>
        </w:r>
        <w:r w:rsidR="001461DC" w:rsidRPr="00572BD1">
          <w:rPr>
            <w:rStyle w:val="Hyperlink"/>
            <w:noProof/>
          </w:rPr>
          <w:t>Liabilities of non - GG government controlled entities</w:t>
        </w:r>
        <w:r w:rsidR="001461DC">
          <w:rPr>
            <w:noProof/>
            <w:webHidden/>
          </w:rPr>
          <w:tab/>
        </w:r>
        <w:r w:rsidR="001461DC">
          <w:rPr>
            <w:noProof/>
            <w:webHidden/>
          </w:rPr>
          <w:fldChar w:fldCharType="begin"/>
        </w:r>
        <w:r w:rsidR="001461DC">
          <w:rPr>
            <w:noProof/>
            <w:webHidden/>
          </w:rPr>
          <w:instrText xml:space="preserve"> PAGEREF _Toc177747042 \h </w:instrText>
        </w:r>
        <w:r w:rsidR="001461DC">
          <w:rPr>
            <w:noProof/>
            <w:webHidden/>
          </w:rPr>
        </w:r>
        <w:r w:rsidR="001461DC">
          <w:rPr>
            <w:noProof/>
            <w:webHidden/>
          </w:rPr>
          <w:fldChar w:fldCharType="separate"/>
        </w:r>
        <w:r w:rsidR="00000F2A">
          <w:rPr>
            <w:noProof/>
            <w:webHidden/>
          </w:rPr>
          <w:t>30</w:t>
        </w:r>
        <w:r w:rsidR="001461DC">
          <w:rPr>
            <w:noProof/>
            <w:webHidden/>
          </w:rPr>
          <w:fldChar w:fldCharType="end"/>
        </w:r>
      </w:hyperlink>
    </w:p>
    <w:p w14:paraId="1C945931" w14:textId="5F3DEAA7" w:rsidR="001461DC" w:rsidRDefault="00925230" w:rsidP="00E77D7E">
      <w:pPr>
        <w:pStyle w:val="TableofFigures"/>
        <w:tabs>
          <w:tab w:val="right" w:leader="dot" w:pos="8891"/>
        </w:tabs>
        <w:ind w:left="993" w:hanging="993"/>
        <w:rPr>
          <w:noProof/>
          <w:sz w:val="22"/>
        </w:rPr>
      </w:pPr>
      <w:hyperlink w:anchor="_Toc177747043" w:history="1">
        <w:r w:rsidR="001461DC" w:rsidRPr="00572BD1">
          <w:rPr>
            <w:rStyle w:val="Hyperlink"/>
            <w:noProof/>
          </w:rPr>
          <w:t xml:space="preserve">Table 13 </w:t>
        </w:r>
        <w:r w:rsidR="001461DC">
          <w:rPr>
            <w:rStyle w:val="Hyperlink"/>
            <w:noProof/>
          </w:rPr>
          <w:tab/>
        </w:r>
        <w:r w:rsidR="001461DC" w:rsidRPr="00572BD1">
          <w:rPr>
            <w:rStyle w:val="Hyperlink"/>
            <w:noProof/>
          </w:rPr>
          <w:t>Reference Trajectory</w:t>
        </w:r>
        <w:r w:rsidR="001461DC">
          <w:rPr>
            <w:noProof/>
            <w:webHidden/>
          </w:rPr>
          <w:tab/>
        </w:r>
        <w:r w:rsidR="001461DC">
          <w:rPr>
            <w:noProof/>
            <w:webHidden/>
          </w:rPr>
          <w:fldChar w:fldCharType="begin"/>
        </w:r>
        <w:r w:rsidR="001461DC">
          <w:rPr>
            <w:noProof/>
            <w:webHidden/>
          </w:rPr>
          <w:instrText xml:space="preserve"> PAGEREF _Toc177747043 \h </w:instrText>
        </w:r>
        <w:r w:rsidR="001461DC">
          <w:rPr>
            <w:noProof/>
            <w:webHidden/>
          </w:rPr>
        </w:r>
        <w:r w:rsidR="001461DC">
          <w:rPr>
            <w:noProof/>
            <w:webHidden/>
          </w:rPr>
          <w:fldChar w:fldCharType="separate"/>
        </w:r>
        <w:r w:rsidR="00000F2A">
          <w:rPr>
            <w:noProof/>
            <w:webHidden/>
          </w:rPr>
          <w:t>31</w:t>
        </w:r>
        <w:r w:rsidR="001461DC">
          <w:rPr>
            <w:noProof/>
            <w:webHidden/>
          </w:rPr>
          <w:fldChar w:fldCharType="end"/>
        </w:r>
      </w:hyperlink>
    </w:p>
    <w:p w14:paraId="022E77CF" w14:textId="2C39331D" w:rsidR="001461DC" w:rsidRDefault="00925230" w:rsidP="00E77D7E">
      <w:pPr>
        <w:pStyle w:val="TableofFigures"/>
        <w:tabs>
          <w:tab w:val="right" w:leader="dot" w:pos="8891"/>
        </w:tabs>
        <w:ind w:left="993" w:hanging="993"/>
        <w:rPr>
          <w:noProof/>
          <w:sz w:val="22"/>
        </w:rPr>
      </w:pPr>
      <w:hyperlink w:anchor="_Toc177747044" w:history="1">
        <w:r w:rsidR="001461DC" w:rsidRPr="00572BD1">
          <w:rPr>
            <w:rStyle w:val="Hyperlink"/>
            <w:noProof/>
          </w:rPr>
          <w:t xml:space="preserve">Table 14 </w:t>
        </w:r>
        <w:r w:rsidR="001461DC">
          <w:rPr>
            <w:rStyle w:val="Hyperlink"/>
            <w:noProof/>
          </w:rPr>
          <w:tab/>
        </w:r>
        <w:r w:rsidR="001461DC" w:rsidRPr="00572BD1">
          <w:rPr>
            <w:rStyle w:val="Hyperlink"/>
            <w:noProof/>
          </w:rPr>
          <w:t>Main budgetary, macroeconomic and financial variables</w:t>
        </w:r>
        <w:r w:rsidR="001461DC">
          <w:rPr>
            <w:noProof/>
            <w:webHidden/>
          </w:rPr>
          <w:tab/>
        </w:r>
        <w:r w:rsidR="001461DC">
          <w:rPr>
            <w:noProof/>
            <w:webHidden/>
          </w:rPr>
          <w:fldChar w:fldCharType="begin"/>
        </w:r>
        <w:r w:rsidR="001461DC">
          <w:rPr>
            <w:noProof/>
            <w:webHidden/>
          </w:rPr>
          <w:instrText xml:space="preserve"> PAGEREF _Toc177747044 \h </w:instrText>
        </w:r>
        <w:r w:rsidR="001461DC">
          <w:rPr>
            <w:noProof/>
            <w:webHidden/>
          </w:rPr>
        </w:r>
        <w:r w:rsidR="001461DC">
          <w:rPr>
            <w:noProof/>
            <w:webHidden/>
          </w:rPr>
          <w:fldChar w:fldCharType="separate"/>
        </w:r>
        <w:r w:rsidR="00000F2A">
          <w:rPr>
            <w:noProof/>
            <w:webHidden/>
          </w:rPr>
          <w:t>31</w:t>
        </w:r>
        <w:r w:rsidR="001461DC">
          <w:rPr>
            <w:noProof/>
            <w:webHidden/>
          </w:rPr>
          <w:fldChar w:fldCharType="end"/>
        </w:r>
      </w:hyperlink>
    </w:p>
    <w:p w14:paraId="4BB6ECDB" w14:textId="7BC42729" w:rsidR="001461DC" w:rsidRDefault="00925230" w:rsidP="00E77D7E">
      <w:pPr>
        <w:pStyle w:val="TableofFigures"/>
        <w:tabs>
          <w:tab w:val="right" w:leader="dot" w:pos="8891"/>
        </w:tabs>
        <w:ind w:left="993" w:hanging="993"/>
        <w:rPr>
          <w:noProof/>
          <w:sz w:val="22"/>
        </w:rPr>
      </w:pPr>
      <w:hyperlink w:anchor="_Toc177747045" w:history="1">
        <w:r w:rsidR="001461DC" w:rsidRPr="00572BD1">
          <w:rPr>
            <w:rStyle w:val="Hyperlink"/>
            <w:noProof/>
          </w:rPr>
          <w:t xml:space="preserve">Table 15 </w:t>
        </w:r>
        <w:r w:rsidR="001461DC">
          <w:rPr>
            <w:rStyle w:val="Hyperlink"/>
            <w:noProof/>
          </w:rPr>
          <w:tab/>
        </w:r>
        <w:r w:rsidR="001461DC" w:rsidRPr="00572BD1">
          <w:rPr>
            <w:rStyle w:val="Hyperlink"/>
            <w:noProof/>
          </w:rPr>
          <w:t>Main variables related to the Reference Trajectory</w:t>
        </w:r>
        <w:r w:rsidR="001461DC">
          <w:rPr>
            <w:noProof/>
            <w:webHidden/>
          </w:rPr>
          <w:tab/>
        </w:r>
        <w:r w:rsidR="001461DC">
          <w:rPr>
            <w:noProof/>
            <w:webHidden/>
          </w:rPr>
          <w:fldChar w:fldCharType="begin"/>
        </w:r>
        <w:r w:rsidR="001461DC">
          <w:rPr>
            <w:noProof/>
            <w:webHidden/>
          </w:rPr>
          <w:instrText xml:space="preserve"> PAGEREF _Toc177747045 \h </w:instrText>
        </w:r>
        <w:r w:rsidR="001461DC">
          <w:rPr>
            <w:noProof/>
            <w:webHidden/>
          </w:rPr>
        </w:r>
        <w:r w:rsidR="001461DC">
          <w:rPr>
            <w:noProof/>
            <w:webHidden/>
          </w:rPr>
          <w:fldChar w:fldCharType="separate"/>
        </w:r>
        <w:r w:rsidR="00000F2A">
          <w:rPr>
            <w:noProof/>
            <w:webHidden/>
          </w:rPr>
          <w:t>32</w:t>
        </w:r>
        <w:r w:rsidR="001461DC">
          <w:rPr>
            <w:noProof/>
            <w:webHidden/>
          </w:rPr>
          <w:fldChar w:fldCharType="end"/>
        </w:r>
      </w:hyperlink>
    </w:p>
    <w:p w14:paraId="43A9714A" w14:textId="5CF21C0A" w:rsidR="001461DC" w:rsidRDefault="00925230" w:rsidP="00E77D7E">
      <w:pPr>
        <w:pStyle w:val="TableofFigures"/>
        <w:tabs>
          <w:tab w:val="right" w:leader="dot" w:pos="8891"/>
        </w:tabs>
        <w:ind w:left="993" w:hanging="993"/>
        <w:rPr>
          <w:noProof/>
          <w:sz w:val="22"/>
        </w:rPr>
      </w:pPr>
      <w:hyperlink w:anchor="_Toc177747046" w:history="1">
        <w:r w:rsidR="001461DC" w:rsidRPr="00572BD1">
          <w:rPr>
            <w:rStyle w:val="Hyperlink"/>
            <w:noProof/>
          </w:rPr>
          <w:t xml:space="preserve">Table 16 </w:t>
        </w:r>
        <w:r w:rsidR="001461DC">
          <w:rPr>
            <w:rStyle w:val="Hyperlink"/>
            <w:noProof/>
          </w:rPr>
          <w:tab/>
        </w:r>
        <w:r w:rsidR="001461DC" w:rsidRPr="00572BD1">
          <w:rPr>
            <w:rStyle w:val="Hyperlink"/>
            <w:noProof/>
          </w:rPr>
          <w:t>Main variables related to the trajectory after updating only budget data of 2024</w:t>
        </w:r>
        <w:r w:rsidR="001461DC">
          <w:rPr>
            <w:noProof/>
            <w:webHidden/>
          </w:rPr>
          <w:tab/>
        </w:r>
        <w:r w:rsidR="001461DC">
          <w:rPr>
            <w:noProof/>
            <w:webHidden/>
          </w:rPr>
          <w:fldChar w:fldCharType="begin"/>
        </w:r>
        <w:r w:rsidR="001461DC">
          <w:rPr>
            <w:noProof/>
            <w:webHidden/>
          </w:rPr>
          <w:instrText xml:space="preserve"> PAGEREF _Toc177747046 \h </w:instrText>
        </w:r>
        <w:r w:rsidR="001461DC">
          <w:rPr>
            <w:noProof/>
            <w:webHidden/>
          </w:rPr>
        </w:r>
        <w:r w:rsidR="001461DC">
          <w:rPr>
            <w:noProof/>
            <w:webHidden/>
          </w:rPr>
          <w:fldChar w:fldCharType="separate"/>
        </w:r>
        <w:r w:rsidR="00000F2A">
          <w:rPr>
            <w:noProof/>
            <w:webHidden/>
          </w:rPr>
          <w:t>33</w:t>
        </w:r>
        <w:r w:rsidR="001461DC">
          <w:rPr>
            <w:noProof/>
            <w:webHidden/>
          </w:rPr>
          <w:fldChar w:fldCharType="end"/>
        </w:r>
      </w:hyperlink>
    </w:p>
    <w:p w14:paraId="566C0BA8" w14:textId="3112394E" w:rsidR="001461DC" w:rsidRDefault="00925230" w:rsidP="00E77D7E">
      <w:pPr>
        <w:pStyle w:val="TableofFigures"/>
        <w:tabs>
          <w:tab w:val="right" w:leader="dot" w:pos="8891"/>
        </w:tabs>
        <w:ind w:left="993" w:hanging="993"/>
        <w:jc w:val="left"/>
        <w:rPr>
          <w:noProof/>
          <w:sz w:val="22"/>
        </w:rPr>
      </w:pPr>
      <w:hyperlink w:anchor="_Toc177747047" w:history="1">
        <w:r w:rsidR="001461DC" w:rsidRPr="00572BD1">
          <w:rPr>
            <w:rStyle w:val="Hyperlink"/>
            <w:noProof/>
          </w:rPr>
          <w:t xml:space="preserve">Table 17 </w:t>
        </w:r>
        <w:r w:rsidR="001461DC">
          <w:rPr>
            <w:rStyle w:val="Hyperlink"/>
            <w:noProof/>
          </w:rPr>
          <w:tab/>
        </w:r>
        <w:r w:rsidR="001461DC" w:rsidRPr="00572BD1">
          <w:rPr>
            <w:rStyle w:val="Hyperlink"/>
            <w:noProof/>
          </w:rPr>
          <w:t xml:space="preserve">Main variables related to the trajectory after updating budget data of 2024 </w:t>
        </w:r>
        <w:r w:rsidR="001461DC">
          <w:rPr>
            <w:rStyle w:val="Hyperlink"/>
            <w:noProof/>
          </w:rPr>
          <w:br/>
        </w:r>
        <w:r w:rsidR="001461DC" w:rsidRPr="00572BD1">
          <w:rPr>
            <w:rStyle w:val="Hyperlink"/>
            <w:noProof/>
          </w:rPr>
          <w:t>as well as potential GDP and revenue elasticity</w:t>
        </w:r>
        <w:r w:rsidR="001461DC">
          <w:rPr>
            <w:noProof/>
            <w:webHidden/>
          </w:rPr>
          <w:tab/>
        </w:r>
        <w:r w:rsidR="001461DC">
          <w:rPr>
            <w:noProof/>
            <w:webHidden/>
          </w:rPr>
          <w:fldChar w:fldCharType="begin"/>
        </w:r>
        <w:r w:rsidR="001461DC">
          <w:rPr>
            <w:noProof/>
            <w:webHidden/>
          </w:rPr>
          <w:instrText xml:space="preserve"> PAGEREF _Toc177747047 \h </w:instrText>
        </w:r>
        <w:r w:rsidR="001461DC">
          <w:rPr>
            <w:noProof/>
            <w:webHidden/>
          </w:rPr>
        </w:r>
        <w:r w:rsidR="001461DC">
          <w:rPr>
            <w:noProof/>
            <w:webHidden/>
          </w:rPr>
          <w:fldChar w:fldCharType="separate"/>
        </w:r>
        <w:r w:rsidR="00000F2A">
          <w:rPr>
            <w:noProof/>
            <w:webHidden/>
          </w:rPr>
          <w:t>34</w:t>
        </w:r>
        <w:r w:rsidR="001461DC">
          <w:rPr>
            <w:noProof/>
            <w:webHidden/>
          </w:rPr>
          <w:fldChar w:fldCharType="end"/>
        </w:r>
      </w:hyperlink>
    </w:p>
    <w:p w14:paraId="0A081BD4" w14:textId="19E052E5" w:rsidR="001461DC" w:rsidRDefault="00925230" w:rsidP="00E77D7E">
      <w:pPr>
        <w:pStyle w:val="TableofFigures"/>
        <w:tabs>
          <w:tab w:val="right" w:leader="dot" w:pos="8891"/>
        </w:tabs>
        <w:ind w:left="993" w:hanging="993"/>
        <w:rPr>
          <w:noProof/>
          <w:sz w:val="22"/>
        </w:rPr>
      </w:pPr>
      <w:hyperlink w:anchor="_Toc177747048" w:history="1">
        <w:r w:rsidR="001461DC" w:rsidRPr="00572BD1">
          <w:rPr>
            <w:rStyle w:val="Hyperlink"/>
            <w:noProof/>
          </w:rPr>
          <w:t xml:space="preserve">Table 18 </w:t>
        </w:r>
        <w:r w:rsidR="001461DC">
          <w:rPr>
            <w:rStyle w:val="Hyperlink"/>
            <w:noProof/>
          </w:rPr>
          <w:tab/>
        </w:r>
        <w:r w:rsidR="001461DC" w:rsidRPr="00572BD1">
          <w:rPr>
            <w:rStyle w:val="Hyperlink"/>
            <w:noProof/>
          </w:rPr>
          <w:t>Estimated impact of discretionary measures 2023-2024</w:t>
        </w:r>
        <w:r w:rsidR="001461DC">
          <w:rPr>
            <w:noProof/>
            <w:webHidden/>
          </w:rPr>
          <w:tab/>
        </w:r>
        <w:r w:rsidR="001461DC">
          <w:rPr>
            <w:noProof/>
            <w:webHidden/>
          </w:rPr>
          <w:fldChar w:fldCharType="begin"/>
        </w:r>
        <w:r w:rsidR="001461DC">
          <w:rPr>
            <w:noProof/>
            <w:webHidden/>
          </w:rPr>
          <w:instrText xml:space="preserve"> PAGEREF _Toc177747048 \h </w:instrText>
        </w:r>
        <w:r w:rsidR="001461DC">
          <w:rPr>
            <w:noProof/>
            <w:webHidden/>
          </w:rPr>
        </w:r>
        <w:r w:rsidR="001461DC">
          <w:rPr>
            <w:noProof/>
            <w:webHidden/>
          </w:rPr>
          <w:fldChar w:fldCharType="separate"/>
        </w:r>
        <w:r w:rsidR="00000F2A">
          <w:rPr>
            <w:noProof/>
            <w:webHidden/>
          </w:rPr>
          <w:t>141</w:t>
        </w:r>
        <w:r w:rsidR="001461DC">
          <w:rPr>
            <w:noProof/>
            <w:webHidden/>
          </w:rPr>
          <w:fldChar w:fldCharType="end"/>
        </w:r>
      </w:hyperlink>
    </w:p>
    <w:p w14:paraId="742047CA" w14:textId="10CDEFAF" w:rsidR="001461DC" w:rsidRDefault="00925230" w:rsidP="00E77D7E">
      <w:pPr>
        <w:pStyle w:val="TableofFigures"/>
        <w:tabs>
          <w:tab w:val="right" w:leader="dot" w:pos="8891"/>
        </w:tabs>
        <w:ind w:left="993" w:hanging="993"/>
        <w:rPr>
          <w:noProof/>
          <w:sz w:val="22"/>
        </w:rPr>
      </w:pPr>
      <w:hyperlink w:anchor="_Toc177747049" w:history="1">
        <w:r w:rsidR="001461DC" w:rsidRPr="00572BD1">
          <w:rPr>
            <w:rStyle w:val="Hyperlink"/>
            <w:noProof/>
          </w:rPr>
          <w:t xml:space="preserve">Table 19 </w:t>
        </w:r>
        <w:r w:rsidR="001461DC">
          <w:rPr>
            <w:rStyle w:val="Hyperlink"/>
            <w:noProof/>
          </w:rPr>
          <w:tab/>
        </w:r>
        <w:r w:rsidR="001461DC" w:rsidRPr="00572BD1">
          <w:rPr>
            <w:rStyle w:val="Hyperlink"/>
            <w:noProof/>
          </w:rPr>
          <w:t>Indicative revenue and expenditure measures envisaged in the plan</w:t>
        </w:r>
        <w:r w:rsidR="001461DC">
          <w:rPr>
            <w:noProof/>
            <w:webHidden/>
          </w:rPr>
          <w:tab/>
        </w:r>
        <w:r w:rsidR="001461DC">
          <w:rPr>
            <w:noProof/>
            <w:webHidden/>
          </w:rPr>
          <w:fldChar w:fldCharType="begin"/>
        </w:r>
        <w:r w:rsidR="001461DC">
          <w:rPr>
            <w:noProof/>
            <w:webHidden/>
          </w:rPr>
          <w:instrText xml:space="preserve"> PAGEREF _Toc177747049 \h </w:instrText>
        </w:r>
        <w:r w:rsidR="001461DC">
          <w:rPr>
            <w:noProof/>
            <w:webHidden/>
          </w:rPr>
        </w:r>
        <w:r w:rsidR="001461DC">
          <w:rPr>
            <w:noProof/>
            <w:webHidden/>
          </w:rPr>
          <w:fldChar w:fldCharType="separate"/>
        </w:r>
        <w:r w:rsidR="00000F2A">
          <w:rPr>
            <w:noProof/>
            <w:webHidden/>
          </w:rPr>
          <w:t>142</w:t>
        </w:r>
        <w:r w:rsidR="001461DC">
          <w:rPr>
            <w:noProof/>
            <w:webHidden/>
          </w:rPr>
          <w:fldChar w:fldCharType="end"/>
        </w:r>
      </w:hyperlink>
    </w:p>
    <w:p w14:paraId="50734F3F" w14:textId="365EAD9C" w:rsidR="00FA62EC" w:rsidRPr="005C0E75" w:rsidRDefault="00A54B46" w:rsidP="00EE782E">
      <w:pPr>
        <w:pStyle w:val="TOCHeading"/>
        <w:spacing w:after="480" w:line="300" w:lineRule="atLeast"/>
        <w:jc w:val="both"/>
        <w:rPr>
          <w:rFonts w:asciiTheme="minorHAnsi" w:eastAsiaTheme="minorEastAsia" w:hAnsiTheme="minorHAnsi" w:cstheme="minorHAnsi"/>
          <w:bCs w:val="0"/>
          <w:w w:val="100"/>
          <w:sz w:val="40"/>
          <w:szCs w:val="22"/>
          <w:lang w:eastAsia="el-GR"/>
        </w:rPr>
      </w:pPr>
      <w:r w:rsidRPr="002D5119">
        <w:rPr>
          <w:rFonts w:asciiTheme="minorHAnsi" w:hAnsiTheme="minorHAnsi" w:cstheme="minorHAnsi"/>
          <w:lang w:val="en-US"/>
        </w:rPr>
        <w:fldChar w:fldCharType="end"/>
      </w:r>
      <w:r w:rsidR="00D23398" w:rsidRPr="002D5119">
        <w:rPr>
          <w:rFonts w:asciiTheme="minorHAnsi" w:hAnsiTheme="minorHAnsi" w:cstheme="minorHAnsi"/>
          <w:lang w:val="en-US"/>
        </w:rPr>
        <w:br/>
      </w:r>
      <w:r w:rsidR="00FA62EC" w:rsidRPr="005C0E75">
        <w:rPr>
          <w:rFonts w:asciiTheme="minorHAnsi" w:eastAsiaTheme="minorEastAsia" w:hAnsiTheme="minorHAnsi" w:cstheme="minorHAnsi"/>
          <w:bCs w:val="0"/>
          <w:w w:val="100"/>
          <w:sz w:val="40"/>
          <w:szCs w:val="22"/>
          <w:lang w:eastAsia="el-GR"/>
        </w:rPr>
        <w:t>Figures</w:t>
      </w:r>
    </w:p>
    <w:p w14:paraId="170B1413" w14:textId="4EA0C092" w:rsidR="002509C7" w:rsidRDefault="002509C7" w:rsidP="00D23398">
      <w:pPr>
        <w:pStyle w:val="TableofFigures"/>
        <w:tabs>
          <w:tab w:val="right" w:leader="dot" w:pos="8891"/>
        </w:tabs>
        <w:ind w:left="993" w:hanging="993"/>
        <w:rPr>
          <w:noProof/>
          <w:sz w:val="22"/>
        </w:rPr>
      </w:pPr>
      <w:r>
        <w:rPr>
          <w:lang w:val="en-US"/>
        </w:rPr>
        <w:fldChar w:fldCharType="begin"/>
      </w:r>
      <w:r>
        <w:rPr>
          <w:lang w:val="en-US"/>
        </w:rPr>
        <w:instrText xml:space="preserve"> TOC \h \z \c "Figure" </w:instrText>
      </w:r>
      <w:r>
        <w:rPr>
          <w:lang w:val="en-US"/>
        </w:rPr>
        <w:fldChar w:fldCharType="separate"/>
      </w:r>
      <w:hyperlink w:anchor="_Toc177642764" w:history="1">
        <w:r w:rsidRPr="00175F1F">
          <w:rPr>
            <w:rStyle w:val="Hyperlink"/>
            <w:noProof/>
          </w:rPr>
          <w:t xml:space="preserve">Figure 1 </w:t>
        </w:r>
        <w:r w:rsidR="00D23398">
          <w:rPr>
            <w:rStyle w:val="Hyperlink"/>
            <w:noProof/>
          </w:rPr>
          <w:tab/>
        </w:r>
        <w:r w:rsidRPr="00175F1F">
          <w:rPr>
            <w:rStyle w:val="Hyperlink"/>
            <w:noProof/>
          </w:rPr>
          <w:t>Breakdown of projected debt reduction 2024-2028</w:t>
        </w:r>
        <w:r>
          <w:rPr>
            <w:noProof/>
            <w:webHidden/>
          </w:rPr>
          <w:tab/>
        </w:r>
        <w:r>
          <w:rPr>
            <w:noProof/>
            <w:webHidden/>
          </w:rPr>
          <w:fldChar w:fldCharType="begin"/>
        </w:r>
        <w:r>
          <w:rPr>
            <w:noProof/>
            <w:webHidden/>
          </w:rPr>
          <w:instrText xml:space="preserve"> PAGEREF _Toc177642764 \h </w:instrText>
        </w:r>
        <w:r>
          <w:rPr>
            <w:noProof/>
            <w:webHidden/>
          </w:rPr>
        </w:r>
        <w:r>
          <w:rPr>
            <w:noProof/>
            <w:webHidden/>
          </w:rPr>
          <w:fldChar w:fldCharType="separate"/>
        </w:r>
        <w:r w:rsidR="00000F2A">
          <w:rPr>
            <w:noProof/>
            <w:webHidden/>
          </w:rPr>
          <w:t>25</w:t>
        </w:r>
        <w:r>
          <w:rPr>
            <w:noProof/>
            <w:webHidden/>
          </w:rPr>
          <w:fldChar w:fldCharType="end"/>
        </w:r>
      </w:hyperlink>
    </w:p>
    <w:p w14:paraId="1F0DD819" w14:textId="49B4EC05" w:rsidR="002509C7" w:rsidRDefault="00925230" w:rsidP="00D23398">
      <w:pPr>
        <w:pStyle w:val="TableofFigures"/>
        <w:tabs>
          <w:tab w:val="right" w:leader="dot" w:pos="8891"/>
        </w:tabs>
        <w:ind w:left="993" w:hanging="993"/>
        <w:jc w:val="left"/>
        <w:rPr>
          <w:noProof/>
          <w:sz w:val="22"/>
        </w:rPr>
      </w:pPr>
      <w:hyperlink w:anchor="_Toc177642765" w:history="1">
        <w:r w:rsidR="002509C7" w:rsidRPr="00175F1F">
          <w:rPr>
            <w:rStyle w:val="Hyperlink"/>
            <w:noProof/>
          </w:rPr>
          <w:t xml:space="preserve">Figure 2 </w:t>
        </w:r>
        <w:r w:rsidR="00D23398">
          <w:rPr>
            <w:rStyle w:val="Hyperlink"/>
            <w:noProof/>
          </w:rPr>
          <w:tab/>
        </w:r>
        <w:r w:rsidR="002509C7" w:rsidRPr="00175F1F">
          <w:rPr>
            <w:rStyle w:val="Hyperlink"/>
            <w:noProof/>
          </w:rPr>
          <w:t xml:space="preserve">The evolution of the debt ratio in the adjustment scenario </w:t>
        </w:r>
        <w:r w:rsidR="00D23398">
          <w:rPr>
            <w:rStyle w:val="Hyperlink"/>
            <w:noProof/>
          </w:rPr>
          <w:br/>
        </w:r>
        <w:r w:rsidR="002509C7" w:rsidRPr="00175F1F">
          <w:rPr>
            <w:rStyle w:val="Hyperlink"/>
            <w:noProof/>
          </w:rPr>
          <w:t>and in the deterministic stress scenarios</w:t>
        </w:r>
        <w:r w:rsidR="002509C7">
          <w:rPr>
            <w:noProof/>
            <w:webHidden/>
          </w:rPr>
          <w:tab/>
        </w:r>
        <w:r w:rsidR="002509C7">
          <w:rPr>
            <w:noProof/>
            <w:webHidden/>
          </w:rPr>
          <w:fldChar w:fldCharType="begin"/>
        </w:r>
        <w:r w:rsidR="002509C7">
          <w:rPr>
            <w:noProof/>
            <w:webHidden/>
          </w:rPr>
          <w:instrText xml:space="preserve"> PAGEREF _Toc177642765 \h </w:instrText>
        </w:r>
        <w:r w:rsidR="002509C7">
          <w:rPr>
            <w:noProof/>
            <w:webHidden/>
          </w:rPr>
        </w:r>
        <w:r w:rsidR="002509C7">
          <w:rPr>
            <w:noProof/>
            <w:webHidden/>
          </w:rPr>
          <w:fldChar w:fldCharType="separate"/>
        </w:r>
        <w:r w:rsidR="00000F2A">
          <w:rPr>
            <w:noProof/>
            <w:webHidden/>
          </w:rPr>
          <w:t>26</w:t>
        </w:r>
        <w:r w:rsidR="002509C7">
          <w:rPr>
            <w:noProof/>
            <w:webHidden/>
          </w:rPr>
          <w:fldChar w:fldCharType="end"/>
        </w:r>
      </w:hyperlink>
    </w:p>
    <w:p w14:paraId="7127FD96" w14:textId="7A43B21F" w:rsidR="002509C7" w:rsidRDefault="00925230" w:rsidP="00D23398">
      <w:pPr>
        <w:pStyle w:val="TableofFigures"/>
        <w:tabs>
          <w:tab w:val="right" w:leader="dot" w:pos="8891"/>
        </w:tabs>
        <w:ind w:left="993" w:hanging="993"/>
        <w:jc w:val="left"/>
        <w:rPr>
          <w:noProof/>
          <w:sz w:val="22"/>
        </w:rPr>
      </w:pPr>
      <w:hyperlink w:anchor="_Toc177642766" w:history="1">
        <w:r w:rsidR="002509C7" w:rsidRPr="00175F1F">
          <w:rPr>
            <w:rStyle w:val="Hyperlink"/>
            <w:noProof/>
          </w:rPr>
          <w:t xml:space="preserve">Figure 3 </w:t>
        </w:r>
        <w:r w:rsidR="00D23398">
          <w:rPr>
            <w:rStyle w:val="Hyperlink"/>
            <w:noProof/>
          </w:rPr>
          <w:tab/>
        </w:r>
        <w:r w:rsidR="002509C7" w:rsidRPr="00175F1F">
          <w:rPr>
            <w:rStyle w:val="Hyperlink"/>
            <w:noProof/>
          </w:rPr>
          <w:t xml:space="preserve">Annual debt reduction under the adjustment scenario </w:t>
        </w:r>
        <w:r w:rsidR="00D23398">
          <w:rPr>
            <w:rStyle w:val="Hyperlink"/>
            <w:noProof/>
          </w:rPr>
          <w:br/>
        </w:r>
        <w:r w:rsidR="002509C7" w:rsidRPr="00175F1F">
          <w:rPr>
            <w:rStyle w:val="Hyperlink"/>
            <w:noProof/>
          </w:rPr>
          <w:t>and the deterministic stress scenarios</w:t>
        </w:r>
        <w:r w:rsidR="002509C7">
          <w:rPr>
            <w:noProof/>
            <w:webHidden/>
          </w:rPr>
          <w:tab/>
        </w:r>
        <w:r w:rsidR="002509C7">
          <w:rPr>
            <w:noProof/>
            <w:webHidden/>
          </w:rPr>
          <w:fldChar w:fldCharType="begin"/>
        </w:r>
        <w:r w:rsidR="002509C7">
          <w:rPr>
            <w:noProof/>
            <w:webHidden/>
          </w:rPr>
          <w:instrText xml:space="preserve"> PAGEREF _Toc177642766 \h </w:instrText>
        </w:r>
        <w:r w:rsidR="002509C7">
          <w:rPr>
            <w:noProof/>
            <w:webHidden/>
          </w:rPr>
        </w:r>
        <w:r w:rsidR="002509C7">
          <w:rPr>
            <w:noProof/>
            <w:webHidden/>
          </w:rPr>
          <w:fldChar w:fldCharType="separate"/>
        </w:r>
        <w:r w:rsidR="00000F2A">
          <w:rPr>
            <w:noProof/>
            <w:webHidden/>
          </w:rPr>
          <w:t>28</w:t>
        </w:r>
        <w:r w:rsidR="002509C7">
          <w:rPr>
            <w:noProof/>
            <w:webHidden/>
          </w:rPr>
          <w:fldChar w:fldCharType="end"/>
        </w:r>
      </w:hyperlink>
    </w:p>
    <w:p w14:paraId="3D4EC4CC" w14:textId="693706EC" w:rsidR="00934473" w:rsidRPr="00104497" w:rsidRDefault="002509C7" w:rsidP="001122BF">
      <w:pPr>
        <w:pStyle w:val="Heading1"/>
        <w:numPr>
          <w:ilvl w:val="0"/>
          <w:numId w:val="2"/>
        </w:numPr>
        <w:spacing w:after="480"/>
        <w:ind w:left="709" w:hanging="709"/>
        <w:rPr>
          <w:lang w:val="en-US"/>
        </w:rPr>
      </w:pPr>
      <w:r>
        <w:rPr>
          <w:lang w:val="en-US"/>
        </w:rPr>
        <w:lastRenderedPageBreak/>
        <w:fldChar w:fldCharType="end"/>
      </w:r>
      <w:bookmarkStart w:id="2" w:name="_Toc178070087"/>
      <w:r w:rsidR="00100696">
        <w:rPr>
          <w:lang w:val="en-US"/>
        </w:rPr>
        <w:t>Introduction</w:t>
      </w:r>
      <w:bookmarkEnd w:id="2"/>
    </w:p>
    <w:p w14:paraId="7F200D09" w14:textId="071745C6" w:rsidR="00133F58" w:rsidRPr="00133F58" w:rsidRDefault="00133F58" w:rsidP="00133F58">
      <w:pPr>
        <w:keepNext/>
        <w:framePr w:dropCap="drop" w:lines="2" w:hSpace="170" w:wrap="around" w:vAnchor="text" w:hAnchor="text"/>
        <w:spacing w:after="0" w:line="729" w:lineRule="exact"/>
        <w:textAlignment w:val="baseline"/>
        <w:rPr>
          <w:rFonts w:cstheme="minorHAnsi"/>
          <w:sz w:val="84"/>
          <w:lang w:val="en-US"/>
        </w:rPr>
      </w:pPr>
      <w:bookmarkStart w:id="3" w:name="_bookmark3"/>
      <w:bookmarkEnd w:id="3"/>
      <w:r w:rsidRPr="00133F58">
        <w:rPr>
          <w:rFonts w:cstheme="minorHAnsi"/>
          <w:color w:val="FF3300"/>
          <w:sz w:val="84"/>
          <w:lang w:val="en-US"/>
        </w:rPr>
        <w:t>T</w:t>
      </w:r>
    </w:p>
    <w:p w14:paraId="11E0A87E" w14:textId="7FDA58FC" w:rsidR="005D3D57" w:rsidRPr="005D3D57" w:rsidRDefault="005D3D57" w:rsidP="005D3D57">
      <w:pPr>
        <w:rPr>
          <w:lang w:val="en-US"/>
        </w:rPr>
      </w:pPr>
      <w:r w:rsidRPr="005D3D57">
        <w:rPr>
          <w:lang w:val="en-US"/>
        </w:rPr>
        <w:t>he Medium-</w:t>
      </w:r>
      <w:r w:rsidR="00E937D4">
        <w:rPr>
          <w:lang w:val="en-US"/>
        </w:rPr>
        <w:t>T</w:t>
      </w:r>
      <w:r w:rsidRPr="005D3D57">
        <w:rPr>
          <w:lang w:val="en-US"/>
        </w:rPr>
        <w:t>erm Fiscal</w:t>
      </w:r>
      <w:r w:rsidR="00E937D4">
        <w:rPr>
          <w:lang w:val="en-US"/>
        </w:rPr>
        <w:t>-</w:t>
      </w:r>
      <w:r w:rsidRPr="005D3D57">
        <w:rPr>
          <w:lang w:val="en-US"/>
        </w:rPr>
        <w:t>Structural Plan (MTP) of the Hellenic Republic for the period 2025</w:t>
      </w:r>
      <w:r w:rsidR="00EA5ED2">
        <w:rPr>
          <w:lang w:val="en-US"/>
        </w:rPr>
        <w:t>-</w:t>
      </w:r>
      <w:r w:rsidRPr="005D3D57">
        <w:rPr>
          <w:lang w:val="en-US"/>
        </w:rPr>
        <w:t>2028 is submitted to the Council and to the Commission in line with the requirements set out in Council Regulation (EU) 2024/1263</w:t>
      </w:r>
      <w:r>
        <w:rPr>
          <w:lang w:val="en-US"/>
        </w:rPr>
        <w:t>,</w:t>
      </w:r>
      <w:r w:rsidRPr="005D3D57">
        <w:rPr>
          <w:lang w:val="en-US"/>
        </w:rPr>
        <w:t xml:space="preserve"> in the context of the </w:t>
      </w:r>
      <w:r w:rsidR="000D4DE6">
        <w:rPr>
          <w:lang w:val="en-US"/>
        </w:rPr>
        <w:t>reformed</w:t>
      </w:r>
      <w:r w:rsidRPr="005D3D57">
        <w:rPr>
          <w:lang w:val="en-US"/>
        </w:rPr>
        <w:t xml:space="preserve"> European economic governance framework that entered into force on April </w:t>
      </w:r>
      <w:r w:rsidR="00AA3FCE">
        <w:rPr>
          <w:lang w:val="en-US"/>
        </w:rPr>
        <w:t>30</w:t>
      </w:r>
      <w:r w:rsidR="00AA3FCE" w:rsidRPr="00AA3FCE">
        <w:rPr>
          <w:vertAlign w:val="superscript"/>
          <w:lang w:val="en-US"/>
        </w:rPr>
        <w:t>th</w:t>
      </w:r>
      <w:r w:rsidR="00AA3FCE">
        <w:rPr>
          <w:lang w:val="en-US"/>
        </w:rPr>
        <w:t xml:space="preserve"> </w:t>
      </w:r>
      <w:r w:rsidRPr="005D3D57">
        <w:rPr>
          <w:lang w:val="en-US"/>
        </w:rPr>
        <w:t xml:space="preserve">2024. </w:t>
      </w:r>
    </w:p>
    <w:p w14:paraId="72ACB034" w14:textId="2F75AEE2" w:rsidR="0064121A" w:rsidRPr="0054696E" w:rsidRDefault="0064121A" w:rsidP="0064121A">
      <w:pPr>
        <w:rPr>
          <w:lang w:val="en-US"/>
        </w:rPr>
      </w:pPr>
      <w:r w:rsidRPr="0064121A">
        <w:rPr>
          <w:lang w:val="en-US"/>
        </w:rPr>
        <w:t xml:space="preserve">The Medium-Term Fiscal-Structural Plan (MTP) </w:t>
      </w:r>
      <w:r w:rsidR="0054696E">
        <w:rPr>
          <w:lang w:val="en-US"/>
        </w:rPr>
        <w:t>was</w:t>
      </w:r>
      <w:r w:rsidRPr="0064121A">
        <w:rPr>
          <w:lang w:val="en-US"/>
        </w:rPr>
        <w:t xml:space="preserve"> </w:t>
      </w:r>
      <w:r w:rsidR="00D9731D">
        <w:rPr>
          <w:lang w:val="en-US"/>
        </w:rPr>
        <w:t xml:space="preserve">presented and </w:t>
      </w:r>
      <w:r w:rsidRPr="0064121A">
        <w:rPr>
          <w:lang w:val="en-US"/>
        </w:rPr>
        <w:t xml:space="preserve">approved by the Ministerial </w:t>
      </w:r>
      <w:r w:rsidRPr="0054696E">
        <w:rPr>
          <w:lang w:val="en-US"/>
        </w:rPr>
        <w:t xml:space="preserve">Council </w:t>
      </w:r>
      <w:r w:rsidR="00AA3FCE" w:rsidRPr="0054696E">
        <w:rPr>
          <w:lang w:val="en-US"/>
        </w:rPr>
        <w:t>o</w:t>
      </w:r>
      <w:r w:rsidRPr="0054696E">
        <w:rPr>
          <w:lang w:val="en-US"/>
        </w:rPr>
        <w:t>n September 30</w:t>
      </w:r>
      <w:r w:rsidRPr="0054696E">
        <w:rPr>
          <w:vertAlign w:val="superscript"/>
          <w:lang w:val="en-US"/>
        </w:rPr>
        <w:t>th</w:t>
      </w:r>
      <w:r w:rsidRPr="0054696E">
        <w:rPr>
          <w:lang w:val="en-US"/>
        </w:rPr>
        <w:t xml:space="preserve"> 2024 and </w:t>
      </w:r>
      <w:r w:rsidR="00314E94">
        <w:rPr>
          <w:lang w:val="en-US"/>
        </w:rPr>
        <w:t>was</w:t>
      </w:r>
      <w:r w:rsidRPr="0054696E">
        <w:rPr>
          <w:lang w:val="en-US"/>
        </w:rPr>
        <w:t xml:space="preserve"> made publicly available. </w:t>
      </w:r>
    </w:p>
    <w:p w14:paraId="751E4D9E" w14:textId="20A2A2E7" w:rsidR="00074CCD" w:rsidRPr="0064121A" w:rsidRDefault="00074CCD" w:rsidP="0064121A">
      <w:pPr>
        <w:rPr>
          <w:lang w:val="en-US"/>
        </w:rPr>
      </w:pPr>
      <w:r w:rsidRPr="0054696E">
        <w:rPr>
          <w:lang w:val="en-US"/>
        </w:rPr>
        <w:t xml:space="preserve">The MTP </w:t>
      </w:r>
      <w:r w:rsidR="0054696E" w:rsidRPr="0054696E">
        <w:rPr>
          <w:lang w:val="en-US"/>
        </w:rPr>
        <w:t>was</w:t>
      </w:r>
      <w:r w:rsidRPr="0054696E">
        <w:rPr>
          <w:lang w:val="en-US"/>
        </w:rPr>
        <w:t xml:space="preserve"> presented and discussed in the Standing Committee of Economic Affairs and the Committee for European Affairs of the Hellenic Parliament on October 4</w:t>
      </w:r>
      <w:r w:rsidR="00DB4310" w:rsidRPr="0054696E">
        <w:rPr>
          <w:vertAlign w:val="superscript"/>
          <w:lang w:val="en-US"/>
        </w:rPr>
        <w:t>th</w:t>
      </w:r>
      <w:r w:rsidR="00DB4310" w:rsidRPr="0054696E">
        <w:rPr>
          <w:lang w:val="en-US"/>
        </w:rPr>
        <w:t xml:space="preserve"> </w:t>
      </w:r>
      <w:r w:rsidRPr="0054696E">
        <w:rPr>
          <w:lang w:val="en-US"/>
        </w:rPr>
        <w:t>2024. The Parliamentary Budget Office, the Hellenic Fiscal Council and the Bank of Greece participated in this session.</w:t>
      </w:r>
    </w:p>
    <w:p w14:paraId="5DCAEA89" w14:textId="46C3E0AF" w:rsidR="0064121A" w:rsidRDefault="0064121A" w:rsidP="0064121A">
      <w:pPr>
        <w:rPr>
          <w:lang w:val="en-US"/>
        </w:rPr>
      </w:pPr>
      <w:r w:rsidRPr="008A53AD">
        <w:rPr>
          <w:lang w:val="en-US"/>
        </w:rPr>
        <w:t xml:space="preserve">The Macroeconomic forecasts included in the </w:t>
      </w:r>
      <w:r w:rsidR="00550975">
        <w:rPr>
          <w:lang w:val="en-US"/>
        </w:rPr>
        <w:t>MTP</w:t>
      </w:r>
      <w:r w:rsidRPr="008A53AD">
        <w:rPr>
          <w:lang w:val="en-US"/>
        </w:rPr>
        <w:t xml:space="preserve"> </w:t>
      </w:r>
      <w:r w:rsidR="00FD14E0" w:rsidRPr="00FD14E0">
        <w:rPr>
          <w:lang w:val="en-US"/>
        </w:rPr>
        <w:t xml:space="preserve">and the assumptions underpinning the multi-annual net expenditure path </w:t>
      </w:r>
      <w:r w:rsidRPr="008A53AD">
        <w:rPr>
          <w:lang w:val="en-US"/>
        </w:rPr>
        <w:t xml:space="preserve">have been endorsed by the Hellenic Fiscal Council (HFC). The opinion of the HFC is provided in Annex </w:t>
      </w:r>
      <w:r w:rsidR="00A36B2F" w:rsidRPr="008A53AD">
        <w:rPr>
          <w:lang w:val="en-US"/>
        </w:rPr>
        <w:t>III</w:t>
      </w:r>
      <w:r w:rsidRPr="008A53AD">
        <w:rPr>
          <w:lang w:val="en-US"/>
        </w:rPr>
        <w:t>.</w:t>
      </w:r>
    </w:p>
    <w:p w14:paraId="4C947105" w14:textId="77777777" w:rsidR="00C2065C" w:rsidRDefault="00C2065C" w:rsidP="0064121A">
      <w:pPr>
        <w:rPr>
          <w:lang w:val="en-US"/>
        </w:rPr>
      </w:pPr>
    </w:p>
    <w:p w14:paraId="75C0B231" w14:textId="77777777" w:rsidR="0064121A" w:rsidRPr="000D4DE6" w:rsidRDefault="0064121A" w:rsidP="00B20130">
      <w:pPr>
        <w:rPr>
          <w:lang w:val="en-US"/>
        </w:rPr>
      </w:pPr>
    </w:p>
    <w:p w14:paraId="7C80F8C9" w14:textId="77777777" w:rsidR="00B20130" w:rsidRPr="000D4DE6" w:rsidRDefault="00B20130" w:rsidP="00583C70">
      <w:pPr>
        <w:rPr>
          <w:lang w:val="en-US"/>
        </w:rPr>
      </w:pPr>
    </w:p>
    <w:p w14:paraId="7AD521F0" w14:textId="77777777" w:rsidR="00B20130" w:rsidRPr="000D4DE6" w:rsidRDefault="00B20130" w:rsidP="00583C70">
      <w:pPr>
        <w:rPr>
          <w:lang w:val="en-US"/>
        </w:rPr>
      </w:pPr>
    </w:p>
    <w:p w14:paraId="5D83FC2E" w14:textId="77777777" w:rsidR="00B20130" w:rsidRPr="000D4DE6" w:rsidRDefault="00B20130" w:rsidP="00B20130">
      <w:pPr>
        <w:rPr>
          <w:lang w:val="en-US"/>
        </w:rPr>
      </w:pPr>
    </w:p>
    <w:p w14:paraId="2B6E64A0" w14:textId="77777777" w:rsidR="00B20130" w:rsidRPr="000D4DE6" w:rsidRDefault="00B20130">
      <w:pPr>
        <w:spacing w:after="200" w:line="276" w:lineRule="auto"/>
        <w:jc w:val="left"/>
        <w:rPr>
          <w:lang w:val="en-US"/>
        </w:rPr>
      </w:pPr>
      <w:r w:rsidRPr="000D4DE6">
        <w:rPr>
          <w:lang w:val="en-US"/>
        </w:rPr>
        <w:br w:type="page"/>
      </w:r>
    </w:p>
    <w:p w14:paraId="451727E4" w14:textId="77777777" w:rsidR="00B20130" w:rsidRPr="00B20130" w:rsidRDefault="00830614" w:rsidP="008E1030">
      <w:pPr>
        <w:pStyle w:val="Heading1"/>
        <w:numPr>
          <w:ilvl w:val="0"/>
          <w:numId w:val="2"/>
        </w:numPr>
        <w:spacing w:after="480"/>
        <w:ind w:left="709" w:hanging="709"/>
        <w:rPr>
          <w:lang w:val="en-US"/>
        </w:rPr>
      </w:pPr>
      <w:bookmarkStart w:id="4" w:name="_Toc178070088"/>
      <w:r w:rsidRPr="00830614">
        <w:rPr>
          <w:lang w:val="en-US"/>
        </w:rPr>
        <w:lastRenderedPageBreak/>
        <w:t>Overview of the fiscal commitment and summary of main variables</w:t>
      </w:r>
      <w:bookmarkEnd w:id="4"/>
    </w:p>
    <w:p w14:paraId="24622089" w14:textId="63425B74" w:rsidR="00755CBD" w:rsidRDefault="00755CBD" w:rsidP="00755CBD">
      <w:pPr>
        <w:rPr>
          <w:lang w:val="en-US"/>
        </w:rPr>
      </w:pPr>
      <w:r>
        <w:rPr>
          <w:lang w:val="en-US"/>
        </w:rPr>
        <w:t xml:space="preserve">The </w:t>
      </w:r>
      <w:r w:rsidR="00E937D4">
        <w:rPr>
          <w:lang w:val="en-US"/>
        </w:rPr>
        <w:t>M</w:t>
      </w:r>
      <w:r>
        <w:rPr>
          <w:lang w:val="en-US"/>
        </w:rPr>
        <w:t>edium-</w:t>
      </w:r>
      <w:r w:rsidR="00E937D4">
        <w:rPr>
          <w:lang w:val="en-US"/>
        </w:rPr>
        <w:t>T</w:t>
      </w:r>
      <w:r>
        <w:rPr>
          <w:lang w:val="en-US"/>
        </w:rPr>
        <w:t>erm</w:t>
      </w:r>
      <w:r w:rsidR="0099335D">
        <w:rPr>
          <w:lang w:val="en-US"/>
        </w:rPr>
        <w:t xml:space="preserve"> </w:t>
      </w:r>
      <w:r w:rsidR="00E937D4">
        <w:rPr>
          <w:lang w:val="en-US"/>
        </w:rPr>
        <w:t>F</w:t>
      </w:r>
      <w:r>
        <w:rPr>
          <w:lang w:val="en-US"/>
        </w:rPr>
        <w:t>iscal-</w:t>
      </w:r>
      <w:r w:rsidR="00E937D4">
        <w:rPr>
          <w:lang w:val="en-US"/>
        </w:rPr>
        <w:t>S</w:t>
      </w:r>
      <w:r>
        <w:rPr>
          <w:lang w:val="en-US"/>
        </w:rPr>
        <w:t xml:space="preserve">tructural </w:t>
      </w:r>
      <w:r w:rsidR="00E937D4">
        <w:rPr>
          <w:lang w:val="en-US"/>
        </w:rPr>
        <w:t>P</w:t>
      </w:r>
      <w:r>
        <w:rPr>
          <w:lang w:val="en-US"/>
        </w:rPr>
        <w:t>lan sets out the central fiscal commitment to keep net nationally financed primary expenditure below the annual growth rates describe</w:t>
      </w:r>
      <w:r w:rsidRPr="008648FD">
        <w:rPr>
          <w:color w:val="000000" w:themeColor="text1"/>
          <w:lang w:val="en-US"/>
        </w:rPr>
        <w:t xml:space="preserve">d in </w:t>
      </w:r>
      <w:r w:rsidR="00A54B46" w:rsidRPr="008648FD">
        <w:rPr>
          <w:color w:val="000000" w:themeColor="text1"/>
          <w:lang w:val="en-US"/>
        </w:rPr>
        <w:fldChar w:fldCharType="begin"/>
      </w:r>
      <w:r w:rsidR="008648FD" w:rsidRPr="008648FD">
        <w:rPr>
          <w:color w:val="000000" w:themeColor="text1"/>
          <w:lang w:val="en-US"/>
        </w:rPr>
        <w:instrText xml:space="preserve"> REF _Ref177548755 \h </w:instrText>
      </w:r>
      <w:r w:rsidR="00A54B46" w:rsidRPr="008648FD">
        <w:rPr>
          <w:color w:val="000000" w:themeColor="text1"/>
          <w:lang w:val="en-US"/>
        </w:rPr>
      </w:r>
      <w:r w:rsidR="00A54B46" w:rsidRPr="008648FD">
        <w:rPr>
          <w:color w:val="000000" w:themeColor="text1"/>
          <w:lang w:val="en-US"/>
        </w:rPr>
        <w:fldChar w:fldCharType="separate"/>
      </w:r>
      <w:r w:rsidR="00824AAF" w:rsidRPr="00920844">
        <w:rPr>
          <w:lang w:val="en-US"/>
        </w:rPr>
        <w:t xml:space="preserve">Table </w:t>
      </w:r>
      <w:r w:rsidR="00824AAF" w:rsidRPr="00920844">
        <w:rPr>
          <w:noProof/>
          <w:lang w:val="en-US"/>
        </w:rPr>
        <w:t>1</w:t>
      </w:r>
      <w:r w:rsidR="00A54B46" w:rsidRPr="008648FD">
        <w:rPr>
          <w:color w:val="000000" w:themeColor="text1"/>
          <w:lang w:val="en-US"/>
        </w:rPr>
        <w:fldChar w:fldCharType="end"/>
      </w:r>
      <w:r w:rsidR="008648FD" w:rsidRPr="008648FD">
        <w:rPr>
          <w:color w:val="000000" w:themeColor="text1"/>
          <w:lang w:val="en-US"/>
        </w:rPr>
        <w:t xml:space="preserve"> </w:t>
      </w:r>
      <w:r>
        <w:rPr>
          <w:lang w:val="en-US"/>
        </w:rPr>
        <w:t>below, that ensure compliance with the requirements for debt sustainability and respect the safeguards. This net expenditure path ensures that the budget deficit is maintained significantly below the 3% of GDP reference value over the medium term and that the debt ratio is put on a plausible and continuously declining path.</w:t>
      </w:r>
    </w:p>
    <w:p w14:paraId="6386DEEA" w14:textId="408426DF" w:rsidR="008648FD" w:rsidRDefault="008648FD" w:rsidP="00E72574">
      <w:pPr>
        <w:pStyle w:val="Table"/>
      </w:pPr>
      <w:bookmarkStart w:id="5" w:name="_Ref177548755"/>
      <w:bookmarkStart w:id="6" w:name="_Toc177747031"/>
      <w:r w:rsidRPr="00050382">
        <w:t xml:space="preserve">Table </w:t>
      </w:r>
      <w:r w:rsidR="00337799">
        <w:fldChar w:fldCharType="begin"/>
      </w:r>
      <w:r w:rsidR="00337799">
        <w:instrText xml:space="preserve"> SEQ Table \* ARABIC </w:instrText>
      </w:r>
      <w:r w:rsidR="00337799">
        <w:fldChar w:fldCharType="separate"/>
      </w:r>
      <w:r w:rsidR="00824AAF">
        <w:rPr>
          <w:noProof/>
        </w:rPr>
        <w:t>1</w:t>
      </w:r>
      <w:r w:rsidR="00337799">
        <w:fldChar w:fldCharType="end"/>
      </w:r>
      <w:bookmarkEnd w:id="5"/>
      <w:r>
        <w:t xml:space="preserve"> </w:t>
      </w:r>
      <w:r w:rsidR="00E72574">
        <w:t xml:space="preserve">| </w:t>
      </w:r>
      <w:r w:rsidRPr="00050382">
        <w:t>Fiscal commitment</w:t>
      </w:r>
      <w:r>
        <w:t>s</w:t>
      </w:r>
      <w:bookmarkEnd w:id="6"/>
    </w:p>
    <w:tbl>
      <w:tblPr>
        <w:tblW w:w="8837" w:type="dxa"/>
        <w:jc w:val="center"/>
        <w:tblLayout w:type="fixed"/>
        <w:tblLook w:val="04A0" w:firstRow="1" w:lastRow="0" w:firstColumn="1" w:lastColumn="0" w:noHBand="0" w:noVBand="1"/>
      </w:tblPr>
      <w:tblGrid>
        <w:gridCol w:w="328"/>
        <w:gridCol w:w="3216"/>
        <w:gridCol w:w="1559"/>
        <w:gridCol w:w="757"/>
        <w:gridCol w:w="709"/>
        <w:gridCol w:w="709"/>
        <w:gridCol w:w="850"/>
        <w:gridCol w:w="709"/>
      </w:tblGrid>
      <w:tr w:rsidR="00165738" w:rsidRPr="00F77624" w14:paraId="5C73F2B6" w14:textId="77777777" w:rsidTr="00957697">
        <w:trPr>
          <w:trHeight w:val="435"/>
          <w:jc w:val="center"/>
        </w:trPr>
        <w:tc>
          <w:tcPr>
            <w:tcW w:w="3544" w:type="dxa"/>
            <w:gridSpan w:val="2"/>
            <w:tcBorders>
              <w:top w:val="nil"/>
              <w:left w:val="nil"/>
              <w:bottom w:val="single" w:sz="4" w:space="0" w:color="FFFFFF"/>
              <w:right w:val="nil"/>
            </w:tcBorders>
            <w:shd w:val="clear" w:color="000000" w:fill="BFBFBF"/>
            <w:vAlign w:val="center"/>
            <w:hideMark/>
          </w:tcPr>
          <w:p w14:paraId="4822AB39"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 xml:space="preserve">Commitments </w:t>
            </w:r>
          </w:p>
        </w:tc>
        <w:tc>
          <w:tcPr>
            <w:tcW w:w="1559" w:type="dxa"/>
            <w:tcBorders>
              <w:top w:val="nil"/>
              <w:left w:val="nil"/>
              <w:bottom w:val="single" w:sz="4" w:space="0" w:color="FFFFFF"/>
              <w:right w:val="nil"/>
            </w:tcBorders>
            <w:shd w:val="clear" w:color="000000" w:fill="BFBFBF"/>
            <w:vAlign w:val="center"/>
            <w:hideMark/>
          </w:tcPr>
          <w:p w14:paraId="750F78FA"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 </w:t>
            </w:r>
          </w:p>
        </w:tc>
        <w:tc>
          <w:tcPr>
            <w:tcW w:w="757" w:type="dxa"/>
            <w:tcBorders>
              <w:top w:val="nil"/>
              <w:left w:val="nil"/>
              <w:bottom w:val="single" w:sz="4" w:space="0" w:color="FFFFFF"/>
              <w:right w:val="nil"/>
            </w:tcBorders>
            <w:shd w:val="clear" w:color="000000" w:fill="BFBFBF"/>
            <w:vAlign w:val="center"/>
            <w:hideMark/>
          </w:tcPr>
          <w:p w14:paraId="6DA115C4"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2024</w:t>
            </w:r>
          </w:p>
        </w:tc>
        <w:tc>
          <w:tcPr>
            <w:tcW w:w="709" w:type="dxa"/>
            <w:tcBorders>
              <w:top w:val="nil"/>
              <w:left w:val="nil"/>
              <w:bottom w:val="single" w:sz="4" w:space="0" w:color="FFFFFF"/>
              <w:right w:val="nil"/>
            </w:tcBorders>
            <w:shd w:val="clear" w:color="000000" w:fill="BFBFBF"/>
            <w:vAlign w:val="center"/>
            <w:hideMark/>
          </w:tcPr>
          <w:p w14:paraId="57CCDF49"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2025</w:t>
            </w:r>
          </w:p>
        </w:tc>
        <w:tc>
          <w:tcPr>
            <w:tcW w:w="709" w:type="dxa"/>
            <w:tcBorders>
              <w:top w:val="nil"/>
              <w:left w:val="nil"/>
              <w:bottom w:val="single" w:sz="4" w:space="0" w:color="FFFFFF"/>
              <w:right w:val="nil"/>
            </w:tcBorders>
            <w:shd w:val="clear" w:color="000000" w:fill="BFBFBF"/>
            <w:vAlign w:val="center"/>
            <w:hideMark/>
          </w:tcPr>
          <w:p w14:paraId="699EE0B0"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2026</w:t>
            </w:r>
          </w:p>
        </w:tc>
        <w:tc>
          <w:tcPr>
            <w:tcW w:w="850" w:type="dxa"/>
            <w:tcBorders>
              <w:top w:val="nil"/>
              <w:left w:val="nil"/>
              <w:bottom w:val="single" w:sz="4" w:space="0" w:color="FFFFFF"/>
              <w:right w:val="nil"/>
            </w:tcBorders>
            <w:shd w:val="clear" w:color="000000" w:fill="BFBFBF"/>
            <w:vAlign w:val="center"/>
            <w:hideMark/>
          </w:tcPr>
          <w:p w14:paraId="0F1EB2BB"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2027</w:t>
            </w:r>
          </w:p>
        </w:tc>
        <w:tc>
          <w:tcPr>
            <w:tcW w:w="709" w:type="dxa"/>
            <w:tcBorders>
              <w:top w:val="nil"/>
              <w:left w:val="nil"/>
              <w:bottom w:val="single" w:sz="4" w:space="0" w:color="FFFFFF"/>
              <w:right w:val="nil"/>
            </w:tcBorders>
            <w:shd w:val="clear" w:color="000000" w:fill="BFBFBF"/>
            <w:vAlign w:val="center"/>
            <w:hideMark/>
          </w:tcPr>
          <w:p w14:paraId="27BB6DE7" w14:textId="77777777" w:rsidR="00165738" w:rsidRPr="00F77624" w:rsidRDefault="00165738" w:rsidP="00A52DD2">
            <w:pPr>
              <w:spacing w:after="0" w:line="240" w:lineRule="auto"/>
              <w:jc w:val="center"/>
              <w:rPr>
                <w:rFonts w:ascii="Arial" w:eastAsia="Times New Roman" w:hAnsi="Arial" w:cs="Arial"/>
                <w:b/>
                <w:bCs/>
                <w:color w:val="000000"/>
                <w:sz w:val="20"/>
                <w:szCs w:val="20"/>
              </w:rPr>
            </w:pPr>
            <w:r w:rsidRPr="00F77624">
              <w:rPr>
                <w:rFonts w:ascii="Arial" w:eastAsia="Times New Roman" w:hAnsi="Arial" w:cs="Arial"/>
                <w:b/>
                <w:bCs/>
                <w:color w:val="000000"/>
                <w:sz w:val="20"/>
                <w:szCs w:val="20"/>
              </w:rPr>
              <w:t>2028</w:t>
            </w:r>
          </w:p>
        </w:tc>
      </w:tr>
      <w:tr w:rsidR="00165738" w:rsidRPr="00F77624" w14:paraId="0D487FC5" w14:textId="77777777" w:rsidTr="00854C1D">
        <w:trPr>
          <w:trHeight w:val="687"/>
          <w:jc w:val="center"/>
        </w:trPr>
        <w:tc>
          <w:tcPr>
            <w:tcW w:w="328" w:type="dxa"/>
            <w:tcBorders>
              <w:top w:val="nil"/>
              <w:left w:val="nil"/>
              <w:right w:val="nil"/>
            </w:tcBorders>
            <w:shd w:val="clear" w:color="000000" w:fill="F2F2F2"/>
            <w:vAlign w:val="center"/>
            <w:hideMark/>
          </w:tcPr>
          <w:p w14:paraId="67330802" w14:textId="77777777" w:rsidR="00165738" w:rsidRPr="00F77624" w:rsidRDefault="00165738" w:rsidP="00A52DD2">
            <w:pPr>
              <w:pStyle w:val="Tabletext"/>
            </w:pPr>
            <w:r w:rsidRPr="00F77624">
              <w:t>1</w:t>
            </w:r>
          </w:p>
        </w:tc>
        <w:tc>
          <w:tcPr>
            <w:tcW w:w="3216" w:type="dxa"/>
            <w:tcBorders>
              <w:top w:val="nil"/>
              <w:left w:val="nil"/>
              <w:right w:val="nil"/>
            </w:tcBorders>
            <w:shd w:val="clear" w:color="000000" w:fill="F2F2F2"/>
            <w:vAlign w:val="center"/>
            <w:hideMark/>
          </w:tcPr>
          <w:p w14:paraId="2BC7110A" w14:textId="77777777" w:rsidR="00165738" w:rsidRPr="00F77624" w:rsidRDefault="00165738" w:rsidP="00A52DD2">
            <w:pPr>
              <w:pStyle w:val="Tabletext"/>
            </w:pPr>
            <w:r w:rsidRPr="00F77624">
              <w:t xml:space="preserve">Net </w:t>
            </w:r>
            <w:r w:rsidRPr="00820BC3">
              <w:rPr>
                <w:rStyle w:val="TabletextChar"/>
              </w:rPr>
              <w:t>nationally</w:t>
            </w:r>
            <w:r w:rsidRPr="00F77624">
              <w:t xml:space="preserve"> financed primary expenditure </w:t>
            </w:r>
          </w:p>
        </w:tc>
        <w:tc>
          <w:tcPr>
            <w:tcW w:w="1559" w:type="dxa"/>
            <w:tcBorders>
              <w:top w:val="nil"/>
              <w:left w:val="nil"/>
              <w:right w:val="nil"/>
            </w:tcBorders>
            <w:shd w:val="clear" w:color="000000" w:fill="F2F2F2"/>
            <w:vAlign w:val="center"/>
            <w:hideMark/>
          </w:tcPr>
          <w:p w14:paraId="0EE57E15" w14:textId="77777777" w:rsidR="00165738" w:rsidRPr="00F77624" w:rsidRDefault="00165738" w:rsidP="00A52DD2">
            <w:pPr>
              <w:pStyle w:val="Tabletext"/>
            </w:pPr>
            <w:r w:rsidRPr="00F77624">
              <w:t xml:space="preserve">(growth rate) </w:t>
            </w:r>
          </w:p>
        </w:tc>
        <w:tc>
          <w:tcPr>
            <w:tcW w:w="757" w:type="dxa"/>
            <w:tcBorders>
              <w:top w:val="nil"/>
              <w:left w:val="nil"/>
              <w:right w:val="nil"/>
            </w:tcBorders>
            <w:shd w:val="clear" w:color="000000" w:fill="F2F2F2"/>
            <w:vAlign w:val="center"/>
            <w:hideMark/>
          </w:tcPr>
          <w:p w14:paraId="1522B01E" w14:textId="77777777" w:rsidR="00165738" w:rsidRPr="00F77624" w:rsidRDefault="00165738" w:rsidP="00A52DD2">
            <w:pPr>
              <w:pStyle w:val="Tabletext"/>
              <w:jc w:val="center"/>
            </w:pPr>
            <w:r w:rsidRPr="00F77624">
              <w:t>2.6</w:t>
            </w:r>
          </w:p>
        </w:tc>
        <w:tc>
          <w:tcPr>
            <w:tcW w:w="709" w:type="dxa"/>
            <w:tcBorders>
              <w:top w:val="nil"/>
              <w:left w:val="nil"/>
              <w:right w:val="nil"/>
            </w:tcBorders>
            <w:shd w:val="clear" w:color="000000" w:fill="F2F2F2"/>
            <w:vAlign w:val="center"/>
            <w:hideMark/>
          </w:tcPr>
          <w:p w14:paraId="6ECB231F" w14:textId="77777777" w:rsidR="00165738" w:rsidRPr="00F77624" w:rsidRDefault="00165738" w:rsidP="00A52DD2">
            <w:pPr>
              <w:pStyle w:val="Tabletext"/>
              <w:jc w:val="center"/>
            </w:pPr>
            <w:r w:rsidRPr="00F77624">
              <w:t>3.7</w:t>
            </w:r>
          </w:p>
        </w:tc>
        <w:tc>
          <w:tcPr>
            <w:tcW w:w="709" w:type="dxa"/>
            <w:tcBorders>
              <w:top w:val="nil"/>
              <w:left w:val="nil"/>
              <w:right w:val="nil"/>
            </w:tcBorders>
            <w:shd w:val="clear" w:color="000000" w:fill="F2F2F2"/>
            <w:vAlign w:val="center"/>
            <w:hideMark/>
          </w:tcPr>
          <w:p w14:paraId="020F4D42" w14:textId="77777777" w:rsidR="00165738" w:rsidRPr="00F77624" w:rsidRDefault="00165738" w:rsidP="00A52DD2">
            <w:pPr>
              <w:pStyle w:val="Tabletext"/>
              <w:jc w:val="center"/>
            </w:pPr>
            <w:r w:rsidRPr="00F77624">
              <w:t>3.6</w:t>
            </w:r>
          </w:p>
        </w:tc>
        <w:tc>
          <w:tcPr>
            <w:tcW w:w="850" w:type="dxa"/>
            <w:tcBorders>
              <w:top w:val="nil"/>
              <w:left w:val="nil"/>
              <w:right w:val="nil"/>
            </w:tcBorders>
            <w:shd w:val="clear" w:color="000000" w:fill="F2F2F2"/>
            <w:vAlign w:val="center"/>
            <w:hideMark/>
          </w:tcPr>
          <w:p w14:paraId="20138D28" w14:textId="77777777" w:rsidR="00165738" w:rsidRPr="00F77624" w:rsidRDefault="00165738" w:rsidP="00A52DD2">
            <w:pPr>
              <w:pStyle w:val="Tabletext"/>
              <w:jc w:val="center"/>
            </w:pPr>
            <w:r w:rsidRPr="00F77624">
              <w:t>3.1</w:t>
            </w:r>
          </w:p>
        </w:tc>
        <w:tc>
          <w:tcPr>
            <w:tcW w:w="709" w:type="dxa"/>
            <w:tcBorders>
              <w:top w:val="nil"/>
              <w:left w:val="nil"/>
              <w:right w:val="nil"/>
            </w:tcBorders>
            <w:shd w:val="clear" w:color="000000" w:fill="F2F2F2"/>
            <w:vAlign w:val="center"/>
            <w:hideMark/>
          </w:tcPr>
          <w:p w14:paraId="291B0982" w14:textId="77777777" w:rsidR="00165738" w:rsidRPr="00F77624" w:rsidRDefault="00165738" w:rsidP="00A52DD2">
            <w:pPr>
              <w:pStyle w:val="Tabletext"/>
              <w:jc w:val="center"/>
            </w:pPr>
            <w:r w:rsidRPr="00F77624">
              <w:t>3.0</w:t>
            </w:r>
          </w:p>
        </w:tc>
      </w:tr>
      <w:tr w:rsidR="00165738" w:rsidRPr="00F77624" w14:paraId="38BFD795" w14:textId="77777777" w:rsidTr="00165738">
        <w:trPr>
          <w:trHeight w:val="300"/>
          <w:jc w:val="center"/>
        </w:trPr>
        <w:tc>
          <w:tcPr>
            <w:tcW w:w="328" w:type="dxa"/>
            <w:tcBorders>
              <w:top w:val="nil"/>
              <w:left w:val="nil"/>
              <w:bottom w:val="single" w:sz="18" w:space="0" w:color="4F81BD" w:themeColor="accent1"/>
              <w:right w:val="nil"/>
            </w:tcBorders>
            <w:shd w:val="clear" w:color="000000" w:fill="D9D9D9"/>
            <w:vAlign w:val="center"/>
            <w:hideMark/>
          </w:tcPr>
          <w:p w14:paraId="315A5D3E" w14:textId="77777777" w:rsidR="00165738" w:rsidRPr="00F77624" w:rsidRDefault="00165738" w:rsidP="00A52DD2">
            <w:pPr>
              <w:pStyle w:val="Tabletext"/>
            </w:pPr>
            <w:r w:rsidRPr="00F77624">
              <w:t>2</w:t>
            </w:r>
          </w:p>
        </w:tc>
        <w:tc>
          <w:tcPr>
            <w:tcW w:w="3216" w:type="dxa"/>
            <w:tcBorders>
              <w:top w:val="nil"/>
              <w:left w:val="nil"/>
              <w:bottom w:val="single" w:sz="18" w:space="0" w:color="4F81BD" w:themeColor="accent1"/>
              <w:right w:val="nil"/>
            </w:tcBorders>
            <w:shd w:val="clear" w:color="000000" w:fill="D9D9D9"/>
            <w:vAlign w:val="center"/>
            <w:hideMark/>
          </w:tcPr>
          <w:p w14:paraId="72B7E199" w14:textId="25FE95C3" w:rsidR="00165738" w:rsidRPr="00F77624" w:rsidRDefault="00165738" w:rsidP="00A52DD2">
            <w:pPr>
              <w:pStyle w:val="Tabletext"/>
            </w:pPr>
            <w:r w:rsidRPr="00F77624">
              <w:t> </w:t>
            </w:r>
            <w:r w:rsidR="003E7268" w:rsidRPr="003E7268">
              <w:t>Net nationally financed primary expenditure</w:t>
            </w:r>
          </w:p>
        </w:tc>
        <w:tc>
          <w:tcPr>
            <w:tcW w:w="1559" w:type="dxa"/>
            <w:tcBorders>
              <w:top w:val="nil"/>
              <w:left w:val="nil"/>
              <w:bottom w:val="single" w:sz="18" w:space="0" w:color="4F81BD" w:themeColor="accent1"/>
              <w:right w:val="nil"/>
            </w:tcBorders>
            <w:shd w:val="clear" w:color="000000" w:fill="D9D9D9"/>
            <w:vAlign w:val="center"/>
            <w:hideMark/>
          </w:tcPr>
          <w:p w14:paraId="13568EC4" w14:textId="77777777" w:rsidR="00165738" w:rsidRPr="00F77624" w:rsidRDefault="00165738" w:rsidP="00A52DD2">
            <w:pPr>
              <w:pStyle w:val="Tabletext"/>
            </w:pPr>
            <w:r w:rsidRPr="00F77624">
              <w:t xml:space="preserve">(cumulative growth rate) </w:t>
            </w:r>
          </w:p>
        </w:tc>
        <w:tc>
          <w:tcPr>
            <w:tcW w:w="3734" w:type="dxa"/>
            <w:gridSpan w:val="5"/>
            <w:tcBorders>
              <w:top w:val="nil"/>
              <w:left w:val="nil"/>
              <w:bottom w:val="single" w:sz="18" w:space="0" w:color="4F81BD" w:themeColor="accent1"/>
              <w:right w:val="nil"/>
            </w:tcBorders>
            <w:shd w:val="clear" w:color="000000" w:fill="D9D9D9"/>
            <w:vAlign w:val="center"/>
            <w:hideMark/>
          </w:tcPr>
          <w:p w14:paraId="3F123674" w14:textId="1B1C1820" w:rsidR="00165738" w:rsidRPr="00F77624" w:rsidRDefault="004E2D33" w:rsidP="00A52DD2">
            <w:pPr>
              <w:pStyle w:val="Tabletext"/>
            </w:pPr>
            <w:r>
              <w:t xml:space="preserve">   2.6          6.5        10.3         13.7         17.1</w:t>
            </w:r>
          </w:p>
        </w:tc>
      </w:tr>
    </w:tbl>
    <w:p w14:paraId="32BE47FF" w14:textId="77777777" w:rsidR="008648FD" w:rsidRDefault="008648FD" w:rsidP="00755CBD">
      <w:pPr>
        <w:rPr>
          <w:lang w:val="en-US"/>
        </w:rPr>
      </w:pPr>
    </w:p>
    <w:p w14:paraId="48DCC572" w14:textId="3F0B41B2" w:rsidR="00755CBD" w:rsidRDefault="00755CBD" w:rsidP="00755CBD">
      <w:pPr>
        <w:rPr>
          <w:lang w:val="en-US"/>
        </w:rPr>
      </w:pPr>
      <w:r>
        <w:rPr>
          <w:lang w:val="en-US"/>
        </w:rPr>
        <w:t xml:space="preserve">According to </w:t>
      </w:r>
      <w:r w:rsidR="002A089D">
        <w:rPr>
          <w:lang w:val="en-US"/>
        </w:rPr>
        <w:t xml:space="preserve">the </w:t>
      </w:r>
      <w:r>
        <w:rPr>
          <w:lang w:val="en-US"/>
        </w:rPr>
        <w:t xml:space="preserve">Regulation 2024/1263 of the European Parliament and of the Council, the </w:t>
      </w:r>
      <w:r w:rsidR="00E937D4">
        <w:rPr>
          <w:lang w:val="en-US"/>
        </w:rPr>
        <w:t>M</w:t>
      </w:r>
      <w:r>
        <w:rPr>
          <w:lang w:val="en-US"/>
        </w:rPr>
        <w:t>edium-</w:t>
      </w:r>
      <w:r w:rsidR="00E937D4">
        <w:rPr>
          <w:lang w:val="en-US"/>
        </w:rPr>
        <w:t>T</w:t>
      </w:r>
      <w:r>
        <w:rPr>
          <w:lang w:val="en-US"/>
        </w:rPr>
        <w:t xml:space="preserve">erm </w:t>
      </w:r>
      <w:r w:rsidR="00E937D4">
        <w:rPr>
          <w:lang w:val="en-US"/>
        </w:rPr>
        <w:t>F</w:t>
      </w:r>
      <w:r>
        <w:rPr>
          <w:lang w:val="en-US"/>
        </w:rPr>
        <w:t>iscal</w:t>
      </w:r>
      <w:r w:rsidR="00420ED1">
        <w:rPr>
          <w:lang w:val="en-US"/>
        </w:rPr>
        <w:t>-</w:t>
      </w:r>
      <w:r w:rsidR="00E937D4">
        <w:rPr>
          <w:lang w:val="en-US"/>
        </w:rPr>
        <w:t>S</w:t>
      </w:r>
      <w:r>
        <w:rPr>
          <w:lang w:val="en-US"/>
        </w:rPr>
        <w:t xml:space="preserve">tructural </w:t>
      </w:r>
      <w:r w:rsidR="00E937D4">
        <w:rPr>
          <w:lang w:val="en-US"/>
        </w:rPr>
        <w:t>P</w:t>
      </w:r>
      <w:r>
        <w:rPr>
          <w:lang w:val="en-US"/>
        </w:rPr>
        <w:t xml:space="preserve">lan should contain the net expenditure path, as well as the underlying macroeconomic assumptions and the fiscal-structural measures in order to demonstrate compliance with the fiscal requirements of the new economic governance framework. Such requirements are defined in the Regulation and consist </w:t>
      </w:r>
      <w:r w:rsidR="002A089D">
        <w:rPr>
          <w:lang w:val="en-US"/>
        </w:rPr>
        <w:t>of</w:t>
      </w:r>
      <w:r>
        <w:rPr>
          <w:lang w:val="en-US"/>
        </w:rPr>
        <w:t xml:space="preserve"> the following:</w:t>
      </w:r>
    </w:p>
    <w:p w14:paraId="588F8F03" w14:textId="77777777" w:rsidR="00755CBD" w:rsidRDefault="00755CBD" w:rsidP="00755CBD">
      <w:pPr>
        <w:rPr>
          <w:lang w:val="en-US"/>
        </w:rPr>
      </w:pPr>
      <w:r>
        <w:rPr>
          <w:lang w:val="en-US"/>
        </w:rPr>
        <w:t>i. The projected general government debt ratio should be put or remain on a plausibly downward path by the end of the adjustment period, under the assumption of no further budgetary measures, or it should remain at levels below 60% of GDP over the medium-term.</w:t>
      </w:r>
    </w:p>
    <w:p w14:paraId="166E55D0" w14:textId="77777777" w:rsidR="00755CBD" w:rsidRDefault="00755CBD" w:rsidP="00755CBD">
      <w:pPr>
        <w:rPr>
          <w:lang w:val="en-US"/>
        </w:rPr>
      </w:pPr>
      <w:r>
        <w:rPr>
          <w:lang w:val="en-US"/>
        </w:rPr>
        <w:t xml:space="preserve">ii. The projected general government deficit should be brought below 3% of GDP over the adjustment period and should be maintained below this value over the medium-term, under the assumption of no further budgetary measures. </w:t>
      </w:r>
    </w:p>
    <w:p w14:paraId="21DEB95F" w14:textId="77777777" w:rsidR="00755CBD" w:rsidRDefault="00755CBD" w:rsidP="00755CBD">
      <w:pPr>
        <w:rPr>
          <w:lang w:val="en-US"/>
        </w:rPr>
      </w:pPr>
      <w:r>
        <w:rPr>
          <w:lang w:val="en-US"/>
        </w:rPr>
        <w:t xml:space="preserve">iii. The fiscal adjustment effort over the period covered by the plan should be linear as a rule. </w:t>
      </w:r>
    </w:p>
    <w:p w14:paraId="787A3CD0" w14:textId="77777777" w:rsidR="00755CBD" w:rsidRDefault="00755CBD" w:rsidP="00755CBD">
      <w:pPr>
        <w:rPr>
          <w:lang w:val="en-US"/>
        </w:rPr>
      </w:pPr>
      <w:r>
        <w:rPr>
          <w:lang w:val="en-US"/>
        </w:rPr>
        <w:t>iv. Consistency should be ensured with corrective paths set under the Excessive Deficit Procedure. (This requirement does not apply</w:t>
      </w:r>
      <w:r w:rsidR="00BD4070">
        <w:rPr>
          <w:lang w:val="en-US"/>
        </w:rPr>
        <w:t>,</w:t>
      </w:r>
      <w:r>
        <w:rPr>
          <w:lang w:val="en-US"/>
        </w:rPr>
        <w:t xml:space="preserve"> as Greece is not under an excessive deficit procedure)</w:t>
      </w:r>
      <w:r w:rsidR="00BD4070">
        <w:rPr>
          <w:lang w:val="en-US"/>
        </w:rPr>
        <w:t>.</w:t>
      </w:r>
    </w:p>
    <w:p w14:paraId="047BE676" w14:textId="77777777" w:rsidR="00755CBD" w:rsidRDefault="00755CBD" w:rsidP="00755CBD">
      <w:pPr>
        <w:rPr>
          <w:lang w:val="en-US"/>
        </w:rPr>
      </w:pPr>
      <w:r>
        <w:rPr>
          <w:lang w:val="en-US"/>
        </w:rPr>
        <w:t>v. The projected general government debt ratio should decline by a minimum annual average amount of 1 percentage point</w:t>
      </w:r>
      <w:r w:rsidR="00BD4070">
        <w:rPr>
          <w:lang w:val="en-US"/>
        </w:rPr>
        <w:t xml:space="preserve"> of GDP</w:t>
      </w:r>
      <w:r>
        <w:rPr>
          <w:lang w:val="en-US"/>
        </w:rPr>
        <w:t xml:space="preserve"> if it is in excess of 90% of GDP and of 0.5 percentage points </w:t>
      </w:r>
      <w:r w:rsidR="00BD4070">
        <w:rPr>
          <w:lang w:val="en-US"/>
        </w:rPr>
        <w:t>i</w:t>
      </w:r>
      <w:r>
        <w:rPr>
          <w:lang w:val="en-US"/>
        </w:rPr>
        <w:t xml:space="preserve">f it lies between 60% and 90% of GDP. This requirement should be met over the period starting </w:t>
      </w:r>
      <w:r>
        <w:rPr>
          <w:lang w:val="en-US"/>
        </w:rPr>
        <w:lastRenderedPageBreak/>
        <w:t xml:space="preserve">from the year before the plan or from the year in which the excessive deficit procedure is abrogated until the end of the adjustment period. </w:t>
      </w:r>
    </w:p>
    <w:p w14:paraId="2044E9C0" w14:textId="1E3C828B" w:rsidR="00755CBD" w:rsidRDefault="00755CBD" w:rsidP="00755CBD">
      <w:pPr>
        <w:rPr>
          <w:lang w:val="en-US"/>
        </w:rPr>
      </w:pPr>
      <w:r>
        <w:rPr>
          <w:lang w:val="en-US"/>
        </w:rPr>
        <w:t xml:space="preserve">vi. The projected structural </w:t>
      </w:r>
      <w:r w:rsidR="00B558A9">
        <w:rPr>
          <w:lang w:val="en-US"/>
        </w:rPr>
        <w:t>deficit</w:t>
      </w:r>
      <w:r>
        <w:rPr>
          <w:lang w:val="en-US"/>
        </w:rPr>
        <w:t xml:space="preserve"> over the period of the plan should not exceed 1.5% of GDP. </w:t>
      </w:r>
    </w:p>
    <w:p w14:paraId="0EC83D06" w14:textId="20C904DA" w:rsidR="00755CBD" w:rsidRDefault="00755CBD" w:rsidP="00755CBD">
      <w:pPr>
        <w:rPr>
          <w:lang w:val="en-US"/>
        </w:rPr>
      </w:pPr>
      <w:r>
        <w:rPr>
          <w:lang w:val="en-US"/>
        </w:rPr>
        <w:t>The adjustment scenario presented in this plan satisfies all the above requirements, as (i) it includes a linear fiscal adjustment of 0.10 percentage points in terms of the structural primary balance in each year of the plan, (ii) the projected general government deficit is maintained clearly below 3% throughout the entire projection period, while the structural deficit is estimated at 1.48% of GDP in 2024 and is projected to decline to values ranging between 1.1%-1.3% of GDP between 2025-2028 and (iii) the debt ratio is projected to record a significant annual decline.</w:t>
      </w:r>
    </w:p>
    <w:p w14:paraId="32D9D397" w14:textId="4509FBE8" w:rsidR="00755CBD" w:rsidRDefault="00755CBD" w:rsidP="00755CBD">
      <w:pPr>
        <w:rPr>
          <w:lang w:val="en-US"/>
        </w:rPr>
      </w:pPr>
      <w:r>
        <w:rPr>
          <w:lang w:val="en-US"/>
        </w:rPr>
        <w:t>The main macroeconomic and budgetary variables underpinning the fiscal commitment</w:t>
      </w:r>
      <w:r w:rsidR="000C5C7D" w:rsidRPr="009741B1">
        <w:rPr>
          <w:lang w:val="en-US"/>
        </w:rPr>
        <w:t xml:space="preserve"> </w:t>
      </w:r>
      <w:r w:rsidR="000C5C7D">
        <w:rPr>
          <w:lang w:val="en-US"/>
        </w:rPr>
        <w:t>of Table 1,</w:t>
      </w:r>
      <w:r>
        <w:rPr>
          <w:lang w:val="en-US"/>
        </w:rPr>
        <w:t xml:space="preserve"> are presented in </w:t>
      </w:r>
      <w:r w:rsidR="00A54B46" w:rsidRPr="008648FD">
        <w:rPr>
          <w:color w:val="000000" w:themeColor="text1"/>
          <w:lang w:val="en-US"/>
        </w:rPr>
        <w:fldChar w:fldCharType="begin"/>
      </w:r>
      <w:r w:rsidR="008648FD" w:rsidRPr="008648FD">
        <w:rPr>
          <w:color w:val="000000" w:themeColor="text1"/>
          <w:lang w:val="en-US"/>
        </w:rPr>
        <w:instrText xml:space="preserve"> REF _Ref177548838 \h </w:instrText>
      </w:r>
      <w:r w:rsidR="00A54B46" w:rsidRPr="008648FD">
        <w:rPr>
          <w:color w:val="000000" w:themeColor="text1"/>
          <w:lang w:val="en-US"/>
        </w:rPr>
      </w:r>
      <w:r w:rsidR="00A54B46" w:rsidRPr="008648FD">
        <w:rPr>
          <w:color w:val="000000" w:themeColor="text1"/>
          <w:lang w:val="en-US"/>
        </w:rPr>
        <w:fldChar w:fldCharType="separate"/>
      </w:r>
      <w:r w:rsidR="00824AAF" w:rsidRPr="00920844">
        <w:rPr>
          <w:lang w:val="en-US"/>
        </w:rPr>
        <w:t xml:space="preserve">Table </w:t>
      </w:r>
      <w:r w:rsidR="00824AAF" w:rsidRPr="00920844">
        <w:rPr>
          <w:noProof/>
          <w:lang w:val="en-US"/>
        </w:rPr>
        <w:t>2</w:t>
      </w:r>
      <w:r w:rsidR="00A54B46" w:rsidRPr="008648FD">
        <w:rPr>
          <w:color w:val="000000" w:themeColor="text1"/>
          <w:lang w:val="en-US"/>
        </w:rPr>
        <w:fldChar w:fldCharType="end"/>
      </w:r>
      <w:r w:rsidR="008648FD" w:rsidRPr="008648FD">
        <w:rPr>
          <w:color w:val="000000" w:themeColor="text1"/>
          <w:lang w:val="en-US"/>
        </w:rPr>
        <w:t xml:space="preserve"> </w:t>
      </w:r>
      <w:r>
        <w:rPr>
          <w:lang w:val="en-US"/>
        </w:rPr>
        <w:t>and are analyzed in greater detail in the following sections.</w:t>
      </w:r>
    </w:p>
    <w:p w14:paraId="69971B79" w14:textId="76DD00CE" w:rsidR="008648FD" w:rsidRPr="00E72574" w:rsidRDefault="008648FD" w:rsidP="00E72574">
      <w:pPr>
        <w:pStyle w:val="Table"/>
      </w:pPr>
      <w:bookmarkStart w:id="7" w:name="_Ref177548838"/>
      <w:bookmarkStart w:id="8" w:name="_Toc177747032"/>
      <w:r w:rsidRPr="00E72574">
        <w:t xml:space="preserve">Table </w:t>
      </w:r>
      <w:r w:rsidR="00337799">
        <w:fldChar w:fldCharType="begin"/>
      </w:r>
      <w:r w:rsidR="00337799">
        <w:instrText xml:space="preserve"> SEQ Table \* ARABIC </w:instrText>
      </w:r>
      <w:r w:rsidR="00337799">
        <w:fldChar w:fldCharType="separate"/>
      </w:r>
      <w:r w:rsidR="00824AAF">
        <w:rPr>
          <w:noProof/>
        </w:rPr>
        <w:t>2</w:t>
      </w:r>
      <w:r w:rsidR="00337799">
        <w:fldChar w:fldCharType="end"/>
      </w:r>
      <w:bookmarkEnd w:id="7"/>
      <w:r w:rsidRPr="00E72574">
        <w:t xml:space="preserve"> </w:t>
      </w:r>
      <w:r w:rsidR="00E72574">
        <w:t xml:space="preserve">| </w:t>
      </w:r>
      <w:r w:rsidRPr="00E72574">
        <w:t>Main variables</w:t>
      </w:r>
      <w:bookmarkEnd w:id="8"/>
    </w:p>
    <w:tbl>
      <w:tblPr>
        <w:tblW w:w="8961" w:type="dxa"/>
        <w:jc w:val="center"/>
        <w:tblLook w:val="04A0" w:firstRow="1" w:lastRow="0" w:firstColumn="1" w:lastColumn="0" w:noHBand="0" w:noVBand="1"/>
      </w:tblPr>
      <w:tblGrid>
        <w:gridCol w:w="424"/>
        <w:gridCol w:w="3545"/>
        <w:gridCol w:w="832"/>
        <w:gridCol w:w="832"/>
        <w:gridCol w:w="832"/>
        <w:gridCol w:w="832"/>
        <w:gridCol w:w="832"/>
        <w:gridCol w:w="832"/>
      </w:tblGrid>
      <w:tr w:rsidR="008648FD" w:rsidRPr="00EE74FC" w14:paraId="3948A427" w14:textId="77777777" w:rsidTr="00A52DD2">
        <w:trPr>
          <w:trHeight w:val="300"/>
          <w:jc w:val="center"/>
        </w:trPr>
        <w:tc>
          <w:tcPr>
            <w:tcW w:w="3969" w:type="dxa"/>
            <w:gridSpan w:val="2"/>
            <w:vMerge w:val="restart"/>
            <w:tcBorders>
              <w:top w:val="nil"/>
              <w:left w:val="nil"/>
              <w:bottom w:val="single" w:sz="4" w:space="0" w:color="FFFFFF"/>
              <w:right w:val="nil"/>
            </w:tcBorders>
            <w:shd w:val="clear" w:color="000000" w:fill="BFBFBF"/>
            <w:vAlign w:val="center"/>
            <w:hideMark/>
          </w:tcPr>
          <w:p w14:paraId="6505E611" w14:textId="4270400B" w:rsidR="008648FD" w:rsidRPr="00EE74FC" w:rsidRDefault="008648FD" w:rsidP="00A52DD2">
            <w:pPr>
              <w:spacing w:after="0" w:line="240" w:lineRule="auto"/>
              <w:jc w:val="left"/>
              <w:rPr>
                <w:rFonts w:eastAsia="Times New Roman" w:cstheme="minorHAnsi"/>
                <w:b/>
                <w:bCs/>
                <w:color w:val="000000"/>
                <w:sz w:val="21"/>
                <w:szCs w:val="21"/>
              </w:rPr>
            </w:pPr>
          </w:p>
        </w:tc>
        <w:tc>
          <w:tcPr>
            <w:tcW w:w="832" w:type="dxa"/>
            <w:tcBorders>
              <w:top w:val="nil"/>
              <w:left w:val="nil"/>
              <w:bottom w:val="single" w:sz="4" w:space="0" w:color="FFFFFF"/>
              <w:right w:val="nil"/>
            </w:tcBorders>
            <w:shd w:val="clear" w:color="000000" w:fill="BFBFBF"/>
            <w:vAlign w:val="center"/>
            <w:hideMark/>
          </w:tcPr>
          <w:p w14:paraId="2E5816B5" w14:textId="77777777" w:rsidR="008648FD" w:rsidRPr="00EE74FC" w:rsidRDefault="008648FD" w:rsidP="00A52DD2">
            <w:pPr>
              <w:spacing w:after="0" w:line="240" w:lineRule="auto"/>
              <w:jc w:val="center"/>
              <w:rPr>
                <w:rFonts w:eastAsia="Times New Roman" w:cstheme="minorHAnsi"/>
                <w:b/>
                <w:bCs/>
                <w:color w:val="000000"/>
                <w:sz w:val="21"/>
                <w:szCs w:val="21"/>
              </w:rPr>
            </w:pPr>
            <w:r w:rsidRPr="00EE74FC">
              <w:rPr>
                <w:rFonts w:eastAsia="Times New Roman" w:cstheme="minorHAnsi"/>
                <w:b/>
                <w:bCs/>
                <w:color w:val="000000"/>
                <w:sz w:val="21"/>
                <w:szCs w:val="21"/>
              </w:rPr>
              <w:t>2023</w:t>
            </w:r>
          </w:p>
        </w:tc>
        <w:tc>
          <w:tcPr>
            <w:tcW w:w="832" w:type="dxa"/>
            <w:tcBorders>
              <w:top w:val="nil"/>
              <w:left w:val="nil"/>
              <w:bottom w:val="single" w:sz="4" w:space="0" w:color="FFFFFF"/>
              <w:right w:val="nil"/>
            </w:tcBorders>
            <w:shd w:val="clear" w:color="000000" w:fill="BFBFBF"/>
            <w:vAlign w:val="center"/>
            <w:hideMark/>
          </w:tcPr>
          <w:p w14:paraId="046BF340" w14:textId="77777777" w:rsidR="008648FD" w:rsidRPr="00EE74FC" w:rsidRDefault="008648FD" w:rsidP="00A52DD2">
            <w:pPr>
              <w:spacing w:after="0" w:line="240" w:lineRule="auto"/>
              <w:jc w:val="center"/>
              <w:rPr>
                <w:rFonts w:eastAsia="Times New Roman" w:cstheme="minorHAnsi"/>
                <w:b/>
                <w:bCs/>
                <w:color w:val="000000"/>
                <w:sz w:val="21"/>
                <w:szCs w:val="21"/>
              </w:rPr>
            </w:pPr>
            <w:r w:rsidRPr="00EE74FC">
              <w:rPr>
                <w:rFonts w:eastAsia="Times New Roman" w:cstheme="minorHAnsi"/>
                <w:b/>
                <w:bCs/>
                <w:color w:val="000000"/>
                <w:sz w:val="21"/>
                <w:szCs w:val="21"/>
              </w:rPr>
              <w:t>2024</w:t>
            </w:r>
          </w:p>
        </w:tc>
        <w:tc>
          <w:tcPr>
            <w:tcW w:w="832" w:type="dxa"/>
            <w:tcBorders>
              <w:top w:val="nil"/>
              <w:left w:val="nil"/>
              <w:bottom w:val="single" w:sz="4" w:space="0" w:color="FFFFFF"/>
              <w:right w:val="nil"/>
            </w:tcBorders>
            <w:shd w:val="clear" w:color="000000" w:fill="BFBFBF"/>
            <w:vAlign w:val="center"/>
            <w:hideMark/>
          </w:tcPr>
          <w:p w14:paraId="3C5F9B64" w14:textId="77777777" w:rsidR="008648FD" w:rsidRPr="00EE74FC" w:rsidRDefault="008648FD" w:rsidP="00A52DD2">
            <w:pPr>
              <w:spacing w:after="0" w:line="240" w:lineRule="auto"/>
              <w:jc w:val="center"/>
              <w:rPr>
                <w:rFonts w:eastAsia="Times New Roman" w:cstheme="minorHAnsi"/>
                <w:b/>
                <w:bCs/>
                <w:color w:val="000000"/>
                <w:sz w:val="21"/>
                <w:szCs w:val="21"/>
              </w:rPr>
            </w:pPr>
            <w:r w:rsidRPr="00EE74FC">
              <w:rPr>
                <w:rFonts w:eastAsia="Times New Roman" w:cstheme="minorHAnsi"/>
                <w:b/>
                <w:bCs/>
                <w:color w:val="000000"/>
                <w:sz w:val="21"/>
                <w:szCs w:val="21"/>
              </w:rPr>
              <w:t>2025</w:t>
            </w:r>
          </w:p>
        </w:tc>
        <w:tc>
          <w:tcPr>
            <w:tcW w:w="832" w:type="dxa"/>
            <w:tcBorders>
              <w:top w:val="nil"/>
              <w:left w:val="nil"/>
              <w:bottom w:val="single" w:sz="4" w:space="0" w:color="FFFFFF"/>
              <w:right w:val="nil"/>
            </w:tcBorders>
            <w:shd w:val="clear" w:color="000000" w:fill="BFBFBF"/>
            <w:vAlign w:val="center"/>
            <w:hideMark/>
          </w:tcPr>
          <w:p w14:paraId="3AD92D8F" w14:textId="77777777" w:rsidR="008648FD" w:rsidRPr="00EE74FC" w:rsidRDefault="008648FD" w:rsidP="00A52DD2">
            <w:pPr>
              <w:spacing w:after="0" w:line="240" w:lineRule="auto"/>
              <w:jc w:val="center"/>
              <w:rPr>
                <w:rFonts w:eastAsia="Times New Roman" w:cstheme="minorHAnsi"/>
                <w:b/>
                <w:bCs/>
                <w:color w:val="000000"/>
                <w:sz w:val="21"/>
                <w:szCs w:val="21"/>
              </w:rPr>
            </w:pPr>
            <w:r w:rsidRPr="00EE74FC">
              <w:rPr>
                <w:rFonts w:eastAsia="Times New Roman" w:cstheme="minorHAnsi"/>
                <w:b/>
                <w:bCs/>
                <w:color w:val="000000"/>
                <w:sz w:val="21"/>
                <w:szCs w:val="21"/>
              </w:rPr>
              <w:t>2026</w:t>
            </w:r>
          </w:p>
        </w:tc>
        <w:tc>
          <w:tcPr>
            <w:tcW w:w="832" w:type="dxa"/>
            <w:tcBorders>
              <w:top w:val="nil"/>
              <w:left w:val="nil"/>
              <w:bottom w:val="single" w:sz="4" w:space="0" w:color="FFFFFF"/>
              <w:right w:val="nil"/>
            </w:tcBorders>
            <w:shd w:val="clear" w:color="000000" w:fill="BFBFBF"/>
            <w:vAlign w:val="center"/>
            <w:hideMark/>
          </w:tcPr>
          <w:p w14:paraId="38B5A5CF" w14:textId="77777777" w:rsidR="008648FD" w:rsidRPr="00EE74FC" w:rsidRDefault="008648FD" w:rsidP="00A52DD2">
            <w:pPr>
              <w:spacing w:after="0" w:line="240" w:lineRule="auto"/>
              <w:jc w:val="center"/>
              <w:rPr>
                <w:rFonts w:eastAsia="Times New Roman" w:cstheme="minorHAnsi"/>
                <w:b/>
                <w:bCs/>
                <w:color w:val="000000"/>
                <w:sz w:val="21"/>
                <w:szCs w:val="21"/>
              </w:rPr>
            </w:pPr>
            <w:r w:rsidRPr="00EE74FC">
              <w:rPr>
                <w:rFonts w:eastAsia="Times New Roman" w:cstheme="minorHAnsi"/>
                <w:b/>
                <w:bCs/>
                <w:color w:val="000000"/>
                <w:sz w:val="21"/>
                <w:szCs w:val="21"/>
              </w:rPr>
              <w:t>2027</w:t>
            </w:r>
          </w:p>
        </w:tc>
        <w:tc>
          <w:tcPr>
            <w:tcW w:w="832" w:type="dxa"/>
            <w:tcBorders>
              <w:top w:val="nil"/>
              <w:left w:val="nil"/>
              <w:bottom w:val="single" w:sz="4" w:space="0" w:color="FFFFFF"/>
              <w:right w:val="nil"/>
            </w:tcBorders>
            <w:shd w:val="clear" w:color="000000" w:fill="BFBFBF"/>
            <w:vAlign w:val="center"/>
            <w:hideMark/>
          </w:tcPr>
          <w:p w14:paraId="2BA6CE64" w14:textId="77777777" w:rsidR="008648FD" w:rsidRPr="00EE74FC" w:rsidRDefault="008648FD" w:rsidP="00A52DD2">
            <w:pPr>
              <w:spacing w:after="0" w:line="240" w:lineRule="auto"/>
              <w:jc w:val="center"/>
              <w:rPr>
                <w:rFonts w:eastAsia="Times New Roman" w:cstheme="minorHAnsi"/>
                <w:b/>
                <w:bCs/>
                <w:color w:val="000000"/>
                <w:sz w:val="21"/>
                <w:szCs w:val="21"/>
              </w:rPr>
            </w:pPr>
            <w:r w:rsidRPr="00EE74FC">
              <w:rPr>
                <w:rFonts w:eastAsia="Times New Roman" w:cstheme="minorHAnsi"/>
                <w:b/>
                <w:bCs/>
                <w:color w:val="000000"/>
                <w:sz w:val="21"/>
                <w:szCs w:val="21"/>
              </w:rPr>
              <w:t>2028</w:t>
            </w:r>
          </w:p>
        </w:tc>
      </w:tr>
      <w:tr w:rsidR="008648FD" w:rsidRPr="00EE74FC" w14:paraId="45A5AABE" w14:textId="77777777" w:rsidTr="00A52DD2">
        <w:trPr>
          <w:trHeight w:val="300"/>
          <w:jc w:val="center"/>
        </w:trPr>
        <w:tc>
          <w:tcPr>
            <w:tcW w:w="3969" w:type="dxa"/>
            <w:gridSpan w:val="2"/>
            <w:vMerge/>
            <w:tcBorders>
              <w:top w:val="nil"/>
              <w:left w:val="nil"/>
              <w:bottom w:val="single" w:sz="4" w:space="0" w:color="FFFFFF"/>
              <w:right w:val="nil"/>
            </w:tcBorders>
            <w:vAlign w:val="center"/>
            <w:hideMark/>
          </w:tcPr>
          <w:p w14:paraId="32CE2D22" w14:textId="77777777" w:rsidR="008648FD" w:rsidRPr="00EE74FC" w:rsidRDefault="008648FD" w:rsidP="00A52DD2">
            <w:pPr>
              <w:spacing w:after="0" w:line="240" w:lineRule="auto"/>
              <w:jc w:val="left"/>
              <w:rPr>
                <w:rFonts w:eastAsia="Times New Roman" w:cstheme="minorHAnsi"/>
                <w:b/>
                <w:bCs/>
                <w:color w:val="000000"/>
                <w:sz w:val="21"/>
                <w:szCs w:val="21"/>
              </w:rPr>
            </w:pPr>
          </w:p>
        </w:tc>
        <w:tc>
          <w:tcPr>
            <w:tcW w:w="4992" w:type="dxa"/>
            <w:gridSpan w:val="6"/>
            <w:tcBorders>
              <w:top w:val="single" w:sz="4" w:space="0" w:color="FFFFFF"/>
              <w:left w:val="nil"/>
              <w:bottom w:val="single" w:sz="4" w:space="0" w:color="FFFFFF"/>
              <w:right w:val="nil"/>
            </w:tcBorders>
            <w:shd w:val="clear" w:color="000000" w:fill="BFBFBF"/>
            <w:vAlign w:val="center"/>
            <w:hideMark/>
          </w:tcPr>
          <w:p w14:paraId="2AA63756" w14:textId="463A1194" w:rsidR="008648FD" w:rsidRPr="00EE74FC" w:rsidRDefault="00E937D4" w:rsidP="00A52DD2">
            <w:pPr>
              <w:spacing w:after="0" w:line="240" w:lineRule="auto"/>
              <w:jc w:val="center"/>
              <w:rPr>
                <w:rFonts w:eastAsia="Times New Roman" w:cstheme="minorHAnsi"/>
                <w:b/>
                <w:bCs/>
                <w:color w:val="000000"/>
                <w:sz w:val="21"/>
                <w:szCs w:val="21"/>
              </w:rPr>
            </w:pPr>
            <w:r>
              <w:rPr>
                <w:rFonts w:eastAsia="Times New Roman" w:cstheme="minorHAnsi"/>
                <w:b/>
                <w:bCs/>
                <w:color w:val="000000"/>
                <w:sz w:val="21"/>
                <w:szCs w:val="21"/>
                <w:lang w:val="en-US"/>
              </w:rPr>
              <w:t>G</w:t>
            </w:r>
            <w:r w:rsidR="008648FD" w:rsidRPr="00EE74FC">
              <w:rPr>
                <w:rFonts w:eastAsia="Times New Roman" w:cstheme="minorHAnsi"/>
                <w:b/>
                <w:bCs/>
                <w:color w:val="000000"/>
                <w:sz w:val="21"/>
                <w:szCs w:val="21"/>
              </w:rPr>
              <w:t xml:space="preserve">rowth </w:t>
            </w:r>
            <w:r>
              <w:rPr>
                <w:rFonts w:eastAsia="Times New Roman" w:cstheme="minorHAnsi"/>
                <w:b/>
                <w:bCs/>
                <w:color w:val="000000"/>
                <w:sz w:val="21"/>
                <w:szCs w:val="21"/>
                <w:lang w:val="en-US"/>
              </w:rPr>
              <w:t>R</w:t>
            </w:r>
            <w:r w:rsidR="008648FD" w:rsidRPr="00EE74FC">
              <w:rPr>
                <w:rFonts w:eastAsia="Times New Roman" w:cstheme="minorHAnsi"/>
                <w:b/>
                <w:bCs/>
                <w:color w:val="000000"/>
                <w:sz w:val="21"/>
                <w:szCs w:val="21"/>
              </w:rPr>
              <w:t xml:space="preserve">ate </w:t>
            </w:r>
          </w:p>
        </w:tc>
      </w:tr>
      <w:tr w:rsidR="008648FD" w:rsidRPr="00EE74FC" w14:paraId="0FA38572" w14:textId="77777777" w:rsidTr="00A52DD2">
        <w:trPr>
          <w:trHeight w:val="300"/>
          <w:jc w:val="center"/>
        </w:trPr>
        <w:tc>
          <w:tcPr>
            <w:tcW w:w="424" w:type="dxa"/>
            <w:tcBorders>
              <w:top w:val="nil"/>
              <w:left w:val="nil"/>
              <w:bottom w:val="single" w:sz="4" w:space="0" w:color="FFFFFF"/>
              <w:right w:val="nil"/>
            </w:tcBorders>
            <w:shd w:val="clear" w:color="000000" w:fill="F2F2F2"/>
            <w:vAlign w:val="center"/>
            <w:hideMark/>
          </w:tcPr>
          <w:p w14:paraId="7F942651" w14:textId="77777777" w:rsidR="008648FD" w:rsidRPr="00EE74FC" w:rsidRDefault="008648FD" w:rsidP="00A52DD2">
            <w:pPr>
              <w:pStyle w:val="Tabletext"/>
            </w:pPr>
            <w:r w:rsidRPr="00EE74FC">
              <w:t>1</w:t>
            </w:r>
          </w:p>
        </w:tc>
        <w:tc>
          <w:tcPr>
            <w:tcW w:w="3545" w:type="dxa"/>
            <w:tcBorders>
              <w:top w:val="nil"/>
              <w:left w:val="nil"/>
              <w:bottom w:val="single" w:sz="4" w:space="0" w:color="FFFFFF"/>
              <w:right w:val="nil"/>
            </w:tcBorders>
            <w:shd w:val="clear" w:color="000000" w:fill="F2F2F2"/>
            <w:vAlign w:val="center"/>
            <w:hideMark/>
          </w:tcPr>
          <w:p w14:paraId="718EF5D2" w14:textId="77777777" w:rsidR="008648FD" w:rsidRPr="00EE74FC" w:rsidRDefault="008648FD" w:rsidP="00A52DD2">
            <w:pPr>
              <w:pStyle w:val="Tabletext"/>
            </w:pPr>
            <w:r w:rsidRPr="00EE74FC">
              <w:t>Potential GDP</w:t>
            </w:r>
          </w:p>
        </w:tc>
        <w:tc>
          <w:tcPr>
            <w:tcW w:w="832" w:type="dxa"/>
            <w:tcBorders>
              <w:top w:val="nil"/>
              <w:left w:val="nil"/>
              <w:bottom w:val="single" w:sz="4" w:space="0" w:color="FFFFFF"/>
              <w:right w:val="nil"/>
            </w:tcBorders>
            <w:shd w:val="clear" w:color="000000" w:fill="F2F2F2"/>
            <w:vAlign w:val="center"/>
            <w:hideMark/>
          </w:tcPr>
          <w:p w14:paraId="147977FF" w14:textId="77777777" w:rsidR="008648FD" w:rsidRPr="00EE74FC" w:rsidRDefault="008648FD" w:rsidP="00A52DD2">
            <w:pPr>
              <w:pStyle w:val="Tabletext"/>
              <w:jc w:val="center"/>
            </w:pPr>
            <w:r w:rsidRPr="00EE74FC">
              <w:t>0.6</w:t>
            </w:r>
          </w:p>
        </w:tc>
        <w:tc>
          <w:tcPr>
            <w:tcW w:w="832" w:type="dxa"/>
            <w:tcBorders>
              <w:top w:val="nil"/>
              <w:left w:val="nil"/>
              <w:bottom w:val="single" w:sz="4" w:space="0" w:color="FFFFFF"/>
              <w:right w:val="nil"/>
            </w:tcBorders>
            <w:shd w:val="clear" w:color="000000" w:fill="F2F2F2"/>
            <w:vAlign w:val="center"/>
            <w:hideMark/>
          </w:tcPr>
          <w:p w14:paraId="12FD2B1C" w14:textId="77777777" w:rsidR="008648FD" w:rsidRPr="00EE74FC" w:rsidRDefault="008648FD" w:rsidP="00A52DD2">
            <w:pPr>
              <w:pStyle w:val="Tabletext"/>
              <w:jc w:val="center"/>
            </w:pPr>
            <w:r w:rsidRPr="00EE74FC">
              <w:t>1.2</w:t>
            </w:r>
          </w:p>
        </w:tc>
        <w:tc>
          <w:tcPr>
            <w:tcW w:w="832" w:type="dxa"/>
            <w:tcBorders>
              <w:top w:val="nil"/>
              <w:left w:val="nil"/>
              <w:bottom w:val="single" w:sz="4" w:space="0" w:color="FFFFFF"/>
              <w:right w:val="nil"/>
            </w:tcBorders>
            <w:shd w:val="clear" w:color="000000" w:fill="F2F2F2"/>
            <w:vAlign w:val="center"/>
            <w:hideMark/>
          </w:tcPr>
          <w:p w14:paraId="156B90DD" w14:textId="77777777" w:rsidR="008648FD" w:rsidRPr="00EE74FC" w:rsidRDefault="008648FD" w:rsidP="00A52DD2">
            <w:pPr>
              <w:pStyle w:val="Tabletext"/>
              <w:jc w:val="center"/>
            </w:pPr>
            <w:r w:rsidRPr="00EE74FC">
              <w:t>2.5</w:t>
            </w:r>
          </w:p>
        </w:tc>
        <w:tc>
          <w:tcPr>
            <w:tcW w:w="832" w:type="dxa"/>
            <w:tcBorders>
              <w:top w:val="nil"/>
              <w:left w:val="nil"/>
              <w:bottom w:val="single" w:sz="4" w:space="0" w:color="FFFFFF"/>
              <w:right w:val="nil"/>
            </w:tcBorders>
            <w:shd w:val="clear" w:color="000000" w:fill="F2F2F2"/>
            <w:vAlign w:val="center"/>
            <w:hideMark/>
          </w:tcPr>
          <w:p w14:paraId="5AA130E5" w14:textId="77777777" w:rsidR="008648FD" w:rsidRPr="00EE74FC" w:rsidRDefault="008648FD" w:rsidP="00A52DD2">
            <w:pPr>
              <w:pStyle w:val="Tabletext"/>
              <w:jc w:val="center"/>
            </w:pPr>
            <w:r w:rsidRPr="00EE74FC">
              <w:t>2.4</w:t>
            </w:r>
          </w:p>
        </w:tc>
        <w:tc>
          <w:tcPr>
            <w:tcW w:w="832" w:type="dxa"/>
            <w:tcBorders>
              <w:top w:val="nil"/>
              <w:left w:val="nil"/>
              <w:bottom w:val="single" w:sz="4" w:space="0" w:color="FFFFFF"/>
              <w:right w:val="nil"/>
            </w:tcBorders>
            <w:shd w:val="clear" w:color="000000" w:fill="F2F2F2"/>
            <w:vAlign w:val="center"/>
            <w:hideMark/>
          </w:tcPr>
          <w:p w14:paraId="74DDAD63" w14:textId="77777777" w:rsidR="008648FD" w:rsidRPr="00EE74FC" w:rsidRDefault="008648FD" w:rsidP="00A52DD2">
            <w:pPr>
              <w:pStyle w:val="Tabletext"/>
              <w:jc w:val="center"/>
            </w:pPr>
            <w:r w:rsidRPr="00EE74FC">
              <w:t>1.7</w:t>
            </w:r>
          </w:p>
        </w:tc>
        <w:tc>
          <w:tcPr>
            <w:tcW w:w="832" w:type="dxa"/>
            <w:tcBorders>
              <w:top w:val="nil"/>
              <w:left w:val="nil"/>
              <w:bottom w:val="single" w:sz="4" w:space="0" w:color="FFFFFF"/>
              <w:right w:val="nil"/>
            </w:tcBorders>
            <w:shd w:val="clear" w:color="000000" w:fill="F2F2F2"/>
            <w:vAlign w:val="center"/>
            <w:hideMark/>
          </w:tcPr>
          <w:p w14:paraId="775193E4" w14:textId="77777777" w:rsidR="008648FD" w:rsidRPr="00EE74FC" w:rsidRDefault="008648FD" w:rsidP="00A52DD2">
            <w:pPr>
              <w:pStyle w:val="Tabletext"/>
              <w:jc w:val="center"/>
            </w:pPr>
            <w:r w:rsidRPr="00EE74FC">
              <w:t>1.5</w:t>
            </w:r>
          </w:p>
        </w:tc>
      </w:tr>
      <w:tr w:rsidR="008648FD" w:rsidRPr="00EE74FC" w14:paraId="14281884" w14:textId="77777777" w:rsidTr="00A52DD2">
        <w:trPr>
          <w:trHeight w:val="300"/>
          <w:jc w:val="center"/>
        </w:trPr>
        <w:tc>
          <w:tcPr>
            <w:tcW w:w="424" w:type="dxa"/>
            <w:tcBorders>
              <w:top w:val="nil"/>
              <w:left w:val="nil"/>
              <w:bottom w:val="single" w:sz="4" w:space="0" w:color="FFFFFF"/>
              <w:right w:val="nil"/>
            </w:tcBorders>
            <w:shd w:val="clear" w:color="000000" w:fill="D9D9D9"/>
            <w:vAlign w:val="center"/>
            <w:hideMark/>
          </w:tcPr>
          <w:p w14:paraId="0F432462" w14:textId="77777777" w:rsidR="008648FD" w:rsidRPr="00EE74FC" w:rsidRDefault="008648FD" w:rsidP="00A52DD2">
            <w:pPr>
              <w:pStyle w:val="Tabletext"/>
            </w:pPr>
            <w:r w:rsidRPr="00EE74FC">
              <w:t>2</w:t>
            </w:r>
          </w:p>
        </w:tc>
        <w:tc>
          <w:tcPr>
            <w:tcW w:w="3545" w:type="dxa"/>
            <w:tcBorders>
              <w:top w:val="nil"/>
              <w:left w:val="nil"/>
              <w:bottom w:val="single" w:sz="4" w:space="0" w:color="FFFFFF"/>
              <w:right w:val="nil"/>
            </w:tcBorders>
            <w:shd w:val="clear" w:color="000000" w:fill="D9D9D9"/>
            <w:vAlign w:val="center"/>
            <w:hideMark/>
          </w:tcPr>
          <w:p w14:paraId="1DD77F66" w14:textId="77777777" w:rsidR="008648FD" w:rsidRPr="00EE74FC" w:rsidRDefault="008648FD" w:rsidP="00A52DD2">
            <w:pPr>
              <w:pStyle w:val="Tabletext"/>
            </w:pPr>
            <w:r w:rsidRPr="00EE74FC">
              <w:t xml:space="preserve">GDP deflator </w:t>
            </w:r>
          </w:p>
        </w:tc>
        <w:tc>
          <w:tcPr>
            <w:tcW w:w="832" w:type="dxa"/>
            <w:tcBorders>
              <w:top w:val="nil"/>
              <w:left w:val="nil"/>
              <w:bottom w:val="single" w:sz="4" w:space="0" w:color="FFFFFF"/>
              <w:right w:val="nil"/>
            </w:tcBorders>
            <w:shd w:val="clear" w:color="000000" w:fill="D9D9D9"/>
            <w:vAlign w:val="center"/>
            <w:hideMark/>
          </w:tcPr>
          <w:p w14:paraId="6F3F1D94" w14:textId="77777777" w:rsidR="008648FD" w:rsidRPr="00EE74FC" w:rsidRDefault="008648FD" w:rsidP="00A52DD2">
            <w:pPr>
              <w:pStyle w:val="Tabletext"/>
              <w:jc w:val="center"/>
            </w:pPr>
            <w:r w:rsidRPr="00EE74FC">
              <w:t>4.5</w:t>
            </w:r>
          </w:p>
        </w:tc>
        <w:tc>
          <w:tcPr>
            <w:tcW w:w="832" w:type="dxa"/>
            <w:tcBorders>
              <w:top w:val="nil"/>
              <w:left w:val="nil"/>
              <w:bottom w:val="single" w:sz="4" w:space="0" w:color="FFFFFF"/>
              <w:right w:val="nil"/>
            </w:tcBorders>
            <w:shd w:val="clear" w:color="000000" w:fill="D9D9D9"/>
            <w:vAlign w:val="center"/>
            <w:hideMark/>
          </w:tcPr>
          <w:p w14:paraId="635EB970" w14:textId="77777777" w:rsidR="008648FD" w:rsidRPr="00EE74FC" w:rsidRDefault="008648FD" w:rsidP="00A52DD2">
            <w:pPr>
              <w:pStyle w:val="Tabletext"/>
              <w:jc w:val="center"/>
            </w:pPr>
            <w:r w:rsidRPr="00EE74FC">
              <w:t>3.0</w:t>
            </w:r>
          </w:p>
        </w:tc>
        <w:tc>
          <w:tcPr>
            <w:tcW w:w="832" w:type="dxa"/>
            <w:tcBorders>
              <w:top w:val="nil"/>
              <w:left w:val="nil"/>
              <w:bottom w:val="single" w:sz="4" w:space="0" w:color="FFFFFF"/>
              <w:right w:val="nil"/>
            </w:tcBorders>
            <w:shd w:val="clear" w:color="000000" w:fill="D9D9D9"/>
            <w:vAlign w:val="center"/>
            <w:hideMark/>
          </w:tcPr>
          <w:p w14:paraId="43FCF57F" w14:textId="77777777" w:rsidR="008648FD" w:rsidRPr="00EE74FC" w:rsidRDefault="008648FD" w:rsidP="00A52DD2">
            <w:pPr>
              <w:pStyle w:val="Tabletext"/>
              <w:jc w:val="center"/>
            </w:pPr>
            <w:r w:rsidRPr="00EE74FC">
              <w:t>2.2</w:t>
            </w:r>
          </w:p>
        </w:tc>
        <w:tc>
          <w:tcPr>
            <w:tcW w:w="832" w:type="dxa"/>
            <w:tcBorders>
              <w:top w:val="nil"/>
              <w:left w:val="nil"/>
              <w:bottom w:val="single" w:sz="4" w:space="0" w:color="FFFFFF"/>
              <w:right w:val="nil"/>
            </w:tcBorders>
            <w:shd w:val="clear" w:color="000000" w:fill="D9D9D9"/>
            <w:vAlign w:val="center"/>
            <w:hideMark/>
          </w:tcPr>
          <w:p w14:paraId="5A62F3FC" w14:textId="77777777" w:rsidR="008648FD" w:rsidRPr="00EE74FC" w:rsidRDefault="008648FD" w:rsidP="00A52DD2">
            <w:pPr>
              <w:pStyle w:val="Tabletext"/>
              <w:jc w:val="center"/>
            </w:pPr>
            <w:r w:rsidRPr="00EE74FC">
              <w:t>2.3</w:t>
            </w:r>
          </w:p>
        </w:tc>
        <w:tc>
          <w:tcPr>
            <w:tcW w:w="832" w:type="dxa"/>
            <w:tcBorders>
              <w:top w:val="nil"/>
              <w:left w:val="nil"/>
              <w:bottom w:val="single" w:sz="4" w:space="0" w:color="FFFFFF"/>
              <w:right w:val="nil"/>
            </w:tcBorders>
            <w:shd w:val="clear" w:color="000000" w:fill="D9D9D9"/>
            <w:vAlign w:val="center"/>
            <w:hideMark/>
          </w:tcPr>
          <w:p w14:paraId="2136E523" w14:textId="77777777" w:rsidR="008648FD" w:rsidRPr="00EE74FC" w:rsidRDefault="008648FD" w:rsidP="00A52DD2">
            <w:pPr>
              <w:pStyle w:val="Tabletext"/>
              <w:jc w:val="center"/>
            </w:pPr>
            <w:r w:rsidRPr="00EE74FC">
              <w:t>2.3</w:t>
            </w:r>
          </w:p>
        </w:tc>
        <w:tc>
          <w:tcPr>
            <w:tcW w:w="832" w:type="dxa"/>
            <w:tcBorders>
              <w:top w:val="nil"/>
              <w:left w:val="nil"/>
              <w:bottom w:val="single" w:sz="4" w:space="0" w:color="FFFFFF"/>
              <w:right w:val="nil"/>
            </w:tcBorders>
            <w:shd w:val="clear" w:color="000000" w:fill="D9D9D9"/>
            <w:vAlign w:val="center"/>
            <w:hideMark/>
          </w:tcPr>
          <w:p w14:paraId="52013A58" w14:textId="77777777" w:rsidR="008648FD" w:rsidRPr="00EE74FC" w:rsidRDefault="008648FD" w:rsidP="00A52DD2">
            <w:pPr>
              <w:pStyle w:val="Tabletext"/>
              <w:jc w:val="center"/>
            </w:pPr>
            <w:r w:rsidRPr="00EE74FC">
              <w:t>2.4</w:t>
            </w:r>
          </w:p>
        </w:tc>
      </w:tr>
      <w:tr w:rsidR="008648FD" w:rsidRPr="00EE74FC" w14:paraId="5DFE4775" w14:textId="77777777" w:rsidTr="00A52DD2">
        <w:trPr>
          <w:trHeight w:val="300"/>
          <w:jc w:val="center"/>
        </w:trPr>
        <w:tc>
          <w:tcPr>
            <w:tcW w:w="424" w:type="dxa"/>
            <w:tcBorders>
              <w:top w:val="nil"/>
              <w:left w:val="nil"/>
              <w:bottom w:val="single" w:sz="4" w:space="0" w:color="FFFFFF"/>
              <w:right w:val="nil"/>
            </w:tcBorders>
            <w:shd w:val="clear" w:color="000000" w:fill="BFBFBF"/>
            <w:vAlign w:val="center"/>
            <w:hideMark/>
          </w:tcPr>
          <w:p w14:paraId="61412B8F" w14:textId="77777777" w:rsidR="008648FD" w:rsidRPr="00EE74FC" w:rsidRDefault="008648FD" w:rsidP="00A52DD2">
            <w:pPr>
              <w:pStyle w:val="Tabletext"/>
              <w:rPr>
                <w:b/>
                <w:bCs/>
                <w:color w:val="000000"/>
              </w:rPr>
            </w:pPr>
            <w:r w:rsidRPr="00EE74FC">
              <w:rPr>
                <w:b/>
                <w:bCs/>
                <w:color w:val="000000"/>
              </w:rPr>
              <w:t> </w:t>
            </w:r>
          </w:p>
        </w:tc>
        <w:tc>
          <w:tcPr>
            <w:tcW w:w="3545" w:type="dxa"/>
            <w:tcBorders>
              <w:top w:val="nil"/>
              <w:left w:val="nil"/>
              <w:bottom w:val="single" w:sz="4" w:space="0" w:color="FFFFFF"/>
              <w:right w:val="nil"/>
            </w:tcBorders>
            <w:shd w:val="clear" w:color="000000" w:fill="BFBFBF"/>
            <w:vAlign w:val="center"/>
            <w:hideMark/>
          </w:tcPr>
          <w:p w14:paraId="1C310237" w14:textId="77777777" w:rsidR="008648FD" w:rsidRPr="00EE74FC" w:rsidRDefault="008648FD" w:rsidP="00A52DD2">
            <w:pPr>
              <w:pStyle w:val="Tabletext"/>
              <w:rPr>
                <w:b/>
                <w:bCs/>
                <w:color w:val="000000"/>
              </w:rPr>
            </w:pPr>
            <w:r w:rsidRPr="00EE74FC">
              <w:rPr>
                <w:b/>
                <w:bCs/>
                <w:color w:val="000000"/>
              </w:rPr>
              <w:t> </w:t>
            </w:r>
          </w:p>
        </w:tc>
        <w:tc>
          <w:tcPr>
            <w:tcW w:w="4992" w:type="dxa"/>
            <w:gridSpan w:val="6"/>
            <w:tcBorders>
              <w:top w:val="single" w:sz="4" w:space="0" w:color="FFFFFF"/>
              <w:left w:val="nil"/>
              <w:bottom w:val="single" w:sz="4" w:space="0" w:color="FFFFFF"/>
              <w:right w:val="nil"/>
            </w:tcBorders>
            <w:shd w:val="clear" w:color="000000" w:fill="BFBFBF"/>
            <w:vAlign w:val="center"/>
            <w:hideMark/>
          </w:tcPr>
          <w:p w14:paraId="1F2EB5B9" w14:textId="77777777" w:rsidR="008648FD" w:rsidRPr="00EE74FC" w:rsidRDefault="008648FD" w:rsidP="00A52DD2">
            <w:pPr>
              <w:pStyle w:val="Tabletext"/>
              <w:jc w:val="center"/>
              <w:rPr>
                <w:b/>
                <w:bCs/>
                <w:color w:val="000000"/>
              </w:rPr>
            </w:pPr>
            <w:r w:rsidRPr="00EE74FC">
              <w:rPr>
                <w:b/>
                <w:bCs/>
                <w:color w:val="000000"/>
              </w:rPr>
              <w:t>% of GDP</w:t>
            </w:r>
          </w:p>
        </w:tc>
      </w:tr>
      <w:tr w:rsidR="008648FD" w:rsidRPr="00EE74FC" w14:paraId="21F551BB" w14:textId="77777777" w:rsidTr="00A52DD2">
        <w:trPr>
          <w:trHeight w:val="300"/>
          <w:jc w:val="center"/>
        </w:trPr>
        <w:tc>
          <w:tcPr>
            <w:tcW w:w="424" w:type="dxa"/>
            <w:tcBorders>
              <w:top w:val="nil"/>
              <w:left w:val="nil"/>
              <w:bottom w:val="single" w:sz="4" w:space="0" w:color="FFFFFF"/>
              <w:right w:val="nil"/>
            </w:tcBorders>
            <w:shd w:val="clear" w:color="000000" w:fill="F2F2F2"/>
            <w:vAlign w:val="center"/>
            <w:hideMark/>
          </w:tcPr>
          <w:p w14:paraId="7F0837C1" w14:textId="77777777" w:rsidR="008648FD" w:rsidRPr="00EE74FC" w:rsidRDefault="008648FD" w:rsidP="00A52DD2">
            <w:pPr>
              <w:pStyle w:val="Tabletext"/>
            </w:pPr>
            <w:r w:rsidRPr="00EE74FC">
              <w:t>3</w:t>
            </w:r>
          </w:p>
        </w:tc>
        <w:tc>
          <w:tcPr>
            <w:tcW w:w="3545" w:type="dxa"/>
            <w:tcBorders>
              <w:top w:val="nil"/>
              <w:left w:val="nil"/>
              <w:bottom w:val="single" w:sz="4" w:space="0" w:color="FFFFFF"/>
              <w:right w:val="nil"/>
            </w:tcBorders>
            <w:shd w:val="clear" w:color="000000" w:fill="F2F2F2"/>
            <w:vAlign w:val="center"/>
            <w:hideMark/>
          </w:tcPr>
          <w:p w14:paraId="794FE8A9" w14:textId="77777777" w:rsidR="008648FD" w:rsidRPr="00EE74FC" w:rsidRDefault="008648FD" w:rsidP="00A52DD2">
            <w:pPr>
              <w:pStyle w:val="Tabletext"/>
            </w:pPr>
            <w:r w:rsidRPr="00EE74FC">
              <w:t xml:space="preserve">Net lending/borrowing  </w:t>
            </w:r>
          </w:p>
        </w:tc>
        <w:tc>
          <w:tcPr>
            <w:tcW w:w="832" w:type="dxa"/>
            <w:tcBorders>
              <w:top w:val="nil"/>
              <w:left w:val="nil"/>
              <w:bottom w:val="single" w:sz="4" w:space="0" w:color="FFFFFF"/>
              <w:right w:val="nil"/>
            </w:tcBorders>
            <w:shd w:val="clear" w:color="000000" w:fill="F2F2F2"/>
            <w:vAlign w:val="center"/>
            <w:hideMark/>
          </w:tcPr>
          <w:p w14:paraId="099D9DD9" w14:textId="77777777" w:rsidR="008648FD" w:rsidRPr="00EE74FC" w:rsidRDefault="008648FD" w:rsidP="00A52DD2">
            <w:pPr>
              <w:pStyle w:val="Tabletext"/>
              <w:jc w:val="center"/>
            </w:pPr>
            <w:r w:rsidRPr="00EE74FC">
              <w:t>-1.6</w:t>
            </w:r>
          </w:p>
        </w:tc>
        <w:tc>
          <w:tcPr>
            <w:tcW w:w="832" w:type="dxa"/>
            <w:tcBorders>
              <w:top w:val="nil"/>
              <w:left w:val="nil"/>
              <w:bottom w:val="single" w:sz="4" w:space="0" w:color="FFFFFF"/>
              <w:right w:val="nil"/>
            </w:tcBorders>
            <w:shd w:val="clear" w:color="000000" w:fill="F2F2F2"/>
            <w:vAlign w:val="center"/>
            <w:hideMark/>
          </w:tcPr>
          <w:p w14:paraId="7EBD4A72" w14:textId="77777777" w:rsidR="008648FD" w:rsidRPr="00EE74FC" w:rsidRDefault="008648FD" w:rsidP="00A52DD2">
            <w:pPr>
              <w:pStyle w:val="Tabletext"/>
              <w:jc w:val="center"/>
            </w:pPr>
            <w:r w:rsidRPr="00EE74FC">
              <w:t>-1.0</w:t>
            </w:r>
          </w:p>
        </w:tc>
        <w:tc>
          <w:tcPr>
            <w:tcW w:w="832" w:type="dxa"/>
            <w:tcBorders>
              <w:top w:val="nil"/>
              <w:left w:val="nil"/>
              <w:bottom w:val="single" w:sz="4" w:space="0" w:color="FFFFFF"/>
              <w:right w:val="nil"/>
            </w:tcBorders>
            <w:shd w:val="clear" w:color="000000" w:fill="F2F2F2"/>
            <w:vAlign w:val="center"/>
            <w:hideMark/>
          </w:tcPr>
          <w:p w14:paraId="3EDDF598" w14:textId="77777777" w:rsidR="008648FD" w:rsidRPr="00EE74FC" w:rsidRDefault="008648FD" w:rsidP="00A52DD2">
            <w:pPr>
              <w:pStyle w:val="Tabletext"/>
              <w:jc w:val="center"/>
            </w:pPr>
            <w:r w:rsidRPr="00EE74FC">
              <w:t>-0.6</w:t>
            </w:r>
          </w:p>
        </w:tc>
        <w:tc>
          <w:tcPr>
            <w:tcW w:w="832" w:type="dxa"/>
            <w:tcBorders>
              <w:top w:val="nil"/>
              <w:left w:val="nil"/>
              <w:bottom w:val="single" w:sz="4" w:space="0" w:color="FFFFFF"/>
              <w:right w:val="nil"/>
            </w:tcBorders>
            <w:shd w:val="clear" w:color="000000" w:fill="F2F2F2"/>
            <w:vAlign w:val="center"/>
            <w:hideMark/>
          </w:tcPr>
          <w:p w14:paraId="64239D8F" w14:textId="77777777" w:rsidR="008648FD" w:rsidRPr="00EE74FC" w:rsidRDefault="008648FD" w:rsidP="00A52DD2">
            <w:pPr>
              <w:pStyle w:val="Tabletext"/>
              <w:jc w:val="center"/>
            </w:pPr>
            <w:r w:rsidRPr="00EE74FC">
              <w:t>-0.8</w:t>
            </w:r>
          </w:p>
        </w:tc>
        <w:tc>
          <w:tcPr>
            <w:tcW w:w="832" w:type="dxa"/>
            <w:tcBorders>
              <w:top w:val="nil"/>
              <w:left w:val="nil"/>
              <w:bottom w:val="single" w:sz="4" w:space="0" w:color="FFFFFF"/>
              <w:right w:val="nil"/>
            </w:tcBorders>
            <w:shd w:val="clear" w:color="000000" w:fill="F2F2F2"/>
            <w:vAlign w:val="center"/>
            <w:hideMark/>
          </w:tcPr>
          <w:p w14:paraId="456072E1" w14:textId="77777777" w:rsidR="008648FD" w:rsidRPr="00EE74FC" w:rsidRDefault="008648FD" w:rsidP="00A52DD2">
            <w:pPr>
              <w:pStyle w:val="Tabletext"/>
              <w:jc w:val="center"/>
            </w:pPr>
            <w:r w:rsidRPr="00EE74FC">
              <w:t>-1.1</w:t>
            </w:r>
          </w:p>
        </w:tc>
        <w:tc>
          <w:tcPr>
            <w:tcW w:w="832" w:type="dxa"/>
            <w:tcBorders>
              <w:top w:val="nil"/>
              <w:left w:val="nil"/>
              <w:bottom w:val="single" w:sz="4" w:space="0" w:color="FFFFFF"/>
              <w:right w:val="nil"/>
            </w:tcBorders>
            <w:shd w:val="clear" w:color="000000" w:fill="F2F2F2"/>
            <w:vAlign w:val="center"/>
            <w:hideMark/>
          </w:tcPr>
          <w:p w14:paraId="20240C37" w14:textId="77777777" w:rsidR="008648FD" w:rsidRPr="00EE74FC" w:rsidRDefault="008648FD" w:rsidP="00A52DD2">
            <w:pPr>
              <w:pStyle w:val="Tabletext"/>
              <w:jc w:val="center"/>
            </w:pPr>
            <w:r w:rsidRPr="00EE74FC">
              <w:t>-1.2</w:t>
            </w:r>
          </w:p>
        </w:tc>
      </w:tr>
      <w:tr w:rsidR="008648FD" w:rsidRPr="00EE74FC" w14:paraId="3A26F9AF" w14:textId="77777777" w:rsidTr="00A52DD2">
        <w:trPr>
          <w:trHeight w:val="300"/>
          <w:jc w:val="center"/>
        </w:trPr>
        <w:tc>
          <w:tcPr>
            <w:tcW w:w="424" w:type="dxa"/>
            <w:tcBorders>
              <w:top w:val="nil"/>
              <w:left w:val="nil"/>
              <w:bottom w:val="single" w:sz="4" w:space="0" w:color="FFFFFF"/>
              <w:right w:val="nil"/>
            </w:tcBorders>
            <w:shd w:val="clear" w:color="000000" w:fill="D9D9D9"/>
            <w:vAlign w:val="center"/>
            <w:hideMark/>
          </w:tcPr>
          <w:p w14:paraId="5B4D2BCE" w14:textId="77777777" w:rsidR="008648FD" w:rsidRPr="00EE74FC" w:rsidRDefault="008648FD" w:rsidP="00A52DD2">
            <w:pPr>
              <w:pStyle w:val="Tabletext"/>
            </w:pPr>
            <w:r w:rsidRPr="00EE74FC">
              <w:t>4</w:t>
            </w:r>
          </w:p>
        </w:tc>
        <w:tc>
          <w:tcPr>
            <w:tcW w:w="3545" w:type="dxa"/>
            <w:tcBorders>
              <w:top w:val="nil"/>
              <w:left w:val="nil"/>
              <w:bottom w:val="single" w:sz="4" w:space="0" w:color="FFFFFF"/>
              <w:right w:val="nil"/>
            </w:tcBorders>
            <w:shd w:val="clear" w:color="000000" w:fill="D9D9D9"/>
            <w:vAlign w:val="center"/>
            <w:hideMark/>
          </w:tcPr>
          <w:p w14:paraId="3A965281" w14:textId="77777777" w:rsidR="008648FD" w:rsidRPr="00EE74FC" w:rsidRDefault="008648FD" w:rsidP="00A52DD2">
            <w:pPr>
              <w:pStyle w:val="Tabletext"/>
            </w:pPr>
            <w:r w:rsidRPr="00EE74FC">
              <w:t xml:space="preserve">Structural balance </w:t>
            </w:r>
          </w:p>
        </w:tc>
        <w:tc>
          <w:tcPr>
            <w:tcW w:w="832" w:type="dxa"/>
            <w:tcBorders>
              <w:top w:val="nil"/>
              <w:left w:val="nil"/>
              <w:bottom w:val="single" w:sz="4" w:space="0" w:color="FFFFFF"/>
              <w:right w:val="nil"/>
            </w:tcBorders>
            <w:shd w:val="clear" w:color="000000" w:fill="D9D9D9"/>
            <w:vAlign w:val="center"/>
            <w:hideMark/>
          </w:tcPr>
          <w:p w14:paraId="33E80272" w14:textId="77777777" w:rsidR="008648FD" w:rsidRPr="00EE74FC" w:rsidRDefault="008648FD" w:rsidP="00A52DD2">
            <w:pPr>
              <w:pStyle w:val="Tabletext"/>
              <w:jc w:val="center"/>
            </w:pPr>
            <w:r w:rsidRPr="00EE74FC">
              <w:t>-1.5</w:t>
            </w:r>
          </w:p>
        </w:tc>
        <w:tc>
          <w:tcPr>
            <w:tcW w:w="832" w:type="dxa"/>
            <w:tcBorders>
              <w:top w:val="nil"/>
              <w:left w:val="nil"/>
              <w:bottom w:val="single" w:sz="4" w:space="0" w:color="FFFFFF"/>
              <w:right w:val="nil"/>
            </w:tcBorders>
            <w:shd w:val="clear" w:color="000000" w:fill="D9D9D9"/>
            <w:vAlign w:val="center"/>
            <w:hideMark/>
          </w:tcPr>
          <w:p w14:paraId="66B29240" w14:textId="77777777" w:rsidR="008648FD" w:rsidRPr="00EE74FC" w:rsidRDefault="008648FD" w:rsidP="00A52DD2">
            <w:pPr>
              <w:pStyle w:val="Tabletext"/>
              <w:jc w:val="center"/>
            </w:pPr>
            <w:r w:rsidRPr="00EE74FC">
              <w:t>-1.5</w:t>
            </w:r>
          </w:p>
        </w:tc>
        <w:tc>
          <w:tcPr>
            <w:tcW w:w="832" w:type="dxa"/>
            <w:tcBorders>
              <w:top w:val="nil"/>
              <w:left w:val="nil"/>
              <w:bottom w:val="single" w:sz="4" w:space="0" w:color="FFFFFF"/>
              <w:right w:val="nil"/>
            </w:tcBorders>
            <w:shd w:val="clear" w:color="000000" w:fill="D9D9D9"/>
            <w:vAlign w:val="center"/>
            <w:hideMark/>
          </w:tcPr>
          <w:p w14:paraId="6BA17BFC" w14:textId="77777777" w:rsidR="008648FD" w:rsidRPr="00EE74FC" w:rsidRDefault="008648FD" w:rsidP="00A52DD2">
            <w:pPr>
              <w:pStyle w:val="Tabletext"/>
              <w:jc w:val="center"/>
            </w:pPr>
            <w:r w:rsidRPr="00EE74FC">
              <w:t>-1.1</w:t>
            </w:r>
          </w:p>
        </w:tc>
        <w:tc>
          <w:tcPr>
            <w:tcW w:w="832" w:type="dxa"/>
            <w:tcBorders>
              <w:top w:val="nil"/>
              <w:left w:val="nil"/>
              <w:bottom w:val="single" w:sz="4" w:space="0" w:color="FFFFFF"/>
              <w:right w:val="nil"/>
            </w:tcBorders>
            <w:shd w:val="clear" w:color="000000" w:fill="D9D9D9"/>
            <w:vAlign w:val="center"/>
            <w:hideMark/>
          </w:tcPr>
          <w:p w14:paraId="2D1E717A" w14:textId="77777777" w:rsidR="008648FD" w:rsidRPr="00EE74FC" w:rsidRDefault="008648FD" w:rsidP="00A52DD2">
            <w:pPr>
              <w:pStyle w:val="Tabletext"/>
              <w:jc w:val="center"/>
            </w:pPr>
            <w:r w:rsidRPr="00EE74FC">
              <w:t>-1.1</w:t>
            </w:r>
          </w:p>
        </w:tc>
        <w:tc>
          <w:tcPr>
            <w:tcW w:w="832" w:type="dxa"/>
            <w:tcBorders>
              <w:top w:val="nil"/>
              <w:left w:val="nil"/>
              <w:bottom w:val="single" w:sz="4" w:space="0" w:color="FFFFFF"/>
              <w:right w:val="nil"/>
            </w:tcBorders>
            <w:shd w:val="clear" w:color="000000" w:fill="D9D9D9"/>
            <w:vAlign w:val="center"/>
            <w:hideMark/>
          </w:tcPr>
          <w:p w14:paraId="03F423C6" w14:textId="77777777" w:rsidR="008648FD" w:rsidRPr="00EE74FC" w:rsidRDefault="008648FD" w:rsidP="00A52DD2">
            <w:pPr>
              <w:pStyle w:val="Tabletext"/>
              <w:jc w:val="center"/>
            </w:pPr>
            <w:r w:rsidRPr="00EE74FC">
              <w:t>-1.2</w:t>
            </w:r>
          </w:p>
        </w:tc>
        <w:tc>
          <w:tcPr>
            <w:tcW w:w="832" w:type="dxa"/>
            <w:tcBorders>
              <w:top w:val="nil"/>
              <w:left w:val="nil"/>
              <w:bottom w:val="single" w:sz="4" w:space="0" w:color="FFFFFF"/>
              <w:right w:val="nil"/>
            </w:tcBorders>
            <w:shd w:val="clear" w:color="000000" w:fill="D9D9D9"/>
            <w:vAlign w:val="center"/>
            <w:hideMark/>
          </w:tcPr>
          <w:p w14:paraId="480D1D39" w14:textId="77777777" w:rsidR="008648FD" w:rsidRPr="00EE74FC" w:rsidRDefault="008648FD" w:rsidP="00A52DD2">
            <w:pPr>
              <w:pStyle w:val="Tabletext"/>
              <w:jc w:val="center"/>
            </w:pPr>
            <w:r w:rsidRPr="00EE74FC">
              <w:t>-1.3</w:t>
            </w:r>
          </w:p>
        </w:tc>
      </w:tr>
      <w:tr w:rsidR="008648FD" w:rsidRPr="00EE74FC" w14:paraId="7C135CDC" w14:textId="77777777" w:rsidTr="00A52DD2">
        <w:trPr>
          <w:trHeight w:val="300"/>
          <w:jc w:val="center"/>
        </w:trPr>
        <w:tc>
          <w:tcPr>
            <w:tcW w:w="424" w:type="dxa"/>
            <w:tcBorders>
              <w:top w:val="nil"/>
              <w:left w:val="nil"/>
              <w:bottom w:val="single" w:sz="4" w:space="0" w:color="FFFFFF"/>
              <w:right w:val="nil"/>
            </w:tcBorders>
            <w:shd w:val="clear" w:color="000000" w:fill="F2F2F2"/>
            <w:vAlign w:val="center"/>
            <w:hideMark/>
          </w:tcPr>
          <w:p w14:paraId="04459096" w14:textId="77777777" w:rsidR="008648FD" w:rsidRPr="00EE74FC" w:rsidRDefault="008648FD" w:rsidP="00A52DD2">
            <w:pPr>
              <w:pStyle w:val="Tabletext"/>
            </w:pPr>
            <w:r w:rsidRPr="00EE74FC">
              <w:t>5</w:t>
            </w:r>
          </w:p>
        </w:tc>
        <w:tc>
          <w:tcPr>
            <w:tcW w:w="3545" w:type="dxa"/>
            <w:tcBorders>
              <w:top w:val="nil"/>
              <w:left w:val="nil"/>
              <w:bottom w:val="single" w:sz="4" w:space="0" w:color="FFFFFF"/>
              <w:right w:val="nil"/>
            </w:tcBorders>
            <w:shd w:val="clear" w:color="000000" w:fill="F2F2F2"/>
            <w:vAlign w:val="center"/>
            <w:hideMark/>
          </w:tcPr>
          <w:p w14:paraId="7BC86E14" w14:textId="77777777" w:rsidR="008648FD" w:rsidRPr="00EE74FC" w:rsidRDefault="008648FD" w:rsidP="00A52DD2">
            <w:pPr>
              <w:pStyle w:val="Tabletext"/>
            </w:pPr>
            <w:r w:rsidRPr="00EE74FC">
              <w:t xml:space="preserve">Structural primary balance  </w:t>
            </w:r>
          </w:p>
        </w:tc>
        <w:tc>
          <w:tcPr>
            <w:tcW w:w="832" w:type="dxa"/>
            <w:tcBorders>
              <w:top w:val="nil"/>
              <w:left w:val="nil"/>
              <w:bottom w:val="single" w:sz="4" w:space="0" w:color="FFFFFF"/>
              <w:right w:val="nil"/>
            </w:tcBorders>
            <w:shd w:val="clear" w:color="000000" w:fill="F2F2F2"/>
            <w:vAlign w:val="center"/>
            <w:hideMark/>
          </w:tcPr>
          <w:p w14:paraId="5334002F" w14:textId="77777777" w:rsidR="008648FD" w:rsidRPr="00EE74FC" w:rsidRDefault="008648FD" w:rsidP="00A52DD2">
            <w:pPr>
              <w:pStyle w:val="Tabletext"/>
              <w:jc w:val="center"/>
            </w:pPr>
            <w:r w:rsidRPr="00EE74FC">
              <w:t>1.9</w:t>
            </w:r>
          </w:p>
        </w:tc>
        <w:tc>
          <w:tcPr>
            <w:tcW w:w="832" w:type="dxa"/>
            <w:tcBorders>
              <w:top w:val="nil"/>
              <w:left w:val="nil"/>
              <w:bottom w:val="single" w:sz="4" w:space="0" w:color="FFFFFF"/>
              <w:right w:val="nil"/>
            </w:tcBorders>
            <w:shd w:val="clear" w:color="000000" w:fill="F2F2F2"/>
            <w:vAlign w:val="center"/>
            <w:hideMark/>
          </w:tcPr>
          <w:p w14:paraId="0CF7DBED" w14:textId="77777777" w:rsidR="008648FD" w:rsidRPr="00EE74FC" w:rsidRDefault="008648FD" w:rsidP="00A52DD2">
            <w:pPr>
              <w:pStyle w:val="Tabletext"/>
              <w:jc w:val="center"/>
            </w:pPr>
            <w:r w:rsidRPr="00EE74FC">
              <w:t>1.9</w:t>
            </w:r>
          </w:p>
        </w:tc>
        <w:tc>
          <w:tcPr>
            <w:tcW w:w="832" w:type="dxa"/>
            <w:tcBorders>
              <w:top w:val="nil"/>
              <w:left w:val="nil"/>
              <w:bottom w:val="single" w:sz="4" w:space="0" w:color="FFFFFF"/>
              <w:right w:val="nil"/>
            </w:tcBorders>
            <w:shd w:val="clear" w:color="000000" w:fill="F2F2F2"/>
            <w:vAlign w:val="center"/>
            <w:hideMark/>
          </w:tcPr>
          <w:p w14:paraId="1BBCC634" w14:textId="77777777" w:rsidR="008648FD" w:rsidRPr="00EE74FC" w:rsidRDefault="008648FD" w:rsidP="00A52DD2">
            <w:pPr>
              <w:pStyle w:val="Tabletext"/>
              <w:jc w:val="center"/>
            </w:pPr>
            <w:r w:rsidRPr="00EE74FC">
              <w:t>2.0</w:t>
            </w:r>
          </w:p>
        </w:tc>
        <w:tc>
          <w:tcPr>
            <w:tcW w:w="832" w:type="dxa"/>
            <w:tcBorders>
              <w:top w:val="nil"/>
              <w:left w:val="nil"/>
              <w:bottom w:val="single" w:sz="4" w:space="0" w:color="FFFFFF"/>
              <w:right w:val="nil"/>
            </w:tcBorders>
            <w:shd w:val="clear" w:color="000000" w:fill="F2F2F2"/>
            <w:vAlign w:val="center"/>
            <w:hideMark/>
          </w:tcPr>
          <w:p w14:paraId="340C67B9" w14:textId="77777777" w:rsidR="008648FD" w:rsidRPr="00EE74FC" w:rsidRDefault="008648FD" w:rsidP="00A52DD2">
            <w:pPr>
              <w:pStyle w:val="Tabletext"/>
              <w:jc w:val="center"/>
            </w:pPr>
            <w:r w:rsidRPr="00EE74FC">
              <w:t>2.1</w:t>
            </w:r>
          </w:p>
        </w:tc>
        <w:tc>
          <w:tcPr>
            <w:tcW w:w="832" w:type="dxa"/>
            <w:tcBorders>
              <w:top w:val="nil"/>
              <w:left w:val="nil"/>
              <w:bottom w:val="single" w:sz="4" w:space="0" w:color="FFFFFF"/>
              <w:right w:val="nil"/>
            </w:tcBorders>
            <w:shd w:val="clear" w:color="000000" w:fill="F2F2F2"/>
            <w:vAlign w:val="center"/>
            <w:hideMark/>
          </w:tcPr>
          <w:p w14:paraId="5AF3EBD6" w14:textId="77777777" w:rsidR="008648FD" w:rsidRPr="00EE74FC" w:rsidRDefault="008648FD" w:rsidP="00A52DD2">
            <w:pPr>
              <w:pStyle w:val="Tabletext"/>
              <w:jc w:val="center"/>
            </w:pPr>
            <w:r w:rsidRPr="00EE74FC">
              <w:t>2.2</w:t>
            </w:r>
          </w:p>
        </w:tc>
        <w:tc>
          <w:tcPr>
            <w:tcW w:w="832" w:type="dxa"/>
            <w:tcBorders>
              <w:top w:val="nil"/>
              <w:left w:val="nil"/>
              <w:bottom w:val="single" w:sz="4" w:space="0" w:color="FFFFFF"/>
              <w:right w:val="nil"/>
            </w:tcBorders>
            <w:shd w:val="clear" w:color="000000" w:fill="F2F2F2"/>
            <w:vAlign w:val="center"/>
            <w:hideMark/>
          </w:tcPr>
          <w:p w14:paraId="5AAB6375" w14:textId="77777777" w:rsidR="008648FD" w:rsidRPr="00EE74FC" w:rsidRDefault="008648FD" w:rsidP="00A52DD2">
            <w:pPr>
              <w:pStyle w:val="Tabletext"/>
              <w:jc w:val="center"/>
            </w:pPr>
            <w:r w:rsidRPr="00EE74FC">
              <w:t>2.3</w:t>
            </w:r>
          </w:p>
        </w:tc>
      </w:tr>
      <w:tr w:rsidR="008648FD" w:rsidRPr="00EE74FC" w14:paraId="18680C52" w14:textId="77777777" w:rsidTr="00A52DD2">
        <w:trPr>
          <w:trHeight w:val="300"/>
          <w:jc w:val="center"/>
        </w:trPr>
        <w:tc>
          <w:tcPr>
            <w:tcW w:w="424" w:type="dxa"/>
            <w:tcBorders>
              <w:top w:val="nil"/>
              <w:left w:val="nil"/>
              <w:bottom w:val="single" w:sz="4" w:space="0" w:color="FFFFFF"/>
              <w:right w:val="nil"/>
            </w:tcBorders>
            <w:shd w:val="clear" w:color="000000" w:fill="D9D9D9"/>
            <w:vAlign w:val="center"/>
            <w:hideMark/>
          </w:tcPr>
          <w:p w14:paraId="0DDE7091" w14:textId="77777777" w:rsidR="008648FD" w:rsidRPr="00EE74FC" w:rsidRDefault="008648FD" w:rsidP="00A52DD2">
            <w:pPr>
              <w:pStyle w:val="Tabletext"/>
            </w:pPr>
            <w:r w:rsidRPr="00EE74FC">
              <w:t>6</w:t>
            </w:r>
          </w:p>
        </w:tc>
        <w:tc>
          <w:tcPr>
            <w:tcW w:w="3545" w:type="dxa"/>
            <w:tcBorders>
              <w:top w:val="nil"/>
              <w:left w:val="nil"/>
              <w:bottom w:val="single" w:sz="4" w:space="0" w:color="FFFFFF"/>
              <w:right w:val="nil"/>
            </w:tcBorders>
            <w:shd w:val="clear" w:color="000000" w:fill="D9D9D9"/>
            <w:vAlign w:val="center"/>
            <w:hideMark/>
          </w:tcPr>
          <w:p w14:paraId="29911BE8" w14:textId="77777777" w:rsidR="008648FD" w:rsidRPr="00EE74FC" w:rsidRDefault="008648FD" w:rsidP="00A52DD2">
            <w:pPr>
              <w:pStyle w:val="Tabletext"/>
            </w:pPr>
            <w:r w:rsidRPr="00EE74FC">
              <w:t>Gross debt</w:t>
            </w:r>
          </w:p>
        </w:tc>
        <w:tc>
          <w:tcPr>
            <w:tcW w:w="832" w:type="dxa"/>
            <w:tcBorders>
              <w:top w:val="nil"/>
              <w:left w:val="nil"/>
              <w:bottom w:val="single" w:sz="4" w:space="0" w:color="FFFFFF"/>
              <w:right w:val="nil"/>
            </w:tcBorders>
            <w:shd w:val="clear" w:color="000000" w:fill="D9D9D9"/>
            <w:vAlign w:val="center"/>
            <w:hideMark/>
          </w:tcPr>
          <w:p w14:paraId="3EE853B8" w14:textId="77777777" w:rsidR="008648FD" w:rsidRPr="00EE74FC" w:rsidRDefault="008648FD" w:rsidP="00A52DD2">
            <w:pPr>
              <w:pStyle w:val="Tabletext"/>
              <w:jc w:val="center"/>
            </w:pPr>
            <w:r w:rsidRPr="00EE74FC">
              <w:t>161.9</w:t>
            </w:r>
          </w:p>
        </w:tc>
        <w:tc>
          <w:tcPr>
            <w:tcW w:w="832" w:type="dxa"/>
            <w:tcBorders>
              <w:top w:val="nil"/>
              <w:left w:val="nil"/>
              <w:bottom w:val="single" w:sz="4" w:space="0" w:color="FFFFFF"/>
              <w:right w:val="nil"/>
            </w:tcBorders>
            <w:shd w:val="clear" w:color="000000" w:fill="D9D9D9"/>
            <w:vAlign w:val="center"/>
            <w:hideMark/>
          </w:tcPr>
          <w:p w14:paraId="71E09BC6" w14:textId="77777777" w:rsidR="008648FD" w:rsidRPr="00EE74FC" w:rsidRDefault="008648FD" w:rsidP="00A52DD2">
            <w:pPr>
              <w:pStyle w:val="Tabletext"/>
              <w:jc w:val="center"/>
            </w:pPr>
            <w:r w:rsidRPr="00EE74FC">
              <w:t>153.7</w:t>
            </w:r>
          </w:p>
        </w:tc>
        <w:tc>
          <w:tcPr>
            <w:tcW w:w="832" w:type="dxa"/>
            <w:tcBorders>
              <w:top w:val="nil"/>
              <w:left w:val="nil"/>
              <w:bottom w:val="single" w:sz="4" w:space="0" w:color="FFFFFF"/>
              <w:right w:val="nil"/>
            </w:tcBorders>
            <w:shd w:val="clear" w:color="000000" w:fill="D9D9D9"/>
            <w:vAlign w:val="center"/>
            <w:hideMark/>
          </w:tcPr>
          <w:p w14:paraId="50C4E447" w14:textId="77777777" w:rsidR="008648FD" w:rsidRPr="00EE74FC" w:rsidRDefault="008648FD" w:rsidP="00A52DD2">
            <w:pPr>
              <w:pStyle w:val="Tabletext"/>
              <w:jc w:val="center"/>
            </w:pPr>
            <w:r w:rsidRPr="00EE74FC">
              <w:t>149.1</w:t>
            </w:r>
          </w:p>
        </w:tc>
        <w:tc>
          <w:tcPr>
            <w:tcW w:w="832" w:type="dxa"/>
            <w:tcBorders>
              <w:top w:val="nil"/>
              <w:left w:val="nil"/>
              <w:bottom w:val="single" w:sz="4" w:space="0" w:color="FFFFFF"/>
              <w:right w:val="nil"/>
            </w:tcBorders>
            <w:shd w:val="clear" w:color="000000" w:fill="D9D9D9"/>
            <w:vAlign w:val="center"/>
            <w:hideMark/>
          </w:tcPr>
          <w:p w14:paraId="2C76609F" w14:textId="77777777" w:rsidR="008648FD" w:rsidRPr="00EE74FC" w:rsidRDefault="008648FD" w:rsidP="00A52DD2">
            <w:pPr>
              <w:pStyle w:val="Tabletext"/>
              <w:jc w:val="center"/>
            </w:pPr>
            <w:r w:rsidRPr="00EE74FC">
              <w:t>143.1</w:t>
            </w:r>
          </w:p>
        </w:tc>
        <w:tc>
          <w:tcPr>
            <w:tcW w:w="832" w:type="dxa"/>
            <w:tcBorders>
              <w:top w:val="nil"/>
              <w:left w:val="nil"/>
              <w:bottom w:val="single" w:sz="4" w:space="0" w:color="FFFFFF"/>
              <w:right w:val="nil"/>
            </w:tcBorders>
            <w:shd w:val="clear" w:color="000000" w:fill="D9D9D9"/>
            <w:vAlign w:val="center"/>
            <w:hideMark/>
          </w:tcPr>
          <w:p w14:paraId="54656BA8" w14:textId="77777777" w:rsidR="008648FD" w:rsidRPr="00EE74FC" w:rsidRDefault="008648FD" w:rsidP="00A52DD2">
            <w:pPr>
              <w:pStyle w:val="Tabletext"/>
              <w:jc w:val="center"/>
            </w:pPr>
            <w:r w:rsidRPr="00EE74FC">
              <w:t>138.0</w:t>
            </w:r>
          </w:p>
        </w:tc>
        <w:tc>
          <w:tcPr>
            <w:tcW w:w="832" w:type="dxa"/>
            <w:tcBorders>
              <w:top w:val="nil"/>
              <w:left w:val="nil"/>
              <w:bottom w:val="single" w:sz="4" w:space="0" w:color="FFFFFF"/>
              <w:right w:val="nil"/>
            </w:tcBorders>
            <w:shd w:val="clear" w:color="000000" w:fill="D9D9D9"/>
            <w:vAlign w:val="center"/>
            <w:hideMark/>
          </w:tcPr>
          <w:p w14:paraId="51DFF933" w14:textId="77777777" w:rsidR="008648FD" w:rsidRPr="00EE74FC" w:rsidRDefault="008648FD" w:rsidP="00A52DD2">
            <w:pPr>
              <w:pStyle w:val="Tabletext"/>
              <w:jc w:val="center"/>
            </w:pPr>
            <w:r w:rsidRPr="00EE74FC">
              <w:t>133.4</w:t>
            </w:r>
          </w:p>
        </w:tc>
      </w:tr>
      <w:tr w:rsidR="008648FD" w:rsidRPr="00EE74FC" w14:paraId="5FD5D3C1" w14:textId="77777777" w:rsidTr="00A52DD2">
        <w:trPr>
          <w:trHeight w:val="300"/>
          <w:jc w:val="center"/>
        </w:trPr>
        <w:tc>
          <w:tcPr>
            <w:tcW w:w="424" w:type="dxa"/>
            <w:tcBorders>
              <w:top w:val="single" w:sz="4" w:space="0" w:color="FFFFFF"/>
              <w:left w:val="nil"/>
              <w:bottom w:val="single" w:sz="18" w:space="0" w:color="4F81BD" w:themeColor="accent1"/>
              <w:right w:val="nil"/>
            </w:tcBorders>
            <w:shd w:val="clear" w:color="000000" w:fill="F2F2F2"/>
            <w:vAlign w:val="center"/>
            <w:hideMark/>
          </w:tcPr>
          <w:p w14:paraId="6AAD63C1" w14:textId="77777777" w:rsidR="008648FD" w:rsidRPr="00EE74FC" w:rsidRDefault="008648FD" w:rsidP="00A52DD2">
            <w:pPr>
              <w:pStyle w:val="Tabletext"/>
            </w:pPr>
            <w:r w:rsidRPr="00EE74FC">
              <w:t>7</w:t>
            </w:r>
          </w:p>
        </w:tc>
        <w:tc>
          <w:tcPr>
            <w:tcW w:w="3545" w:type="dxa"/>
            <w:tcBorders>
              <w:top w:val="single" w:sz="4" w:space="0" w:color="FFFFFF"/>
              <w:left w:val="nil"/>
              <w:bottom w:val="single" w:sz="18" w:space="0" w:color="4F81BD" w:themeColor="accent1"/>
              <w:right w:val="nil"/>
            </w:tcBorders>
            <w:shd w:val="clear" w:color="000000" w:fill="F2F2F2"/>
            <w:vAlign w:val="center"/>
            <w:hideMark/>
          </w:tcPr>
          <w:p w14:paraId="18D8C546" w14:textId="77777777" w:rsidR="008648FD" w:rsidRPr="00EE74FC" w:rsidRDefault="008648FD" w:rsidP="00A52DD2">
            <w:pPr>
              <w:pStyle w:val="Tabletext"/>
            </w:pPr>
            <w:r w:rsidRPr="00EE74FC">
              <w:t>Change in gross debt</w:t>
            </w:r>
          </w:p>
        </w:tc>
        <w:tc>
          <w:tcPr>
            <w:tcW w:w="832" w:type="dxa"/>
            <w:tcBorders>
              <w:top w:val="single" w:sz="4" w:space="0" w:color="FFFFFF"/>
              <w:left w:val="nil"/>
              <w:bottom w:val="single" w:sz="18" w:space="0" w:color="4F81BD" w:themeColor="accent1"/>
              <w:right w:val="nil"/>
            </w:tcBorders>
            <w:shd w:val="clear" w:color="000000" w:fill="F2F2F2"/>
            <w:vAlign w:val="center"/>
            <w:hideMark/>
          </w:tcPr>
          <w:p w14:paraId="4F14BFF5" w14:textId="77777777" w:rsidR="008648FD" w:rsidRPr="00EE74FC" w:rsidRDefault="008648FD" w:rsidP="00A52DD2">
            <w:pPr>
              <w:pStyle w:val="Tabletext"/>
              <w:jc w:val="center"/>
            </w:pPr>
            <w:r w:rsidRPr="00EE74FC">
              <w:t>-10.8</w:t>
            </w:r>
          </w:p>
        </w:tc>
        <w:tc>
          <w:tcPr>
            <w:tcW w:w="832" w:type="dxa"/>
            <w:tcBorders>
              <w:top w:val="single" w:sz="4" w:space="0" w:color="FFFFFF"/>
              <w:left w:val="nil"/>
              <w:bottom w:val="single" w:sz="18" w:space="0" w:color="4F81BD" w:themeColor="accent1"/>
              <w:right w:val="nil"/>
            </w:tcBorders>
            <w:shd w:val="clear" w:color="000000" w:fill="F2F2F2"/>
            <w:vAlign w:val="center"/>
            <w:hideMark/>
          </w:tcPr>
          <w:p w14:paraId="6A14F650" w14:textId="77777777" w:rsidR="008648FD" w:rsidRPr="00EE74FC" w:rsidRDefault="008648FD" w:rsidP="00A52DD2">
            <w:pPr>
              <w:pStyle w:val="Tabletext"/>
              <w:jc w:val="center"/>
            </w:pPr>
            <w:r w:rsidRPr="00EE74FC">
              <w:t>-8.2</w:t>
            </w:r>
          </w:p>
        </w:tc>
        <w:tc>
          <w:tcPr>
            <w:tcW w:w="832" w:type="dxa"/>
            <w:tcBorders>
              <w:top w:val="single" w:sz="4" w:space="0" w:color="FFFFFF"/>
              <w:left w:val="nil"/>
              <w:bottom w:val="single" w:sz="18" w:space="0" w:color="4F81BD" w:themeColor="accent1"/>
              <w:right w:val="nil"/>
            </w:tcBorders>
            <w:shd w:val="clear" w:color="000000" w:fill="F2F2F2"/>
            <w:vAlign w:val="center"/>
            <w:hideMark/>
          </w:tcPr>
          <w:p w14:paraId="413A52E0" w14:textId="77777777" w:rsidR="008648FD" w:rsidRPr="00EE74FC" w:rsidRDefault="008648FD" w:rsidP="00A52DD2">
            <w:pPr>
              <w:pStyle w:val="Tabletext"/>
              <w:jc w:val="center"/>
            </w:pPr>
            <w:r w:rsidRPr="00EE74FC">
              <w:t>-4.6</w:t>
            </w:r>
          </w:p>
        </w:tc>
        <w:tc>
          <w:tcPr>
            <w:tcW w:w="832" w:type="dxa"/>
            <w:tcBorders>
              <w:top w:val="single" w:sz="4" w:space="0" w:color="FFFFFF"/>
              <w:left w:val="nil"/>
              <w:bottom w:val="single" w:sz="18" w:space="0" w:color="4F81BD" w:themeColor="accent1"/>
              <w:right w:val="nil"/>
            </w:tcBorders>
            <w:shd w:val="clear" w:color="000000" w:fill="F2F2F2"/>
            <w:vAlign w:val="center"/>
            <w:hideMark/>
          </w:tcPr>
          <w:p w14:paraId="758A1FDB" w14:textId="77777777" w:rsidR="008648FD" w:rsidRPr="00EE74FC" w:rsidRDefault="008648FD" w:rsidP="00A52DD2">
            <w:pPr>
              <w:pStyle w:val="Tabletext"/>
              <w:jc w:val="center"/>
            </w:pPr>
            <w:r w:rsidRPr="00EE74FC">
              <w:t>-6.1</w:t>
            </w:r>
          </w:p>
        </w:tc>
        <w:tc>
          <w:tcPr>
            <w:tcW w:w="832" w:type="dxa"/>
            <w:tcBorders>
              <w:top w:val="single" w:sz="4" w:space="0" w:color="FFFFFF"/>
              <w:left w:val="nil"/>
              <w:bottom w:val="single" w:sz="18" w:space="0" w:color="4F81BD" w:themeColor="accent1"/>
              <w:right w:val="nil"/>
            </w:tcBorders>
            <w:shd w:val="clear" w:color="000000" w:fill="F2F2F2"/>
            <w:vAlign w:val="center"/>
            <w:hideMark/>
          </w:tcPr>
          <w:p w14:paraId="4EF51582" w14:textId="77777777" w:rsidR="008648FD" w:rsidRPr="00EE74FC" w:rsidRDefault="008648FD" w:rsidP="00A52DD2">
            <w:pPr>
              <w:pStyle w:val="Tabletext"/>
              <w:jc w:val="center"/>
            </w:pPr>
            <w:r w:rsidRPr="00EE74FC">
              <w:t>-5.0</w:t>
            </w:r>
          </w:p>
        </w:tc>
        <w:tc>
          <w:tcPr>
            <w:tcW w:w="832" w:type="dxa"/>
            <w:tcBorders>
              <w:top w:val="single" w:sz="4" w:space="0" w:color="FFFFFF"/>
              <w:left w:val="nil"/>
              <w:bottom w:val="single" w:sz="18" w:space="0" w:color="4F81BD" w:themeColor="accent1"/>
              <w:right w:val="nil"/>
            </w:tcBorders>
            <w:shd w:val="clear" w:color="000000" w:fill="F2F2F2"/>
            <w:vAlign w:val="center"/>
            <w:hideMark/>
          </w:tcPr>
          <w:p w14:paraId="2B470D4C" w14:textId="77777777" w:rsidR="008648FD" w:rsidRPr="00EE74FC" w:rsidRDefault="008648FD" w:rsidP="00A52DD2">
            <w:pPr>
              <w:pStyle w:val="Tabletext"/>
              <w:jc w:val="center"/>
            </w:pPr>
            <w:r w:rsidRPr="00EE74FC">
              <w:t>-4.7</w:t>
            </w:r>
          </w:p>
        </w:tc>
      </w:tr>
    </w:tbl>
    <w:p w14:paraId="29298754" w14:textId="77777777" w:rsidR="00755CBD" w:rsidRDefault="00755CBD" w:rsidP="00755CBD">
      <w:pPr>
        <w:rPr>
          <w:lang w:val="en-US"/>
        </w:rPr>
      </w:pPr>
    </w:p>
    <w:p w14:paraId="393970CA" w14:textId="77777777" w:rsidR="00755CBD" w:rsidRDefault="00755CBD" w:rsidP="00755CBD">
      <w:pPr>
        <w:rPr>
          <w:lang w:val="en-US"/>
        </w:rPr>
      </w:pPr>
      <w:r>
        <w:rPr>
          <w:lang w:val="en-US"/>
        </w:rPr>
        <w:t xml:space="preserve">The differences with the technical reference trajectory transmitted by the European Commission are presented and explained </w:t>
      </w:r>
      <w:r w:rsidRPr="00DC54CF">
        <w:rPr>
          <w:lang w:val="en-US"/>
        </w:rPr>
        <w:t xml:space="preserve">in </w:t>
      </w:r>
      <w:r w:rsidRPr="00133F58">
        <w:rPr>
          <w:color w:val="000000" w:themeColor="text1"/>
          <w:lang w:val="en-US"/>
        </w:rPr>
        <w:t>section 7</w:t>
      </w:r>
      <w:r w:rsidRPr="00DC54CF">
        <w:rPr>
          <w:lang w:val="en-US"/>
        </w:rPr>
        <w:t>.</w:t>
      </w:r>
      <w:r>
        <w:rPr>
          <w:lang w:val="en-US"/>
        </w:rPr>
        <w:t xml:space="preserve"> </w:t>
      </w:r>
    </w:p>
    <w:p w14:paraId="6BA8D5F7" w14:textId="77777777" w:rsidR="00755CBD" w:rsidRPr="00755CBD" w:rsidRDefault="00755CBD" w:rsidP="00B20130">
      <w:pPr>
        <w:rPr>
          <w:lang w:val="en-US"/>
        </w:rPr>
      </w:pPr>
    </w:p>
    <w:p w14:paraId="472543BD" w14:textId="77777777" w:rsidR="00F77624" w:rsidRPr="008648FD" w:rsidRDefault="00F77624" w:rsidP="00B20130">
      <w:pPr>
        <w:rPr>
          <w:lang w:val="en-US"/>
        </w:rPr>
      </w:pPr>
    </w:p>
    <w:p w14:paraId="7BA48FC9" w14:textId="77777777" w:rsidR="00B20130" w:rsidRPr="008648FD" w:rsidRDefault="00B20130">
      <w:pPr>
        <w:spacing w:after="200" w:line="276" w:lineRule="auto"/>
        <w:jc w:val="left"/>
        <w:rPr>
          <w:lang w:val="en-US"/>
        </w:rPr>
      </w:pPr>
      <w:r w:rsidRPr="008648FD">
        <w:rPr>
          <w:lang w:val="en-US"/>
        </w:rPr>
        <w:br w:type="page"/>
      </w:r>
    </w:p>
    <w:p w14:paraId="732D01F6" w14:textId="47077372" w:rsidR="00B20130" w:rsidRPr="00F04C82" w:rsidRDefault="00100696" w:rsidP="000A1385">
      <w:pPr>
        <w:pStyle w:val="Heading1"/>
        <w:numPr>
          <w:ilvl w:val="0"/>
          <w:numId w:val="2"/>
        </w:numPr>
        <w:spacing w:after="840"/>
        <w:ind w:left="709" w:hanging="709"/>
        <w:rPr>
          <w:lang w:val="en-US"/>
        </w:rPr>
      </w:pPr>
      <w:bookmarkStart w:id="9" w:name="_Toc178070089"/>
      <w:r w:rsidRPr="00100696">
        <w:rPr>
          <w:lang w:val="en-US"/>
        </w:rPr>
        <w:lastRenderedPageBreak/>
        <w:t xml:space="preserve">Macroeconomic context and prospects </w:t>
      </w:r>
      <w:r>
        <w:rPr>
          <w:lang w:val="en-US"/>
        </w:rPr>
        <w:br/>
      </w:r>
      <w:r w:rsidRPr="00100696">
        <w:rPr>
          <w:lang w:val="en-US"/>
        </w:rPr>
        <w:t xml:space="preserve">in the framework of the </w:t>
      </w:r>
      <w:r w:rsidR="00550975">
        <w:rPr>
          <w:lang w:val="en-US"/>
        </w:rPr>
        <w:t>MTP</w:t>
      </w:r>
      <w:r w:rsidRPr="00100696">
        <w:rPr>
          <w:lang w:val="en-US"/>
        </w:rPr>
        <w:t xml:space="preserve"> 202</w:t>
      </w:r>
      <w:r w:rsidR="0030322C">
        <w:rPr>
          <w:lang w:val="en-US"/>
        </w:rPr>
        <w:t>5</w:t>
      </w:r>
      <w:r w:rsidRPr="00100696">
        <w:rPr>
          <w:lang w:val="en-US"/>
        </w:rPr>
        <w:t>-2028</w:t>
      </w:r>
      <w:bookmarkEnd w:id="9"/>
    </w:p>
    <w:p w14:paraId="20B12298" w14:textId="77777777" w:rsidR="00F04C82" w:rsidRPr="00F04C82" w:rsidRDefault="00100696" w:rsidP="000656F2">
      <w:pPr>
        <w:pStyle w:val="Heading2"/>
        <w:numPr>
          <w:ilvl w:val="1"/>
          <w:numId w:val="2"/>
        </w:numPr>
        <w:ind w:left="709" w:hanging="709"/>
        <w:rPr>
          <w:lang w:val="en-US"/>
        </w:rPr>
      </w:pPr>
      <w:bookmarkStart w:id="10" w:name="_Toc178070090"/>
      <w:r w:rsidRPr="00100696">
        <w:rPr>
          <w:lang w:val="en-US"/>
        </w:rPr>
        <w:t>Macroeconomic estimates for 2024 and projections for 2025</w:t>
      </w:r>
      <w:bookmarkEnd w:id="10"/>
    </w:p>
    <w:p w14:paraId="4688EE2C" w14:textId="77777777" w:rsidR="00100696" w:rsidRPr="00100696" w:rsidRDefault="00100696" w:rsidP="00100696">
      <w:pPr>
        <w:rPr>
          <w:lang w:val="en-US"/>
        </w:rPr>
      </w:pPr>
      <w:r w:rsidRPr="00100696">
        <w:rPr>
          <w:lang w:val="en-US"/>
        </w:rPr>
        <w:t xml:space="preserve">The Greek economy ended 2023 on a solid footing, with real GDP growth outpacing the euro area average (0.4%) and growing by 2.0%. This solid performance is expected to continue, despite the challenging external environment, with projections indicating a continued positive trajectory in 2024 and 2025. </w:t>
      </w:r>
    </w:p>
    <w:p w14:paraId="5C9D9975" w14:textId="5C12777A" w:rsidR="00100696" w:rsidRPr="00100696" w:rsidRDefault="00100696" w:rsidP="00100696">
      <w:pPr>
        <w:rPr>
          <w:lang w:val="en-US"/>
        </w:rPr>
      </w:pPr>
      <w:r w:rsidRPr="00100696">
        <w:rPr>
          <w:lang w:val="en-US"/>
        </w:rPr>
        <w:t xml:space="preserve">In the first quarter of 2024, real GDP pointed to a 2.1% expansion on an annual basis, compared to 0.5% in the euro area. Private consumption and investment were the main growth drivers. </w:t>
      </w:r>
      <w:r w:rsidR="00206402">
        <w:rPr>
          <w:lang w:val="en-US"/>
        </w:rPr>
        <w:t xml:space="preserve"> </w:t>
      </w:r>
      <w:r w:rsidRPr="00100696">
        <w:rPr>
          <w:lang w:val="en-US"/>
        </w:rPr>
        <w:t xml:space="preserve">Available data show that economic activity continues growing solidly in the second quarter of the year as real GDP recorded an increase of 2.3% on </w:t>
      </w:r>
      <w:r w:rsidR="00E937D4">
        <w:rPr>
          <w:lang w:val="en-US"/>
        </w:rPr>
        <w:t xml:space="preserve">an </w:t>
      </w:r>
      <w:r w:rsidRPr="00100696">
        <w:rPr>
          <w:lang w:val="en-US"/>
        </w:rPr>
        <w:t>annual basis versus 0.6% in the euro area. The strong performance of high-frequency indicators (ESI and Manufacturing PMI) in the period January-August 2024 provides positive signs for demand conditions in the course of the year. Furthermore, travel receipts in the first semester 2024 increased by 12.2% year on year.</w:t>
      </w:r>
    </w:p>
    <w:p w14:paraId="2514F805" w14:textId="31879876" w:rsidR="00100696" w:rsidRPr="00100696" w:rsidRDefault="00100696" w:rsidP="00100696">
      <w:pPr>
        <w:rPr>
          <w:lang w:val="en-US"/>
        </w:rPr>
      </w:pPr>
      <w:r w:rsidRPr="00100696">
        <w:rPr>
          <w:lang w:val="en-US"/>
        </w:rPr>
        <w:t xml:space="preserve">Real GDP is projected to grow by 2.2% in 2024 and 2.3% in 2025, supported by rising disposable income, increased investment, strengthening foreign demand and the waning impact of monetary policy tightening. The macroeconomic forecasts presented in the </w:t>
      </w:r>
      <w:r w:rsidR="00550975">
        <w:rPr>
          <w:lang w:val="en-US"/>
        </w:rPr>
        <w:t>MTP</w:t>
      </w:r>
      <w:r w:rsidRPr="00100696">
        <w:rPr>
          <w:lang w:val="en-US"/>
        </w:rPr>
        <w:t xml:space="preserve"> are aligned to those of the EC spring 2024 economic forecasts.</w:t>
      </w:r>
    </w:p>
    <w:p w14:paraId="307B9B7A" w14:textId="195420E4" w:rsidR="00100696" w:rsidRPr="00100696" w:rsidRDefault="00100696" w:rsidP="00100696">
      <w:pPr>
        <w:rPr>
          <w:lang w:val="en-US"/>
        </w:rPr>
      </w:pPr>
      <w:r w:rsidRPr="00100696">
        <w:rPr>
          <w:lang w:val="en-US"/>
        </w:rPr>
        <w:t>This growth trajectory reflects a significant increase in investment during the period in question. Specifically, gross fixed capital formation is projected to increase its share in output growth (1.0 pp. in 2024 and 1.3 pp. in 2025)</w:t>
      </w:r>
      <w:r w:rsidR="000C5CFD" w:rsidRPr="00133F7A">
        <w:rPr>
          <w:lang w:val="en-US"/>
        </w:rPr>
        <w:t>,</w:t>
      </w:r>
      <w:r w:rsidRPr="00100696">
        <w:rPr>
          <w:lang w:val="en-US"/>
        </w:rPr>
        <w:t xml:space="preserve"> </w:t>
      </w:r>
      <w:r w:rsidR="000C5CFD">
        <w:rPr>
          <w:lang w:val="en-US"/>
        </w:rPr>
        <w:t xml:space="preserve">with the annual rate </w:t>
      </w:r>
      <w:r w:rsidRPr="00100696">
        <w:rPr>
          <w:lang w:val="en-US"/>
        </w:rPr>
        <w:t xml:space="preserve">picking up from 4.0% in 2023 to 6.7% in 2024 and 8.4% in 2025. The expected further easing of monetary policy, the acceleration of the implementation of the Greek RRP and the improvement in the economic climate after the upgrade of the economy to investment grade status are set to be the driving forces behind this expansion. In this context, the availability of business credit should be further supported by the low interest rate of RRF loans. The composition of investment is expected to derive primarily from productive investment in equipment and secondarily from investment in non-residential construction, largely reflecting RRP infrastructure projects. The RRP is set to contribute decisively to output growth in 2024 and 2025, through investments and reforms to expand productive capacity, strengthen competitiveness and extroversion, address the need for technology adaptation and enhance employment and social cohesion, resulting in higher potential growth. </w:t>
      </w:r>
    </w:p>
    <w:p w14:paraId="110871FD" w14:textId="77777777" w:rsidR="00100696" w:rsidRPr="00100696" w:rsidRDefault="00100696" w:rsidP="00100696">
      <w:pPr>
        <w:rPr>
          <w:lang w:val="en-US"/>
        </w:rPr>
      </w:pPr>
      <w:r w:rsidRPr="00100696">
        <w:rPr>
          <w:lang w:val="en-US"/>
        </w:rPr>
        <w:lastRenderedPageBreak/>
        <w:t>The contribution of private consumption in 2024-2025 is expected to remain steady, averaging 1.2 p.p. and 1.7% annual growth. This is underpinned by robust real income growth, driven by wage increases in both the private and public sectors, further gains in the labo</w:t>
      </w:r>
      <w:r w:rsidR="00B5423E">
        <w:rPr>
          <w:lang w:val="en-US"/>
        </w:rPr>
        <w:t>u</w:t>
      </w:r>
      <w:r w:rsidRPr="00100696">
        <w:rPr>
          <w:lang w:val="en-US"/>
        </w:rPr>
        <w:t>r market, and declining inflation. By contrast, public consumption is expected to contribute marginally to growth in 2024 (0.1 percentage points and 0.4% annual growth) and remain unchanged in 2025, reflecting prudent fiscal policy in line with the new fiscal rules.</w:t>
      </w:r>
    </w:p>
    <w:p w14:paraId="0C09A226" w14:textId="3CC124A5" w:rsidR="00100696" w:rsidRPr="00100696" w:rsidRDefault="00100696" w:rsidP="00100696">
      <w:pPr>
        <w:rPr>
          <w:lang w:val="en-US"/>
        </w:rPr>
      </w:pPr>
      <w:r w:rsidRPr="00100696">
        <w:rPr>
          <w:lang w:val="en-US"/>
        </w:rPr>
        <w:t>The expected increase in domestic demand, propelled by buoyant investment, is foreseen to lead to increased imports of goods and services (3.7% on average). However, exports of goods and services are expected to grow faster than imports (4.1% on average), benefiting from growing export capacity and competitiveness gains, in line with the gradual recovery of external demand. A consistent rise in export market shares and a solid increase in tourism receipts should drive a gradual further narrowing of the current account deficit.</w:t>
      </w:r>
    </w:p>
    <w:p w14:paraId="689E37DC" w14:textId="77777777" w:rsidR="00100696" w:rsidRPr="00100696" w:rsidRDefault="00100696" w:rsidP="00100696">
      <w:pPr>
        <w:rPr>
          <w:lang w:val="en-US"/>
        </w:rPr>
      </w:pPr>
      <w:r w:rsidRPr="00100696">
        <w:rPr>
          <w:lang w:val="en-US"/>
        </w:rPr>
        <w:t xml:space="preserve">Labour market is seen to remain resilient. Total employment (on national account basis) is projected to rise by </w:t>
      </w:r>
      <w:r w:rsidRPr="00925D1A">
        <w:rPr>
          <w:lang w:val="en-US"/>
        </w:rPr>
        <w:t>0.9%</w:t>
      </w:r>
      <w:r w:rsidRPr="00100696">
        <w:rPr>
          <w:lang w:val="en-US"/>
        </w:rPr>
        <w:t xml:space="preserve"> in 2024-2025, underpinned by job positions generated by the implementation of the Public Investment Budget and the RRP as well as policy measures, such as the reduction in Social Security Contributions. The LFS-based unemployment rate is forecast to steadily decline to 10.3% in 2024 and 9.7% in 2025, close to pre-financial crisis levels (9.6% in 2009). Nominal compensation of employees is expected to grow at an average rate of 4.3% in 2024-2025, led by the increase in private and public sector wages along with the tightening of the labour market. </w:t>
      </w:r>
    </w:p>
    <w:p w14:paraId="18D1EBA2" w14:textId="58A7AB87" w:rsidR="00F04C82" w:rsidRPr="00133F7A" w:rsidRDefault="00100696" w:rsidP="00100696">
      <w:pPr>
        <w:rPr>
          <w:lang w:val="en-US"/>
        </w:rPr>
      </w:pPr>
      <w:r w:rsidRPr="00100696">
        <w:rPr>
          <w:lang w:val="en-US"/>
        </w:rPr>
        <w:t>HICP inflation is expected to decline significantly to 2.8% in 2024 and de-escalate further to 2.1% in 2025 from 4.2% in 2023, as the sharp decline, despite fluctuations in energy prices, and the de-escalation of food prices increasingly contribute to the disinflation process. Core inflation is set to decline gradually, reflecting a moderate easing of services inflation</w:t>
      </w:r>
      <w:r w:rsidR="00F04C82" w:rsidRPr="00F04C82">
        <w:rPr>
          <w:lang w:val="en-US"/>
        </w:rPr>
        <w:t xml:space="preserve">. </w:t>
      </w:r>
    </w:p>
    <w:p w14:paraId="6684CDCB" w14:textId="77777777" w:rsidR="00CA7D42" w:rsidRPr="00133F7A" w:rsidRDefault="00CA7D42" w:rsidP="00100696">
      <w:pPr>
        <w:rPr>
          <w:lang w:val="en-US"/>
        </w:rPr>
      </w:pPr>
    </w:p>
    <w:p w14:paraId="1193E023" w14:textId="77777777" w:rsidR="00B7627D" w:rsidRPr="00133F7A" w:rsidRDefault="00B7627D" w:rsidP="00100696">
      <w:pPr>
        <w:rPr>
          <w:lang w:val="en-US"/>
        </w:rPr>
      </w:pPr>
    </w:p>
    <w:p w14:paraId="1271FA82" w14:textId="77777777" w:rsidR="00B7627D" w:rsidRPr="00133F7A" w:rsidRDefault="00B7627D" w:rsidP="00100696">
      <w:pPr>
        <w:rPr>
          <w:lang w:val="en-US"/>
        </w:rPr>
      </w:pPr>
    </w:p>
    <w:p w14:paraId="4C6E8602" w14:textId="77777777" w:rsidR="00B7627D" w:rsidRPr="00133F7A" w:rsidRDefault="00B7627D" w:rsidP="00100696">
      <w:pPr>
        <w:rPr>
          <w:lang w:val="en-US"/>
        </w:rPr>
      </w:pPr>
    </w:p>
    <w:p w14:paraId="7A2A42CB" w14:textId="77777777" w:rsidR="00B7627D" w:rsidRPr="00133F7A" w:rsidRDefault="00B7627D" w:rsidP="00100696">
      <w:pPr>
        <w:rPr>
          <w:lang w:val="en-US"/>
        </w:rPr>
      </w:pPr>
    </w:p>
    <w:p w14:paraId="52EDA2AB" w14:textId="77777777" w:rsidR="00B7627D" w:rsidRPr="00133F7A" w:rsidRDefault="00B7627D" w:rsidP="00100696">
      <w:pPr>
        <w:rPr>
          <w:lang w:val="en-US"/>
        </w:rPr>
      </w:pPr>
    </w:p>
    <w:p w14:paraId="6CE64AC4" w14:textId="77777777" w:rsidR="00B7627D" w:rsidRPr="00133F7A" w:rsidRDefault="00B7627D" w:rsidP="00100696">
      <w:pPr>
        <w:rPr>
          <w:lang w:val="en-US"/>
        </w:rPr>
      </w:pPr>
    </w:p>
    <w:p w14:paraId="5631D3C7" w14:textId="0BA1B448" w:rsidR="00B7627D" w:rsidRDefault="00B7627D" w:rsidP="00100696">
      <w:pPr>
        <w:rPr>
          <w:lang w:val="en-US"/>
        </w:rPr>
      </w:pPr>
    </w:p>
    <w:p w14:paraId="558DD844" w14:textId="77777777" w:rsidR="00A659E5" w:rsidRDefault="00A659E5" w:rsidP="00100696">
      <w:pPr>
        <w:rPr>
          <w:lang w:val="en-US"/>
        </w:rPr>
      </w:pPr>
    </w:p>
    <w:p w14:paraId="2C28E83B" w14:textId="545684A9" w:rsidR="00AD7D1B" w:rsidRDefault="00AD7D1B" w:rsidP="00100696">
      <w:pPr>
        <w:rPr>
          <w:lang w:val="en-US"/>
        </w:rPr>
      </w:pPr>
    </w:p>
    <w:p w14:paraId="70324DC8" w14:textId="7FD3132B" w:rsidR="00CA7D42" w:rsidRPr="00C35DC3" w:rsidRDefault="00CA7D42" w:rsidP="00CA7D42">
      <w:pPr>
        <w:pStyle w:val="Table"/>
        <w:rPr>
          <w:lang w:val="el-GR"/>
        </w:rPr>
      </w:pPr>
      <w:bookmarkStart w:id="11" w:name="_Ref177641440"/>
      <w:bookmarkStart w:id="12" w:name="_Toc177747033"/>
      <w:r w:rsidRPr="00171F1F">
        <w:lastRenderedPageBreak/>
        <w:t xml:space="preserve">Table </w:t>
      </w:r>
      <w:r>
        <w:fldChar w:fldCharType="begin"/>
      </w:r>
      <w:r>
        <w:instrText xml:space="preserve"> SEQ Table \* ARABIC </w:instrText>
      </w:r>
      <w:r>
        <w:fldChar w:fldCharType="separate"/>
      </w:r>
      <w:r w:rsidR="00824AAF">
        <w:rPr>
          <w:noProof/>
        </w:rPr>
        <w:t>3</w:t>
      </w:r>
      <w:r>
        <w:fldChar w:fldCharType="end"/>
      </w:r>
      <w:bookmarkEnd w:id="11"/>
      <w:r>
        <w:t xml:space="preserve"> | </w:t>
      </w:r>
      <w:r w:rsidRPr="00171F1F">
        <w:t>Macroeconomic scenario</w:t>
      </w:r>
      <w:bookmarkEnd w:id="12"/>
      <w:r w:rsidRPr="00171F1F">
        <w:tab/>
      </w:r>
    </w:p>
    <w:tbl>
      <w:tblPr>
        <w:tblW w:w="10379" w:type="dxa"/>
        <w:tblLook w:val="04A0" w:firstRow="1" w:lastRow="0" w:firstColumn="1" w:lastColumn="0" w:noHBand="0" w:noVBand="1"/>
      </w:tblPr>
      <w:tblGrid>
        <w:gridCol w:w="438"/>
        <w:gridCol w:w="3390"/>
        <w:gridCol w:w="765"/>
        <w:gridCol w:w="801"/>
        <w:gridCol w:w="720"/>
        <w:gridCol w:w="589"/>
        <w:gridCol w:w="673"/>
        <w:gridCol w:w="413"/>
        <w:gridCol w:w="87"/>
        <w:gridCol w:w="456"/>
        <w:gridCol w:w="44"/>
        <w:gridCol w:w="500"/>
        <w:gridCol w:w="500"/>
        <w:gridCol w:w="500"/>
        <w:gridCol w:w="503"/>
      </w:tblGrid>
      <w:tr w:rsidR="00CA7D42" w:rsidRPr="00216C95" w14:paraId="411BDD4B" w14:textId="77777777" w:rsidTr="00CC67B8">
        <w:trPr>
          <w:gridAfter w:val="3"/>
          <w:wAfter w:w="1503" w:type="dxa"/>
          <w:trHeight w:val="640"/>
        </w:trPr>
        <w:tc>
          <w:tcPr>
            <w:tcW w:w="438" w:type="dxa"/>
            <w:tcBorders>
              <w:top w:val="nil"/>
              <w:left w:val="nil"/>
              <w:right w:val="nil"/>
            </w:tcBorders>
            <w:shd w:val="clear" w:color="000000" w:fill="BFBFBF"/>
            <w:vAlign w:val="center"/>
            <w:hideMark/>
          </w:tcPr>
          <w:p w14:paraId="54DEE3EC"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 </w:t>
            </w:r>
          </w:p>
        </w:tc>
        <w:tc>
          <w:tcPr>
            <w:tcW w:w="3390" w:type="dxa"/>
            <w:tcBorders>
              <w:top w:val="nil"/>
              <w:left w:val="nil"/>
              <w:right w:val="nil"/>
            </w:tcBorders>
            <w:shd w:val="clear" w:color="000000" w:fill="BFBFBF"/>
            <w:vAlign w:val="center"/>
            <w:hideMark/>
          </w:tcPr>
          <w:p w14:paraId="05DAAEBA"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 </w:t>
            </w:r>
          </w:p>
        </w:tc>
        <w:tc>
          <w:tcPr>
            <w:tcW w:w="765" w:type="dxa"/>
            <w:tcBorders>
              <w:top w:val="nil"/>
              <w:left w:val="nil"/>
              <w:bottom w:val="single" w:sz="4" w:space="0" w:color="FFFFFF" w:themeColor="background1"/>
              <w:right w:val="nil"/>
            </w:tcBorders>
            <w:shd w:val="clear" w:color="000000" w:fill="BFBFBF"/>
            <w:vAlign w:val="center"/>
            <w:hideMark/>
          </w:tcPr>
          <w:p w14:paraId="316DCED1" w14:textId="77777777" w:rsidR="00CA7D42" w:rsidRPr="00216C95" w:rsidRDefault="00CA7D42" w:rsidP="00CC67B8">
            <w:pPr>
              <w:spacing w:after="0" w:line="240" w:lineRule="exact"/>
              <w:jc w:val="left"/>
              <w:rPr>
                <w:rFonts w:eastAsia="Times New Roman" w:cstheme="minorHAnsi"/>
                <w:b/>
                <w:bCs/>
                <w:color w:val="000000"/>
                <w:sz w:val="21"/>
                <w:szCs w:val="21"/>
              </w:rPr>
            </w:pPr>
            <w:r w:rsidRPr="00216C95">
              <w:rPr>
                <w:rFonts w:eastAsia="Times New Roman" w:cstheme="minorHAnsi"/>
                <w:b/>
                <w:bCs/>
                <w:color w:val="000000"/>
                <w:sz w:val="21"/>
                <w:szCs w:val="21"/>
              </w:rPr>
              <w:t> </w:t>
            </w:r>
          </w:p>
        </w:tc>
        <w:tc>
          <w:tcPr>
            <w:tcW w:w="801" w:type="dxa"/>
            <w:tcBorders>
              <w:top w:val="nil"/>
              <w:left w:val="nil"/>
              <w:bottom w:val="single" w:sz="4" w:space="0" w:color="FFFFFF" w:themeColor="background1"/>
              <w:right w:val="nil"/>
            </w:tcBorders>
            <w:shd w:val="clear" w:color="000000" w:fill="BFBFBF"/>
            <w:textDirection w:val="btLr"/>
            <w:vAlign w:val="center"/>
            <w:hideMark/>
          </w:tcPr>
          <w:p w14:paraId="5CA3F912"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2023</w:t>
            </w:r>
          </w:p>
        </w:tc>
        <w:tc>
          <w:tcPr>
            <w:tcW w:w="720" w:type="dxa"/>
            <w:tcBorders>
              <w:top w:val="nil"/>
              <w:left w:val="nil"/>
              <w:bottom w:val="single" w:sz="4" w:space="0" w:color="FFFFFF" w:themeColor="background1"/>
              <w:right w:val="nil"/>
            </w:tcBorders>
            <w:shd w:val="clear" w:color="000000" w:fill="BFBFBF"/>
            <w:textDirection w:val="btLr"/>
            <w:vAlign w:val="center"/>
            <w:hideMark/>
          </w:tcPr>
          <w:p w14:paraId="19971CE1"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2023</w:t>
            </w:r>
          </w:p>
        </w:tc>
        <w:tc>
          <w:tcPr>
            <w:tcW w:w="589" w:type="dxa"/>
            <w:tcBorders>
              <w:top w:val="nil"/>
              <w:left w:val="nil"/>
              <w:bottom w:val="single" w:sz="4" w:space="0" w:color="FFFFFF" w:themeColor="background1"/>
              <w:right w:val="nil"/>
            </w:tcBorders>
            <w:shd w:val="clear" w:color="000000" w:fill="BFBFBF"/>
            <w:textDirection w:val="btLr"/>
            <w:vAlign w:val="center"/>
            <w:hideMark/>
          </w:tcPr>
          <w:p w14:paraId="553BA872"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2024</w:t>
            </w:r>
          </w:p>
        </w:tc>
        <w:tc>
          <w:tcPr>
            <w:tcW w:w="673" w:type="dxa"/>
            <w:tcBorders>
              <w:top w:val="nil"/>
              <w:left w:val="nil"/>
              <w:bottom w:val="single" w:sz="4" w:space="0" w:color="FFFFFF" w:themeColor="background1"/>
              <w:right w:val="nil"/>
            </w:tcBorders>
            <w:shd w:val="clear" w:color="000000" w:fill="BFBFBF"/>
            <w:textDirection w:val="btLr"/>
            <w:vAlign w:val="center"/>
            <w:hideMark/>
          </w:tcPr>
          <w:p w14:paraId="6CBA0CE8"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2025</w:t>
            </w:r>
          </w:p>
        </w:tc>
        <w:tc>
          <w:tcPr>
            <w:tcW w:w="500" w:type="dxa"/>
            <w:gridSpan w:val="2"/>
            <w:tcBorders>
              <w:top w:val="nil"/>
              <w:left w:val="nil"/>
              <w:bottom w:val="single" w:sz="4" w:space="0" w:color="FFFFFF" w:themeColor="background1"/>
              <w:right w:val="nil"/>
            </w:tcBorders>
            <w:shd w:val="clear" w:color="000000" w:fill="BFBFBF"/>
            <w:textDirection w:val="btLr"/>
            <w:vAlign w:val="center"/>
            <w:hideMark/>
          </w:tcPr>
          <w:p w14:paraId="388E04E9"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2026</w:t>
            </w:r>
          </w:p>
        </w:tc>
        <w:tc>
          <w:tcPr>
            <w:tcW w:w="500" w:type="dxa"/>
            <w:gridSpan w:val="2"/>
            <w:tcBorders>
              <w:top w:val="nil"/>
              <w:left w:val="nil"/>
              <w:bottom w:val="single" w:sz="4" w:space="0" w:color="FFFFFF" w:themeColor="background1"/>
              <w:right w:val="nil"/>
            </w:tcBorders>
            <w:shd w:val="clear" w:color="000000" w:fill="BFBFBF"/>
            <w:textDirection w:val="btLr"/>
            <w:vAlign w:val="center"/>
            <w:hideMark/>
          </w:tcPr>
          <w:p w14:paraId="3B5F3663"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2027</w:t>
            </w:r>
          </w:p>
        </w:tc>
        <w:tc>
          <w:tcPr>
            <w:tcW w:w="500" w:type="dxa"/>
            <w:tcBorders>
              <w:top w:val="nil"/>
              <w:left w:val="nil"/>
              <w:bottom w:val="single" w:sz="4" w:space="0" w:color="FFFFFF" w:themeColor="background1"/>
              <w:right w:val="nil"/>
            </w:tcBorders>
            <w:shd w:val="clear" w:color="000000" w:fill="BFBFBF"/>
            <w:textDirection w:val="btLr"/>
            <w:vAlign w:val="center"/>
            <w:hideMark/>
          </w:tcPr>
          <w:p w14:paraId="4EB64257" w14:textId="77777777" w:rsidR="00CA7D42" w:rsidRPr="00216C95" w:rsidRDefault="00CA7D42" w:rsidP="00CC67B8">
            <w:pPr>
              <w:spacing w:after="0" w:line="240" w:lineRule="exact"/>
              <w:jc w:val="center"/>
              <w:rPr>
                <w:rFonts w:eastAsia="Times New Roman" w:cstheme="minorHAnsi"/>
                <w:b/>
                <w:bCs/>
                <w:color w:val="000000"/>
                <w:sz w:val="21"/>
                <w:szCs w:val="21"/>
              </w:rPr>
            </w:pPr>
            <w:r w:rsidRPr="00216C95">
              <w:rPr>
                <w:rFonts w:eastAsia="Times New Roman" w:cstheme="minorHAnsi"/>
                <w:b/>
                <w:bCs/>
                <w:color w:val="000000"/>
                <w:sz w:val="21"/>
                <w:szCs w:val="21"/>
              </w:rPr>
              <w:t>2028</w:t>
            </w:r>
          </w:p>
        </w:tc>
      </w:tr>
      <w:tr w:rsidR="00CA7D42" w:rsidRPr="00820BC3" w14:paraId="1988C812" w14:textId="77777777" w:rsidTr="00CC67B8">
        <w:trPr>
          <w:gridAfter w:val="3"/>
          <w:wAfter w:w="1503" w:type="dxa"/>
          <w:trHeight w:val="170"/>
        </w:trPr>
        <w:tc>
          <w:tcPr>
            <w:tcW w:w="438" w:type="dxa"/>
            <w:tcBorders>
              <w:left w:val="nil"/>
              <w:right w:val="nil"/>
            </w:tcBorders>
            <w:shd w:val="clear" w:color="000000" w:fill="BFBFBF"/>
            <w:vAlign w:val="center"/>
            <w:hideMark/>
          </w:tcPr>
          <w:p w14:paraId="65057058" w14:textId="77777777" w:rsidR="00CA7D42" w:rsidRPr="00820BC3" w:rsidRDefault="00CA7D42" w:rsidP="00CC67B8">
            <w:pPr>
              <w:pStyle w:val="Tabletext"/>
              <w:rPr>
                <w:b/>
              </w:rPr>
            </w:pPr>
            <w:r w:rsidRPr="00820BC3">
              <w:rPr>
                <w:b/>
              </w:rPr>
              <w:t> </w:t>
            </w:r>
          </w:p>
        </w:tc>
        <w:tc>
          <w:tcPr>
            <w:tcW w:w="3390" w:type="dxa"/>
            <w:tcBorders>
              <w:left w:val="nil"/>
            </w:tcBorders>
            <w:shd w:val="clear" w:color="000000" w:fill="BFBFBF"/>
            <w:vAlign w:val="center"/>
            <w:hideMark/>
          </w:tcPr>
          <w:p w14:paraId="1CB3C19A" w14:textId="77777777" w:rsidR="00CA7D42" w:rsidRPr="00820BC3" w:rsidRDefault="00CA7D42" w:rsidP="00CC67B8">
            <w:pPr>
              <w:pStyle w:val="Tabletext"/>
              <w:rPr>
                <w:b/>
              </w:rPr>
            </w:pPr>
            <w:r w:rsidRPr="00820BC3">
              <w:rPr>
                <w:b/>
              </w:rPr>
              <w:t xml:space="preserve">GDP </w:t>
            </w:r>
          </w:p>
        </w:tc>
        <w:tc>
          <w:tcPr>
            <w:tcW w:w="765" w:type="dxa"/>
            <w:tcBorders>
              <w:top w:val="single" w:sz="4" w:space="0" w:color="FFFFFF" w:themeColor="background1"/>
              <w:right w:val="nil"/>
            </w:tcBorders>
            <w:shd w:val="clear" w:color="000000" w:fill="BFBFBF"/>
            <w:vAlign w:val="center"/>
            <w:hideMark/>
          </w:tcPr>
          <w:p w14:paraId="3716FE6C" w14:textId="77777777" w:rsidR="00CA7D42" w:rsidRPr="00820BC3" w:rsidRDefault="00CA7D42" w:rsidP="00CC67B8">
            <w:pPr>
              <w:pStyle w:val="Tabletext"/>
              <w:rPr>
                <w:b/>
              </w:rPr>
            </w:pPr>
            <w:r w:rsidRPr="00820BC3">
              <w:rPr>
                <w:b/>
              </w:rPr>
              <w:t xml:space="preserve">ESA Code </w:t>
            </w:r>
          </w:p>
        </w:tc>
        <w:tc>
          <w:tcPr>
            <w:tcW w:w="801" w:type="dxa"/>
            <w:tcBorders>
              <w:top w:val="single" w:sz="4" w:space="0" w:color="FFFFFF" w:themeColor="background1"/>
              <w:left w:val="nil"/>
              <w:right w:val="nil"/>
            </w:tcBorders>
            <w:shd w:val="clear" w:color="000000" w:fill="BFBFBF"/>
            <w:vAlign w:val="center"/>
            <w:hideMark/>
          </w:tcPr>
          <w:p w14:paraId="082B4809" w14:textId="77777777" w:rsidR="00CA7D42" w:rsidRPr="00820BC3" w:rsidRDefault="00CA7D42" w:rsidP="00CC67B8">
            <w:pPr>
              <w:pStyle w:val="Tabletext"/>
              <w:jc w:val="center"/>
              <w:rPr>
                <w:b/>
              </w:rPr>
            </w:pPr>
            <w:r w:rsidRPr="00820BC3">
              <w:rPr>
                <w:b/>
              </w:rPr>
              <w:t>bn NAC</w:t>
            </w:r>
          </w:p>
        </w:tc>
        <w:tc>
          <w:tcPr>
            <w:tcW w:w="3482" w:type="dxa"/>
            <w:gridSpan w:val="8"/>
            <w:tcBorders>
              <w:top w:val="single" w:sz="4" w:space="0" w:color="FFFFFF" w:themeColor="background1"/>
              <w:left w:val="nil"/>
              <w:right w:val="nil"/>
            </w:tcBorders>
            <w:shd w:val="clear" w:color="000000" w:fill="BFBFBF"/>
            <w:vAlign w:val="center"/>
            <w:hideMark/>
          </w:tcPr>
          <w:p w14:paraId="7F7729BA" w14:textId="77777777" w:rsidR="00CA7D42" w:rsidRPr="00820BC3" w:rsidRDefault="00CA7D42" w:rsidP="00CC67B8">
            <w:pPr>
              <w:pStyle w:val="Tabletext"/>
              <w:jc w:val="center"/>
              <w:rPr>
                <w:b/>
              </w:rPr>
            </w:pPr>
            <w:r>
              <w:rPr>
                <w:b/>
              </w:rPr>
              <w:t>G</w:t>
            </w:r>
            <w:r w:rsidRPr="00820BC3">
              <w:rPr>
                <w:b/>
              </w:rPr>
              <w:t xml:space="preserve">rowth </w:t>
            </w:r>
            <w:r>
              <w:rPr>
                <w:b/>
              </w:rPr>
              <w:t>R</w:t>
            </w:r>
            <w:r w:rsidRPr="00820BC3">
              <w:rPr>
                <w:b/>
              </w:rPr>
              <w:t>ate</w:t>
            </w:r>
          </w:p>
        </w:tc>
      </w:tr>
      <w:tr w:rsidR="00CA7D42" w:rsidRPr="00216C95" w14:paraId="6F326D39" w14:textId="77777777" w:rsidTr="00CC67B8">
        <w:trPr>
          <w:gridAfter w:val="3"/>
          <w:wAfter w:w="1503" w:type="dxa"/>
          <w:trHeight w:val="170"/>
        </w:trPr>
        <w:tc>
          <w:tcPr>
            <w:tcW w:w="438" w:type="dxa"/>
            <w:tcBorders>
              <w:left w:val="nil"/>
              <w:bottom w:val="single" w:sz="4" w:space="0" w:color="FFFFFF" w:themeColor="background1"/>
              <w:right w:val="nil"/>
            </w:tcBorders>
            <w:shd w:val="clear" w:color="000000" w:fill="F2F2F2"/>
            <w:vAlign w:val="center"/>
            <w:hideMark/>
          </w:tcPr>
          <w:p w14:paraId="2F702BFD" w14:textId="77777777" w:rsidR="00CA7D42" w:rsidRPr="00216C95" w:rsidRDefault="00CA7D42" w:rsidP="00CC67B8">
            <w:pPr>
              <w:pStyle w:val="Tabletext"/>
            </w:pPr>
            <w:r w:rsidRPr="00216C95">
              <w:t>1</w:t>
            </w:r>
          </w:p>
        </w:tc>
        <w:tc>
          <w:tcPr>
            <w:tcW w:w="3390" w:type="dxa"/>
            <w:tcBorders>
              <w:left w:val="nil"/>
              <w:bottom w:val="single" w:sz="4" w:space="0" w:color="FFFFFF" w:themeColor="background1"/>
            </w:tcBorders>
            <w:shd w:val="clear" w:color="000000" w:fill="F2F2F2"/>
            <w:vAlign w:val="center"/>
            <w:hideMark/>
          </w:tcPr>
          <w:p w14:paraId="7D544D64" w14:textId="77777777" w:rsidR="00CA7D42" w:rsidRPr="00216C95" w:rsidRDefault="00CA7D42" w:rsidP="00CC67B8">
            <w:pPr>
              <w:pStyle w:val="Tabletext"/>
            </w:pPr>
            <w:r w:rsidRPr="00216C95">
              <w:t>Real GDP</w:t>
            </w:r>
          </w:p>
        </w:tc>
        <w:tc>
          <w:tcPr>
            <w:tcW w:w="765" w:type="dxa"/>
            <w:tcBorders>
              <w:bottom w:val="single" w:sz="4" w:space="0" w:color="FFFFFF" w:themeColor="background1"/>
              <w:right w:val="nil"/>
            </w:tcBorders>
            <w:shd w:val="clear" w:color="000000" w:fill="F2F2F2"/>
            <w:vAlign w:val="center"/>
            <w:hideMark/>
          </w:tcPr>
          <w:p w14:paraId="2629F648" w14:textId="77777777" w:rsidR="00CA7D42" w:rsidRPr="00216C95" w:rsidRDefault="00CA7D42" w:rsidP="00CC67B8">
            <w:pPr>
              <w:pStyle w:val="Tabletext"/>
            </w:pPr>
            <w:r w:rsidRPr="00216C95">
              <w:t xml:space="preserve">B.1*g </w:t>
            </w:r>
          </w:p>
        </w:tc>
        <w:tc>
          <w:tcPr>
            <w:tcW w:w="801" w:type="dxa"/>
            <w:tcBorders>
              <w:left w:val="nil"/>
              <w:bottom w:val="single" w:sz="4" w:space="0" w:color="FFFFFF" w:themeColor="background1"/>
              <w:right w:val="nil"/>
            </w:tcBorders>
            <w:shd w:val="clear" w:color="000000" w:fill="F2F2F2"/>
            <w:hideMark/>
          </w:tcPr>
          <w:p w14:paraId="32D9F2DC" w14:textId="77777777" w:rsidR="00CA7D42" w:rsidRPr="00216C95" w:rsidRDefault="00CA7D42" w:rsidP="00CC67B8">
            <w:pPr>
              <w:pStyle w:val="Tabletext"/>
              <w:jc w:val="center"/>
            </w:pPr>
          </w:p>
        </w:tc>
        <w:tc>
          <w:tcPr>
            <w:tcW w:w="720" w:type="dxa"/>
            <w:tcBorders>
              <w:left w:val="nil"/>
              <w:bottom w:val="single" w:sz="4" w:space="0" w:color="FFFFFF" w:themeColor="background1"/>
              <w:right w:val="nil"/>
            </w:tcBorders>
            <w:shd w:val="clear" w:color="000000" w:fill="F2F2F2"/>
            <w:hideMark/>
          </w:tcPr>
          <w:p w14:paraId="6E46BF6E" w14:textId="77777777" w:rsidR="00CA7D42" w:rsidRPr="00216C95" w:rsidRDefault="00CA7D42" w:rsidP="00CC67B8">
            <w:pPr>
              <w:pStyle w:val="Tabletext"/>
              <w:jc w:val="center"/>
            </w:pPr>
            <w:r w:rsidRPr="00D310B8">
              <w:t>2.0</w:t>
            </w:r>
          </w:p>
        </w:tc>
        <w:tc>
          <w:tcPr>
            <w:tcW w:w="589" w:type="dxa"/>
            <w:tcBorders>
              <w:left w:val="nil"/>
              <w:bottom w:val="single" w:sz="4" w:space="0" w:color="FFFFFF" w:themeColor="background1"/>
              <w:right w:val="nil"/>
            </w:tcBorders>
            <w:shd w:val="clear" w:color="000000" w:fill="F2F2F2"/>
            <w:hideMark/>
          </w:tcPr>
          <w:p w14:paraId="2B2AD32D" w14:textId="77777777" w:rsidR="00CA7D42" w:rsidRPr="00216C95" w:rsidRDefault="00CA7D42" w:rsidP="00CC67B8">
            <w:pPr>
              <w:pStyle w:val="Tabletext"/>
              <w:jc w:val="center"/>
            </w:pPr>
            <w:r w:rsidRPr="00D310B8">
              <w:t>2.2</w:t>
            </w:r>
          </w:p>
        </w:tc>
        <w:tc>
          <w:tcPr>
            <w:tcW w:w="673" w:type="dxa"/>
            <w:tcBorders>
              <w:left w:val="nil"/>
              <w:bottom w:val="single" w:sz="4" w:space="0" w:color="FFFFFF" w:themeColor="background1"/>
              <w:right w:val="nil"/>
            </w:tcBorders>
            <w:shd w:val="clear" w:color="000000" w:fill="F2F2F2"/>
            <w:hideMark/>
          </w:tcPr>
          <w:p w14:paraId="24F434B3" w14:textId="77777777" w:rsidR="00CA7D42" w:rsidRPr="00216C95" w:rsidRDefault="00CA7D42" w:rsidP="00CC67B8">
            <w:pPr>
              <w:pStyle w:val="Tabletext"/>
              <w:jc w:val="center"/>
            </w:pPr>
            <w:r w:rsidRPr="00D310B8">
              <w:t>2.3</w:t>
            </w:r>
          </w:p>
        </w:tc>
        <w:tc>
          <w:tcPr>
            <w:tcW w:w="500" w:type="dxa"/>
            <w:gridSpan w:val="2"/>
            <w:tcBorders>
              <w:left w:val="nil"/>
              <w:bottom w:val="single" w:sz="4" w:space="0" w:color="FFFFFF" w:themeColor="background1"/>
              <w:right w:val="nil"/>
            </w:tcBorders>
            <w:shd w:val="clear" w:color="000000" w:fill="F2F2F2"/>
            <w:hideMark/>
          </w:tcPr>
          <w:p w14:paraId="47967837" w14:textId="77777777" w:rsidR="00CA7D42" w:rsidRPr="00216C95" w:rsidRDefault="00CA7D42" w:rsidP="00CC67B8">
            <w:pPr>
              <w:pStyle w:val="Tabletext"/>
              <w:jc w:val="center"/>
            </w:pPr>
            <w:r w:rsidRPr="00D310B8">
              <w:t>2.0</w:t>
            </w:r>
          </w:p>
        </w:tc>
        <w:tc>
          <w:tcPr>
            <w:tcW w:w="500" w:type="dxa"/>
            <w:gridSpan w:val="2"/>
            <w:tcBorders>
              <w:left w:val="nil"/>
              <w:bottom w:val="single" w:sz="4" w:space="0" w:color="FFFFFF" w:themeColor="background1"/>
              <w:right w:val="nil"/>
            </w:tcBorders>
            <w:shd w:val="clear" w:color="000000" w:fill="F2F2F2"/>
            <w:hideMark/>
          </w:tcPr>
          <w:p w14:paraId="728EB0DE" w14:textId="77777777" w:rsidR="00CA7D42" w:rsidRPr="00216C95" w:rsidRDefault="00CA7D42" w:rsidP="00CC67B8">
            <w:pPr>
              <w:pStyle w:val="Tabletext"/>
              <w:jc w:val="center"/>
            </w:pPr>
            <w:r w:rsidRPr="00D310B8">
              <w:t>1.5</w:t>
            </w:r>
          </w:p>
        </w:tc>
        <w:tc>
          <w:tcPr>
            <w:tcW w:w="500" w:type="dxa"/>
            <w:tcBorders>
              <w:left w:val="nil"/>
              <w:bottom w:val="single" w:sz="4" w:space="0" w:color="FFFFFF" w:themeColor="background1"/>
              <w:right w:val="nil"/>
            </w:tcBorders>
            <w:shd w:val="clear" w:color="000000" w:fill="F2F2F2"/>
            <w:hideMark/>
          </w:tcPr>
          <w:p w14:paraId="67241B26" w14:textId="77777777" w:rsidR="00CA7D42" w:rsidRPr="00216C95" w:rsidRDefault="00CA7D42" w:rsidP="00CC67B8">
            <w:pPr>
              <w:pStyle w:val="Tabletext"/>
              <w:jc w:val="center"/>
            </w:pPr>
            <w:r w:rsidRPr="00D310B8">
              <w:t>1.3</w:t>
            </w:r>
          </w:p>
        </w:tc>
      </w:tr>
      <w:tr w:rsidR="00CA7D42" w:rsidRPr="00216C95" w14:paraId="0DDC0702"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7C951D89" w14:textId="77777777" w:rsidR="00CA7D42" w:rsidRPr="00216C95" w:rsidRDefault="00CA7D42" w:rsidP="00CC67B8">
            <w:pPr>
              <w:pStyle w:val="Tabletext"/>
            </w:pPr>
            <w:r w:rsidRPr="00216C95">
              <w:t>2</w:t>
            </w:r>
          </w:p>
        </w:tc>
        <w:tc>
          <w:tcPr>
            <w:tcW w:w="3390" w:type="dxa"/>
            <w:tcBorders>
              <w:top w:val="single" w:sz="4" w:space="0" w:color="FFFFFF" w:themeColor="background1"/>
              <w:left w:val="nil"/>
              <w:bottom w:val="single" w:sz="4" w:space="0" w:color="FFFFFF" w:themeColor="background1"/>
            </w:tcBorders>
            <w:shd w:val="clear" w:color="000000" w:fill="D9D9D9"/>
            <w:vAlign w:val="center"/>
            <w:hideMark/>
          </w:tcPr>
          <w:p w14:paraId="7F9B1E75" w14:textId="77777777" w:rsidR="00CA7D42" w:rsidRPr="00216C95" w:rsidRDefault="00CA7D42" w:rsidP="00CC67B8">
            <w:pPr>
              <w:pStyle w:val="Tabletext"/>
            </w:pPr>
            <w:r w:rsidRPr="00216C95">
              <w:t xml:space="preserve">GDP deflator </w:t>
            </w:r>
          </w:p>
        </w:tc>
        <w:tc>
          <w:tcPr>
            <w:tcW w:w="765" w:type="dxa"/>
            <w:tcBorders>
              <w:top w:val="single" w:sz="4" w:space="0" w:color="FFFFFF" w:themeColor="background1"/>
              <w:bottom w:val="single" w:sz="4" w:space="0" w:color="FFFFFF" w:themeColor="background1"/>
              <w:right w:val="nil"/>
            </w:tcBorders>
            <w:shd w:val="clear" w:color="000000" w:fill="D9D9D9"/>
            <w:vAlign w:val="center"/>
            <w:hideMark/>
          </w:tcPr>
          <w:p w14:paraId="7CEC5AEC"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hideMark/>
          </w:tcPr>
          <w:p w14:paraId="126909A5"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62A3C6CC" w14:textId="77777777" w:rsidR="00CA7D42" w:rsidRPr="00216C95" w:rsidRDefault="00CA7D42" w:rsidP="00CC67B8">
            <w:pPr>
              <w:pStyle w:val="Tabletext"/>
              <w:jc w:val="center"/>
            </w:pPr>
            <w:r w:rsidRPr="00D310B8">
              <w:t>4.5</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400E615E" w14:textId="77777777" w:rsidR="00CA7D42" w:rsidRPr="00216C95" w:rsidRDefault="00CA7D42" w:rsidP="00CC67B8">
            <w:pPr>
              <w:pStyle w:val="Tabletext"/>
              <w:jc w:val="center"/>
            </w:pPr>
            <w:r w:rsidRPr="00D310B8">
              <w:t>3.0</w:t>
            </w:r>
          </w:p>
        </w:tc>
        <w:tc>
          <w:tcPr>
            <w:tcW w:w="673" w:type="dxa"/>
            <w:tcBorders>
              <w:top w:val="single" w:sz="4" w:space="0" w:color="FFFFFF" w:themeColor="background1"/>
              <w:left w:val="nil"/>
              <w:bottom w:val="single" w:sz="4" w:space="0" w:color="FFFFFF" w:themeColor="background1"/>
              <w:right w:val="nil"/>
            </w:tcBorders>
            <w:shd w:val="clear" w:color="000000" w:fill="D9D9D9"/>
            <w:hideMark/>
          </w:tcPr>
          <w:p w14:paraId="02BA2426" w14:textId="77777777" w:rsidR="00CA7D42" w:rsidRPr="00216C95" w:rsidRDefault="00CA7D42" w:rsidP="00CC67B8">
            <w:pPr>
              <w:pStyle w:val="Tabletext"/>
              <w:jc w:val="center"/>
            </w:pPr>
            <w:r w:rsidRPr="00D310B8">
              <w:t>2.2</w:t>
            </w:r>
          </w:p>
        </w:tc>
        <w:tc>
          <w:tcPr>
            <w:tcW w:w="500" w:type="dxa"/>
            <w:gridSpan w:val="2"/>
            <w:tcBorders>
              <w:top w:val="single" w:sz="4" w:space="0" w:color="FFFFFF" w:themeColor="background1"/>
              <w:left w:val="nil"/>
              <w:bottom w:val="single" w:sz="4" w:space="0" w:color="FFFFFF" w:themeColor="background1"/>
              <w:right w:val="nil"/>
            </w:tcBorders>
            <w:shd w:val="clear" w:color="000000" w:fill="D9D9D9"/>
            <w:hideMark/>
          </w:tcPr>
          <w:p w14:paraId="3A0986D8" w14:textId="77777777" w:rsidR="00CA7D42" w:rsidRPr="00216C95" w:rsidRDefault="00CA7D42" w:rsidP="00CC67B8">
            <w:pPr>
              <w:pStyle w:val="Tabletext"/>
              <w:jc w:val="center"/>
            </w:pPr>
            <w:r w:rsidRPr="00D310B8">
              <w:t>2.3</w:t>
            </w:r>
          </w:p>
        </w:tc>
        <w:tc>
          <w:tcPr>
            <w:tcW w:w="500" w:type="dxa"/>
            <w:gridSpan w:val="2"/>
            <w:tcBorders>
              <w:top w:val="single" w:sz="4" w:space="0" w:color="FFFFFF" w:themeColor="background1"/>
              <w:left w:val="nil"/>
              <w:bottom w:val="single" w:sz="4" w:space="0" w:color="FFFFFF" w:themeColor="background1"/>
              <w:right w:val="nil"/>
            </w:tcBorders>
            <w:shd w:val="clear" w:color="000000" w:fill="D9D9D9"/>
            <w:hideMark/>
          </w:tcPr>
          <w:p w14:paraId="1A86D96D" w14:textId="77777777" w:rsidR="00CA7D42" w:rsidRPr="00216C95" w:rsidRDefault="00CA7D42" w:rsidP="00CC67B8">
            <w:pPr>
              <w:pStyle w:val="Tabletext"/>
              <w:jc w:val="center"/>
            </w:pPr>
            <w:r w:rsidRPr="00D310B8">
              <w:t>2.3</w:t>
            </w:r>
          </w:p>
        </w:tc>
        <w:tc>
          <w:tcPr>
            <w:tcW w:w="500" w:type="dxa"/>
            <w:tcBorders>
              <w:top w:val="single" w:sz="4" w:space="0" w:color="FFFFFF" w:themeColor="background1"/>
              <w:left w:val="nil"/>
              <w:bottom w:val="single" w:sz="4" w:space="0" w:color="FFFFFF" w:themeColor="background1"/>
              <w:right w:val="nil"/>
            </w:tcBorders>
            <w:shd w:val="clear" w:color="000000" w:fill="D9D9D9"/>
            <w:hideMark/>
          </w:tcPr>
          <w:p w14:paraId="424FE39E" w14:textId="77777777" w:rsidR="00CA7D42" w:rsidRPr="00216C95" w:rsidRDefault="00CA7D42" w:rsidP="00CC67B8">
            <w:pPr>
              <w:pStyle w:val="Tabletext"/>
              <w:jc w:val="center"/>
            </w:pPr>
            <w:r w:rsidRPr="00D310B8">
              <w:t>2.4</w:t>
            </w:r>
          </w:p>
        </w:tc>
      </w:tr>
      <w:tr w:rsidR="00CA7D42" w:rsidRPr="00216C95" w14:paraId="19EEB34A"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D058CB3" w14:textId="77777777" w:rsidR="00CA7D42" w:rsidRPr="00216C95" w:rsidRDefault="00CA7D42" w:rsidP="00CC67B8">
            <w:pPr>
              <w:pStyle w:val="Tabletext"/>
            </w:pPr>
            <w:r w:rsidRPr="00216C95">
              <w:t>3</w:t>
            </w:r>
          </w:p>
        </w:tc>
        <w:tc>
          <w:tcPr>
            <w:tcW w:w="3390" w:type="dxa"/>
            <w:tcBorders>
              <w:top w:val="single" w:sz="4" w:space="0" w:color="FFFFFF" w:themeColor="background1"/>
              <w:left w:val="nil"/>
              <w:bottom w:val="single" w:sz="4" w:space="0" w:color="FFFFFF" w:themeColor="background1"/>
            </w:tcBorders>
            <w:shd w:val="clear" w:color="000000" w:fill="F2F2F2"/>
            <w:vAlign w:val="center"/>
            <w:hideMark/>
          </w:tcPr>
          <w:p w14:paraId="68F398F9" w14:textId="77777777" w:rsidR="00CA7D42" w:rsidRPr="00216C95" w:rsidRDefault="00CA7D42" w:rsidP="00CC67B8">
            <w:pPr>
              <w:pStyle w:val="Tabletext"/>
            </w:pPr>
            <w:r w:rsidRPr="00216C95">
              <w:t xml:space="preserve">Nominal GDP </w:t>
            </w:r>
          </w:p>
        </w:tc>
        <w:tc>
          <w:tcPr>
            <w:tcW w:w="765" w:type="dxa"/>
            <w:tcBorders>
              <w:top w:val="single" w:sz="4" w:space="0" w:color="FFFFFF" w:themeColor="background1"/>
              <w:bottom w:val="single" w:sz="4" w:space="0" w:color="FFFFFF" w:themeColor="background1"/>
              <w:right w:val="nil"/>
            </w:tcBorders>
            <w:shd w:val="clear" w:color="000000" w:fill="F2F2F2"/>
            <w:vAlign w:val="center"/>
            <w:hideMark/>
          </w:tcPr>
          <w:p w14:paraId="64408283" w14:textId="77777777" w:rsidR="00CA7D42" w:rsidRPr="00216C95" w:rsidRDefault="00CA7D42" w:rsidP="00CC67B8">
            <w:pPr>
              <w:pStyle w:val="Tabletext"/>
            </w:pPr>
            <w:r w:rsidRPr="00216C95">
              <w:t xml:space="preserve">B.1*g </w:t>
            </w:r>
          </w:p>
        </w:tc>
        <w:tc>
          <w:tcPr>
            <w:tcW w:w="801" w:type="dxa"/>
            <w:tcBorders>
              <w:top w:val="single" w:sz="4" w:space="0" w:color="FFFFFF" w:themeColor="background1"/>
              <w:left w:val="nil"/>
              <w:bottom w:val="single" w:sz="4" w:space="0" w:color="FFFFFF" w:themeColor="background1"/>
              <w:right w:val="nil"/>
            </w:tcBorders>
            <w:shd w:val="clear" w:color="000000" w:fill="F2F2F2"/>
            <w:hideMark/>
          </w:tcPr>
          <w:p w14:paraId="19DBD7AC" w14:textId="77777777" w:rsidR="00CA7D42" w:rsidRPr="00216C95" w:rsidRDefault="00CA7D42" w:rsidP="00CC67B8">
            <w:pPr>
              <w:pStyle w:val="Tabletext"/>
              <w:jc w:val="center"/>
            </w:pPr>
            <w:r w:rsidRPr="00D310B8">
              <w:t>220.3</w:t>
            </w: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21EDB388" w14:textId="77777777" w:rsidR="00CA7D42" w:rsidRPr="00216C95" w:rsidRDefault="00CA7D42" w:rsidP="00CC67B8">
            <w:pPr>
              <w:pStyle w:val="Tabletext"/>
              <w:jc w:val="center"/>
            </w:pPr>
            <w:r w:rsidRPr="00D310B8">
              <w:t>6.6</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370D3E46" w14:textId="77777777" w:rsidR="00CA7D42" w:rsidRPr="00216C95" w:rsidRDefault="00CA7D42" w:rsidP="00CC67B8">
            <w:pPr>
              <w:pStyle w:val="Tabletext"/>
              <w:jc w:val="center"/>
            </w:pPr>
            <w:r w:rsidRPr="00D310B8">
              <w:t>5.3</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121AE36A" w14:textId="77777777" w:rsidR="00CA7D42" w:rsidRPr="00216C95" w:rsidRDefault="00CA7D42" w:rsidP="00CC67B8">
            <w:pPr>
              <w:pStyle w:val="Tabletext"/>
              <w:jc w:val="center"/>
            </w:pPr>
            <w:r w:rsidRPr="00D310B8">
              <w:t>4.5</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2C932723" w14:textId="77777777" w:rsidR="00CA7D42" w:rsidRPr="00216C95" w:rsidRDefault="00CA7D42" w:rsidP="00CC67B8">
            <w:pPr>
              <w:pStyle w:val="Tabletext"/>
              <w:jc w:val="center"/>
            </w:pPr>
            <w:r w:rsidRPr="00D310B8">
              <w:t>4.3</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24512416" w14:textId="77777777" w:rsidR="00CA7D42" w:rsidRPr="00216C95" w:rsidRDefault="00CA7D42" w:rsidP="00CC67B8">
            <w:pPr>
              <w:pStyle w:val="Tabletext"/>
              <w:jc w:val="center"/>
            </w:pPr>
            <w:r w:rsidRPr="00D310B8">
              <w:t>3.8</w:t>
            </w:r>
          </w:p>
        </w:tc>
        <w:tc>
          <w:tcPr>
            <w:tcW w:w="500" w:type="dxa"/>
            <w:tcBorders>
              <w:top w:val="single" w:sz="4" w:space="0" w:color="FFFFFF" w:themeColor="background1"/>
              <w:left w:val="nil"/>
              <w:bottom w:val="single" w:sz="4" w:space="0" w:color="FFFFFF" w:themeColor="background1"/>
              <w:right w:val="nil"/>
            </w:tcBorders>
            <w:shd w:val="clear" w:color="000000" w:fill="F2F2F2"/>
            <w:hideMark/>
          </w:tcPr>
          <w:p w14:paraId="57E22693" w14:textId="77777777" w:rsidR="00CA7D42" w:rsidRPr="00216C95" w:rsidRDefault="00CA7D42" w:rsidP="00CC67B8">
            <w:pPr>
              <w:pStyle w:val="Tabletext"/>
              <w:jc w:val="center"/>
            </w:pPr>
            <w:r w:rsidRPr="00D310B8">
              <w:t>3.7</w:t>
            </w:r>
          </w:p>
        </w:tc>
      </w:tr>
      <w:tr w:rsidR="00CA7D42" w:rsidRPr="00820BC3" w14:paraId="0F675DD9"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7560E835" w14:textId="77777777" w:rsidR="00CA7D42" w:rsidRPr="00820BC3" w:rsidRDefault="00CA7D42" w:rsidP="00CC67B8">
            <w:pPr>
              <w:pStyle w:val="Tabletext"/>
              <w:rPr>
                <w:b/>
              </w:rPr>
            </w:pPr>
            <w:r w:rsidRPr="00820BC3">
              <w:rPr>
                <w:b/>
              </w:rPr>
              <w:t> </w:t>
            </w:r>
          </w:p>
        </w:tc>
        <w:tc>
          <w:tcPr>
            <w:tcW w:w="3390" w:type="dxa"/>
            <w:tcBorders>
              <w:top w:val="single" w:sz="4" w:space="0" w:color="FFFFFF" w:themeColor="background1"/>
              <w:left w:val="nil"/>
              <w:bottom w:val="single" w:sz="4" w:space="0" w:color="FFFFFF" w:themeColor="background1"/>
            </w:tcBorders>
            <w:shd w:val="clear" w:color="000000" w:fill="BFBFBF"/>
            <w:vAlign w:val="center"/>
            <w:hideMark/>
          </w:tcPr>
          <w:p w14:paraId="21B940A7" w14:textId="77777777" w:rsidR="00CA7D42" w:rsidRPr="00820BC3" w:rsidRDefault="00CA7D42" w:rsidP="00CC67B8">
            <w:pPr>
              <w:pStyle w:val="Tabletext"/>
              <w:rPr>
                <w:b/>
              </w:rPr>
            </w:pPr>
            <w:r w:rsidRPr="00820BC3">
              <w:rPr>
                <w:b/>
              </w:rPr>
              <w:t xml:space="preserve">Components of real GDP </w:t>
            </w:r>
          </w:p>
        </w:tc>
        <w:tc>
          <w:tcPr>
            <w:tcW w:w="765" w:type="dxa"/>
            <w:tcBorders>
              <w:top w:val="single" w:sz="4" w:space="0" w:color="FFFFFF" w:themeColor="background1"/>
              <w:bottom w:val="single" w:sz="4" w:space="0" w:color="FFFFFF" w:themeColor="background1"/>
              <w:right w:val="nil"/>
            </w:tcBorders>
            <w:shd w:val="clear" w:color="000000" w:fill="BFBFBF"/>
            <w:vAlign w:val="center"/>
          </w:tcPr>
          <w:p w14:paraId="5AF202D6" w14:textId="77777777" w:rsidR="00CA7D42" w:rsidRPr="00820BC3" w:rsidRDefault="00CA7D42" w:rsidP="00CC67B8">
            <w:pPr>
              <w:pStyle w:val="Tabletext"/>
              <w:rPr>
                <w:b/>
              </w:rPr>
            </w:pPr>
          </w:p>
        </w:tc>
        <w:tc>
          <w:tcPr>
            <w:tcW w:w="801" w:type="dxa"/>
            <w:tcBorders>
              <w:top w:val="single" w:sz="4" w:space="0" w:color="FFFFFF" w:themeColor="background1"/>
              <w:left w:val="nil"/>
              <w:bottom w:val="single" w:sz="4" w:space="0" w:color="FFFFFF" w:themeColor="background1"/>
              <w:right w:val="nil"/>
            </w:tcBorders>
            <w:shd w:val="clear" w:color="000000" w:fill="BFBFBF"/>
            <w:vAlign w:val="center"/>
          </w:tcPr>
          <w:p w14:paraId="1163A01D" w14:textId="77777777" w:rsidR="00CA7D42" w:rsidRPr="00820BC3" w:rsidRDefault="00CA7D42" w:rsidP="00CC67B8">
            <w:pPr>
              <w:pStyle w:val="Tabletext"/>
              <w:jc w:val="center"/>
              <w:rPr>
                <w:b/>
              </w:rPr>
            </w:pPr>
          </w:p>
        </w:tc>
        <w:tc>
          <w:tcPr>
            <w:tcW w:w="3482" w:type="dxa"/>
            <w:gridSpan w:val="8"/>
            <w:tcBorders>
              <w:top w:val="single" w:sz="4" w:space="0" w:color="FFFFFF" w:themeColor="background1"/>
              <w:left w:val="nil"/>
              <w:bottom w:val="single" w:sz="4" w:space="0" w:color="FFFFFF" w:themeColor="background1"/>
              <w:right w:val="nil"/>
            </w:tcBorders>
            <w:shd w:val="clear" w:color="000000" w:fill="BFBFBF"/>
            <w:vAlign w:val="center"/>
            <w:hideMark/>
          </w:tcPr>
          <w:p w14:paraId="3602403E" w14:textId="77777777" w:rsidR="00CA7D42" w:rsidRPr="00820BC3" w:rsidRDefault="00CA7D42" w:rsidP="00CC67B8">
            <w:pPr>
              <w:pStyle w:val="Tabletext"/>
              <w:jc w:val="center"/>
              <w:rPr>
                <w:b/>
              </w:rPr>
            </w:pPr>
            <w:r>
              <w:rPr>
                <w:b/>
              </w:rPr>
              <w:t>G</w:t>
            </w:r>
            <w:r w:rsidRPr="00820BC3">
              <w:rPr>
                <w:b/>
              </w:rPr>
              <w:t xml:space="preserve">rowth </w:t>
            </w:r>
            <w:r>
              <w:rPr>
                <w:b/>
              </w:rPr>
              <w:t>R</w:t>
            </w:r>
            <w:r w:rsidRPr="00820BC3">
              <w:rPr>
                <w:b/>
              </w:rPr>
              <w:t>ate</w:t>
            </w:r>
          </w:p>
        </w:tc>
      </w:tr>
      <w:tr w:rsidR="007A65D0" w:rsidRPr="00216C95" w14:paraId="0206B631"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B8800B6" w14:textId="77777777" w:rsidR="00CA7D42" w:rsidRPr="00216C95" w:rsidRDefault="00CA7D42" w:rsidP="00CC67B8">
            <w:pPr>
              <w:pStyle w:val="Tabletext"/>
            </w:pPr>
            <w:r w:rsidRPr="00216C95">
              <w:t>4</w:t>
            </w:r>
          </w:p>
        </w:tc>
        <w:tc>
          <w:tcPr>
            <w:tcW w:w="3390" w:type="dxa"/>
            <w:tcBorders>
              <w:top w:val="single" w:sz="4" w:space="0" w:color="FFFFFF" w:themeColor="background1"/>
              <w:left w:val="nil"/>
              <w:bottom w:val="single" w:sz="4" w:space="0" w:color="FFFFFF" w:themeColor="background1"/>
            </w:tcBorders>
            <w:shd w:val="clear" w:color="000000" w:fill="F2F2F2"/>
            <w:vAlign w:val="center"/>
            <w:hideMark/>
          </w:tcPr>
          <w:p w14:paraId="7B900667" w14:textId="77777777" w:rsidR="00CA7D42" w:rsidRPr="00216C95" w:rsidRDefault="00CA7D42" w:rsidP="00CC67B8">
            <w:pPr>
              <w:pStyle w:val="Tabletext"/>
            </w:pPr>
            <w:r w:rsidRPr="00216C95">
              <w:t xml:space="preserve">Private consumption expenditure </w:t>
            </w:r>
          </w:p>
        </w:tc>
        <w:tc>
          <w:tcPr>
            <w:tcW w:w="765" w:type="dxa"/>
            <w:tcBorders>
              <w:top w:val="single" w:sz="4" w:space="0" w:color="FFFFFF" w:themeColor="background1"/>
              <w:bottom w:val="single" w:sz="4" w:space="0" w:color="FFFFFF" w:themeColor="background1"/>
              <w:right w:val="nil"/>
            </w:tcBorders>
            <w:shd w:val="clear" w:color="000000" w:fill="F2F2F2"/>
            <w:vAlign w:val="center"/>
          </w:tcPr>
          <w:p w14:paraId="5F5297C6" w14:textId="77777777" w:rsidR="00CA7D42" w:rsidRPr="00216C95" w:rsidRDefault="00CA7D42" w:rsidP="00CC67B8">
            <w:pPr>
              <w:pStyle w:val="Tabletext"/>
            </w:pP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tcPr>
          <w:p w14:paraId="7E957898"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47404E1D" w14:textId="77777777" w:rsidR="00CA7D42" w:rsidRPr="00216C95" w:rsidRDefault="00CA7D42" w:rsidP="00CC67B8">
            <w:pPr>
              <w:pStyle w:val="Tabletext"/>
              <w:jc w:val="center"/>
            </w:pPr>
            <w:r w:rsidRPr="00085434">
              <w:t>1.8</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090181C9" w14:textId="77777777" w:rsidR="00CA7D42" w:rsidRPr="00216C95" w:rsidRDefault="00CA7D42" w:rsidP="00CC67B8">
            <w:pPr>
              <w:pStyle w:val="Tabletext"/>
              <w:jc w:val="center"/>
            </w:pPr>
            <w:r w:rsidRPr="00085434">
              <w:t>1.7</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19DCA7EE" w14:textId="77777777" w:rsidR="00CA7D42" w:rsidRPr="00216C95" w:rsidRDefault="00CA7D42" w:rsidP="00CC67B8">
            <w:pPr>
              <w:pStyle w:val="Tabletext"/>
              <w:jc w:val="center"/>
            </w:pPr>
            <w:r w:rsidRPr="00085434">
              <w:t>1.6</w:t>
            </w:r>
          </w:p>
        </w:tc>
        <w:tc>
          <w:tcPr>
            <w:tcW w:w="500" w:type="dxa"/>
            <w:gridSpan w:val="2"/>
            <w:tcBorders>
              <w:left w:val="nil"/>
              <w:right w:val="nil"/>
            </w:tcBorders>
            <w:shd w:val="clear" w:color="auto" w:fill="A6A6A6" w:themeFill="background1" w:themeFillShade="A6"/>
          </w:tcPr>
          <w:p w14:paraId="412319DF"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tcPr>
          <w:p w14:paraId="7AA453A1"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tcPr>
          <w:p w14:paraId="0D293C9B" w14:textId="77777777" w:rsidR="00CA7D42" w:rsidRPr="00216C95" w:rsidRDefault="00CA7D42" w:rsidP="00CC67B8">
            <w:pPr>
              <w:pStyle w:val="Tabletext"/>
              <w:jc w:val="center"/>
            </w:pPr>
          </w:p>
        </w:tc>
      </w:tr>
      <w:tr w:rsidR="007A65D0" w:rsidRPr="00216C95" w14:paraId="703F5D1A"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6882BE6" w14:textId="77777777" w:rsidR="00CA7D42" w:rsidRPr="00216C95" w:rsidRDefault="00CA7D42" w:rsidP="00CC67B8">
            <w:pPr>
              <w:pStyle w:val="Tabletext"/>
            </w:pPr>
            <w:r w:rsidRPr="00216C95">
              <w:t>5</w:t>
            </w:r>
          </w:p>
        </w:tc>
        <w:tc>
          <w:tcPr>
            <w:tcW w:w="3390" w:type="dxa"/>
            <w:tcBorders>
              <w:top w:val="single" w:sz="4" w:space="0" w:color="FFFFFF" w:themeColor="background1"/>
              <w:left w:val="nil"/>
              <w:bottom w:val="single" w:sz="4" w:space="0" w:color="FFFFFF" w:themeColor="background1"/>
            </w:tcBorders>
            <w:shd w:val="clear" w:color="000000" w:fill="D9D9D9"/>
            <w:vAlign w:val="center"/>
            <w:hideMark/>
          </w:tcPr>
          <w:p w14:paraId="4108F5F1" w14:textId="77777777" w:rsidR="00CA7D42" w:rsidRPr="00216C95" w:rsidRDefault="00CA7D42" w:rsidP="00CC67B8">
            <w:pPr>
              <w:pStyle w:val="Tabletext"/>
            </w:pPr>
            <w:r w:rsidRPr="00216C95">
              <w:t xml:space="preserve">Government consumption expenditure </w:t>
            </w:r>
          </w:p>
        </w:tc>
        <w:tc>
          <w:tcPr>
            <w:tcW w:w="765" w:type="dxa"/>
            <w:tcBorders>
              <w:top w:val="single" w:sz="4" w:space="0" w:color="FFFFFF" w:themeColor="background1"/>
              <w:bottom w:val="single" w:sz="4" w:space="0" w:color="FFFFFF" w:themeColor="background1"/>
              <w:right w:val="nil"/>
            </w:tcBorders>
            <w:shd w:val="clear" w:color="000000" w:fill="D9D9D9"/>
            <w:vAlign w:val="center"/>
            <w:hideMark/>
          </w:tcPr>
          <w:p w14:paraId="0FCFF1CD" w14:textId="77777777" w:rsidR="00CA7D42" w:rsidRPr="00216C95" w:rsidRDefault="00CA7D42" w:rsidP="00CC67B8">
            <w:pPr>
              <w:pStyle w:val="Tabletext"/>
            </w:pPr>
            <w:r w:rsidRPr="00216C95">
              <w:t xml:space="preserve">P.3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77BF162"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28E80103" w14:textId="77777777" w:rsidR="00CA7D42" w:rsidRPr="00216C95" w:rsidRDefault="00CA7D42" w:rsidP="00CC67B8">
            <w:pPr>
              <w:pStyle w:val="Tabletext"/>
              <w:jc w:val="center"/>
            </w:pPr>
            <w:r w:rsidRPr="00085434">
              <w:t>1.7</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677BA3B5" w14:textId="77777777" w:rsidR="00CA7D42" w:rsidRPr="00216C95" w:rsidRDefault="00CA7D42" w:rsidP="00CC67B8">
            <w:pPr>
              <w:pStyle w:val="Tabletext"/>
              <w:jc w:val="center"/>
            </w:pPr>
            <w:r w:rsidRPr="00085434">
              <w:t>0.4</w:t>
            </w:r>
          </w:p>
        </w:tc>
        <w:tc>
          <w:tcPr>
            <w:tcW w:w="673" w:type="dxa"/>
            <w:tcBorders>
              <w:top w:val="single" w:sz="4" w:space="0" w:color="FFFFFF" w:themeColor="background1"/>
              <w:left w:val="nil"/>
              <w:bottom w:val="single" w:sz="4" w:space="0" w:color="FFFFFF" w:themeColor="background1"/>
              <w:right w:val="nil"/>
            </w:tcBorders>
            <w:shd w:val="clear" w:color="000000" w:fill="D9D9D9"/>
            <w:hideMark/>
          </w:tcPr>
          <w:p w14:paraId="0D444BDF" w14:textId="77777777" w:rsidR="00CA7D42" w:rsidRPr="00216C95" w:rsidRDefault="00CA7D42" w:rsidP="00CC67B8">
            <w:pPr>
              <w:pStyle w:val="Tabletext"/>
              <w:jc w:val="center"/>
            </w:pPr>
            <w:r w:rsidRPr="00085434">
              <w:t>0.0</w:t>
            </w:r>
          </w:p>
        </w:tc>
        <w:tc>
          <w:tcPr>
            <w:tcW w:w="500" w:type="dxa"/>
            <w:gridSpan w:val="2"/>
            <w:tcBorders>
              <w:left w:val="nil"/>
              <w:right w:val="nil"/>
            </w:tcBorders>
            <w:shd w:val="clear" w:color="auto" w:fill="A6A6A6" w:themeFill="background1" w:themeFillShade="A6"/>
          </w:tcPr>
          <w:p w14:paraId="101F59D2"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tcPr>
          <w:p w14:paraId="1DC57C6C"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tcPr>
          <w:p w14:paraId="3C42F860" w14:textId="77777777" w:rsidR="00CA7D42" w:rsidRPr="00216C95" w:rsidRDefault="00CA7D42" w:rsidP="00CC67B8">
            <w:pPr>
              <w:pStyle w:val="Tabletext"/>
              <w:jc w:val="center"/>
            </w:pPr>
          </w:p>
        </w:tc>
      </w:tr>
      <w:tr w:rsidR="007A65D0" w:rsidRPr="00216C95" w14:paraId="30856349"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9E3B3AB" w14:textId="77777777" w:rsidR="00CA7D42" w:rsidRPr="00216C95" w:rsidRDefault="00CA7D42" w:rsidP="00CC67B8">
            <w:pPr>
              <w:pStyle w:val="Tabletext"/>
            </w:pPr>
            <w:r w:rsidRPr="00216C95">
              <w:t>6</w:t>
            </w:r>
          </w:p>
        </w:tc>
        <w:tc>
          <w:tcPr>
            <w:tcW w:w="3390" w:type="dxa"/>
            <w:tcBorders>
              <w:top w:val="single" w:sz="4" w:space="0" w:color="FFFFFF" w:themeColor="background1"/>
              <w:left w:val="nil"/>
              <w:bottom w:val="single" w:sz="4" w:space="0" w:color="FFFFFF" w:themeColor="background1"/>
            </w:tcBorders>
            <w:shd w:val="clear" w:color="000000" w:fill="F2F2F2"/>
            <w:vAlign w:val="center"/>
            <w:hideMark/>
          </w:tcPr>
          <w:p w14:paraId="3F707F76" w14:textId="77777777" w:rsidR="00CA7D42" w:rsidRPr="00216C95" w:rsidRDefault="00CA7D42" w:rsidP="00CC67B8">
            <w:pPr>
              <w:pStyle w:val="Tabletext"/>
            </w:pPr>
            <w:r w:rsidRPr="00216C95">
              <w:t xml:space="preserve">Gross fixed capital formation </w:t>
            </w:r>
          </w:p>
        </w:tc>
        <w:tc>
          <w:tcPr>
            <w:tcW w:w="765" w:type="dxa"/>
            <w:tcBorders>
              <w:top w:val="single" w:sz="4" w:space="0" w:color="FFFFFF" w:themeColor="background1"/>
              <w:bottom w:val="single" w:sz="4" w:space="0" w:color="FFFFFF" w:themeColor="background1"/>
              <w:right w:val="nil"/>
            </w:tcBorders>
            <w:shd w:val="clear" w:color="000000" w:fill="F2F2F2"/>
            <w:vAlign w:val="center"/>
            <w:hideMark/>
          </w:tcPr>
          <w:p w14:paraId="59D6B1A0" w14:textId="77777777" w:rsidR="00CA7D42" w:rsidRPr="00216C95" w:rsidRDefault="00CA7D42" w:rsidP="00CC67B8">
            <w:pPr>
              <w:pStyle w:val="Tabletext"/>
            </w:pPr>
            <w:r w:rsidRPr="00216C95">
              <w:t xml:space="preserve">P.51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C692636"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08EBAC5A" w14:textId="77777777" w:rsidR="00CA7D42" w:rsidRPr="00216C95" w:rsidRDefault="00CA7D42" w:rsidP="00CC67B8">
            <w:pPr>
              <w:pStyle w:val="Tabletext"/>
              <w:jc w:val="center"/>
            </w:pPr>
            <w:r w:rsidRPr="00085434">
              <w:t>4.0</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543FBE27" w14:textId="77777777" w:rsidR="00CA7D42" w:rsidRPr="00216C95" w:rsidRDefault="00CA7D42" w:rsidP="00CC67B8">
            <w:pPr>
              <w:pStyle w:val="Tabletext"/>
              <w:jc w:val="center"/>
            </w:pPr>
            <w:r w:rsidRPr="00085434">
              <w:t>6.7</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2C6EC69F" w14:textId="77777777" w:rsidR="00CA7D42" w:rsidRPr="00216C95" w:rsidRDefault="00CA7D42" w:rsidP="00CC67B8">
            <w:pPr>
              <w:pStyle w:val="Tabletext"/>
              <w:jc w:val="center"/>
            </w:pPr>
            <w:r w:rsidRPr="00085434">
              <w:t>8.4</w:t>
            </w:r>
          </w:p>
        </w:tc>
        <w:tc>
          <w:tcPr>
            <w:tcW w:w="500" w:type="dxa"/>
            <w:gridSpan w:val="2"/>
            <w:tcBorders>
              <w:left w:val="nil"/>
              <w:right w:val="nil"/>
            </w:tcBorders>
            <w:shd w:val="clear" w:color="auto" w:fill="A6A6A6" w:themeFill="background1" w:themeFillShade="A6"/>
          </w:tcPr>
          <w:p w14:paraId="30C67D2E"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tcPr>
          <w:p w14:paraId="49BD2920"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tcPr>
          <w:p w14:paraId="78DF7B2D" w14:textId="77777777" w:rsidR="00CA7D42" w:rsidRPr="00216C95" w:rsidRDefault="00CA7D42" w:rsidP="00CC67B8">
            <w:pPr>
              <w:pStyle w:val="Tabletext"/>
              <w:jc w:val="center"/>
            </w:pPr>
          </w:p>
        </w:tc>
      </w:tr>
      <w:tr w:rsidR="00CA7D42" w:rsidRPr="00216C95" w14:paraId="4ACFFBAB"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83EBDC4" w14:textId="77777777" w:rsidR="00CA7D42" w:rsidRPr="00216C95" w:rsidRDefault="00CA7D42" w:rsidP="00CC67B8">
            <w:pPr>
              <w:pStyle w:val="Tabletext"/>
            </w:pPr>
            <w:r w:rsidRPr="00216C95">
              <w:t>7</w:t>
            </w:r>
          </w:p>
        </w:tc>
        <w:tc>
          <w:tcPr>
            <w:tcW w:w="3390" w:type="dxa"/>
            <w:tcBorders>
              <w:top w:val="single" w:sz="4" w:space="0" w:color="FFFFFF" w:themeColor="background1"/>
              <w:left w:val="nil"/>
              <w:bottom w:val="single" w:sz="4" w:space="0" w:color="FFFFFF" w:themeColor="background1"/>
            </w:tcBorders>
            <w:shd w:val="clear" w:color="000000" w:fill="D9D9D9"/>
            <w:vAlign w:val="center"/>
            <w:hideMark/>
          </w:tcPr>
          <w:p w14:paraId="6A02BE4D" w14:textId="77777777" w:rsidR="00CA7D42" w:rsidRPr="00216C95" w:rsidRDefault="00CA7D42" w:rsidP="00CC67B8">
            <w:pPr>
              <w:pStyle w:val="Tabletext"/>
            </w:pPr>
            <w:r w:rsidRPr="00216C95">
              <w:t xml:space="preserve">Changes in inventories and net acquisition of valuables (% of GDP) </w:t>
            </w:r>
          </w:p>
        </w:tc>
        <w:tc>
          <w:tcPr>
            <w:tcW w:w="765" w:type="dxa"/>
            <w:tcBorders>
              <w:top w:val="single" w:sz="4" w:space="0" w:color="FFFFFF" w:themeColor="background1"/>
              <w:bottom w:val="single" w:sz="4" w:space="0" w:color="FFFFFF" w:themeColor="background1"/>
              <w:right w:val="nil"/>
            </w:tcBorders>
            <w:shd w:val="clear" w:color="000000" w:fill="D9D9D9"/>
            <w:vAlign w:val="center"/>
            <w:hideMark/>
          </w:tcPr>
          <w:p w14:paraId="064B6F5C" w14:textId="23EA7533" w:rsidR="00CA7D42" w:rsidRPr="00216C95" w:rsidRDefault="00CA7D42" w:rsidP="00CC67B8">
            <w:pPr>
              <w:pStyle w:val="Tabletext"/>
            </w:pPr>
            <w:r w:rsidRPr="00216C95">
              <w:t xml:space="preserve">P.52 </w:t>
            </w:r>
            <w:r w:rsidR="00E756E7">
              <w:br/>
            </w:r>
            <w:r w:rsidRPr="00216C95">
              <w:t xml:space="preserve">+ P.53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6FBD8AB" w14:textId="77777777" w:rsidR="00CA7D42" w:rsidRPr="00216C95" w:rsidRDefault="00CA7D42" w:rsidP="00CC67B8">
            <w:pPr>
              <w:pStyle w:val="Tabletext"/>
              <w:jc w:val="center"/>
            </w:pPr>
          </w:p>
        </w:tc>
        <w:tc>
          <w:tcPr>
            <w:tcW w:w="3482" w:type="dxa"/>
            <w:gridSpan w:val="8"/>
            <w:tcBorders>
              <w:left w:val="nil"/>
              <w:right w:val="nil"/>
            </w:tcBorders>
            <w:shd w:val="clear" w:color="auto" w:fill="A6A6A6" w:themeFill="background1" w:themeFillShade="A6"/>
            <w:vAlign w:val="center"/>
            <w:hideMark/>
          </w:tcPr>
          <w:p w14:paraId="56B3CD18" w14:textId="6D7C7E19" w:rsidR="00CA7D42" w:rsidRPr="00235E58" w:rsidRDefault="00CA7D42" w:rsidP="00CC67B8">
            <w:pPr>
              <w:pStyle w:val="Tabletext"/>
              <w:jc w:val="center"/>
              <w:rPr>
                <w:lang w:val="el-GR"/>
              </w:rPr>
            </w:pPr>
          </w:p>
        </w:tc>
      </w:tr>
      <w:tr w:rsidR="007A65D0" w:rsidRPr="00216C95" w14:paraId="00CD973C"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7F6A2D1" w14:textId="77777777" w:rsidR="00CA7D42" w:rsidRPr="00216C95" w:rsidRDefault="00CA7D42" w:rsidP="00CC67B8">
            <w:pPr>
              <w:pStyle w:val="Tabletext"/>
            </w:pPr>
            <w:r w:rsidRPr="00216C95">
              <w:t>8</w:t>
            </w:r>
          </w:p>
        </w:tc>
        <w:tc>
          <w:tcPr>
            <w:tcW w:w="3390" w:type="dxa"/>
            <w:tcBorders>
              <w:top w:val="single" w:sz="4" w:space="0" w:color="FFFFFF" w:themeColor="background1"/>
              <w:left w:val="nil"/>
              <w:bottom w:val="single" w:sz="4" w:space="0" w:color="FFFFFF" w:themeColor="background1"/>
            </w:tcBorders>
            <w:shd w:val="clear" w:color="000000" w:fill="F2F2F2"/>
            <w:vAlign w:val="center"/>
            <w:hideMark/>
          </w:tcPr>
          <w:p w14:paraId="3BD101A5" w14:textId="77777777" w:rsidR="00CA7D42" w:rsidRPr="00216C95" w:rsidRDefault="00CA7D42" w:rsidP="00CC67B8">
            <w:pPr>
              <w:pStyle w:val="Tabletext"/>
            </w:pPr>
            <w:r w:rsidRPr="00216C95">
              <w:t xml:space="preserve">Exports of goods and services </w:t>
            </w:r>
          </w:p>
        </w:tc>
        <w:tc>
          <w:tcPr>
            <w:tcW w:w="765" w:type="dxa"/>
            <w:tcBorders>
              <w:top w:val="single" w:sz="4" w:space="0" w:color="FFFFFF" w:themeColor="background1"/>
              <w:bottom w:val="single" w:sz="4" w:space="0" w:color="FFFFFF" w:themeColor="background1"/>
              <w:right w:val="nil"/>
            </w:tcBorders>
            <w:shd w:val="clear" w:color="000000" w:fill="F2F2F2"/>
            <w:vAlign w:val="center"/>
            <w:hideMark/>
          </w:tcPr>
          <w:p w14:paraId="5C38E8FD" w14:textId="77777777" w:rsidR="00CA7D42" w:rsidRPr="00216C95" w:rsidRDefault="00CA7D42" w:rsidP="00CC67B8">
            <w:pPr>
              <w:pStyle w:val="Tabletext"/>
            </w:pPr>
            <w:r w:rsidRPr="00216C95">
              <w:t xml:space="preserve">P.6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E4F07C8"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08EA3D48" w14:textId="77777777" w:rsidR="00CA7D42" w:rsidRPr="00216C95" w:rsidRDefault="00CA7D42" w:rsidP="00CC67B8">
            <w:pPr>
              <w:pStyle w:val="Tabletext"/>
              <w:jc w:val="center"/>
            </w:pPr>
            <w:r w:rsidRPr="00E94D76">
              <w:t>3.7</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1D3D9A6C" w14:textId="77777777" w:rsidR="00CA7D42" w:rsidRPr="00216C95" w:rsidRDefault="00CA7D42" w:rsidP="00CC67B8">
            <w:pPr>
              <w:pStyle w:val="Tabletext"/>
              <w:jc w:val="center"/>
            </w:pPr>
            <w:r w:rsidRPr="00E94D76">
              <w:t>4.2</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5F59DB9A" w14:textId="77777777" w:rsidR="00CA7D42" w:rsidRPr="00216C95" w:rsidRDefault="00CA7D42" w:rsidP="00CC67B8">
            <w:pPr>
              <w:pStyle w:val="Tabletext"/>
              <w:jc w:val="center"/>
            </w:pPr>
            <w:r w:rsidRPr="00E94D76">
              <w:t>4.0</w:t>
            </w:r>
          </w:p>
        </w:tc>
        <w:tc>
          <w:tcPr>
            <w:tcW w:w="500" w:type="dxa"/>
            <w:gridSpan w:val="2"/>
            <w:tcBorders>
              <w:left w:val="nil"/>
              <w:right w:val="nil"/>
            </w:tcBorders>
            <w:shd w:val="clear" w:color="auto" w:fill="A6A6A6" w:themeFill="background1" w:themeFillShade="A6"/>
            <w:vAlign w:val="center"/>
          </w:tcPr>
          <w:p w14:paraId="154A8FE5"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tcPr>
          <w:p w14:paraId="687EFBB6"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vAlign w:val="center"/>
          </w:tcPr>
          <w:p w14:paraId="6A8B65CF" w14:textId="77777777" w:rsidR="00CA7D42" w:rsidRPr="00216C95" w:rsidRDefault="00CA7D42" w:rsidP="00CC67B8">
            <w:pPr>
              <w:pStyle w:val="Tabletext"/>
              <w:jc w:val="center"/>
            </w:pPr>
          </w:p>
        </w:tc>
      </w:tr>
      <w:tr w:rsidR="007A65D0" w:rsidRPr="00216C95" w14:paraId="53D6E6BB"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A2F94E3" w14:textId="77777777" w:rsidR="00CA7D42" w:rsidRPr="00216C95" w:rsidRDefault="00CA7D42" w:rsidP="00CC67B8">
            <w:pPr>
              <w:pStyle w:val="Tabletext"/>
            </w:pPr>
            <w:r w:rsidRPr="00216C95">
              <w:t>9</w:t>
            </w:r>
          </w:p>
        </w:tc>
        <w:tc>
          <w:tcPr>
            <w:tcW w:w="3390" w:type="dxa"/>
            <w:tcBorders>
              <w:top w:val="single" w:sz="4" w:space="0" w:color="FFFFFF" w:themeColor="background1"/>
              <w:left w:val="nil"/>
              <w:bottom w:val="single" w:sz="4" w:space="0" w:color="FFFFFF" w:themeColor="background1"/>
            </w:tcBorders>
            <w:shd w:val="clear" w:color="000000" w:fill="D9D9D9"/>
            <w:vAlign w:val="center"/>
            <w:hideMark/>
          </w:tcPr>
          <w:p w14:paraId="3E6FBC3B" w14:textId="77777777" w:rsidR="00CA7D42" w:rsidRPr="00216C95" w:rsidRDefault="00CA7D42" w:rsidP="00CC67B8">
            <w:pPr>
              <w:pStyle w:val="Tabletext"/>
            </w:pPr>
            <w:r w:rsidRPr="00216C95">
              <w:t xml:space="preserve">Imports of goods and services </w:t>
            </w:r>
          </w:p>
        </w:tc>
        <w:tc>
          <w:tcPr>
            <w:tcW w:w="765" w:type="dxa"/>
            <w:tcBorders>
              <w:top w:val="single" w:sz="4" w:space="0" w:color="FFFFFF" w:themeColor="background1"/>
              <w:bottom w:val="single" w:sz="4" w:space="0" w:color="FFFFFF" w:themeColor="background1"/>
              <w:right w:val="nil"/>
            </w:tcBorders>
            <w:shd w:val="clear" w:color="000000" w:fill="D9D9D9"/>
            <w:vAlign w:val="center"/>
            <w:hideMark/>
          </w:tcPr>
          <w:p w14:paraId="5F94FAB9" w14:textId="77777777" w:rsidR="00CA7D42" w:rsidRPr="00216C95" w:rsidRDefault="00CA7D42" w:rsidP="00CC67B8">
            <w:pPr>
              <w:pStyle w:val="Tabletext"/>
            </w:pPr>
            <w:r w:rsidRPr="00216C95">
              <w:t>P.7</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71637C7F"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10AC068E" w14:textId="77777777" w:rsidR="00CA7D42" w:rsidRPr="00216C95" w:rsidRDefault="00CA7D42" w:rsidP="00CC67B8">
            <w:pPr>
              <w:pStyle w:val="Tabletext"/>
              <w:jc w:val="center"/>
            </w:pPr>
            <w:r w:rsidRPr="00E94D76">
              <w:t>2.1</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32843726" w14:textId="77777777" w:rsidR="00CA7D42" w:rsidRPr="00216C95" w:rsidRDefault="00CA7D42" w:rsidP="00CC67B8">
            <w:pPr>
              <w:pStyle w:val="Tabletext"/>
              <w:jc w:val="center"/>
            </w:pPr>
            <w:r w:rsidRPr="00E94D76">
              <w:t>3.8</w:t>
            </w:r>
          </w:p>
        </w:tc>
        <w:tc>
          <w:tcPr>
            <w:tcW w:w="673" w:type="dxa"/>
            <w:tcBorders>
              <w:top w:val="single" w:sz="4" w:space="0" w:color="FFFFFF" w:themeColor="background1"/>
              <w:left w:val="nil"/>
              <w:bottom w:val="single" w:sz="4" w:space="0" w:color="FFFFFF" w:themeColor="background1"/>
              <w:right w:val="nil"/>
            </w:tcBorders>
            <w:shd w:val="clear" w:color="000000" w:fill="D9D9D9"/>
            <w:hideMark/>
          </w:tcPr>
          <w:p w14:paraId="1544842D" w14:textId="77777777" w:rsidR="00CA7D42" w:rsidRPr="00216C95" w:rsidRDefault="00CA7D42" w:rsidP="00CC67B8">
            <w:pPr>
              <w:pStyle w:val="Tabletext"/>
              <w:jc w:val="center"/>
            </w:pPr>
            <w:r w:rsidRPr="00E94D76">
              <w:t>3.6</w:t>
            </w:r>
          </w:p>
        </w:tc>
        <w:tc>
          <w:tcPr>
            <w:tcW w:w="500" w:type="dxa"/>
            <w:gridSpan w:val="2"/>
            <w:tcBorders>
              <w:left w:val="nil"/>
              <w:right w:val="nil"/>
            </w:tcBorders>
            <w:shd w:val="clear" w:color="auto" w:fill="A6A6A6" w:themeFill="background1" w:themeFillShade="A6"/>
            <w:vAlign w:val="center"/>
          </w:tcPr>
          <w:p w14:paraId="008F5DE3"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tcPr>
          <w:p w14:paraId="17116F09"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vAlign w:val="center"/>
          </w:tcPr>
          <w:p w14:paraId="12DD6E23" w14:textId="77777777" w:rsidR="00CA7D42" w:rsidRPr="00216C95" w:rsidRDefault="00CA7D42" w:rsidP="00CC67B8">
            <w:pPr>
              <w:pStyle w:val="Tabletext"/>
              <w:jc w:val="center"/>
            </w:pPr>
          </w:p>
        </w:tc>
      </w:tr>
      <w:tr w:rsidR="007A65D0" w:rsidRPr="00314E94" w14:paraId="1282587D"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65E63FE" w14:textId="77777777" w:rsidR="00CA7D42" w:rsidRPr="00216C95" w:rsidRDefault="00CA7D42" w:rsidP="00CC67B8">
            <w:pPr>
              <w:pStyle w:val="Tabletext"/>
            </w:pPr>
            <w:r w:rsidRPr="00216C95">
              <w:t> </w:t>
            </w:r>
          </w:p>
        </w:tc>
        <w:tc>
          <w:tcPr>
            <w:tcW w:w="3390" w:type="dxa"/>
            <w:tcBorders>
              <w:top w:val="single" w:sz="4" w:space="0" w:color="FFFFFF" w:themeColor="background1"/>
              <w:left w:val="nil"/>
              <w:bottom w:val="single" w:sz="4" w:space="0" w:color="FFFFFF" w:themeColor="background1"/>
            </w:tcBorders>
            <w:shd w:val="clear" w:color="000000" w:fill="F2F2F2"/>
            <w:vAlign w:val="center"/>
            <w:hideMark/>
          </w:tcPr>
          <w:p w14:paraId="1E2EF785" w14:textId="77777777" w:rsidR="00CA7D42" w:rsidRPr="00216C95" w:rsidRDefault="00CA7D42" w:rsidP="00CC67B8">
            <w:pPr>
              <w:pStyle w:val="Tabletext"/>
            </w:pPr>
            <w:r w:rsidRPr="00216C95">
              <w:t xml:space="preserve">Contribution to real GDP growth </w:t>
            </w:r>
          </w:p>
        </w:tc>
        <w:tc>
          <w:tcPr>
            <w:tcW w:w="765" w:type="dxa"/>
            <w:tcBorders>
              <w:top w:val="single" w:sz="4" w:space="0" w:color="FFFFFF" w:themeColor="background1"/>
              <w:bottom w:val="single" w:sz="4" w:space="0" w:color="FFFFFF" w:themeColor="background1"/>
              <w:right w:val="nil"/>
            </w:tcBorders>
            <w:shd w:val="clear" w:color="000000" w:fill="F2F2F2"/>
            <w:vAlign w:val="center"/>
            <w:hideMark/>
          </w:tcPr>
          <w:p w14:paraId="0ADA60B1"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6BC22B1"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A8BC994" w14:textId="77777777" w:rsidR="00CA7D42" w:rsidRPr="00216C95" w:rsidRDefault="00CA7D42" w:rsidP="00CC67B8">
            <w:pPr>
              <w:pStyle w:val="Tabletext"/>
              <w:jc w:val="center"/>
            </w:pPr>
          </w:p>
        </w:tc>
        <w:tc>
          <w:tcPr>
            <w:tcW w:w="589"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FC0EE2F" w14:textId="77777777" w:rsidR="00CA7D42" w:rsidRPr="00216C95" w:rsidRDefault="00CA7D42" w:rsidP="00CC67B8">
            <w:pPr>
              <w:pStyle w:val="Tabletext"/>
              <w:jc w:val="center"/>
            </w:pPr>
          </w:p>
        </w:tc>
        <w:tc>
          <w:tcPr>
            <w:tcW w:w="673"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77E5C7D"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hideMark/>
          </w:tcPr>
          <w:p w14:paraId="05AEF1F8"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hideMark/>
          </w:tcPr>
          <w:p w14:paraId="2385604E"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vAlign w:val="center"/>
            <w:hideMark/>
          </w:tcPr>
          <w:p w14:paraId="4ECC666E" w14:textId="77777777" w:rsidR="00CA7D42" w:rsidRPr="00216C95" w:rsidRDefault="00CA7D42" w:rsidP="00CC67B8">
            <w:pPr>
              <w:pStyle w:val="Tabletext"/>
              <w:jc w:val="center"/>
            </w:pPr>
          </w:p>
        </w:tc>
      </w:tr>
      <w:tr w:rsidR="007A65D0" w:rsidRPr="00216C95" w14:paraId="0C999ED0"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2D8974AD" w14:textId="77777777" w:rsidR="00CA7D42" w:rsidRPr="00216C95" w:rsidRDefault="00CA7D42" w:rsidP="00CC67B8">
            <w:pPr>
              <w:pStyle w:val="Tabletext"/>
            </w:pPr>
            <w:r w:rsidRPr="00216C95">
              <w:t>10</w:t>
            </w:r>
          </w:p>
        </w:tc>
        <w:tc>
          <w:tcPr>
            <w:tcW w:w="3390" w:type="dxa"/>
            <w:tcBorders>
              <w:top w:val="single" w:sz="4" w:space="0" w:color="FFFFFF" w:themeColor="background1"/>
              <w:left w:val="nil"/>
              <w:bottom w:val="single" w:sz="4" w:space="0" w:color="FFFFFF" w:themeColor="background1"/>
            </w:tcBorders>
            <w:shd w:val="clear" w:color="000000" w:fill="D9D9D9"/>
            <w:vAlign w:val="center"/>
            <w:hideMark/>
          </w:tcPr>
          <w:p w14:paraId="0D4DCC58" w14:textId="77777777" w:rsidR="00CA7D42" w:rsidRPr="00216C95" w:rsidRDefault="00CA7D42" w:rsidP="00CC67B8">
            <w:pPr>
              <w:pStyle w:val="Tabletext"/>
            </w:pPr>
            <w:r w:rsidRPr="00216C95">
              <w:t xml:space="preserve">Final domestic demand </w:t>
            </w:r>
          </w:p>
        </w:tc>
        <w:tc>
          <w:tcPr>
            <w:tcW w:w="765" w:type="dxa"/>
            <w:tcBorders>
              <w:top w:val="single" w:sz="4" w:space="0" w:color="FFFFFF" w:themeColor="background1"/>
              <w:bottom w:val="single" w:sz="4" w:space="0" w:color="FFFFFF" w:themeColor="background1"/>
              <w:right w:val="nil"/>
            </w:tcBorders>
            <w:shd w:val="clear" w:color="000000" w:fill="D9D9D9"/>
            <w:vAlign w:val="center"/>
            <w:hideMark/>
          </w:tcPr>
          <w:p w14:paraId="7CA507FC"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2303B57"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F616EEA" w14:textId="77777777" w:rsidR="00CA7D42" w:rsidRPr="00216C95" w:rsidRDefault="00CA7D42" w:rsidP="00CC67B8">
            <w:pPr>
              <w:pStyle w:val="Tabletext"/>
              <w:jc w:val="center"/>
            </w:pPr>
            <w:r w:rsidRPr="00D663A3">
              <w:t>2.2</w:t>
            </w:r>
          </w:p>
        </w:tc>
        <w:tc>
          <w:tcPr>
            <w:tcW w:w="589"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7E8FFF2" w14:textId="77777777" w:rsidR="00CA7D42" w:rsidRPr="00216C95" w:rsidRDefault="00CA7D42" w:rsidP="00CC67B8">
            <w:pPr>
              <w:pStyle w:val="Tabletext"/>
              <w:jc w:val="center"/>
            </w:pPr>
            <w:r w:rsidRPr="00D663A3">
              <w:t>2.2</w:t>
            </w:r>
          </w:p>
        </w:tc>
        <w:tc>
          <w:tcPr>
            <w:tcW w:w="673"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0AFA0FD" w14:textId="77777777" w:rsidR="00CA7D42" w:rsidRPr="00216C95" w:rsidRDefault="00CA7D42" w:rsidP="00CC67B8">
            <w:pPr>
              <w:pStyle w:val="Tabletext"/>
              <w:jc w:val="center"/>
            </w:pPr>
            <w:r w:rsidRPr="00D663A3">
              <w:t>2.3</w:t>
            </w:r>
          </w:p>
        </w:tc>
        <w:tc>
          <w:tcPr>
            <w:tcW w:w="500" w:type="dxa"/>
            <w:gridSpan w:val="2"/>
            <w:tcBorders>
              <w:left w:val="nil"/>
              <w:right w:val="nil"/>
            </w:tcBorders>
            <w:shd w:val="clear" w:color="auto" w:fill="A6A6A6" w:themeFill="background1" w:themeFillShade="A6"/>
            <w:vAlign w:val="center"/>
          </w:tcPr>
          <w:p w14:paraId="3CBFB49F"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tcPr>
          <w:p w14:paraId="2180FFC5"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vAlign w:val="center"/>
          </w:tcPr>
          <w:p w14:paraId="6CE0F165" w14:textId="77777777" w:rsidR="00CA7D42" w:rsidRPr="00216C95" w:rsidRDefault="00CA7D42" w:rsidP="00CC67B8">
            <w:pPr>
              <w:pStyle w:val="Tabletext"/>
              <w:jc w:val="center"/>
            </w:pPr>
          </w:p>
        </w:tc>
      </w:tr>
      <w:tr w:rsidR="007A65D0" w:rsidRPr="00216C95" w14:paraId="159C8C7C" w14:textId="77777777" w:rsidTr="00E77D7E">
        <w:trPr>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C6E536C" w14:textId="77777777" w:rsidR="00CA7D42" w:rsidRPr="00216C95" w:rsidRDefault="00CA7D42" w:rsidP="00CC67B8">
            <w:pPr>
              <w:pStyle w:val="Tabletext"/>
            </w:pPr>
            <w:r w:rsidRPr="00216C95">
              <w:t>11</w:t>
            </w:r>
          </w:p>
        </w:tc>
        <w:tc>
          <w:tcPr>
            <w:tcW w:w="3390" w:type="dxa"/>
            <w:tcBorders>
              <w:top w:val="single" w:sz="4" w:space="0" w:color="FFFFFF" w:themeColor="background1"/>
              <w:left w:val="nil"/>
              <w:bottom w:val="single" w:sz="4" w:space="0" w:color="FFFFFF" w:themeColor="background1"/>
            </w:tcBorders>
            <w:shd w:val="clear" w:color="000000" w:fill="F2F2F2"/>
            <w:vAlign w:val="center"/>
            <w:hideMark/>
          </w:tcPr>
          <w:p w14:paraId="2F83497A" w14:textId="38E78128" w:rsidR="00CA7D42" w:rsidRPr="00216C95" w:rsidRDefault="00CA7D42" w:rsidP="00CC67B8">
            <w:pPr>
              <w:pStyle w:val="Tabletext"/>
            </w:pPr>
            <w:r w:rsidRPr="00216C95">
              <w:t xml:space="preserve">Changes in inventories </w:t>
            </w:r>
            <w:r w:rsidR="009149CD">
              <w:br/>
            </w:r>
            <w:r w:rsidRPr="00216C95">
              <w:t>and net</w:t>
            </w:r>
            <w:r>
              <w:t xml:space="preserve"> </w:t>
            </w:r>
            <w:r w:rsidRPr="00216C95">
              <w:t xml:space="preserve">acquisition of value </w:t>
            </w:r>
          </w:p>
        </w:tc>
        <w:tc>
          <w:tcPr>
            <w:tcW w:w="765" w:type="dxa"/>
            <w:tcBorders>
              <w:top w:val="single" w:sz="4" w:space="0" w:color="FFFFFF" w:themeColor="background1"/>
              <w:bottom w:val="single" w:sz="4" w:space="0" w:color="FFFFFF" w:themeColor="background1"/>
              <w:right w:val="nil"/>
            </w:tcBorders>
            <w:shd w:val="clear" w:color="000000" w:fill="F2F2F2"/>
            <w:vAlign w:val="center"/>
            <w:hideMark/>
          </w:tcPr>
          <w:p w14:paraId="5AA68EE2" w14:textId="77777777" w:rsidR="00CA7D42" w:rsidRPr="00216C95" w:rsidRDefault="00CA7D42" w:rsidP="00CC67B8">
            <w:pPr>
              <w:pStyle w:val="Tabletext"/>
            </w:pPr>
            <w:r w:rsidRPr="00216C95">
              <w:t xml:space="preserve"> P.52 + P.53</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2C44B78"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F900C7D" w14:textId="77777777" w:rsidR="00CA7D42" w:rsidRPr="00216C95" w:rsidRDefault="00CA7D42" w:rsidP="00CC67B8">
            <w:pPr>
              <w:pStyle w:val="Tabletext"/>
              <w:jc w:val="center"/>
            </w:pPr>
            <w:r w:rsidRPr="00D663A3">
              <w:t>-0.6</w:t>
            </w:r>
          </w:p>
        </w:tc>
        <w:tc>
          <w:tcPr>
            <w:tcW w:w="589"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43C05B4" w14:textId="77777777" w:rsidR="00CA7D42" w:rsidRPr="00216C95" w:rsidRDefault="00CA7D42" w:rsidP="00CC67B8">
            <w:pPr>
              <w:pStyle w:val="Tabletext"/>
              <w:jc w:val="center"/>
            </w:pPr>
            <w:r w:rsidRPr="00D663A3">
              <w:t>0.0</w:t>
            </w:r>
          </w:p>
        </w:tc>
        <w:tc>
          <w:tcPr>
            <w:tcW w:w="673"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DB3B29E" w14:textId="77777777" w:rsidR="00CA7D42" w:rsidRPr="00216C95" w:rsidRDefault="00CA7D42" w:rsidP="00CC67B8">
            <w:pPr>
              <w:pStyle w:val="Tabletext"/>
              <w:jc w:val="center"/>
            </w:pPr>
            <w:r w:rsidRPr="00D663A3">
              <w:t>-0.1</w:t>
            </w:r>
          </w:p>
        </w:tc>
        <w:tc>
          <w:tcPr>
            <w:tcW w:w="500" w:type="dxa"/>
            <w:gridSpan w:val="2"/>
            <w:tcBorders>
              <w:left w:val="nil"/>
              <w:right w:val="nil"/>
            </w:tcBorders>
            <w:shd w:val="clear" w:color="auto" w:fill="A6A6A6" w:themeFill="background1" w:themeFillShade="A6"/>
            <w:vAlign w:val="center"/>
          </w:tcPr>
          <w:p w14:paraId="11D82447"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tcPr>
          <w:p w14:paraId="2BF47935"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vAlign w:val="center"/>
          </w:tcPr>
          <w:p w14:paraId="5CDAAFAF" w14:textId="77777777" w:rsidR="00CA7D42" w:rsidRPr="00216C95" w:rsidRDefault="00CA7D42" w:rsidP="00CC67B8">
            <w:pPr>
              <w:pStyle w:val="Tabletext"/>
              <w:jc w:val="center"/>
            </w:pPr>
          </w:p>
        </w:tc>
        <w:tc>
          <w:tcPr>
            <w:tcW w:w="500" w:type="dxa"/>
            <w:vAlign w:val="center"/>
          </w:tcPr>
          <w:p w14:paraId="4C92A6B6" w14:textId="77777777" w:rsidR="00CA7D42" w:rsidRPr="00216C95" w:rsidRDefault="00CA7D42" w:rsidP="00CC67B8">
            <w:pPr>
              <w:spacing w:after="200" w:line="240" w:lineRule="exact"/>
              <w:jc w:val="left"/>
            </w:pPr>
          </w:p>
        </w:tc>
        <w:tc>
          <w:tcPr>
            <w:tcW w:w="500" w:type="dxa"/>
            <w:vAlign w:val="center"/>
          </w:tcPr>
          <w:p w14:paraId="311281AA" w14:textId="77777777" w:rsidR="00CA7D42" w:rsidRPr="00216C95" w:rsidRDefault="00CA7D42" w:rsidP="00CC67B8">
            <w:pPr>
              <w:spacing w:after="200" w:line="240" w:lineRule="exact"/>
              <w:jc w:val="left"/>
            </w:pPr>
          </w:p>
        </w:tc>
        <w:tc>
          <w:tcPr>
            <w:tcW w:w="503" w:type="dxa"/>
            <w:vAlign w:val="center"/>
          </w:tcPr>
          <w:p w14:paraId="2E051FAA" w14:textId="77777777" w:rsidR="00CA7D42" w:rsidRPr="00216C95" w:rsidRDefault="00CA7D42" w:rsidP="00CC67B8">
            <w:pPr>
              <w:spacing w:after="200" w:line="240" w:lineRule="exact"/>
              <w:jc w:val="left"/>
            </w:pPr>
          </w:p>
        </w:tc>
      </w:tr>
      <w:tr w:rsidR="007A65D0" w:rsidRPr="00216C95" w14:paraId="286AC0A2"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1C62EB7" w14:textId="77777777" w:rsidR="00CA7D42" w:rsidRPr="00216C95" w:rsidRDefault="00CA7D42" w:rsidP="00CC67B8">
            <w:pPr>
              <w:pStyle w:val="Tabletext"/>
            </w:pPr>
            <w:r w:rsidRPr="00216C95">
              <w:t>12</w:t>
            </w:r>
          </w:p>
        </w:tc>
        <w:tc>
          <w:tcPr>
            <w:tcW w:w="3390" w:type="dxa"/>
            <w:tcBorders>
              <w:top w:val="single" w:sz="4" w:space="0" w:color="FFFFFF" w:themeColor="background1"/>
              <w:left w:val="nil"/>
              <w:bottom w:val="single" w:sz="4" w:space="0" w:color="FFFFFF" w:themeColor="background1"/>
            </w:tcBorders>
            <w:shd w:val="clear" w:color="000000" w:fill="D9D9D9"/>
            <w:vAlign w:val="center"/>
            <w:hideMark/>
          </w:tcPr>
          <w:p w14:paraId="1AFAE8C4" w14:textId="74E60F57" w:rsidR="00CA7D42" w:rsidRPr="00216C95" w:rsidRDefault="00CA7D42" w:rsidP="00CC67B8">
            <w:pPr>
              <w:pStyle w:val="Tabletext"/>
            </w:pPr>
            <w:r w:rsidRPr="00216C95">
              <w:t xml:space="preserve">External balance of goods </w:t>
            </w:r>
            <w:r w:rsidR="009149CD">
              <w:br/>
            </w:r>
            <w:r w:rsidRPr="00216C95">
              <w:t xml:space="preserve">and services </w:t>
            </w:r>
          </w:p>
        </w:tc>
        <w:tc>
          <w:tcPr>
            <w:tcW w:w="765" w:type="dxa"/>
            <w:tcBorders>
              <w:top w:val="single" w:sz="4" w:space="0" w:color="FFFFFF" w:themeColor="background1"/>
              <w:bottom w:val="single" w:sz="4" w:space="0" w:color="FFFFFF" w:themeColor="background1"/>
              <w:right w:val="nil"/>
            </w:tcBorders>
            <w:shd w:val="clear" w:color="000000" w:fill="D9D9D9"/>
            <w:vAlign w:val="center"/>
            <w:hideMark/>
          </w:tcPr>
          <w:p w14:paraId="26C06938" w14:textId="77777777" w:rsidR="00CA7D42" w:rsidRPr="00216C95" w:rsidRDefault="00CA7D42" w:rsidP="00CC67B8">
            <w:pPr>
              <w:pStyle w:val="Tabletext"/>
            </w:pPr>
            <w:r w:rsidRPr="00216C95">
              <w:t xml:space="preserve"> B.11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E913DCB"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4FC7447" w14:textId="77777777" w:rsidR="00CA7D42" w:rsidRPr="00A71C7E" w:rsidRDefault="00CA7D42" w:rsidP="00CC67B8">
            <w:pPr>
              <w:pStyle w:val="Tabletext"/>
              <w:jc w:val="center"/>
            </w:pPr>
            <w:r w:rsidRPr="00A71C7E">
              <w:t>0.5</w:t>
            </w:r>
          </w:p>
        </w:tc>
        <w:tc>
          <w:tcPr>
            <w:tcW w:w="589"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4405B856" w14:textId="77777777" w:rsidR="00CA7D42" w:rsidRPr="00A71C7E" w:rsidRDefault="00CA7D42" w:rsidP="00CC67B8">
            <w:pPr>
              <w:pStyle w:val="Tabletext"/>
              <w:jc w:val="center"/>
            </w:pPr>
            <w:r w:rsidRPr="00A71C7E">
              <w:t>0.0</w:t>
            </w:r>
          </w:p>
        </w:tc>
        <w:tc>
          <w:tcPr>
            <w:tcW w:w="673"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2A7D8E57" w14:textId="77777777" w:rsidR="00CA7D42" w:rsidRPr="00A71C7E" w:rsidRDefault="00CA7D42" w:rsidP="00CC67B8">
            <w:pPr>
              <w:pStyle w:val="Tabletext"/>
              <w:jc w:val="center"/>
            </w:pPr>
            <w:r w:rsidRPr="00A71C7E">
              <w:t>0.0</w:t>
            </w:r>
          </w:p>
        </w:tc>
        <w:tc>
          <w:tcPr>
            <w:tcW w:w="500" w:type="dxa"/>
            <w:gridSpan w:val="2"/>
            <w:tcBorders>
              <w:left w:val="nil"/>
              <w:right w:val="nil"/>
            </w:tcBorders>
            <w:shd w:val="clear" w:color="auto" w:fill="A6A6A6" w:themeFill="background1" w:themeFillShade="A6"/>
            <w:vAlign w:val="center"/>
          </w:tcPr>
          <w:p w14:paraId="2DCA63F1" w14:textId="77777777" w:rsidR="00CA7D42" w:rsidRPr="00216C95" w:rsidRDefault="00CA7D42" w:rsidP="00CC67B8">
            <w:pPr>
              <w:pStyle w:val="Tabletext"/>
              <w:jc w:val="center"/>
            </w:pPr>
          </w:p>
        </w:tc>
        <w:tc>
          <w:tcPr>
            <w:tcW w:w="500" w:type="dxa"/>
            <w:gridSpan w:val="2"/>
            <w:tcBorders>
              <w:left w:val="nil"/>
              <w:right w:val="nil"/>
            </w:tcBorders>
            <w:shd w:val="clear" w:color="auto" w:fill="A6A6A6" w:themeFill="background1" w:themeFillShade="A6"/>
            <w:vAlign w:val="center"/>
          </w:tcPr>
          <w:p w14:paraId="4868E134" w14:textId="77777777" w:rsidR="00CA7D42" w:rsidRPr="00216C95" w:rsidRDefault="00CA7D42" w:rsidP="00CC67B8">
            <w:pPr>
              <w:pStyle w:val="Tabletext"/>
              <w:jc w:val="center"/>
            </w:pPr>
          </w:p>
        </w:tc>
        <w:tc>
          <w:tcPr>
            <w:tcW w:w="500" w:type="dxa"/>
            <w:tcBorders>
              <w:left w:val="nil"/>
              <w:right w:val="nil"/>
            </w:tcBorders>
            <w:shd w:val="clear" w:color="auto" w:fill="A6A6A6" w:themeFill="background1" w:themeFillShade="A6"/>
            <w:vAlign w:val="center"/>
          </w:tcPr>
          <w:p w14:paraId="7A945AC2" w14:textId="77777777" w:rsidR="00CA7D42" w:rsidRPr="00216C95" w:rsidRDefault="00CA7D42" w:rsidP="00CC67B8">
            <w:pPr>
              <w:pStyle w:val="Tabletext"/>
              <w:jc w:val="center"/>
            </w:pPr>
          </w:p>
        </w:tc>
      </w:tr>
      <w:tr w:rsidR="00CA7D42" w:rsidRPr="00820BC3" w14:paraId="067957E2"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226CDFF2" w14:textId="77777777" w:rsidR="00CA7D42" w:rsidRPr="00820BC3" w:rsidRDefault="00CA7D42" w:rsidP="00CC67B8">
            <w:pPr>
              <w:pStyle w:val="Tabletext"/>
              <w:rPr>
                <w:b/>
              </w:rPr>
            </w:pPr>
            <w:r w:rsidRPr="00820BC3">
              <w:rPr>
                <w:b/>
              </w:rPr>
              <w:t> </w:t>
            </w:r>
          </w:p>
        </w:tc>
        <w:tc>
          <w:tcPr>
            <w:tcW w:w="3390"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45D7F944" w14:textId="77777777" w:rsidR="00CA7D42" w:rsidRPr="00820BC3" w:rsidRDefault="00CA7D42" w:rsidP="00CC67B8">
            <w:pPr>
              <w:pStyle w:val="Tabletext"/>
              <w:rPr>
                <w:b/>
              </w:rPr>
            </w:pPr>
            <w:r w:rsidRPr="00820BC3">
              <w:rPr>
                <w:b/>
              </w:rPr>
              <w:t xml:space="preserve">Deflators and HICP </w:t>
            </w:r>
          </w:p>
        </w:tc>
        <w:tc>
          <w:tcPr>
            <w:tcW w:w="765"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098281F2" w14:textId="77777777" w:rsidR="00CA7D42" w:rsidRPr="00820BC3" w:rsidRDefault="00CA7D42" w:rsidP="00CC67B8">
            <w:pPr>
              <w:pStyle w:val="Tabletext"/>
              <w:rPr>
                <w:b/>
              </w:rPr>
            </w:pPr>
            <w:r w:rsidRPr="00820BC3">
              <w:rPr>
                <w:b/>
              </w:rPr>
              <w:t> </w:t>
            </w:r>
          </w:p>
        </w:tc>
        <w:tc>
          <w:tcPr>
            <w:tcW w:w="801"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6EBFC507" w14:textId="77777777" w:rsidR="00CA7D42" w:rsidRPr="00820BC3" w:rsidRDefault="00CA7D42" w:rsidP="00CC67B8">
            <w:pPr>
              <w:pStyle w:val="Tabletext"/>
              <w:jc w:val="center"/>
              <w:rPr>
                <w:b/>
              </w:rPr>
            </w:pPr>
          </w:p>
        </w:tc>
        <w:tc>
          <w:tcPr>
            <w:tcW w:w="3482" w:type="dxa"/>
            <w:gridSpan w:val="8"/>
            <w:tcBorders>
              <w:top w:val="single" w:sz="4" w:space="0" w:color="FFFFFF" w:themeColor="background1"/>
              <w:left w:val="nil"/>
              <w:bottom w:val="single" w:sz="4" w:space="0" w:color="FFFFFF" w:themeColor="background1"/>
              <w:right w:val="nil"/>
            </w:tcBorders>
            <w:shd w:val="clear" w:color="000000" w:fill="BFBFBF"/>
            <w:vAlign w:val="center"/>
            <w:hideMark/>
          </w:tcPr>
          <w:p w14:paraId="4DF68C83" w14:textId="77777777" w:rsidR="00CA7D42" w:rsidRPr="00820BC3" w:rsidRDefault="00CA7D42" w:rsidP="00CC67B8">
            <w:pPr>
              <w:pStyle w:val="Tabletext"/>
              <w:jc w:val="center"/>
              <w:rPr>
                <w:b/>
              </w:rPr>
            </w:pPr>
            <w:r>
              <w:rPr>
                <w:b/>
              </w:rPr>
              <w:t>G</w:t>
            </w:r>
            <w:r w:rsidRPr="00820BC3">
              <w:rPr>
                <w:b/>
              </w:rPr>
              <w:t xml:space="preserve">rowth </w:t>
            </w:r>
            <w:r>
              <w:rPr>
                <w:b/>
              </w:rPr>
              <w:t>R</w:t>
            </w:r>
            <w:r w:rsidRPr="00820BC3">
              <w:rPr>
                <w:b/>
              </w:rPr>
              <w:t>ate</w:t>
            </w:r>
          </w:p>
        </w:tc>
      </w:tr>
      <w:tr w:rsidR="007A65D0" w:rsidRPr="00216C95" w14:paraId="10C8721E"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82D27DB" w14:textId="77777777" w:rsidR="00CA7D42" w:rsidRPr="00216C95" w:rsidRDefault="00CA7D42" w:rsidP="00CC67B8">
            <w:pPr>
              <w:pStyle w:val="Tabletext"/>
            </w:pPr>
            <w:r w:rsidRPr="00216C95">
              <w:t>13</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75EE395" w14:textId="77777777" w:rsidR="00CA7D42" w:rsidRPr="00216C95" w:rsidRDefault="00CA7D42" w:rsidP="00CC67B8">
            <w:pPr>
              <w:pStyle w:val="Tabletext"/>
            </w:pPr>
            <w:r w:rsidRPr="00216C95">
              <w:t>Private consumption deflator</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E4DC20B"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819DDA9"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7359890A" w14:textId="77777777" w:rsidR="00CA7D42" w:rsidRPr="00216C95" w:rsidRDefault="00CA7D42" w:rsidP="00CC67B8">
            <w:pPr>
              <w:pStyle w:val="Tabletext"/>
              <w:jc w:val="center"/>
            </w:pPr>
            <w:r w:rsidRPr="004261CF">
              <w:t>4.6</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4CEB2D02" w14:textId="77777777" w:rsidR="00CA7D42" w:rsidRPr="00216C95" w:rsidRDefault="00CA7D42" w:rsidP="00CC67B8">
            <w:pPr>
              <w:pStyle w:val="Tabletext"/>
              <w:jc w:val="center"/>
            </w:pPr>
            <w:r w:rsidRPr="004261CF">
              <w:t>2.7</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752A809D" w14:textId="77777777" w:rsidR="00CA7D42" w:rsidRPr="00216C95" w:rsidRDefault="00CA7D42" w:rsidP="00CC67B8">
            <w:pPr>
              <w:pStyle w:val="Tabletext"/>
              <w:jc w:val="center"/>
            </w:pPr>
            <w:r w:rsidRPr="004261CF">
              <w:t>2.1</w:t>
            </w:r>
          </w:p>
        </w:tc>
        <w:tc>
          <w:tcPr>
            <w:tcW w:w="413" w:type="dxa"/>
            <w:tcBorders>
              <w:left w:val="nil"/>
              <w:right w:val="nil"/>
            </w:tcBorders>
            <w:shd w:val="clear" w:color="auto" w:fill="A6A6A6" w:themeFill="background1" w:themeFillShade="A6"/>
            <w:vAlign w:val="center"/>
          </w:tcPr>
          <w:p w14:paraId="7A94ED89"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3E698D31"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725A6458" w14:textId="77777777" w:rsidR="00CA7D42" w:rsidRPr="00216C95" w:rsidRDefault="00CA7D42" w:rsidP="00CC67B8">
            <w:pPr>
              <w:pStyle w:val="Tabletext"/>
              <w:jc w:val="center"/>
            </w:pPr>
          </w:p>
        </w:tc>
      </w:tr>
      <w:tr w:rsidR="007A65D0" w:rsidRPr="00216C95" w14:paraId="472521DB"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74CE9CF9" w14:textId="77777777" w:rsidR="00CA7D42" w:rsidRPr="00216C95" w:rsidRDefault="00CA7D42" w:rsidP="00CC67B8">
            <w:pPr>
              <w:pStyle w:val="Tabletext"/>
            </w:pPr>
            <w:r w:rsidRPr="00216C95">
              <w:t>14</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568DF83" w14:textId="77777777" w:rsidR="00CA7D42" w:rsidRPr="00216C95" w:rsidRDefault="00CA7D42" w:rsidP="00CC67B8">
            <w:pPr>
              <w:pStyle w:val="Tabletext"/>
            </w:pPr>
            <w:r w:rsidRPr="00216C95">
              <w:t xml:space="preserve"> p.m.  HICP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3538387"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5E98AD8"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6B8027CE" w14:textId="77777777" w:rsidR="00CA7D42" w:rsidRPr="00216C95" w:rsidRDefault="00CA7D42" w:rsidP="00CC67B8">
            <w:pPr>
              <w:pStyle w:val="Tabletext"/>
              <w:jc w:val="center"/>
            </w:pPr>
            <w:r w:rsidRPr="004261CF">
              <w:t>4.2</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2E83F18A" w14:textId="77777777" w:rsidR="00CA7D42" w:rsidRPr="00216C95" w:rsidRDefault="00CA7D42" w:rsidP="00CC67B8">
            <w:pPr>
              <w:pStyle w:val="Tabletext"/>
              <w:jc w:val="center"/>
            </w:pPr>
            <w:r w:rsidRPr="004261CF">
              <w:t>2.8</w:t>
            </w:r>
          </w:p>
        </w:tc>
        <w:tc>
          <w:tcPr>
            <w:tcW w:w="673" w:type="dxa"/>
            <w:tcBorders>
              <w:top w:val="single" w:sz="4" w:space="0" w:color="FFFFFF" w:themeColor="background1"/>
              <w:left w:val="nil"/>
              <w:bottom w:val="single" w:sz="4" w:space="0" w:color="FFFFFF" w:themeColor="background1"/>
              <w:right w:val="nil"/>
            </w:tcBorders>
            <w:shd w:val="clear" w:color="000000" w:fill="D9D9D9"/>
            <w:hideMark/>
          </w:tcPr>
          <w:p w14:paraId="16D5FD99" w14:textId="77777777" w:rsidR="00CA7D42" w:rsidRPr="00216C95" w:rsidRDefault="00CA7D42" w:rsidP="00CC67B8">
            <w:pPr>
              <w:pStyle w:val="Tabletext"/>
              <w:jc w:val="center"/>
            </w:pPr>
            <w:r w:rsidRPr="004261CF">
              <w:t>2.1</w:t>
            </w:r>
          </w:p>
        </w:tc>
        <w:tc>
          <w:tcPr>
            <w:tcW w:w="413" w:type="dxa"/>
            <w:tcBorders>
              <w:left w:val="nil"/>
              <w:right w:val="nil"/>
            </w:tcBorders>
            <w:shd w:val="clear" w:color="auto" w:fill="A6A6A6" w:themeFill="background1" w:themeFillShade="A6"/>
            <w:vAlign w:val="center"/>
          </w:tcPr>
          <w:p w14:paraId="2A6E8E7B"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6E5CCB7D"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78F76D32" w14:textId="77777777" w:rsidR="00CA7D42" w:rsidRPr="00216C95" w:rsidRDefault="00CA7D42" w:rsidP="00CC67B8">
            <w:pPr>
              <w:pStyle w:val="Tabletext"/>
              <w:jc w:val="center"/>
            </w:pPr>
          </w:p>
        </w:tc>
      </w:tr>
      <w:tr w:rsidR="007A65D0" w:rsidRPr="00216C95" w14:paraId="7D24A50C"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690B0C9" w14:textId="77777777" w:rsidR="00CA7D42" w:rsidRPr="00216C95" w:rsidRDefault="00CA7D42" w:rsidP="00CC67B8">
            <w:pPr>
              <w:pStyle w:val="Tabletext"/>
            </w:pPr>
            <w:r w:rsidRPr="00216C95">
              <w:t>15</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7DB143E" w14:textId="77777777" w:rsidR="00CA7D42" w:rsidRPr="00216C95" w:rsidRDefault="00CA7D42" w:rsidP="00CC67B8">
            <w:pPr>
              <w:pStyle w:val="Tabletext"/>
            </w:pPr>
            <w:r w:rsidRPr="00216C95">
              <w:t xml:space="preserve">Government consumption deflator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AA466DE"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00B0C0B"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32D9E115" w14:textId="77777777" w:rsidR="00CA7D42" w:rsidRPr="00216C95" w:rsidRDefault="00CA7D42" w:rsidP="00CC67B8">
            <w:pPr>
              <w:pStyle w:val="Tabletext"/>
              <w:jc w:val="center"/>
            </w:pPr>
            <w:r w:rsidRPr="004261CF">
              <w:t>2.8</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6B9CA95C" w14:textId="77777777" w:rsidR="00CA7D42" w:rsidRPr="00216C95" w:rsidRDefault="00CA7D42" w:rsidP="00CC67B8">
            <w:pPr>
              <w:pStyle w:val="Tabletext"/>
              <w:jc w:val="center"/>
            </w:pPr>
            <w:r w:rsidRPr="004261CF">
              <w:t>3.1</w:t>
            </w:r>
          </w:p>
        </w:tc>
        <w:tc>
          <w:tcPr>
            <w:tcW w:w="673" w:type="dxa"/>
            <w:tcBorders>
              <w:top w:val="single" w:sz="4" w:space="0" w:color="FFFFFF" w:themeColor="background1"/>
              <w:left w:val="nil"/>
              <w:bottom w:val="single" w:sz="4" w:space="0" w:color="FFFFFF" w:themeColor="background1"/>
              <w:right w:val="nil"/>
            </w:tcBorders>
            <w:shd w:val="clear" w:color="000000" w:fill="F2F2F2"/>
          </w:tcPr>
          <w:p w14:paraId="741A1A3E" w14:textId="77777777" w:rsidR="00CA7D42" w:rsidRPr="00216C95" w:rsidRDefault="00CA7D42" w:rsidP="00CC67B8">
            <w:pPr>
              <w:pStyle w:val="Tabletext"/>
              <w:jc w:val="center"/>
            </w:pPr>
            <w:r w:rsidRPr="004261CF">
              <w:t>2.2</w:t>
            </w:r>
          </w:p>
        </w:tc>
        <w:tc>
          <w:tcPr>
            <w:tcW w:w="413" w:type="dxa"/>
            <w:tcBorders>
              <w:left w:val="nil"/>
              <w:right w:val="nil"/>
            </w:tcBorders>
            <w:shd w:val="clear" w:color="auto" w:fill="A6A6A6" w:themeFill="background1" w:themeFillShade="A6"/>
          </w:tcPr>
          <w:p w14:paraId="286DA50D"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tcPr>
          <w:p w14:paraId="1161A630"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tcPr>
          <w:p w14:paraId="6A313755" w14:textId="77777777" w:rsidR="00CA7D42" w:rsidRPr="00216C95" w:rsidRDefault="00CA7D42" w:rsidP="00CC67B8">
            <w:pPr>
              <w:pStyle w:val="Tabletext"/>
              <w:jc w:val="center"/>
            </w:pPr>
          </w:p>
        </w:tc>
      </w:tr>
      <w:tr w:rsidR="007A65D0" w:rsidRPr="00216C95" w14:paraId="4BDA66E0"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1DCB027" w14:textId="77777777" w:rsidR="00CA7D42" w:rsidRPr="00216C95" w:rsidRDefault="00CA7D42" w:rsidP="00CC67B8">
            <w:pPr>
              <w:pStyle w:val="Tabletext"/>
            </w:pPr>
            <w:r w:rsidRPr="00216C95">
              <w:t>16</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A5E8623" w14:textId="77777777" w:rsidR="00CA7D42" w:rsidRPr="00216C95" w:rsidRDefault="00CA7D42" w:rsidP="00CC67B8">
            <w:pPr>
              <w:pStyle w:val="Tabletext"/>
            </w:pPr>
            <w:r w:rsidRPr="00216C95">
              <w:t>Investment deflator</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74CA882"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2E9721D"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50CB867F" w14:textId="77777777" w:rsidR="00CA7D42" w:rsidRPr="00216C95" w:rsidRDefault="00CA7D42" w:rsidP="00CC67B8">
            <w:pPr>
              <w:pStyle w:val="Tabletext"/>
              <w:jc w:val="center"/>
            </w:pPr>
            <w:r w:rsidRPr="004261CF">
              <w:t>3.9</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2AF38650" w14:textId="77777777" w:rsidR="00CA7D42" w:rsidRPr="00216C95" w:rsidRDefault="00CA7D42" w:rsidP="00CC67B8">
            <w:pPr>
              <w:pStyle w:val="Tabletext"/>
              <w:jc w:val="center"/>
            </w:pPr>
            <w:r w:rsidRPr="004261CF">
              <w:t>2.3</w:t>
            </w:r>
          </w:p>
        </w:tc>
        <w:tc>
          <w:tcPr>
            <w:tcW w:w="673" w:type="dxa"/>
            <w:tcBorders>
              <w:top w:val="single" w:sz="4" w:space="0" w:color="FFFFFF" w:themeColor="background1"/>
              <w:left w:val="nil"/>
              <w:bottom w:val="single" w:sz="4" w:space="0" w:color="FFFFFF" w:themeColor="background1"/>
              <w:right w:val="nil"/>
            </w:tcBorders>
            <w:shd w:val="clear" w:color="000000" w:fill="D9D9D9"/>
          </w:tcPr>
          <w:p w14:paraId="5B74832D" w14:textId="77777777" w:rsidR="00CA7D42" w:rsidRPr="00216C95" w:rsidRDefault="00CA7D42" w:rsidP="00CC67B8">
            <w:pPr>
              <w:pStyle w:val="Tabletext"/>
              <w:jc w:val="center"/>
            </w:pPr>
            <w:r w:rsidRPr="004261CF">
              <w:t>1.8</w:t>
            </w:r>
          </w:p>
        </w:tc>
        <w:tc>
          <w:tcPr>
            <w:tcW w:w="413" w:type="dxa"/>
            <w:tcBorders>
              <w:left w:val="nil"/>
              <w:right w:val="nil"/>
            </w:tcBorders>
            <w:shd w:val="clear" w:color="auto" w:fill="A6A6A6" w:themeFill="background1" w:themeFillShade="A6"/>
            <w:vAlign w:val="center"/>
          </w:tcPr>
          <w:p w14:paraId="1FD94691"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6D74EDC2"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39D21773" w14:textId="77777777" w:rsidR="00CA7D42" w:rsidRPr="00216C95" w:rsidRDefault="00CA7D42" w:rsidP="00CC67B8">
            <w:pPr>
              <w:pStyle w:val="Tabletext"/>
              <w:jc w:val="center"/>
            </w:pPr>
          </w:p>
        </w:tc>
      </w:tr>
      <w:tr w:rsidR="007A65D0" w:rsidRPr="00216C95" w14:paraId="1396333E"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4A97FE3" w14:textId="77777777" w:rsidR="00CA7D42" w:rsidRPr="00216C95" w:rsidRDefault="00CA7D42" w:rsidP="00CC67B8">
            <w:pPr>
              <w:pStyle w:val="Tabletext"/>
            </w:pPr>
            <w:r w:rsidRPr="00216C95">
              <w:t>17</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59BD924" w14:textId="24529B72" w:rsidR="00CA7D42" w:rsidRPr="00216C95" w:rsidRDefault="00CA7D42" w:rsidP="00CC67B8">
            <w:pPr>
              <w:pStyle w:val="Tabletext"/>
            </w:pPr>
            <w:r w:rsidRPr="00216C95">
              <w:t xml:space="preserve">Export price deflator </w:t>
            </w:r>
            <w:r w:rsidR="009149CD">
              <w:br/>
            </w:r>
            <w:r w:rsidRPr="00216C95">
              <w:t xml:space="preserve">(goods and services)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6E62455"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60C73B8"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66C04570" w14:textId="77777777" w:rsidR="00CA7D42" w:rsidRPr="00216C95" w:rsidRDefault="00CA7D42" w:rsidP="00CC67B8">
            <w:pPr>
              <w:pStyle w:val="Tabletext"/>
              <w:jc w:val="center"/>
            </w:pPr>
            <w:r w:rsidRPr="004261CF">
              <w:t>-6.1</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7934D398" w14:textId="77777777" w:rsidR="00CA7D42" w:rsidRPr="00216C95" w:rsidRDefault="00CA7D42" w:rsidP="00CC67B8">
            <w:pPr>
              <w:pStyle w:val="Tabletext"/>
              <w:jc w:val="center"/>
            </w:pPr>
            <w:r w:rsidRPr="004261CF">
              <w:t>2.6</w:t>
            </w:r>
          </w:p>
        </w:tc>
        <w:tc>
          <w:tcPr>
            <w:tcW w:w="673" w:type="dxa"/>
            <w:tcBorders>
              <w:top w:val="single" w:sz="4" w:space="0" w:color="FFFFFF" w:themeColor="background1"/>
              <w:left w:val="nil"/>
              <w:bottom w:val="single" w:sz="4" w:space="0" w:color="FFFFFF" w:themeColor="background1"/>
              <w:right w:val="nil"/>
            </w:tcBorders>
            <w:shd w:val="clear" w:color="000000" w:fill="F2F2F2"/>
          </w:tcPr>
          <w:p w14:paraId="7AA65C5C" w14:textId="77777777" w:rsidR="00CA7D42" w:rsidRPr="00216C95" w:rsidRDefault="00CA7D42" w:rsidP="00CC67B8">
            <w:pPr>
              <w:pStyle w:val="Tabletext"/>
              <w:jc w:val="center"/>
            </w:pPr>
            <w:r w:rsidRPr="004261CF">
              <w:t>1.6</w:t>
            </w:r>
          </w:p>
        </w:tc>
        <w:tc>
          <w:tcPr>
            <w:tcW w:w="413" w:type="dxa"/>
            <w:tcBorders>
              <w:left w:val="nil"/>
              <w:right w:val="nil"/>
            </w:tcBorders>
            <w:shd w:val="clear" w:color="auto" w:fill="A6A6A6" w:themeFill="background1" w:themeFillShade="A6"/>
            <w:vAlign w:val="center"/>
          </w:tcPr>
          <w:p w14:paraId="5B323639"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30570BD7"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166DF67F" w14:textId="77777777" w:rsidR="00CA7D42" w:rsidRPr="00216C95" w:rsidRDefault="00CA7D42" w:rsidP="00CC67B8">
            <w:pPr>
              <w:pStyle w:val="Tabletext"/>
              <w:jc w:val="center"/>
            </w:pPr>
          </w:p>
        </w:tc>
      </w:tr>
      <w:tr w:rsidR="007A65D0" w:rsidRPr="00216C95" w14:paraId="055B4CC4"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438817B" w14:textId="77777777" w:rsidR="00CA7D42" w:rsidRPr="00216C95" w:rsidRDefault="00CA7D42" w:rsidP="00CC67B8">
            <w:pPr>
              <w:pStyle w:val="Tabletext"/>
            </w:pPr>
            <w:r w:rsidRPr="00216C95">
              <w:t>18</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6CC08C1" w14:textId="10223BEF" w:rsidR="00CA7D42" w:rsidRPr="00216C95" w:rsidRDefault="00CA7D42" w:rsidP="00CC67B8">
            <w:pPr>
              <w:pStyle w:val="Tabletext"/>
            </w:pPr>
            <w:r w:rsidRPr="00216C95">
              <w:t xml:space="preserve">Import price deflator </w:t>
            </w:r>
            <w:r w:rsidR="009149CD">
              <w:br/>
            </w:r>
            <w:r w:rsidRPr="00216C95">
              <w:t xml:space="preserve">(goods and services)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C788903"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72D1B13"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3874595B" w14:textId="77777777" w:rsidR="00CA7D42" w:rsidRPr="00216C95" w:rsidRDefault="00CA7D42" w:rsidP="00CC67B8">
            <w:pPr>
              <w:pStyle w:val="Tabletext"/>
              <w:jc w:val="center"/>
            </w:pPr>
            <w:r w:rsidRPr="004261CF">
              <w:t>-11.7</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6294CD66" w14:textId="77777777" w:rsidR="00CA7D42" w:rsidRPr="00216C95" w:rsidRDefault="00CA7D42" w:rsidP="00CC67B8">
            <w:pPr>
              <w:pStyle w:val="Tabletext"/>
              <w:jc w:val="center"/>
            </w:pPr>
            <w:r w:rsidRPr="004261CF">
              <w:t>2.5</w:t>
            </w:r>
          </w:p>
        </w:tc>
        <w:tc>
          <w:tcPr>
            <w:tcW w:w="673" w:type="dxa"/>
            <w:tcBorders>
              <w:top w:val="single" w:sz="4" w:space="0" w:color="FFFFFF" w:themeColor="background1"/>
              <w:left w:val="nil"/>
              <w:bottom w:val="single" w:sz="4" w:space="0" w:color="FFFFFF" w:themeColor="background1"/>
              <w:right w:val="nil"/>
            </w:tcBorders>
            <w:shd w:val="clear" w:color="000000" w:fill="D9D9D9"/>
          </w:tcPr>
          <w:p w14:paraId="0198BDFD" w14:textId="77777777" w:rsidR="00CA7D42" w:rsidRPr="00216C95" w:rsidRDefault="00CA7D42" w:rsidP="00CC67B8">
            <w:pPr>
              <w:pStyle w:val="Tabletext"/>
              <w:jc w:val="center"/>
            </w:pPr>
            <w:r w:rsidRPr="004261CF">
              <w:t>1.5</w:t>
            </w:r>
          </w:p>
        </w:tc>
        <w:tc>
          <w:tcPr>
            <w:tcW w:w="413" w:type="dxa"/>
            <w:tcBorders>
              <w:left w:val="nil"/>
              <w:right w:val="nil"/>
            </w:tcBorders>
            <w:shd w:val="clear" w:color="auto" w:fill="A6A6A6" w:themeFill="background1" w:themeFillShade="A6"/>
            <w:vAlign w:val="center"/>
          </w:tcPr>
          <w:p w14:paraId="5BBD5705"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09C038EE"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2E54C6CC" w14:textId="77777777" w:rsidR="00CA7D42" w:rsidRPr="00216C95" w:rsidRDefault="00CA7D42" w:rsidP="00CC67B8">
            <w:pPr>
              <w:pStyle w:val="Tabletext"/>
              <w:jc w:val="center"/>
            </w:pPr>
          </w:p>
        </w:tc>
      </w:tr>
      <w:tr w:rsidR="00CA7D42" w:rsidRPr="00820BC3" w14:paraId="2BCF25CB"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1A9CA7B7" w14:textId="77777777" w:rsidR="00CA7D42" w:rsidRPr="00820BC3" w:rsidRDefault="00CA7D42" w:rsidP="00CC67B8">
            <w:pPr>
              <w:pStyle w:val="Tabletext"/>
              <w:rPr>
                <w:b/>
              </w:rPr>
            </w:pPr>
            <w:r w:rsidRPr="00820BC3">
              <w:rPr>
                <w:b/>
              </w:rPr>
              <w:t> </w:t>
            </w:r>
          </w:p>
        </w:tc>
        <w:tc>
          <w:tcPr>
            <w:tcW w:w="3390"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06DAC6EA" w14:textId="77777777" w:rsidR="00CA7D42" w:rsidRPr="00820BC3" w:rsidRDefault="00CA7D42" w:rsidP="00CC67B8">
            <w:pPr>
              <w:pStyle w:val="Tabletext"/>
              <w:rPr>
                <w:b/>
              </w:rPr>
            </w:pPr>
            <w:r w:rsidRPr="00820BC3">
              <w:rPr>
                <w:b/>
              </w:rPr>
              <w:t>Labour market</w:t>
            </w:r>
          </w:p>
        </w:tc>
        <w:tc>
          <w:tcPr>
            <w:tcW w:w="765" w:type="dxa"/>
            <w:tcBorders>
              <w:top w:val="single" w:sz="4" w:space="0" w:color="FFFFFF" w:themeColor="background1"/>
              <w:left w:val="nil"/>
              <w:bottom w:val="single" w:sz="4" w:space="0" w:color="FFFFFF" w:themeColor="background1"/>
              <w:right w:val="nil"/>
            </w:tcBorders>
            <w:shd w:val="clear" w:color="000000" w:fill="BFBFBF"/>
            <w:vAlign w:val="center"/>
          </w:tcPr>
          <w:p w14:paraId="120DB1AA" w14:textId="77777777" w:rsidR="00CA7D42" w:rsidRPr="00820BC3" w:rsidRDefault="00CA7D42" w:rsidP="00CC67B8">
            <w:pPr>
              <w:pStyle w:val="Tabletext"/>
              <w:rPr>
                <w:b/>
              </w:rPr>
            </w:pPr>
          </w:p>
        </w:tc>
        <w:tc>
          <w:tcPr>
            <w:tcW w:w="801"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32657224" w14:textId="77777777" w:rsidR="00CA7D42" w:rsidRPr="00820BC3" w:rsidRDefault="00CA7D42" w:rsidP="00CC67B8">
            <w:pPr>
              <w:pStyle w:val="Tabletext"/>
              <w:jc w:val="center"/>
              <w:rPr>
                <w:b/>
              </w:rPr>
            </w:pPr>
            <w:r w:rsidRPr="00820BC3">
              <w:rPr>
                <w:b/>
              </w:rPr>
              <w:t>level</w:t>
            </w:r>
          </w:p>
        </w:tc>
        <w:tc>
          <w:tcPr>
            <w:tcW w:w="3482" w:type="dxa"/>
            <w:gridSpan w:val="8"/>
            <w:tcBorders>
              <w:top w:val="single" w:sz="4" w:space="0" w:color="FFFFFF" w:themeColor="background1"/>
              <w:left w:val="nil"/>
              <w:bottom w:val="single" w:sz="4" w:space="0" w:color="FFFFFF" w:themeColor="background1"/>
              <w:right w:val="nil"/>
            </w:tcBorders>
            <w:shd w:val="clear" w:color="000000" w:fill="BFBFBF"/>
            <w:vAlign w:val="center"/>
            <w:hideMark/>
          </w:tcPr>
          <w:p w14:paraId="78D8AF6F" w14:textId="77777777" w:rsidR="00CA7D42" w:rsidRPr="00820BC3" w:rsidRDefault="00CA7D42" w:rsidP="00CC67B8">
            <w:pPr>
              <w:pStyle w:val="Tabletext"/>
              <w:jc w:val="center"/>
              <w:rPr>
                <w:b/>
              </w:rPr>
            </w:pPr>
            <w:r>
              <w:rPr>
                <w:b/>
              </w:rPr>
              <w:t>G</w:t>
            </w:r>
            <w:r w:rsidRPr="00820BC3">
              <w:rPr>
                <w:b/>
              </w:rPr>
              <w:t xml:space="preserve">rowth </w:t>
            </w:r>
            <w:r>
              <w:rPr>
                <w:b/>
              </w:rPr>
              <w:t>R</w:t>
            </w:r>
            <w:r w:rsidRPr="00820BC3">
              <w:rPr>
                <w:b/>
              </w:rPr>
              <w:t>ate</w:t>
            </w:r>
          </w:p>
        </w:tc>
      </w:tr>
      <w:tr w:rsidR="007A65D0" w:rsidRPr="00216C95" w14:paraId="44359F96"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4E9A8F3" w14:textId="77777777" w:rsidR="00CA7D42" w:rsidRPr="00216C95" w:rsidRDefault="00CA7D42" w:rsidP="00CC67B8">
            <w:pPr>
              <w:pStyle w:val="Tabletext"/>
            </w:pPr>
            <w:r w:rsidRPr="00216C95">
              <w:t>19</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30341B3" w14:textId="018BB3B0" w:rsidR="00CA7D42" w:rsidRPr="00216C95" w:rsidRDefault="00CA7D42" w:rsidP="00CC67B8">
            <w:pPr>
              <w:pStyle w:val="Tabletext"/>
            </w:pPr>
            <w:r w:rsidRPr="00216C95">
              <w:t xml:space="preserve">Domestic employment </w:t>
            </w:r>
            <w:r w:rsidR="009149CD">
              <w:br/>
            </w:r>
            <w:r w:rsidRPr="00216C95">
              <w:t>(1</w:t>
            </w:r>
            <w:r w:rsidR="00796835">
              <w:t>,</w:t>
            </w:r>
            <w:r w:rsidRPr="00216C95">
              <w:t xml:space="preserve">000 persons, national accounts)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tcPr>
          <w:p w14:paraId="3EFC5E8C" w14:textId="77777777" w:rsidR="00CA7D42" w:rsidRPr="00216C95" w:rsidRDefault="00CA7D42" w:rsidP="00CC67B8">
            <w:pPr>
              <w:pStyle w:val="Tabletext"/>
            </w:pP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2C3F7A0" w14:textId="77777777" w:rsidR="00CA7D42" w:rsidRPr="00783DB9" w:rsidRDefault="00CA7D42" w:rsidP="00CC67B8">
            <w:pPr>
              <w:pStyle w:val="Tabletext"/>
              <w:jc w:val="center"/>
            </w:pPr>
            <w:r w:rsidRPr="00783DB9">
              <w:t>3,504</w:t>
            </w:r>
          </w:p>
        </w:tc>
        <w:tc>
          <w:tcPr>
            <w:tcW w:w="72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62FF9C00" w14:textId="77777777" w:rsidR="00CA7D42" w:rsidRPr="00783DB9" w:rsidRDefault="00CA7D42" w:rsidP="00CC67B8">
            <w:pPr>
              <w:pStyle w:val="Tabletext"/>
              <w:jc w:val="center"/>
            </w:pPr>
            <w:r w:rsidRPr="00783DB9">
              <w:t>0.4</w:t>
            </w:r>
          </w:p>
        </w:tc>
        <w:tc>
          <w:tcPr>
            <w:tcW w:w="589"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31094FB" w14:textId="77777777" w:rsidR="00CA7D42" w:rsidRPr="00783DB9" w:rsidRDefault="00CA7D42" w:rsidP="00CC67B8">
            <w:pPr>
              <w:pStyle w:val="Tabletext"/>
              <w:jc w:val="center"/>
            </w:pPr>
            <w:r w:rsidRPr="00783DB9">
              <w:t>0.9</w:t>
            </w:r>
          </w:p>
        </w:tc>
        <w:tc>
          <w:tcPr>
            <w:tcW w:w="673" w:type="dxa"/>
            <w:tcBorders>
              <w:top w:val="single" w:sz="4" w:space="0" w:color="FFFFFF" w:themeColor="background1"/>
              <w:left w:val="nil"/>
              <w:bottom w:val="single" w:sz="4" w:space="0" w:color="FFFFFF" w:themeColor="background1"/>
              <w:right w:val="nil"/>
            </w:tcBorders>
            <w:shd w:val="clear" w:color="000000" w:fill="F2F2F2"/>
            <w:vAlign w:val="center"/>
          </w:tcPr>
          <w:p w14:paraId="2E3000A8" w14:textId="77777777" w:rsidR="00CA7D42" w:rsidRPr="00783DB9" w:rsidRDefault="00CA7D42" w:rsidP="00CC67B8">
            <w:pPr>
              <w:pStyle w:val="Tabletext"/>
              <w:jc w:val="center"/>
            </w:pPr>
            <w:r w:rsidRPr="00783DB9">
              <w:t>0.7</w:t>
            </w:r>
          </w:p>
        </w:tc>
        <w:tc>
          <w:tcPr>
            <w:tcW w:w="413" w:type="dxa"/>
            <w:tcBorders>
              <w:left w:val="nil"/>
              <w:right w:val="nil"/>
            </w:tcBorders>
            <w:shd w:val="clear" w:color="auto" w:fill="A6A6A6" w:themeFill="background1" w:themeFillShade="A6"/>
            <w:vAlign w:val="center"/>
          </w:tcPr>
          <w:p w14:paraId="0295EB9A" w14:textId="77777777" w:rsidR="00CA7D42" w:rsidRPr="00783DB9"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4C7C30C3"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53677D10" w14:textId="77777777" w:rsidR="00CA7D42" w:rsidRPr="00216C95" w:rsidRDefault="00CA7D42" w:rsidP="00CC67B8">
            <w:pPr>
              <w:pStyle w:val="Tabletext"/>
              <w:jc w:val="center"/>
            </w:pPr>
          </w:p>
        </w:tc>
      </w:tr>
      <w:tr w:rsidR="007A65D0" w:rsidRPr="00216C95" w14:paraId="30AFE5C3"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8380FFD" w14:textId="77777777" w:rsidR="00CA7D42" w:rsidRPr="00216C95" w:rsidRDefault="00CA7D42" w:rsidP="00CC67B8">
            <w:pPr>
              <w:pStyle w:val="Tabletext"/>
            </w:pPr>
            <w:r w:rsidRPr="00216C95">
              <w:t>20</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79CA3639" w14:textId="77777777" w:rsidR="00CA7D42" w:rsidRPr="00216C95" w:rsidRDefault="00CA7D42" w:rsidP="00CC67B8">
            <w:pPr>
              <w:pStyle w:val="Tabletext"/>
            </w:pPr>
            <w:r w:rsidRPr="00216C95">
              <w:t xml:space="preserve">Average annual hours worked per person employed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D8F1653"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5586477" w14:textId="77777777" w:rsidR="00CA7D42" w:rsidRPr="00216C95" w:rsidRDefault="00CA7D42" w:rsidP="00CC67B8">
            <w:pPr>
              <w:pStyle w:val="Tabletext"/>
              <w:jc w:val="center"/>
            </w:pPr>
            <w:r w:rsidRPr="000F2893">
              <w:t>1,668</w:t>
            </w:r>
          </w:p>
        </w:tc>
        <w:tc>
          <w:tcPr>
            <w:tcW w:w="72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B12FBCD" w14:textId="77777777" w:rsidR="00CA7D42" w:rsidRPr="00B03213" w:rsidRDefault="00CA7D42" w:rsidP="00CC67B8">
            <w:pPr>
              <w:pStyle w:val="Tabletext"/>
              <w:jc w:val="center"/>
            </w:pPr>
            <w:r w:rsidRPr="00B03213">
              <w:t>1.7</w:t>
            </w:r>
          </w:p>
        </w:tc>
        <w:tc>
          <w:tcPr>
            <w:tcW w:w="589"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252C7C1" w14:textId="77777777" w:rsidR="00CA7D42" w:rsidRPr="00B03213" w:rsidRDefault="00CA7D42" w:rsidP="00CC67B8">
            <w:pPr>
              <w:pStyle w:val="Tabletext"/>
              <w:jc w:val="center"/>
            </w:pPr>
            <w:r w:rsidRPr="00B03213">
              <w:t>0.0</w:t>
            </w:r>
          </w:p>
        </w:tc>
        <w:tc>
          <w:tcPr>
            <w:tcW w:w="673" w:type="dxa"/>
            <w:tcBorders>
              <w:top w:val="single" w:sz="4" w:space="0" w:color="FFFFFF" w:themeColor="background1"/>
              <w:left w:val="nil"/>
              <w:bottom w:val="single" w:sz="4" w:space="0" w:color="FFFFFF" w:themeColor="background1"/>
              <w:right w:val="nil"/>
            </w:tcBorders>
            <w:shd w:val="clear" w:color="000000" w:fill="D9D9D9"/>
            <w:vAlign w:val="center"/>
          </w:tcPr>
          <w:p w14:paraId="1CC6209D" w14:textId="77777777" w:rsidR="00CA7D42" w:rsidRPr="00B03213" w:rsidRDefault="00CA7D42" w:rsidP="00CC67B8">
            <w:pPr>
              <w:pStyle w:val="Tabletext"/>
              <w:jc w:val="center"/>
            </w:pPr>
            <w:r w:rsidRPr="00B03213">
              <w:t>0.0</w:t>
            </w:r>
          </w:p>
        </w:tc>
        <w:tc>
          <w:tcPr>
            <w:tcW w:w="413" w:type="dxa"/>
            <w:tcBorders>
              <w:left w:val="nil"/>
              <w:right w:val="nil"/>
            </w:tcBorders>
            <w:shd w:val="clear" w:color="auto" w:fill="A6A6A6" w:themeFill="background1" w:themeFillShade="A6"/>
            <w:vAlign w:val="center"/>
          </w:tcPr>
          <w:p w14:paraId="77DDF748"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1964739A"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3DB3AAE5" w14:textId="77777777" w:rsidR="00CA7D42" w:rsidRPr="00216C95" w:rsidRDefault="00CA7D42" w:rsidP="00CC67B8">
            <w:pPr>
              <w:pStyle w:val="Tabletext"/>
              <w:jc w:val="center"/>
            </w:pPr>
          </w:p>
        </w:tc>
      </w:tr>
      <w:tr w:rsidR="007A65D0" w:rsidRPr="00216C95" w14:paraId="44D7F183"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670E4A1F" w14:textId="77777777" w:rsidR="00CA7D42" w:rsidRPr="00216C95" w:rsidRDefault="00CA7D42" w:rsidP="00CC67B8">
            <w:pPr>
              <w:pStyle w:val="Tabletext"/>
            </w:pPr>
            <w:r w:rsidRPr="00216C95">
              <w:t>21</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A3E70C3" w14:textId="77777777" w:rsidR="00CA7D42" w:rsidRPr="00216C95" w:rsidRDefault="00CA7D42" w:rsidP="00CC67B8">
            <w:pPr>
              <w:pStyle w:val="Tabletext"/>
            </w:pPr>
            <w:r w:rsidRPr="00216C95">
              <w:t xml:space="preserve">Real GDP per person employed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878B917"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A616F71"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6FCEB7C" w14:textId="77777777" w:rsidR="00CA7D42" w:rsidRPr="00216C95" w:rsidRDefault="00CA7D42" w:rsidP="00CC67B8">
            <w:pPr>
              <w:pStyle w:val="Tabletext"/>
              <w:jc w:val="center"/>
            </w:pPr>
            <w:r w:rsidRPr="000F2893">
              <w:t>1.6</w:t>
            </w:r>
          </w:p>
        </w:tc>
        <w:tc>
          <w:tcPr>
            <w:tcW w:w="589"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FE2DF0B" w14:textId="77777777" w:rsidR="00CA7D42" w:rsidRPr="00216C95" w:rsidRDefault="00CA7D42" w:rsidP="00CC67B8">
            <w:pPr>
              <w:pStyle w:val="Tabletext"/>
              <w:jc w:val="center"/>
            </w:pPr>
            <w:r w:rsidRPr="000F2893">
              <w:t>1.2</w:t>
            </w:r>
          </w:p>
        </w:tc>
        <w:tc>
          <w:tcPr>
            <w:tcW w:w="673" w:type="dxa"/>
            <w:tcBorders>
              <w:top w:val="single" w:sz="4" w:space="0" w:color="FFFFFF" w:themeColor="background1"/>
              <w:left w:val="nil"/>
              <w:bottom w:val="single" w:sz="4" w:space="0" w:color="FFFFFF" w:themeColor="background1"/>
              <w:right w:val="nil"/>
            </w:tcBorders>
            <w:shd w:val="clear" w:color="000000" w:fill="F2F2F2"/>
            <w:vAlign w:val="center"/>
          </w:tcPr>
          <w:p w14:paraId="7D939185" w14:textId="77777777" w:rsidR="00CA7D42" w:rsidRPr="00216C95" w:rsidRDefault="00CA7D42" w:rsidP="00CC67B8">
            <w:pPr>
              <w:pStyle w:val="Tabletext"/>
              <w:jc w:val="center"/>
            </w:pPr>
            <w:r w:rsidRPr="000F2893">
              <w:t>1.5</w:t>
            </w:r>
          </w:p>
        </w:tc>
        <w:tc>
          <w:tcPr>
            <w:tcW w:w="413" w:type="dxa"/>
            <w:tcBorders>
              <w:left w:val="nil"/>
              <w:right w:val="nil"/>
            </w:tcBorders>
            <w:shd w:val="clear" w:color="auto" w:fill="A6A6A6" w:themeFill="background1" w:themeFillShade="A6"/>
            <w:vAlign w:val="center"/>
          </w:tcPr>
          <w:p w14:paraId="21428412"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0FD1579F"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6D1B2143" w14:textId="77777777" w:rsidR="00CA7D42" w:rsidRPr="00216C95" w:rsidRDefault="00CA7D42" w:rsidP="00CC67B8">
            <w:pPr>
              <w:pStyle w:val="Tabletext"/>
              <w:jc w:val="center"/>
            </w:pPr>
          </w:p>
        </w:tc>
      </w:tr>
      <w:tr w:rsidR="007A65D0" w:rsidRPr="00216C95" w14:paraId="78BBD4F3"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2B591744" w14:textId="77777777" w:rsidR="00CA7D42" w:rsidRPr="00216C95" w:rsidRDefault="00CA7D42" w:rsidP="00CC67B8">
            <w:pPr>
              <w:pStyle w:val="Tabletext"/>
            </w:pPr>
            <w:r w:rsidRPr="00216C95">
              <w:t>22</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3DE5C07" w14:textId="77777777" w:rsidR="00CA7D42" w:rsidRPr="00216C95" w:rsidRDefault="00CA7D42" w:rsidP="00CC67B8">
            <w:pPr>
              <w:pStyle w:val="Tabletext"/>
            </w:pPr>
            <w:r w:rsidRPr="00216C95">
              <w:t xml:space="preserve">Real GDP per hour worked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47D4797"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5305DE5"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B8F0591" w14:textId="4CC44F04" w:rsidR="00CA7D42" w:rsidRPr="00216C95" w:rsidRDefault="00E3349B" w:rsidP="00CC67B8">
            <w:pPr>
              <w:pStyle w:val="Tabletext"/>
              <w:jc w:val="center"/>
            </w:pPr>
            <w:r>
              <w:t>-</w:t>
            </w:r>
            <w:r w:rsidR="00CA7D42" w:rsidRPr="000F2893">
              <w:t>0.</w:t>
            </w:r>
            <w:r>
              <w:t>1</w:t>
            </w:r>
          </w:p>
        </w:tc>
        <w:tc>
          <w:tcPr>
            <w:tcW w:w="589"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8D54A52" w14:textId="2218392D" w:rsidR="00CA7D42" w:rsidRPr="00216C95" w:rsidRDefault="00E3349B" w:rsidP="00CC67B8">
            <w:pPr>
              <w:pStyle w:val="Tabletext"/>
              <w:jc w:val="center"/>
            </w:pPr>
            <w:r>
              <w:t>1</w:t>
            </w:r>
            <w:r w:rsidR="00CA7D42" w:rsidRPr="000F2893">
              <w:t>.2</w:t>
            </w:r>
          </w:p>
        </w:tc>
        <w:tc>
          <w:tcPr>
            <w:tcW w:w="673" w:type="dxa"/>
            <w:tcBorders>
              <w:top w:val="single" w:sz="4" w:space="0" w:color="FFFFFF" w:themeColor="background1"/>
              <w:left w:val="nil"/>
              <w:bottom w:val="single" w:sz="4" w:space="0" w:color="FFFFFF" w:themeColor="background1"/>
              <w:right w:val="nil"/>
            </w:tcBorders>
            <w:shd w:val="clear" w:color="000000" w:fill="D9D9D9"/>
            <w:vAlign w:val="center"/>
          </w:tcPr>
          <w:p w14:paraId="7990D991" w14:textId="05553936" w:rsidR="00CA7D42" w:rsidRPr="00216C95" w:rsidRDefault="00E3349B" w:rsidP="00CC67B8">
            <w:pPr>
              <w:pStyle w:val="Tabletext"/>
              <w:jc w:val="center"/>
            </w:pPr>
            <w:r>
              <w:t>1</w:t>
            </w:r>
            <w:r w:rsidR="00CA7D42" w:rsidRPr="000F2893">
              <w:t>.</w:t>
            </w:r>
            <w:r>
              <w:t>5</w:t>
            </w:r>
          </w:p>
        </w:tc>
        <w:tc>
          <w:tcPr>
            <w:tcW w:w="413" w:type="dxa"/>
            <w:tcBorders>
              <w:left w:val="nil"/>
              <w:right w:val="nil"/>
            </w:tcBorders>
            <w:shd w:val="clear" w:color="auto" w:fill="A6A6A6" w:themeFill="background1" w:themeFillShade="A6"/>
            <w:vAlign w:val="center"/>
          </w:tcPr>
          <w:p w14:paraId="44F78F34"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683D9DB9"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1ED8A843" w14:textId="77777777" w:rsidR="00CA7D42" w:rsidRPr="00216C95" w:rsidRDefault="00CA7D42" w:rsidP="00CC67B8">
            <w:pPr>
              <w:pStyle w:val="Tabletext"/>
              <w:jc w:val="center"/>
            </w:pPr>
          </w:p>
        </w:tc>
      </w:tr>
      <w:tr w:rsidR="007A65D0" w:rsidRPr="00216C95" w14:paraId="5435E17E"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8E55A79" w14:textId="77777777" w:rsidR="00CA7D42" w:rsidRPr="00216C95" w:rsidRDefault="00CA7D42" w:rsidP="00CC67B8">
            <w:pPr>
              <w:pStyle w:val="Tabletext"/>
            </w:pPr>
            <w:r w:rsidRPr="00216C95">
              <w:t>23</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1CCB8E2" w14:textId="508B3BE5" w:rsidR="00CA7D42" w:rsidRPr="00C25362" w:rsidRDefault="00CA7D42" w:rsidP="00CC67B8">
            <w:pPr>
              <w:pStyle w:val="Tabletext"/>
              <w:rPr>
                <w:lang w:val="el-GR"/>
              </w:rPr>
            </w:pPr>
            <w:r w:rsidRPr="00216C95">
              <w:t xml:space="preserve">Compensation of employees </w:t>
            </w:r>
            <w:r w:rsidR="00FB0F4B">
              <w:br/>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5DDA9A4"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3C1D604" w14:textId="77777777" w:rsidR="00CA7D42" w:rsidRPr="00216C95" w:rsidRDefault="00CA7D42" w:rsidP="00CC67B8">
            <w:pPr>
              <w:pStyle w:val="Tabletext"/>
              <w:jc w:val="center"/>
            </w:pPr>
            <w:r w:rsidRPr="000F2893">
              <w:t>76,423</w:t>
            </w:r>
          </w:p>
        </w:tc>
        <w:tc>
          <w:tcPr>
            <w:tcW w:w="72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E3C1E56" w14:textId="77777777" w:rsidR="00CA7D42" w:rsidRPr="00216C95" w:rsidRDefault="00CA7D42" w:rsidP="00CC67B8">
            <w:pPr>
              <w:pStyle w:val="Tabletext"/>
              <w:jc w:val="center"/>
            </w:pPr>
            <w:r w:rsidRPr="000F2893">
              <w:t>6.0</w:t>
            </w:r>
          </w:p>
        </w:tc>
        <w:tc>
          <w:tcPr>
            <w:tcW w:w="589"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3649CA3" w14:textId="77777777" w:rsidR="00CA7D42" w:rsidRPr="00216C95" w:rsidRDefault="00CA7D42" w:rsidP="00CC67B8">
            <w:pPr>
              <w:pStyle w:val="Tabletext"/>
              <w:jc w:val="center"/>
            </w:pPr>
            <w:r w:rsidRPr="000F2893">
              <w:t>5.2</w:t>
            </w:r>
          </w:p>
        </w:tc>
        <w:tc>
          <w:tcPr>
            <w:tcW w:w="673" w:type="dxa"/>
            <w:tcBorders>
              <w:top w:val="single" w:sz="4" w:space="0" w:color="FFFFFF" w:themeColor="background1"/>
              <w:left w:val="nil"/>
              <w:bottom w:val="single" w:sz="4" w:space="0" w:color="FFFFFF" w:themeColor="background1"/>
              <w:right w:val="nil"/>
            </w:tcBorders>
            <w:shd w:val="clear" w:color="000000" w:fill="F2F2F2"/>
            <w:vAlign w:val="center"/>
          </w:tcPr>
          <w:p w14:paraId="55D9F96C" w14:textId="77777777" w:rsidR="00CA7D42" w:rsidRPr="00216C95" w:rsidRDefault="00CA7D42" w:rsidP="00CC67B8">
            <w:pPr>
              <w:pStyle w:val="Tabletext"/>
              <w:jc w:val="center"/>
            </w:pPr>
            <w:r w:rsidRPr="000F2893">
              <w:t>3.4</w:t>
            </w:r>
          </w:p>
        </w:tc>
        <w:tc>
          <w:tcPr>
            <w:tcW w:w="413" w:type="dxa"/>
            <w:tcBorders>
              <w:left w:val="nil"/>
              <w:right w:val="nil"/>
            </w:tcBorders>
            <w:shd w:val="clear" w:color="auto" w:fill="A6A6A6" w:themeFill="background1" w:themeFillShade="A6"/>
            <w:vAlign w:val="center"/>
          </w:tcPr>
          <w:p w14:paraId="264286C4"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6138E192"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5E328C1B" w14:textId="77777777" w:rsidR="00CA7D42" w:rsidRPr="00216C95" w:rsidRDefault="00CA7D42" w:rsidP="00CC67B8">
            <w:pPr>
              <w:pStyle w:val="Tabletext"/>
              <w:jc w:val="center"/>
            </w:pPr>
          </w:p>
        </w:tc>
      </w:tr>
      <w:tr w:rsidR="007A65D0" w:rsidRPr="00216C95" w14:paraId="0CD6AF1C"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2187804" w14:textId="77777777" w:rsidR="00CA7D42" w:rsidRPr="00216C95" w:rsidRDefault="00CA7D42" w:rsidP="00CC67B8">
            <w:pPr>
              <w:pStyle w:val="Tabletext"/>
            </w:pPr>
            <w:r w:rsidRPr="00216C95">
              <w:t>24</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FC0F1BD" w14:textId="51C0995F" w:rsidR="00CA7D42" w:rsidRPr="00216C95" w:rsidRDefault="00CA7D42" w:rsidP="00CC67B8">
            <w:pPr>
              <w:pStyle w:val="Tabletext"/>
            </w:pPr>
            <w:r w:rsidRPr="00216C95">
              <w:t xml:space="preserve">Compensation per employee </w:t>
            </w:r>
            <w:r w:rsidR="00FB0F4B">
              <w:br/>
            </w:r>
            <w:r w:rsidRPr="00216C95">
              <w:t xml:space="preserve">(= 23/ 19)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806DA04"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9E6BD1F" w14:textId="77777777" w:rsidR="00CA7D42" w:rsidRPr="00216C95" w:rsidRDefault="00CA7D42" w:rsidP="00CC67B8">
            <w:pPr>
              <w:pStyle w:val="Tabletext"/>
              <w:jc w:val="center"/>
            </w:pPr>
            <w:r w:rsidRPr="000F2893">
              <w:t>21,810</w:t>
            </w:r>
          </w:p>
        </w:tc>
        <w:tc>
          <w:tcPr>
            <w:tcW w:w="72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43F216CB" w14:textId="77777777" w:rsidR="00CA7D42" w:rsidRPr="00216C95" w:rsidRDefault="00CA7D42" w:rsidP="00CC67B8">
            <w:pPr>
              <w:pStyle w:val="Tabletext"/>
              <w:jc w:val="center"/>
            </w:pPr>
            <w:r w:rsidRPr="000F2893">
              <w:t>5.6</w:t>
            </w:r>
          </w:p>
        </w:tc>
        <w:tc>
          <w:tcPr>
            <w:tcW w:w="589"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9613CFE" w14:textId="77777777" w:rsidR="00CA7D42" w:rsidRPr="00216C95" w:rsidRDefault="00CA7D42" w:rsidP="00CC67B8">
            <w:pPr>
              <w:pStyle w:val="Tabletext"/>
              <w:jc w:val="center"/>
            </w:pPr>
            <w:r w:rsidRPr="000F2893">
              <w:t>4.3</w:t>
            </w:r>
          </w:p>
        </w:tc>
        <w:tc>
          <w:tcPr>
            <w:tcW w:w="673" w:type="dxa"/>
            <w:tcBorders>
              <w:top w:val="single" w:sz="4" w:space="0" w:color="FFFFFF" w:themeColor="background1"/>
              <w:left w:val="nil"/>
              <w:bottom w:val="single" w:sz="4" w:space="0" w:color="FFFFFF" w:themeColor="background1"/>
              <w:right w:val="nil"/>
            </w:tcBorders>
            <w:shd w:val="clear" w:color="000000" w:fill="D9D9D9"/>
            <w:vAlign w:val="center"/>
          </w:tcPr>
          <w:p w14:paraId="626DAE8B" w14:textId="77777777" w:rsidR="00CA7D42" w:rsidRPr="00216C95" w:rsidRDefault="00CA7D42" w:rsidP="00CC67B8">
            <w:pPr>
              <w:pStyle w:val="Tabletext"/>
              <w:jc w:val="center"/>
            </w:pPr>
            <w:r w:rsidRPr="000F2893">
              <w:t>2.7</w:t>
            </w:r>
          </w:p>
        </w:tc>
        <w:tc>
          <w:tcPr>
            <w:tcW w:w="413" w:type="dxa"/>
            <w:tcBorders>
              <w:left w:val="nil"/>
              <w:right w:val="nil"/>
            </w:tcBorders>
            <w:shd w:val="clear" w:color="auto" w:fill="A6A6A6" w:themeFill="background1" w:themeFillShade="A6"/>
            <w:vAlign w:val="center"/>
          </w:tcPr>
          <w:p w14:paraId="24CDF545" w14:textId="77777777" w:rsidR="00CA7D42" w:rsidRPr="00216C95" w:rsidRDefault="00CA7D42" w:rsidP="00CC67B8">
            <w:pPr>
              <w:pStyle w:val="Tabletext"/>
              <w:jc w:val="center"/>
            </w:pPr>
          </w:p>
        </w:tc>
        <w:tc>
          <w:tcPr>
            <w:tcW w:w="543" w:type="dxa"/>
            <w:gridSpan w:val="2"/>
            <w:tcBorders>
              <w:left w:val="nil"/>
              <w:right w:val="nil"/>
            </w:tcBorders>
            <w:shd w:val="clear" w:color="auto" w:fill="A6A6A6" w:themeFill="background1" w:themeFillShade="A6"/>
            <w:vAlign w:val="center"/>
          </w:tcPr>
          <w:p w14:paraId="0C472BB1" w14:textId="77777777" w:rsidR="00CA7D42" w:rsidRPr="00216C95" w:rsidRDefault="00CA7D42" w:rsidP="00CC67B8">
            <w:pPr>
              <w:pStyle w:val="Tabletext"/>
              <w:jc w:val="center"/>
            </w:pPr>
          </w:p>
        </w:tc>
        <w:tc>
          <w:tcPr>
            <w:tcW w:w="544" w:type="dxa"/>
            <w:gridSpan w:val="2"/>
            <w:tcBorders>
              <w:left w:val="nil"/>
              <w:right w:val="nil"/>
            </w:tcBorders>
            <w:shd w:val="clear" w:color="auto" w:fill="A6A6A6" w:themeFill="background1" w:themeFillShade="A6"/>
            <w:vAlign w:val="center"/>
          </w:tcPr>
          <w:p w14:paraId="2163CDB0" w14:textId="77777777" w:rsidR="00CA7D42" w:rsidRPr="00216C95" w:rsidRDefault="00CA7D42" w:rsidP="00CC67B8">
            <w:pPr>
              <w:pStyle w:val="Tabletext"/>
              <w:jc w:val="center"/>
            </w:pPr>
          </w:p>
        </w:tc>
      </w:tr>
      <w:tr w:rsidR="00CA7D42" w:rsidRPr="00216C95" w14:paraId="4476661C"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2308744E" w14:textId="77777777" w:rsidR="00CA7D42" w:rsidRPr="00216C95" w:rsidRDefault="00CA7D42" w:rsidP="00CC67B8">
            <w:pPr>
              <w:pStyle w:val="Tabletext"/>
            </w:pPr>
            <w:r w:rsidRPr="00216C95">
              <w:t> </w:t>
            </w:r>
          </w:p>
        </w:tc>
        <w:tc>
          <w:tcPr>
            <w:tcW w:w="3390"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1662917B" w14:textId="77777777" w:rsidR="00CA7D42" w:rsidRPr="00216C95" w:rsidRDefault="00CA7D42" w:rsidP="00CC67B8">
            <w:pPr>
              <w:pStyle w:val="Tabletext"/>
            </w:pPr>
            <w:r w:rsidRPr="00216C95">
              <w:t> </w:t>
            </w:r>
          </w:p>
        </w:tc>
        <w:tc>
          <w:tcPr>
            <w:tcW w:w="765"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5E73D78D"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1D211B16" w14:textId="77777777" w:rsidR="00CA7D42" w:rsidRPr="00216C95" w:rsidRDefault="00CA7D42" w:rsidP="00CC67B8">
            <w:pPr>
              <w:pStyle w:val="Tabletext"/>
              <w:jc w:val="center"/>
            </w:pPr>
          </w:p>
        </w:tc>
        <w:tc>
          <w:tcPr>
            <w:tcW w:w="3482" w:type="dxa"/>
            <w:gridSpan w:val="8"/>
            <w:tcBorders>
              <w:top w:val="single" w:sz="4" w:space="0" w:color="FFFFFF" w:themeColor="background1"/>
              <w:left w:val="nil"/>
              <w:bottom w:val="single" w:sz="4" w:space="0" w:color="FFFFFF" w:themeColor="background1"/>
              <w:right w:val="nil"/>
            </w:tcBorders>
            <w:shd w:val="clear" w:color="000000" w:fill="BFBFBF"/>
            <w:vAlign w:val="center"/>
            <w:hideMark/>
          </w:tcPr>
          <w:p w14:paraId="1A18CCD2" w14:textId="77777777" w:rsidR="00CA7D42" w:rsidRPr="009149CD" w:rsidRDefault="00CA7D42" w:rsidP="00CC67B8">
            <w:pPr>
              <w:pStyle w:val="Tabletext"/>
              <w:jc w:val="center"/>
              <w:rPr>
                <w:b/>
              </w:rPr>
            </w:pPr>
            <w:r w:rsidRPr="009149CD">
              <w:rPr>
                <w:b/>
              </w:rPr>
              <w:t>%</w:t>
            </w:r>
          </w:p>
        </w:tc>
      </w:tr>
      <w:tr w:rsidR="007A65D0" w:rsidRPr="00216C95" w14:paraId="30397B2D" w14:textId="77777777" w:rsidTr="00E77D7E">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D382780" w14:textId="77777777" w:rsidR="00CA7D42" w:rsidRPr="00216C95" w:rsidRDefault="00CA7D42" w:rsidP="00CC67B8">
            <w:pPr>
              <w:pStyle w:val="Tabletext"/>
            </w:pPr>
            <w:r w:rsidRPr="00216C95">
              <w:t>25</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E501F7C" w14:textId="77777777" w:rsidR="00CA7D42" w:rsidRPr="00216C95" w:rsidRDefault="00CA7D42" w:rsidP="00CC67B8">
            <w:pPr>
              <w:pStyle w:val="Tabletext"/>
            </w:pPr>
            <w:r w:rsidRPr="00216C95">
              <w:t xml:space="preserve">Unemployment rate (%)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2D4A48D"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52B97A28"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0902E91" w14:textId="77777777" w:rsidR="00CA7D42" w:rsidRPr="00216C95" w:rsidRDefault="00CA7D42" w:rsidP="00CC67B8">
            <w:pPr>
              <w:pStyle w:val="Tabletext"/>
              <w:jc w:val="center"/>
            </w:pPr>
            <w:r w:rsidRPr="00216C95">
              <w:t>11.1</w:t>
            </w:r>
          </w:p>
        </w:tc>
        <w:tc>
          <w:tcPr>
            <w:tcW w:w="589"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65748F1" w14:textId="77777777" w:rsidR="00CA7D42" w:rsidRPr="00216C95" w:rsidRDefault="00CA7D42" w:rsidP="00CC67B8">
            <w:pPr>
              <w:pStyle w:val="Tabletext"/>
              <w:jc w:val="center"/>
            </w:pPr>
            <w:r w:rsidRPr="00216C95">
              <w:t>10.3</w:t>
            </w:r>
          </w:p>
        </w:tc>
        <w:tc>
          <w:tcPr>
            <w:tcW w:w="673"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D961E56" w14:textId="77777777" w:rsidR="00CA7D42" w:rsidRPr="00216C95" w:rsidRDefault="00CA7D42" w:rsidP="00CC67B8">
            <w:pPr>
              <w:pStyle w:val="Tabletext"/>
              <w:jc w:val="center"/>
            </w:pPr>
            <w:r>
              <w:t>9.7</w:t>
            </w:r>
          </w:p>
        </w:tc>
        <w:tc>
          <w:tcPr>
            <w:tcW w:w="413" w:type="dxa"/>
            <w:tcBorders>
              <w:top w:val="single" w:sz="4" w:space="0" w:color="FFFFFF" w:themeColor="background1"/>
              <w:left w:val="nil"/>
              <w:bottom w:val="single" w:sz="4" w:space="0" w:color="FFFFFF" w:themeColor="background1"/>
              <w:right w:val="nil"/>
            </w:tcBorders>
            <w:shd w:val="clear" w:color="auto" w:fill="A6A6A6" w:themeFill="background1" w:themeFillShade="A6"/>
            <w:vAlign w:val="center"/>
          </w:tcPr>
          <w:p w14:paraId="0316D2D1" w14:textId="77777777" w:rsidR="00CA7D42" w:rsidRPr="00216C95" w:rsidRDefault="00CA7D42" w:rsidP="00CC67B8">
            <w:pPr>
              <w:pStyle w:val="Tabletext"/>
              <w:jc w:val="center"/>
            </w:pPr>
          </w:p>
        </w:tc>
        <w:tc>
          <w:tcPr>
            <w:tcW w:w="543" w:type="dxa"/>
            <w:gridSpan w:val="2"/>
            <w:tcBorders>
              <w:top w:val="single" w:sz="4" w:space="0" w:color="FFFFFF" w:themeColor="background1"/>
              <w:left w:val="nil"/>
              <w:bottom w:val="single" w:sz="4" w:space="0" w:color="FFFFFF" w:themeColor="background1"/>
              <w:right w:val="nil"/>
            </w:tcBorders>
            <w:shd w:val="clear" w:color="auto" w:fill="A6A6A6" w:themeFill="background1" w:themeFillShade="A6"/>
            <w:vAlign w:val="center"/>
          </w:tcPr>
          <w:p w14:paraId="1DA23BEC" w14:textId="77777777" w:rsidR="00CA7D42" w:rsidRPr="00216C95" w:rsidRDefault="00CA7D42" w:rsidP="00CC67B8">
            <w:pPr>
              <w:pStyle w:val="Tabletext"/>
              <w:jc w:val="center"/>
            </w:pPr>
          </w:p>
        </w:tc>
        <w:tc>
          <w:tcPr>
            <w:tcW w:w="544" w:type="dxa"/>
            <w:gridSpan w:val="2"/>
            <w:tcBorders>
              <w:top w:val="single" w:sz="4" w:space="0" w:color="FFFFFF" w:themeColor="background1"/>
              <w:left w:val="nil"/>
              <w:bottom w:val="single" w:sz="4" w:space="0" w:color="FFFFFF" w:themeColor="background1"/>
              <w:right w:val="nil"/>
            </w:tcBorders>
            <w:shd w:val="clear" w:color="auto" w:fill="A6A6A6" w:themeFill="background1" w:themeFillShade="A6"/>
            <w:vAlign w:val="center"/>
          </w:tcPr>
          <w:p w14:paraId="73E195B7" w14:textId="77777777" w:rsidR="00CA7D42" w:rsidRPr="00216C95" w:rsidRDefault="00CA7D42" w:rsidP="00CC67B8">
            <w:pPr>
              <w:pStyle w:val="Tabletext"/>
              <w:jc w:val="center"/>
            </w:pPr>
          </w:p>
        </w:tc>
      </w:tr>
      <w:tr w:rsidR="00CA7D42" w:rsidRPr="00820BC3" w14:paraId="61BC1213"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28374431" w14:textId="77777777" w:rsidR="00CA7D42" w:rsidRPr="00820BC3" w:rsidRDefault="00CA7D42" w:rsidP="00CC67B8">
            <w:pPr>
              <w:pStyle w:val="Tabletext"/>
              <w:rPr>
                <w:b/>
              </w:rPr>
            </w:pPr>
            <w:r w:rsidRPr="00820BC3">
              <w:rPr>
                <w:b/>
              </w:rPr>
              <w:t> </w:t>
            </w:r>
          </w:p>
        </w:tc>
        <w:tc>
          <w:tcPr>
            <w:tcW w:w="3390"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6B3FD348" w14:textId="77777777" w:rsidR="00CA7D42" w:rsidRPr="00820BC3" w:rsidRDefault="00CA7D42" w:rsidP="00CC67B8">
            <w:pPr>
              <w:pStyle w:val="Tabletext"/>
              <w:rPr>
                <w:b/>
              </w:rPr>
            </w:pPr>
            <w:r w:rsidRPr="00820BC3">
              <w:rPr>
                <w:b/>
              </w:rPr>
              <w:t xml:space="preserve">Potential GDP and components </w:t>
            </w:r>
          </w:p>
        </w:tc>
        <w:tc>
          <w:tcPr>
            <w:tcW w:w="765"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0A9955F0" w14:textId="77777777" w:rsidR="00CA7D42" w:rsidRPr="00820BC3" w:rsidRDefault="00CA7D42" w:rsidP="00CC67B8">
            <w:pPr>
              <w:pStyle w:val="Tabletext"/>
              <w:rPr>
                <w:b/>
              </w:rPr>
            </w:pPr>
            <w:r w:rsidRPr="00820BC3">
              <w:rPr>
                <w:b/>
              </w:rPr>
              <w:t> </w:t>
            </w:r>
          </w:p>
        </w:tc>
        <w:tc>
          <w:tcPr>
            <w:tcW w:w="801" w:type="dxa"/>
            <w:tcBorders>
              <w:top w:val="single" w:sz="4" w:space="0" w:color="FFFFFF" w:themeColor="background1"/>
              <w:left w:val="nil"/>
              <w:bottom w:val="single" w:sz="4" w:space="0" w:color="FFFFFF" w:themeColor="background1"/>
              <w:right w:val="nil"/>
            </w:tcBorders>
            <w:shd w:val="clear" w:color="000000" w:fill="BFBFBF"/>
            <w:vAlign w:val="center"/>
            <w:hideMark/>
          </w:tcPr>
          <w:p w14:paraId="37829781" w14:textId="77777777" w:rsidR="00CA7D42" w:rsidRPr="00820BC3" w:rsidRDefault="00CA7D42" w:rsidP="00CC67B8">
            <w:pPr>
              <w:pStyle w:val="Tabletext"/>
              <w:jc w:val="center"/>
              <w:rPr>
                <w:b/>
              </w:rPr>
            </w:pPr>
          </w:p>
        </w:tc>
        <w:tc>
          <w:tcPr>
            <w:tcW w:w="3482" w:type="dxa"/>
            <w:gridSpan w:val="8"/>
            <w:tcBorders>
              <w:top w:val="single" w:sz="4" w:space="0" w:color="FFFFFF" w:themeColor="background1"/>
              <w:left w:val="nil"/>
              <w:bottom w:val="single" w:sz="4" w:space="0" w:color="FFFFFF" w:themeColor="background1"/>
              <w:right w:val="nil"/>
            </w:tcBorders>
            <w:shd w:val="clear" w:color="000000" w:fill="BFBFBF"/>
            <w:vAlign w:val="center"/>
            <w:hideMark/>
          </w:tcPr>
          <w:p w14:paraId="27FAF5FF" w14:textId="77777777" w:rsidR="00CA7D42" w:rsidRPr="00820BC3" w:rsidRDefault="00CA7D42" w:rsidP="00CC67B8">
            <w:pPr>
              <w:pStyle w:val="Tabletext"/>
              <w:jc w:val="center"/>
              <w:rPr>
                <w:b/>
              </w:rPr>
            </w:pPr>
            <w:r>
              <w:rPr>
                <w:b/>
              </w:rPr>
              <w:t>G</w:t>
            </w:r>
            <w:r w:rsidRPr="00820BC3">
              <w:rPr>
                <w:b/>
              </w:rPr>
              <w:t xml:space="preserve">rowth </w:t>
            </w:r>
            <w:r>
              <w:rPr>
                <w:b/>
              </w:rPr>
              <w:t>R</w:t>
            </w:r>
            <w:r w:rsidRPr="00820BC3">
              <w:rPr>
                <w:b/>
              </w:rPr>
              <w:t>ate</w:t>
            </w:r>
          </w:p>
        </w:tc>
      </w:tr>
      <w:tr w:rsidR="00CA7D42" w:rsidRPr="00216C95" w14:paraId="7D9E5285"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70E45F6" w14:textId="77777777" w:rsidR="00CA7D42" w:rsidRPr="00216C95" w:rsidRDefault="00CA7D42" w:rsidP="00CC67B8">
            <w:pPr>
              <w:pStyle w:val="Tabletext"/>
            </w:pPr>
            <w:r w:rsidRPr="00216C95">
              <w:t>26</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99EA6CA" w14:textId="77777777" w:rsidR="00CA7D42" w:rsidRPr="00216C95" w:rsidRDefault="00CA7D42" w:rsidP="00CC67B8">
            <w:pPr>
              <w:pStyle w:val="Tabletext"/>
            </w:pPr>
            <w:r w:rsidRPr="00216C95">
              <w:t xml:space="preserve">Potential GDP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6671649A"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72D6441"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136BD234" w14:textId="77777777" w:rsidR="00CA7D42" w:rsidRPr="00216C95" w:rsidRDefault="00CA7D42" w:rsidP="00CC67B8">
            <w:pPr>
              <w:pStyle w:val="Tabletext"/>
              <w:jc w:val="center"/>
            </w:pPr>
            <w:r w:rsidRPr="00475F6F">
              <w:t>0.6</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2A6BDE66" w14:textId="77777777" w:rsidR="00CA7D42" w:rsidRPr="00216C95" w:rsidRDefault="00CA7D42" w:rsidP="00CC67B8">
            <w:pPr>
              <w:pStyle w:val="Tabletext"/>
              <w:jc w:val="center"/>
            </w:pPr>
            <w:r w:rsidRPr="00475F6F">
              <w:t>1.2</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073FA9CD" w14:textId="77777777" w:rsidR="00CA7D42" w:rsidRPr="00216C95" w:rsidRDefault="00CA7D42" w:rsidP="00CC67B8">
            <w:pPr>
              <w:pStyle w:val="Tabletext"/>
              <w:jc w:val="center"/>
            </w:pPr>
            <w:r w:rsidRPr="00475F6F">
              <w:t>2.5</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3061E089" w14:textId="77777777" w:rsidR="00CA7D42" w:rsidRPr="00216C95" w:rsidRDefault="00CA7D42" w:rsidP="00CC67B8">
            <w:pPr>
              <w:pStyle w:val="Tabletext"/>
              <w:jc w:val="center"/>
            </w:pPr>
            <w:r w:rsidRPr="00475F6F">
              <w:t>2.4</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35EFB10D" w14:textId="77777777" w:rsidR="00CA7D42" w:rsidRPr="00216C95" w:rsidRDefault="00CA7D42" w:rsidP="00CC67B8">
            <w:pPr>
              <w:pStyle w:val="Tabletext"/>
              <w:jc w:val="center"/>
            </w:pPr>
            <w:r w:rsidRPr="00475F6F">
              <w:t>1.7</w:t>
            </w:r>
          </w:p>
        </w:tc>
        <w:tc>
          <w:tcPr>
            <w:tcW w:w="500" w:type="dxa"/>
            <w:tcBorders>
              <w:top w:val="single" w:sz="4" w:space="0" w:color="FFFFFF" w:themeColor="background1"/>
              <w:left w:val="nil"/>
              <w:bottom w:val="single" w:sz="4" w:space="0" w:color="FFFFFF" w:themeColor="background1"/>
              <w:right w:val="nil"/>
            </w:tcBorders>
            <w:shd w:val="clear" w:color="000000" w:fill="F2F2F2"/>
            <w:hideMark/>
          </w:tcPr>
          <w:p w14:paraId="47680BED" w14:textId="77777777" w:rsidR="00CA7D42" w:rsidRPr="00216C95" w:rsidRDefault="00CA7D42" w:rsidP="00CC67B8">
            <w:pPr>
              <w:pStyle w:val="Tabletext"/>
              <w:jc w:val="center"/>
            </w:pPr>
            <w:r w:rsidRPr="00475F6F">
              <w:t>1.5</w:t>
            </w:r>
          </w:p>
        </w:tc>
      </w:tr>
      <w:tr w:rsidR="00CA7D42" w:rsidRPr="003066DB" w14:paraId="6729614E"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DD0A6D6" w14:textId="77777777" w:rsidR="00CA7D42" w:rsidRPr="003066DB" w:rsidRDefault="00CA7D42" w:rsidP="00CC67B8">
            <w:pPr>
              <w:pStyle w:val="Tabletext"/>
              <w:rPr>
                <w:b/>
              </w:rPr>
            </w:pPr>
            <w:r w:rsidRPr="003066DB">
              <w:rPr>
                <w:b/>
              </w:rPr>
              <w:t> </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089D3696" w14:textId="77777777" w:rsidR="00CA7D42" w:rsidRPr="003066DB" w:rsidRDefault="00CA7D42" w:rsidP="00CC67B8">
            <w:pPr>
              <w:pStyle w:val="Tabletext"/>
              <w:rPr>
                <w:b/>
              </w:rPr>
            </w:pPr>
            <w:r w:rsidRPr="003066DB">
              <w:rPr>
                <w:b/>
              </w:rPr>
              <w:t xml:space="preserve">Contribution to potential growth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1243DFFA" w14:textId="77777777" w:rsidR="00CA7D42" w:rsidRPr="003066DB" w:rsidRDefault="00CA7D42" w:rsidP="00CC67B8">
            <w:pPr>
              <w:pStyle w:val="Tabletext"/>
              <w:rPr>
                <w:b/>
              </w:rPr>
            </w:pPr>
            <w:r w:rsidRPr="003066DB">
              <w:rPr>
                <w:b/>
              </w:rPr>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0F4383C" w14:textId="77777777" w:rsidR="00CA7D42" w:rsidRPr="003066DB" w:rsidRDefault="00CA7D42" w:rsidP="00CC67B8">
            <w:pPr>
              <w:pStyle w:val="Tabletext"/>
              <w:jc w:val="center"/>
              <w:rPr>
                <w:b/>
              </w:rP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441E3B66" w14:textId="77777777" w:rsidR="00CA7D42" w:rsidRPr="003066DB" w:rsidRDefault="00CA7D42" w:rsidP="00CC67B8">
            <w:pPr>
              <w:pStyle w:val="Tabletext"/>
              <w:jc w:val="center"/>
              <w:rPr>
                <w:b/>
              </w:rPr>
            </w:pP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56D99D95" w14:textId="77777777" w:rsidR="00CA7D42" w:rsidRPr="003066DB" w:rsidRDefault="00CA7D42" w:rsidP="00CC67B8">
            <w:pPr>
              <w:pStyle w:val="Tabletext"/>
              <w:jc w:val="center"/>
              <w:rPr>
                <w:b/>
              </w:rPr>
            </w:pPr>
          </w:p>
        </w:tc>
        <w:tc>
          <w:tcPr>
            <w:tcW w:w="673" w:type="dxa"/>
            <w:tcBorders>
              <w:top w:val="single" w:sz="4" w:space="0" w:color="FFFFFF" w:themeColor="background1"/>
              <w:left w:val="nil"/>
              <w:bottom w:val="single" w:sz="4" w:space="0" w:color="FFFFFF" w:themeColor="background1"/>
              <w:right w:val="nil"/>
            </w:tcBorders>
            <w:shd w:val="clear" w:color="000000" w:fill="D9D9D9"/>
            <w:hideMark/>
          </w:tcPr>
          <w:p w14:paraId="757F3BAF" w14:textId="77777777" w:rsidR="00CA7D42" w:rsidRPr="003066DB" w:rsidRDefault="00CA7D42" w:rsidP="00CC67B8">
            <w:pPr>
              <w:pStyle w:val="Tabletext"/>
              <w:jc w:val="center"/>
              <w:rPr>
                <w:b/>
              </w:rPr>
            </w:pPr>
          </w:p>
        </w:tc>
        <w:tc>
          <w:tcPr>
            <w:tcW w:w="500" w:type="dxa"/>
            <w:gridSpan w:val="2"/>
            <w:tcBorders>
              <w:top w:val="single" w:sz="4" w:space="0" w:color="FFFFFF" w:themeColor="background1"/>
              <w:left w:val="nil"/>
              <w:bottom w:val="single" w:sz="4" w:space="0" w:color="FFFFFF" w:themeColor="background1"/>
              <w:right w:val="nil"/>
            </w:tcBorders>
            <w:shd w:val="clear" w:color="000000" w:fill="D9D9D9"/>
            <w:hideMark/>
          </w:tcPr>
          <w:p w14:paraId="2D21B19F" w14:textId="77777777" w:rsidR="00CA7D42" w:rsidRPr="003066DB" w:rsidRDefault="00CA7D42" w:rsidP="00CC67B8">
            <w:pPr>
              <w:pStyle w:val="Tabletext"/>
              <w:jc w:val="center"/>
              <w:rPr>
                <w:b/>
              </w:rPr>
            </w:pPr>
          </w:p>
        </w:tc>
        <w:tc>
          <w:tcPr>
            <w:tcW w:w="500" w:type="dxa"/>
            <w:gridSpan w:val="2"/>
            <w:tcBorders>
              <w:top w:val="single" w:sz="4" w:space="0" w:color="FFFFFF" w:themeColor="background1"/>
              <w:left w:val="nil"/>
              <w:bottom w:val="single" w:sz="4" w:space="0" w:color="FFFFFF" w:themeColor="background1"/>
              <w:right w:val="nil"/>
            </w:tcBorders>
            <w:shd w:val="clear" w:color="000000" w:fill="D9D9D9"/>
            <w:hideMark/>
          </w:tcPr>
          <w:p w14:paraId="00A7DCC9" w14:textId="77777777" w:rsidR="00CA7D42" w:rsidRPr="003066DB" w:rsidRDefault="00CA7D42" w:rsidP="00CC67B8">
            <w:pPr>
              <w:pStyle w:val="Tabletext"/>
              <w:jc w:val="center"/>
              <w:rPr>
                <w:b/>
              </w:rPr>
            </w:pPr>
          </w:p>
        </w:tc>
        <w:tc>
          <w:tcPr>
            <w:tcW w:w="500" w:type="dxa"/>
            <w:tcBorders>
              <w:top w:val="single" w:sz="4" w:space="0" w:color="FFFFFF" w:themeColor="background1"/>
              <w:left w:val="nil"/>
              <w:bottom w:val="single" w:sz="4" w:space="0" w:color="FFFFFF" w:themeColor="background1"/>
              <w:right w:val="nil"/>
            </w:tcBorders>
            <w:shd w:val="clear" w:color="000000" w:fill="D9D9D9"/>
            <w:hideMark/>
          </w:tcPr>
          <w:p w14:paraId="42CDAB17" w14:textId="77777777" w:rsidR="00CA7D42" w:rsidRPr="003066DB" w:rsidRDefault="00CA7D42" w:rsidP="00CC67B8">
            <w:pPr>
              <w:pStyle w:val="Tabletext"/>
              <w:jc w:val="center"/>
              <w:rPr>
                <w:b/>
              </w:rPr>
            </w:pPr>
          </w:p>
        </w:tc>
      </w:tr>
      <w:tr w:rsidR="00CA7D42" w:rsidRPr="00216C95" w14:paraId="0571726E"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986CB5F" w14:textId="77777777" w:rsidR="00CA7D42" w:rsidRPr="00216C95" w:rsidRDefault="00CA7D42" w:rsidP="00CC67B8">
            <w:pPr>
              <w:pStyle w:val="Tabletext"/>
            </w:pPr>
            <w:r w:rsidRPr="00216C95">
              <w:t>27</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0334D3C8" w14:textId="77777777" w:rsidR="00CA7D42" w:rsidRPr="00216C95" w:rsidRDefault="00CA7D42" w:rsidP="00CC67B8">
            <w:pPr>
              <w:pStyle w:val="Tabletext"/>
            </w:pPr>
            <w:r w:rsidRPr="00216C95">
              <w:t xml:space="preserve">Labour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CAD5216"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4032D2D6"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78CF391A" w14:textId="77777777" w:rsidR="00CA7D42" w:rsidRPr="00216C95" w:rsidRDefault="00CA7D42" w:rsidP="00CC67B8">
            <w:pPr>
              <w:pStyle w:val="Tabletext"/>
              <w:jc w:val="center"/>
            </w:pPr>
            <w:r w:rsidRPr="00475F6F">
              <w:t>-0.3</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40CE80B9" w14:textId="77777777" w:rsidR="00CA7D42" w:rsidRPr="00216C95" w:rsidRDefault="00CA7D42" w:rsidP="00CC67B8">
            <w:pPr>
              <w:pStyle w:val="Tabletext"/>
              <w:jc w:val="center"/>
            </w:pPr>
            <w:r w:rsidRPr="00475F6F">
              <w:t>0.1</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4D2D10CC" w14:textId="77777777" w:rsidR="00CA7D42" w:rsidRPr="00216C95" w:rsidRDefault="00CA7D42" w:rsidP="00CC67B8">
            <w:pPr>
              <w:pStyle w:val="Tabletext"/>
              <w:jc w:val="center"/>
            </w:pPr>
            <w:r w:rsidRPr="00475F6F">
              <w:t>0.3</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54EA48E9" w14:textId="77777777" w:rsidR="00CA7D42" w:rsidRPr="00216C95" w:rsidRDefault="00CA7D42" w:rsidP="00CC67B8">
            <w:pPr>
              <w:pStyle w:val="Tabletext"/>
              <w:jc w:val="center"/>
            </w:pPr>
            <w:r w:rsidRPr="00475F6F">
              <w:t>0.3</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3AFBF494" w14:textId="77777777" w:rsidR="00CA7D42" w:rsidRPr="00216C95" w:rsidRDefault="00CA7D42" w:rsidP="00CC67B8">
            <w:pPr>
              <w:pStyle w:val="Tabletext"/>
              <w:jc w:val="center"/>
            </w:pPr>
            <w:r w:rsidRPr="00475F6F">
              <w:t>0.1</w:t>
            </w:r>
          </w:p>
        </w:tc>
        <w:tc>
          <w:tcPr>
            <w:tcW w:w="500" w:type="dxa"/>
            <w:tcBorders>
              <w:top w:val="single" w:sz="4" w:space="0" w:color="FFFFFF" w:themeColor="background1"/>
              <w:left w:val="nil"/>
              <w:bottom w:val="single" w:sz="4" w:space="0" w:color="FFFFFF" w:themeColor="background1"/>
              <w:right w:val="nil"/>
            </w:tcBorders>
            <w:shd w:val="clear" w:color="000000" w:fill="F2F2F2"/>
            <w:hideMark/>
          </w:tcPr>
          <w:p w14:paraId="6EE294C0" w14:textId="77777777" w:rsidR="00CA7D42" w:rsidRPr="00216C95" w:rsidRDefault="00CA7D42" w:rsidP="00CC67B8">
            <w:pPr>
              <w:pStyle w:val="Tabletext"/>
              <w:jc w:val="center"/>
            </w:pPr>
            <w:r w:rsidRPr="00475F6F">
              <w:t>0.0</w:t>
            </w:r>
          </w:p>
        </w:tc>
      </w:tr>
      <w:tr w:rsidR="00CA7D42" w:rsidRPr="00216C95" w14:paraId="0098BB01"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6C3F8FFE" w14:textId="77777777" w:rsidR="00CA7D42" w:rsidRPr="00216C95" w:rsidRDefault="00CA7D42" w:rsidP="00CC67B8">
            <w:pPr>
              <w:pStyle w:val="Tabletext"/>
            </w:pPr>
            <w:r w:rsidRPr="00216C95">
              <w:t>28</w:t>
            </w:r>
          </w:p>
        </w:tc>
        <w:tc>
          <w:tcPr>
            <w:tcW w:w="3390"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5D83FFA7" w14:textId="77777777" w:rsidR="00CA7D42" w:rsidRPr="00216C95" w:rsidRDefault="00CA7D42" w:rsidP="00CC67B8">
            <w:pPr>
              <w:pStyle w:val="Tabletext"/>
            </w:pPr>
            <w:r w:rsidRPr="00216C95">
              <w:t xml:space="preserve">Capital </w:t>
            </w:r>
          </w:p>
        </w:tc>
        <w:tc>
          <w:tcPr>
            <w:tcW w:w="765"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2BF39797"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D9D9D9"/>
            <w:vAlign w:val="center"/>
            <w:hideMark/>
          </w:tcPr>
          <w:p w14:paraId="3B0B413D"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D9D9D9"/>
            <w:hideMark/>
          </w:tcPr>
          <w:p w14:paraId="39D2A2A4" w14:textId="77777777" w:rsidR="00CA7D42" w:rsidRPr="00216C95" w:rsidRDefault="00CA7D42" w:rsidP="00CC67B8">
            <w:pPr>
              <w:pStyle w:val="Tabletext"/>
              <w:jc w:val="center"/>
            </w:pPr>
            <w:r w:rsidRPr="00475F6F">
              <w:t>0.1</w:t>
            </w:r>
          </w:p>
        </w:tc>
        <w:tc>
          <w:tcPr>
            <w:tcW w:w="589" w:type="dxa"/>
            <w:tcBorders>
              <w:top w:val="single" w:sz="4" w:space="0" w:color="FFFFFF" w:themeColor="background1"/>
              <w:left w:val="nil"/>
              <w:bottom w:val="single" w:sz="4" w:space="0" w:color="FFFFFF" w:themeColor="background1"/>
              <w:right w:val="nil"/>
            </w:tcBorders>
            <w:shd w:val="clear" w:color="000000" w:fill="D9D9D9"/>
            <w:hideMark/>
          </w:tcPr>
          <w:p w14:paraId="60B6537B" w14:textId="77777777" w:rsidR="00CA7D42" w:rsidRPr="00216C95" w:rsidRDefault="00CA7D42" w:rsidP="00CC67B8">
            <w:pPr>
              <w:pStyle w:val="Tabletext"/>
              <w:jc w:val="center"/>
            </w:pPr>
            <w:r w:rsidRPr="00475F6F">
              <w:t>0.1</w:t>
            </w:r>
          </w:p>
        </w:tc>
        <w:tc>
          <w:tcPr>
            <w:tcW w:w="673" w:type="dxa"/>
            <w:tcBorders>
              <w:top w:val="single" w:sz="4" w:space="0" w:color="FFFFFF" w:themeColor="background1"/>
              <w:left w:val="nil"/>
              <w:bottom w:val="single" w:sz="4" w:space="0" w:color="FFFFFF" w:themeColor="background1"/>
              <w:right w:val="nil"/>
            </w:tcBorders>
            <w:shd w:val="clear" w:color="000000" w:fill="D9D9D9"/>
            <w:hideMark/>
          </w:tcPr>
          <w:p w14:paraId="4DAD70B9" w14:textId="77777777" w:rsidR="00CA7D42" w:rsidRPr="00216C95" w:rsidRDefault="00CA7D42" w:rsidP="00CC67B8">
            <w:pPr>
              <w:pStyle w:val="Tabletext"/>
              <w:jc w:val="center"/>
            </w:pPr>
            <w:r w:rsidRPr="00475F6F">
              <w:t>0.3</w:t>
            </w:r>
          </w:p>
        </w:tc>
        <w:tc>
          <w:tcPr>
            <w:tcW w:w="500" w:type="dxa"/>
            <w:gridSpan w:val="2"/>
            <w:tcBorders>
              <w:top w:val="single" w:sz="4" w:space="0" w:color="FFFFFF" w:themeColor="background1"/>
              <w:left w:val="nil"/>
              <w:bottom w:val="single" w:sz="4" w:space="0" w:color="FFFFFF" w:themeColor="background1"/>
              <w:right w:val="nil"/>
            </w:tcBorders>
            <w:shd w:val="clear" w:color="000000" w:fill="D9D9D9"/>
            <w:hideMark/>
          </w:tcPr>
          <w:p w14:paraId="11CA3749" w14:textId="77777777" w:rsidR="00CA7D42" w:rsidRPr="00216C95" w:rsidRDefault="00CA7D42" w:rsidP="00CC67B8">
            <w:pPr>
              <w:pStyle w:val="Tabletext"/>
              <w:jc w:val="center"/>
            </w:pPr>
            <w:r w:rsidRPr="00475F6F">
              <w:t>0.4</w:t>
            </w:r>
          </w:p>
        </w:tc>
        <w:tc>
          <w:tcPr>
            <w:tcW w:w="500" w:type="dxa"/>
            <w:gridSpan w:val="2"/>
            <w:tcBorders>
              <w:top w:val="single" w:sz="4" w:space="0" w:color="FFFFFF" w:themeColor="background1"/>
              <w:left w:val="nil"/>
              <w:bottom w:val="single" w:sz="4" w:space="0" w:color="FFFFFF" w:themeColor="background1"/>
              <w:right w:val="nil"/>
            </w:tcBorders>
            <w:shd w:val="clear" w:color="000000" w:fill="D9D9D9"/>
            <w:hideMark/>
          </w:tcPr>
          <w:p w14:paraId="15B7A957" w14:textId="77777777" w:rsidR="00CA7D42" w:rsidRPr="00216C95" w:rsidRDefault="00CA7D42" w:rsidP="00CC67B8">
            <w:pPr>
              <w:pStyle w:val="Tabletext"/>
              <w:jc w:val="center"/>
            </w:pPr>
            <w:r w:rsidRPr="00475F6F">
              <w:t>0.5</w:t>
            </w:r>
          </w:p>
        </w:tc>
        <w:tc>
          <w:tcPr>
            <w:tcW w:w="500" w:type="dxa"/>
            <w:tcBorders>
              <w:top w:val="single" w:sz="4" w:space="0" w:color="FFFFFF" w:themeColor="background1"/>
              <w:left w:val="nil"/>
              <w:bottom w:val="single" w:sz="4" w:space="0" w:color="FFFFFF" w:themeColor="background1"/>
              <w:right w:val="nil"/>
            </w:tcBorders>
            <w:shd w:val="clear" w:color="000000" w:fill="D9D9D9"/>
            <w:hideMark/>
          </w:tcPr>
          <w:p w14:paraId="41E81C76" w14:textId="77777777" w:rsidR="00CA7D42" w:rsidRPr="00216C95" w:rsidRDefault="00CA7D42" w:rsidP="00CC67B8">
            <w:pPr>
              <w:pStyle w:val="Tabletext"/>
              <w:jc w:val="center"/>
            </w:pPr>
            <w:r w:rsidRPr="00475F6F">
              <w:t>0.4</w:t>
            </w:r>
          </w:p>
        </w:tc>
      </w:tr>
      <w:tr w:rsidR="00CA7D42" w:rsidRPr="00216C95" w14:paraId="5FEA5A1F" w14:textId="77777777" w:rsidTr="00CC67B8">
        <w:trPr>
          <w:gridAfter w:val="3"/>
          <w:wAfter w:w="1503" w:type="dxa"/>
          <w:trHeight w:val="170"/>
        </w:trPr>
        <w:tc>
          <w:tcPr>
            <w:tcW w:w="438"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E4ACA8F" w14:textId="77777777" w:rsidR="00CA7D42" w:rsidRPr="00216C95" w:rsidRDefault="00CA7D42" w:rsidP="00CC67B8">
            <w:pPr>
              <w:pStyle w:val="Tabletext"/>
            </w:pPr>
            <w:r w:rsidRPr="00216C95">
              <w:t>29</w:t>
            </w:r>
          </w:p>
        </w:tc>
        <w:tc>
          <w:tcPr>
            <w:tcW w:w="3390"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649CECF" w14:textId="77777777" w:rsidR="00CA7D42" w:rsidRPr="00216C95" w:rsidRDefault="00CA7D42" w:rsidP="00CC67B8">
            <w:pPr>
              <w:pStyle w:val="Tabletext"/>
            </w:pPr>
            <w:r w:rsidRPr="00216C95">
              <w:t xml:space="preserve">Total factor productivity </w:t>
            </w:r>
          </w:p>
        </w:tc>
        <w:tc>
          <w:tcPr>
            <w:tcW w:w="765"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88F87C9" w14:textId="77777777" w:rsidR="00CA7D42" w:rsidRPr="00216C95" w:rsidRDefault="00CA7D42" w:rsidP="00CC67B8">
            <w:pPr>
              <w:pStyle w:val="Tabletext"/>
            </w:pPr>
            <w:r w:rsidRPr="00216C95">
              <w:t> </w:t>
            </w:r>
          </w:p>
        </w:tc>
        <w:tc>
          <w:tcPr>
            <w:tcW w:w="801"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2558E06B" w14:textId="77777777" w:rsidR="00CA7D42" w:rsidRPr="00216C95" w:rsidRDefault="00CA7D42" w:rsidP="00CC67B8">
            <w:pPr>
              <w:pStyle w:val="Tabletext"/>
              <w:jc w:val="center"/>
            </w:pPr>
          </w:p>
        </w:tc>
        <w:tc>
          <w:tcPr>
            <w:tcW w:w="720" w:type="dxa"/>
            <w:tcBorders>
              <w:top w:val="single" w:sz="4" w:space="0" w:color="FFFFFF" w:themeColor="background1"/>
              <w:left w:val="nil"/>
              <w:bottom w:val="single" w:sz="4" w:space="0" w:color="FFFFFF" w:themeColor="background1"/>
              <w:right w:val="nil"/>
            </w:tcBorders>
            <w:shd w:val="clear" w:color="000000" w:fill="F2F2F2"/>
            <w:hideMark/>
          </w:tcPr>
          <w:p w14:paraId="5DA63DC3" w14:textId="77777777" w:rsidR="00CA7D42" w:rsidRPr="00216C95" w:rsidRDefault="00CA7D42" w:rsidP="00CC67B8">
            <w:pPr>
              <w:pStyle w:val="Tabletext"/>
              <w:jc w:val="center"/>
            </w:pPr>
            <w:r w:rsidRPr="00475F6F">
              <w:t>0.8</w:t>
            </w:r>
          </w:p>
        </w:tc>
        <w:tc>
          <w:tcPr>
            <w:tcW w:w="589" w:type="dxa"/>
            <w:tcBorders>
              <w:top w:val="single" w:sz="4" w:space="0" w:color="FFFFFF" w:themeColor="background1"/>
              <w:left w:val="nil"/>
              <w:bottom w:val="single" w:sz="4" w:space="0" w:color="FFFFFF" w:themeColor="background1"/>
              <w:right w:val="nil"/>
            </w:tcBorders>
            <w:shd w:val="clear" w:color="000000" w:fill="F2F2F2"/>
            <w:hideMark/>
          </w:tcPr>
          <w:p w14:paraId="4D9C5A53" w14:textId="77777777" w:rsidR="00CA7D42" w:rsidRPr="00216C95" w:rsidRDefault="00CA7D42" w:rsidP="00CC67B8">
            <w:pPr>
              <w:pStyle w:val="Tabletext"/>
              <w:jc w:val="center"/>
            </w:pPr>
            <w:r w:rsidRPr="00475F6F">
              <w:t>1.0</w:t>
            </w:r>
          </w:p>
        </w:tc>
        <w:tc>
          <w:tcPr>
            <w:tcW w:w="673" w:type="dxa"/>
            <w:tcBorders>
              <w:top w:val="single" w:sz="4" w:space="0" w:color="FFFFFF" w:themeColor="background1"/>
              <w:left w:val="nil"/>
              <w:bottom w:val="single" w:sz="4" w:space="0" w:color="FFFFFF" w:themeColor="background1"/>
              <w:right w:val="nil"/>
            </w:tcBorders>
            <w:shd w:val="clear" w:color="000000" w:fill="F2F2F2"/>
            <w:hideMark/>
          </w:tcPr>
          <w:p w14:paraId="0241FEFE" w14:textId="77777777" w:rsidR="00CA7D42" w:rsidRPr="00216C95" w:rsidRDefault="00CA7D42" w:rsidP="00CC67B8">
            <w:pPr>
              <w:pStyle w:val="Tabletext"/>
              <w:jc w:val="center"/>
            </w:pPr>
            <w:r w:rsidRPr="00475F6F">
              <w:t>1.9</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38E00BC6" w14:textId="77777777" w:rsidR="00CA7D42" w:rsidRPr="00216C95" w:rsidRDefault="00CA7D42" w:rsidP="00CC67B8">
            <w:pPr>
              <w:pStyle w:val="Tabletext"/>
              <w:jc w:val="center"/>
            </w:pPr>
            <w:r w:rsidRPr="00475F6F">
              <w:t>1.7</w:t>
            </w:r>
          </w:p>
        </w:tc>
        <w:tc>
          <w:tcPr>
            <w:tcW w:w="500" w:type="dxa"/>
            <w:gridSpan w:val="2"/>
            <w:tcBorders>
              <w:top w:val="single" w:sz="4" w:space="0" w:color="FFFFFF" w:themeColor="background1"/>
              <w:left w:val="nil"/>
              <w:bottom w:val="single" w:sz="4" w:space="0" w:color="FFFFFF" w:themeColor="background1"/>
              <w:right w:val="nil"/>
            </w:tcBorders>
            <w:shd w:val="clear" w:color="000000" w:fill="F2F2F2"/>
            <w:hideMark/>
          </w:tcPr>
          <w:p w14:paraId="063078F0" w14:textId="77777777" w:rsidR="00CA7D42" w:rsidRPr="00216C95" w:rsidRDefault="00CA7D42" w:rsidP="00CC67B8">
            <w:pPr>
              <w:pStyle w:val="Tabletext"/>
              <w:jc w:val="center"/>
            </w:pPr>
            <w:r w:rsidRPr="00475F6F">
              <w:t>1.1</w:t>
            </w:r>
          </w:p>
        </w:tc>
        <w:tc>
          <w:tcPr>
            <w:tcW w:w="500" w:type="dxa"/>
            <w:tcBorders>
              <w:top w:val="single" w:sz="4" w:space="0" w:color="FFFFFF" w:themeColor="background1"/>
              <w:left w:val="nil"/>
              <w:bottom w:val="single" w:sz="4" w:space="0" w:color="FFFFFF" w:themeColor="background1"/>
              <w:right w:val="nil"/>
            </w:tcBorders>
            <w:shd w:val="clear" w:color="000000" w:fill="F2F2F2"/>
            <w:hideMark/>
          </w:tcPr>
          <w:p w14:paraId="0C9C36AE" w14:textId="77777777" w:rsidR="00CA7D42" w:rsidRPr="00216C95" w:rsidRDefault="00CA7D42" w:rsidP="00CC67B8">
            <w:pPr>
              <w:pStyle w:val="Tabletext"/>
              <w:jc w:val="center"/>
            </w:pPr>
            <w:r w:rsidRPr="00475F6F">
              <w:t>1.1</w:t>
            </w:r>
          </w:p>
        </w:tc>
      </w:tr>
      <w:tr w:rsidR="00CA7D42" w:rsidRPr="00820BC3" w14:paraId="408807A8" w14:textId="77777777" w:rsidTr="00CC67B8">
        <w:trPr>
          <w:gridAfter w:val="3"/>
          <w:wAfter w:w="1503" w:type="dxa"/>
          <w:trHeight w:val="170"/>
        </w:trPr>
        <w:tc>
          <w:tcPr>
            <w:tcW w:w="438" w:type="dxa"/>
            <w:tcBorders>
              <w:top w:val="single" w:sz="4" w:space="0" w:color="FFFFFF" w:themeColor="background1"/>
              <w:left w:val="nil"/>
              <w:right w:val="nil"/>
            </w:tcBorders>
            <w:shd w:val="clear" w:color="000000" w:fill="BFBFBF"/>
            <w:vAlign w:val="center"/>
            <w:hideMark/>
          </w:tcPr>
          <w:p w14:paraId="3C9037D8" w14:textId="77777777" w:rsidR="00CA7D42" w:rsidRPr="00820BC3" w:rsidRDefault="00CA7D42" w:rsidP="00CC67B8">
            <w:pPr>
              <w:pStyle w:val="Tabletext"/>
              <w:rPr>
                <w:b/>
              </w:rPr>
            </w:pPr>
            <w:r w:rsidRPr="00820BC3">
              <w:rPr>
                <w:b/>
              </w:rPr>
              <w:t> </w:t>
            </w:r>
          </w:p>
        </w:tc>
        <w:tc>
          <w:tcPr>
            <w:tcW w:w="3390" w:type="dxa"/>
            <w:tcBorders>
              <w:top w:val="single" w:sz="4" w:space="0" w:color="FFFFFF" w:themeColor="background1"/>
              <w:left w:val="nil"/>
              <w:right w:val="nil"/>
            </w:tcBorders>
            <w:shd w:val="clear" w:color="000000" w:fill="BFBFBF"/>
            <w:vAlign w:val="center"/>
            <w:hideMark/>
          </w:tcPr>
          <w:p w14:paraId="03BB387B" w14:textId="77777777" w:rsidR="00CA7D42" w:rsidRPr="00820BC3" w:rsidRDefault="00CA7D42" w:rsidP="00CC67B8">
            <w:pPr>
              <w:pStyle w:val="Tabletext"/>
              <w:rPr>
                <w:b/>
              </w:rPr>
            </w:pPr>
            <w:r w:rsidRPr="00820BC3">
              <w:rPr>
                <w:b/>
              </w:rPr>
              <w:t> </w:t>
            </w:r>
          </w:p>
        </w:tc>
        <w:tc>
          <w:tcPr>
            <w:tcW w:w="765" w:type="dxa"/>
            <w:tcBorders>
              <w:top w:val="single" w:sz="4" w:space="0" w:color="FFFFFF" w:themeColor="background1"/>
              <w:left w:val="nil"/>
              <w:right w:val="nil"/>
            </w:tcBorders>
            <w:shd w:val="clear" w:color="000000" w:fill="BFBFBF"/>
            <w:vAlign w:val="center"/>
            <w:hideMark/>
          </w:tcPr>
          <w:p w14:paraId="40728673" w14:textId="77777777" w:rsidR="00CA7D42" w:rsidRPr="00820BC3" w:rsidRDefault="00CA7D42" w:rsidP="00CC67B8">
            <w:pPr>
              <w:pStyle w:val="Tabletext"/>
              <w:rPr>
                <w:b/>
              </w:rPr>
            </w:pPr>
            <w:r w:rsidRPr="00820BC3">
              <w:rPr>
                <w:b/>
              </w:rPr>
              <w:t> </w:t>
            </w:r>
          </w:p>
        </w:tc>
        <w:tc>
          <w:tcPr>
            <w:tcW w:w="801" w:type="dxa"/>
            <w:tcBorders>
              <w:top w:val="single" w:sz="4" w:space="0" w:color="FFFFFF" w:themeColor="background1"/>
              <w:left w:val="nil"/>
              <w:right w:val="nil"/>
            </w:tcBorders>
            <w:shd w:val="clear" w:color="000000" w:fill="BFBFBF"/>
            <w:vAlign w:val="center"/>
            <w:hideMark/>
          </w:tcPr>
          <w:p w14:paraId="049CB35C" w14:textId="77777777" w:rsidR="00CA7D42" w:rsidRPr="00820BC3" w:rsidRDefault="00CA7D42" w:rsidP="00CC67B8">
            <w:pPr>
              <w:pStyle w:val="Tabletext"/>
              <w:jc w:val="center"/>
              <w:rPr>
                <w:b/>
              </w:rPr>
            </w:pPr>
          </w:p>
        </w:tc>
        <w:tc>
          <w:tcPr>
            <w:tcW w:w="3482" w:type="dxa"/>
            <w:gridSpan w:val="8"/>
            <w:tcBorders>
              <w:top w:val="single" w:sz="4" w:space="0" w:color="FFFFFF" w:themeColor="background1"/>
              <w:left w:val="nil"/>
              <w:right w:val="nil"/>
            </w:tcBorders>
            <w:shd w:val="clear" w:color="000000" w:fill="BFBFBF"/>
            <w:vAlign w:val="center"/>
            <w:hideMark/>
          </w:tcPr>
          <w:p w14:paraId="0A999223" w14:textId="77777777" w:rsidR="00CA7D42" w:rsidRPr="00820BC3" w:rsidRDefault="00CA7D42" w:rsidP="00CC67B8">
            <w:pPr>
              <w:pStyle w:val="Tabletext"/>
              <w:jc w:val="center"/>
              <w:rPr>
                <w:b/>
              </w:rPr>
            </w:pPr>
            <w:r w:rsidRPr="00820BC3">
              <w:rPr>
                <w:b/>
              </w:rPr>
              <w:t>% pot. GDP</w:t>
            </w:r>
          </w:p>
        </w:tc>
      </w:tr>
      <w:tr w:rsidR="00CA7D42" w:rsidRPr="00216C95" w14:paraId="11BBFFED" w14:textId="77777777" w:rsidTr="00CC67B8">
        <w:trPr>
          <w:gridAfter w:val="3"/>
          <w:wAfter w:w="1503" w:type="dxa"/>
          <w:trHeight w:val="170"/>
        </w:trPr>
        <w:tc>
          <w:tcPr>
            <w:tcW w:w="438" w:type="dxa"/>
            <w:tcBorders>
              <w:top w:val="nil"/>
              <w:left w:val="nil"/>
              <w:bottom w:val="single" w:sz="18" w:space="0" w:color="4F81BD" w:themeColor="accent1"/>
              <w:right w:val="nil"/>
            </w:tcBorders>
            <w:shd w:val="clear" w:color="000000" w:fill="F2F2F2"/>
            <w:vAlign w:val="center"/>
            <w:hideMark/>
          </w:tcPr>
          <w:p w14:paraId="3D9A81B0" w14:textId="77777777" w:rsidR="00CA7D42" w:rsidRPr="00216C95" w:rsidRDefault="00CA7D42" w:rsidP="00CC67B8">
            <w:pPr>
              <w:pStyle w:val="Tabletext"/>
            </w:pPr>
            <w:r w:rsidRPr="00216C95">
              <w:t>30</w:t>
            </w:r>
          </w:p>
        </w:tc>
        <w:tc>
          <w:tcPr>
            <w:tcW w:w="3390" w:type="dxa"/>
            <w:tcBorders>
              <w:top w:val="nil"/>
              <w:left w:val="nil"/>
              <w:bottom w:val="single" w:sz="18" w:space="0" w:color="4F81BD" w:themeColor="accent1"/>
              <w:right w:val="nil"/>
            </w:tcBorders>
            <w:shd w:val="clear" w:color="000000" w:fill="F2F2F2"/>
            <w:vAlign w:val="center"/>
            <w:hideMark/>
          </w:tcPr>
          <w:p w14:paraId="6B6E059E" w14:textId="77777777" w:rsidR="00CA7D42" w:rsidRPr="00216C95" w:rsidRDefault="00CA7D42" w:rsidP="00CC67B8">
            <w:pPr>
              <w:pStyle w:val="Tabletext"/>
            </w:pPr>
            <w:r w:rsidRPr="00216C95">
              <w:t>Output gap (% pot. GDP )</w:t>
            </w:r>
          </w:p>
        </w:tc>
        <w:tc>
          <w:tcPr>
            <w:tcW w:w="765" w:type="dxa"/>
            <w:tcBorders>
              <w:top w:val="nil"/>
              <w:left w:val="nil"/>
              <w:bottom w:val="single" w:sz="18" w:space="0" w:color="4F81BD" w:themeColor="accent1"/>
              <w:right w:val="nil"/>
            </w:tcBorders>
            <w:shd w:val="clear" w:color="000000" w:fill="F2F2F2"/>
            <w:vAlign w:val="center"/>
            <w:hideMark/>
          </w:tcPr>
          <w:p w14:paraId="76DA5F94" w14:textId="77777777" w:rsidR="00CA7D42" w:rsidRPr="00216C95" w:rsidRDefault="00CA7D42" w:rsidP="00CC67B8">
            <w:pPr>
              <w:pStyle w:val="Tabletext"/>
            </w:pPr>
            <w:r w:rsidRPr="00216C95">
              <w:t> </w:t>
            </w:r>
          </w:p>
        </w:tc>
        <w:tc>
          <w:tcPr>
            <w:tcW w:w="801" w:type="dxa"/>
            <w:tcBorders>
              <w:top w:val="nil"/>
              <w:left w:val="nil"/>
              <w:bottom w:val="single" w:sz="18" w:space="0" w:color="4F81BD" w:themeColor="accent1"/>
              <w:right w:val="nil"/>
            </w:tcBorders>
            <w:shd w:val="clear" w:color="000000" w:fill="F2F2F2"/>
            <w:vAlign w:val="center"/>
            <w:hideMark/>
          </w:tcPr>
          <w:p w14:paraId="3291A13C" w14:textId="77777777" w:rsidR="00CA7D42" w:rsidRPr="00216C95" w:rsidRDefault="00CA7D42" w:rsidP="00CC67B8">
            <w:pPr>
              <w:pStyle w:val="Tabletext"/>
              <w:jc w:val="center"/>
            </w:pPr>
          </w:p>
        </w:tc>
        <w:tc>
          <w:tcPr>
            <w:tcW w:w="720" w:type="dxa"/>
            <w:tcBorders>
              <w:top w:val="nil"/>
              <w:left w:val="nil"/>
              <w:bottom w:val="single" w:sz="18" w:space="0" w:color="4F81BD" w:themeColor="accent1"/>
              <w:right w:val="nil"/>
            </w:tcBorders>
            <w:shd w:val="clear" w:color="000000" w:fill="F2F2F2"/>
            <w:vAlign w:val="center"/>
            <w:hideMark/>
          </w:tcPr>
          <w:p w14:paraId="17E34700" w14:textId="77777777" w:rsidR="00CA7D42" w:rsidRPr="00216C95" w:rsidRDefault="00CA7D42" w:rsidP="00CC67B8">
            <w:pPr>
              <w:pStyle w:val="Tabletext"/>
              <w:jc w:val="center"/>
            </w:pPr>
            <w:r w:rsidRPr="006B1AE1">
              <w:t>0.3</w:t>
            </w:r>
          </w:p>
        </w:tc>
        <w:tc>
          <w:tcPr>
            <w:tcW w:w="589" w:type="dxa"/>
            <w:tcBorders>
              <w:top w:val="nil"/>
              <w:left w:val="nil"/>
              <w:bottom w:val="single" w:sz="18" w:space="0" w:color="4F81BD" w:themeColor="accent1"/>
              <w:right w:val="nil"/>
            </w:tcBorders>
            <w:shd w:val="clear" w:color="000000" w:fill="F2F2F2"/>
            <w:vAlign w:val="center"/>
            <w:hideMark/>
          </w:tcPr>
          <w:p w14:paraId="05279A6E" w14:textId="77777777" w:rsidR="00CA7D42" w:rsidRPr="00216C95" w:rsidRDefault="00CA7D42" w:rsidP="00CC67B8">
            <w:pPr>
              <w:pStyle w:val="Tabletext"/>
              <w:jc w:val="center"/>
            </w:pPr>
            <w:r w:rsidRPr="006B1AE1">
              <w:t>1.2</w:t>
            </w:r>
          </w:p>
        </w:tc>
        <w:tc>
          <w:tcPr>
            <w:tcW w:w="673" w:type="dxa"/>
            <w:tcBorders>
              <w:top w:val="nil"/>
              <w:left w:val="nil"/>
              <w:bottom w:val="single" w:sz="18" w:space="0" w:color="4F81BD" w:themeColor="accent1"/>
              <w:right w:val="nil"/>
            </w:tcBorders>
            <w:shd w:val="clear" w:color="000000" w:fill="F2F2F2"/>
            <w:vAlign w:val="center"/>
            <w:hideMark/>
          </w:tcPr>
          <w:p w14:paraId="5B5C0FC1" w14:textId="77777777" w:rsidR="00CA7D42" w:rsidRPr="00216C95" w:rsidRDefault="00CA7D42" w:rsidP="00CC67B8">
            <w:pPr>
              <w:pStyle w:val="Tabletext"/>
              <w:jc w:val="center"/>
            </w:pPr>
            <w:r w:rsidRPr="006B1AE1">
              <w:t>1.0</w:t>
            </w:r>
          </w:p>
        </w:tc>
        <w:tc>
          <w:tcPr>
            <w:tcW w:w="500" w:type="dxa"/>
            <w:gridSpan w:val="2"/>
            <w:tcBorders>
              <w:top w:val="nil"/>
              <w:left w:val="nil"/>
              <w:bottom w:val="single" w:sz="18" w:space="0" w:color="4F81BD" w:themeColor="accent1"/>
              <w:right w:val="nil"/>
            </w:tcBorders>
            <w:shd w:val="clear" w:color="000000" w:fill="F2F2F2"/>
            <w:vAlign w:val="center"/>
            <w:hideMark/>
          </w:tcPr>
          <w:p w14:paraId="75D535E1" w14:textId="77777777" w:rsidR="00CA7D42" w:rsidRPr="00216C95" w:rsidRDefault="00CA7D42" w:rsidP="00CC67B8">
            <w:pPr>
              <w:pStyle w:val="Tabletext"/>
              <w:jc w:val="center"/>
            </w:pPr>
            <w:r w:rsidRPr="006B1AE1">
              <w:t>0.6</w:t>
            </w:r>
          </w:p>
        </w:tc>
        <w:tc>
          <w:tcPr>
            <w:tcW w:w="500" w:type="dxa"/>
            <w:gridSpan w:val="2"/>
            <w:tcBorders>
              <w:top w:val="nil"/>
              <w:left w:val="nil"/>
              <w:bottom w:val="single" w:sz="18" w:space="0" w:color="4F81BD" w:themeColor="accent1"/>
              <w:right w:val="nil"/>
            </w:tcBorders>
            <w:shd w:val="clear" w:color="000000" w:fill="F2F2F2"/>
            <w:vAlign w:val="center"/>
            <w:hideMark/>
          </w:tcPr>
          <w:p w14:paraId="0F80DF9E" w14:textId="77777777" w:rsidR="00CA7D42" w:rsidRPr="00216C95" w:rsidRDefault="00CA7D42" w:rsidP="00CC67B8">
            <w:pPr>
              <w:pStyle w:val="Tabletext"/>
              <w:jc w:val="center"/>
            </w:pPr>
            <w:r w:rsidRPr="006B1AE1">
              <w:t>0.3</w:t>
            </w:r>
          </w:p>
        </w:tc>
        <w:tc>
          <w:tcPr>
            <w:tcW w:w="500" w:type="dxa"/>
            <w:tcBorders>
              <w:top w:val="nil"/>
              <w:left w:val="nil"/>
              <w:bottom w:val="single" w:sz="18" w:space="0" w:color="4F81BD" w:themeColor="accent1"/>
              <w:right w:val="nil"/>
            </w:tcBorders>
            <w:shd w:val="clear" w:color="000000" w:fill="F2F2F2"/>
            <w:vAlign w:val="center"/>
            <w:hideMark/>
          </w:tcPr>
          <w:p w14:paraId="5E0F7302" w14:textId="77777777" w:rsidR="00CA7D42" w:rsidRPr="00216C95" w:rsidRDefault="00CA7D42" w:rsidP="00CC67B8">
            <w:pPr>
              <w:pStyle w:val="Tabletext"/>
              <w:jc w:val="center"/>
            </w:pPr>
            <w:r w:rsidRPr="006B1AE1">
              <w:t>0.1</w:t>
            </w:r>
          </w:p>
        </w:tc>
      </w:tr>
    </w:tbl>
    <w:p w14:paraId="6285C4A3" w14:textId="77777777" w:rsidR="00CA7D42" w:rsidRPr="00133F7A" w:rsidRDefault="00CA7D42" w:rsidP="00100696"/>
    <w:p w14:paraId="4849713B" w14:textId="77777777" w:rsidR="00F04C82" w:rsidRPr="00F04C82" w:rsidRDefault="00A00E0D" w:rsidP="000656F2">
      <w:pPr>
        <w:pStyle w:val="Heading2"/>
        <w:numPr>
          <w:ilvl w:val="1"/>
          <w:numId w:val="2"/>
        </w:numPr>
        <w:ind w:left="709" w:hanging="709"/>
        <w:rPr>
          <w:lang w:val="en-US"/>
        </w:rPr>
      </w:pPr>
      <w:bookmarkStart w:id="13" w:name="_Toc178070091"/>
      <w:r w:rsidRPr="00A00E0D">
        <w:rPr>
          <w:lang w:val="en-US"/>
        </w:rPr>
        <w:lastRenderedPageBreak/>
        <w:t>Macroeconomic projections for 2026-2028</w:t>
      </w:r>
      <w:bookmarkEnd w:id="13"/>
    </w:p>
    <w:p w14:paraId="4489B3EF" w14:textId="77777777" w:rsidR="00F04C82" w:rsidRDefault="00A00E0D" w:rsidP="00F04C82">
      <w:pPr>
        <w:rPr>
          <w:lang w:val="en-US"/>
        </w:rPr>
      </w:pPr>
      <w:r w:rsidRPr="00A00E0D">
        <w:rPr>
          <w:lang w:val="en-US"/>
        </w:rPr>
        <w:t>Over the medium term, the Greek economy is expected to sustain its positive momentum and continue expanding, despite the volatile external environment and the changing geopolitical conditions, building on sound public finances, the continuation of structural reforms and the promotion of productive investment on green economy and digital transition that foster favorable conditions to higher potential growth</w:t>
      </w:r>
      <w:r w:rsidR="00F04C82" w:rsidRPr="00F04C82">
        <w:rPr>
          <w:lang w:val="en-US"/>
        </w:rPr>
        <w:t xml:space="preserve">.      </w:t>
      </w:r>
    </w:p>
    <w:p w14:paraId="6E4FF7EC" w14:textId="0C3747E3" w:rsidR="00A00E0D" w:rsidRPr="00A00E0D" w:rsidRDefault="00A00E0D" w:rsidP="00A00E0D">
      <w:pPr>
        <w:rPr>
          <w:lang w:val="en-US"/>
        </w:rPr>
      </w:pPr>
      <w:r w:rsidRPr="00A00E0D">
        <w:rPr>
          <w:lang w:val="en-US"/>
        </w:rPr>
        <w:t xml:space="preserve">The growth rate of the Greek economy is expected to stand at 2.0% in 2026, remaining on a solid ground, due to the impact of the investments financed under NGEU (notably in 2026-the last year of implementation of NGEU, more than </w:t>
      </w:r>
      <w:r w:rsidR="00665216">
        <w:rPr>
          <w:lang w:val="en-US"/>
        </w:rPr>
        <w:t>€</w:t>
      </w:r>
      <w:r w:rsidRPr="00A00E0D">
        <w:rPr>
          <w:lang w:val="en-US"/>
        </w:rPr>
        <w:t xml:space="preserve">6 billion grants and more than </w:t>
      </w:r>
      <w:r w:rsidR="00665216">
        <w:rPr>
          <w:lang w:val="en-US"/>
        </w:rPr>
        <w:t>€</w:t>
      </w:r>
      <w:r w:rsidRPr="00A00E0D">
        <w:rPr>
          <w:lang w:val="en-US"/>
        </w:rPr>
        <w:t>4 billion loans are projected to be absorbed), the easing of financial conditions and further improvements in the labour market. On basis of the above, gross fixed capital formation is projected to increase by 8.0% in 2026.</w:t>
      </w:r>
    </w:p>
    <w:p w14:paraId="0CE71797" w14:textId="70430506" w:rsidR="00A00E0D" w:rsidRPr="00A00E0D" w:rsidRDefault="00A00E0D" w:rsidP="00A00E0D">
      <w:pPr>
        <w:rPr>
          <w:lang w:val="en-US"/>
        </w:rPr>
      </w:pPr>
      <w:r w:rsidRPr="00A00E0D">
        <w:rPr>
          <w:lang w:val="en-US"/>
        </w:rPr>
        <w:t xml:space="preserve">Private consumption in 2026 is forecast to grow by 1.5%, supported by the increase in the minimum wage and the disposable income. Exports of goods and services </w:t>
      </w:r>
      <w:r w:rsidR="003F3237">
        <w:rPr>
          <w:lang w:val="en-US"/>
        </w:rPr>
        <w:t>are</w:t>
      </w:r>
      <w:r w:rsidRPr="00A00E0D">
        <w:rPr>
          <w:lang w:val="en-US"/>
        </w:rPr>
        <w:t xml:space="preserve"> projected to further increase by 4.4%, on the back of high export market shares, in line with strengthening foreign demand, and a consistent increase in tourism receipts.</w:t>
      </w:r>
    </w:p>
    <w:p w14:paraId="1880C344" w14:textId="50818519" w:rsidR="00A00E0D" w:rsidRDefault="00A00E0D" w:rsidP="00A00E0D">
      <w:pPr>
        <w:rPr>
          <w:lang w:val="en-US"/>
        </w:rPr>
      </w:pPr>
      <w:r w:rsidRPr="00A00E0D">
        <w:rPr>
          <w:lang w:val="en-US"/>
        </w:rPr>
        <w:t xml:space="preserve">Under the assumption of the termination of NGEU funding and without incorporating any new policy measures, GDP growth in 2027-2028 is projected to stand on average at 1.4%. Investment is forecast to grow on average by 1.7%; the drop to the previous period is related exclusively to the effect of the </w:t>
      </w:r>
      <w:r w:rsidR="00B328EE">
        <w:rPr>
          <w:lang w:val="en-US"/>
        </w:rPr>
        <w:t xml:space="preserve">assumed </w:t>
      </w:r>
      <w:r w:rsidRPr="00A00E0D">
        <w:rPr>
          <w:lang w:val="en-US"/>
        </w:rPr>
        <w:t xml:space="preserve">termination of the RRF funding (along with the gradual ending of the NGEU loans’ cash disbursements). Private consumption and exports are set to be driving factors of growth, increasing by 1.4% and 4.2% respectively on average for the period 2027-2028. </w:t>
      </w:r>
    </w:p>
    <w:p w14:paraId="59A3A360" w14:textId="6BCC7838" w:rsidR="00A00E0D" w:rsidRPr="00A00E0D" w:rsidRDefault="00A00E0D" w:rsidP="00A00E0D">
      <w:pPr>
        <w:rPr>
          <w:lang w:val="en-US"/>
        </w:rPr>
      </w:pPr>
      <w:r w:rsidRPr="00A00E0D">
        <w:rPr>
          <w:lang w:val="en-US"/>
        </w:rPr>
        <w:t xml:space="preserve">Headline inflation is projected to converge towards the European Central Bank’s target over the projection period and </w:t>
      </w:r>
      <w:r w:rsidR="006E2585">
        <w:rPr>
          <w:lang w:val="en-US"/>
        </w:rPr>
        <w:t xml:space="preserve">GDP deflator to </w:t>
      </w:r>
      <w:r w:rsidRPr="00A00E0D">
        <w:rPr>
          <w:lang w:val="en-US"/>
        </w:rPr>
        <w:t>stand on average at 2.</w:t>
      </w:r>
      <w:r w:rsidR="00531D45">
        <w:rPr>
          <w:lang w:val="en-US"/>
        </w:rPr>
        <w:t>3</w:t>
      </w:r>
      <w:r w:rsidRPr="00A00E0D">
        <w:rPr>
          <w:lang w:val="en-US"/>
        </w:rPr>
        <w:t>%. The unemployment rate is projected to stand at 9.2% in 2026 and de-escalate further, reaching</w:t>
      </w:r>
      <w:r w:rsidR="00B328EE">
        <w:rPr>
          <w:lang w:val="en-US"/>
        </w:rPr>
        <w:t xml:space="preserve"> 8.7% in 2027 and</w:t>
      </w:r>
      <w:r w:rsidRPr="00A00E0D">
        <w:rPr>
          <w:lang w:val="en-US"/>
        </w:rPr>
        <w:t xml:space="preserve"> 8.5% in 2028. </w:t>
      </w:r>
    </w:p>
    <w:p w14:paraId="75BF8193" w14:textId="07AE2945" w:rsidR="00F04C82" w:rsidRPr="00F04C82" w:rsidRDefault="00A00E0D" w:rsidP="00A00E0D">
      <w:pPr>
        <w:rPr>
          <w:lang w:val="en-US"/>
        </w:rPr>
      </w:pPr>
      <w:r w:rsidRPr="00A00E0D">
        <w:rPr>
          <w:lang w:val="en-US"/>
        </w:rPr>
        <w:t>For the entire period 2026-2028, it is expected that several favorable developments, such as the better performance of the labour market, the lowering interest rates and the improvement in the economic climate, particularly after receiving the investment grade will have a positive effect on the Greek economy in the medium term. Additionally, proceeding with the privatization and reforms program and continuing to improve the management of state assets would also attract foreign direct investment</w:t>
      </w:r>
      <w:r w:rsidR="00531D45">
        <w:rPr>
          <w:lang w:val="en-US"/>
        </w:rPr>
        <w:t xml:space="preserve">, that signals upside </w:t>
      </w:r>
      <w:r w:rsidR="00736388">
        <w:rPr>
          <w:lang w:val="en-US"/>
        </w:rPr>
        <w:t>risks</w:t>
      </w:r>
      <w:r w:rsidR="00531D45">
        <w:rPr>
          <w:lang w:val="en-US"/>
        </w:rPr>
        <w:t xml:space="preserve"> to the </w:t>
      </w:r>
      <w:r w:rsidR="00736388">
        <w:rPr>
          <w:lang w:val="en-US"/>
        </w:rPr>
        <w:t xml:space="preserve">output and investment </w:t>
      </w:r>
      <w:r w:rsidR="00531D45">
        <w:rPr>
          <w:lang w:val="en-US"/>
        </w:rPr>
        <w:t>projections</w:t>
      </w:r>
      <w:r w:rsidR="00F04C82" w:rsidRPr="00F04C82">
        <w:rPr>
          <w:lang w:val="en-US"/>
        </w:rPr>
        <w:t>.</w:t>
      </w:r>
    </w:p>
    <w:p w14:paraId="4EDAD8B1" w14:textId="77777777" w:rsidR="00F04C82" w:rsidRPr="00F04C82" w:rsidRDefault="00F04C82" w:rsidP="000656F2">
      <w:pPr>
        <w:pStyle w:val="Heading2"/>
        <w:numPr>
          <w:ilvl w:val="1"/>
          <w:numId w:val="2"/>
        </w:numPr>
        <w:ind w:left="709" w:hanging="709"/>
        <w:rPr>
          <w:lang w:val="en-US"/>
        </w:rPr>
      </w:pPr>
      <w:bookmarkStart w:id="14" w:name="_Toc178070092"/>
      <w:r w:rsidRPr="00F04C82">
        <w:rPr>
          <w:lang w:val="en-US"/>
        </w:rPr>
        <w:lastRenderedPageBreak/>
        <w:t>Downside and upside risks to the outlook</w:t>
      </w:r>
      <w:bookmarkEnd w:id="14"/>
    </w:p>
    <w:p w14:paraId="3CB7D48B" w14:textId="77777777" w:rsidR="00F04C82" w:rsidRDefault="00A97AFA" w:rsidP="00F04C82">
      <w:pPr>
        <w:rPr>
          <w:lang w:val="en-US"/>
        </w:rPr>
      </w:pPr>
      <w:r w:rsidRPr="00A97AFA">
        <w:rPr>
          <w:lang w:val="en-US"/>
        </w:rPr>
        <w:t>The main downside risks to the growth forecast relate with any deterioration of the geopolitical crisis in Ukraine and the Middle East as well as widening trade disruption in the Red Sea that could trigger inflationary pressures and delay monetary easing. Potential natural disasters are also included in the downward risks. At the same time, stronger than expected benefits from the upgrade of the Greek sovereign credit rating, the effect of the completion of the policy reforms and investments included in the Government planning and the RRF, a further de-escalation of the interest rates, as well as higher -than-expected tourism revenues will positively affect the Greek economy</w:t>
      </w:r>
      <w:r w:rsidR="00F04C82" w:rsidRPr="00F04C82">
        <w:rPr>
          <w:lang w:val="en-US"/>
        </w:rPr>
        <w:t>.</w:t>
      </w:r>
    </w:p>
    <w:p w14:paraId="56C84CA3" w14:textId="77777777" w:rsidR="00CA7D42" w:rsidRDefault="00CA7D42" w:rsidP="00CA7D42">
      <w:pPr>
        <w:rPr>
          <w:lang w:val="en-US"/>
        </w:rPr>
      </w:pPr>
    </w:p>
    <w:p w14:paraId="5D30EE4B" w14:textId="5B675EFC" w:rsidR="00CA7D42" w:rsidRPr="00C35DC3" w:rsidRDefault="00CA7D42" w:rsidP="00CA7D42">
      <w:pPr>
        <w:pStyle w:val="Table"/>
        <w:rPr>
          <w:lang w:val="el-GR"/>
        </w:rPr>
      </w:pPr>
      <w:bookmarkStart w:id="15" w:name="_Toc177747034"/>
      <w:r w:rsidRPr="00FF505F">
        <w:t xml:space="preserve">Table </w:t>
      </w:r>
      <w:r>
        <w:fldChar w:fldCharType="begin"/>
      </w:r>
      <w:r>
        <w:instrText xml:space="preserve"> SEQ Table \* ARABIC </w:instrText>
      </w:r>
      <w:r>
        <w:fldChar w:fldCharType="separate"/>
      </w:r>
      <w:r w:rsidR="00824AAF">
        <w:rPr>
          <w:noProof/>
        </w:rPr>
        <w:t>4</w:t>
      </w:r>
      <w:r>
        <w:fldChar w:fldCharType="end"/>
      </w:r>
      <w:r>
        <w:t xml:space="preserve"> | </w:t>
      </w:r>
      <w:r w:rsidRPr="00FF505F">
        <w:t>External assumptions</w:t>
      </w:r>
      <w:bookmarkEnd w:id="15"/>
    </w:p>
    <w:tbl>
      <w:tblPr>
        <w:tblW w:w="8852" w:type="dxa"/>
        <w:jc w:val="center"/>
        <w:tblLook w:val="04A0" w:firstRow="1" w:lastRow="0" w:firstColumn="1" w:lastColumn="0" w:noHBand="0" w:noVBand="1"/>
      </w:tblPr>
      <w:tblGrid>
        <w:gridCol w:w="474"/>
        <w:gridCol w:w="2503"/>
        <w:gridCol w:w="1501"/>
        <w:gridCol w:w="729"/>
        <w:gridCol w:w="729"/>
        <w:gridCol w:w="729"/>
        <w:gridCol w:w="729"/>
        <w:gridCol w:w="729"/>
        <w:gridCol w:w="729"/>
      </w:tblGrid>
      <w:tr w:rsidR="00CA7D42" w:rsidRPr="00B23ACE" w14:paraId="479CDC80" w14:textId="77777777" w:rsidTr="00CC67B8">
        <w:trPr>
          <w:trHeight w:val="397"/>
          <w:jc w:val="center"/>
        </w:trPr>
        <w:tc>
          <w:tcPr>
            <w:tcW w:w="474" w:type="dxa"/>
            <w:tcBorders>
              <w:top w:val="nil"/>
              <w:left w:val="nil"/>
              <w:bottom w:val="single" w:sz="4" w:space="0" w:color="FFFFFF"/>
              <w:right w:val="nil"/>
            </w:tcBorders>
            <w:shd w:val="clear" w:color="000000" w:fill="BFBFBF"/>
            <w:vAlign w:val="center"/>
            <w:hideMark/>
          </w:tcPr>
          <w:p w14:paraId="39328E5C"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 </w:t>
            </w:r>
          </w:p>
        </w:tc>
        <w:tc>
          <w:tcPr>
            <w:tcW w:w="2503" w:type="dxa"/>
            <w:tcBorders>
              <w:top w:val="nil"/>
              <w:left w:val="nil"/>
              <w:bottom w:val="single" w:sz="4" w:space="0" w:color="FFFFFF"/>
              <w:right w:val="nil"/>
            </w:tcBorders>
            <w:shd w:val="clear" w:color="000000" w:fill="BFBFBF"/>
            <w:vAlign w:val="center"/>
            <w:hideMark/>
          </w:tcPr>
          <w:p w14:paraId="638C3477"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 </w:t>
            </w:r>
          </w:p>
        </w:tc>
        <w:tc>
          <w:tcPr>
            <w:tcW w:w="1501" w:type="dxa"/>
            <w:tcBorders>
              <w:top w:val="nil"/>
              <w:left w:val="nil"/>
              <w:bottom w:val="single" w:sz="4" w:space="0" w:color="FFFFFF"/>
              <w:right w:val="nil"/>
            </w:tcBorders>
            <w:shd w:val="clear" w:color="000000" w:fill="BFBFBF"/>
            <w:vAlign w:val="center"/>
            <w:hideMark/>
          </w:tcPr>
          <w:p w14:paraId="14C5994B" w14:textId="77777777" w:rsidR="00CA7D42" w:rsidRPr="00B23ACE" w:rsidRDefault="00CA7D42" w:rsidP="00CC67B8">
            <w:pPr>
              <w:spacing w:after="0" w:line="240" w:lineRule="auto"/>
              <w:jc w:val="left"/>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 </w:t>
            </w:r>
          </w:p>
        </w:tc>
        <w:tc>
          <w:tcPr>
            <w:tcW w:w="729" w:type="dxa"/>
            <w:tcBorders>
              <w:top w:val="nil"/>
              <w:left w:val="nil"/>
              <w:bottom w:val="single" w:sz="4" w:space="0" w:color="FFFFFF"/>
              <w:right w:val="nil"/>
            </w:tcBorders>
            <w:shd w:val="clear" w:color="000000" w:fill="BFBFBF"/>
            <w:vAlign w:val="center"/>
            <w:hideMark/>
          </w:tcPr>
          <w:p w14:paraId="7B968079"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2023</w:t>
            </w:r>
          </w:p>
        </w:tc>
        <w:tc>
          <w:tcPr>
            <w:tcW w:w="729" w:type="dxa"/>
            <w:tcBorders>
              <w:top w:val="nil"/>
              <w:left w:val="nil"/>
              <w:bottom w:val="single" w:sz="4" w:space="0" w:color="FFFFFF"/>
              <w:right w:val="nil"/>
            </w:tcBorders>
            <w:shd w:val="clear" w:color="000000" w:fill="BFBFBF"/>
            <w:vAlign w:val="center"/>
            <w:hideMark/>
          </w:tcPr>
          <w:p w14:paraId="57CBA4EE"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2024</w:t>
            </w:r>
          </w:p>
        </w:tc>
        <w:tc>
          <w:tcPr>
            <w:tcW w:w="729" w:type="dxa"/>
            <w:tcBorders>
              <w:top w:val="nil"/>
              <w:left w:val="nil"/>
              <w:bottom w:val="single" w:sz="4" w:space="0" w:color="FFFFFF"/>
              <w:right w:val="nil"/>
            </w:tcBorders>
            <w:shd w:val="clear" w:color="000000" w:fill="BFBFBF"/>
            <w:vAlign w:val="center"/>
            <w:hideMark/>
          </w:tcPr>
          <w:p w14:paraId="3A832BC8"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2025</w:t>
            </w:r>
          </w:p>
        </w:tc>
        <w:tc>
          <w:tcPr>
            <w:tcW w:w="729" w:type="dxa"/>
            <w:tcBorders>
              <w:top w:val="nil"/>
              <w:left w:val="nil"/>
              <w:bottom w:val="single" w:sz="4" w:space="0" w:color="FFFFFF"/>
              <w:right w:val="nil"/>
            </w:tcBorders>
            <w:shd w:val="clear" w:color="000000" w:fill="BFBFBF"/>
            <w:vAlign w:val="center"/>
            <w:hideMark/>
          </w:tcPr>
          <w:p w14:paraId="55337205"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2026</w:t>
            </w:r>
          </w:p>
        </w:tc>
        <w:tc>
          <w:tcPr>
            <w:tcW w:w="729" w:type="dxa"/>
            <w:tcBorders>
              <w:top w:val="nil"/>
              <w:left w:val="nil"/>
              <w:bottom w:val="single" w:sz="4" w:space="0" w:color="FFFFFF"/>
              <w:right w:val="nil"/>
            </w:tcBorders>
            <w:shd w:val="clear" w:color="000000" w:fill="BFBFBF"/>
            <w:vAlign w:val="center"/>
            <w:hideMark/>
          </w:tcPr>
          <w:p w14:paraId="31AA05E8"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2027</w:t>
            </w:r>
          </w:p>
        </w:tc>
        <w:tc>
          <w:tcPr>
            <w:tcW w:w="729" w:type="dxa"/>
            <w:tcBorders>
              <w:top w:val="nil"/>
              <w:left w:val="nil"/>
              <w:bottom w:val="single" w:sz="4" w:space="0" w:color="FFFFFF"/>
              <w:right w:val="nil"/>
            </w:tcBorders>
            <w:shd w:val="clear" w:color="000000" w:fill="BFBFBF"/>
            <w:vAlign w:val="center"/>
            <w:hideMark/>
          </w:tcPr>
          <w:p w14:paraId="62B151D2" w14:textId="77777777" w:rsidR="00CA7D42" w:rsidRPr="00B23ACE" w:rsidRDefault="00CA7D42" w:rsidP="00CC67B8">
            <w:pPr>
              <w:spacing w:after="0" w:line="240" w:lineRule="auto"/>
              <w:jc w:val="center"/>
              <w:rPr>
                <w:rFonts w:ascii="Arial" w:eastAsia="Times New Roman" w:hAnsi="Arial" w:cs="Arial"/>
                <w:b/>
                <w:bCs/>
                <w:color w:val="000000"/>
                <w:sz w:val="20"/>
                <w:szCs w:val="20"/>
              </w:rPr>
            </w:pPr>
            <w:r w:rsidRPr="00B23ACE">
              <w:rPr>
                <w:rFonts w:ascii="Arial" w:eastAsia="Times New Roman" w:hAnsi="Arial" w:cs="Arial"/>
                <w:b/>
                <w:bCs/>
                <w:color w:val="000000"/>
                <w:sz w:val="20"/>
                <w:szCs w:val="20"/>
              </w:rPr>
              <w:t>2028</w:t>
            </w:r>
          </w:p>
        </w:tc>
      </w:tr>
      <w:tr w:rsidR="00CA7D42" w:rsidRPr="00B23ACE" w14:paraId="21DE9D0F" w14:textId="77777777" w:rsidTr="00CC67B8">
        <w:trPr>
          <w:trHeight w:val="397"/>
          <w:jc w:val="center"/>
        </w:trPr>
        <w:tc>
          <w:tcPr>
            <w:tcW w:w="474" w:type="dxa"/>
            <w:tcBorders>
              <w:top w:val="nil"/>
              <w:left w:val="nil"/>
              <w:bottom w:val="single" w:sz="4" w:space="0" w:color="FFFFFF"/>
              <w:right w:val="nil"/>
            </w:tcBorders>
            <w:shd w:val="clear" w:color="000000" w:fill="F2F2F2"/>
            <w:vAlign w:val="center"/>
            <w:hideMark/>
          </w:tcPr>
          <w:p w14:paraId="67C3F3F6" w14:textId="77777777" w:rsidR="00CA7D42" w:rsidRPr="00B23ACE" w:rsidRDefault="00CA7D42" w:rsidP="00CC67B8">
            <w:pPr>
              <w:pStyle w:val="Tabletext"/>
            </w:pPr>
            <w:r w:rsidRPr="00B23ACE">
              <w:t>1</w:t>
            </w:r>
          </w:p>
        </w:tc>
        <w:tc>
          <w:tcPr>
            <w:tcW w:w="2503" w:type="dxa"/>
            <w:tcBorders>
              <w:top w:val="nil"/>
              <w:left w:val="nil"/>
              <w:bottom w:val="single" w:sz="4" w:space="0" w:color="FFFFFF"/>
              <w:right w:val="nil"/>
            </w:tcBorders>
            <w:shd w:val="clear" w:color="000000" w:fill="F2F2F2"/>
            <w:vAlign w:val="center"/>
            <w:hideMark/>
          </w:tcPr>
          <w:p w14:paraId="63731FEC" w14:textId="77777777" w:rsidR="00CA7D42" w:rsidRPr="00461CCC" w:rsidRDefault="00CA7D42" w:rsidP="00CC67B8">
            <w:pPr>
              <w:pStyle w:val="Tabletext"/>
            </w:pPr>
            <w:r w:rsidRPr="00461CCC">
              <w:t xml:space="preserve">Short-term interest rate </w:t>
            </w:r>
          </w:p>
        </w:tc>
        <w:tc>
          <w:tcPr>
            <w:tcW w:w="1501" w:type="dxa"/>
            <w:tcBorders>
              <w:top w:val="nil"/>
              <w:left w:val="nil"/>
              <w:bottom w:val="single" w:sz="4" w:space="0" w:color="FFFFFF"/>
              <w:right w:val="nil"/>
            </w:tcBorders>
            <w:shd w:val="clear" w:color="000000" w:fill="F2F2F2"/>
            <w:vAlign w:val="center"/>
            <w:hideMark/>
          </w:tcPr>
          <w:p w14:paraId="529C8EBA" w14:textId="77777777" w:rsidR="00CA7D42" w:rsidRPr="00461CCC" w:rsidRDefault="00CA7D42" w:rsidP="00CC67B8">
            <w:pPr>
              <w:pStyle w:val="Tabletext"/>
            </w:pPr>
            <w:r w:rsidRPr="00461CCC">
              <w:t xml:space="preserve">(%, annual average) </w:t>
            </w:r>
          </w:p>
        </w:tc>
        <w:tc>
          <w:tcPr>
            <w:tcW w:w="729" w:type="dxa"/>
            <w:tcBorders>
              <w:top w:val="nil"/>
              <w:left w:val="nil"/>
              <w:bottom w:val="single" w:sz="4" w:space="0" w:color="FFFFFF"/>
              <w:right w:val="nil"/>
            </w:tcBorders>
            <w:shd w:val="clear" w:color="000000" w:fill="F2F2F2"/>
            <w:vAlign w:val="center"/>
            <w:hideMark/>
          </w:tcPr>
          <w:p w14:paraId="5B1C6849" w14:textId="77777777" w:rsidR="00CA7D42" w:rsidRPr="00461CCC" w:rsidRDefault="00CA7D42" w:rsidP="00CC67B8">
            <w:pPr>
              <w:pStyle w:val="Tabletext"/>
              <w:jc w:val="center"/>
            </w:pPr>
            <w:r w:rsidRPr="006B623B">
              <w:t>3.4</w:t>
            </w:r>
          </w:p>
        </w:tc>
        <w:tc>
          <w:tcPr>
            <w:tcW w:w="729" w:type="dxa"/>
            <w:tcBorders>
              <w:top w:val="nil"/>
              <w:left w:val="nil"/>
              <w:bottom w:val="single" w:sz="4" w:space="0" w:color="FFFFFF"/>
              <w:right w:val="nil"/>
            </w:tcBorders>
            <w:shd w:val="clear" w:color="000000" w:fill="F2F2F2"/>
            <w:vAlign w:val="center"/>
            <w:hideMark/>
          </w:tcPr>
          <w:p w14:paraId="6BD995E1" w14:textId="77777777" w:rsidR="00CA7D42" w:rsidRPr="00461CCC" w:rsidRDefault="00CA7D42" w:rsidP="00CC67B8">
            <w:pPr>
              <w:pStyle w:val="Tabletext"/>
              <w:jc w:val="center"/>
            </w:pPr>
            <w:r w:rsidRPr="006B623B">
              <w:t>3.6</w:t>
            </w:r>
          </w:p>
        </w:tc>
        <w:tc>
          <w:tcPr>
            <w:tcW w:w="729" w:type="dxa"/>
            <w:tcBorders>
              <w:top w:val="nil"/>
              <w:left w:val="nil"/>
              <w:bottom w:val="single" w:sz="4" w:space="0" w:color="FFFFFF"/>
              <w:right w:val="nil"/>
            </w:tcBorders>
            <w:shd w:val="clear" w:color="000000" w:fill="F2F2F2"/>
            <w:vAlign w:val="center"/>
            <w:hideMark/>
          </w:tcPr>
          <w:p w14:paraId="1557BF05" w14:textId="77777777" w:rsidR="00CA7D42" w:rsidRPr="00461CCC" w:rsidRDefault="00CA7D42" w:rsidP="00CC67B8">
            <w:pPr>
              <w:pStyle w:val="Tabletext"/>
              <w:jc w:val="center"/>
            </w:pPr>
            <w:r w:rsidRPr="006B623B">
              <w:t>2.8</w:t>
            </w:r>
          </w:p>
        </w:tc>
        <w:tc>
          <w:tcPr>
            <w:tcW w:w="729" w:type="dxa"/>
            <w:tcBorders>
              <w:top w:val="nil"/>
              <w:left w:val="nil"/>
              <w:bottom w:val="single" w:sz="4" w:space="0" w:color="FFFFFF"/>
              <w:right w:val="nil"/>
            </w:tcBorders>
            <w:shd w:val="clear" w:color="000000" w:fill="F2F2F2"/>
            <w:vAlign w:val="center"/>
            <w:hideMark/>
          </w:tcPr>
          <w:p w14:paraId="6247D40B" w14:textId="77777777" w:rsidR="00CA7D42" w:rsidRPr="00461CCC" w:rsidRDefault="00CA7D42" w:rsidP="00CC67B8">
            <w:pPr>
              <w:pStyle w:val="Tabletext"/>
              <w:jc w:val="center"/>
            </w:pPr>
            <w:r w:rsidRPr="006B623B">
              <w:t>2.8</w:t>
            </w:r>
          </w:p>
        </w:tc>
        <w:tc>
          <w:tcPr>
            <w:tcW w:w="729" w:type="dxa"/>
            <w:tcBorders>
              <w:top w:val="nil"/>
              <w:left w:val="nil"/>
              <w:bottom w:val="single" w:sz="4" w:space="0" w:color="FFFFFF"/>
              <w:right w:val="nil"/>
            </w:tcBorders>
            <w:shd w:val="clear" w:color="000000" w:fill="F2F2F2"/>
            <w:vAlign w:val="center"/>
            <w:hideMark/>
          </w:tcPr>
          <w:p w14:paraId="789E90CB" w14:textId="77777777" w:rsidR="00CA7D42" w:rsidRPr="00461CCC" w:rsidRDefault="00CA7D42" w:rsidP="00CC67B8">
            <w:pPr>
              <w:pStyle w:val="Tabletext"/>
              <w:jc w:val="center"/>
            </w:pPr>
            <w:r w:rsidRPr="006B623B">
              <w:t>2.8</w:t>
            </w:r>
          </w:p>
        </w:tc>
        <w:tc>
          <w:tcPr>
            <w:tcW w:w="729" w:type="dxa"/>
            <w:tcBorders>
              <w:top w:val="nil"/>
              <w:left w:val="nil"/>
              <w:bottom w:val="single" w:sz="4" w:space="0" w:color="FFFFFF"/>
              <w:right w:val="nil"/>
            </w:tcBorders>
            <w:shd w:val="clear" w:color="000000" w:fill="F2F2F2"/>
            <w:vAlign w:val="center"/>
            <w:hideMark/>
          </w:tcPr>
          <w:p w14:paraId="7625C40A" w14:textId="77777777" w:rsidR="00CA7D42" w:rsidRPr="00461CCC" w:rsidRDefault="00CA7D42" w:rsidP="00CC67B8">
            <w:pPr>
              <w:pStyle w:val="Tabletext"/>
              <w:jc w:val="center"/>
            </w:pPr>
            <w:r w:rsidRPr="006B623B">
              <w:t>2.8</w:t>
            </w:r>
          </w:p>
        </w:tc>
      </w:tr>
      <w:tr w:rsidR="00CA7D42" w:rsidRPr="00B23ACE" w14:paraId="1A645B62" w14:textId="77777777" w:rsidTr="00E77D7E">
        <w:trPr>
          <w:trHeight w:val="397"/>
          <w:jc w:val="center"/>
        </w:trPr>
        <w:tc>
          <w:tcPr>
            <w:tcW w:w="474" w:type="dxa"/>
            <w:tcBorders>
              <w:top w:val="nil"/>
              <w:left w:val="nil"/>
              <w:bottom w:val="single" w:sz="4" w:space="0" w:color="FFFFFF"/>
              <w:right w:val="nil"/>
            </w:tcBorders>
            <w:shd w:val="clear" w:color="000000" w:fill="D9D9D9"/>
            <w:vAlign w:val="center"/>
            <w:hideMark/>
          </w:tcPr>
          <w:p w14:paraId="743C11CD" w14:textId="77777777" w:rsidR="00CA7D42" w:rsidRPr="00B23ACE" w:rsidRDefault="00CA7D42" w:rsidP="00CC67B8">
            <w:pPr>
              <w:pStyle w:val="Tabletext"/>
            </w:pPr>
            <w:r w:rsidRPr="00B23ACE">
              <w:t>2</w:t>
            </w:r>
          </w:p>
        </w:tc>
        <w:tc>
          <w:tcPr>
            <w:tcW w:w="2503" w:type="dxa"/>
            <w:tcBorders>
              <w:top w:val="nil"/>
              <w:left w:val="nil"/>
              <w:bottom w:val="single" w:sz="4" w:space="0" w:color="FFFFFF"/>
              <w:right w:val="nil"/>
            </w:tcBorders>
            <w:shd w:val="clear" w:color="000000" w:fill="D9D9D9"/>
            <w:vAlign w:val="center"/>
            <w:hideMark/>
          </w:tcPr>
          <w:p w14:paraId="3F83DF02" w14:textId="77777777" w:rsidR="00CA7D42" w:rsidRPr="00461CCC" w:rsidRDefault="00CA7D42" w:rsidP="00CC67B8">
            <w:pPr>
              <w:pStyle w:val="Tabletext"/>
            </w:pPr>
            <w:r w:rsidRPr="00461CCC">
              <w:t xml:space="preserve">Long-term interest rate </w:t>
            </w:r>
          </w:p>
        </w:tc>
        <w:tc>
          <w:tcPr>
            <w:tcW w:w="1501" w:type="dxa"/>
            <w:tcBorders>
              <w:top w:val="nil"/>
              <w:left w:val="nil"/>
              <w:bottom w:val="single" w:sz="4" w:space="0" w:color="FFFFFF"/>
              <w:right w:val="nil"/>
            </w:tcBorders>
            <w:shd w:val="clear" w:color="000000" w:fill="D9D9D9"/>
            <w:vAlign w:val="center"/>
            <w:hideMark/>
          </w:tcPr>
          <w:p w14:paraId="410F1B2E" w14:textId="77777777" w:rsidR="00CA7D42" w:rsidRPr="00461CCC" w:rsidRDefault="00CA7D42" w:rsidP="00CC67B8">
            <w:pPr>
              <w:pStyle w:val="Tabletext"/>
            </w:pPr>
            <w:r w:rsidRPr="00461CCC">
              <w:t xml:space="preserve">(%, annual average) </w:t>
            </w:r>
          </w:p>
        </w:tc>
        <w:tc>
          <w:tcPr>
            <w:tcW w:w="729" w:type="dxa"/>
            <w:tcBorders>
              <w:top w:val="nil"/>
              <w:left w:val="nil"/>
              <w:bottom w:val="single" w:sz="4" w:space="0" w:color="FFFFFF"/>
              <w:right w:val="nil"/>
            </w:tcBorders>
            <w:shd w:val="clear" w:color="000000" w:fill="D9D9D9"/>
            <w:vAlign w:val="center"/>
            <w:hideMark/>
          </w:tcPr>
          <w:p w14:paraId="7B928A2D" w14:textId="77777777" w:rsidR="00CA7D42" w:rsidRPr="00461CCC" w:rsidRDefault="00CA7D42" w:rsidP="00CC67B8">
            <w:pPr>
              <w:pStyle w:val="Tabletext"/>
              <w:jc w:val="center"/>
            </w:pPr>
            <w:r w:rsidRPr="006B623B">
              <w:t>4.0</w:t>
            </w:r>
          </w:p>
        </w:tc>
        <w:tc>
          <w:tcPr>
            <w:tcW w:w="729" w:type="dxa"/>
            <w:tcBorders>
              <w:top w:val="nil"/>
              <w:left w:val="nil"/>
              <w:bottom w:val="single" w:sz="4" w:space="0" w:color="FFFFFF"/>
              <w:right w:val="nil"/>
            </w:tcBorders>
            <w:shd w:val="clear" w:color="000000" w:fill="D9D9D9"/>
            <w:vAlign w:val="center"/>
            <w:hideMark/>
          </w:tcPr>
          <w:p w14:paraId="3FCBD1B7" w14:textId="77777777" w:rsidR="00CA7D42" w:rsidRPr="00461CCC" w:rsidRDefault="00CA7D42" w:rsidP="00CC67B8">
            <w:pPr>
              <w:pStyle w:val="Tabletext"/>
              <w:jc w:val="center"/>
            </w:pPr>
            <w:r w:rsidRPr="006B623B">
              <w:t>3.5</w:t>
            </w:r>
          </w:p>
        </w:tc>
        <w:tc>
          <w:tcPr>
            <w:tcW w:w="729" w:type="dxa"/>
            <w:tcBorders>
              <w:top w:val="nil"/>
              <w:left w:val="nil"/>
              <w:bottom w:val="single" w:sz="4" w:space="0" w:color="FFFFFF"/>
              <w:right w:val="nil"/>
            </w:tcBorders>
            <w:shd w:val="clear" w:color="000000" w:fill="D9D9D9"/>
            <w:vAlign w:val="center"/>
            <w:hideMark/>
          </w:tcPr>
          <w:p w14:paraId="09392C94" w14:textId="77777777" w:rsidR="00CA7D42" w:rsidRPr="00461CCC" w:rsidRDefault="00CA7D42" w:rsidP="00CC67B8">
            <w:pPr>
              <w:pStyle w:val="Tabletext"/>
              <w:jc w:val="center"/>
            </w:pPr>
            <w:r w:rsidRPr="006B623B">
              <w:t>3.7</w:t>
            </w:r>
          </w:p>
        </w:tc>
        <w:tc>
          <w:tcPr>
            <w:tcW w:w="729" w:type="dxa"/>
            <w:tcBorders>
              <w:top w:val="nil"/>
              <w:left w:val="nil"/>
              <w:right w:val="nil"/>
            </w:tcBorders>
            <w:shd w:val="clear" w:color="000000" w:fill="D9D9D9"/>
            <w:vAlign w:val="center"/>
            <w:hideMark/>
          </w:tcPr>
          <w:p w14:paraId="716FEE19" w14:textId="77777777" w:rsidR="00CA7D42" w:rsidRPr="00461CCC" w:rsidRDefault="00CA7D42" w:rsidP="00CC67B8">
            <w:pPr>
              <w:pStyle w:val="Tabletext"/>
              <w:jc w:val="center"/>
            </w:pPr>
            <w:r w:rsidRPr="006B623B">
              <w:t>3.8</w:t>
            </w:r>
          </w:p>
        </w:tc>
        <w:tc>
          <w:tcPr>
            <w:tcW w:w="729" w:type="dxa"/>
            <w:tcBorders>
              <w:top w:val="nil"/>
              <w:left w:val="nil"/>
              <w:right w:val="nil"/>
            </w:tcBorders>
            <w:shd w:val="clear" w:color="000000" w:fill="D9D9D9"/>
            <w:vAlign w:val="center"/>
            <w:hideMark/>
          </w:tcPr>
          <w:p w14:paraId="6E0E2818" w14:textId="77777777" w:rsidR="00CA7D42" w:rsidRPr="00461CCC" w:rsidRDefault="00CA7D42" w:rsidP="00CC67B8">
            <w:pPr>
              <w:pStyle w:val="Tabletext"/>
              <w:jc w:val="center"/>
            </w:pPr>
            <w:r w:rsidRPr="006B623B">
              <w:t>3.9</w:t>
            </w:r>
          </w:p>
        </w:tc>
        <w:tc>
          <w:tcPr>
            <w:tcW w:w="729" w:type="dxa"/>
            <w:tcBorders>
              <w:top w:val="nil"/>
              <w:left w:val="nil"/>
              <w:right w:val="nil"/>
            </w:tcBorders>
            <w:shd w:val="clear" w:color="000000" w:fill="D9D9D9"/>
            <w:vAlign w:val="center"/>
            <w:hideMark/>
          </w:tcPr>
          <w:p w14:paraId="30251A07" w14:textId="77777777" w:rsidR="00CA7D42" w:rsidRPr="00461CCC" w:rsidRDefault="00CA7D42" w:rsidP="00CC67B8">
            <w:pPr>
              <w:pStyle w:val="Tabletext"/>
              <w:jc w:val="center"/>
            </w:pPr>
            <w:r w:rsidRPr="006B623B">
              <w:t>4.0</w:t>
            </w:r>
          </w:p>
        </w:tc>
      </w:tr>
      <w:tr w:rsidR="00CA7D42" w:rsidRPr="00B23ACE" w14:paraId="0C6AA788" w14:textId="77777777" w:rsidTr="00E77D7E">
        <w:trPr>
          <w:trHeight w:val="397"/>
          <w:jc w:val="center"/>
        </w:trPr>
        <w:tc>
          <w:tcPr>
            <w:tcW w:w="474" w:type="dxa"/>
            <w:tcBorders>
              <w:top w:val="nil"/>
              <w:left w:val="nil"/>
              <w:bottom w:val="single" w:sz="4" w:space="0" w:color="FFFFFF"/>
              <w:right w:val="nil"/>
            </w:tcBorders>
            <w:shd w:val="clear" w:color="000000" w:fill="F2F2F2"/>
            <w:vAlign w:val="center"/>
            <w:hideMark/>
          </w:tcPr>
          <w:p w14:paraId="1712741A" w14:textId="77777777" w:rsidR="00CA7D42" w:rsidRPr="00B23ACE" w:rsidRDefault="00CA7D42" w:rsidP="00CC67B8">
            <w:pPr>
              <w:pStyle w:val="Tabletext"/>
            </w:pPr>
            <w:r w:rsidRPr="00B23ACE">
              <w:t>3</w:t>
            </w:r>
          </w:p>
        </w:tc>
        <w:tc>
          <w:tcPr>
            <w:tcW w:w="2503" w:type="dxa"/>
            <w:tcBorders>
              <w:top w:val="nil"/>
              <w:left w:val="nil"/>
              <w:bottom w:val="single" w:sz="4" w:space="0" w:color="FFFFFF"/>
              <w:right w:val="nil"/>
            </w:tcBorders>
            <w:shd w:val="clear" w:color="000000" w:fill="F2F2F2"/>
            <w:vAlign w:val="center"/>
            <w:hideMark/>
          </w:tcPr>
          <w:p w14:paraId="39FCD772" w14:textId="77777777" w:rsidR="00CA7D42" w:rsidRPr="00461CCC" w:rsidRDefault="00CA7D42" w:rsidP="00CC67B8">
            <w:pPr>
              <w:pStyle w:val="Tabletext"/>
            </w:pPr>
            <w:r w:rsidRPr="00461CCC">
              <w:t xml:space="preserve">USD/EUR exchange rate </w:t>
            </w:r>
          </w:p>
        </w:tc>
        <w:tc>
          <w:tcPr>
            <w:tcW w:w="1501" w:type="dxa"/>
            <w:tcBorders>
              <w:top w:val="nil"/>
              <w:left w:val="nil"/>
              <w:bottom w:val="single" w:sz="4" w:space="0" w:color="FFFFFF"/>
              <w:right w:val="nil"/>
            </w:tcBorders>
            <w:shd w:val="clear" w:color="000000" w:fill="F2F2F2"/>
            <w:vAlign w:val="center"/>
            <w:hideMark/>
          </w:tcPr>
          <w:p w14:paraId="33E20DA0" w14:textId="77777777" w:rsidR="00CA7D42" w:rsidRPr="00461CCC" w:rsidRDefault="00CA7D42" w:rsidP="00CC67B8">
            <w:pPr>
              <w:pStyle w:val="Tabletext"/>
            </w:pPr>
            <w:r w:rsidRPr="00461CCC">
              <w:t xml:space="preserve">(annual average) </w:t>
            </w:r>
          </w:p>
        </w:tc>
        <w:tc>
          <w:tcPr>
            <w:tcW w:w="729" w:type="dxa"/>
            <w:tcBorders>
              <w:top w:val="nil"/>
              <w:left w:val="nil"/>
              <w:bottom w:val="single" w:sz="4" w:space="0" w:color="FFFFFF"/>
              <w:right w:val="nil"/>
            </w:tcBorders>
            <w:shd w:val="clear" w:color="000000" w:fill="F2F2F2"/>
            <w:vAlign w:val="center"/>
            <w:hideMark/>
          </w:tcPr>
          <w:p w14:paraId="02318B78" w14:textId="77777777" w:rsidR="00CA7D42" w:rsidRPr="00461CCC" w:rsidRDefault="00CA7D42" w:rsidP="00CC67B8">
            <w:pPr>
              <w:pStyle w:val="Tabletext"/>
              <w:jc w:val="center"/>
            </w:pPr>
            <w:r w:rsidRPr="006B623B">
              <w:t>1.1</w:t>
            </w:r>
          </w:p>
        </w:tc>
        <w:tc>
          <w:tcPr>
            <w:tcW w:w="729" w:type="dxa"/>
            <w:tcBorders>
              <w:top w:val="nil"/>
              <w:left w:val="nil"/>
              <w:bottom w:val="single" w:sz="4" w:space="0" w:color="FFFFFF"/>
              <w:right w:val="nil"/>
            </w:tcBorders>
            <w:shd w:val="clear" w:color="000000" w:fill="F2F2F2"/>
            <w:vAlign w:val="center"/>
            <w:hideMark/>
          </w:tcPr>
          <w:p w14:paraId="41C033FD" w14:textId="77777777" w:rsidR="00CA7D42" w:rsidRPr="00461CCC" w:rsidRDefault="00CA7D42" w:rsidP="00CC67B8">
            <w:pPr>
              <w:pStyle w:val="Tabletext"/>
              <w:jc w:val="center"/>
            </w:pPr>
            <w:r w:rsidRPr="006B623B">
              <w:t>1.1</w:t>
            </w:r>
          </w:p>
        </w:tc>
        <w:tc>
          <w:tcPr>
            <w:tcW w:w="729" w:type="dxa"/>
            <w:tcBorders>
              <w:top w:val="single" w:sz="4" w:space="0" w:color="FFFFFF"/>
              <w:left w:val="nil"/>
              <w:bottom w:val="single" w:sz="4" w:space="0" w:color="FFFFFF"/>
              <w:right w:val="nil"/>
            </w:tcBorders>
            <w:shd w:val="clear" w:color="000000" w:fill="F2F2F2"/>
            <w:vAlign w:val="center"/>
            <w:hideMark/>
          </w:tcPr>
          <w:p w14:paraId="05975000" w14:textId="77777777" w:rsidR="00CA7D42" w:rsidRPr="00461CCC" w:rsidRDefault="00CA7D42" w:rsidP="00CC67B8">
            <w:pPr>
              <w:pStyle w:val="Tabletext"/>
              <w:jc w:val="center"/>
            </w:pPr>
            <w:r w:rsidRPr="006B623B">
              <w:t>1.1</w:t>
            </w:r>
          </w:p>
        </w:tc>
        <w:tc>
          <w:tcPr>
            <w:tcW w:w="729" w:type="dxa"/>
            <w:tcBorders>
              <w:left w:val="nil"/>
              <w:right w:val="nil"/>
            </w:tcBorders>
            <w:shd w:val="clear" w:color="auto" w:fill="A6A6A6" w:themeFill="background1" w:themeFillShade="A6"/>
            <w:vAlign w:val="center"/>
          </w:tcPr>
          <w:p w14:paraId="18E4C760"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1BC16A45"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66169BFA" w14:textId="77777777" w:rsidR="00CA7D42" w:rsidRPr="00461CCC" w:rsidRDefault="00CA7D42" w:rsidP="00CC67B8">
            <w:pPr>
              <w:pStyle w:val="Tabletext"/>
              <w:jc w:val="center"/>
            </w:pPr>
          </w:p>
        </w:tc>
      </w:tr>
      <w:tr w:rsidR="00CA7D42" w:rsidRPr="00B23ACE" w14:paraId="5F0BFC0C" w14:textId="77777777" w:rsidTr="00E77D7E">
        <w:trPr>
          <w:trHeight w:val="397"/>
          <w:jc w:val="center"/>
        </w:trPr>
        <w:tc>
          <w:tcPr>
            <w:tcW w:w="474" w:type="dxa"/>
            <w:tcBorders>
              <w:top w:val="nil"/>
              <w:left w:val="nil"/>
              <w:bottom w:val="single" w:sz="4" w:space="0" w:color="FFFFFF"/>
              <w:right w:val="nil"/>
            </w:tcBorders>
            <w:shd w:val="clear" w:color="000000" w:fill="D9D9D9"/>
            <w:vAlign w:val="center"/>
            <w:hideMark/>
          </w:tcPr>
          <w:p w14:paraId="72A9BA7C" w14:textId="77777777" w:rsidR="00CA7D42" w:rsidRPr="00B23ACE" w:rsidRDefault="00CA7D42" w:rsidP="00CC67B8">
            <w:pPr>
              <w:pStyle w:val="Tabletext"/>
            </w:pPr>
            <w:r w:rsidRPr="00B23ACE">
              <w:t>4</w:t>
            </w:r>
          </w:p>
        </w:tc>
        <w:tc>
          <w:tcPr>
            <w:tcW w:w="2503" w:type="dxa"/>
            <w:tcBorders>
              <w:top w:val="nil"/>
              <w:left w:val="nil"/>
              <w:bottom w:val="single" w:sz="4" w:space="0" w:color="FFFFFF"/>
              <w:right w:val="nil"/>
            </w:tcBorders>
            <w:shd w:val="clear" w:color="000000" w:fill="D9D9D9"/>
            <w:vAlign w:val="center"/>
            <w:hideMark/>
          </w:tcPr>
          <w:p w14:paraId="74641C15" w14:textId="77777777" w:rsidR="00CA7D42" w:rsidRPr="00461CCC" w:rsidRDefault="00CA7D42" w:rsidP="00CC67B8">
            <w:pPr>
              <w:pStyle w:val="Tabletext"/>
            </w:pPr>
            <w:r w:rsidRPr="00461CCC">
              <w:t xml:space="preserve">NAC/EUR exchange rate (only for non-EA Member States) </w:t>
            </w:r>
          </w:p>
        </w:tc>
        <w:tc>
          <w:tcPr>
            <w:tcW w:w="1501" w:type="dxa"/>
            <w:tcBorders>
              <w:top w:val="nil"/>
              <w:left w:val="nil"/>
              <w:bottom w:val="single" w:sz="4" w:space="0" w:color="FFFFFF"/>
              <w:right w:val="nil"/>
            </w:tcBorders>
            <w:shd w:val="clear" w:color="000000" w:fill="D9D9D9"/>
            <w:vAlign w:val="center"/>
            <w:hideMark/>
          </w:tcPr>
          <w:p w14:paraId="3F964757" w14:textId="77777777" w:rsidR="00CA7D42" w:rsidRPr="00461CCC" w:rsidRDefault="00CA7D42" w:rsidP="00CC67B8">
            <w:pPr>
              <w:pStyle w:val="Tabletext"/>
            </w:pPr>
            <w:r w:rsidRPr="00461CCC">
              <w:t xml:space="preserve">(annual average) </w:t>
            </w:r>
          </w:p>
        </w:tc>
        <w:tc>
          <w:tcPr>
            <w:tcW w:w="729" w:type="dxa"/>
            <w:tcBorders>
              <w:top w:val="nil"/>
              <w:left w:val="nil"/>
              <w:bottom w:val="single" w:sz="4" w:space="0" w:color="FFFFFF"/>
              <w:right w:val="nil"/>
            </w:tcBorders>
            <w:shd w:val="clear" w:color="auto" w:fill="A6A6A6" w:themeFill="background1" w:themeFillShade="A6"/>
            <w:vAlign w:val="center"/>
            <w:hideMark/>
          </w:tcPr>
          <w:p w14:paraId="033BBC3C" w14:textId="77777777" w:rsidR="00CA7D42" w:rsidRPr="00461CCC" w:rsidRDefault="00CA7D42" w:rsidP="00CC67B8">
            <w:pPr>
              <w:pStyle w:val="Tabletext"/>
              <w:jc w:val="center"/>
            </w:pPr>
          </w:p>
        </w:tc>
        <w:tc>
          <w:tcPr>
            <w:tcW w:w="729" w:type="dxa"/>
            <w:tcBorders>
              <w:top w:val="nil"/>
              <w:left w:val="nil"/>
              <w:bottom w:val="single" w:sz="4" w:space="0" w:color="FFFFFF"/>
              <w:right w:val="nil"/>
            </w:tcBorders>
            <w:shd w:val="clear" w:color="auto" w:fill="A6A6A6" w:themeFill="background1" w:themeFillShade="A6"/>
            <w:vAlign w:val="center"/>
            <w:hideMark/>
          </w:tcPr>
          <w:p w14:paraId="25B1054B" w14:textId="77777777" w:rsidR="00CA7D42" w:rsidRPr="00461CCC" w:rsidRDefault="00CA7D42" w:rsidP="00CC67B8">
            <w:pPr>
              <w:pStyle w:val="Tabletext"/>
              <w:jc w:val="center"/>
            </w:pPr>
          </w:p>
        </w:tc>
        <w:tc>
          <w:tcPr>
            <w:tcW w:w="729" w:type="dxa"/>
            <w:tcBorders>
              <w:top w:val="nil"/>
              <w:left w:val="nil"/>
              <w:bottom w:val="single" w:sz="4" w:space="0" w:color="FFFFFF"/>
              <w:right w:val="nil"/>
            </w:tcBorders>
            <w:shd w:val="clear" w:color="auto" w:fill="A6A6A6" w:themeFill="background1" w:themeFillShade="A6"/>
            <w:vAlign w:val="center"/>
            <w:hideMark/>
          </w:tcPr>
          <w:p w14:paraId="1324CA45" w14:textId="77777777" w:rsidR="00CA7D42" w:rsidRPr="00461CCC" w:rsidRDefault="00CA7D42" w:rsidP="00CC67B8">
            <w:pPr>
              <w:pStyle w:val="Tabletext"/>
              <w:jc w:val="center"/>
            </w:pPr>
          </w:p>
        </w:tc>
        <w:tc>
          <w:tcPr>
            <w:tcW w:w="729" w:type="dxa"/>
            <w:tcBorders>
              <w:top w:val="nil"/>
              <w:left w:val="nil"/>
              <w:right w:val="nil"/>
            </w:tcBorders>
            <w:shd w:val="clear" w:color="auto" w:fill="A6A6A6" w:themeFill="background1" w:themeFillShade="A6"/>
            <w:vAlign w:val="center"/>
            <w:hideMark/>
          </w:tcPr>
          <w:p w14:paraId="05707025" w14:textId="77777777" w:rsidR="00CA7D42" w:rsidRPr="00461CCC" w:rsidRDefault="00CA7D42" w:rsidP="00CC67B8">
            <w:pPr>
              <w:pStyle w:val="Tabletext"/>
              <w:jc w:val="center"/>
            </w:pPr>
          </w:p>
        </w:tc>
        <w:tc>
          <w:tcPr>
            <w:tcW w:w="729" w:type="dxa"/>
            <w:tcBorders>
              <w:top w:val="nil"/>
              <w:left w:val="nil"/>
              <w:right w:val="nil"/>
            </w:tcBorders>
            <w:shd w:val="clear" w:color="auto" w:fill="A6A6A6" w:themeFill="background1" w:themeFillShade="A6"/>
            <w:vAlign w:val="center"/>
            <w:hideMark/>
          </w:tcPr>
          <w:p w14:paraId="458ADBF6" w14:textId="77777777" w:rsidR="00CA7D42" w:rsidRPr="00461CCC" w:rsidRDefault="00CA7D42" w:rsidP="00CC67B8">
            <w:pPr>
              <w:pStyle w:val="Tabletext"/>
              <w:jc w:val="center"/>
            </w:pPr>
          </w:p>
        </w:tc>
        <w:tc>
          <w:tcPr>
            <w:tcW w:w="729" w:type="dxa"/>
            <w:tcBorders>
              <w:top w:val="nil"/>
              <w:left w:val="nil"/>
              <w:right w:val="nil"/>
            </w:tcBorders>
            <w:shd w:val="clear" w:color="auto" w:fill="A6A6A6" w:themeFill="background1" w:themeFillShade="A6"/>
            <w:vAlign w:val="center"/>
            <w:hideMark/>
          </w:tcPr>
          <w:p w14:paraId="7B253FC2" w14:textId="77777777" w:rsidR="00CA7D42" w:rsidRPr="00461CCC" w:rsidRDefault="00CA7D42" w:rsidP="00CC67B8">
            <w:pPr>
              <w:pStyle w:val="Tabletext"/>
              <w:jc w:val="center"/>
            </w:pPr>
          </w:p>
        </w:tc>
      </w:tr>
      <w:tr w:rsidR="00CA7D42" w:rsidRPr="00B23ACE" w14:paraId="781BC6B9" w14:textId="77777777" w:rsidTr="00E77D7E">
        <w:trPr>
          <w:trHeight w:val="397"/>
          <w:jc w:val="center"/>
        </w:trPr>
        <w:tc>
          <w:tcPr>
            <w:tcW w:w="474" w:type="dxa"/>
            <w:tcBorders>
              <w:top w:val="nil"/>
              <w:left w:val="nil"/>
              <w:bottom w:val="single" w:sz="4" w:space="0" w:color="FFFFFF"/>
              <w:right w:val="nil"/>
            </w:tcBorders>
            <w:shd w:val="clear" w:color="000000" w:fill="F2F2F2"/>
            <w:vAlign w:val="center"/>
            <w:hideMark/>
          </w:tcPr>
          <w:p w14:paraId="69D13AE3" w14:textId="77777777" w:rsidR="00CA7D42" w:rsidRPr="00B23ACE" w:rsidRDefault="00CA7D42" w:rsidP="00CC67B8">
            <w:pPr>
              <w:pStyle w:val="Tabletext"/>
            </w:pPr>
            <w:r w:rsidRPr="00B23ACE">
              <w:t>5</w:t>
            </w:r>
          </w:p>
        </w:tc>
        <w:tc>
          <w:tcPr>
            <w:tcW w:w="2503" w:type="dxa"/>
            <w:tcBorders>
              <w:top w:val="nil"/>
              <w:left w:val="nil"/>
              <w:bottom w:val="single" w:sz="4" w:space="0" w:color="FFFFFF"/>
              <w:right w:val="nil"/>
            </w:tcBorders>
            <w:shd w:val="clear" w:color="000000" w:fill="F2F2F2"/>
            <w:vAlign w:val="center"/>
            <w:hideMark/>
          </w:tcPr>
          <w:p w14:paraId="1ACD1133" w14:textId="6B38F775" w:rsidR="00CA7D42" w:rsidRPr="00461CCC" w:rsidRDefault="00CA7D42" w:rsidP="00CC67B8">
            <w:pPr>
              <w:pStyle w:val="Tabletext"/>
            </w:pPr>
            <w:r w:rsidRPr="00461CCC">
              <w:t xml:space="preserve">World real GDP </w:t>
            </w:r>
            <w:r w:rsidR="009D7374">
              <w:br/>
            </w:r>
            <w:r w:rsidRPr="00461CCC">
              <w:t xml:space="preserve">(excluding EU) </w:t>
            </w:r>
          </w:p>
        </w:tc>
        <w:tc>
          <w:tcPr>
            <w:tcW w:w="1501" w:type="dxa"/>
            <w:tcBorders>
              <w:top w:val="nil"/>
              <w:left w:val="nil"/>
              <w:bottom w:val="single" w:sz="4" w:space="0" w:color="FFFFFF"/>
              <w:right w:val="nil"/>
            </w:tcBorders>
            <w:shd w:val="clear" w:color="000000" w:fill="F2F2F2"/>
            <w:vAlign w:val="center"/>
            <w:hideMark/>
          </w:tcPr>
          <w:p w14:paraId="4819993C" w14:textId="77777777" w:rsidR="00CA7D42" w:rsidRPr="00461CCC" w:rsidRDefault="00CA7D42" w:rsidP="00CC67B8">
            <w:pPr>
              <w:pStyle w:val="Tabletext"/>
            </w:pPr>
            <w:r w:rsidRPr="00461CCC">
              <w:t>(growth rate)</w:t>
            </w:r>
          </w:p>
        </w:tc>
        <w:tc>
          <w:tcPr>
            <w:tcW w:w="729" w:type="dxa"/>
            <w:tcBorders>
              <w:top w:val="nil"/>
              <w:left w:val="nil"/>
              <w:bottom w:val="single" w:sz="4" w:space="0" w:color="FFFFFF"/>
              <w:right w:val="nil"/>
            </w:tcBorders>
            <w:shd w:val="clear" w:color="000000" w:fill="F2F2F2"/>
            <w:vAlign w:val="center"/>
            <w:hideMark/>
          </w:tcPr>
          <w:p w14:paraId="1918661F" w14:textId="77777777" w:rsidR="00CA7D42" w:rsidRPr="00461CCC" w:rsidRDefault="00CA7D42" w:rsidP="00CC67B8">
            <w:pPr>
              <w:pStyle w:val="Tabletext"/>
              <w:jc w:val="center"/>
            </w:pPr>
            <w:r w:rsidRPr="00F26A5D">
              <w:t>3.6</w:t>
            </w:r>
          </w:p>
        </w:tc>
        <w:tc>
          <w:tcPr>
            <w:tcW w:w="729" w:type="dxa"/>
            <w:tcBorders>
              <w:top w:val="nil"/>
              <w:left w:val="nil"/>
              <w:bottom w:val="single" w:sz="4" w:space="0" w:color="FFFFFF"/>
              <w:right w:val="nil"/>
            </w:tcBorders>
            <w:shd w:val="clear" w:color="000000" w:fill="F2F2F2"/>
            <w:vAlign w:val="center"/>
            <w:hideMark/>
          </w:tcPr>
          <w:p w14:paraId="58126623" w14:textId="77777777" w:rsidR="00CA7D42" w:rsidRPr="00461CCC" w:rsidRDefault="00CA7D42" w:rsidP="00CC67B8">
            <w:pPr>
              <w:pStyle w:val="Tabletext"/>
              <w:jc w:val="center"/>
            </w:pPr>
            <w:r w:rsidRPr="00F26A5D">
              <w:t>3.5</w:t>
            </w:r>
          </w:p>
        </w:tc>
        <w:tc>
          <w:tcPr>
            <w:tcW w:w="729" w:type="dxa"/>
            <w:tcBorders>
              <w:top w:val="single" w:sz="4" w:space="0" w:color="FFFFFF"/>
              <w:left w:val="nil"/>
              <w:bottom w:val="single" w:sz="4" w:space="0" w:color="FFFFFF"/>
              <w:right w:val="nil"/>
            </w:tcBorders>
            <w:shd w:val="clear" w:color="000000" w:fill="F2F2F2"/>
            <w:vAlign w:val="center"/>
            <w:hideMark/>
          </w:tcPr>
          <w:p w14:paraId="54E5335E" w14:textId="77777777" w:rsidR="00CA7D42" w:rsidRPr="00461CCC" w:rsidRDefault="00CA7D42" w:rsidP="00CC67B8">
            <w:pPr>
              <w:pStyle w:val="Tabletext"/>
              <w:jc w:val="center"/>
            </w:pPr>
            <w:r w:rsidRPr="00F26A5D">
              <w:t>3.6</w:t>
            </w:r>
          </w:p>
        </w:tc>
        <w:tc>
          <w:tcPr>
            <w:tcW w:w="729" w:type="dxa"/>
            <w:tcBorders>
              <w:left w:val="nil"/>
              <w:right w:val="nil"/>
            </w:tcBorders>
            <w:shd w:val="clear" w:color="auto" w:fill="A6A6A6" w:themeFill="background1" w:themeFillShade="A6"/>
            <w:vAlign w:val="center"/>
          </w:tcPr>
          <w:p w14:paraId="77F07124"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5E3163AB"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27C97F0C" w14:textId="77777777" w:rsidR="00CA7D42" w:rsidRPr="00461CCC" w:rsidRDefault="00CA7D42" w:rsidP="00CC67B8">
            <w:pPr>
              <w:pStyle w:val="Tabletext"/>
              <w:jc w:val="center"/>
            </w:pPr>
          </w:p>
        </w:tc>
      </w:tr>
      <w:tr w:rsidR="00CA7D42" w:rsidRPr="00B23ACE" w14:paraId="034C5517" w14:textId="77777777" w:rsidTr="00E77D7E">
        <w:trPr>
          <w:trHeight w:val="397"/>
          <w:jc w:val="center"/>
        </w:trPr>
        <w:tc>
          <w:tcPr>
            <w:tcW w:w="474" w:type="dxa"/>
            <w:tcBorders>
              <w:top w:val="nil"/>
              <w:left w:val="nil"/>
              <w:bottom w:val="single" w:sz="4" w:space="0" w:color="FFFFFF"/>
              <w:right w:val="nil"/>
            </w:tcBorders>
            <w:shd w:val="clear" w:color="000000" w:fill="D9D9D9"/>
            <w:vAlign w:val="center"/>
            <w:hideMark/>
          </w:tcPr>
          <w:p w14:paraId="5CA39F77" w14:textId="77777777" w:rsidR="00CA7D42" w:rsidRPr="00B23ACE" w:rsidRDefault="00CA7D42" w:rsidP="00CC67B8">
            <w:pPr>
              <w:pStyle w:val="Tabletext"/>
            </w:pPr>
            <w:r w:rsidRPr="00B23ACE">
              <w:t>6</w:t>
            </w:r>
          </w:p>
        </w:tc>
        <w:tc>
          <w:tcPr>
            <w:tcW w:w="2503" w:type="dxa"/>
            <w:tcBorders>
              <w:top w:val="nil"/>
              <w:left w:val="nil"/>
              <w:bottom w:val="single" w:sz="4" w:space="0" w:color="FFFFFF"/>
              <w:right w:val="nil"/>
            </w:tcBorders>
            <w:shd w:val="clear" w:color="000000" w:fill="D9D9D9"/>
            <w:vAlign w:val="center"/>
            <w:hideMark/>
          </w:tcPr>
          <w:p w14:paraId="0C29869A" w14:textId="77777777" w:rsidR="00CA7D42" w:rsidRPr="00461CCC" w:rsidRDefault="00CA7D42" w:rsidP="00CC67B8">
            <w:pPr>
              <w:pStyle w:val="Tabletext"/>
            </w:pPr>
            <w:r w:rsidRPr="00461CCC">
              <w:t xml:space="preserve">EU real GDP </w:t>
            </w:r>
          </w:p>
        </w:tc>
        <w:tc>
          <w:tcPr>
            <w:tcW w:w="1501" w:type="dxa"/>
            <w:tcBorders>
              <w:top w:val="nil"/>
              <w:left w:val="nil"/>
              <w:bottom w:val="single" w:sz="4" w:space="0" w:color="FFFFFF"/>
              <w:right w:val="nil"/>
            </w:tcBorders>
            <w:shd w:val="clear" w:color="000000" w:fill="D9D9D9"/>
            <w:vAlign w:val="center"/>
            <w:hideMark/>
          </w:tcPr>
          <w:p w14:paraId="301D8AC7" w14:textId="77777777" w:rsidR="00CA7D42" w:rsidRPr="00461CCC" w:rsidRDefault="00CA7D42" w:rsidP="00CC67B8">
            <w:pPr>
              <w:pStyle w:val="Tabletext"/>
            </w:pPr>
            <w:r w:rsidRPr="00461CCC">
              <w:t>(growth rate)</w:t>
            </w:r>
          </w:p>
        </w:tc>
        <w:tc>
          <w:tcPr>
            <w:tcW w:w="729" w:type="dxa"/>
            <w:tcBorders>
              <w:top w:val="nil"/>
              <w:left w:val="nil"/>
              <w:bottom w:val="single" w:sz="4" w:space="0" w:color="FFFFFF"/>
              <w:right w:val="nil"/>
            </w:tcBorders>
            <w:shd w:val="clear" w:color="000000" w:fill="D9D9D9"/>
            <w:vAlign w:val="center"/>
            <w:hideMark/>
          </w:tcPr>
          <w:p w14:paraId="7861BD0C" w14:textId="77777777" w:rsidR="00CA7D42" w:rsidRPr="00461CCC" w:rsidRDefault="00CA7D42" w:rsidP="00CC67B8">
            <w:pPr>
              <w:pStyle w:val="Tabletext"/>
              <w:jc w:val="center"/>
            </w:pPr>
            <w:r w:rsidRPr="00F26A5D">
              <w:t>0.4</w:t>
            </w:r>
          </w:p>
        </w:tc>
        <w:tc>
          <w:tcPr>
            <w:tcW w:w="729" w:type="dxa"/>
            <w:tcBorders>
              <w:top w:val="nil"/>
              <w:left w:val="nil"/>
              <w:bottom w:val="single" w:sz="4" w:space="0" w:color="FFFFFF"/>
              <w:right w:val="nil"/>
            </w:tcBorders>
            <w:shd w:val="clear" w:color="000000" w:fill="D9D9D9"/>
            <w:vAlign w:val="center"/>
            <w:hideMark/>
          </w:tcPr>
          <w:p w14:paraId="589E5D82" w14:textId="77777777" w:rsidR="00CA7D42" w:rsidRPr="00461CCC" w:rsidRDefault="00CA7D42" w:rsidP="00CC67B8">
            <w:pPr>
              <w:pStyle w:val="Tabletext"/>
              <w:jc w:val="center"/>
            </w:pPr>
            <w:r w:rsidRPr="00F26A5D">
              <w:t>1.0</w:t>
            </w:r>
          </w:p>
        </w:tc>
        <w:tc>
          <w:tcPr>
            <w:tcW w:w="729" w:type="dxa"/>
            <w:tcBorders>
              <w:top w:val="single" w:sz="4" w:space="0" w:color="FFFFFF"/>
              <w:left w:val="nil"/>
              <w:bottom w:val="single" w:sz="4" w:space="0" w:color="FFFFFF"/>
              <w:right w:val="nil"/>
            </w:tcBorders>
            <w:shd w:val="clear" w:color="000000" w:fill="D9D9D9"/>
            <w:vAlign w:val="center"/>
            <w:hideMark/>
          </w:tcPr>
          <w:p w14:paraId="4E7630A6" w14:textId="77777777" w:rsidR="00CA7D42" w:rsidRPr="00461CCC" w:rsidRDefault="00CA7D42" w:rsidP="00CC67B8">
            <w:pPr>
              <w:pStyle w:val="Tabletext"/>
              <w:jc w:val="center"/>
            </w:pPr>
            <w:r w:rsidRPr="00F26A5D">
              <w:t>1.6</w:t>
            </w:r>
          </w:p>
        </w:tc>
        <w:tc>
          <w:tcPr>
            <w:tcW w:w="729" w:type="dxa"/>
            <w:tcBorders>
              <w:left w:val="nil"/>
              <w:right w:val="nil"/>
            </w:tcBorders>
            <w:shd w:val="clear" w:color="auto" w:fill="A6A6A6" w:themeFill="background1" w:themeFillShade="A6"/>
            <w:vAlign w:val="center"/>
          </w:tcPr>
          <w:p w14:paraId="273523C7"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3CAA4A1B"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6BE9CC37" w14:textId="77777777" w:rsidR="00CA7D42" w:rsidRPr="00461CCC" w:rsidRDefault="00CA7D42" w:rsidP="00CC67B8">
            <w:pPr>
              <w:pStyle w:val="Tabletext"/>
              <w:jc w:val="center"/>
            </w:pPr>
          </w:p>
        </w:tc>
      </w:tr>
      <w:tr w:rsidR="00CA7D42" w:rsidRPr="00B23ACE" w14:paraId="137B6C91" w14:textId="77777777" w:rsidTr="00E77D7E">
        <w:trPr>
          <w:trHeight w:val="397"/>
          <w:jc w:val="center"/>
        </w:trPr>
        <w:tc>
          <w:tcPr>
            <w:tcW w:w="474" w:type="dxa"/>
            <w:tcBorders>
              <w:top w:val="nil"/>
              <w:left w:val="nil"/>
              <w:right w:val="nil"/>
            </w:tcBorders>
            <w:shd w:val="clear" w:color="000000" w:fill="F2F2F2"/>
            <w:vAlign w:val="center"/>
            <w:hideMark/>
          </w:tcPr>
          <w:p w14:paraId="2269179E" w14:textId="77777777" w:rsidR="00CA7D42" w:rsidRPr="00B23ACE" w:rsidRDefault="00CA7D42" w:rsidP="00CC67B8">
            <w:pPr>
              <w:pStyle w:val="Tabletext"/>
            </w:pPr>
            <w:r w:rsidRPr="00B23ACE">
              <w:t>7</w:t>
            </w:r>
          </w:p>
        </w:tc>
        <w:tc>
          <w:tcPr>
            <w:tcW w:w="2503" w:type="dxa"/>
            <w:tcBorders>
              <w:top w:val="nil"/>
              <w:left w:val="nil"/>
              <w:right w:val="nil"/>
            </w:tcBorders>
            <w:shd w:val="clear" w:color="000000" w:fill="F2F2F2"/>
            <w:vAlign w:val="center"/>
            <w:hideMark/>
          </w:tcPr>
          <w:p w14:paraId="34BBCE16" w14:textId="77777777" w:rsidR="00CA7D42" w:rsidRPr="00461CCC" w:rsidRDefault="00CA7D42" w:rsidP="00CC67B8">
            <w:pPr>
              <w:pStyle w:val="Tabletext"/>
            </w:pPr>
            <w:r w:rsidRPr="00461CCC">
              <w:t xml:space="preserve">World import volumes, excluding EU </w:t>
            </w:r>
          </w:p>
        </w:tc>
        <w:tc>
          <w:tcPr>
            <w:tcW w:w="1501" w:type="dxa"/>
            <w:tcBorders>
              <w:top w:val="nil"/>
              <w:left w:val="nil"/>
              <w:right w:val="nil"/>
            </w:tcBorders>
            <w:shd w:val="clear" w:color="000000" w:fill="F2F2F2"/>
            <w:vAlign w:val="center"/>
            <w:hideMark/>
          </w:tcPr>
          <w:p w14:paraId="23DDE9A0" w14:textId="77777777" w:rsidR="00CA7D42" w:rsidRPr="00461CCC" w:rsidRDefault="00CA7D42" w:rsidP="00CC67B8">
            <w:pPr>
              <w:pStyle w:val="Tabletext"/>
            </w:pPr>
            <w:r w:rsidRPr="00461CCC">
              <w:t>(growth rate)</w:t>
            </w:r>
          </w:p>
        </w:tc>
        <w:tc>
          <w:tcPr>
            <w:tcW w:w="729" w:type="dxa"/>
            <w:tcBorders>
              <w:top w:val="nil"/>
              <w:left w:val="nil"/>
              <w:right w:val="nil"/>
            </w:tcBorders>
            <w:shd w:val="clear" w:color="000000" w:fill="F2F2F2"/>
            <w:vAlign w:val="center"/>
            <w:hideMark/>
          </w:tcPr>
          <w:p w14:paraId="13586B7B" w14:textId="77777777" w:rsidR="00CA7D42" w:rsidRPr="00461CCC" w:rsidRDefault="00CA7D42" w:rsidP="00CC67B8">
            <w:pPr>
              <w:pStyle w:val="Tabletext"/>
              <w:jc w:val="center"/>
            </w:pPr>
            <w:r w:rsidRPr="00F26A5D">
              <w:t>0.9</w:t>
            </w:r>
          </w:p>
        </w:tc>
        <w:tc>
          <w:tcPr>
            <w:tcW w:w="729" w:type="dxa"/>
            <w:tcBorders>
              <w:top w:val="nil"/>
              <w:left w:val="nil"/>
              <w:right w:val="nil"/>
            </w:tcBorders>
            <w:shd w:val="clear" w:color="000000" w:fill="F2F2F2"/>
            <w:vAlign w:val="center"/>
            <w:hideMark/>
          </w:tcPr>
          <w:p w14:paraId="422004AE" w14:textId="77777777" w:rsidR="00CA7D42" w:rsidRPr="00461CCC" w:rsidRDefault="00CA7D42" w:rsidP="00CC67B8">
            <w:pPr>
              <w:pStyle w:val="Tabletext"/>
              <w:jc w:val="center"/>
            </w:pPr>
            <w:r w:rsidRPr="00F26A5D">
              <w:t>3.3</w:t>
            </w:r>
          </w:p>
        </w:tc>
        <w:tc>
          <w:tcPr>
            <w:tcW w:w="729" w:type="dxa"/>
            <w:tcBorders>
              <w:top w:val="single" w:sz="4" w:space="0" w:color="FFFFFF"/>
              <w:left w:val="nil"/>
              <w:right w:val="nil"/>
            </w:tcBorders>
            <w:shd w:val="clear" w:color="000000" w:fill="F2F2F2"/>
            <w:vAlign w:val="center"/>
            <w:hideMark/>
          </w:tcPr>
          <w:p w14:paraId="61606D7D" w14:textId="77777777" w:rsidR="00CA7D42" w:rsidRPr="00461CCC" w:rsidRDefault="00CA7D42" w:rsidP="00CC67B8">
            <w:pPr>
              <w:pStyle w:val="Tabletext"/>
              <w:jc w:val="center"/>
            </w:pPr>
            <w:r w:rsidRPr="00F26A5D">
              <w:t>3.5</w:t>
            </w:r>
          </w:p>
        </w:tc>
        <w:tc>
          <w:tcPr>
            <w:tcW w:w="729" w:type="dxa"/>
            <w:tcBorders>
              <w:left w:val="nil"/>
              <w:right w:val="nil"/>
            </w:tcBorders>
            <w:shd w:val="clear" w:color="auto" w:fill="A6A6A6" w:themeFill="background1" w:themeFillShade="A6"/>
            <w:vAlign w:val="center"/>
          </w:tcPr>
          <w:p w14:paraId="4B552BED"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1D8302EF" w14:textId="77777777" w:rsidR="00CA7D42" w:rsidRPr="00461CCC" w:rsidRDefault="00CA7D42" w:rsidP="00CC67B8">
            <w:pPr>
              <w:pStyle w:val="Tabletext"/>
              <w:jc w:val="center"/>
            </w:pPr>
          </w:p>
        </w:tc>
        <w:tc>
          <w:tcPr>
            <w:tcW w:w="729" w:type="dxa"/>
            <w:tcBorders>
              <w:left w:val="nil"/>
              <w:right w:val="nil"/>
            </w:tcBorders>
            <w:shd w:val="clear" w:color="auto" w:fill="A6A6A6" w:themeFill="background1" w:themeFillShade="A6"/>
            <w:vAlign w:val="center"/>
          </w:tcPr>
          <w:p w14:paraId="46144A83" w14:textId="77777777" w:rsidR="00CA7D42" w:rsidRPr="00461CCC" w:rsidRDefault="00CA7D42" w:rsidP="00CC67B8">
            <w:pPr>
              <w:pStyle w:val="Tabletext"/>
              <w:jc w:val="center"/>
            </w:pPr>
          </w:p>
        </w:tc>
      </w:tr>
      <w:tr w:rsidR="00CA7D42" w:rsidRPr="00B23ACE" w14:paraId="6EE49B5B" w14:textId="77777777" w:rsidTr="00E77D7E">
        <w:trPr>
          <w:trHeight w:val="397"/>
          <w:jc w:val="center"/>
        </w:trPr>
        <w:tc>
          <w:tcPr>
            <w:tcW w:w="474" w:type="dxa"/>
            <w:tcBorders>
              <w:left w:val="nil"/>
              <w:bottom w:val="single" w:sz="18" w:space="0" w:color="4F81BD" w:themeColor="accent1"/>
              <w:right w:val="nil"/>
            </w:tcBorders>
            <w:shd w:val="clear" w:color="000000" w:fill="D9D9D9"/>
            <w:vAlign w:val="center"/>
            <w:hideMark/>
          </w:tcPr>
          <w:p w14:paraId="0100BC83" w14:textId="77777777" w:rsidR="00CA7D42" w:rsidRPr="00B23ACE" w:rsidRDefault="00CA7D42" w:rsidP="00CC67B8">
            <w:pPr>
              <w:pStyle w:val="Tabletext"/>
            </w:pPr>
            <w:r w:rsidRPr="00B23ACE">
              <w:t>8</w:t>
            </w:r>
          </w:p>
        </w:tc>
        <w:tc>
          <w:tcPr>
            <w:tcW w:w="2503" w:type="dxa"/>
            <w:tcBorders>
              <w:left w:val="nil"/>
              <w:bottom w:val="single" w:sz="18" w:space="0" w:color="4F81BD" w:themeColor="accent1"/>
              <w:right w:val="nil"/>
            </w:tcBorders>
            <w:shd w:val="clear" w:color="000000" w:fill="D9D9D9"/>
            <w:vAlign w:val="center"/>
            <w:hideMark/>
          </w:tcPr>
          <w:p w14:paraId="144CAC28" w14:textId="77777777" w:rsidR="00CA7D42" w:rsidRPr="00461CCC" w:rsidRDefault="00CA7D42" w:rsidP="00CC67B8">
            <w:pPr>
              <w:pStyle w:val="Tabletext"/>
            </w:pPr>
            <w:r w:rsidRPr="00461CCC">
              <w:t xml:space="preserve">Oil prices </w:t>
            </w:r>
          </w:p>
        </w:tc>
        <w:tc>
          <w:tcPr>
            <w:tcW w:w="1501" w:type="dxa"/>
            <w:tcBorders>
              <w:left w:val="nil"/>
              <w:bottom w:val="single" w:sz="18" w:space="0" w:color="4F81BD" w:themeColor="accent1"/>
              <w:right w:val="nil"/>
            </w:tcBorders>
            <w:shd w:val="clear" w:color="000000" w:fill="D9D9D9"/>
            <w:vAlign w:val="center"/>
            <w:hideMark/>
          </w:tcPr>
          <w:p w14:paraId="5C7547B5" w14:textId="77777777" w:rsidR="00CA7D42" w:rsidRPr="00461CCC" w:rsidRDefault="00CA7D42" w:rsidP="00CC67B8">
            <w:pPr>
              <w:pStyle w:val="Tabletext"/>
            </w:pPr>
            <w:r w:rsidRPr="00461CCC">
              <w:t>(Brent, USD/barrel)</w:t>
            </w:r>
          </w:p>
        </w:tc>
        <w:tc>
          <w:tcPr>
            <w:tcW w:w="729" w:type="dxa"/>
            <w:tcBorders>
              <w:left w:val="nil"/>
              <w:bottom w:val="single" w:sz="18" w:space="0" w:color="4F81BD" w:themeColor="accent1"/>
              <w:right w:val="nil"/>
            </w:tcBorders>
            <w:shd w:val="clear" w:color="000000" w:fill="D9D9D9"/>
            <w:vAlign w:val="center"/>
            <w:hideMark/>
          </w:tcPr>
          <w:p w14:paraId="1A4CD38B" w14:textId="77777777" w:rsidR="00CA7D42" w:rsidRPr="00461CCC" w:rsidRDefault="00CA7D42" w:rsidP="00CC67B8">
            <w:pPr>
              <w:pStyle w:val="Tabletext"/>
              <w:jc w:val="center"/>
            </w:pPr>
            <w:r w:rsidRPr="00F26A5D">
              <w:t>82.5</w:t>
            </w:r>
          </w:p>
        </w:tc>
        <w:tc>
          <w:tcPr>
            <w:tcW w:w="729" w:type="dxa"/>
            <w:tcBorders>
              <w:left w:val="nil"/>
              <w:bottom w:val="single" w:sz="18" w:space="0" w:color="4F81BD" w:themeColor="accent1"/>
              <w:right w:val="nil"/>
            </w:tcBorders>
            <w:shd w:val="clear" w:color="000000" w:fill="D9D9D9"/>
            <w:vAlign w:val="center"/>
            <w:hideMark/>
          </w:tcPr>
          <w:p w14:paraId="105C4321" w14:textId="77777777" w:rsidR="00CA7D42" w:rsidRPr="00461CCC" w:rsidRDefault="00CA7D42" w:rsidP="00CC67B8">
            <w:pPr>
              <w:pStyle w:val="Tabletext"/>
              <w:jc w:val="center"/>
            </w:pPr>
            <w:r w:rsidRPr="00F26A5D">
              <w:t>85.4</w:t>
            </w:r>
          </w:p>
        </w:tc>
        <w:tc>
          <w:tcPr>
            <w:tcW w:w="729" w:type="dxa"/>
            <w:tcBorders>
              <w:left w:val="nil"/>
              <w:bottom w:val="single" w:sz="18" w:space="0" w:color="4F81BD" w:themeColor="accent1"/>
              <w:right w:val="nil"/>
            </w:tcBorders>
            <w:shd w:val="clear" w:color="000000" w:fill="D9D9D9"/>
            <w:vAlign w:val="center"/>
            <w:hideMark/>
          </w:tcPr>
          <w:p w14:paraId="3E881557" w14:textId="77777777" w:rsidR="00CA7D42" w:rsidRPr="00461CCC" w:rsidRDefault="00CA7D42" w:rsidP="00CC67B8">
            <w:pPr>
              <w:pStyle w:val="Tabletext"/>
              <w:jc w:val="center"/>
            </w:pPr>
            <w:r w:rsidRPr="00F26A5D">
              <w:t>80.0</w:t>
            </w:r>
          </w:p>
        </w:tc>
        <w:tc>
          <w:tcPr>
            <w:tcW w:w="729" w:type="dxa"/>
            <w:tcBorders>
              <w:left w:val="nil"/>
              <w:bottom w:val="single" w:sz="18" w:space="0" w:color="4F81BD" w:themeColor="accent1"/>
              <w:right w:val="nil"/>
            </w:tcBorders>
            <w:shd w:val="clear" w:color="auto" w:fill="A6A6A6" w:themeFill="background1" w:themeFillShade="A6"/>
            <w:vAlign w:val="center"/>
          </w:tcPr>
          <w:p w14:paraId="05A787F8" w14:textId="77777777" w:rsidR="00CA7D42" w:rsidRPr="00461CCC" w:rsidRDefault="00CA7D42" w:rsidP="00CC67B8">
            <w:pPr>
              <w:pStyle w:val="Tabletext"/>
              <w:jc w:val="center"/>
            </w:pPr>
          </w:p>
        </w:tc>
        <w:tc>
          <w:tcPr>
            <w:tcW w:w="729" w:type="dxa"/>
            <w:tcBorders>
              <w:left w:val="nil"/>
              <w:bottom w:val="single" w:sz="18" w:space="0" w:color="4F81BD" w:themeColor="accent1"/>
              <w:right w:val="nil"/>
            </w:tcBorders>
            <w:shd w:val="clear" w:color="auto" w:fill="A6A6A6" w:themeFill="background1" w:themeFillShade="A6"/>
            <w:vAlign w:val="center"/>
          </w:tcPr>
          <w:p w14:paraId="0717F503" w14:textId="77777777" w:rsidR="00CA7D42" w:rsidRPr="00461CCC" w:rsidRDefault="00CA7D42" w:rsidP="00CC67B8">
            <w:pPr>
              <w:pStyle w:val="Tabletext"/>
              <w:jc w:val="center"/>
            </w:pPr>
          </w:p>
        </w:tc>
        <w:tc>
          <w:tcPr>
            <w:tcW w:w="729" w:type="dxa"/>
            <w:tcBorders>
              <w:left w:val="nil"/>
              <w:bottom w:val="single" w:sz="18" w:space="0" w:color="4F81BD" w:themeColor="accent1"/>
              <w:right w:val="nil"/>
            </w:tcBorders>
            <w:shd w:val="clear" w:color="auto" w:fill="A6A6A6" w:themeFill="background1" w:themeFillShade="A6"/>
            <w:vAlign w:val="center"/>
          </w:tcPr>
          <w:p w14:paraId="3D1F253E" w14:textId="77777777" w:rsidR="00CA7D42" w:rsidRPr="00461CCC" w:rsidRDefault="00CA7D42" w:rsidP="00CC67B8">
            <w:pPr>
              <w:pStyle w:val="Tabletext"/>
              <w:jc w:val="center"/>
            </w:pPr>
          </w:p>
        </w:tc>
      </w:tr>
    </w:tbl>
    <w:p w14:paraId="7361B4F4" w14:textId="77777777" w:rsidR="00B20130" w:rsidRDefault="00B20130" w:rsidP="00B20130">
      <w:pPr>
        <w:rPr>
          <w:lang w:val="en-US"/>
        </w:rPr>
      </w:pPr>
    </w:p>
    <w:p w14:paraId="0667FA64" w14:textId="77777777" w:rsidR="00B20130" w:rsidRPr="00B20130" w:rsidRDefault="00B20130" w:rsidP="00E77D7E">
      <w:pPr>
        <w:pStyle w:val="Heading1"/>
        <w:numPr>
          <w:ilvl w:val="0"/>
          <w:numId w:val="2"/>
        </w:numPr>
        <w:spacing w:after="120" w:line="240" w:lineRule="auto"/>
        <w:ind w:left="709" w:hanging="709"/>
        <w:rPr>
          <w:lang w:val="en-US"/>
        </w:rPr>
      </w:pPr>
      <w:r>
        <w:rPr>
          <w:lang w:val="en-US"/>
        </w:rPr>
        <w:br w:type="page"/>
      </w:r>
      <w:bookmarkStart w:id="16" w:name="_Toc178070093"/>
      <w:r w:rsidRPr="00B20130">
        <w:rPr>
          <w:lang w:val="en-US"/>
        </w:rPr>
        <w:lastRenderedPageBreak/>
        <w:t>Budgetary projections</w:t>
      </w:r>
      <w:bookmarkEnd w:id="16"/>
    </w:p>
    <w:p w14:paraId="5DFD8AA5" w14:textId="2B11BD3D" w:rsidR="00776FBE" w:rsidRPr="00776FBE" w:rsidRDefault="00776FBE" w:rsidP="00776FBE">
      <w:pPr>
        <w:rPr>
          <w:rFonts w:eastAsiaTheme="minorHAnsi"/>
          <w:sz w:val="22"/>
          <w:lang w:val="en-US"/>
        </w:rPr>
      </w:pPr>
      <w:r w:rsidRPr="00776FBE">
        <w:rPr>
          <w:lang w:val="en-US"/>
        </w:rPr>
        <w:t xml:space="preserve">The budgetary projections of the </w:t>
      </w:r>
      <w:r w:rsidR="00D46E58">
        <w:rPr>
          <w:lang w:val="en-US"/>
        </w:rPr>
        <w:t>P</w:t>
      </w:r>
      <w:r w:rsidRPr="00776FBE">
        <w:rPr>
          <w:lang w:val="en-US"/>
        </w:rPr>
        <w:t xml:space="preserve">lan, included in </w:t>
      </w:r>
      <w:r w:rsidR="00D91342">
        <w:fldChar w:fldCharType="begin"/>
      </w:r>
      <w:r w:rsidR="00D91342" w:rsidRPr="00E306AE">
        <w:rPr>
          <w:lang w:val="en-US"/>
        </w:rPr>
        <w:instrText xml:space="preserve"> REF _Ref177545907 \h  \* MERGEFORMAT </w:instrText>
      </w:r>
      <w:r w:rsidR="00D91342">
        <w:fldChar w:fldCharType="separate"/>
      </w:r>
      <w:r w:rsidR="00824AAF" w:rsidRPr="00920844">
        <w:rPr>
          <w:color w:val="000000" w:themeColor="text1"/>
          <w:lang w:val="en-US"/>
        </w:rPr>
        <w:t>Table 5</w:t>
      </w:r>
      <w:r w:rsidR="00D91342">
        <w:fldChar w:fldCharType="end"/>
      </w:r>
      <w:r w:rsidR="00D331AA" w:rsidRPr="00EA388D">
        <w:rPr>
          <w:color w:val="000000" w:themeColor="text1"/>
          <w:lang w:val="en-US"/>
        </w:rPr>
        <w:t xml:space="preserve"> below</w:t>
      </w:r>
      <w:r w:rsidRPr="00EA388D">
        <w:rPr>
          <w:lang w:val="en-US"/>
        </w:rPr>
        <w:t>,</w:t>
      </w:r>
      <w:r w:rsidRPr="00776FBE">
        <w:rPr>
          <w:lang w:val="en-US"/>
        </w:rPr>
        <w:t xml:space="preserve"> are consistent with the fiscal commitment for the annual growth rate of net expenditure and the main macroeconomic assumptions presented in the previous sections. </w:t>
      </w:r>
    </w:p>
    <w:p w14:paraId="62BCBE3F" w14:textId="42E2133B" w:rsidR="00776FBE" w:rsidRDefault="00776FBE" w:rsidP="00337799">
      <w:pPr>
        <w:pStyle w:val="Table"/>
      </w:pPr>
      <w:bookmarkStart w:id="17" w:name="_Ref177545907"/>
      <w:bookmarkStart w:id="18" w:name="_Toc177747035"/>
      <w:r w:rsidRPr="00680950">
        <w:t xml:space="preserve">Table </w:t>
      </w:r>
      <w:r w:rsidR="00337799">
        <w:fldChar w:fldCharType="begin"/>
      </w:r>
      <w:r w:rsidR="00337799">
        <w:instrText xml:space="preserve"> SEQ Table \* ARABIC </w:instrText>
      </w:r>
      <w:r w:rsidR="00337799">
        <w:fldChar w:fldCharType="separate"/>
      </w:r>
      <w:r w:rsidR="00824AAF">
        <w:rPr>
          <w:noProof/>
        </w:rPr>
        <w:t>5</w:t>
      </w:r>
      <w:r w:rsidR="00337799">
        <w:fldChar w:fldCharType="end"/>
      </w:r>
      <w:bookmarkEnd w:id="17"/>
      <w:r>
        <w:t xml:space="preserve"> </w:t>
      </w:r>
      <w:r w:rsidR="00337799">
        <w:t xml:space="preserve">| </w:t>
      </w:r>
      <w:r w:rsidRPr="00680950">
        <w:t>Budgetary projections</w:t>
      </w:r>
      <w:bookmarkEnd w:id="18"/>
    </w:p>
    <w:tbl>
      <w:tblPr>
        <w:tblW w:w="8995" w:type="dxa"/>
        <w:jc w:val="center"/>
        <w:tblLayout w:type="fixed"/>
        <w:tblLook w:val="04A0" w:firstRow="1" w:lastRow="0" w:firstColumn="1" w:lastColumn="0" w:noHBand="0" w:noVBand="1"/>
      </w:tblPr>
      <w:tblGrid>
        <w:gridCol w:w="440"/>
        <w:gridCol w:w="2395"/>
        <w:gridCol w:w="1134"/>
        <w:gridCol w:w="718"/>
        <w:gridCol w:w="718"/>
        <w:gridCol w:w="718"/>
        <w:gridCol w:w="718"/>
        <w:gridCol w:w="718"/>
        <w:gridCol w:w="718"/>
        <w:gridCol w:w="718"/>
      </w:tblGrid>
      <w:tr w:rsidR="00326448" w:rsidRPr="003B44FC" w14:paraId="348BE7C2" w14:textId="77777777" w:rsidTr="00E507D5">
        <w:trPr>
          <w:trHeight w:val="690"/>
          <w:jc w:val="center"/>
        </w:trPr>
        <w:tc>
          <w:tcPr>
            <w:tcW w:w="440" w:type="dxa"/>
            <w:tcBorders>
              <w:top w:val="nil"/>
              <w:left w:val="single" w:sz="2" w:space="0" w:color="FFFFFF" w:themeColor="background1"/>
              <w:bottom w:val="nil"/>
              <w:right w:val="nil"/>
            </w:tcBorders>
            <w:shd w:val="clear" w:color="000000" w:fill="BFBFBF"/>
            <w:vAlign w:val="center"/>
            <w:hideMark/>
          </w:tcPr>
          <w:p w14:paraId="69B827D2" w14:textId="77777777" w:rsidR="00326448" w:rsidRPr="003B44FC" w:rsidRDefault="00326448" w:rsidP="00861B0D">
            <w:pPr>
              <w:pStyle w:val="Tabletext"/>
              <w:spacing w:line="200" w:lineRule="exact"/>
              <w:rPr>
                <w:b/>
                <w:sz w:val="22"/>
                <w:szCs w:val="20"/>
              </w:rPr>
            </w:pPr>
            <w:r w:rsidRPr="003B44FC">
              <w:rPr>
                <w:b/>
                <w:sz w:val="22"/>
                <w:szCs w:val="20"/>
              </w:rPr>
              <w:t> </w:t>
            </w:r>
          </w:p>
        </w:tc>
        <w:tc>
          <w:tcPr>
            <w:tcW w:w="2395" w:type="dxa"/>
            <w:tcBorders>
              <w:top w:val="nil"/>
              <w:left w:val="nil"/>
              <w:bottom w:val="nil"/>
              <w:right w:val="single" w:sz="4" w:space="0" w:color="FFFFFF" w:themeColor="background1"/>
            </w:tcBorders>
            <w:shd w:val="clear" w:color="000000" w:fill="BFBFBF"/>
            <w:vAlign w:val="center"/>
            <w:hideMark/>
          </w:tcPr>
          <w:p w14:paraId="58DC9BB3" w14:textId="77777777" w:rsidR="00326448" w:rsidRPr="003B44FC" w:rsidRDefault="00326448" w:rsidP="00861B0D">
            <w:pPr>
              <w:pStyle w:val="Tabletext"/>
              <w:spacing w:line="200" w:lineRule="exact"/>
              <w:rPr>
                <w:b/>
                <w:sz w:val="22"/>
                <w:szCs w:val="20"/>
              </w:rPr>
            </w:pPr>
            <w:r w:rsidRPr="003B44FC">
              <w:rPr>
                <w:b/>
                <w:sz w:val="22"/>
                <w:szCs w:val="20"/>
              </w:rPr>
              <w:t> </w:t>
            </w:r>
          </w:p>
        </w:tc>
        <w:tc>
          <w:tcPr>
            <w:tcW w:w="1134" w:type="dxa"/>
            <w:tcBorders>
              <w:top w:val="nil"/>
              <w:left w:val="single" w:sz="4" w:space="0" w:color="FFFFFF" w:themeColor="background1"/>
              <w:right w:val="single" w:sz="4" w:space="0" w:color="FFFFFF" w:themeColor="background1"/>
            </w:tcBorders>
            <w:shd w:val="clear" w:color="000000" w:fill="BFBFBF"/>
            <w:vAlign w:val="center"/>
            <w:hideMark/>
          </w:tcPr>
          <w:p w14:paraId="224DF7E6" w14:textId="77777777" w:rsidR="00326448" w:rsidRPr="003B44FC" w:rsidRDefault="00326448" w:rsidP="00861B0D">
            <w:pPr>
              <w:pStyle w:val="Tabletext"/>
              <w:spacing w:line="200" w:lineRule="exact"/>
              <w:rPr>
                <w:b/>
                <w:sz w:val="22"/>
                <w:szCs w:val="20"/>
              </w:rPr>
            </w:pPr>
            <w:r w:rsidRPr="003B44FC">
              <w:rPr>
                <w:b/>
                <w:sz w:val="22"/>
                <w:szCs w:val="20"/>
              </w:rPr>
              <w:t> </w:t>
            </w:r>
          </w:p>
        </w:tc>
        <w:tc>
          <w:tcPr>
            <w:tcW w:w="718" w:type="dxa"/>
            <w:tcBorders>
              <w:top w:val="nil"/>
              <w:left w:val="single" w:sz="4" w:space="0" w:color="FFFFFF" w:themeColor="background1"/>
              <w:bottom w:val="nil"/>
              <w:right w:val="single" w:sz="4" w:space="0" w:color="FFFFFF" w:themeColor="background1"/>
            </w:tcBorders>
            <w:shd w:val="clear" w:color="000000" w:fill="BFBFBF"/>
            <w:textDirection w:val="btLr"/>
            <w:vAlign w:val="center"/>
            <w:hideMark/>
          </w:tcPr>
          <w:p w14:paraId="242BEC2D" w14:textId="77777777" w:rsidR="00326448" w:rsidRPr="003B44FC" w:rsidRDefault="00326448" w:rsidP="00861B0D">
            <w:pPr>
              <w:pStyle w:val="Tabletext"/>
              <w:spacing w:line="200" w:lineRule="exact"/>
              <w:jc w:val="center"/>
              <w:rPr>
                <w:b/>
                <w:sz w:val="22"/>
                <w:szCs w:val="20"/>
              </w:rPr>
            </w:pPr>
            <w:r w:rsidRPr="003B44FC">
              <w:rPr>
                <w:b/>
                <w:sz w:val="22"/>
                <w:szCs w:val="20"/>
              </w:rPr>
              <w:t>2023</w:t>
            </w:r>
          </w:p>
        </w:tc>
        <w:tc>
          <w:tcPr>
            <w:tcW w:w="718" w:type="dxa"/>
            <w:tcBorders>
              <w:top w:val="nil"/>
              <w:left w:val="single" w:sz="4" w:space="0" w:color="FFFFFF" w:themeColor="background1"/>
              <w:right w:val="nil"/>
            </w:tcBorders>
            <w:shd w:val="clear" w:color="000000" w:fill="BFBFBF"/>
            <w:textDirection w:val="btLr"/>
            <w:vAlign w:val="center"/>
            <w:hideMark/>
          </w:tcPr>
          <w:p w14:paraId="441047F9" w14:textId="77777777" w:rsidR="00326448" w:rsidRPr="003B44FC" w:rsidRDefault="00326448" w:rsidP="00861B0D">
            <w:pPr>
              <w:pStyle w:val="Tabletext"/>
              <w:spacing w:line="200" w:lineRule="exact"/>
              <w:jc w:val="center"/>
              <w:rPr>
                <w:b/>
                <w:sz w:val="22"/>
                <w:szCs w:val="20"/>
              </w:rPr>
            </w:pPr>
            <w:r w:rsidRPr="003B44FC">
              <w:rPr>
                <w:b/>
                <w:sz w:val="22"/>
                <w:szCs w:val="20"/>
              </w:rPr>
              <w:t>2023</w:t>
            </w:r>
          </w:p>
        </w:tc>
        <w:tc>
          <w:tcPr>
            <w:tcW w:w="718" w:type="dxa"/>
            <w:tcBorders>
              <w:top w:val="nil"/>
              <w:left w:val="nil"/>
              <w:right w:val="nil"/>
            </w:tcBorders>
            <w:shd w:val="clear" w:color="000000" w:fill="BFBFBF"/>
            <w:textDirection w:val="btLr"/>
            <w:vAlign w:val="center"/>
            <w:hideMark/>
          </w:tcPr>
          <w:p w14:paraId="3FA5FC31" w14:textId="77777777" w:rsidR="00326448" w:rsidRPr="003B44FC" w:rsidRDefault="00326448" w:rsidP="00861B0D">
            <w:pPr>
              <w:pStyle w:val="Tabletext"/>
              <w:spacing w:line="200" w:lineRule="exact"/>
              <w:jc w:val="center"/>
              <w:rPr>
                <w:b/>
                <w:sz w:val="22"/>
                <w:szCs w:val="20"/>
              </w:rPr>
            </w:pPr>
            <w:r w:rsidRPr="003B44FC">
              <w:rPr>
                <w:b/>
                <w:sz w:val="22"/>
                <w:szCs w:val="20"/>
              </w:rPr>
              <w:t>2024</w:t>
            </w:r>
          </w:p>
        </w:tc>
        <w:tc>
          <w:tcPr>
            <w:tcW w:w="718" w:type="dxa"/>
            <w:tcBorders>
              <w:top w:val="nil"/>
              <w:left w:val="nil"/>
              <w:right w:val="nil"/>
            </w:tcBorders>
            <w:shd w:val="clear" w:color="000000" w:fill="BFBFBF"/>
            <w:textDirection w:val="btLr"/>
            <w:vAlign w:val="center"/>
            <w:hideMark/>
          </w:tcPr>
          <w:p w14:paraId="5DC8AA62" w14:textId="77777777" w:rsidR="00326448" w:rsidRPr="003B44FC" w:rsidRDefault="00326448" w:rsidP="00861B0D">
            <w:pPr>
              <w:pStyle w:val="Tabletext"/>
              <w:spacing w:line="200" w:lineRule="exact"/>
              <w:jc w:val="center"/>
              <w:rPr>
                <w:b/>
                <w:sz w:val="22"/>
                <w:szCs w:val="20"/>
              </w:rPr>
            </w:pPr>
            <w:r w:rsidRPr="003B44FC">
              <w:rPr>
                <w:b/>
                <w:sz w:val="22"/>
                <w:szCs w:val="20"/>
              </w:rPr>
              <w:t>2025</w:t>
            </w:r>
          </w:p>
        </w:tc>
        <w:tc>
          <w:tcPr>
            <w:tcW w:w="718" w:type="dxa"/>
            <w:tcBorders>
              <w:top w:val="nil"/>
              <w:left w:val="nil"/>
              <w:right w:val="nil"/>
            </w:tcBorders>
            <w:shd w:val="clear" w:color="000000" w:fill="BFBFBF"/>
            <w:textDirection w:val="btLr"/>
            <w:vAlign w:val="center"/>
            <w:hideMark/>
          </w:tcPr>
          <w:p w14:paraId="763D4F7C" w14:textId="77777777" w:rsidR="00326448" w:rsidRPr="003B44FC" w:rsidRDefault="00326448" w:rsidP="00861B0D">
            <w:pPr>
              <w:pStyle w:val="Tabletext"/>
              <w:spacing w:line="200" w:lineRule="exact"/>
              <w:jc w:val="center"/>
              <w:rPr>
                <w:b/>
                <w:sz w:val="22"/>
                <w:szCs w:val="20"/>
              </w:rPr>
            </w:pPr>
            <w:r w:rsidRPr="003B44FC">
              <w:rPr>
                <w:b/>
                <w:sz w:val="22"/>
                <w:szCs w:val="20"/>
              </w:rPr>
              <w:t>2026</w:t>
            </w:r>
          </w:p>
        </w:tc>
        <w:tc>
          <w:tcPr>
            <w:tcW w:w="718" w:type="dxa"/>
            <w:tcBorders>
              <w:top w:val="nil"/>
              <w:left w:val="nil"/>
              <w:right w:val="nil"/>
            </w:tcBorders>
            <w:shd w:val="clear" w:color="000000" w:fill="BFBFBF"/>
            <w:textDirection w:val="btLr"/>
            <w:vAlign w:val="center"/>
            <w:hideMark/>
          </w:tcPr>
          <w:p w14:paraId="291F38BE" w14:textId="77777777" w:rsidR="00326448" w:rsidRPr="003B44FC" w:rsidRDefault="00326448" w:rsidP="00861B0D">
            <w:pPr>
              <w:pStyle w:val="Tabletext"/>
              <w:spacing w:line="200" w:lineRule="exact"/>
              <w:jc w:val="center"/>
              <w:rPr>
                <w:b/>
                <w:sz w:val="22"/>
                <w:szCs w:val="20"/>
              </w:rPr>
            </w:pPr>
            <w:r w:rsidRPr="003B44FC">
              <w:rPr>
                <w:b/>
                <w:sz w:val="22"/>
                <w:szCs w:val="20"/>
              </w:rPr>
              <w:t>2027</w:t>
            </w:r>
          </w:p>
        </w:tc>
        <w:tc>
          <w:tcPr>
            <w:tcW w:w="718" w:type="dxa"/>
            <w:tcBorders>
              <w:top w:val="nil"/>
              <w:left w:val="nil"/>
              <w:right w:val="nil"/>
            </w:tcBorders>
            <w:shd w:val="clear" w:color="000000" w:fill="BFBFBF"/>
            <w:textDirection w:val="btLr"/>
            <w:vAlign w:val="center"/>
            <w:hideMark/>
          </w:tcPr>
          <w:p w14:paraId="2DD08BB2" w14:textId="77777777" w:rsidR="00326448" w:rsidRPr="003B44FC" w:rsidRDefault="00326448" w:rsidP="00861B0D">
            <w:pPr>
              <w:pStyle w:val="Tabletext"/>
              <w:spacing w:line="200" w:lineRule="exact"/>
              <w:jc w:val="center"/>
              <w:rPr>
                <w:b/>
                <w:sz w:val="22"/>
                <w:szCs w:val="20"/>
              </w:rPr>
            </w:pPr>
            <w:r w:rsidRPr="003B44FC">
              <w:rPr>
                <w:b/>
                <w:sz w:val="22"/>
                <w:szCs w:val="20"/>
              </w:rPr>
              <w:t>2028</w:t>
            </w:r>
          </w:p>
        </w:tc>
      </w:tr>
      <w:tr w:rsidR="00326448" w:rsidRPr="0077696E" w14:paraId="5ACF6486" w14:textId="77777777" w:rsidTr="00E507D5">
        <w:trPr>
          <w:trHeight w:val="227"/>
          <w:jc w:val="center"/>
        </w:trPr>
        <w:tc>
          <w:tcPr>
            <w:tcW w:w="440" w:type="dxa"/>
            <w:tcBorders>
              <w:top w:val="nil"/>
              <w:left w:val="single" w:sz="2" w:space="0" w:color="FFFFFF" w:themeColor="background1"/>
              <w:bottom w:val="single" w:sz="4" w:space="0" w:color="FFFFFF"/>
              <w:right w:val="nil"/>
            </w:tcBorders>
            <w:shd w:val="clear" w:color="000000" w:fill="BFBFBF"/>
            <w:vAlign w:val="center"/>
            <w:hideMark/>
          </w:tcPr>
          <w:p w14:paraId="7646CAE0" w14:textId="77777777" w:rsidR="00326448" w:rsidRPr="0077696E" w:rsidRDefault="00326448" w:rsidP="00861B0D">
            <w:pPr>
              <w:pStyle w:val="Tabletext"/>
              <w:spacing w:line="200" w:lineRule="exact"/>
              <w:rPr>
                <w:b/>
                <w:sz w:val="20"/>
                <w:szCs w:val="20"/>
              </w:rPr>
            </w:pPr>
            <w:r w:rsidRPr="0077696E">
              <w:rPr>
                <w:b/>
                <w:sz w:val="20"/>
                <w:szCs w:val="20"/>
              </w:rPr>
              <w:t> </w:t>
            </w:r>
          </w:p>
        </w:tc>
        <w:tc>
          <w:tcPr>
            <w:tcW w:w="2395" w:type="dxa"/>
            <w:tcBorders>
              <w:top w:val="nil"/>
              <w:left w:val="nil"/>
              <w:bottom w:val="single" w:sz="4" w:space="0" w:color="FFFFFF"/>
              <w:right w:val="single" w:sz="4" w:space="0" w:color="FFFFFF" w:themeColor="background1"/>
            </w:tcBorders>
            <w:shd w:val="clear" w:color="000000" w:fill="BFBFBF"/>
            <w:vAlign w:val="center"/>
            <w:hideMark/>
          </w:tcPr>
          <w:p w14:paraId="14E1E592" w14:textId="77777777" w:rsidR="00326448" w:rsidRPr="0077696E" w:rsidRDefault="00326448" w:rsidP="00861B0D">
            <w:pPr>
              <w:pStyle w:val="Tabletext"/>
              <w:spacing w:line="200" w:lineRule="exact"/>
              <w:rPr>
                <w:b/>
                <w:sz w:val="20"/>
                <w:szCs w:val="20"/>
              </w:rPr>
            </w:pPr>
            <w:r w:rsidRPr="0077696E">
              <w:rPr>
                <w:b/>
                <w:sz w:val="20"/>
                <w:szCs w:val="20"/>
              </w:rPr>
              <w:t>Revenue</w:t>
            </w:r>
          </w:p>
        </w:tc>
        <w:tc>
          <w:tcPr>
            <w:tcW w:w="1134" w:type="dxa"/>
            <w:tcBorders>
              <w:top w:val="nil"/>
              <w:left w:val="single" w:sz="4" w:space="0" w:color="FFFFFF" w:themeColor="background1"/>
              <w:bottom w:val="single" w:sz="4" w:space="0" w:color="FFFFFF"/>
              <w:right w:val="single" w:sz="4" w:space="0" w:color="FFFFFF" w:themeColor="background1"/>
            </w:tcBorders>
            <w:shd w:val="clear" w:color="000000" w:fill="BFBFBF"/>
            <w:vAlign w:val="center"/>
            <w:hideMark/>
          </w:tcPr>
          <w:p w14:paraId="3930BE9F" w14:textId="77777777" w:rsidR="00326448" w:rsidRPr="0077696E" w:rsidRDefault="00326448" w:rsidP="00861B0D">
            <w:pPr>
              <w:pStyle w:val="Tabletext"/>
              <w:spacing w:line="200" w:lineRule="exact"/>
              <w:rPr>
                <w:b/>
                <w:sz w:val="20"/>
                <w:szCs w:val="20"/>
              </w:rPr>
            </w:pPr>
            <w:r w:rsidRPr="0077696E">
              <w:rPr>
                <w:b/>
                <w:sz w:val="20"/>
                <w:szCs w:val="20"/>
              </w:rPr>
              <w:t xml:space="preserve">ESA Code </w:t>
            </w:r>
          </w:p>
        </w:tc>
        <w:tc>
          <w:tcPr>
            <w:tcW w:w="718" w:type="dxa"/>
            <w:tcBorders>
              <w:top w:val="nil"/>
              <w:left w:val="single" w:sz="4" w:space="0" w:color="FFFFFF" w:themeColor="background1"/>
              <w:bottom w:val="single" w:sz="4" w:space="0" w:color="FFFFFF"/>
              <w:right w:val="single" w:sz="4" w:space="0" w:color="FFFFFF" w:themeColor="background1"/>
            </w:tcBorders>
            <w:shd w:val="clear" w:color="000000" w:fill="BFBFBF"/>
            <w:vAlign w:val="center"/>
            <w:hideMark/>
          </w:tcPr>
          <w:p w14:paraId="1E0DB686" w14:textId="77777777" w:rsidR="00326448" w:rsidRPr="0077696E" w:rsidRDefault="00326448" w:rsidP="00861B0D">
            <w:pPr>
              <w:pStyle w:val="Tabletext"/>
              <w:spacing w:line="200" w:lineRule="exact"/>
              <w:jc w:val="center"/>
              <w:rPr>
                <w:b/>
                <w:sz w:val="20"/>
                <w:szCs w:val="20"/>
              </w:rPr>
            </w:pPr>
            <w:r w:rsidRPr="0077696E">
              <w:rPr>
                <w:b/>
                <w:sz w:val="20"/>
                <w:szCs w:val="20"/>
              </w:rPr>
              <w:t>bn NAC</w:t>
            </w:r>
          </w:p>
        </w:tc>
        <w:tc>
          <w:tcPr>
            <w:tcW w:w="4308" w:type="dxa"/>
            <w:gridSpan w:val="6"/>
            <w:tcBorders>
              <w:top w:val="nil"/>
              <w:left w:val="single" w:sz="4" w:space="0" w:color="FFFFFF" w:themeColor="background1"/>
              <w:bottom w:val="single" w:sz="4" w:space="0" w:color="FFFFFF"/>
              <w:right w:val="nil"/>
            </w:tcBorders>
            <w:shd w:val="clear" w:color="000000" w:fill="BFBFBF"/>
            <w:vAlign w:val="center"/>
            <w:hideMark/>
          </w:tcPr>
          <w:p w14:paraId="0F200794" w14:textId="6585600A" w:rsidR="00326448" w:rsidRPr="0077696E" w:rsidRDefault="008426A2" w:rsidP="008426A2">
            <w:pPr>
              <w:pStyle w:val="Tabletext"/>
              <w:spacing w:line="200" w:lineRule="exact"/>
              <w:rPr>
                <w:b/>
                <w:sz w:val="20"/>
                <w:szCs w:val="20"/>
              </w:rPr>
            </w:pPr>
            <w:r w:rsidRPr="0077696E">
              <w:rPr>
                <w:b/>
                <w:sz w:val="20"/>
                <w:szCs w:val="20"/>
                <w:lang w:val="el-GR"/>
              </w:rPr>
              <w:t xml:space="preserve">   </w:t>
            </w:r>
            <w:r w:rsidR="00326448" w:rsidRPr="0077696E">
              <w:rPr>
                <w:b/>
                <w:sz w:val="20"/>
                <w:szCs w:val="20"/>
              </w:rPr>
              <w:t>% GDP</w:t>
            </w:r>
          </w:p>
        </w:tc>
      </w:tr>
      <w:tr w:rsidR="007A65D0" w:rsidRPr="005E057C" w14:paraId="34F2695F"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6150458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w:t>
            </w:r>
          </w:p>
        </w:tc>
        <w:tc>
          <w:tcPr>
            <w:tcW w:w="2395" w:type="dxa"/>
            <w:tcBorders>
              <w:top w:val="nil"/>
              <w:left w:val="nil"/>
              <w:bottom w:val="single" w:sz="4" w:space="0" w:color="FFFFFF"/>
              <w:right w:val="nil"/>
            </w:tcBorders>
            <w:shd w:val="clear" w:color="000000" w:fill="F2F2F2"/>
            <w:vAlign w:val="center"/>
            <w:hideMark/>
          </w:tcPr>
          <w:p w14:paraId="5F87B4D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Taxes on production and imports </w:t>
            </w:r>
          </w:p>
        </w:tc>
        <w:tc>
          <w:tcPr>
            <w:tcW w:w="1134" w:type="dxa"/>
            <w:tcBorders>
              <w:top w:val="nil"/>
              <w:left w:val="single" w:sz="4" w:space="0" w:color="FFFFFF"/>
              <w:bottom w:val="single" w:sz="4" w:space="0" w:color="FFFFFF"/>
              <w:right w:val="nil"/>
            </w:tcBorders>
            <w:shd w:val="clear" w:color="000000" w:fill="F2F2F2"/>
            <w:vAlign w:val="center"/>
            <w:hideMark/>
          </w:tcPr>
          <w:p w14:paraId="743083EC"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D.2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0441F85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38.4</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71DFC70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17.4</w:t>
            </w:r>
          </w:p>
        </w:tc>
        <w:tc>
          <w:tcPr>
            <w:tcW w:w="718" w:type="dxa"/>
            <w:tcBorders>
              <w:top w:val="nil"/>
              <w:left w:val="nil"/>
              <w:bottom w:val="single" w:sz="4" w:space="0" w:color="FFFFFF"/>
              <w:right w:val="nil"/>
            </w:tcBorders>
            <w:shd w:val="clear" w:color="000000" w:fill="F2F2F2"/>
            <w:vAlign w:val="center"/>
            <w:hideMark/>
          </w:tcPr>
          <w:p w14:paraId="30E3AA6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17.3</w:t>
            </w:r>
          </w:p>
        </w:tc>
        <w:tc>
          <w:tcPr>
            <w:tcW w:w="718" w:type="dxa"/>
            <w:tcBorders>
              <w:top w:val="nil"/>
              <w:left w:val="nil"/>
              <w:right w:val="nil"/>
            </w:tcBorders>
            <w:shd w:val="clear" w:color="auto" w:fill="A6A6A6" w:themeFill="background1" w:themeFillShade="A6"/>
            <w:vAlign w:val="center"/>
          </w:tcPr>
          <w:p w14:paraId="290C9D90" w14:textId="35F51701"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40571FB"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FF28DC3"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7355B0A" w14:textId="77777777" w:rsidR="00326448" w:rsidRPr="005E057C" w:rsidRDefault="00326448" w:rsidP="00861B0D">
            <w:pPr>
              <w:pStyle w:val="Tabletext"/>
              <w:spacing w:line="200" w:lineRule="exact"/>
              <w:jc w:val="center"/>
              <w:rPr>
                <w:rFonts w:cs="Calibri"/>
                <w:sz w:val="20"/>
                <w:szCs w:val="20"/>
              </w:rPr>
            </w:pPr>
          </w:p>
        </w:tc>
      </w:tr>
      <w:tr w:rsidR="007A65D0" w:rsidRPr="005E057C" w14:paraId="324227B9"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52C13A1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w:t>
            </w:r>
          </w:p>
        </w:tc>
        <w:tc>
          <w:tcPr>
            <w:tcW w:w="2395" w:type="dxa"/>
            <w:tcBorders>
              <w:top w:val="nil"/>
              <w:left w:val="nil"/>
              <w:bottom w:val="single" w:sz="4" w:space="0" w:color="FFFFFF"/>
              <w:right w:val="nil"/>
            </w:tcBorders>
            <w:shd w:val="clear" w:color="000000" w:fill="D9D9D9"/>
            <w:vAlign w:val="center"/>
            <w:hideMark/>
          </w:tcPr>
          <w:p w14:paraId="59DDDF9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Current taxes on income, wealth, etc  </w:t>
            </w:r>
          </w:p>
        </w:tc>
        <w:tc>
          <w:tcPr>
            <w:tcW w:w="1134" w:type="dxa"/>
            <w:tcBorders>
              <w:top w:val="nil"/>
              <w:left w:val="single" w:sz="4" w:space="0" w:color="FFFFFF"/>
              <w:bottom w:val="single" w:sz="4" w:space="0" w:color="FFFFFF"/>
              <w:right w:val="nil"/>
            </w:tcBorders>
            <w:shd w:val="clear" w:color="000000" w:fill="D9D9D9"/>
            <w:vAlign w:val="center"/>
            <w:hideMark/>
          </w:tcPr>
          <w:p w14:paraId="2FD6906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D.5</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556E60E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23.3</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0688ABE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10.6</w:t>
            </w:r>
          </w:p>
        </w:tc>
        <w:tc>
          <w:tcPr>
            <w:tcW w:w="718" w:type="dxa"/>
            <w:tcBorders>
              <w:top w:val="nil"/>
              <w:left w:val="nil"/>
              <w:bottom w:val="single" w:sz="4" w:space="0" w:color="FFFFFF"/>
              <w:right w:val="nil"/>
            </w:tcBorders>
            <w:shd w:val="clear" w:color="000000" w:fill="D9D9D9"/>
            <w:vAlign w:val="center"/>
            <w:hideMark/>
          </w:tcPr>
          <w:p w14:paraId="44378DEA"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10.8</w:t>
            </w:r>
          </w:p>
        </w:tc>
        <w:tc>
          <w:tcPr>
            <w:tcW w:w="718" w:type="dxa"/>
            <w:tcBorders>
              <w:top w:val="nil"/>
              <w:left w:val="nil"/>
              <w:right w:val="nil"/>
            </w:tcBorders>
            <w:shd w:val="clear" w:color="auto" w:fill="A6A6A6" w:themeFill="background1" w:themeFillShade="A6"/>
            <w:vAlign w:val="center"/>
          </w:tcPr>
          <w:p w14:paraId="224C3169" w14:textId="168045C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0105618"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DC3C57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A7B2B8B" w14:textId="77777777" w:rsidR="00326448" w:rsidRPr="005E057C" w:rsidRDefault="00326448" w:rsidP="00861B0D">
            <w:pPr>
              <w:pStyle w:val="Tabletext"/>
              <w:spacing w:line="200" w:lineRule="exact"/>
              <w:jc w:val="center"/>
              <w:rPr>
                <w:rFonts w:cs="Calibri"/>
                <w:sz w:val="20"/>
                <w:szCs w:val="20"/>
              </w:rPr>
            </w:pPr>
          </w:p>
        </w:tc>
      </w:tr>
      <w:tr w:rsidR="007A65D0" w:rsidRPr="005E057C" w14:paraId="745DCDAA"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2EFAAED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w:t>
            </w:r>
          </w:p>
        </w:tc>
        <w:tc>
          <w:tcPr>
            <w:tcW w:w="2395" w:type="dxa"/>
            <w:tcBorders>
              <w:top w:val="nil"/>
              <w:left w:val="nil"/>
              <w:bottom w:val="single" w:sz="4" w:space="0" w:color="FFFFFF"/>
              <w:right w:val="nil"/>
            </w:tcBorders>
            <w:shd w:val="clear" w:color="000000" w:fill="F2F2F2"/>
            <w:vAlign w:val="center"/>
            <w:hideMark/>
          </w:tcPr>
          <w:p w14:paraId="62121E4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Social contributions </w:t>
            </w:r>
          </w:p>
        </w:tc>
        <w:tc>
          <w:tcPr>
            <w:tcW w:w="1134" w:type="dxa"/>
            <w:tcBorders>
              <w:top w:val="nil"/>
              <w:left w:val="single" w:sz="4" w:space="0" w:color="FFFFFF"/>
              <w:bottom w:val="single" w:sz="4" w:space="0" w:color="FFFFFF"/>
              <w:right w:val="nil"/>
            </w:tcBorders>
            <w:shd w:val="clear" w:color="000000" w:fill="F2F2F2"/>
            <w:vAlign w:val="center"/>
            <w:hideMark/>
          </w:tcPr>
          <w:p w14:paraId="6C20A87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D.61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3BECB8A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29.2</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037582A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13.3</w:t>
            </w:r>
          </w:p>
        </w:tc>
        <w:tc>
          <w:tcPr>
            <w:tcW w:w="718" w:type="dxa"/>
            <w:tcBorders>
              <w:top w:val="nil"/>
              <w:left w:val="nil"/>
              <w:bottom w:val="single" w:sz="4" w:space="0" w:color="FFFFFF"/>
              <w:right w:val="nil"/>
            </w:tcBorders>
            <w:shd w:val="clear" w:color="000000" w:fill="F2F2F2"/>
            <w:vAlign w:val="center"/>
            <w:hideMark/>
          </w:tcPr>
          <w:p w14:paraId="4E2287FA"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13.3</w:t>
            </w:r>
          </w:p>
        </w:tc>
        <w:tc>
          <w:tcPr>
            <w:tcW w:w="718" w:type="dxa"/>
            <w:tcBorders>
              <w:top w:val="nil"/>
              <w:left w:val="nil"/>
              <w:right w:val="nil"/>
            </w:tcBorders>
            <w:shd w:val="clear" w:color="auto" w:fill="A6A6A6" w:themeFill="background1" w:themeFillShade="A6"/>
            <w:vAlign w:val="center"/>
          </w:tcPr>
          <w:p w14:paraId="1DC761F5" w14:textId="5201908D"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505A935"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4539086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8035EEF" w14:textId="77777777" w:rsidR="00326448" w:rsidRPr="005E057C" w:rsidRDefault="00326448" w:rsidP="00861B0D">
            <w:pPr>
              <w:pStyle w:val="Tabletext"/>
              <w:spacing w:line="200" w:lineRule="exact"/>
              <w:jc w:val="center"/>
              <w:rPr>
                <w:rFonts w:cs="Calibri"/>
                <w:sz w:val="20"/>
                <w:szCs w:val="20"/>
              </w:rPr>
            </w:pPr>
          </w:p>
        </w:tc>
      </w:tr>
      <w:tr w:rsidR="007A65D0" w:rsidRPr="005E057C" w14:paraId="1F422C77"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4DA7E09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4</w:t>
            </w:r>
          </w:p>
        </w:tc>
        <w:tc>
          <w:tcPr>
            <w:tcW w:w="2395" w:type="dxa"/>
            <w:tcBorders>
              <w:top w:val="nil"/>
              <w:left w:val="nil"/>
              <w:bottom w:val="single" w:sz="4" w:space="0" w:color="FFFFFF"/>
              <w:right w:val="nil"/>
            </w:tcBorders>
            <w:shd w:val="clear" w:color="000000" w:fill="D9D9D9"/>
            <w:vAlign w:val="center"/>
            <w:hideMark/>
          </w:tcPr>
          <w:p w14:paraId="3C6058E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Other current revenue </w:t>
            </w:r>
          </w:p>
        </w:tc>
        <w:tc>
          <w:tcPr>
            <w:tcW w:w="1134" w:type="dxa"/>
            <w:tcBorders>
              <w:top w:val="nil"/>
              <w:left w:val="single" w:sz="4" w:space="0" w:color="FFFFFF"/>
              <w:bottom w:val="single" w:sz="4" w:space="0" w:color="FFFFFF"/>
              <w:right w:val="nil"/>
            </w:tcBorders>
            <w:shd w:val="clear" w:color="000000" w:fill="D9D9D9"/>
            <w:vAlign w:val="center"/>
            <w:hideMark/>
          </w:tcPr>
          <w:p w14:paraId="573E568D" w14:textId="77777777" w:rsidR="00326448" w:rsidRDefault="00326448" w:rsidP="00861B0D">
            <w:pPr>
              <w:pStyle w:val="Tabletext"/>
              <w:spacing w:line="200" w:lineRule="exact"/>
              <w:rPr>
                <w:rFonts w:cs="Calibri"/>
                <w:sz w:val="20"/>
                <w:szCs w:val="20"/>
              </w:rPr>
            </w:pPr>
            <w:r w:rsidRPr="005E057C">
              <w:rPr>
                <w:rFonts w:cs="Calibri"/>
                <w:sz w:val="20"/>
                <w:szCs w:val="20"/>
              </w:rPr>
              <w:t xml:space="preserve">(P.11+P.12+P.131) </w:t>
            </w:r>
          </w:p>
          <w:p w14:paraId="0D8B3C8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D.4 + D.7 + D.39 </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319D268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11.6</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74DC316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5.3</w:t>
            </w:r>
          </w:p>
        </w:tc>
        <w:tc>
          <w:tcPr>
            <w:tcW w:w="718" w:type="dxa"/>
            <w:tcBorders>
              <w:top w:val="nil"/>
              <w:left w:val="nil"/>
              <w:bottom w:val="single" w:sz="4" w:space="0" w:color="FFFFFF"/>
              <w:right w:val="nil"/>
            </w:tcBorders>
            <w:shd w:val="clear" w:color="000000" w:fill="D9D9D9"/>
            <w:vAlign w:val="center"/>
            <w:hideMark/>
          </w:tcPr>
          <w:p w14:paraId="3E60423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5.1</w:t>
            </w:r>
          </w:p>
        </w:tc>
        <w:tc>
          <w:tcPr>
            <w:tcW w:w="718" w:type="dxa"/>
            <w:tcBorders>
              <w:top w:val="nil"/>
              <w:left w:val="nil"/>
              <w:right w:val="nil"/>
            </w:tcBorders>
            <w:shd w:val="clear" w:color="auto" w:fill="A6A6A6" w:themeFill="background1" w:themeFillShade="A6"/>
            <w:vAlign w:val="center"/>
          </w:tcPr>
          <w:p w14:paraId="0DDA07E3" w14:textId="21133FF9"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06D4E4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C5FF5B1"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8617E97" w14:textId="77777777" w:rsidR="00326448" w:rsidRPr="005E057C" w:rsidRDefault="00326448" w:rsidP="00861B0D">
            <w:pPr>
              <w:pStyle w:val="Tabletext"/>
              <w:spacing w:line="200" w:lineRule="exact"/>
              <w:jc w:val="center"/>
              <w:rPr>
                <w:rFonts w:cs="Calibri"/>
                <w:sz w:val="20"/>
                <w:szCs w:val="20"/>
              </w:rPr>
            </w:pPr>
          </w:p>
        </w:tc>
      </w:tr>
      <w:tr w:rsidR="007A65D0" w:rsidRPr="005E057C" w14:paraId="40E4FF6A"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48B0A14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5</w:t>
            </w:r>
          </w:p>
        </w:tc>
        <w:tc>
          <w:tcPr>
            <w:tcW w:w="2395" w:type="dxa"/>
            <w:tcBorders>
              <w:top w:val="nil"/>
              <w:left w:val="nil"/>
              <w:bottom w:val="single" w:sz="4" w:space="0" w:color="FFFFFF"/>
              <w:right w:val="nil"/>
            </w:tcBorders>
            <w:shd w:val="clear" w:color="000000" w:fill="F2F2F2"/>
            <w:vAlign w:val="center"/>
            <w:hideMark/>
          </w:tcPr>
          <w:p w14:paraId="3B27142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Capital taxes </w:t>
            </w:r>
          </w:p>
        </w:tc>
        <w:tc>
          <w:tcPr>
            <w:tcW w:w="1134" w:type="dxa"/>
            <w:tcBorders>
              <w:top w:val="nil"/>
              <w:left w:val="single" w:sz="4" w:space="0" w:color="FFFFFF"/>
              <w:bottom w:val="single" w:sz="4" w:space="0" w:color="FFFFFF"/>
              <w:right w:val="nil"/>
            </w:tcBorders>
            <w:shd w:val="clear" w:color="000000" w:fill="F2F2F2"/>
            <w:vAlign w:val="center"/>
            <w:hideMark/>
          </w:tcPr>
          <w:p w14:paraId="653CF85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D.91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6F0F986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0.3</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4456010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0.1</w:t>
            </w:r>
          </w:p>
        </w:tc>
        <w:tc>
          <w:tcPr>
            <w:tcW w:w="718" w:type="dxa"/>
            <w:tcBorders>
              <w:top w:val="nil"/>
              <w:left w:val="nil"/>
              <w:bottom w:val="single" w:sz="4" w:space="0" w:color="FFFFFF"/>
              <w:right w:val="nil"/>
            </w:tcBorders>
            <w:shd w:val="clear" w:color="000000" w:fill="F2F2F2"/>
            <w:vAlign w:val="center"/>
            <w:hideMark/>
          </w:tcPr>
          <w:p w14:paraId="32734FE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0.1</w:t>
            </w:r>
          </w:p>
        </w:tc>
        <w:tc>
          <w:tcPr>
            <w:tcW w:w="718" w:type="dxa"/>
            <w:tcBorders>
              <w:top w:val="nil"/>
              <w:left w:val="nil"/>
              <w:right w:val="nil"/>
            </w:tcBorders>
            <w:shd w:val="clear" w:color="auto" w:fill="A6A6A6" w:themeFill="background1" w:themeFillShade="A6"/>
            <w:vAlign w:val="center"/>
          </w:tcPr>
          <w:p w14:paraId="0CCE08C6" w14:textId="7A8A099F"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73346F4"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535F33A"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1C0EA2F" w14:textId="77777777" w:rsidR="00326448" w:rsidRPr="005E057C" w:rsidRDefault="00326448" w:rsidP="00861B0D">
            <w:pPr>
              <w:pStyle w:val="Tabletext"/>
              <w:spacing w:line="200" w:lineRule="exact"/>
              <w:jc w:val="center"/>
              <w:rPr>
                <w:rFonts w:cs="Calibri"/>
                <w:sz w:val="20"/>
                <w:szCs w:val="20"/>
              </w:rPr>
            </w:pPr>
          </w:p>
        </w:tc>
      </w:tr>
      <w:tr w:rsidR="007A65D0" w:rsidRPr="005E057C" w14:paraId="07883FE8"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2C27666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6</w:t>
            </w:r>
          </w:p>
        </w:tc>
        <w:tc>
          <w:tcPr>
            <w:tcW w:w="2395" w:type="dxa"/>
            <w:tcBorders>
              <w:top w:val="nil"/>
              <w:left w:val="nil"/>
              <w:bottom w:val="single" w:sz="4" w:space="0" w:color="FFFFFF"/>
              <w:right w:val="nil"/>
            </w:tcBorders>
            <w:shd w:val="clear" w:color="000000" w:fill="D9D9D9"/>
            <w:vAlign w:val="center"/>
            <w:hideMark/>
          </w:tcPr>
          <w:p w14:paraId="7E8FDED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Other capital revenue </w:t>
            </w:r>
          </w:p>
        </w:tc>
        <w:tc>
          <w:tcPr>
            <w:tcW w:w="1134" w:type="dxa"/>
            <w:tcBorders>
              <w:top w:val="nil"/>
              <w:left w:val="single" w:sz="4" w:space="0" w:color="FFFFFF"/>
              <w:bottom w:val="single" w:sz="4" w:space="0" w:color="FFFFFF"/>
              <w:right w:val="nil"/>
            </w:tcBorders>
            <w:shd w:val="clear" w:color="000000" w:fill="D9D9D9"/>
            <w:vAlign w:val="center"/>
            <w:hideMark/>
          </w:tcPr>
          <w:p w14:paraId="7065007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D.92+D.99 </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6DD0137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5.1</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6287E9F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2.3</w:t>
            </w:r>
          </w:p>
        </w:tc>
        <w:tc>
          <w:tcPr>
            <w:tcW w:w="718" w:type="dxa"/>
            <w:tcBorders>
              <w:top w:val="nil"/>
              <w:left w:val="nil"/>
              <w:bottom w:val="single" w:sz="4" w:space="0" w:color="FFFFFF"/>
              <w:right w:val="nil"/>
            </w:tcBorders>
            <w:shd w:val="clear" w:color="000000" w:fill="D9D9D9"/>
            <w:vAlign w:val="center"/>
            <w:hideMark/>
          </w:tcPr>
          <w:p w14:paraId="1328717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2.6</w:t>
            </w:r>
          </w:p>
        </w:tc>
        <w:tc>
          <w:tcPr>
            <w:tcW w:w="718" w:type="dxa"/>
            <w:tcBorders>
              <w:top w:val="nil"/>
              <w:left w:val="nil"/>
              <w:right w:val="nil"/>
            </w:tcBorders>
            <w:shd w:val="clear" w:color="auto" w:fill="A6A6A6" w:themeFill="background1" w:themeFillShade="A6"/>
            <w:vAlign w:val="center"/>
          </w:tcPr>
          <w:p w14:paraId="1194D06C" w14:textId="1CA0149F"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50C86F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CA19EE0"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F58AA3F" w14:textId="77777777" w:rsidR="00326448" w:rsidRPr="005E057C" w:rsidRDefault="00326448" w:rsidP="00861B0D">
            <w:pPr>
              <w:pStyle w:val="Tabletext"/>
              <w:spacing w:line="200" w:lineRule="exact"/>
              <w:jc w:val="center"/>
              <w:rPr>
                <w:rFonts w:cs="Calibri"/>
                <w:sz w:val="20"/>
                <w:szCs w:val="20"/>
              </w:rPr>
            </w:pPr>
          </w:p>
        </w:tc>
      </w:tr>
      <w:tr w:rsidR="007A65D0" w:rsidRPr="005E057C" w14:paraId="522388B5"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1108551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7</w:t>
            </w:r>
          </w:p>
        </w:tc>
        <w:tc>
          <w:tcPr>
            <w:tcW w:w="2395" w:type="dxa"/>
            <w:tcBorders>
              <w:top w:val="nil"/>
              <w:left w:val="nil"/>
              <w:bottom w:val="single" w:sz="4" w:space="0" w:color="FFFFFF"/>
              <w:right w:val="nil"/>
            </w:tcBorders>
            <w:shd w:val="clear" w:color="000000" w:fill="F2F2F2"/>
            <w:vAlign w:val="center"/>
            <w:hideMark/>
          </w:tcPr>
          <w:p w14:paraId="07B41FFB" w14:textId="77777777" w:rsidR="00326448" w:rsidRDefault="00326448" w:rsidP="00861B0D">
            <w:pPr>
              <w:pStyle w:val="Tabletext"/>
              <w:spacing w:line="200" w:lineRule="exact"/>
              <w:rPr>
                <w:rFonts w:cs="Calibri"/>
                <w:sz w:val="20"/>
                <w:szCs w:val="20"/>
              </w:rPr>
            </w:pPr>
            <w:r w:rsidRPr="005E057C">
              <w:rPr>
                <w:rFonts w:cs="Calibri"/>
                <w:sz w:val="20"/>
                <w:szCs w:val="20"/>
              </w:rPr>
              <w:t xml:space="preserve">Total revenue </w:t>
            </w:r>
          </w:p>
          <w:p w14:paraId="243B998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1+2+3+4+5+6) </w:t>
            </w:r>
          </w:p>
        </w:tc>
        <w:tc>
          <w:tcPr>
            <w:tcW w:w="1134" w:type="dxa"/>
            <w:tcBorders>
              <w:top w:val="nil"/>
              <w:left w:val="single" w:sz="4" w:space="0" w:color="FFFFFF"/>
              <w:bottom w:val="single" w:sz="4" w:space="0" w:color="FFFFFF"/>
              <w:right w:val="nil"/>
            </w:tcBorders>
            <w:shd w:val="clear" w:color="000000" w:fill="F2F2F2"/>
            <w:vAlign w:val="center"/>
            <w:hideMark/>
          </w:tcPr>
          <w:p w14:paraId="1D7CC1FB"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TR</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562A850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107.8</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383E95B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48.9</w:t>
            </w:r>
          </w:p>
        </w:tc>
        <w:tc>
          <w:tcPr>
            <w:tcW w:w="718" w:type="dxa"/>
            <w:tcBorders>
              <w:top w:val="nil"/>
              <w:left w:val="nil"/>
              <w:bottom w:val="single" w:sz="4" w:space="0" w:color="FFFFFF"/>
              <w:right w:val="nil"/>
            </w:tcBorders>
            <w:shd w:val="clear" w:color="000000" w:fill="F2F2F2"/>
            <w:vAlign w:val="center"/>
            <w:hideMark/>
          </w:tcPr>
          <w:p w14:paraId="5402797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49.3</w:t>
            </w:r>
          </w:p>
        </w:tc>
        <w:tc>
          <w:tcPr>
            <w:tcW w:w="718" w:type="dxa"/>
            <w:tcBorders>
              <w:top w:val="nil"/>
              <w:left w:val="nil"/>
              <w:right w:val="nil"/>
            </w:tcBorders>
            <w:shd w:val="clear" w:color="auto" w:fill="A6A6A6" w:themeFill="background1" w:themeFillShade="A6"/>
            <w:vAlign w:val="center"/>
          </w:tcPr>
          <w:p w14:paraId="7DFA2729" w14:textId="4443D4FA"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00BD4FCD" w14:textId="77777777"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79AB2158" w14:textId="77777777"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352B1DD0" w14:textId="77777777" w:rsidR="00326448" w:rsidRPr="005E057C" w:rsidRDefault="00326448" w:rsidP="00861B0D">
            <w:pPr>
              <w:pStyle w:val="Tabletext"/>
              <w:spacing w:line="200" w:lineRule="exact"/>
              <w:jc w:val="center"/>
              <w:rPr>
                <w:rFonts w:cs="Calibri"/>
                <w:sz w:val="20"/>
                <w:szCs w:val="20"/>
              </w:rPr>
            </w:pPr>
          </w:p>
        </w:tc>
      </w:tr>
      <w:tr w:rsidR="007A65D0" w:rsidRPr="005E057C" w14:paraId="65AFCD33"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384060EB"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8</w:t>
            </w:r>
          </w:p>
        </w:tc>
        <w:tc>
          <w:tcPr>
            <w:tcW w:w="2395" w:type="dxa"/>
            <w:tcBorders>
              <w:top w:val="nil"/>
              <w:left w:val="nil"/>
              <w:bottom w:val="single" w:sz="4" w:space="0" w:color="FFFFFF"/>
              <w:right w:val="nil"/>
            </w:tcBorders>
            <w:shd w:val="clear" w:color="000000" w:fill="D9D9D9"/>
            <w:vAlign w:val="center"/>
            <w:hideMark/>
          </w:tcPr>
          <w:p w14:paraId="18D2F70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Of which: Transfers from the EU (accrued revenue, not cash) </w:t>
            </w:r>
          </w:p>
        </w:tc>
        <w:tc>
          <w:tcPr>
            <w:tcW w:w="1134" w:type="dxa"/>
            <w:tcBorders>
              <w:top w:val="nil"/>
              <w:left w:val="single" w:sz="4" w:space="0" w:color="FFFFFF"/>
              <w:bottom w:val="single" w:sz="4" w:space="0" w:color="FFFFFF"/>
              <w:right w:val="nil"/>
            </w:tcBorders>
            <w:shd w:val="clear" w:color="000000" w:fill="D9D9D9"/>
            <w:vAlign w:val="center"/>
            <w:hideMark/>
          </w:tcPr>
          <w:p w14:paraId="705CAC33" w14:textId="77777777" w:rsidR="00326448" w:rsidRDefault="00326448" w:rsidP="00861B0D">
            <w:pPr>
              <w:pStyle w:val="Tabletext"/>
              <w:spacing w:line="200" w:lineRule="exact"/>
              <w:rPr>
                <w:rFonts w:cs="Calibri"/>
                <w:sz w:val="20"/>
                <w:szCs w:val="20"/>
              </w:rPr>
            </w:pPr>
            <w:r w:rsidRPr="005E057C">
              <w:rPr>
                <w:rFonts w:cs="Calibri"/>
                <w:sz w:val="20"/>
                <w:szCs w:val="20"/>
              </w:rPr>
              <w:t>D.7EU</w:t>
            </w:r>
          </w:p>
          <w:p w14:paraId="2E4711B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+D.9EU </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7780918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5.4</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1A5C747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2.5</w:t>
            </w:r>
          </w:p>
        </w:tc>
        <w:tc>
          <w:tcPr>
            <w:tcW w:w="718" w:type="dxa"/>
            <w:tcBorders>
              <w:top w:val="nil"/>
              <w:left w:val="nil"/>
              <w:bottom w:val="single" w:sz="4" w:space="0" w:color="FFFFFF"/>
              <w:right w:val="nil"/>
            </w:tcBorders>
            <w:shd w:val="clear" w:color="000000" w:fill="D9D9D9"/>
            <w:vAlign w:val="center"/>
            <w:hideMark/>
          </w:tcPr>
          <w:p w14:paraId="67EBB8B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3.0</w:t>
            </w:r>
          </w:p>
        </w:tc>
        <w:tc>
          <w:tcPr>
            <w:tcW w:w="718" w:type="dxa"/>
            <w:tcBorders>
              <w:left w:val="nil"/>
              <w:right w:val="nil"/>
            </w:tcBorders>
            <w:shd w:val="clear" w:color="auto" w:fill="A6A6A6" w:themeFill="background1" w:themeFillShade="A6"/>
            <w:vAlign w:val="center"/>
          </w:tcPr>
          <w:p w14:paraId="591B1282" w14:textId="794E6404"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7EA1FBFC" w14:textId="77777777"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274CEEEE" w14:textId="77777777"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4D76E804" w14:textId="77777777" w:rsidR="00326448" w:rsidRPr="005E057C" w:rsidRDefault="00326448" w:rsidP="00861B0D">
            <w:pPr>
              <w:pStyle w:val="Tabletext"/>
              <w:spacing w:line="200" w:lineRule="exact"/>
              <w:jc w:val="center"/>
              <w:rPr>
                <w:rFonts w:cs="Calibri"/>
                <w:sz w:val="20"/>
                <w:szCs w:val="20"/>
              </w:rPr>
            </w:pPr>
          </w:p>
        </w:tc>
      </w:tr>
      <w:tr w:rsidR="007A65D0" w:rsidRPr="005E057C" w14:paraId="54E3944C"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245FFF0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9</w:t>
            </w:r>
          </w:p>
        </w:tc>
        <w:tc>
          <w:tcPr>
            <w:tcW w:w="2395" w:type="dxa"/>
            <w:tcBorders>
              <w:top w:val="nil"/>
              <w:left w:val="nil"/>
              <w:bottom w:val="single" w:sz="4" w:space="0" w:color="FFFFFF"/>
              <w:right w:val="single" w:sz="4" w:space="0" w:color="FFFFFF" w:themeColor="background1"/>
            </w:tcBorders>
            <w:shd w:val="clear" w:color="000000" w:fill="F2F2F2"/>
            <w:vAlign w:val="center"/>
            <w:hideMark/>
          </w:tcPr>
          <w:p w14:paraId="11C6D5A2" w14:textId="77777777" w:rsidR="00326448" w:rsidRDefault="00326448" w:rsidP="00861B0D">
            <w:pPr>
              <w:pStyle w:val="Tabletext"/>
              <w:spacing w:line="200" w:lineRule="exact"/>
              <w:rPr>
                <w:rFonts w:cs="Calibri"/>
                <w:sz w:val="20"/>
                <w:szCs w:val="20"/>
              </w:rPr>
            </w:pPr>
            <w:r w:rsidRPr="005E057C">
              <w:rPr>
                <w:rFonts w:cs="Calibri"/>
                <w:sz w:val="20"/>
                <w:szCs w:val="20"/>
              </w:rPr>
              <w:t xml:space="preserve">Total revenue other than transfers from the EU </w:t>
            </w:r>
          </w:p>
          <w:p w14:paraId="13FE5C8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7-8) </w:t>
            </w:r>
          </w:p>
        </w:tc>
        <w:tc>
          <w:tcPr>
            <w:tcW w:w="1134" w:type="dxa"/>
            <w:tcBorders>
              <w:top w:val="single" w:sz="4" w:space="0" w:color="FFFFFF"/>
              <w:left w:val="single" w:sz="4" w:space="0" w:color="FFFFFF" w:themeColor="background1"/>
              <w:bottom w:val="single" w:sz="4" w:space="0" w:color="FFFFFF"/>
              <w:right w:val="nil"/>
            </w:tcBorders>
            <w:shd w:val="clear" w:color="000000" w:fill="F2F2F2"/>
            <w:vAlign w:val="center"/>
            <w:hideMark/>
          </w:tcPr>
          <w:p w14:paraId="2030751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7E09E41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102.4</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5C7FA77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46.5</w:t>
            </w:r>
          </w:p>
        </w:tc>
        <w:tc>
          <w:tcPr>
            <w:tcW w:w="718" w:type="dxa"/>
            <w:tcBorders>
              <w:top w:val="nil"/>
              <w:left w:val="nil"/>
              <w:bottom w:val="single" w:sz="4" w:space="0" w:color="FFFFFF"/>
              <w:right w:val="nil"/>
            </w:tcBorders>
            <w:shd w:val="clear" w:color="000000" w:fill="F2F2F2"/>
            <w:vAlign w:val="center"/>
            <w:hideMark/>
          </w:tcPr>
          <w:p w14:paraId="2849202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46.3</w:t>
            </w:r>
          </w:p>
        </w:tc>
        <w:tc>
          <w:tcPr>
            <w:tcW w:w="718" w:type="dxa"/>
            <w:tcBorders>
              <w:top w:val="nil"/>
              <w:left w:val="nil"/>
              <w:right w:val="nil"/>
            </w:tcBorders>
            <w:shd w:val="clear" w:color="auto" w:fill="A6A6A6" w:themeFill="background1" w:themeFillShade="A6"/>
            <w:vAlign w:val="center"/>
          </w:tcPr>
          <w:p w14:paraId="18646047" w14:textId="4F5FEE8E"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DCE35EB"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4AF76611"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0137105" w14:textId="77777777" w:rsidR="00326448" w:rsidRPr="005E057C" w:rsidRDefault="00326448" w:rsidP="00861B0D">
            <w:pPr>
              <w:pStyle w:val="Tabletext"/>
              <w:spacing w:line="200" w:lineRule="exact"/>
              <w:jc w:val="center"/>
              <w:rPr>
                <w:rFonts w:cs="Calibri"/>
                <w:sz w:val="20"/>
                <w:szCs w:val="20"/>
              </w:rPr>
            </w:pPr>
          </w:p>
        </w:tc>
      </w:tr>
      <w:tr w:rsidR="007A65D0" w:rsidRPr="005E057C" w14:paraId="56434F36"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auto" w:fill="D9D9D9" w:themeFill="background1" w:themeFillShade="D9"/>
            <w:vAlign w:val="center"/>
            <w:hideMark/>
          </w:tcPr>
          <w:p w14:paraId="39BD0C6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10</w:t>
            </w:r>
          </w:p>
        </w:tc>
        <w:tc>
          <w:tcPr>
            <w:tcW w:w="2395" w:type="dxa"/>
            <w:tcBorders>
              <w:top w:val="nil"/>
              <w:left w:val="nil"/>
              <w:bottom w:val="single" w:sz="4" w:space="0" w:color="FFFFFF"/>
              <w:right w:val="single" w:sz="4" w:space="0" w:color="FFFFFF" w:themeColor="background1"/>
            </w:tcBorders>
            <w:shd w:val="clear" w:color="auto" w:fill="D9D9D9" w:themeFill="background1" w:themeFillShade="D9"/>
            <w:vAlign w:val="center"/>
            <w:hideMark/>
          </w:tcPr>
          <w:p w14:paraId="24911792"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p.m. Revenue measures (increments, excluding EU funded measures) </w:t>
            </w:r>
          </w:p>
        </w:tc>
        <w:tc>
          <w:tcPr>
            <w:tcW w:w="1134" w:type="dxa"/>
            <w:tcBorders>
              <w:top w:val="single" w:sz="4" w:space="0" w:color="FFFFFF"/>
              <w:left w:val="single" w:sz="4" w:space="0" w:color="FFFFFF" w:themeColor="background1"/>
              <w:bottom w:val="single" w:sz="4" w:space="0" w:color="FFFFFF"/>
              <w:right w:val="nil"/>
            </w:tcBorders>
            <w:shd w:val="clear" w:color="auto" w:fill="D9D9D9" w:themeFill="background1" w:themeFillShade="D9"/>
            <w:vAlign w:val="center"/>
            <w:hideMark/>
          </w:tcPr>
          <w:p w14:paraId="6D41FB34" w14:textId="77777777" w:rsidR="00326448" w:rsidRPr="005E057C" w:rsidRDefault="00326448" w:rsidP="00861B0D">
            <w:pPr>
              <w:pStyle w:val="Tabletext"/>
              <w:spacing w:line="200" w:lineRule="exact"/>
              <w:rPr>
                <w:rFonts w:cs="Calibri"/>
                <w:sz w:val="20"/>
                <w:szCs w:val="20"/>
              </w:rPr>
            </w:pPr>
          </w:p>
        </w:tc>
        <w:tc>
          <w:tcPr>
            <w:tcW w:w="718" w:type="dxa"/>
            <w:tcBorders>
              <w:top w:val="nil"/>
              <w:left w:val="single" w:sz="4" w:space="0" w:color="FFFFFF"/>
              <w:bottom w:val="single" w:sz="4" w:space="0" w:color="FFFFFF"/>
              <w:right w:val="single" w:sz="4" w:space="0" w:color="FFFFFF" w:themeColor="background1"/>
            </w:tcBorders>
            <w:shd w:val="clear" w:color="auto" w:fill="D9D9D9" w:themeFill="background1" w:themeFillShade="D9"/>
            <w:vAlign w:val="center"/>
            <w:hideMark/>
          </w:tcPr>
          <w:p w14:paraId="174ED87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-4.3</w:t>
            </w:r>
          </w:p>
        </w:tc>
        <w:tc>
          <w:tcPr>
            <w:tcW w:w="718" w:type="dxa"/>
            <w:tcBorders>
              <w:top w:val="nil"/>
              <w:left w:val="single" w:sz="4" w:space="0" w:color="FFFFFF" w:themeColor="background1"/>
              <w:bottom w:val="single" w:sz="4" w:space="0" w:color="FFFFFF"/>
              <w:right w:val="nil"/>
            </w:tcBorders>
            <w:shd w:val="clear" w:color="auto" w:fill="D9D9D9" w:themeFill="background1" w:themeFillShade="D9"/>
            <w:vAlign w:val="center"/>
            <w:hideMark/>
          </w:tcPr>
          <w:p w14:paraId="46D2969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-2.0</w:t>
            </w:r>
          </w:p>
        </w:tc>
        <w:tc>
          <w:tcPr>
            <w:tcW w:w="718" w:type="dxa"/>
            <w:tcBorders>
              <w:top w:val="nil"/>
              <w:left w:val="nil"/>
              <w:bottom w:val="single" w:sz="4" w:space="0" w:color="FFFFFF"/>
              <w:right w:val="nil"/>
            </w:tcBorders>
            <w:shd w:val="clear" w:color="auto" w:fill="D9D9D9" w:themeFill="background1" w:themeFillShade="D9"/>
            <w:vAlign w:val="center"/>
            <w:hideMark/>
          </w:tcPr>
          <w:p w14:paraId="17E8A88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0.4</w:t>
            </w:r>
          </w:p>
        </w:tc>
        <w:tc>
          <w:tcPr>
            <w:tcW w:w="718" w:type="dxa"/>
            <w:tcBorders>
              <w:top w:val="nil"/>
              <w:left w:val="nil"/>
              <w:right w:val="nil"/>
            </w:tcBorders>
            <w:shd w:val="clear" w:color="auto" w:fill="A6A6A6" w:themeFill="background1" w:themeFillShade="A6"/>
            <w:vAlign w:val="center"/>
          </w:tcPr>
          <w:p w14:paraId="539706CF" w14:textId="2E4F963A"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3ED0804"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75972F9"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D9C750D" w14:textId="77777777" w:rsidR="00326448" w:rsidRPr="005E057C" w:rsidRDefault="00326448" w:rsidP="00861B0D">
            <w:pPr>
              <w:pStyle w:val="Tabletext"/>
              <w:spacing w:line="200" w:lineRule="exact"/>
              <w:jc w:val="center"/>
              <w:rPr>
                <w:rFonts w:cs="Calibri"/>
                <w:sz w:val="20"/>
                <w:szCs w:val="20"/>
              </w:rPr>
            </w:pPr>
          </w:p>
        </w:tc>
      </w:tr>
      <w:tr w:rsidR="007A65D0" w:rsidRPr="005E057C" w14:paraId="22A51BF1" w14:textId="77777777" w:rsidTr="00E507D5">
        <w:trPr>
          <w:trHeight w:val="9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6F429C2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11</w:t>
            </w:r>
          </w:p>
        </w:tc>
        <w:tc>
          <w:tcPr>
            <w:tcW w:w="2395" w:type="dxa"/>
            <w:tcBorders>
              <w:top w:val="nil"/>
              <w:left w:val="nil"/>
              <w:bottom w:val="single" w:sz="4" w:space="0" w:color="FFFFFF"/>
              <w:right w:val="nil"/>
            </w:tcBorders>
            <w:shd w:val="clear" w:color="000000" w:fill="F2F2F2"/>
            <w:vAlign w:val="center"/>
            <w:hideMark/>
          </w:tcPr>
          <w:p w14:paraId="696CDC87" w14:textId="670E87B4"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p.m. One-off revenue included in the projections (levels, excluding EU funded measures) </w:t>
            </w:r>
          </w:p>
        </w:tc>
        <w:tc>
          <w:tcPr>
            <w:tcW w:w="1134" w:type="dxa"/>
            <w:tcBorders>
              <w:top w:val="nil"/>
              <w:left w:val="single" w:sz="4" w:space="0" w:color="FFFFFF"/>
              <w:bottom w:val="single" w:sz="4" w:space="0" w:color="FFFFFF"/>
              <w:right w:val="nil"/>
            </w:tcBorders>
            <w:shd w:val="clear" w:color="000000" w:fill="F2F2F2"/>
            <w:vAlign w:val="center"/>
            <w:hideMark/>
          </w:tcPr>
          <w:p w14:paraId="105523F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2D50F34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0.0</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1590AD2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0.0</w:t>
            </w:r>
          </w:p>
        </w:tc>
        <w:tc>
          <w:tcPr>
            <w:tcW w:w="718" w:type="dxa"/>
            <w:tcBorders>
              <w:top w:val="nil"/>
              <w:left w:val="nil"/>
              <w:bottom w:val="single" w:sz="4" w:space="0" w:color="FFFFFF"/>
              <w:right w:val="nil"/>
            </w:tcBorders>
            <w:shd w:val="clear" w:color="000000" w:fill="F2F2F2"/>
            <w:vAlign w:val="center"/>
            <w:hideMark/>
          </w:tcPr>
          <w:p w14:paraId="6A4F6EE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0.0</w:t>
            </w:r>
          </w:p>
        </w:tc>
        <w:tc>
          <w:tcPr>
            <w:tcW w:w="718" w:type="dxa"/>
            <w:tcBorders>
              <w:top w:val="nil"/>
              <w:left w:val="nil"/>
              <w:right w:val="nil"/>
            </w:tcBorders>
            <w:shd w:val="clear" w:color="auto" w:fill="A6A6A6" w:themeFill="background1" w:themeFillShade="A6"/>
            <w:vAlign w:val="center"/>
          </w:tcPr>
          <w:p w14:paraId="045EADE6" w14:textId="3E43045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F420E7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431069A"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47D71DF5" w14:textId="77777777" w:rsidR="00326448" w:rsidRPr="005E057C" w:rsidRDefault="00326448" w:rsidP="00861B0D">
            <w:pPr>
              <w:pStyle w:val="Tabletext"/>
              <w:spacing w:line="200" w:lineRule="exact"/>
              <w:jc w:val="center"/>
              <w:rPr>
                <w:rFonts w:cs="Calibri"/>
                <w:sz w:val="20"/>
                <w:szCs w:val="20"/>
              </w:rPr>
            </w:pPr>
          </w:p>
        </w:tc>
      </w:tr>
      <w:tr w:rsidR="00326448" w:rsidRPr="0077696E" w14:paraId="366F12D1" w14:textId="77777777" w:rsidTr="00E507D5">
        <w:trPr>
          <w:trHeight w:val="498"/>
          <w:jc w:val="center"/>
        </w:trPr>
        <w:tc>
          <w:tcPr>
            <w:tcW w:w="440" w:type="dxa"/>
            <w:tcBorders>
              <w:top w:val="nil"/>
              <w:left w:val="single" w:sz="2" w:space="0" w:color="FFFFFF" w:themeColor="background1"/>
              <w:right w:val="nil"/>
            </w:tcBorders>
            <w:shd w:val="clear" w:color="000000" w:fill="BFBFBF"/>
            <w:vAlign w:val="center"/>
            <w:hideMark/>
          </w:tcPr>
          <w:p w14:paraId="332DC185" w14:textId="77777777" w:rsidR="00326448" w:rsidRPr="0077696E" w:rsidRDefault="00326448" w:rsidP="00861B0D">
            <w:pPr>
              <w:pStyle w:val="Tabletext"/>
              <w:spacing w:line="200" w:lineRule="exact"/>
              <w:rPr>
                <w:b/>
                <w:sz w:val="20"/>
                <w:szCs w:val="20"/>
              </w:rPr>
            </w:pPr>
            <w:r w:rsidRPr="0077696E">
              <w:rPr>
                <w:b/>
                <w:sz w:val="20"/>
                <w:szCs w:val="20"/>
              </w:rPr>
              <w:t> </w:t>
            </w:r>
          </w:p>
        </w:tc>
        <w:tc>
          <w:tcPr>
            <w:tcW w:w="2395" w:type="dxa"/>
            <w:tcBorders>
              <w:top w:val="nil"/>
              <w:left w:val="nil"/>
              <w:right w:val="single" w:sz="4" w:space="0" w:color="FFFFFF" w:themeColor="background1"/>
            </w:tcBorders>
            <w:shd w:val="clear" w:color="000000" w:fill="BFBFBF"/>
            <w:vAlign w:val="center"/>
            <w:hideMark/>
          </w:tcPr>
          <w:p w14:paraId="7D65E467" w14:textId="77777777" w:rsidR="00326448" w:rsidRPr="0077696E" w:rsidRDefault="00326448" w:rsidP="00861B0D">
            <w:pPr>
              <w:pStyle w:val="Tabletext"/>
              <w:spacing w:line="200" w:lineRule="exact"/>
              <w:rPr>
                <w:b/>
                <w:sz w:val="20"/>
                <w:szCs w:val="20"/>
              </w:rPr>
            </w:pPr>
            <w:r w:rsidRPr="0077696E">
              <w:rPr>
                <w:b/>
                <w:sz w:val="20"/>
                <w:szCs w:val="20"/>
              </w:rPr>
              <w:t>Expenditure</w:t>
            </w:r>
          </w:p>
        </w:tc>
        <w:tc>
          <w:tcPr>
            <w:tcW w:w="1134" w:type="dxa"/>
            <w:tcBorders>
              <w:top w:val="single" w:sz="4" w:space="0" w:color="FFFFFF"/>
              <w:left w:val="single" w:sz="4" w:space="0" w:color="FFFFFF" w:themeColor="background1"/>
              <w:right w:val="single" w:sz="4" w:space="0" w:color="FFFFFF" w:themeColor="background1"/>
            </w:tcBorders>
            <w:shd w:val="clear" w:color="000000" w:fill="BFBFBF"/>
            <w:vAlign w:val="center"/>
            <w:hideMark/>
          </w:tcPr>
          <w:p w14:paraId="48F8427F" w14:textId="77777777" w:rsidR="00326448" w:rsidRPr="0077696E" w:rsidRDefault="00326448" w:rsidP="00861B0D">
            <w:pPr>
              <w:pStyle w:val="Tabletext"/>
              <w:spacing w:line="200" w:lineRule="exact"/>
              <w:rPr>
                <w:b/>
                <w:sz w:val="20"/>
                <w:szCs w:val="20"/>
              </w:rPr>
            </w:pPr>
            <w:r w:rsidRPr="0077696E">
              <w:rPr>
                <w:b/>
                <w:sz w:val="20"/>
                <w:szCs w:val="20"/>
              </w:rPr>
              <w:t xml:space="preserve">ESA Code </w:t>
            </w:r>
          </w:p>
        </w:tc>
        <w:tc>
          <w:tcPr>
            <w:tcW w:w="718" w:type="dxa"/>
            <w:tcBorders>
              <w:top w:val="single" w:sz="4" w:space="0" w:color="FFFFFF"/>
              <w:left w:val="single" w:sz="4" w:space="0" w:color="FFFFFF" w:themeColor="background1"/>
              <w:right w:val="single" w:sz="4" w:space="0" w:color="FFFFFF" w:themeColor="background1"/>
            </w:tcBorders>
            <w:shd w:val="clear" w:color="000000" w:fill="BFBFBF"/>
            <w:vAlign w:val="center"/>
            <w:hideMark/>
          </w:tcPr>
          <w:p w14:paraId="771BDE5F" w14:textId="77777777" w:rsidR="00326448" w:rsidRPr="0077696E" w:rsidRDefault="00326448" w:rsidP="00861B0D">
            <w:pPr>
              <w:pStyle w:val="Tabletext"/>
              <w:spacing w:line="200" w:lineRule="exact"/>
              <w:jc w:val="center"/>
              <w:rPr>
                <w:b/>
                <w:sz w:val="20"/>
                <w:szCs w:val="20"/>
              </w:rPr>
            </w:pPr>
            <w:r w:rsidRPr="0077696E">
              <w:rPr>
                <w:b/>
                <w:sz w:val="20"/>
                <w:szCs w:val="20"/>
              </w:rPr>
              <w:t>bn NAC</w:t>
            </w:r>
          </w:p>
        </w:tc>
        <w:tc>
          <w:tcPr>
            <w:tcW w:w="4308" w:type="dxa"/>
            <w:gridSpan w:val="6"/>
            <w:tcBorders>
              <w:top w:val="single" w:sz="4" w:space="0" w:color="FFFFFF"/>
              <w:left w:val="single" w:sz="4" w:space="0" w:color="FFFFFF" w:themeColor="background1"/>
              <w:right w:val="nil"/>
            </w:tcBorders>
            <w:shd w:val="clear" w:color="000000" w:fill="BFBFBF"/>
            <w:vAlign w:val="center"/>
            <w:hideMark/>
          </w:tcPr>
          <w:p w14:paraId="032ED35C" w14:textId="3C187DF6" w:rsidR="00326448" w:rsidRPr="0077696E" w:rsidRDefault="008426A2" w:rsidP="008426A2">
            <w:pPr>
              <w:pStyle w:val="Tabletext"/>
              <w:spacing w:line="200" w:lineRule="exact"/>
              <w:rPr>
                <w:b/>
                <w:sz w:val="20"/>
                <w:szCs w:val="20"/>
              </w:rPr>
            </w:pPr>
            <w:r w:rsidRPr="0077696E">
              <w:rPr>
                <w:b/>
                <w:sz w:val="20"/>
                <w:szCs w:val="20"/>
                <w:lang w:val="el-GR"/>
              </w:rPr>
              <w:t xml:space="preserve">        </w:t>
            </w:r>
            <w:r w:rsidR="00326448" w:rsidRPr="0077696E">
              <w:rPr>
                <w:b/>
                <w:sz w:val="20"/>
                <w:szCs w:val="20"/>
              </w:rPr>
              <w:t>% GDP</w:t>
            </w:r>
          </w:p>
        </w:tc>
      </w:tr>
      <w:tr w:rsidR="007A65D0" w:rsidRPr="005E057C" w14:paraId="10237F36" w14:textId="77777777" w:rsidTr="00E507D5">
        <w:trPr>
          <w:trHeight w:val="300"/>
          <w:jc w:val="center"/>
        </w:trPr>
        <w:tc>
          <w:tcPr>
            <w:tcW w:w="440" w:type="dxa"/>
            <w:tcBorders>
              <w:top w:val="nil"/>
              <w:left w:val="single" w:sz="2" w:space="0" w:color="FFFFFF" w:themeColor="background1"/>
              <w:bottom w:val="single" w:sz="4" w:space="0" w:color="FFFFFF" w:themeColor="background1"/>
            </w:tcBorders>
            <w:shd w:val="clear" w:color="000000" w:fill="F2F2F2"/>
            <w:vAlign w:val="center"/>
            <w:hideMark/>
          </w:tcPr>
          <w:p w14:paraId="5E319DB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12</w:t>
            </w:r>
          </w:p>
        </w:tc>
        <w:tc>
          <w:tcPr>
            <w:tcW w:w="2395" w:type="dxa"/>
            <w:tcBorders>
              <w:top w:val="nil"/>
              <w:bottom w:val="single" w:sz="4" w:space="0" w:color="FFFFFF" w:themeColor="background1"/>
              <w:right w:val="single" w:sz="4" w:space="0" w:color="FFFFFF" w:themeColor="background1"/>
            </w:tcBorders>
            <w:shd w:val="clear" w:color="000000" w:fill="F2F2F2"/>
            <w:vAlign w:val="center"/>
            <w:hideMark/>
          </w:tcPr>
          <w:p w14:paraId="307C5265"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Compensation of employees</w:t>
            </w:r>
          </w:p>
        </w:tc>
        <w:tc>
          <w:tcPr>
            <w:tcW w:w="1134"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2C71A92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D.1 </w:t>
            </w:r>
          </w:p>
        </w:tc>
        <w:tc>
          <w:tcPr>
            <w:tcW w:w="718" w:type="dxa"/>
            <w:tcBorders>
              <w:top w:val="nil"/>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1F7353C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23.5</w:t>
            </w:r>
          </w:p>
        </w:tc>
        <w:tc>
          <w:tcPr>
            <w:tcW w:w="718" w:type="dxa"/>
            <w:tcBorders>
              <w:top w:val="nil"/>
              <w:left w:val="single" w:sz="4" w:space="0" w:color="FFFFFF" w:themeColor="background1"/>
              <w:bottom w:val="single" w:sz="4" w:space="0" w:color="FFFFFF" w:themeColor="background1"/>
            </w:tcBorders>
            <w:shd w:val="clear" w:color="000000" w:fill="F2F2F2"/>
            <w:vAlign w:val="center"/>
            <w:hideMark/>
          </w:tcPr>
          <w:p w14:paraId="2661B08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10.7</w:t>
            </w:r>
          </w:p>
        </w:tc>
        <w:tc>
          <w:tcPr>
            <w:tcW w:w="718" w:type="dxa"/>
            <w:tcBorders>
              <w:top w:val="nil"/>
              <w:bottom w:val="single" w:sz="4" w:space="0" w:color="FFFFFF" w:themeColor="background1"/>
            </w:tcBorders>
            <w:shd w:val="clear" w:color="000000" w:fill="F2F2F2"/>
            <w:vAlign w:val="center"/>
            <w:hideMark/>
          </w:tcPr>
          <w:p w14:paraId="0CBD8CC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10.7</w:t>
            </w:r>
          </w:p>
        </w:tc>
        <w:tc>
          <w:tcPr>
            <w:tcW w:w="718" w:type="dxa"/>
            <w:tcBorders>
              <w:top w:val="nil"/>
            </w:tcBorders>
            <w:shd w:val="clear" w:color="auto" w:fill="A6A6A6" w:themeFill="background1" w:themeFillShade="A6"/>
            <w:vAlign w:val="center"/>
          </w:tcPr>
          <w:p w14:paraId="5ECE5315" w14:textId="07F39B37" w:rsidR="00326448" w:rsidRPr="005E057C" w:rsidRDefault="00326448" w:rsidP="00861B0D">
            <w:pPr>
              <w:pStyle w:val="Tabletext"/>
              <w:spacing w:line="200" w:lineRule="exact"/>
              <w:jc w:val="center"/>
              <w:rPr>
                <w:rFonts w:cs="Calibri"/>
                <w:sz w:val="20"/>
                <w:szCs w:val="20"/>
              </w:rPr>
            </w:pPr>
          </w:p>
        </w:tc>
        <w:tc>
          <w:tcPr>
            <w:tcW w:w="718" w:type="dxa"/>
            <w:tcBorders>
              <w:top w:val="nil"/>
            </w:tcBorders>
            <w:shd w:val="clear" w:color="auto" w:fill="A6A6A6" w:themeFill="background1" w:themeFillShade="A6"/>
            <w:vAlign w:val="center"/>
            <w:hideMark/>
          </w:tcPr>
          <w:p w14:paraId="2C562D9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tcBorders>
            <w:shd w:val="clear" w:color="auto" w:fill="A6A6A6" w:themeFill="background1" w:themeFillShade="A6"/>
            <w:vAlign w:val="center"/>
            <w:hideMark/>
          </w:tcPr>
          <w:p w14:paraId="011FAEFC"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right w:val="nil"/>
            </w:tcBorders>
            <w:shd w:val="clear" w:color="auto" w:fill="A6A6A6" w:themeFill="background1" w:themeFillShade="A6"/>
            <w:vAlign w:val="center"/>
            <w:hideMark/>
          </w:tcPr>
          <w:p w14:paraId="3788A4B5" w14:textId="77777777" w:rsidR="00326448" w:rsidRPr="005E057C" w:rsidRDefault="00326448" w:rsidP="00861B0D">
            <w:pPr>
              <w:pStyle w:val="Tabletext"/>
              <w:spacing w:line="200" w:lineRule="exact"/>
              <w:jc w:val="center"/>
              <w:rPr>
                <w:rFonts w:cs="Calibri"/>
                <w:sz w:val="20"/>
                <w:szCs w:val="20"/>
              </w:rPr>
            </w:pPr>
          </w:p>
        </w:tc>
      </w:tr>
      <w:tr w:rsidR="007A65D0" w:rsidRPr="005E057C" w14:paraId="0A7A477F" w14:textId="77777777" w:rsidTr="00E507D5">
        <w:trPr>
          <w:trHeight w:val="300"/>
          <w:jc w:val="center"/>
        </w:trPr>
        <w:tc>
          <w:tcPr>
            <w:tcW w:w="440" w:type="dxa"/>
            <w:tcBorders>
              <w:top w:val="single" w:sz="4" w:space="0" w:color="FFFFFF" w:themeColor="background1"/>
              <w:left w:val="single" w:sz="2" w:space="0" w:color="FFFFFF" w:themeColor="background1"/>
            </w:tcBorders>
            <w:shd w:val="clear" w:color="000000" w:fill="D9D9D9"/>
            <w:vAlign w:val="center"/>
            <w:hideMark/>
          </w:tcPr>
          <w:p w14:paraId="3CD3F63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13</w:t>
            </w:r>
          </w:p>
        </w:tc>
        <w:tc>
          <w:tcPr>
            <w:tcW w:w="2395" w:type="dxa"/>
            <w:tcBorders>
              <w:top w:val="single" w:sz="4" w:space="0" w:color="FFFFFF" w:themeColor="background1"/>
              <w:right w:val="single" w:sz="4" w:space="0" w:color="FFFFFF" w:themeColor="background1"/>
            </w:tcBorders>
            <w:shd w:val="clear" w:color="000000" w:fill="D9D9D9"/>
            <w:vAlign w:val="center"/>
            <w:hideMark/>
          </w:tcPr>
          <w:p w14:paraId="2A98526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Intermediate consumption </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000000" w:fill="D9D9D9"/>
            <w:vAlign w:val="center"/>
            <w:hideMark/>
          </w:tcPr>
          <w:p w14:paraId="309EE1E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P.2 </w:t>
            </w:r>
          </w:p>
        </w:tc>
        <w:tc>
          <w:tcPr>
            <w:tcW w:w="718" w:type="dxa"/>
            <w:tcBorders>
              <w:top w:val="single" w:sz="4" w:space="0" w:color="FFFFFF" w:themeColor="background1"/>
              <w:left w:val="single" w:sz="4" w:space="0" w:color="FFFFFF" w:themeColor="background1"/>
              <w:right w:val="single" w:sz="4" w:space="0" w:color="FFFFFF" w:themeColor="background1"/>
            </w:tcBorders>
            <w:shd w:val="clear" w:color="000000" w:fill="D9D9D9"/>
            <w:vAlign w:val="center"/>
            <w:hideMark/>
          </w:tcPr>
          <w:p w14:paraId="5A4D77F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12.0</w:t>
            </w:r>
          </w:p>
        </w:tc>
        <w:tc>
          <w:tcPr>
            <w:tcW w:w="718" w:type="dxa"/>
            <w:tcBorders>
              <w:top w:val="single" w:sz="4" w:space="0" w:color="FFFFFF" w:themeColor="background1"/>
              <w:left w:val="single" w:sz="4" w:space="0" w:color="FFFFFF" w:themeColor="background1"/>
            </w:tcBorders>
            <w:shd w:val="clear" w:color="000000" w:fill="D9D9D9"/>
            <w:vAlign w:val="center"/>
            <w:hideMark/>
          </w:tcPr>
          <w:p w14:paraId="6900342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5.5</w:t>
            </w:r>
          </w:p>
        </w:tc>
        <w:tc>
          <w:tcPr>
            <w:tcW w:w="718" w:type="dxa"/>
            <w:tcBorders>
              <w:top w:val="single" w:sz="4" w:space="0" w:color="FFFFFF" w:themeColor="background1"/>
            </w:tcBorders>
            <w:shd w:val="clear" w:color="000000" w:fill="D9D9D9"/>
            <w:vAlign w:val="center"/>
            <w:hideMark/>
          </w:tcPr>
          <w:p w14:paraId="47DD3B1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5.6</w:t>
            </w:r>
          </w:p>
        </w:tc>
        <w:tc>
          <w:tcPr>
            <w:tcW w:w="718" w:type="dxa"/>
            <w:shd w:val="clear" w:color="auto" w:fill="A6A6A6" w:themeFill="background1" w:themeFillShade="A6"/>
            <w:vAlign w:val="center"/>
            <w:hideMark/>
          </w:tcPr>
          <w:p w14:paraId="0D31D946" w14:textId="2796354B" w:rsidR="00326448" w:rsidRPr="005E057C" w:rsidRDefault="00326448" w:rsidP="00861B0D">
            <w:pPr>
              <w:pStyle w:val="Tabletext"/>
              <w:spacing w:line="200" w:lineRule="exact"/>
              <w:jc w:val="center"/>
              <w:rPr>
                <w:rFonts w:cs="Calibri"/>
                <w:sz w:val="20"/>
                <w:szCs w:val="20"/>
              </w:rPr>
            </w:pPr>
          </w:p>
        </w:tc>
        <w:tc>
          <w:tcPr>
            <w:tcW w:w="718" w:type="dxa"/>
            <w:shd w:val="clear" w:color="auto" w:fill="A6A6A6" w:themeFill="background1" w:themeFillShade="A6"/>
            <w:vAlign w:val="center"/>
            <w:hideMark/>
          </w:tcPr>
          <w:p w14:paraId="4C691112" w14:textId="77777777" w:rsidR="00326448" w:rsidRPr="005E057C" w:rsidRDefault="00326448" w:rsidP="00861B0D">
            <w:pPr>
              <w:pStyle w:val="Tabletext"/>
              <w:spacing w:line="200" w:lineRule="exact"/>
              <w:jc w:val="center"/>
              <w:rPr>
                <w:rFonts w:cs="Calibri"/>
                <w:sz w:val="20"/>
                <w:szCs w:val="20"/>
              </w:rPr>
            </w:pPr>
          </w:p>
        </w:tc>
        <w:tc>
          <w:tcPr>
            <w:tcW w:w="718" w:type="dxa"/>
            <w:shd w:val="clear" w:color="auto" w:fill="A6A6A6" w:themeFill="background1" w:themeFillShade="A6"/>
            <w:vAlign w:val="center"/>
            <w:hideMark/>
          </w:tcPr>
          <w:p w14:paraId="75C0B3AE" w14:textId="77777777" w:rsidR="00326448" w:rsidRPr="005E057C" w:rsidRDefault="00326448" w:rsidP="00861B0D">
            <w:pPr>
              <w:pStyle w:val="Tabletext"/>
              <w:spacing w:line="200" w:lineRule="exact"/>
              <w:jc w:val="center"/>
              <w:rPr>
                <w:rFonts w:cs="Calibri"/>
                <w:sz w:val="20"/>
                <w:szCs w:val="20"/>
              </w:rPr>
            </w:pPr>
          </w:p>
        </w:tc>
        <w:tc>
          <w:tcPr>
            <w:tcW w:w="718" w:type="dxa"/>
            <w:tcBorders>
              <w:right w:val="nil"/>
            </w:tcBorders>
            <w:shd w:val="clear" w:color="auto" w:fill="A6A6A6" w:themeFill="background1" w:themeFillShade="A6"/>
            <w:vAlign w:val="center"/>
            <w:hideMark/>
          </w:tcPr>
          <w:p w14:paraId="7CBA19BC" w14:textId="77777777" w:rsidR="00326448" w:rsidRPr="005E057C" w:rsidRDefault="00326448" w:rsidP="00861B0D">
            <w:pPr>
              <w:pStyle w:val="Tabletext"/>
              <w:spacing w:line="200" w:lineRule="exact"/>
              <w:jc w:val="center"/>
              <w:rPr>
                <w:rFonts w:cs="Calibri"/>
                <w:sz w:val="20"/>
                <w:szCs w:val="20"/>
              </w:rPr>
            </w:pPr>
          </w:p>
        </w:tc>
      </w:tr>
      <w:tr w:rsidR="007A65D0" w:rsidRPr="005E057C" w14:paraId="760DBB46" w14:textId="77777777" w:rsidTr="00E507D5">
        <w:trPr>
          <w:trHeight w:val="300"/>
          <w:jc w:val="center"/>
        </w:trPr>
        <w:tc>
          <w:tcPr>
            <w:tcW w:w="440" w:type="dxa"/>
            <w:tcBorders>
              <w:left w:val="single" w:sz="2" w:space="0" w:color="FFFFFF" w:themeColor="background1"/>
              <w:bottom w:val="single" w:sz="4" w:space="0" w:color="FFFFFF"/>
              <w:right w:val="nil"/>
            </w:tcBorders>
            <w:shd w:val="clear" w:color="000000" w:fill="F2F2F2"/>
            <w:vAlign w:val="center"/>
            <w:hideMark/>
          </w:tcPr>
          <w:p w14:paraId="101592E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14</w:t>
            </w:r>
          </w:p>
        </w:tc>
        <w:tc>
          <w:tcPr>
            <w:tcW w:w="2395" w:type="dxa"/>
            <w:tcBorders>
              <w:left w:val="nil"/>
              <w:bottom w:val="single" w:sz="4" w:space="0" w:color="FFFFFF"/>
              <w:right w:val="single" w:sz="4" w:space="0" w:color="FFFFFF" w:themeColor="background1"/>
            </w:tcBorders>
            <w:shd w:val="clear" w:color="000000" w:fill="F2F2F2"/>
            <w:vAlign w:val="center"/>
            <w:hideMark/>
          </w:tcPr>
          <w:p w14:paraId="26B1718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Interest expenditure</w:t>
            </w:r>
          </w:p>
        </w:tc>
        <w:tc>
          <w:tcPr>
            <w:tcW w:w="1134" w:type="dxa"/>
            <w:tcBorders>
              <w:left w:val="single" w:sz="4" w:space="0" w:color="FFFFFF" w:themeColor="background1"/>
              <w:bottom w:val="single" w:sz="4" w:space="0" w:color="FFFFFF"/>
              <w:right w:val="nil"/>
            </w:tcBorders>
            <w:shd w:val="clear" w:color="000000" w:fill="F2F2F2"/>
            <w:vAlign w:val="center"/>
            <w:hideMark/>
          </w:tcPr>
          <w:p w14:paraId="005BFD3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D.41 </w:t>
            </w:r>
          </w:p>
        </w:tc>
        <w:tc>
          <w:tcPr>
            <w:tcW w:w="718" w:type="dxa"/>
            <w:tcBorders>
              <w:left w:val="single" w:sz="4" w:space="0" w:color="FFFFFF"/>
              <w:bottom w:val="single" w:sz="4" w:space="0" w:color="FFFFFF"/>
              <w:right w:val="single" w:sz="4" w:space="0" w:color="FFFFFF" w:themeColor="background1"/>
            </w:tcBorders>
            <w:shd w:val="clear" w:color="000000" w:fill="F2F2F2"/>
            <w:vAlign w:val="center"/>
            <w:hideMark/>
          </w:tcPr>
          <w:p w14:paraId="640DE5E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7.6</w:t>
            </w:r>
          </w:p>
        </w:tc>
        <w:tc>
          <w:tcPr>
            <w:tcW w:w="718" w:type="dxa"/>
            <w:tcBorders>
              <w:left w:val="single" w:sz="4" w:space="0" w:color="FFFFFF" w:themeColor="background1"/>
              <w:bottom w:val="single" w:sz="4" w:space="0" w:color="FFFFFF"/>
              <w:right w:val="nil"/>
            </w:tcBorders>
            <w:shd w:val="clear" w:color="000000" w:fill="F2F2F2"/>
            <w:vAlign w:val="center"/>
            <w:hideMark/>
          </w:tcPr>
          <w:p w14:paraId="043A586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left w:val="nil"/>
              <w:bottom w:val="single" w:sz="4" w:space="0" w:color="FFFFFF"/>
              <w:right w:val="nil"/>
            </w:tcBorders>
            <w:shd w:val="clear" w:color="000000" w:fill="F2F2F2"/>
            <w:vAlign w:val="center"/>
            <w:hideMark/>
          </w:tcPr>
          <w:p w14:paraId="4D5DCB6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3.4</w:t>
            </w:r>
          </w:p>
        </w:tc>
        <w:tc>
          <w:tcPr>
            <w:tcW w:w="718" w:type="dxa"/>
            <w:tcBorders>
              <w:left w:val="nil"/>
              <w:right w:val="nil"/>
            </w:tcBorders>
            <w:shd w:val="clear" w:color="000000" w:fill="F2F2F2"/>
            <w:vAlign w:val="center"/>
            <w:hideMark/>
          </w:tcPr>
          <w:p w14:paraId="2250BE1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3.2</w:t>
            </w:r>
          </w:p>
        </w:tc>
        <w:tc>
          <w:tcPr>
            <w:tcW w:w="718" w:type="dxa"/>
            <w:tcBorders>
              <w:left w:val="nil"/>
              <w:right w:val="nil"/>
            </w:tcBorders>
            <w:shd w:val="clear" w:color="000000" w:fill="F2F2F2"/>
            <w:vAlign w:val="center"/>
            <w:hideMark/>
          </w:tcPr>
          <w:p w14:paraId="0E98DDA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left w:val="nil"/>
              <w:right w:val="nil"/>
            </w:tcBorders>
            <w:shd w:val="clear" w:color="000000" w:fill="F2F2F2"/>
            <w:vAlign w:val="center"/>
            <w:hideMark/>
          </w:tcPr>
          <w:p w14:paraId="197D42F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left w:val="nil"/>
              <w:right w:val="nil"/>
            </w:tcBorders>
            <w:shd w:val="clear" w:color="000000" w:fill="F2F2F2"/>
            <w:vAlign w:val="center"/>
            <w:hideMark/>
          </w:tcPr>
          <w:p w14:paraId="757DCC26"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3.6</w:t>
            </w:r>
          </w:p>
        </w:tc>
      </w:tr>
      <w:tr w:rsidR="00912183" w:rsidRPr="005E057C" w14:paraId="6DC3619D"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07D654C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15</w:t>
            </w:r>
          </w:p>
        </w:tc>
        <w:tc>
          <w:tcPr>
            <w:tcW w:w="2395" w:type="dxa"/>
            <w:tcBorders>
              <w:top w:val="nil"/>
              <w:left w:val="nil"/>
              <w:bottom w:val="single" w:sz="4" w:space="0" w:color="FFFFFF"/>
              <w:right w:val="nil"/>
            </w:tcBorders>
            <w:shd w:val="clear" w:color="000000" w:fill="D9D9D9"/>
            <w:vAlign w:val="center"/>
            <w:hideMark/>
          </w:tcPr>
          <w:p w14:paraId="44803DB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Social benefits other than social transfers in kind </w:t>
            </w:r>
          </w:p>
        </w:tc>
        <w:tc>
          <w:tcPr>
            <w:tcW w:w="1134" w:type="dxa"/>
            <w:tcBorders>
              <w:top w:val="nil"/>
              <w:left w:val="single" w:sz="4" w:space="0" w:color="FFFFFF"/>
              <w:bottom w:val="single" w:sz="4" w:space="0" w:color="FFFFFF"/>
              <w:right w:val="nil"/>
            </w:tcBorders>
            <w:shd w:val="clear" w:color="000000" w:fill="D9D9D9"/>
            <w:vAlign w:val="center"/>
            <w:hideMark/>
          </w:tcPr>
          <w:p w14:paraId="06CCC8B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D.62 </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793CB42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38.8</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28D8F5D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17.6</w:t>
            </w:r>
          </w:p>
        </w:tc>
        <w:tc>
          <w:tcPr>
            <w:tcW w:w="718" w:type="dxa"/>
            <w:tcBorders>
              <w:top w:val="nil"/>
              <w:left w:val="nil"/>
              <w:bottom w:val="single" w:sz="4" w:space="0" w:color="FFFFFF"/>
              <w:right w:val="nil"/>
            </w:tcBorders>
            <w:shd w:val="clear" w:color="000000" w:fill="D9D9D9"/>
            <w:vAlign w:val="center"/>
            <w:hideMark/>
          </w:tcPr>
          <w:p w14:paraId="265B3A4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17.7</w:t>
            </w:r>
          </w:p>
        </w:tc>
        <w:tc>
          <w:tcPr>
            <w:tcW w:w="718" w:type="dxa"/>
            <w:tcBorders>
              <w:top w:val="nil"/>
              <w:left w:val="nil"/>
              <w:right w:val="nil"/>
            </w:tcBorders>
            <w:shd w:val="clear" w:color="auto" w:fill="A6A6A6" w:themeFill="background1" w:themeFillShade="A6"/>
            <w:vAlign w:val="center"/>
            <w:hideMark/>
          </w:tcPr>
          <w:p w14:paraId="14D69599" w14:textId="48874D72"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735DB1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8229FED"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235E2522" w14:textId="77777777" w:rsidR="00326448" w:rsidRPr="005E057C" w:rsidRDefault="00326448" w:rsidP="00861B0D">
            <w:pPr>
              <w:pStyle w:val="Tabletext"/>
              <w:spacing w:line="200" w:lineRule="exact"/>
              <w:jc w:val="center"/>
              <w:rPr>
                <w:rFonts w:cs="Calibri"/>
                <w:sz w:val="20"/>
                <w:szCs w:val="20"/>
              </w:rPr>
            </w:pPr>
          </w:p>
        </w:tc>
      </w:tr>
      <w:tr w:rsidR="00912183" w:rsidRPr="005E057C" w14:paraId="42FF8E8C"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7B84C32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16</w:t>
            </w:r>
          </w:p>
        </w:tc>
        <w:tc>
          <w:tcPr>
            <w:tcW w:w="2395" w:type="dxa"/>
            <w:tcBorders>
              <w:top w:val="nil"/>
              <w:left w:val="nil"/>
              <w:bottom w:val="single" w:sz="4" w:space="0" w:color="FFFFFF"/>
              <w:right w:val="nil"/>
            </w:tcBorders>
            <w:shd w:val="clear" w:color="000000" w:fill="F2F2F2"/>
            <w:vAlign w:val="center"/>
            <w:hideMark/>
          </w:tcPr>
          <w:p w14:paraId="2F40EBB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Social transfers in kind via market producers  </w:t>
            </w:r>
          </w:p>
        </w:tc>
        <w:tc>
          <w:tcPr>
            <w:tcW w:w="1134" w:type="dxa"/>
            <w:tcBorders>
              <w:top w:val="nil"/>
              <w:left w:val="single" w:sz="4" w:space="0" w:color="FFFFFF"/>
              <w:bottom w:val="single" w:sz="4" w:space="0" w:color="FFFFFF"/>
              <w:right w:val="nil"/>
            </w:tcBorders>
            <w:shd w:val="clear" w:color="000000" w:fill="F2F2F2"/>
            <w:vAlign w:val="center"/>
            <w:hideMark/>
          </w:tcPr>
          <w:p w14:paraId="689FBF3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D.632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53789FB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7.1</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5594026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3.2</w:t>
            </w:r>
          </w:p>
        </w:tc>
        <w:tc>
          <w:tcPr>
            <w:tcW w:w="718" w:type="dxa"/>
            <w:tcBorders>
              <w:top w:val="nil"/>
              <w:left w:val="nil"/>
              <w:bottom w:val="single" w:sz="4" w:space="0" w:color="FFFFFF"/>
              <w:right w:val="nil"/>
            </w:tcBorders>
            <w:shd w:val="clear" w:color="000000" w:fill="F2F2F2"/>
            <w:vAlign w:val="center"/>
            <w:hideMark/>
          </w:tcPr>
          <w:p w14:paraId="2A2DEC5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2.5</w:t>
            </w:r>
          </w:p>
        </w:tc>
        <w:tc>
          <w:tcPr>
            <w:tcW w:w="718" w:type="dxa"/>
            <w:tcBorders>
              <w:top w:val="nil"/>
              <w:left w:val="nil"/>
              <w:right w:val="nil"/>
            </w:tcBorders>
            <w:shd w:val="clear" w:color="auto" w:fill="A6A6A6" w:themeFill="background1" w:themeFillShade="A6"/>
            <w:vAlign w:val="center"/>
            <w:hideMark/>
          </w:tcPr>
          <w:p w14:paraId="3ED15A51" w14:textId="09B2E808"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082A78D"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2F6282B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13CC286" w14:textId="77777777" w:rsidR="00326448" w:rsidRPr="005E057C" w:rsidRDefault="00326448" w:rsidP="00861B0D">
            <w:pPr>
              <w:pStyle w:val="Tabletext"/>
              <w:spacing w:line="200" w:lineRule="exact"/>
              <w:jc w:val="center"/>
              <w:rPr>
                <w:rFonts w:cs="Calibri"/>
                <w:sz w:val="20"/>
                <w:szCs w:val="20"/>
              </w:rPr>
            </w:pPr>
          </w:p>
        </w:tc>
      </w:tr>
      <w:tr w:rsidR="00912183" w:rsidRPr="005E057C" w14:paraId="6498E81B"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610C567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17</w:t>
            </w:r>
          </w:p>
        </w:tc>
        <w:tc>
          <w:tcPr>
            <w:tcW w:w="2395" w:type="dxa"/>
            <w:tcBorders>
              <w:top w:val="nil"/>
              <w:left w:val="nil"/>
              <w:bottom w:val="single" w:sz="4" w:space="0" w:color="FFFFFF"/>
              <w:right w:val="nil"/>
            </w:tcBorders>
            <w:shd w:val="clear" w:color="000000" w:fill="D9D9D9"/>
            <w:vAlign w:val="center"/>
            <w:hideMark/>
          </w:tcPr>
          <w:p w14:paraId="315E099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Subsidies</w:t>
            </w:r>
          </w:p>
        </w:tc>
        <w:tc>
          <w:tcPr>
            <w:tcW w:w="1134" w:type="dxa"/>
            <w:tcBorders>
              <w:top w:val="nil"/>
              <w:left w:val="single" w:sz="4" w:space="0" w:color="FFFFFF"/>
              <w:bottom w:val="single" w:sz="4" w:space="0" w:color="FFFFFF"/>
              <w:right w:val="nil"/>
            </w:tcBorders>
            <w:shd w:val="clear" w:color="000000" w:fill="D9D9D9"/>
            <w:vAlign w:val="center"/>
            <w:hideMark/>
          </w:tcPr>
          <w:p w14:paraId="7FA3CBE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D.3 </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49D3925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4.0</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54A24A5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1.8</w:t>
            </w:r>
          </w:p>
        </w:tc>
        <w:tc>
          <w:tcPr>
            <w:tcW w:w="718" w:type="dxa"/>
            <w:tcBorders>
              <w:top w:val="nil"/>
              <w:left w:val="nil"/>
              <w:bottom w:val="single" w:sz="4" w:space="0" w:color="FFFFFF"/>
              <w:right w:val="nil"/>
            </w:tcBorders>
            <w:shd w:val="clear" w:color="000000" w:fill="D9D9D9"/>
            <w:vAlign w:val="center"/>
            <w:hideMark/>
          </w:tcPr>
          <w:p w14:paraId="710B5FB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w:t>
            </w:r>
          </w:p>
        </w:tc>
        <w:tc>
          <w:tcPr>
            <w:tcW w:w="718" w:type="dxa"/>
            <w:tcBorders>
              <w:top w:val="nil"/>
              <w:left w:val="nil"/>
              <w:right w:val="nil"/>
            </w:tcBorders>
            <w:shd w:val="clear" w:color="auto" w:fill="A6A6A6" w:themeFill="background1" w:themeFillShade="A6"/>
            <w:vAlign w:val="center"/>
            <w:hideMark/>
          </w:tcPr>
          <w:p w14:paraId="5C640DCD" w14:textId="2F7C37AD"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5726A5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166183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4BAFD6D" w14:textId="77777777" w:rsidR="00326448" w:rsidRPr="005E057C" w:rsidRDefault="00326448" w:rsidP="00861B0D">
            <w:pPr>
              <w:pStyle w:val="Tabletext"/>
              <w:spacing w:line="200" w:lineRule="exact"/>
              <w:jc w:val="center"/>
              <w:rPr>
                <w:rFonts w:cs="Calibri"/>
                <w:sz w:val="20"/>
                <w:szCs w:val="20"/>
              </w:rPr>
            </w:pPr>
          </w:p>
        </w:tc>
      </w:tr>
      <w:tr w:rsidR="00912183" w:rsidRPr="005E057C" w14:paraId="071039F6"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590D45C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18</w:t>
            </w:r>
          </w:p>
        </w:tc>
        <w:tc>
          <w:tcPr>
            <w:tcW w:w="2395" w:type="dxa"/>
            <w:tcBorders>
              <w:top w:val="nil"/>
              <w:left w:val="nil"/>
              <w:bottom w:val="single" w:sz="4" w:space="0" w:color="FFFFFF"/>
              <w:right w:val="nil"/>
            </w:tcBorders>
            <w:shd w:val="clear" w:color="000000" w:fill="F2F2F2"/>
            <w:vAlign w:val="center"/>
            <w:hideMark/>
          </w:tcPr>
          <w:p w14:paraId="6D3AA155"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Other current expenditure</w:t>
            </w:r>
          </w:p>
        </w:tc>
        <w:tc>
          <w:tcPr>
            <w:tcW w:w="1134" w:type="dxa"/>
            <w:tcBorders>
              <w:top w:val="nil"/>
              <w:left w:val="single" w:sz="4" w:space="0" w:color="FFFFFF"/>
              <w:bottom w:val="single" w:sz="4" w:space="0" w:color="FFFFFF"/>
              <w:right w:val="nil"/>
            </w:tcBorders>
            <w:shd w:val="clear" w:color="000000" w:fill="F2F2F2"/>
            <w:vAlign w:val="center"/>
            <w:hideMark/>
          </w:tcPr>
          <w:p w14:paraId="7D4C230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D.29 + (D.4-D.41) + D.5 + D.7 + D.8 </w:t>
            </w:r>
          </w:p>
        </w:tc>
        <w:tc>
          <w:tcPr>
            <w:tcW w:w="71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6CE7B13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0F8621F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w:t>
            </w:r>
          </w:p>
        </w:tc>
        <w:tc>
          <w:tcPr>
            <w:tcW w:w="718" w:type="dxa"/>
            <w:tcBorders>
              <w:top w:val="nil"/>
              <w:left w:val="nil"/>
              <w:bottom w:val="single" w:sz="4" w:space="0" w:color="FFFFFF"/>
              <w:right w:val="nil"/>
            </w:tcBorders>
            <w:shd w:val="clear" w:color="000000" w:fill="F2F2F2"/>
            <w:vAlign w:val="center"/>
            <w:hideMark/>
          </w:tcPr>
          <w:p w14:paraId="27D2916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w:t>
            </w:r>
          </w:p>
        </w:tc>
        <w:tc>
          <w:tcPr>
            <w:tcW w:w="718" w:type="dxa"/>
            <w:tcBorders>
              <w:top w:val="nil"/>
              <w:left w:val="nil"/>
              <w:right w:val="nil"/>
            </w:tcBorders>
            <w:shd w:val="clear" w:color="auto" w:fill="A6A6A6" w:themeFill="background1" w:themeFillShade="A6"/>
            <w:vAlign w:val="center"/>
            <w:hideMark/>
          </w:tcPr>
          <w:p w14:paraId="5420A928" w14:textId="4B70A73D"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40638BB"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DBAFF33"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9DD3A3F" w14:textId="77777777" w:rsidR="00326448" w:rsidRPr="005E057C" w:rsidRDefault="00326448" w:rsidP="00861B0D">
            <w:pPr>
              <w:pStyle w:val="Tabletext"/>
              <w:spacing w:line="200" w:lineRule="exact"/>
              <w:jc w:val="center"/>
              <w:rPr>
                <w:rFonts w:cs="Calibri"/>
                <w:sz w:val="20"/>
                <w:szCs w:val="20"/>
              </w:rPr>
            </w:pPr>
          </w:p>
        </w:tc>
      </w:tr>
      <w:tr w:rsidR="00912183" w:rsidRPr="005E057C" w14:paraId="054DC41F"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148C594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19</w:t>
            </w:r>
          </w:p>
        </w:tc>
        <w:tc>
          <w:tcPr>
            <w:tcW w:w="2395" w:type="dxa"/>
            <w:tcBorders>
              <w:top w:val="nil"/>
              <w:left w:val="nil"/>
              <w:bottom w:val="single" w:sz="4" w:space="0" w:color="FFFFFF"/>
              <w:right w:val="nil"/>
            </w:tcBorders>
            <w:shd w:val="clear" w:color="000000" w:fill="D9D9D9"/>
            <w:vAlign w:val="center"/>
            <w:hideMark/>
          </w:tcPr>
          <w:p w14:paraId="6748BFA5"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Gross fixed capital formation </w:t>
            </w:r>
          </w:p>
        </w:tc>
        <w:tc>
          <w:tcPr>
            <w:tcW w:w="1134" w:type="dxa"/>
            <w:tcBorders>
              <w:top w:val="nil"/>
              <w:left w:val="single" w:sz="4" w:space="0" w:color="FFFFFF"/>
              <w:bottom w:val="single" w:sz="4" w:space="0" w:color="FFFFFF"/>
              <w:right w:val="nil"/>
            </w:tcBorders>
            <w:shd w:val="clear" w:color="000000" w:fill="D9D9D9"/>
            <w:vAlign w:val="center"/>
            <w:hideMark/>
          </w:tcPr>
          <w:p w14:paraId="6CECFD2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P.51 </w:t>
            </w:r>
          </w:p>
        </w:tc>
        <w:tc>
          <w:tcPr>
            <w:tcW w:w="71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5AB87D56"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8.6</w:t>
            </w:r>
          </w:p>
        </w:tc>
        <w:tc>
          <w:tcPr>
            <w:tcW w:w="718" w:type="dxa"/>
            <w:tcBorders>
              <w:top w:val="nil"/>
              <w:left w:val="single" w:sz="4" w:space="0" w:color="FFFFFF" w:themeColor="background1"/>
              <w:bottom w:val="single" w:sz="4" w:space="0" w:color="FFFFFF"/>
              <w:right w:val="nil"/>
            </w:tcBorders>
            <w:shd w:val="clear" w:color="000000" w:fill="D9D9D9"/>
            <w:vAlign w:val="center"/>
            <w:hideMark/>
          </w:tcPr>
          <w:p w14:paraId="72AD20A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3.9</w:t>
            </w:r>
          </w:p>
        </w:tc>
        <w:tc>
          <w:tcPr>
            <w:tcW w:w="718" w:type="dxa"/>
            <w:tcBorders>
              <w:top w:val="nil"/>
              <w:left w:val="nil"/>
              <w:bottom w:val="single" w:sz="4" w:space="0" w:color="FFFFFF"/>
              <w:right w:val="nil"/>
            </w:tcBorders>
            <w:shd w:val="clear" w:color="000000" w:fill="D9D9D9"/>
            <w:vAlign w:val="center"/>
            <w:hideMark/>
          </w:tcPr>
          <w:p w14:paraId="76CBCE9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5.7</w:t>
            </w:r>
          </w:p>
        </w:tc>
        <w:tc>
          <w:tcPr>
            <w:tcW w:w="718" w:type="dxa"/>
            <w:tcBorders>
              <w:top w:val="nil"/>
              <w:left w:val="nil"/>
              <w:right w:val="nil"/>
            </w:tcBorders>
            <w:shd w:val="clear" w:color="auto" w:fill="A6A6A6" w:themeFill="background1" w:themeFillShade="A6"/>
            <w:vAlign w:val="center"/>
            <w:hideMark/>
          </w:tcPr>
          <w:p w14:paraId="03C22C63" w14:textId="3BCC9C43"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4B2D933A"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2E75F9EE"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F01DB7A" w14:textId="77777777" w:rsidR="00326448" w:rsidRPr="005E057C" w:rsidRDefault="00326448" w:rsidP="00861B0D">
            <w:pPr>
              <w:pStyle w:val="Tabletext"/>
              <w:spacing w:line="200" w:lineRule="exact"/>
              <w:jc w:val="center"/>
              <w:rPr>
                <w:rFonts w:cs="Calibri"/>
                <w:sz w:val="20"/>
                <w:szCs w:val="20"/>
              </w:rPr>
            </w:pPr>
          </w:p>
        </w:tc>
      </w:tr>
      <w:tr w:rsidR="00912183" w:rsidRPr="005E057C" w14:paraId="7846667D" w14:textId="77777777" w:rsidTr="00E507D5">
        <w:trPr>
          <w:trHeight w:val="600"/>
          <w:jc w:val="center"/>
        </w:trPr>
        <w:tc>
          <w:tcPr>
            <w:tcW w:w="440" w:type="dxa"/>
            <w:tcBorders>
              <w:top w:val="nil"/>
              <w:left w:val="single" w:sz="2" w:space="0" w:color="FFFFFF" w:themeColor="background1"/>
              <w:right w:val="nil"/>
            </w:tcBorders>
            <w:shd w:val="clear" w:color="000000" w:fill="F2F2F2"/>
            <w:vAlign w:val="center"/>
            <w:hideMark/>
          </w:tcPr>
          <w:p w14:paraId="136982D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20</w:t>
            </w:r>
          </w:p>
        </w:tc>
        <w:tc>
          <w:tcPr>
            <w:tcW w:w="2395" w:type="dxa"/>
            <w:tcBorders>
              <w:top w:val="nil"/>
              <w:left w:val="nil"/>
              <w:right w:val="nil"/>
            </w:tcBorders>
            <w:shd w:val="clear" w:color="000000" w:fill="F2F2F2"/>
            <w:vAlign w:val="center"/>
            <w:hideMark/>
          </w:tcPr>
          <w:p w14:paraId="51CD916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Of which: Nationally financed public investment </w:t>
            </w:r>
          </w:p>
        </w:tc>
        <w:tc>
          <w:tcPr>
            <w:tcW w:w="1134" w:type="dxa"/>
            <w:tcBorders>
              <w:top w:val="nil"/>
              <w:left w:val="single" w:sz="4" w:space="0" w:color="FFFFFF"/>
              <w:right w:val="nil"/>
            </w:tcBorders>
            <w:shd w:val="clear" w:color="000000" w:fill="F2F2F2"/>
            <w:vAlign w:val="center"/>
            <w:hideMark/>
          </w:tcPr>
          <w:p w14:paraId="564FFCB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right w:val="single" w:sz="4" w:space="0" w:color="FFFFFF" w:themeColor="background1"/>
            </w:tcBorders>
            <w:shd w:val="clear" w:color="000000" w:fill="F2F2F2"/>
            <w:vAlign w:val="center"/>
            <w:hideMark/>
          </w:tcPr>
          <w:p w14:paraId="559E4886"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5.2</w:t>
            </w:r>
          </w:p>
        </w:tc>
        <w:tc>
          <w:tcPr>
            <w:tcW w:w="718" w:type="dxa"/>
            <w:tcBorders>
              <w:top w:val="nil"/>
              <w:left w:val="single" w:sz="4" w:space="0" w:color="FFFFFF" w:themeColor="background1"/>
              <w:right w:val="nil"/>
            </w:tcBorders>
            <w:shd w:val="clear" w:color="000000" w:fill="F2F2F2"/>
            <w:vAlign w:val="center"/>
            <w:hideMark/>
          </w:tcPr>
          <w:p w14:paraId="3451334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right w:val="nil"/>
            </w:tcBorders>
            <w:shd w:val="clear" w:color="000000" w:fill="F2F2F2"/>
            <w:vAlign w:val="center"/>
            <w:hideMark/>
          </w:tcPr>
          <w:p w14:paraId="2A298C5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3.8</w:t>
            </w:r>
          </w:p>
        </w:tc>
        <w:tc>
          <w:tcPr>
            <w:tcW w:w="718" w:type="dxa"/>
            <w:tcBorders>
              <w:left w:val="nil"/>
              <w:right w:val="nil"/>
            </w:tcBorders>
            <w:shd w:val="clear" w:color="000000" w:fill="F2F2F2"/>
            <w:vAlign w:val="center"/>
            <w:hideMark/>
          </w:tcPr>
          <w:p w14:paraId="16F9425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3.7</w:t>
            </w:r>
          </w:p>
        </w:tc>
        <w:tc>
          <w:tcPr>
            <w:tcW w:w="718" w:type="dxa"/>
            <w:tcBorders>
              <w:left w:val="nil"/>
              <w:right w:val="nil"/>
            </w:tcBorders>
            <w:shd w:val="clear" w:color="000000" w:fill="F2F2F2"/>
            <w:vAlign w:val="center"/>
            <w:hideMark/>
          </w:tcPr>
          <w:p w14:paraId="7371E20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3.6</w:t>
            </w:r>
          </w:p>
        </w:tc>
        <w:tc>
          <w:tcPr>
            <w:tcW w:w="718" w:type="dxa"/>
            <w:tcBorders>
              <w:left w:val="nil"/>
              <w:right w:val="nil"/>
            </w:tcBorders>
            <w:shd w:val="clear" w:color="000000" w:fill="F2F2F2"/>
            <w:vAlign w:val="center"/>
            <w:hideMark/>
          </w:tcPr>
          <w:p w14:paraId="72FA41F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left w:val="nil"/>
              <w:right w:val="nil"/>
            </w:tcBorders>
            <w:shd w:val="clear" w:color="000000" w:fill="F2F2F2"/>
            <w:vAlign w:val="center"/>
            <w:hideMark/>
          </w:tcPr>
          <w:p w14:paraId="05C1D64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r>
      <w:tr w:rsidR="00326448" w:rsidRPr="00C93E23" w14:paraId="6C070C15" w14:textId="77777777" w:rsidTr="00E507D5">
        <w:trPr>
          <w:trHeight w:val="695"/>
          <w:jc w:val="center"/>
        </w:trPr>
        <w:tc>
          <w:tcPr>
            <w:tcW w:w="440" w:type="dxa"/>
            <w:tcBorders>
              <w:top w:val="nil"/>
              <w:left w:val="single" w:sz="2" w:space="0" w:color="FFFFFF" w:themeColor="background1"/>
              <w:right w:val="nil"/>
            </w:tcBorders>
            <w:shd w:val="clear" w:color="auto" w:fill="BFBFBF" w:themeFill="background1" w:themeFillShade="BF"/>
            <w:vAlign w:val="center"/>
          </w:tcPr>
          <w:p w14:paraId="3FD6BD8D" w14:textId="77777777" w:rsidR="00326448" w:rsidRPr="00C93E23" w:rsidRDefault="00326448" w:rsidP="00861B0D">
            <w:pPr>
              <w:pStyle w:val="Tabletext"/>
              <w:spacing w:line="200" w:lineRule="exact"/>
              <w:rPr>
                <w:rFonts w:cs="Calibri"/>
                <w:b/>
                <w:sz w:val="20"/>
                <w:szCs w:val="20"/>
              </w:rPr>
            </w:pPr>
          </w:p>
        </w:tc>
        <w:tc>
          <w:tcPr>
            <w:tcW w:w="2395" w:type="dxa"/>
            <w:tcBorders>
              <w:top w:val="nil"/>
              <w:left w:val="nil"/>
              <w:right w:val="single" w:sz="4" w:space="0" w:color="FFFFFF" w:themeColor="background1"/>
            </w:tcBorders>
            <w:shd w:val="clear" w:color="auto" w:fill="BFBFBF" w:themeFill="background1" w:themeFillShade="BF"/>
            <w:vAlign w:val="center"/>
          </w:tcPr>
          <w:p w14:paraId="2C3292AE" w14:textId="77777777" w:rsidR="00326448" w:rsidRPr="00C93E23" w:rsidRDefault="00326448" w:rsidP="00861B0D">
            <w:pPr>
              <w:pStyle w:val="Tabletext"/>
              <w:spacing w:line="200" w:lineRule="exact"/>
              <w:rPr>
                <w:rFonts w:cs="Calibri"/>
                <w:b/>
                <w:sz w:val="20"/>
                <w:szCs w:val="20"/>
              </w:rPr>
            </w:pPr>
            <w:r w:rsidRPr="00C93E23">
              <w:rPr>
                <w:b/>
                <w:sz w:val="22"/>
                <w:szCs w:val="20"/>
              </w:rPr>
              <w:t> </w:t>
            </w:r>
          </w:p>
        </w:tc>
        <w:tc>
          <w:tcPr>
            <w:tcW w:w="1134" w:type="dxa"/>
            <w:tcBorders>
              <w:top w:val="nil"/>
              <w:left w:val="single" w:sz="4" w:space="0" w:color="FFFFFF" w:themeColor="background1"/>
              <w:right w:val="single" w:sz="4" w:space="0" w:color="FFFFFF" w:themeColor="background1"/>
            </w:tcBorders>
            <w:shd w:val="clear" w:color="auto" w:fill="BFBFBF" w:themeFill="background1" w:themeFillShade="BF"/>
            <w:vAlign w:val="center"/>
          </w:tcPr>
          <w:p w14:paraId="2B31E97D" w14:textId="77777777" w:rsidR="00326448" w:rsidRPr="00C93E23" w:rsidRDefault="00326448" w:rsidP="00861B0D">
            <w:pPr>
              <w:pStyle w:val="Tabletext"/>
              <w:spacing w:line="200" w:lineRule="exact"/>
              <w:rPr>
                <w:rFonts w:cs="Calibri"/>
                <w:b/>
                <w:sz w:val="20"/>
                <w:szCs w:val="20"/>
              </w:rPr>
            </w:pPr>
            <w:r w:rsidRPr="00C93E23">
              <w:rPr>
                <w:b/>
                <w:sz w:val="22"/>
                <w:szCs w:val="20"/>
              </w:rPr>
              <w:t> </w:t>
            </w:r>
          </w:p>
        </w:tc>
        <w:tc>
          <w:tcPr>
            <w:tcW w:w="718" w:type="dxa"/>
            <w:tcBorders>
              <w:top w:val="nil"/>
              <w:left w:val="single" w:sz="4" w:space="0" w:color="FFFFFF" w:themeColor="background1"/>
              <w:right w:val="single" w:sz="4" w:space="0" w:color="FFFFFF" w:themeColor="background1"/>
            </w:tcBorders>
            <w:shd w:val="clear" w:color="auto" w:fill="BFBFBF" w:themeFill="background1" w:themeFillShade="BF"/>
            <w:textDirection w:val="btLr"/>
            <w:vAlign w:val="center"/>
          </w:tcPr>
          <w:p w14:paraId="34D736CE"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2023</w:t>
            </w:r>
          </w:p>
        </w:tc>
        <w:tc>
          <w:tcPr>
            <w:tcW w:w="718" w:type="dxa"/>
            <w:tcBorders>
              <w:top w:val="nil"/>
              <w:left w:val="single" w:sz="4" w:space="0" w:color="FFFFFF" w:themeColor="background1"/>
            </w:tcBorders>
            <w:shd w:val="clear" w:color="auto" w:fill="BFBFBF" w:themeFill="background1" w:themeFillShade="BF"/>
            <w:textDirection w:val="btLr"/>
            <w:vAlign w:val="center"/>
          </w:tcPr>
          <w:p w14:paraId="3F5E40DF"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2023</w:t>
            </w:r>
          </w:p>
        </w:tc>
        <w:tc>
          <w:tcPr>
            <w:tcW w:w="718" w:type="dxa"/>
            <w:tcBorders>
              <w:top w:val="nil"/>
            </w:tcBorders>
            <w:shd w:val="clear" w:color="auto" w:fill="BFBFBF" w:themeFill="background1" w:themeFillShade="BF"/>
            <w:textDirection w:val="btLr"/>
            <w:vAlign w:val="center"/>
          </w:tcPr>
          <w:p w14:paraId="1DEB8228"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2024</w:t>
            </w:r>
          </w:p>
        </w:tc>
        <w:tc>
          <w:tcPr>
            <w:tcW w:w="718" w:type="dxa"/>
            <w:tcBorders>
              <w:top w:val="nil"/>
            </w:tcBorders>
            <w:shd w:val="clear" w:color="auto" w:fill="BFBFBF" w:themeFill="background1" w:themeFillShade="BF"/>
            <w:textDirection w:val="btLr"/>
            <w:vAlign w:val="center"/>
          </w:tcPr>
          <w:p w14:paraId="6EECF585"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2025</w:t>
            </w:r>
          </w:p>
        </w:tc>
        <w:tc>
          <w:tcPr>
            <w:tcW w:w="718" w:type="dxa"/>
            <w:tcBorders>
              <w:top w:val="nil"/>
            </w:tcBorders>
            <w:shd w:val="clear" w:color="auto" w:fill="BFBFBF" w:themeFill="background1" w:themeFillShade="BF"/>
            <w:textDirection w:val="btLr"/>
            <w:vAlign w:val="center"/>
          </w:tcPr>
          <w:p w14:paraId="1393E9FA"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2026</w:t>
            </w:r>
          </w:p>
        </w:tc>
        <w:tc>
          <w:tcPr>
            <w:tcW w:w="718" w:type="dxa"/>
            <w:tcBorders>
              <w:top w:val="nil"/>
            </w:tcBorders>
            <w:shd w:val="clear" w:color="auto" w:fill="BFBFBF" w:themeFill="background1" w:themeFillShade="BF"/>
            <w:textDirection w:val="btLr"/>
            <w:vAlign w:val="center"/>
          </w:tcPr>
          <w:p w14:paraId="2C83DCA3"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2027</w:t>
            </w:r>
          </w:p>
        </w:tc>
        <w:tc>
          <w:tcPr>
            <w:tcW w:w="718" w:type="dxa"/>
            <w:tcBorders>
              <w:top w:val="nil"/>
              <w:right w:val="nil"/>
            </w:tcBorders>
            <w:shd w:val="clear" w:color="auto" w:fill="BFBFBF" w:themeFill="background1" w:themeFillShade="BF"/>
            <w:textDirection w:val="btLr"/>
            <w:vAlign w:val="center"/>
          </w:tcPr>
          <w:p w14:paraId="59B41143" w14:textId="77777777" w:rsidR="00326448" w:rsidRPr="00C93E23" w:rsidRDefault="00326448" w:rsidP="00861B0D">
            <w:pPr>
              <w:pStyle w:val="Tabletext"/>
              <w:spacing w:line="200" w:lineRule="exact"/>
              <w:jc w:val="center"/>
              <w:rPr>
                <w:rFonts w:cs="Calibri"/>
                <w:b/>
                <w:sz w:val="20"/>
                <w:szCs w:val="20"/>
              </w:rPr>
            </w:pPr>
            <w:r w:rsidRPr="00C93E23">
              <w:rPr>
                <w:b/>
                <w:sz w:val="22"/>
                <w:szCs w:val="20"/>
              </w:rPr>
              <w:t>2028</w:t>
            </w:r>
          </w:p>
        </w:tc>
      </w:tr>
      <w:tr w:rsidR="00326448" w:rsidRPr="0077696E" w14:paraId="671DB9F8" w14:textId="77777777" w:rsidTr="00E507D5">
        <w:trPr>
          <w:trHeight w:val="300"/>
          <w:jc w:val="center"/>
        </w:trPr>
        <w:tc>
          <w:tcPr>
            <w:tcW w:w="440" w:type="dxa"/>
            <w:tcBorders>
              <w:top w:val="nil"/>
              <w:left w:val="single" w:sz="2" w:space="0" w:color="FFFFFF" w:themeColor="background1"/>
              <w:right w:val="nil"/>
            </w:tcBorders>
            <w:shd w:val="clear" w:color="auto" w:fill="BFBFBF" w:themeFill="background1" w:themeFillShade="BF"/>
            <w:vAlign w:val="center"/>
          </w:tcPr>
          <w:p w14:paraId="65676C2D" w14:textId="77777777" w:rsidR="00326448" w:rsidRPr="0077696E" w:rsidRDefault="00326448" w:rsidP="00861B0D">
            <w:pPr>
              <w:pStyle w:val="Tabletext"/>
              <w:spacing w:line="200" w:lineRule="exact"/>
              <w:rPr>
                <w:rFonts w:cs="Calibri"/>
                <w:b/>
                <w:sz w:val="20"/>
                <w:szCs w:val="20"/>
              </w:rPr>
            </w:pPr>
          </w:p>
        </w:tc>
        <w:tc>
          <w:tcPr>
            <w:tcW w:w="2395" w:type="dxa"/>
            <w:tcBorders>
              <w:top w:val="nil"/>
              <w:left w:val="nil"/>
              <w:right w:val="single" w:sz="4" w:space="0" w:color="FFFFFF" w:themeColor="background1"/>
            </w:tcBorders>
            <w:shd w:val="clear" w:color="auto" w:fill="BFBFBF" w:themeFill="background1" w:themeFillShade="BF"/>
            <w:vAlign w:val="center"/>
          </w:tcPr>
          <w:p w14:paraId="4BADDF93" w14:textId="77777777" w:rsidR="00326448" w:rsidRPr="0077696E" w:rsidRDefault="00326448" w:rsidP="00861B0D">
            <w:pPr>
              <w:pStyle w:val="Tabletext"/>
              <w:spacing w:line="200" w:lineRule="exact"/>
              <w:rPr>
                <w:rFonts w:cs="Calibri"/>
                <w:b/>
                <w:sz w:val="20"/>
                <w:szCs w:val="20"/>
              </w:rPr>
            </w:pPr>
            <w:r w:rsidRPr="0077696E">
              <w:rPr>
                <w:b/>
                <w:sz w:val="20"/>
                <w:szCs w:val="20"/>
              </w:rPr>
              <w:t> Revenue</w:t>
            </w:r>
          </w:p>
        </w:tc>
        <w:tc>
          <w:tcPr>
            <w:tcW w:w="1134" w:type="dxa"/>
            <w:tcBorders>
              <w:top w:val="nil"/>
              <w:left w:val="single" w:sz="4" w:space="0" w:color="FFFFFF" w:themeColor="background1"/>
              <w:right w:val="single" w:sz="4" w:space="0" w:color="FFFFFF" w:themeColor="background1"/>
            </w:tcBorders>
            <w:shd w:val="clear" w:color="auto" w:fill="BFBFBF" w:themeFill="background1" w:themeFillShade="BF"/>
            <w:vAlign w:val="center"/>
          </w:tcPr>
          <w:p w14:paraId="6866F373" w14:textId="77777777" w:rsidR="00326448" w:rsidRPr="0077696E" w:rsidRDefault="00326448" w:rsidP="00861B0D">
            <w:pPr>
              <w:pStyle w:val="Tabletext"/>
              <w:spacing w:line="200" w:lineRule="exact"/>
              <w:rPr>
                <w:rFonts w:cs="Calibri"/>
                <w:b/>
                <w:sz w:val="20"/>
                <w:szCs w:val="20"/>
              </w:rPr>
            </w:pPr>
            <w:r w:rsidRPr="0077696E">
              <w:rPr>
                <w:b/>
                <w:sz w:val="20"/>
                <w:szCs w:val="20"/>
              </w:rPr>
              <w:t>ESA Code</w:t>
            </w:r>
          </w:p>
        </w:tc>
        <w:tc>
          <w:tcPr>
            <w:tcW w:w="718" w:type="dxa"/>
            <w:tcBorders>
              <w:top w:val="nil"/>
              <w:left w:val="single" w:sz="4" w:space="0" w:color="FFFFFF" w:themeColor="background1"/>
              <w:right w:val="single" w:sz="4" w:space="0" w:color="FFFFFF" w:themeColor="background1"/>
            </w:tcBorders>
            <w:shd w:val="clear" w:color="auto" w:fill="BFBFBF" w:themeFill="background1" w:themeFillShade="BF"/>
            <w:vAlign w:val="center"/>
          </w:tcPr>
          <w:p w14:paraId="509675F1" w14:textId="77777777" w:rsidR="00326448" w:rsidRPr="0077696E" w:rsidRDefault="00326448" w:rsidP="00861B0D">
            <w:pPr>
              <w:pStyle w:val="Tabletext"/>
              <w:spacing w:line="200" w:lineRule="exact"/>
              <w:jc w:val="center"/>
              <w:rPr>
                <w:rFonts w:cs="Calibri"/>
                <w:b/>
                <w:sz w:val="20"/>
                <w:szCs w:val="20"/>
              </w:rPr>
            </w:pPr>
            <w:r w:rsidRPr="0077696E">
              <w:rPr>
                <w:b/>
                <w:sz w:val="20"/>
                <w:szCs w:val="20"/>
              </w:rPr>
              <w:t>bn NAC</w:t>
            </w:r>
          </w:p>
        </w:tc>
        <w:tc>
          <w:tcPr>
            <w:tcW w:w="4308" w:type="dxa"/>
            <w:gridSpan w:val="6"/>
            <w:tcBorders>
              <w:top w:val="nil"/>
              <w:left w:val="single" w:sz="4" w:space="0" w:color="FFFFFF" w:themeColor="background1"/>
            </w:tcBorders>
            <w:shd w:val="clear" w:color="auto" w:fill="BFBFBF" w:themeFill="background1" w:themeFillShade="BF"/>
            <w:vAlign w:val="center"/>
          </w:tcPr>
          <w:p w14:paraId="37377F5C" w14:textId="15C596C1" w:rsidR="00326448" w:rsidRPr="0077696E" w:rsidRDefault="008426A2" w:rsidP="00C5173C">
            <w:pPr>
              <w:pStyle w:val="Tabletext"/>
              <w:spacing w:line="200" w:lineRule="exact"/>
              <w:rPr>
                <w:rFonts w:cs="Calibri"/>
                <w:b/>
                <w:sz w:val="20"/>
                <w:szCs w:val="20"/>
              </w:rPr>
            </w:pPr>
            <w:r w:rsidRPr="0077696E">
              <w:rPr>
                <w:b/>
                <w:sz w:val="20"/>
                <w:szCs w:val="20"/>
                <w:lang w:val="el-GR"/>
              </w:rPr>
              <w:t xml:space="preserve">     </w:t>
            </w:r>
            <w:r w:rsidR="00326448" w:rsidRPr="0077696E">
              <w:rPr>
                <w:b/>
                <w:sz w:val="20"/>
                <w:szCs w:val="20"/>
              </w:rPr>
              <w:t>% GDP</w:t>
            </w:r>
          </w:p>
        </w:tc>
      </w:tr>
      <w:tr w:rsidR="00912183" w:rsidRPr="005E057C" w14:paraId="5BA1400C" w14:textId="77777777" w:rsidTr="00E507D5">
        <w:trPr>
          <w:trHeight w:val="300"/>
          <w:jc w:val="center"/>
        </w:trPr>
        <w:tc>
          <w:tcPr>
            <w:tcW w:w="440" w:type="dxa"/>
            <w:tcBorders>
              <w:left w:val="single" w:sz="2" w:space="0" w:color="FFFFFF" w:themeColor="background1"/>
              <w:bottom w:val="single" w:sz="4" w:space="0" w:color="FFFFFF"/>
              <w:right w:val="nil"/>
            </w:tcBorders>
            <w:shd w:val="clear" w:color="000000" w:fill="D9D9D9"/>
            <w:vAlign w:val="center"/>
            <w:hideMark/>
          </w:tcPr>
          <w:p w14:paraId="7A745F3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21</w:t>
            </w:r>
          </w:p>
        </w:tc>
        <w:tc>
          <w:tcPr>
            <w:tcW w:w="2395" w:type="dxa"/>
            <w:tcBorders>
              <w:left w:val="nil"/>
              <w:bottom w:val="single" w:sz="4" w:space="0" w:color="FFFFFF"/>
              <w:right w:val="nil"/>
            </w:tcBorders>
            <w:shd w:val="clear" w:color="000000" w:fill="D9D9D9"/>
            <w:vAlign w:val="center"/>
            <w:hideMark/>
          </w:tcPr>
          <w:p w14:paraId="5D75D86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Capital transfers </w:t>
            </w:r>
          </w:p>
        </w:tc>
        <w:tc>
          <w:tcPr>
            <w:tcW w:w="1134" w:type="dxa"/>
            <w:tcBorders>
              <w:left w:val="single" w:sz="4" w:space="0" w:color="FFFFFF"/>
              <w:bottom w:val="single" w:sz="4" w:space="0" w:color="FFFFFF"/>
              <w:right w:val="nil"/>
            </w:tcBorders>
            <w:shd w:val="clear" w:color="000000" w:fill="D9D9D9"/>
            <w:vAlign w:val="center"/>
            <w:hideMark/>
          </w:tcPr>
          <w:p w14:paraId="0CFC11BC"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D.9 </w:t>
            </w:r>
          </w:p>
        </w:tc>
        <w:tc>
          <w:tcPr>
            <w:tcW w:w="718" w:type="dxa"/>
            <w:tcBorders>
              <w:left w:val="single" w:sz="4" w:space="0" w:color="FFFFFF"/>
              <w:bottom w:val="single" w:sz="4" w:space="0" w:color="FFFFFF"/>
              <w:right w:val="nil"/>
            </w:tcBorders>
            <w:shd w:val="clear" w:color="000000" w:fill="D9D9D9"/>
            <w:vAlign w:val="center"/>
            <w:hideMark/>
          </w:tcPr>
          <w:p w14:paraId="3D4107C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6.3</w:t>
            </w:r>
          </w:p>
        </w:tc>
        <w:tc>
          <w:tcPr>
            <w:tcW w:w="718" w:type="dxa"/>
            <w:tcBorders>
              <w:left w:val="single" w:sz="4" w:space="0" w:color="FFFFFF"/>
              <w:bottom w:val="single" w:sz="4" w:space="0" w:color="FFFFFF"/>
              <w:right w:val="nil"/>
            </w:tcBorders>
            <w:shd w:val="clear" w:color="000000" w:fill="D9D9D9"/>
            <w:vAlign w:val="center"/>
            <w:hideMark/>
          </w:tcPr>
          <w:p w14:paraId="02D3424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2.9</w:t>
            </w:r>
          </w:p>
        </w:tc>
        <w:tc>
          <w:tcPr>
            <w:tcW w:w="718" w:type="dxa"/>
            <w:tcBorders>
              <w:left w:val="nil"/>
              <w:bottom w:val="single" w:sz="4" w:space="0" w:color="FFFFFF"/>
              <w:right w:val="nil"/>
            </w:tcBorders>
            <w:shd w:val="clear" w:color="000000" w:fill="D9D9D9"/>
            <w:vAlign w:val="center"/>
            <w:hideMark/>
          </w:tcPr>
          <w:p w14:paraId="7DA20BA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w:t>
            </w:r>
          </w:p>
        </w:tc>
        <w:tc>
          <w:tcPr>
            <w:tcW w:w="718" w:type="dxa"/>
            <w:tcBorders>
              <w:left w:val="nil"/>
              <w:right w:val="nil"/>
            </w:tcBorders>
            <w:shd w:val="clear" w:color="auto" w:fill="A6A6A6" w:themeFill="background1" w:themeFillShade="A6"/>
            <w:vAlign w:val="center"/>
          </w:tcPr>
          <w:p w14:paraId="4CA62DE2" w14:textId="5007FBFC"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1E3B1FA1" w14:textId="77777777"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5D3925E0" w14:textId="77777777" w:rsidR="00326448" w:rsidRPr="005E057C" w:rsidRDefault="00326448" w:rsidP="00861B0D">
            <w:pPr>
              <w:pStyle w:val="Tabletext"/>
              <w:spacing w:line="200" w:lineRule="exact"/>
              <w:jc w:val="center"/>
              <w:rPr>
                <w:rFonts w:cs="Calibri"/>
                <w:sz w:val="20"/>
                <w:szCs w:val="20"/>
              </w:rPr>
            </w:pPr>
          </w:p>
        </w:tc>
        <w:tc>
          <w:tcPr>
            <w:tcW w:w="718" w:type="dxa"/>
            <w:tcBorders>
              <w:left w:val="nil"/>
              <w:right w:val="nil"/>
            </w:tcBorders>
            <w:shd w:val="clear" w:color="auto" w:fill="A6A6A6" w:themeFill="background1" w:themeFillShade="A6"/>
            <w:vAlign w:val="center"/>
            <w:hideMark/>
          </w:tcPr>
          <w:p w14:paraId="746ED9AA" w14:textId="77777777" w:rsidR="00326448" w:rsidRPr="005E057C" w:rsidRDefault="00326448" w:rsidP="00861B0D">
            <w:pPr>
              <w:pStyle w:val="Tabletext"/>
              <w:spacing w:line="200" w:lineRule="exact"/>
              <w:jc w:val="center"/>
              <w:rPr>
                <w:rFonts w:cs="Calibri"/>
                <w:sz w:val="20"/>
                <w:szCs w:val="20"/>
              </w:rPr>
            </w:pPr>
          </w:p>
        </w:tc>
      </w:tr>
      <w:tr w:rsidR="00912183" w:rsidRPr="005E057C" w14:paraId="0D6BA3C4"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5422FEC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22</w:t>
            </w:r>
          </w:p>
        </w:tc>
        <w:tc>
          <w:tcPr>
            <w:tcW w:w="2395" w:type="dxa"/>
            <w:tcBorders>
              <w:top w:val="nil"/>
              <w:left w:val="nil"/>
              <w:bottom w:val="single" w:sz="4" w:space="0" w:color="FFFFFF"/>
              <w:right w:val="nil"/>
            </w:tcBorders>
            <w:shd w:val="clear" w:color="000000" w:fill="F2F2F2"/>
            <w:vAlign w:val="center"/>
            <w:hideMark/>
          </w:tcPr>
          <w:p w14:paraId="5D94D9C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Other capital expenditure </w:t>
            </w:r>
          </w:p>
        </w:tc>
        <w:tc>
          <w:tcPr>
            <w:tcW w:w="1134" w:type="dxa"/>
            <w:tcBorders>
              <w:top w:val="nil"/>
              <w:left w:val="single" w:sz="4" w:space="0" w:color="FFFFFF"/>
              <w:bottom w:val="single" w:sz="4" w:space="0" w:color="FFFFFF"/>
              <w:right w:val="nil"/>
            </w:tcBorders>
            <w:shd w:val="clear" w:color="000000" w:fill="F2F2F2"/>
            <w:vAlign w:val="center"/>
            <w:hideMark/>
          </w:tcPr>
          <w:p w14:paraId="32739E0E" w14:textId="77777777" w:rsidR="00326448" w:rsidRDefault="00326448" w:rsidP="00861B0D">
            <w:pPr>
              <w:pStyle w:val="Tabletext"/>
              <w:spacing w:line="200" w:lineRule="exact"/>
              <w:rPr>
                <w:rFonts w:cs="Calibri"/>
                <w:sz w:val="20"/>
                <w:szCs w:val="20"/>
              </w:rPr>
            </w:pPr>
            <w:r w:rsidRPr="005E057C">
              <w:rPr>
                <w:rFonts w:cs="Calibri"/>
                <w:sz w:val="20"/>
                <w:szCs w:val="20"/>
              </w:rPr>
              <w:t>P.52+P.53</w:t>
            </w:r>
          </w:p>
          <w:p w14:paraId="1883551B"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+NP </w:t>
            </w:r>
          </w:p>
        </w:tc>
        <w:tc>
          <w:tcPr>
            <w:tcW w:w="718" w:type="dxa"/>
            <w:tcBorders>
              <w:top w:val="nil"/>
              <w:left w:val="single" w:sz="4" w:space="0" w:color="FFFFFF"/>
              <w:bottom w:val="single" w:sz="4" w:space="0" w:color="FFFFFF"/>
              <w:right w:val="nil"/>
            </w:tcBorders>
            <w:shd w:val="clear" w:color="000000" w:fill="F2F2F2"/>
            <w:vAlign w:val="center"/>
            <w:hideMark/>
          </w:tcPr>
          <w:p w14:paraId="0164B45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0.1</w:t>
            </w:r>
          </w:p>
        </w:tc>
        <w:tc>
          <w:tcPr>
            <w:tcW w:w="718" w:type="dxa"/>
            <w:tcBorders>
              <w:top w:val="nil"/>
              <w:left w:val="single" w:sz="4" w:space="0" w:color="FFFFFF"/>
              <w:bottom w:val="single" w:sz="4" w:space="0" w:color="FFFFFF"/>
              <w:right w:val="nil"/>
            </w:tcBorders>
            <w:shd w:val="clear" w:color="000000" w:fill="F2F2F2"/>
            <w:vAlign w:val="center"/>
            <w:hideMark/>
          </w:tcPr>
          <w:p w14:paraId="0F683F8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0.0</w:t>
            </w:r>
          </w:p>
        </w:tc>
        <w:tc>
          <w:tcPr>
            <w:tcW w:w="718" w:type="dxa"/>
            <w:tcBorders>
              <w:top w:val="nil"/>
              <w:left w:val="nil"/>
              <w:bottom w:val="single" w:sz="4" w:space="0" w:color="FFFFFF"/>
              <w:right w:val="nil"/>
            </w:tcBorders>
            <w:shd w:val="clear" w:color="000000" w:fill="F2F2F2"/>
            <w:vAlign w:val="center"/>
            <w:hideMark/>
          </w:tcPr>
          <w:p w14:paraId="2D5A25E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0.0</w:t>
            </w:r>
          </w:p>
        </w:tc>
        <w:tc>
          <w:tcPr>
            <w:tcW w:w="718" w:type="dxa"/>
            <w:tcBorders>
              <w:top w:val="nil"/>
              <w:left w:val="nil"/>
              <w:right w:val="nil"/>
            </w:tcBorders>
            <w:shd w:val="clear" w:color="auto" w:fill="A6A6A6" w:themeFill="background1" w:themeFillShade="A6"/>
            <w:vAlign w:val="center"/>
          </w:tcPr>
          <w:p w14:paraId="766C66DE" w14:textId="5D5ACEDB"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7B33C5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21E7DD7"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6CE8FB4" w14:textId="77777777" w:rsidR="00326448" w:rsidRPr="005E057C" w:rsidRDefault="00326448" w:rsidP="00861B0D">
            <w:pPr>
              <w:pStyle w:val="Tabletext"/>
              <w:spacing w:line="200" w:lineRule="exact"/>
              <w:jc w:val="center"/>
              <w:rPr>
                <w:rFonts w:cs="Calibri"/>
                <w:sz w:val="20"/>
                <w:szCs w:val="20"/>
              </w:rPr>
            </w:pPr>
          </w:p>
        </w:tc>
      </w:tr>
      <w:tr w:rsidR="00912183" w:rsidRPr="005E057C" w14:paraId="1EF7BDA5"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7576529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23</w:t>
            </w:r>
          </w:p>
        </w:tc>
        <w:tc>
          <w:tcPr>
            <w:tcW w:w="2395" w:type="dxa"/>
            <w:tcBorders>
              <w:top w:val="nil"/>
              <w:left w:val="nil"/>
              <w:bottom w:val="single" w:sz="4" w:space="0" w:color="FFFFFF"/>
              <w:right w:val="nil"/>
            </w:tcBorders>
            <w:shd w:val="clear" w:color="000000" w:fill="D9D9D9"/>
            <w:vAlign w:val="center"/>
            <w:hideMark/>
          </w:tcPr>
          <w:p w14:paraId="574B7A7E" w14:textId="77777777" w:rsidR="00326448" w:rsidRDefault="00326448" w:rsidP="00861B0D">
            <w:pPr>
              <w:pStyle w:val="Tabletext"/>
              <w:spacing w:line="200" w:lineRule="exact"/>
              <w:rPr>
                <w:rFonts w:cs="Calibri"/>
                <w:sz w:val="20"/>
                <w:szCs w:val="20"/>
              </w:rPr>
            </w:pPr>
            <w:r w:rsidRPr="005E057C">
              <w:rPr>
                <w:rFonts w:cs="Calibri"/>
                <w:sz w:val="20"/>
                <w:szCs w:val="20"/>
              </w:rPr>
              <w:t xml:space="preserve">Total expenditure </w:t>
            </w:r>
          </w:p>
          <w:p w14:paraId="05A7158F" w14:textId="094A33CE" w:rsidR="00326448" w:rsidRPr="005E057C" w:rsidRDefault="00326448" w:rsidP="00861B0D">
            <w:pPr>
              <w:pStyle w:val="Tabletext"/>
              <w:spacing w:line="200" w:lineRule="exact"/>
              <w:rPr>
                <w:rFonts w:cs="Calibri"/>
                <w:sz w:val="20"/>
                <w:szCs w:val="20"/>
              </w:rPr>
            </w:pPr>
            <w:r w:rsidRPr="005E057C">
              <w:rPr>
                <w:rFonts w:cs="Calibri"/>
                <w:sz w:val="20"/>
                <w:szCs w:val="20"/>
              </w:rPr>
              <w:t>(=12+13+14+15+16</w:t>
            </w:r>
            <w:r w:rsidR="008029F3">
              <w:rPr>
                <w:rFonts w:cs="Calibri"/>
                <w:sz w:val="20"/>
                <w:szCs w:val="20"/>
              </w:rPr>
              <w:br/>
            </w:r>
            <w:r w:rsidRPr="005E057C">
              <w:rPr>
                <w:rFonts w:cs="Calibri"/>
                <w:sz w:val="20"/>
                <w:szCs w:val="20"/>
              </w:rPr>
              <w:t xml:space="preserve">+17+18+19+21+22) </w:t>
            </w:r>
          </w:p>
        </w:tc>
        <w:tc>
          <w:tcPr>
            <w:tcW w:w="1134" w:type="dxa"/>
            <w:tcBorders>
              <w:top w:val="nil"/>
              <w:left w:val="single" w:sz="4" w:space="0" w:color="FFFFFF"/>
              <w:bottom w:val="single" w:sz="4" w:space="0" w:color="FFFFFF"/>
              <w:right w:val="nil"/>
            </w:tcBorders>
            <w:shd w:val="clear" w:color="000000" w:fill="D9D9D9"/>
            <w:vAlign w:val="center"/>
            <w:hideMark/>
          </w:tcPr>
          <w:p w14:paraId="75F2C3FF" w14:textId="77777777" w:rsidR="00326448" w:rsidRDefault="00326448" w:rsidP="00861B0D">
            <w:pPr>
              <w:pStyle w:val="Tabletext"/>
              <w:spacing w:line="200" w:lineRule="exact"/>
              <w:rPr>
                <w:rFonts w:cs="Calibri"/>
                <w:sz w:val="20"/>
                <w:szCs w:val="20"/>
              </w:rPr>
            </w:pPr>
            <w:r w:rsidRPr="005E057C">
              <w:rPr>
                <w:rFonts w:cs="Calibri"/>
                <w:sz w:val="20"/>
                <w:szCs w:val="20"/>
              </w:rPr>
              <w:t>TE D.7EU</w:t>
            </w:r>
          </w:p>
          <w:p w14:paraId="7D55FE8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+D.9EU </w:t>
            </w:r>
          </w:p>
        </w:tc>
        <w:tc>
          <w:tcPr>
            <w:tcW w:w="718" w:type="dxa"/>
            <w:tcBorders>
              <w:top w:val="nil"/>
              <w:left w:val="single" w:sz="4" w:space="0" w:color="FFFFFF"/>
              <w:bottom w:val="single" w:sz="4" w:space="0" w:color="FFFFFF"/>
              <w:right w:val="nil"/>
            </w:tcBorders>
            <w:shd w:val="clear" w:color="000000" w:fill="D9D9D9"/>
            <w:vAlign w:val="center"/>
            <w:hideMark/>
          </w:tcPr>
          <w:p w14:paraId="67135D3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111.3</w:t>
            </w:r>
          </w:p>
        </w:tc>
        <w:tc>
          <w:tcPr>
            <w:tcW w:w="718" w:type="dxa"/>
            <w:tcBorders>
              <w:top w:val="nil"/>
              <w:left w:val="single" w:sz="4" w:space="0" w:color="FFFFFF"/>
              <w:bottom w:val="single" w:sz="4" w:space="0" w:color="FFFFFF"/>
              <w:right w:val="nil"/>
            </w:tcBorders>
            <w:shd w:val="clear" w:color="000000" w:fill="D9D9D9"/>
            <w:vAlign w:val="center"/>
            <w:hideMark/>
          </w:tcPr>
          <w:p w14:paraId="6CECA3E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50.5</w:t>
            </w:r>
          </w:p>
        </w:tc>
        <w:tc>
          <w:tcPr>
            <w:tcW w:w="718" w:type="dxa"/>
            <w:tcBorders>
              <w:top w:val="nil"/>
              <w:left w:val="nil"/>
              <w:bottom w:val="single" w:sz="4" w:space="0" w:color="FFFFFF"/>
              <w:right w:val="nil"/>
            </w:tcBorders>
            <w:shd w:val="clear" w:color="000000" w:fill="D9D9D9"/>
            <w:vAlign w:val="center"/>
            <w:hideMark/>
          </w:tcPr>
          <w:p w14:paraId="4D59D93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50.3</w:t>
            </w:r>
          </w:p>
        </w:tc>
        <w:tc>
          <w:tcPr>
            <w:tcW w:w="718" w:type="dxa"/>
            <w:tcBorders>
              <w:top w:val="nil"/>
              <w:left w:val="nil"/>
              <w:right w:val="nil"/>
            </w:tcBorders>
            <w:shd w:val="clear" w:color="auto" w:fill="A6A6A6" w:themeFill="background1" w:themeFillShade="A6"/>
            <w:vAlign w:val="center"/>
          </w:tcPr>
          <w:p w14:paraId="0AEE3732" w14:textId="7FBE9F5E"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FC83F72"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036E0C9"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45A8046" w14:textId="77777777" w:rsidR="00326448" w:rsidRPr="005E057C" w:rsidRDefault="00326448" w:rsidP="00861B0D">
            <w:pPr>
              <w:pStyle w:val="Tabletext"/>
              <w:spacing w:line="200" w:lineRule="exact"/>
              <w:jc w:val="center"/>
              <w:rPr>
                <w:rFonts w:cs="Calibri"/>
                <w:sz w:val="20"/>
                <w:szCs w:val="20"/>
              </w:rPr>
            </w:pPr>
          </w:p>
        </w:tc>
      </w:tr>
      <w:tr w:rsidR="00912183" w:rsidRPr="005E057C" w14:paraId="03653D3A"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21332FF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24</w:t>
            </w:r>
          </w:p>
        </w:tc>
        <w:tc>
          <w:tcPr>
            <w:tcW w:w="2395" w:type="dxa"/>
            <w:tcBorders>
              <w:top w:val="nil"/>
              <w:left w:val="nil"/>
              <w:bottom w:val="single" w:sz="4" w:space="0" w:color="FFFFFF"/>
              <w:right w:val="nil"/>
            </w:tcBorders>
            <w:shd w:val="clear" w:color="000000" w:fill="F2F2F2"/>
            <w:vAlign w:val="center"/>
            <w:hideMark/>
          </w:tcPr>
          <w:p w14:paraId="43C40C7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Of which: Expenditure funded by transfers from the EU (= 8) </w:t>
            </w:r>
          </w:p>
        </w:tc>
        <w:tc>
          <w:tcPr>
            <w:tcW w:w="1134" w:type="dxa"/>
            <w:tcBorders>
              <w:top w:val="nil"/>
              <w:left w:val="single" w:sz="4" w:space="0" w:color="FFFFFF"/>
              <w:bottom w:val="single" w:sz="4" w:space="0" w:color="FFFFFF"/>
              <w:right w:val="nil"/>
            </w:tcBorders>
            <w:shd w:val="clear" w:color="000000" w:fill="F2F2F2"/>
            <w:vAlign w:val="center"/>
            <w:hideMark/>
          </w:tcPr>
          <w:p w14:paraId="531E329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F2F2F2"/>
            <w:vAlign w:val="center"/>
            <w:hideMark/>
          </w:tcPr>
          <w:p w14:paraId="488818D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5.4</w:t>
            </w:r>
          </w:p>
        </w:tc>
        <w:tc>
          <w:tcPr>
            <w:tcW w:w="718" w:type="dxa"/>
            <w:tcBorders>
              <w:top w:val="nil"/>
              <w:left w:val="single" w:sz="4" w:space="0" w:color="FFFFFF"/>
              <w:bottom w:val="single" w:sz="4" w:space="0" w:color="FFFFFF"/>
              <w:right w:val="nil"/>
            </w:tcBorders>
            <w:shd w:val="clear" w:color="000000" w:fill="F2F2F2"/>
            <w:vAlign w:val="center"/>
            <w:hideMark/>
          </w:tcPr>
          <w:p w14:paraId="282D89E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2.5</w:t>
            </w:r>
          </w:p>
        </w:tc>
        <w:tc>
          <w:tcPr>
            <w:tcW w:w="718" w:type="dxa"/>
            <w:tcBorders>
              <w:top w:val="nil"/>
              <w:left w:val="nil"/>
              <w:bottom w:val="single" w:sz="4" w:space="0" w:color="FFFFFF"/>
              <w:right w:val="nil"/>
            </w:tcBorders>
            <w:shd w:val="clear" w:color="000000" w:fill="F2F2F2"/>
            <w:vAlign w:val="center"/>
            <w:hideMark/>
          </w:tcPr>
          <w:p w14:paraId="760F692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3.0</w:t>
            </w:r>
          </w:p>
        </w:tc>
        <w:tc>
          <w:tcPr>
            <w:tcW w:w="718" w:type="dxa"/>
            <w:tcBorders>
              <w:top w:val="nil"/>
              <w:left w:val="nil"/>
              <w:right w:val="nil"/>
            </w:tcBorders>
            <w:shd w:val="clear" w:color="auto" w:fill="A6A6A6" w:themeFill="background1" w:themeFillShade="A6"/>
            <w:vAlign w:val="center"/>
          </w:tcPr>
          <w:p w14:paraId="48421D5D" w14:textId="4EF4C3FF"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2B6D601D"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E0CFE85"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738D00D1" w14:textId="77777777" w:rsidR="00326448" w:rsidRPr="005E057C" w:rsidRDefault="00326448" w:rsidP="00861B0D">
            <w:pPr>
              <w:pStyle w:val="Tabletext"/>
              <w:spacing w:line="200" w:lineRule="exact"/>
              <w:jc w:val="center"/>
              <w:rPr>
                <w:rFonts w:cs="Calibri"/>
                <w:sz w:val="20"/>
                <w:szCs w:val="20"/>
              </w:rPr>
            </w:pPr>
          </w:p>
        </w:tc>
      </w:tr>
      <w:tr w:rsidR="00912183" w:rsidRPr="005E057C" w14:paraId="388EB59A"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5DEA91B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25</w:t>
            </w:r>
          </w:p>
        </w:tc>
        <w:tc>
          <w:tcPr>
            <w:tcW w:w="2395" w:type="dxa"/>
            <w:tcBorders>
              <w:top w:val="nil"/>
              <w:left w:val="nil"/>
              <w:bottom w:val="single" w:sz="4" w:space="0" w:color="FFFFFF"/>
              <w:right w:val="nil"/>
            </w:tcBorders>
            <w:shd w:val="clear" w:color="000000" w:fill="D9D9D9"/>
            <w:vAlign w:val="center"/>
            <w:hideMark/>
          </w:tcPr>
          <w:p w14:paraId="0AE5FE4B"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Nationally financed expenditure (23-24) </w:t>
            </w:r>
          </w:p>
        </w:tc>
        <w:tc>
          <w:tcPr>
            <w:tcW w:w="1134" w:type="dxa"/>
            <w:tcBorders>
              <w:top w:val="nil"/>
              <w:left w:val="single" w:sz="4" w:space="0" w:color="FFFFFF"/>
              <w:bottom w:val="single" w:sz="4" w:space="0" w:color="FFFFFF"/>
              <w:right w:val="nil"/>
            </w:tcBorders>
            <w:shd w:val="clear" w:color="000000" w:fill="D9D9D9"/>
            <w:vAlign w:val="center"/>
            <w:hideMark/>
          </w:tcPr>
          <w:p w14:paraId="345935A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5D6CEAB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105.9</w:t>
            </w:r>
          </w:p>
        </w:tc>
        <w:tc>
          <w:tcPr>
            <w:tcW w:w="718" w:type="dxa"/>
            <w:tcBorders>
              <w:top w:val="nil"/>
              <w:left w:val="single" w:sz="4" w:space="0" w:color="FFFFFF"/>
              <w:bottom w:val="single" w:sz="4" w:space="0" w:color="FFFFFF"/>
              <w:right w:val="nil"/>
            </w:tcBorders>
            <w:shd w:val="clear" w:color="000000" w:fill="D9D9D9"/>
            <w:vAlign w:val="center"/>
            <w:hideMark/>
          </w:tcPr>
          <w:p w14:paraId="36744EA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48.1</w:t>
            </w:r>
          </w:p>
        </w:tc>
        <w:tc>
          <w:tcPr>
            <w:tcW w:w="718" w:type="dxa"/>
            <w:tcBorders>
              <w:top w:val="nil"/>
              <w:left w:val="nil"/>
              <w:bottom w:val="single" w:sz="4" w:space="0" w:color="FFFFFF"/>
              <w:right w:val="nil"/>
            </w:tcBorders>
            <w:shd w:val="clear" w:color="000000" w:fill="D9D9D9"/>
            <w:vAlign w:val="center"/>
            <w:hideMark/>
          </w:tcPr>
          <w:p w14:paraId="26FA726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47.3</w:t>
            </w:r>
          </w:p>
        </w:tc>
        <w:tc>
          <w:tcPr>
            <w:tcW w:w="718" w:type="dxa"/>
            <w:tcBorders>
              <w:top w:val="nil"/>
              <w:left w:val="nil"/>
              <w:right w:val="nil"/>
            </w:tcBorders>
            <w:shd w:val="clear" w:color="auto" w:fill="A6A6A6" w:themeFill="background1" w:themeFillShade="A6"/>
            <w:vAlign w:val="center"/>
          </w:tcPr>
          <w:p w14:paraId="7102A390" w14:textId="1F0FE861"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D49D19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3FA2E2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0FC94CA9" w14:textId="77777777" w:rsidR="00326448" w:rsidRPr="005E057C" w:rsidRDefault="00326448" w:rsidP="00861B0D">
            <w:pPr>
              <w:pStyle w:val="Tabletext"/>
              <w:spacing w:line="200" w:lineRule="exact"/>
              <w:jc w:val="center"/>
              <w:rPr>
                <w:rFonts w:cs="Calibri"/>
                <w:sz w:val="20"/>
                <w:szCs w:val="20"/>
              </w:rPr>
            </w:pPr>
          </w:p>
        </w:tc>
      </w:tr>
      <w:tr w:rsidR="00912183" w:rsidRPr="005E057C" w14:paraId="049C8F0D"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55D9B65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26</w:t>
            </w:r>
          </w:p>
        </w:tc>
        <w:tc>
          <w:tcPr>
            <w:tcW w:w="2395" w:type="dxa"/>
            <w:tcBorders>
              <w:top w:val="nil"/>
              <w:left w:val="nil"/>
              <w:bottom w:val="single" w:sz="4" w:space="0" w:color="FFFFFF"/>
              <w:right w:val="nil"/>
            </w:tcBorders>
            <w:shd w:val="clear" w:color="000000" w:fill="F2F2F2"/>
            <w:vAlign w:val="center"/>
            <w:hideMark/>
          </w:tcPr>
          <w:p w14:paraId="1C3579A2"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p.m. National co-financing of programmes funded by the Union </w:t>
            </w:r>
          </w:p>
        </w:tc>
        <w:tc>
          <w:tcPr>
            <w:tcW w:w="1134" w:type="dxa"/>
            <w:tcBorders>
              <w:top w:val="nil"/>
              <w:left w:val="single" w:sz="4" w:space="0" w:color="FFFFFF"/>
              <w:bottom w:val="single" w:sz="4" w:space="0" w:color="FFFFFF"/>
              <w:right w:val="nil"/>
            </w:tcBorders>
            <w:shd w:val="clear" w:color="000000" w:fill="F2F2F2"/>
            <w:vAlign w:val="center"/>
            <w:hideMark/>
          </w:tcPr>
          <w:p w14:paraId="4A87F4A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F2F2F2"/>
            <w:vAlign w:val="center"/>
            <w:hideMark/>
          </w:tcPr>
          <w:p w14:paraId="5CC1520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0.8</w:t>
            </w:r>
          </w:p>
        </w:tc>
        <w:tc>
          <w:tcPr>
            <w:tcW w:w="718" w:type="dxa"/>
            <w:tcBorders>
              <w:top w:val="nil"/>
              <w:left w:val="single" w:sz="4" w:space="0" w:color="FFFFFF"/>
              <w:bottom w:val="single" w:sz="4" w:space="0" w:color="FFFFFF"/>
              <w:right w:val="nil"/>
            </w:tcBorders>
            <w:shd w:val="clear" w:color="000000" w:fill="F2F2F2"/>
            <w:vAlign w:val="center"/>
            <w:hideMark/>
          </w:tcPr>
          <w:p w14:paraId="7F73D80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0.4</w:t>
            </w:r>
          </w:p>
        </w:tc>
        <w:tc>
          <w:tcPr>
            <w:tcW w:w="718" w:type="dxa"/>
            <w:tcBorders>
              <w:top w:val="nil"/>
              <w:left w:val="nil"/>
              <w:bottom w:val="single" w:sz="4" w:space="0" w:color="FFFFFF"/>
              <w:right w:val="nil"/>
            </w:tcBorders>
            <w:shd w:val="clear" w:color="000000" w:fill="F2F2F2"/>
            <w:vAlign w:val="center"/>
            <w:hideMark/>
          </w:tcPr>
          <w:p w14:paraId="1A34C6A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0.3</w:t>
            </w:r>
          </w:p>
        </w:tc>
        <w:tc>
          <w:tcPr>
            <w:tcW w:w="718" w:type="dxa"/>
            <w:tcBorders>
              <w:top w:val="nil"/>
              <w:left w:val="nil"/>
              <w:right w:val="nil"/>
            </w:tcBorders>
            <w:shd w:val="clear" w:color="auto" w:fill="A6A6A6" w:themeFill="background1" w:themeFillShade="A6"/>
            <w:vAlign w:val="center"/>
          </w:tcPr>
          <w:p w14:paraId="75B5398C" w14:textId="40528371"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446DA400"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D395C75"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C9CC0C8" w14:textId="77777777" w:rsidR="00326448" w:rsidRPr="005E057C" w:rsidRDefault="00326448" w:rsidP="00861B0D">
            <w:pPr>
              <w:pStyle w:val="Tabletext"/>
              <w:spacing w:line="200" w:lineRule="exact"/>
              <w:jc w:val="center"/>
              <w:rPr>
                <w:rFonts w:cs="Calibri"/>
                <w:sz w:val="20"/>
                <w:szCs w:val="20"/>
              </w:rPr>
            </w:pPr>
          </w:p>
        </w:tc>
      </w:tr>
      <w:tr w:rsidR="00912183" w:rsidRPr="005E057C" w14:paraId="4CF2377B"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0528A9C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27</w:t>
            </w:r>
          </w:p>
        </w:tc>
        <w:tc>
          <w:tcPr>
            <w:tcW w:w="2395" w:type="dxa"/>
            <w:tcBorders>
              <w:top w:val="nil"/>
              <w:left w:val="nil"/>
              <w:bottom w:val="single" w:sz="4" w:space="0" w:color="FFFFFF"/>
              <w:right w:val="nil"/>
            </w:tcBorders>
            <w:shd w:val="clear" w:color="000000" w:fill="D9D9D9"/>
            <w:vAlign w:val="center"/>
            <w:hideMark/>
          </w:tcPr>
          <w:p w14:paraId="04054E9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p.m. Cyclical component of unemployment benefits</w:t>
            </w:r>
          </w:p>
        </w:tc>
        <w:tc>
          <w:tcPr>
            <w:tcW w:w="1134" w:type="dxa"/>
            <w:tcBorders>
              <w:top w:val="nil"/>
              <w:left w:val="single" w:sz="4" w:space="0" w:color="FFFFFF"/>
              <w:bottom w:val="single" w:sz="4" w:space="0" w:color="FFFFFF"/>
              <w:right w:val="nil"/>
            </w:tcBorders>
            <w:shd w:val="clear" w:color="000000" w:fill="D9D9D9"/>
            <w:vAlign w:val="center"/>
            <w:hideMark/>
          </w:tcPr>
          <w:p w14:paraId="5AA5E6C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29924E6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0.2</w:t>
            </w:r>
          </w:p>
        </w:tc>
        <w:tc>
          <w:tcPr>
            <w:tcW w:w="718" w:type="dxa"/>
            <w:tcBorders>
              <w:top w:val="nil"/>
              <w:left w:val="single" w:sz="4" w:space="0" w:color="FFFFFF"/>
              <w:bottom w:val="single" w:sz="4" w:space="0" w:color="FFFFFF"/>
              <w:right w:val="nil"/>
            </w:tcBorders>
            <w:shd w:val="clear" w:color="000000" w:fill="D9D9D9"/>
            <w:vAlign w:val="center"/>
            <w:hideMark/>
          </w:tcPr>
          <w:p w14:paraId="6CD6D2E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0.1</w:t>
            </w:r>
          </w:p>
        </w:tc>
        <w:tc>
          <w:tcPr>
            <w:tcW w:w="718" w:type="dxa"/>
            <w:tcBorders>
              <w:top w:val="nil"/>
              <w:left w:val="nil"/>
              <w:bottom w:val="single" w:sz="4" w:space="0" w:color="FFFFFF"/>
              <w:right w:val="nil"/>
            </w:tcBorders>
            <w:shd w:val="clear" w:color="000000" w:fill="D9D9D9"/>
            <w:vAlign w:val="center"/>
            <w:hideMark/>
          </w:tcPr>
          <w:p w14:paraId="0864FF8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0.1</w:t>
            </w:r>
          </w:p>
        </w:tc>
        <w:tc>
          <w:tcPr>
            <w:tcW w:w="718" w:type="dxa"/>
            <w:tcBorders>
              <w:top w:val="nil"/>
              <w:left w:val="nil"/>
              <w:right w:val="nil"/>
            </w:tcBorders>
            <w:shd w:val="clear" w:color="auto" w:fill="A6A6A6" w:themeFill="background1" w:themeFillShade="A6"/>
            <w:vAlign w:val="center"/>
          </w:tcPr>
          <w:p w14:paraId="25AC5070" w14:textId="3889545A"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E96A377"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5409F0B5"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C643FD9" w14:textId="77777777" w:rsidR="00326448" w:rsidRPr="005E057C" w:rsidRDefault="00326448" w:rsidP="00861B0D">
            <w:pPr>
              <w:pStyle w:val="Tabletext"/>
              <w:spacing w:line="200" w:lineRule="exact"/>
              <w:jc w:val="center"/>
              <w:rPr>
                <w:rFonts w:cs="Calibri"/>
                <w:sz w:val="20"/>
                <w:szCs w:val="20"/>
              </w:rPr>
            </w:pPr>
          </w:p>
        </w:tc>
      </w:tr>
      <w:tr w:rsidR="00912183" w:rsidRPr="005E057C" w14:paraId="54F28174" w14:textId="77777777" w:rsidTr="00E507D5">
        <w:trPr>
          <w:trHeight w:val="9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034746C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28</w:t>
            </w:r>
          </w:p>
        </w:tc>
        <w:tc>
          <w:tcPr>
            <w:tcW w:w="2395" w:type="dxa"/>
            <w:tcBorders>
              <w:top w:val="nil"/>
              <w:left w:val="nil"/>
              <w:bottom w:val="single" w:sz="4" w:space="0" w:color="FFFFFF"/>
              <w:right w:val="nil"/>
            </w:tcBorders>
            <w:shd w:val="clear" w:color="000000" w:fill="F2F2F2"/>
            <w:vAlign w:val="center"/>
            <w:hideMark/>
          </w:tcPr>
          <w:p w14:paraId="6071D7C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p.m. One-off expenditure included in the projections (levels, excluding EU funded measures) </w:t>
            </w:r>
          </w:p>
        </w:tc>
        <w:tc>
          <w:tcPr>
            <w:tcW w:w="1134" w:type="dxa"/>
            <w:tcBorders>
              <w:top w:val="nil"/>
              <w:left w:val="single" w:sz="4" w:space="0" w:color="FFFFFF"/>
              <w:bottom w:val="single" w:sz="4" w:space="0" w:color="FFFFFF"/>
              <w:right w:val="nil"/>
            </w:tcBorders>
            <w:shd w:val="clear" w:color="000000" w:fill="F2F2F2"/>
            <w:vAlign w:val="center"/>
            <w:hideMark/>
          </w:tcPr>
          <w:p w14:paraId="0A70486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F2F2F2"/>
            <w:vAlign w:val="center"/>
            <w:hideMark/>
          </w:tcPr>
          <w:p w14:paraId="1095CCF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0.5</w:t>
            </w:r>
          </w:p>
        </w:tc>
        <w:tc>
          <w:tcPr>
            <w:tcW w:w="718" w:type="dxa"/>
            <w:tcBorders>
              <w:top w:val="nil"/>
              <w:left w:val="single" w:sz="4" w:space="0" w:color="FFFFFF"/>
              <w:bottom w:val="single" w:sz="4" w:space="0" w:color="FFFFFF"/>
              <w:right w:val="nil"/>
            </w:tcBorders>
            <w:shd w:val="clear" w:color="000000" w:fill="F2F2F2"/>
            <w:vAlign w:val="center"/>
            <w:hideMark/>
          </w:tcPr>
          <w:p w14:paraId="5DE3FE4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0.2</w:t>
            </w:r>
          </w:p>
        </w:tc>
        <w:tc>
          <w:tcPr>
            <w:tcW w:w="718" w:type="dxa"/>
            <w:tcBorders>
              <w:top w:val="nil"/>
              <w:left w:val="nil"/>
              <w:bottom w:val="single" w:sz="4" w:space="0" w:color="FFFFFF"/>
              <w:right w:val="nil"/>
            </w:tcBorders>
            <w:shd w:val="clear" w:color="000000" w:fill="F2F2F2"/>
            <w:vAlign w:val="center"/>
            <w:hideMark/>
          </w:tcPr>
          <w:p w14:paraId="0E9E197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0.2</w:t>
            </w:r>
          </w:p>
        </w:tc>
        <w:tc>
          <w:tcPr>
            <w:tcW w:w="718" w:type="dxa"/>
            <w:tcBorders>
              <w:top w:val="nil"/>
              <w:left w:val="nil"/>
              <w:right w:val="nil"/>
            </w:tcBorders>
            <w:shd w:val="clear" w:color="auto" w:fill="A6A6A6" w:themeFill="background1" w:themeFillShade="A6"/>
            <w:vAlign w:val="center"/>
          </w:tcPr>
          <w:p w14:paraId="6243F538" w14:textId="0775D36C"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6423635F"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3CA82148"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right w:val="nil"/>
            </w:tcBorders>
            <w:shd w:val="clear" w:color="auto" w:fill="A6A6A6" w:themeFill="background1" w:themeFillShade="A6"/>
            <w:vAlign w:val="center"/>
            <w:hideMark/>
          </w:tcPr>
          <w:p w14:paraId="1911A4F8" w14:textId="77777777" w:rsidR="00326448" w:rsidRPr="005E057C" w:rsidRDefault="00326448" w:rsidP="00861B0D">
            <w:pPr>
              <w:pStyle w:val="Tabletext"/>
              <w:spacing w:line="200" w:lineRule="exact"/>
              <w:jc w:val="center"/>
              <w:rPr>
                <w:rFonts w:cs="Calibri"/>
                <w:sz w:val="20"/>
                <w:szCs w:val="20"/>
              </w:rPr>
            </w:pPr>
          </w:p>
        </w:tc>
      </w:tr>
      <w:tr w:rsidR="00912183" w:rsidRPr="005E057C" w14:paraId="34E247FD" w14:textId="77777777" w:rsidTr="00E507D5">
        <w:trPr>
          <w:trHeight w:val="9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765D244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29</w:t>
            </w:r>
          </w:p>
        </w:tc>
        <w:tc>
          <w:tcPr>
            <w:tcW w:w="2395" w:type="dxa"/>
            <w:tcBorders>
              <w:top w:val="nil"/>
              <w:left w:val="nil"/>
              <w:bottom w:val="single" w:sz="4" w:space="0" w:color="FFFFFF"/>
              <w:right w:val="nil"/>
            </w:tcBorders>
            <w:shd w:val="clear" w:color="000000" w:fill="D9D9D9"/>
            <w:vAlign w:val="center"/>
            <w:hideMark/>
          </w:tcPr>
          <w:p w14:paraId="6E463353" w14:textId="77777777" w:rsidR="00326448" w:rsidRDefault="00326448" w:rsidP="00861B0D">
            <w:pPr>
              <w:pStyle w:val="Tabletext"/>
              <w:spacing w:line="200" w:lineRule="exact"/>
              <w:rPr>
                <w:rFonts w:cs="Calibri"/>
                <w:sz w:val="20"/>
                <w:szCs w:val="20"/>
              </w:rPr>
            </w:pPr>
            <w:r w:rsidRPr="005E057C">
              <w:rPr>
                <w:rFonts w:cs="Calibri"/>
                <w:sz w:val="20"/>
                <w:szCs w:val="20"/>
              </w:rPr>
              <w:t xml:space="preserve">Net nationally financed primary expenditure (before revenue measures) </w:t>
            </w:r>
          </w:p>
          <w:p w14:paraId="162BEE8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25-26-27-28-14) </w:t>
            </w:r>
          </w:p>
        </w:tc>
        <w:tc>
          <w:tcPr>
            <w:tcW w:w="1134" w:type="dxa"/>
            <w:tcBorders>
              <w:top w:val="nil"/>
              <w:left w:val="single" w:sz="4" w:space="0" w:color="FFFFFF"/>
              <w:bottom w:val="single" w:sz="4" w:space="0" w:color="FFFFFF"/>
              <w:right w:val="nil"/>
            </w:tcBorders>
            <w:shd w:val="clear" w:color="000000" w:fill="D9D9D9"/>
            <w:vAlign w:val="center"/>
            <w:hideMark/>
          </w:tcPr>
          <w:p w14:paraId="2E69FF1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336B031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96.8</w:t>
            </w:r>
          </w:p>
        </w:tc>
        <w:tc>
          <w:tcPr>
            <w:tcW w:w="718" w:type="dxa"/>
            <w:tcBorders>
              <w:top w:val="nil"/>
              <w:left w:val="single" w:sz="4" w:space="0" w:color="FFFFFF"/>
              <w:bottom w:val="single" w:sz="4" w:space="0" w:color="FFFFFF"/>
              <w:right w:val="nil"/>
            </w:tcBorders>
            <w:shd w:val="clear" w:color="000000" w:fill="D9D9D9"/>
            <w:vAlign w:val="center"/>
            <w:hideMark/>
          </w:tcPr>
          <w:p w14:paraId="2B629A5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44.0</w:t>
            </w:r>
          </w:p>
        </w:tc>
        <w:tc>
          <w:tcPr>
            <w:tcW w:w="718" w:type="dxa"/>
            <w:tcBorders>
              <w:top w:val="nil"/>
              <w:left w:val="nil"/>
              <w:bottom w:val="single" w:sz="4" w:space="0" w:color="FFFFFF"/>
              <w:right w:val="nil"/>
            </w:tcBorders>
            <w:shd w:val="clear" w:color="000000" w:fill="D9D9D9"/>
            <w:vAlign w:val="center"/>
            <w:hideMark/>
          </w:tcPr>
          <w:p w14:paraId="00C7E7A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43.3</w:t>
            </w:r>
          </w:p>
        </w:tc>
        <w:tc>
          <w:tcPr>
            <w:tcW w:w="718" w:type="dxa"/>
            <w:tcBorders>
              <w:top w:val="nil"/>
              <w:left w:val="nil"/>
              <w:bottom w:val="single" w:sz="4" w:space="0" w:color="FFFFFF"/>
              <w:right w:val="nil"/>
            </w:tcBorders>
            <w:shd w:val="clear" w:color="auto" w:fill="A6A6A6" w:themeFill="background1" w:themeFillShade="A6"/>
            <w:vAlign w:val="center"/>
          </w:tcPr>
          <w:p w14:paraId="100EC8AA" w14:textId="4E3C77BA"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auto" w:fill="A6A6A6" w:themeFill="background1" w:themeFillShade="A6"/>
            <w:vAlign w:val="center"/>
            <w:hideMark/>
          </w:tcPr>
          <w:p w14:paraId="2234D0D1"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auto" w:fill="A6A6A6" w:themeFill="background1" w:themeFillShade="A6"/>
            <w:vAlign w:val="center"/>
            <w:hideMark/>
          </w:tcPr>
          <w:p w14:paraId="5F3BA399"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auto" w:fill="A6A6A6" w:themeFill="background1" w:themeFillShade="A6"/>
            <w:vAlign w:val="center"/>
            <w:hideMark/>
          </w:tcPr>
          <w:p w14:paraId="0E001996" w14:textId="77777777" w:rsidR="00326448" w:rsidRPr="005E057C" w:rsidRDefault="00326448" w:rsidP="00861B0D">
            <w:pPr>
              <w:pStyle w:val="Tabletext"/>
              <w:spacing w:line="200" w:lineRule="exact"/>
              <w:jc w:val="center"/>
              <w:rPr>
                <w:rFonts w:cs="Calibri"/>
                <w:sz w:val="20"/>
                <w:szCs w:val="20"/>
              </w:rPr>
            </w:pPr>
          </w:p>
        </w:tc>
      </w:tr>
      <w:tr w:rsidR="00326448" w:rsidRPr="0077696E" w14:paraId="5C447599" w14:textId="77777777" w:rsidTr="00E507D5">
        <w:trPr>
          <w:trHeight w:val="510"/>
          <w:jc w:val="center"/>
        </w:trPr>
        <w:tc>
          <w:tcPr>
            <w:tcW w:w="440" w:type="dxa"/>
            <w:tcBorders>
              <w:top w:val="nil"/>
              <w:left w:val="single" w:sz="2" w:space="0" w:color="FFFFFF" w:themeColor="background1"/>
              <w:bottom w:val="single" w:sz="4" w:space="0" w:color="FFFFFF"/>
              <w:right w:val="nil"/>
            </w:tcBorders>
            <w:shd w:val="clear" w:color="000000" w:fill="BFBFBF"/>
            <w:vAlign w:val="center"/>
            <w:hideMark/>
          </w:tcPr>
          <w:p w14:paraId="67F08D19" w14:textId="77777777" w:rsidR="00326448" w:rsidRPr="0077696E" w:rsidRDefault="00326448" w:rsidP="00861B0D">
            <w:pPr>
              <w:pStyle w:val="Tabletext"/>
              <w:spacing w:line="200" w:lineRule="exact"/>
              <w:rPr>
                <w:b/>
                <w:sz w:val="20"/>
                <w:szCs w:val="20"/>
              </w:rPr>
            </w:pPr>
            <w:r w:rsidRPr="0077696E">
              <w:rPr>
                <w:b/>
                <w:sz w:val="20"/>
                <w:szCs w:val="20"/>
              </w:rPr>
              <w:t> </w:t>
            </w:r>
          </w:p>
        </w:tc>
        <w:tc>
          <w:tcPr>
            <w:tcW w:w="2395" w:type="dxa"/>
            <w:tcBorders>
              <w:top w:val="nil"/>
              <w:left w:val="nil"/>
              <w:bottom w:val="single" w:sz="4" w:space="0" w:color="FFFFFF"/>
              <w:right w:val="nil"/>
            </w:tcBorders>
            <w:shd w:val="clear" w:color="000000" w:fill="BFBFBF"/>
            <w:vAlign w:val="center"/>
            <w:hideMark/>
          </w:tcPr>
          <w:p w14:paraId="1261F045" w14:textId="77777777" w:rsidR="00326448" w:rsidRPr="0077696E" w:rsidRDefault="00326448" w:rsidP="00861B0D">
            <w:pPr>
              <w:pStyle w:val="Tabletext"/>
              <w:spacing w:line="200" w:lineRule="exact"/>
              <w:rPr>
                <w:b/>
                <w:sz w:val="20"/>
                <w:szCs w:val="20"/>
              </w:rPr>
            </w:pPr>
            <w:r w:rsidRPr="0077696E">
              <w:rPr>
                <w:b/>
                <w:sz w:val="20"/>
                <w:szCs w:val="20"/>
              </w:rPr>
              <w:t xml:space="preserve">Net nationally financed primary expenditure </w:t>
            </w:r>
          </w:p>
        </w:tc>
        <w:tc>
          <w:tcPr>
            <w:tcW w:w="1134" w:type="dxa"/>
            <w:tcBorders>
              <w:top w:val="nil"/>
              <w:left w:val="nil"/>
              <w:bottom w:val="single" w:sz="4" w:space="0" w:color="FFFFFF"/>
              <w:right w:val="nil"/>
            </w:tcBorders>
            <w:shd w:val="clear" w:color="000000" w:fill="BFBFBF"/>
            <w:vAlign w:val="center"/>
            <w:hideMark/>
          </w:tcPr>
          <w:p w14:paraId="524B4807" w14:textId="77777777" w:rsidR="00326448" w:rsidRPr="0077696E" w:rsidRDefault="00326448" w:rsidP="00861B0D">
            <w:pPr>
              <w:pStyle w:val="Tabletext"/>
              <w:spacing w:line="200" w:lineRule="exact"/>
              <w:rPr>
                <w:b/>
                <w:sz w:val="20"/>
                <w:szCs w:val="20"/>
              </w:rPr>
            </w:pPr>
            <w:r w:rsidRPr="0077696E">
              <w:rPr>
                <w:b/>
                <w:sz w:val="20"/>
                <w:szCs w:val="20"/>
              </w:rPr>
              <w:t> </w:t>
            </w:r>
          </w:p>
        </w:tc>
        <w:tc>
          <w:tcPr>
            <w:tcW w:w="718" w:type="dxa"/>
            <w:tcBorders>
              <w:top w:val="nil"/>
              <w:left w:val="nil"/>
              <w:bottom w:val="single" w:sz="4" w:space="0" w:color="FFFFFF"/>
              <w:right w:val="nil"/>
            </w:tcBorders>
            <w:shd w:val="clear" w:color="000000" w:fill="BFBFBF"/>
            <w:vAlign w:val="center"/>
            <w:hideMark/>
          </w:tcPr>
          <w:p w14:paraId="2D1720E4" w14:textId="77777777" w:rsidR="00326448" w:rsidRPr="0077696E" w:rsidRDefault="00326448" w:rsidP="00861B0D">
            <w:pPr>
              <w:pStyle w:val="Tabletext"/>
              <w:spacing w:line="200" w:lineRule="exact"/>
              <w:jc w:val="center"/>
              <w:rPr>
                <w:b/>
                <w:sz w:val="20"/>
                <w:szCs w:val="20"/>
              </w:rPr>
            </w:pPr>
          </w:p>
        </w:tc>
        <w:tc>
          <w:tcPr>
            <w:tcW w:w="718" w:type="dxa"/>
            <w:tcBorders>
              <w:top w:val="nil"/>
              <w:left w:val="nil"/>
              <w:bottom w:val="single" w:sz="4" w:space="0" w:color="FFFFFF"/>
              <w:right w:val="single" w:sz="4" w:space="0" w:color="FFFFFF" w:themeColor="background1"/>
            </w:tcBorders>
            <w:shd w:val="clear" w:color="000000" w:fill="BFBFBF"/>
            <w:vAlign w:val="center"/>
            <w:hideMark/>
          </w:tcPr>
          <w:p w14:paraId="6B559754" w14:textId="77777777" w:rsidR="00326448" w:rsidRPr="0077696E" w:rsidRDefault="00326448" w:rsidP="00861B0D">
            <w:pPr>
              <w:pStyle w:val="Tabletext"/>
              <w:spacing w:line="200" w:lineRule="exact"/>
              <w:jc w:val="center"/>
              <w:rPr>
                <w:b/>
                <w:sz w:val="20"/>
                <w:szCs w:val="20"/>
              </w:rPr>
            </w:pPr>
          </w:p>
        </w:tc>
        <w:tc>
          <w:tcPr>
            <w:tcW w:w="3590" w:type="dxa"/>
            <w:gridSpan w:val="5"/>
            <w:tcBorders>
              <w:top w:val="single" w:sz="4" w:space="0" w:color="FFFFFF"/>
              <w:left w:val="single" w:sz="4" w:space="0" w:color="FFFFFF" w:themeColor="background1"/>
              <w:bottom w:val="single" w:sz="4" w:space="0" w:color="FFFFFF"/>
              <w:right w:val="nil"/>
            </w:tcBorders>
            <w:shd w:val="clear" w:color="000000" w:fill="BFBFBF"/>
            <w:vAlign w:val="center"/>
            <w:hideMark/>
          </w:tcPr>
          <w:p w14:paraId="4D9B5CD0" w14:textId="77777777" w:rsidR="00326448" w:rsidRPr="0077696E" w:rsidRDefault="00326448" w:rsidP="00861B0D">
            <w:pPr>
              <w:pStyle w:val="Tabletext"/>
              <w:spacing w:line="200" w:lineRule="exact"/>
              <w:jc w:val="center"/>
              <w:rPr>
                <w:b/>
                <w:sz w:val="20"/>
                <w:szCs w:val="20"/>
              </w:rPr>
            </w:pPr>
            <w:r w:rsidRPr="0077696E">
              <w:rPr>
                <w:b/>
                <w:sz w:val="20"/>
                <w:szCs w:val="20"/>
              </w:rPr>
              <w:t>Growth rate</w:t>
            </w:r>
          </w:p>
        </w:tc>
      </w:tr>
      <w:tr w:rsidR="00326448" w:rsidRPr="005E057C" w14:paraId="6795BBD1" w14:textId="77777777" w:rsidTr="00E507D5">
        <w:trPr>
          <w:trHeight w:val="6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496046D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30</w:t>
            </w:r>
          </w:p>
        </w:tc>
        <w:tc>
          <w:tcPr>
            <w:tcW w:w="2395" w:type="dxa"/>
            <w:tcBorders>
              <w:top w:val="nil"/>
              <w:left w:val="nil"/>
              <w:bottom w:val="single" w:sz="4" w:space="0" w:color="FFFFFF"/>
              <w:right w:val="nil"/>
            </w:tcBorders>
            <w:shd w:val="clear" w:color="000000" w:fill="F2F2F2"/>
            <w:vAlign w:val="center"/>
            <w:hideMark/>
          </w:tcPr>
          <w:p w14:paraId="0D8ACBA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Net nationally financed primary expenditure growth </w:t>
            </w:r>
          </w:p>
        </w:tc>
        <w:tc>
          <w:tcPr>
            <w:tcW w:w="1134" w:type="dxa"/>
            <w:tcBorders>
              <w:top w:val="nil"/>
              <w:left w:val="nil"/>
              <w:bottom w:val="single" w:sz="4" w:space="0" w:color="FFFFFF"/>
              <w:right w:val="nil"/>
            </w:tcBorders>
            <w:shd w:val="clear" w:color="000000" w:fill="F2F2F2"/>
            <w:vAlign w:val="center"/>
            <w:hideMark/>
          </w:tcPr>
          <w:p w14:paraId="20B275F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4" w:space="0" w:color="FFFFFF"/>
            </w:tcBorders>
            <w:shd w:val="clear" w:color="000000" w:fill="F2F2F2"/>
            <w:vAlign w:val="center"/>
            <w:hideMark/>
          </w:tcPr>
          <w:p w14:paraId="79647173" w14:textId="77777777" w:rsidR="00326448" w:rsidRPr="005E057C" w:rsidRDefault="00326448" w:rsidP="00861B0D">
            <w:pPr>
              <w:pStyle w:val="Tabletext"/>
              <w:spacing w:line="200" w:lineRule="exact"/>
              <w:jc w:val="center"/>
              <w:rPr>
                <w:rFonts w:cs="Calibri"/>
                <w:sz w:val="20"/>
                <w:szCs w:val="20"/>
              </w:rPr>
            </w:pPr>
          </w:p>
        </w:tc>
        <w:tc>
          <w:tcPr>
            <w:tcW w:w="718" w:type="dxa"/>
            <w:tcBorders>
              <w:top w:val="single" w:sz="4" w:space="0" w:color="FFFFFF"/>
              <w:bottom w:val="single" w:sz="4" w:space="0" w:color="FFFFFF"/>
              <w:right w:val="single" w:sz="4" w:space="0" w:color="FFFFFF" w:themeColor="background1"/>
            </w:tcBorders>
            <w:shd w:val="clear" w:color="000000" w:fill="F2F2F2"/>
            <w:vAlign w:val="center"/>
            <w:hideMark/>
          </w:tcPr>
          <w:p w14:paraId="1D613820"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single" w:sz="4" w:space="0" w:color="FFFFFF" w:themeColor="background1"/>
              <w:bottom w:val="single" w:sz="4" w:space="0" w:color="FFFFFF"/>
              <w:right w:val="nil"/>
            </w:tcBorders>
            <w:shd w:val="clear" w:color="000000" w:fill="F2F2F2"/>
            <w:vAlign w:val="center"/>
            <w:hideMark/>
          </w:tcPr>
          <w:p w14:paraId="35B2D41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2.6</w:t>
            </w:r>
          </w:p>
        </w:tc>
        <w:tc>
          <w:tcPr>
            <w:tcW w:w="718" w:type="dxa"/>
            <w:tcBorders>
              <w:top w:val="nil"/>
              <w:left w:val="nil"/>
              <w:bottom w:val="single" w:sz="4" w:space="0" w:color="FFFFFF"/>
              <w:right w:val="nil"/>
            </w:tcBorders>
            <w:shd w:val="clear" w:color="000000" w:fill="F2F2F2"/>
            <w:vAlign w:val="center"/>
            <w:hideMark/>
          </w:tcPr>
          <w:p w14:paraId="287FD74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3.7</w:t>
            </w:r>
          </w:p>
        </w:tc>
        <w:tc>
          <w:tcPr>
            <w:tcW w:w="718" w:type="dxa"/>
            <w:tcBorders>
              <w:top w:val="nil"/>
              <w:left w:val="nil"/>
              <w:bottom w:val="single" w:sz="4" w:space="0" w:color="FFFFFF"/>
              <w:right w:val="nil"/>
            </w:tcBorders>
            <w:shd w:val="clear" w:color="000000" w:fill="F2F2F2"/>
            <w:vAlign w:val="center"/>
            <w:hideMark/>
          </w:tcPr>
          <w:p w14:paraId="4B7316A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3.6</w:t>
            </w:r>
          </w:p>
        </w:tc>
        <w:tc>
          <w:tcPr>
            <w:tcW w:w="718" w:type="dxa"/>
            <w:tcBorders>
              <w:top w:val="nil"/>
              <w:left w:val="nil"/>
              <w:bottom w:val="single" w:sz="4" w:space="0" w:color="FFFFFF"/>
              <w:right w:val="nil"/>
            </w:tcBorders>
            <w:shd w:val="clear" w:color="000000" w:fill="F2F2F2"/>
            <w:vAlign w:val="center"/>
            <w:hideMark/>
          </w:tcPr>
          <w:p w14:paraId="1939370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3.1</w:t>
            </w:r>
          </w:p>
        </w:tc>
        <w:tc>
          <w:tcPr>
            <w:tcW w:w="718" w:type="dxa"/>
            <w:tcBorders>
              <w:top w:val="nil"/>
              <w:left w:val="nil"/>
              <w:bottom w:val="single" w:sz="4" w:space="0" w:color="FFFFFF"/>
              <w:right w:val="nil"/>
            </w:tcBorders>
            <w:shd w:val="clear" w:color="000000" w:fill="F2F2F2"/>
            <w:vAlign w:val="center"/>
            <w:hideMark/>
          </w:tcPr>
          <w:p w14:paraId="42FFBA2A"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3.0</w:t>
            </w:r>
          </w:p>
        </w:tc>
      </w:tr>
      <w:tr w:rsidR="00326448" w:rsidRPr="005B5DA9" w14:paraId="3294ED4F"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BFBFBF"/>
            <w:vAlign w:val="center"/>
            <w:hideMark/>
          </w:tcPr>
          <w:p w14:paraId="7653239A"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2395" w:type="dxa"/>
            <w:tcBorders>
              <w:top w:val="nil"/>
              <w:left w:val="nil"/>
              <w:bottom w:val="single" w:sz="4" w:space="0" w:color="FFFFFF"/>
              <w:right w:val="nil"/>
            </w:tcBorders>
            <w:shd w:val="clear" w:color="000000" w:fill="BFBFBF"/>
            <w:vAlign w:val="center"/>
            <w:hideMark/>
          </w:tcPr>
          <w:p w14:paraId="6E89D39D" w14:textId="77777777" w:rsidR="00326448" w:rsidRPr="005B5DA9" w:rsidRDefault="00326448" w:rsidP="00861B0D">
            <w:pPr>
              <w:pStyle w:val="Tabletext"/>
              <w:spacing w:line="200" w:lineRule="exact"/>
              <w:rPr>
                <w:b/>
                <w:sz w:val="20"/>
                <w:szCs w:val="20"/>
              </w:rPr>
            </w:pPr>
            <w:r w:rsidRPr="005B5DA9">
              <w:rPr>
                <w:b/>
                <w:sz w:val="20"/>
                <w:szCs w:val="20"/>
              </w:rPr>
              <w:t xml:space="preserve">Balances </w:t>
            </w:r>
          </w:p>
        </w:tc>
        <w:tc>
          <w:tcPr>
            <w:tcW w:w="1134" w:type="dxa"/>
            <w:tcBorders>
              <w:top w:val="nil"/>
              <w:left w:val="nil"/>
              <w:bottom w:val="single" w:sz="4" w:space="0" w:color="FFFFFF"/>
              <w:right w:val="single" w:sz="4" w:space="0" w:color="FFFFFF" w:themeColor="background1"/>
            </w:tcBorders>
            <w:shd w:val="clear" w:color="000000" w:fill="BFBFBF"/>
            <w:vAlign w:val="center"/>
            <w:hideMark/>
          </w:tcPr>
          <w:p w14:paraId="388813DD" w14:textId="77777777" w:rsidR="00326448" w:rsidRPr="0077696E" w:rsidRDefault="00326448" w:rsidP="00861B0D">
            <w:pPr>
              <w:pStyle w:val="Tabletext"/>
              <w:spacing w:line="200" w:lineRule="exact"/>
              <w:rPr>
                <w:b/>
                <w:sz w:val="20"/>
                <w:szCs w:val="20"/>
              </w:rPr>
            </w:pPr>
            <w:r w:rsidRPr="0077696E">
              <w:rPr>
                <w:b/>
                <w:sz w:val="20"/>
                <w:szCs w:val="20"/>
              </w:rPr>
              <w:t xml:space="preserve">ESA Code </w:t>
            </w:r>
          </w:p>
        </w:tc>
        <w:tc>
          <w:tcPr>
            <w:tcW w:w="718"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BFBFBF"/>
            <w:vAlign w:val="center"/>
            <w:hideMark/>
          </w:tcPr>
          <w:p w14:paraId="576ED96E" w14:textId="77777777" w:rsidR="00326448" w:rsidRPr="0077696E" w:rsidRDefault="00326448" w:rsidP="00861B0D">
            <w:pPr>
              <w:pStyle w:val="Tabletext"/>
              <w:spacing w:line="200" w:lineRule="exact"/>
              <w:jc w:val="center"/>
              <w:rPr>
                <w:b/>
                <w:sz w:val="20"/>
                <w:szCs w:val="20"/>
              </w:rPr>
            </w:pPr>
            <w:r w:rsidRPr="0077696E">
              <w:rPr>
                <w:b/>
                <w:sz w:val="20"/>
                <w:szCs w:val="20"/>
              </w:rPr>
              <w:t>bn NAC</w:t>
            </w:r>
          </w:p>
        </w:tc>
        <w:tc>
          <w:tcPr>
            <w:tcW w:w="4308" w:type="dxa"/>
            <w:gridSpan w:val="6"/>
            <w:tcBorders>
              <w:top w:val="single" w:sz="4" w:space="0" w:color="FFFFFF"/>
              <w:left w:val="single" w:sz="4" w:space="0" w:color="FFFFFF" w:themeColor="background1"/>
              <w:bottom w:val="single" w:sz="4" w:space="0" w:color="FFFFFF"/>
              <w:right w:val="nil"/>
            </w:tcBorders>
            <w:shd w:val="clear" w:color="000000" w:fill="BFBFBF"/>
            <w:vAlign w:val="center"/>
            <w:hideMark/>
          </w:tcPr>
          <w:p w14:paraId="52982A20" w14:textId="77777777" w:rsidR="00326448" w:rsidRPr="0077696E" w:rsidRDefault="00326448" w:rsidP="00861B0D">
            <w:pPr>
              <w:pStyle w:val="Tabletext"/>
              <w:spacing w:line="200" w:lineRule="exact"/>
              <w:jc w:val="center"/>
              <w:rPr>
                <w:b/>
                <w:sz w:val="20"/>
                <w:szCs w:val="20"/>
              </w:rPr>
            </w:pPr>
            <w:r w:rsidRPr="0077696E">
              <w:rPr>
                <w:b/>
                <w:sz w:val="20"/>
                <w:szCs w:val="20"/>
              </w:rPr>
              <w:t>% GDP</w:t>
            </w:r>
          </w:p>
        </w:tc>
      </w:tr>
      <w:tr w:rsidR="00326448" w:rsidRPr="005E057C" w14:paraId="33F6F34C"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1660C7D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31</w:t>
            </w:r>
          </w:p>
        </w:tc>
        <w:tc>
          <w:tcPr>
            <w:tcW w:w="2395" w:type="dxa"/>
            <w:tcBorders>
              <w:top w:val="nil"/>
              <w:left w:val="nil"/>
              <w:bottom w:val="single" w:sz="4" w:space="0" w:color="FFFFFF"/>
              <w:right w:val="nil"/>
            </w:tcBorders>
            <w:shd w:val="clear" w:color="000000" w:fill="F2F2F2"/>
            <w:vAlign w:val="center"/>
            <w:hideMark/>
          </w:tcPr>
          <w:p w14:paraId="19DE67C8" w14:textId="037A468F"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Net lending/borrowing </w:t>
            </w:r>
            <w:r w:rsidR="009D7374">
              <w:rPr>
                <w:rFonts w:cs="Calibri"/>
                <w:sz w:val="20"/>
                <w:szCs w:val="20"/>
              </w:rPr>
              <w:br/>
            </w:r>
            <w:r w:rsidRPr="005E057C">
              <w:rPr>
                <w:rFonts w:cs="Calibri"/>
                <w:sz w:val="20"/>
                <w:szCs w:val="20"/>
              </w:rPr>
              <w:t xml:space="preserve">(= 7-23) </w:t>
            </w:r>
          </w:p>
        </w:tc>
        <w:tc>
          <w:tcPr>
            <w:tcW w:w="1134" w:type="dxa"/>
            <w:tcBorders>
              <w:top w:val="nil"/>
              <w:left w:val="single" w:sz="4" w:space="0" w:color="FFFFFF"/>
              <w:bottom w:val="single" w:sz="4" w:space="0" w:color="FFFFFF"/>
              <w:right w:val="single" w:sz="4" w:space="0" w:color="FFFFFF"/>
            </w:tcBorders>
            <w:shd w:val="clear" w:color="000000" w:fill="F2F2F2"/>
            <w:vAlign w:val="center"/>
            <w:hideMark/>
          </w:tcPr>
          <w:p w14:paraId="044028B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B.9 </w:t>
            </w:r>
          </w:p>
        </w:tc>
        <w:tc>
          <w:tcPr>
            <w:tcW w:w="718" w:type="dxa"/>
            <w:tcBorders>
              <w:top w:val="nil"/>
              <w:left w:val="nil"/>
              <w:bottom w:val="single" w:sz="4" w:space="0" w:color="FFFFFF"/>
              <w:right w:val="nil"/>
            </w:tcBorders>
            <w:shd w:val="clear" w:color="000000" w:fill="F2F2F2"/>
            <w:vAlign w:val="center"/>
            <w:hideMark/>
          </w:tcPr>
          <w:p w14:paraId="2C67C6A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top w:val="nil"/>
              <w:left w:val="single" w:sz="4" w:space="0" w:color="FFFFFF"/>
              <w:bottom w:val="single" w:sz="4" w:space="0" w:color="FFFFFF"/>
              <w:right w:val="nil"/>
            </w:tcBorders>
            <w:shd w:val="clear" w:color="000000" w:fill="F2F2F2"/>
            <w:vAlign w:val="center"/>
            <w:hideMark/>
          </w:tcPr>
          <w:p w14:paraId="243C04E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-1.6</w:t>
            </w:r>
          </w:p>
        </w:tc>
        <w:tc>
          <w:tcPr>
            <w:tcW w:w="718" w:type="dxa"/>
            <w:tcBorders>
              <w:top w:val="nil"/>
              <w:left w:val="nil"/>
              <w:bottom w:val="single" w:sz="4" w:space="0" w:color="FFFFFF"/>
              <w:right w:val="nil"/>
            </w:tcBorders>
            <w:shd w:val="clear" w:color="000000" w:fill="F2F2F2"/>
            <w:vAlign w:val="center"/>
            <w:hideMark/>
          </w:tcPr>
          <w:p w14:paraId="2D93DEEA"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w:t>
            </w:r>
          </w:p>
        </w:tc>
        <w:tc>
          <w:tcPr>
            <w:tcW w:w="718" w:type="dxa"/>
            <w:tcBorders>
              <w:top w:val="nil"/>
              <w:left w:val="nil"/>
              <w:bottom w:val="single" w:sz="4" w:space="0" w:color="FFFFFF"/>
              <w:right w:val="nil"/>
            </w:tcBorders>
            <w:shd w:val="clear" w:color="000000" w:fill="F2F2F2"/>
            <w:vAlign w:val="center"/>
            <w:hideMark/>
          </w:tcPr>
          <w:p w14:paraId="1CDB932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-0.6</w:t>
            </w:r>
          </w:p>
        </w:tc>
        <w:tc>
          <w:tcPr>
            <w:tcW w:w="718" w:type="dxa"/>
            <w:tcBorders>
              <w:top w:val="nil"/>
              <w:left w:val="nil"/>
              <w:bottom w:val="single" w:sz="4" w:space="0" w:color="FFFFFF"/>
              <w:right w:val="nil"/>
            </w:tcBorders>
            <w:shd w:val="clear" w:color="000000" w:fill="F2F2F2"/>
            <w:vAlign w:val="center"/>
            <w:hideMark/>
          </w:tcPr>
          <w:p w14:paraId="2EA9C27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-0.8</w:t>
            </w:r>
          </w:p>
        </w:tc>
        <w:tc>
          <w:tcPr>
            <w:tcW w:w="718" w:type="dxa"/>
            <w:tcBorders>
              <w:top w:val="nil"/>
              <w:left w:val="nil"/>
              <w:bottom w:val="single" w:sz="4" w:space="0" w:color="FFFFFF"/>
              <w:right w:val="nil"/>
            </w:tcBorders>
            <w:shd w:val="clear" w:color="000000" w:fill="F2F2F2"/>
            <w:vAlign w:val="center"/>
            <w:hideMark/>
          </w:tcPr>
          <w:p w14:paraId="41974ED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-1.1</w:t>
            </w:r>
          </w:p>
        </w:tc>
        <w:tc>
          <w:tcPr>
            <w:tcW w:w="718" w:type="dxa"/>
            <w:tcBorders>
              <w:top w:val="nil"/>
              <w:left w:val="nil"/>
              <w:bottom w:val="single" w:sz="4" w:space="0" w:color="FFFFFF"/>
              <w:right w:val="nil"/>
            </w:tcBorders>
            <w:shd w:val="clear" w:color="000000" w:fill="F2F2F2"/>
            <w:vAlign w:val="center"/>
            <w:hideMark/>
          </w:tcPr>
          <w:p w14:paraId="64B94E1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-1.2</w:t>
            </w:r>
          </w:p>
        </w:tc>
      </w:tr>
      <w:tr w:rsidR="00326448" w:rsidRPr="005E057C" w14:paraId="7B62E3B3"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23E0840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32</w:t>
            </w:r>
          </w:p>
        </w:tc>
        <w:tc>
          <w:tcPr>
            <w:tcW w:w="2395" w:type="dxa"/>
            <w:tcBorders>
              <w:top w:val="nil"/>
              <w:left w:val="nil"/>
              <w:bottom w:val="single" w:sz="4" w:space="0" w:color="FFFFFF"/>
              <w:right w:val="nil"/>
            </w:tcBorders>
            <w:shd w:val="clear" w:color="000000" w:fill="D9D9D9"/>
            <w:vAlign w:val="center"/>
            <w:hideMark/>
          </w:tcPr>
          <w:p w14:paraId="7734C23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Primary balance (= 31-14) </w:t>
            </w:r>
          </w:p>
        </w:tc>
        <w:tc>
          <w:tcPr>
            <w:tcW w:w="1134" w:type="dxa"/>
            <w:tcBorders>
              <w:top w:val="nil"/>
              <w:left w:val="single" w:sz="4" w:space="0" w:color="FFFFFF"/>
              <w:bottom w:val="single" w:sz="4" w:space="0" w:color="FFFFFF"/>
              <w:right w:val="single" w:sz="4" w:space="0" w:color="FFFFFF"/>
            </w:tcBorders>
            <w:shd w:val="clear" w:color="000000" w:fill="D9D9D9"/>
            <w:vAlign w:val="center"/>
            <w:hideMark/>
          </w:tcPr>
          <w:p w14:paraId="3E0BF6D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B.9-D.41p </w:t>
            </w:r>
          </w:p>
        </w:tc>
        <w:tc>
          <w:tcPr>
            <w:tcW w:w="718" w:type="dxa"/>
            <w:tcBorders>
              <w:top w:val="nil"/>
              <w:left w:val="nil"/>
              <w:bottom w:val="single" w:sz="4" w:space="0" w:color="FFFFFF"/>
              <w:right w:val="nil"/>
            </w:tcBorders>
            <w:shd w:val="clear" w:color="000000" w:fill="D9D9D9"/>
            <w:vAlign w:val="center"/>
            <w:hideMark/>
          </w:tcPr>
          <w:p w14:paraId="6C08C8B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4.1</w:t>
            </w:r>
          </w:p>
        </w:tc>
        <w:tc>
          <w:tcPr>
            <w:tcW w:w="718" w:type="dxa"/>
            <w:tcBorders>
              <w:top w:val="nil"/>
              <w:left w:val="single" w:sz="4" w:space="0" w:color="FFFFFF"/>
              <w:bottom w:val="single" w:sz="4" w:space="0" w:color="FFFFFF"/>
              <w:right w:val="nil"/>
            </w:tcBorders>
            <w:shd w:val="clear" w:color="000000" w:fill="D9D9D9"/>
            <w:vAlign w:val="center"/>
            <w:hideMark/>
          </w:tcPr>
          <w:p w14:paraId="2808893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1.9</w:t>
            </w:r>
          </w:p>
        </w:tc>
        <w:tc>
          <w:tcPr>
            <w:tcW w:w="718" w:type="dxa"/>
            <w:tcBorders>
              <w:top w:val="nil"/>
              <w:left w:val="nil"/>
              <w:bottom w:val="single" w:sz="4" w:space="0" w:color="FFFFFF"/>
              <w:right w:val="nil"/>
            </w:tcBorders>
            <w:shd w:val="clear" w:color="000000" w:fill="D9D9D9"/>
            <w:vAlign w:val="center"/>
            <w:hideMark/>
          </w:tcPr>
          <w:p w14:paraId="6A85E01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bottom w:val="single" w:sz="4" w:space="0" w:color="FFFFFF"/>
              <w:right w:val="nil"/>
            </w:tcBorders>
            <w:shd w:val="clear" w:color="000000" w:fill="D9D9D9"/>
            <w:vAlign w:val="center"/>
            <w:hideMark/>
          </w:tcPr>
          <w:p w14:paraId="2CF1F67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2.5</w:t>
            </w:r>
          </w:p>
        </w:tc>
        <w:tc>
          <w:tcPr>
            <w:tcW w:w="718" w:type="dxa"/>
            <w:tcBorders>
              <w:top w:val="nil"/>
              <w:left w:val="nil"/>
              <w:bottom w:val="single" w:sz="4" w:space="0" w:color="FFFFFF"/>
              <w:right w:val="nil"/>
            </w:tcBorders>
            <w:shd w:val="clear" w:color="000000" w:fill="D9D9D9"/>
            <w:vAlign w:val="center"/>
            <w:hideMark/>
          </w:tcPr>
          <w:p w14:paraId="598A257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bottom w:val="single" w:sz="4" w:space="0" w:color="FFFFFF"/>
              <w:right w:val="nil"/>
            </w:tcBorders>
            <w:shd w:val="clear" w:color="000000" w:fill="D9D9D9"/>
            <w:vAlign w:val="center"/>
            <w:hideMark/>
          </w:tcPr>
          <w:p w14:paraId="23CB994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bottom w:val="single" w:sz="4" w:space="0" w:color="FFFFFF"/>
              <w:right w:val="nil"/>
            </w:tcBorders>
            <w:shd w:val="clear" w:color="000000" w:fill="D9D9D9"/>
            <w:vAlign w:val="center"/>
            <w:hideMark/>
          </w:tcPr>
          <w:p w14:paraId="54C3ECD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r>
      <w:tr w:rsidR="00326448" w:rsidRPr="005B5DA9" w14:paraId="528A2451"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BFBFBF"/>
            <w:vAlign w:val="center"/>
            <w:hideMark/>
          </w:tcPr>
          <w:p w14:paraId="1BC64F2D"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2395" w:type="dxa"/>
            <w:tcBorders>
              <w:top w:val="nil"/>
              <w:left w:val="nil"/>
              <w:bottom w:val="single" w:sz="4" w:space="0" w:color="FFFFFF"/>
              <w:right w:val="nil"/>
            </w:tcBorders>
            <w:shd w:val="clear" w:color="000000" w:fill="BFBFBF"/>
            <w:vAlign w:val="center"/>
            <w:hideMark/>
          </w:tcPr>
          <w:p w14:paraId="21D842A6" w14:textId="77777777" w:rsidR="00326448" w:rsidRPr="005B5DA9" w:rsidRDefault="00326448" w:rsidP="00861B0D">
            <w:pPr>
              <w:pStyle w:val="Tabletext"/>
              <w:spacing w:line="200" w:lineRule="exact"/>
              <w:rPr>
                <w:b/>
                <w:sz w:val="20"/>
                <w:szCs w:val="20"/>
              </w:rPr>
            </w:pPr>
            <w:r w:rsidRPr="005B5DA9">
              <w:rPr>
                <w:b/>
                <w:sz w:val="20"/>
                <w:szCs w:val="20"/>
              </w:rPr>
              <w:t xml:space="preserve">Cyclical adjustment </w:t>
            </w:r>
          </w:p>
        </w:tc>
        <w:tc>
          <w:tcPr>
            <w:tcW w:w="1134" w:type="dxa"/>
            <w:tcBorders>
              <w:top w:val="nil"/>
              <w:left w:val="nil"/>
              <w:bottom w:val="single" w:sz="4" w:space="0" w:color="FFFFFF"/>
            </w:tcBorders>
            <w:shd w:val="clear" w:color="000000" w:fill="BFBFBF"/>
            <w:vAlign w:val="center"/>
            <w:hideMark/>
          </w:tcPr>
          <w:p w14:paraId="008190DB"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718" w:type="dxa"/>
            <w:tcBorders>
              <w:top w:val="single" w:sz="4" w:space="0" w:color="FFFFFF"/>
              <w:bottom w:val="single" w:sz="4" w:space="0" w:color="FFFFFF"/>
            </w:tcBorders>
            <w:shd w:val="clear" w:color="000000" w:fill="BFBFBF"/>
            <w:vAlign w:val="center"/>
            <w:hideMark/>
          </w:tcPr>
          <w:p w14:paraId="059EDE08" w14:textId="77777777" w:rsidR="00326448" w:rsidRPr="005B5DA9" w:rsidRDefault="00326448" w:rsidP="00861B0D">
            <w:pPr>
              <w:pStyle w:val="Tabletext"/>
              <w:spacing w:line="200" w:lineRule="exact"/>
              <w:jc w:val="center"/>
              <w:rPr>
                <w:b/>
                <w:sz w:val="20"/>
                <w:szCs w:val="20"/>
              </w:rPr>
            </w:pPr>
          </w:p>
        </w:tc>
        <w:tc>
          <w:tcPr>
            <w:tcW w:w="4308" w:type="dxa"/>
            <w:gridSpan w:val="6"/>
            <w:tcBorders>
              <w:top w:val="single" w:sz="4" w:space="0" w:color="FFFFFF"/>
              <w:bottom w:val="single" w:sz="4" w:space="0" w:color="FFFFFF"/>
              <w:right w:val="nil"/>
            </w:tcBorders>
            <w:shd w:val="clear" w:color="000000" w:fill="BFBFBF"/>
            <w:vAlign w:val="center"/>
            <w:hideMark/>
          </w:tcPr>
          <w:p w14:paraId="3AB87C6D" w14:textId="155B2CA7" w:rsidR="00326448" w:rsidRPr="005B5DA9" w:rsidRDefault="00326448" w:rsidP="00861B0D">
            <w:pPr>
              <w:pStyle w:val="Tabletext"/>
              <w:spacing w:line="200" w:lineRule="exact"/>
              <w:jc w:val="center"/>
              <w:rPr>
                <w:b/>
                <w:sz w:val="20"/>
                <w:szCs w:val="20"/>
              </w:rPr>
            </w:pPr>
          </w:p>
        </w:tc>
      </w:tr>
      <w:tr w:rsidR="00326448" w:rsidRPr="005E057C" w14:paraId="6C192642"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18A0134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33</w:t>
            </w:r>
          </w:p>
        </w:tc>
        <w:tc>
          <w:tcPr>
            <w:tcW w:w="2395" w:type="dxa"/>
            <w:tcBorders>
              <w:top w:val="nil"/>
              <w:left w:val="nil"/>
              <w:bottom w:val="single" w:sz="4" w:space="0" w:color="FFFFFF"/>
              <w:right w:val="nil"/>
            </w:tcBorders>
            <w:shd w:val="clear" w:color="000000" w:fill="F2F2F2"/>
            <w:vAlign w:val="center"/>
            <w:hideMark/>
          </w:tcPr>
          <w:p w14:paraId="5010CBE2"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Structural balance </w:t>
            </w:r>
          </w:p>
        </w:tc>
        <w:tc>
          <w:tcPr>
            <w:tcW w:w="1134" w:type="dxa"/>
            <w:tcBorders>
              <w:top w:val="nil"/>
              <w:left w:val="nil"/>
              <w:bottom w:val="single" w:sz="4" w:space="0" w:color="FFFFFF"/>
              <w:right w:val="single" w:sz="2" w:space="0" w:color="FFFFFF" w:themeColor="background1"/>
            </w:tcBorders>
            <w:shd w:val="clear" w:color="000000" w:fill="F2F2F2"/>
            <w:vAlign w:val="center"/>
            <w:hideMark/>
          </w:tcPr>
          <w:p w14:paraId="2F6A7A5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single" w:sz="4" w:space="0" w:color="FFFFFF"/>
              <w:left w:val="single" w:sz="2" w:space="0" w:color="FFFFFF" w:themeColor="background1"/>
              <w:bottom w:val="single" w:sz="4" w:space="0" w:color="FFFFFF"/>
              <w:right w:val="nil"/>
            </w:tcBorders>
            <w:shd w:val="clear" w:color="000000" w:fill="F2F2F2"/>
            <w:vAlign w:val="center"/>
            <w:hideMark/>
          </w:tcPr>
          <w:p w14:paraId="22E32768"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single" w:sz="4" w:space="0" w:color="FFFFFF"/>
              <w:bottom w:val="single" w:sz="4" w:space="0" w:color="FFFFFF"/>
              <w:right w:val="nil"/>
            </w:tcBorders>
            <w:shd w:val="clear" w:color="000000" w:fill="F2F2F2"/>
            <w:vAlign w:val="center"/>
            <w:hideMark/>
          </w:tcPr>
          <w:p w14:paraId="7F6B7A2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w:t>
            </w:r>
          </w:p>
        </w:tc>
        <w:tc>
          <w:tcPr>
            <w:tcW w:w="718" w:type="dxa"/>
            <w:tcBorders>
              <w:top w:val="nil"/>
              <w:left w:val="nil"/>
              <w:bottom w:val="single" w:sz="4" w:space="0" w:color="FFFFFF"/>
              <w:right w:val="nil"/>
            </w:tcBorders>
            <w:shd w:val="clear" w:color="000000" w:fill="F2F2F2"/>
            <w:vAlign w:val="center"/>
            <w:hideMark/>
          </w:tcPr>
          <w:p w14:paraId="593AEF6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w:t>
            </w:r>
          </w:p>
        </w:tc>
        <w:tc>
          <w:tcPr>
            <w:tcW w:w="718" w:type="dxa"/>
            <w:tcBorders>
              <w:top w:val="nil"/>
              <w:left w:val="nil"/>
              <w:bottom w:val="single" w:sz="4" w:space="0" w:color="FFFFFF"/>
              <w:right w:val="nil"/>
            </w:tcBorders>
            <w:shd w:val="clear" w:color="000000" w:fill="F2F2F2"/>
            <w:vAlign w:val="center"/>
            <w:hideMark/>
          </w:tcPr>
          <w:p w14:paraId="45003C2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-1.1</w:t>
            </w:r>
          </w:p>
        </w:tc>
        <w:tc>
          <w:tcPr>
            <w:tcW w:w="718" w:type="dxa"/>
            <w:tcBorders>
              <w:top w:val="nil"/>
              <w:left w:val="nil"/>
              <w:bottom w:val="single" w:sz="4" w:space="0" w:color="FFFFFF"/>
              <w:right w:val="nil"/>
            </w:tcBorders>
            <w:shd w:val="clear" w:color="000000" w:fill="F2F2F2"/>
            <w:vAlign w:val="center"/>
            <w:hideMark/>
          </w:tcPr>
          <w:p w14:paraId="350FB0C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-1.1</w:t>
            </w:r>
          </w:p>
        </w:tc>
        <w:tc>
          <w:tcPr>
            <w:tcW w:w="718" w:type="dxa"/>
            <w:tcBorders>
              <w:top w:val="nil"/>
              <w:left w:val="nil"/>
              <w:bottom w:val="single" w:sz="4" w:space="0" w:color="FFFFFF"/>
              <w:right w:val="nil"/>
            </w:tcBorders>
            <w:shd w:val="clear" w:color="000000" w:fill="F2F2F2"/>
            <w:vAlign w:val="center"/>
            <w:hideMark/>
          </w:tcPr>
          <w:p w14:paraId="35FDA69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-1.2</w:t>
            </w:r>
          </w:p>
        </w:tc>
        <w:tc>
          <w:tcPr>
            <w:tcW w:w="718" w:type="dxa"/>
            <w:tcBorders>
              <w:top w:val="nil"/>
              <w:left w:val="nil"/>
              <w:bottom w:val="single" w:sz="4" w:space="0" w:color="FFFFFF"/>
              <w:right w:val="nil"/>
            </w:tcBorders>
            <w:shd w:val="clear" w:color="000000" w:fill="F2F2F2"/>
            <w:vAlign w:val="center"/>
            <w:hideMark/>
          </w:tcPr>
          <w:p w14:paraId="5EEE03E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-1.3</w:t>
            </w:r>
          </w:p>
        </w:tc>
      </w:tr>
      <w:tr w:rsidR="00326448" w:rsidRPr="005E057C" w14:paraId="70B6430F"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1BDDB4A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34</w:t>
            </w:r>
          </w:p>
        </w:tc>
        <w:tc>
          <w:tcPr>
            <w:tcW w:w="2395" w:type="dxa"/>
            <w:tcBorders>
              <w:top w:val="nil"/>
              <w:left w:val="nil"/>
              <w:bottom w:val="single" w:sz="4" w:space="0" w:color="FFFFFF"/>
              <w:right w:val="nil"/>
            </w:tcBorders>
            <w:shd w:val="clear" w:color="000000" w:fill="D9D9D9"/>
            <w:vAlign w:val="center"/>
            <w:hideMark/>
          </w:tcPr>
          <w:p w14:paraId="23683C1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Structural primary balance </w:t>
            </w:r>
          </w:p>
        </w:tc>
        <w:tc>
          <w:tcPr>
            <w:tcW w:w="1134" w:type="dxa"/>
            <w:tcBorders>
              <w:top w:val="nil"/>
              <w:left w:val="nil"/>
              <w:bottom w:val="single" w:sz="4" w:space="0" w:color="FFFFFF"/>
              <w:right w:val="single" w:sz="2" w:space="0" w:color="FFFFFF" w:themeColor="background1"/>
            </w:tcBorders>
            <w:shd w:val="clear" w:color="000000" w:fill="D9D9D9"/>
            <w:vAlign w:val="center"/>
            <w:hideMark/>
          </w:tcPr>
          <w:p w14:paraId="70D70F6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single" w:sz="4" w:space="0" w:color="FFFFFF"/>
              <w:left w:val="single" w:sz="2" w:space="0" w:color="FFFFFF" w:themeColor="background1"/>
              <w:bottom w:val="single" w:sz="4" w:space="0" w:color="FFFFFF"/>
              <w:right w:val="nil"/>
            </w:tcBorders>
            <w:shd w:val="clear" w:color="000000" w:fill="D9D9D9"/>
            <w:vAlign w:val="center"/>
            <w:hideMark/>
          </w:tcPr>
          <w:p w14:paraId="0575FD32"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1A7F0B8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1.9</w:t>
            </w:r>
          </w:p>
        </w:tc>
        <w:tc>
          <w:tcPr>
            <w:tcW w:w="718" w:type="dxa"/>
            <w:tcBorders>
              <w:top w:val="nil"/>
              <w:left w:val="nil"/>
              <w:bottom w:val="single" w:sz="4" w:space="0" w:color="FFFFFF"/>
              <w:right w:val="nil"/>
            </w:tcBorders>
            <w:shd w:val="clear" w:color="000000" w:fill="D9D9D9"/>
            <w:vAlign w:val="center"/>
            <w:hideMark/>
          </w:tcPr>
          <w:p w14:paraId="16E9316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1.9</w:t>
            </w:r>
          </w:p>
        </w:tc>
        <w:tc>
          <w:tcPr>
            <w:tcW w:w="718" w:type="dxa"/>
            <w:tcBorders>
              <w:top w:val="nil"/>
              <w:left w:val="nil"/>
              <w:bottom w:val="single" w:sz="4" w:space="0" w:color="FFFFFF"/>
              <w:right w:val="nil"/>
            </w:tcBorders>
            <w:shd w:val="clear" w:color="000000" w:fill="D9D9D9"/>
            <w:vAlign w:val="center"/>
            <w:hideMark/>
          </w:tcPr>
          <w:p w14:paraId="0B17FDB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2.0</w:t>
            </w:r>
          </w:p>
        </w:tc>
        <w:tc>
          <w:tcPr>
            <w:tcW w:w="718" w:type="dxa"/>
            <w:tcBorders>
              <w:top w:val="nil"/>
              <w:left w:val="nil"/>
              <w:bottom w:val="single" w:sz="4" w:space="0" w:color="FFFFFF"/>
              <w:right w:val="nil"/>
            </w:tcBorders>
            <w:shd w:val="clear" w:color="000000" w:fill="D9D9D9"/>
            <w:vAlign w:val="center"/>
            <w:hideMark/>
          </w:tcPr>
          <w:p w14:paraId="326D97D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2.1</w:t>
            </w:r>
          </w:p>
        </w:tc>
        <w:tc>
          <w:tcPr>
            <w:tcW w:w="718" w:type="dxa"/>
            <w:tcBorders>
              <w:top w:val="nil"/>
              <w:left w:val="nil"/>
              <w:bottom w:val="single" w:sz="4" w:space="0" w:color="FFFFFF"/>
              <w:right w:val="nil"/>
            </w:tcBorders>
            <w:shd w:val="clear" w:color="000000" w:fill="D9D9D9"/>
            <w:vAlign w:val="center"/>
            <w:hideMark/>
          </w:tcPr>
          <w:p w14:paraId="31671A0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2.2</w:t>
            </w:r>
          </w:p>
        </w:tc>
        <w:tc>
          <w:tcPr>
            <w:tcW w:w="718" w:type="dxa"/>
            <w:tcBorders>
              <w:top w:val="nil"/>
              <w:left w:val="nil"/>
              <w:bottom w:val="single" w:sz="4" w:space="0" w:color="FFFFFF"/>
              <w:right w:val="nil"/>
            </w:tcBorders>
            <w:shd w:val="clear" w:color="000000" w:fill="D9D9D9"/>
            <w:vAlign w:val="center"/>
            <w:hideMark/>
          </w:tcPr>
          <w:p w14:paraId="5B5F43B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2.3</w:t>
            </w:r>
          </w:p>
        </w:tc>
      </w:tr>
      <w:tr w:rsidR="00326448" w:rsidRPr="005B5DA9" w14:paraId="5D8CE985" w14:textId="77777777" w:rsidTr="00E507D5">
        <w:trPr>
          <w:trHeight w:val="295"/>
          <w:jc w:val="center"/>
        </w:trPr>
        <w:tc>
          <w:tcPr>
            <w:tcW w:w="440" w:type="dxa"/>
            <w:tcBorders>
              <w:top w:val="nil"/>
              <w:left w:val="single" w:sz="2" w:space="0" w:color="FFFFFF" w:themeColor="background1"/>
              <w:bottom w:val="single" w:sz="4" w:space="0" w:color="FFFFFF"/>
              <w:right w:val="nil"/>
            </w:tcBorders>
            <w:shd w:val="clear" w:color="000000" w:fill="BFBFBF"/>
            <w:vAlign w:val="center"/>
            <w:hideMark/>
          </w:tcPr>
          <w:p w14:paraId="1B378665"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2395" w:type="dxa"/>
            <w:tcBorders>
              <w:top w:val="nil"/>
              <w:left w:val="nil"/>
              <w:bottom w:val="single" w:sz="4" w:space="0" w:color="FFFFFF"/>
              <w:right w:val="nil"/>
            </w:tcBorders>
            <w:shd w:val="clear" w:color="000000" w:fill="BFBFBF"/>
            <w:vAlign w:val="center"/>
            <w:hideMark/>
          </w:tcPr>
          <w:p w14:paraId="3C2B928E" w14:textId="77777777" w:rsidR="00326448" w:rsidRPr="005B5DA9" w:rsidRDefault="00326448" w:rsidP="00861B0D">
            <w:pPr>
              <w:pStyle w:val="Tabletext"/>
              <w:spacing w:line="200" w:lineRule="exact"/>
              <w:rPr>
                <w:b/>
                <w:sz w:val="20"/>
                <w:szCs w:val="20"/>
              </w:rPr>
            </w:pPr>
            <w:r w:rsidRPr="005B5DA9">
              <w:rPr>
                <w:b/>
                <w:sz w:val="20"/>
                <w:szCs w:val="20"/>
              </w:rPr>
              <w:t xml:space="preserve">Debt </w:t>
            </w:r>
          </w:p>
        </w:tc>
        <w:tc>
          <w:tcPr>
            <w:tcW w:w="1134" w:type="dxa"/>
            <w:tcBorders>
              <w:top w:val="nil"/>
              <w:left w:val="nil"/>
              <w:bottom w:val="single" w:sz="4" w:space="0" w:color="FFFFFF"/>
            </w:tcBorders>
            <w:shd w:val="clear" w:color="000000" w:fill="BFBFBF"/>
            <w:vAlign w:val="center"/>
            <w:hideMark/>
          </w:tcPr>
          <w:p w14:paraId="6EA21E76"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718" w:type="dxa"/>
            <w:tcBorders>
              <w:top w:val="single" w:sz="4" w:space="0" w:color="FFFFFF"/>
              <w:bottom w:val="single" w:sz="4" w:space="0" w:color="FFFFFF"/>
            </w:tcBorders>
            <w:shd w:val="clear" w:color="000000" w:fill="BFBFBF"/>
            <w:vAlign w:val="center"/>
          </w:tcPr>
          <w:p w14:paraId="5C777CA4" w14:textId="72CF4A1D" w:rsidR="00326448" w:rsidRPr="005B5DA9" w:rsidRDefault="00326448" w:rsidP="00861B0D">
            <w:pPr>
              <w:pStyle w:val="Tabletext"/>
              <w:spacing w:line="200" w:lineRule="exact"/>
              <w:rPr>
                <w:b/>
                <w:sz w:val="20"/>
                <w:szCs w:val="20"/>
              </w:rPr>
            </w:pPr>
          </w:p>
        </w:tc>
        <w:tc>
          <w:tcPr>
            <w:tcW w:w="4308" w:type="dxa"/>
            <w:gridSpan w:val="6"/>
            <w:tcBorders>
              <w:top w:val="single" w:sz="4" w:space="0" w:color="FFFFFF"/>
              <w:bottom w:val="single" w:sz="4" w:space="0" w:color="FFFFFF"/>
              <w:right w:val="nil"/>
            </w:tcBorders>
            <w:shd w:val="clear" w:color="000000" w:fill="BFBFBF"/>
            <w:vAlign w:val="center"/>
            <w:hideMark/>
          </w:tcPr>
          <w:p w14:paraId="6EF58F72" w14:textId="65CCCEB8" w:rsidR="00326448" w:rsidRPr="005B5DA9" w:rsidRDefault="00326448" w:rsidP="00861B0D">
            <w:pPr>
              <w:pStyle w:val="Tabletext"/>
              <w:spacing w:line="200" w:lineRule="exact"/>
              <w:jc w:val="center"/>
              <w:rPr>
                <w:b/>
                <w:sz w:val="20"/>
                <w:szCs w:val="20"/>
              </w:rPr>
            </w:pPr>
          </w:p>
        </w:tc>
      </w:tr>
      <w:tr w:rsidR="00326448" w:rsidRPr="005E057C" w14:paraId="5AA5AF48"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01E77CB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35</w:t>
            </w:r>
          </w:p>
        </w:tc>
        <w:tc>
          <w:tcPr>
            <w:tcW w:w="2395" w:type="dxa"/>
            <w:tcBorders>
              <w:top w:val="nil"/>
              <w:left w:val="nil"/>
              <w:bottom w:val="single" w:sz="4" w:space="0" w:color="FFFFFF"/>
              <w:right w:val="nil"/>
            </w:tcBorders>
            <w:shd w:val="clear" w:color="000000" w:fill="F2F2F2"/>
            <w:vAlign w:val="center"/>
            <w:hideMark/>
          </w:tcPr>
          <w:p w14:paraId="28A94E4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Gross debt </w:t>
            </w:r>
          </w:p>
        </w:tc>
        <w:tc>
          <w:tcPr>
            <w:tcW w:w="1134" w:type="dxa"/>
            <w:tcBorders>
              <w:top w:val="nil"/>
              <w:left w:val="nil"/>
              <w:bottom w:val="single" w:sz="4" w:space="0" w:color="FFFFFF"/>
              <w:right w:val="nil"/>
            </w:tcBorders>
            <w:shd w:val="clear" w:color="000000" w:fill="F2F2F2"/>
            <w:vAlign w:val="center"/>
            <w:hideMark/>
          </w:tcPr>
          <w:p w14:paraId="022DD28B"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single" w:sz="4" w:space="0" w:color="FFFFFF"/>
            </w:tcBorders>
            <w:shd w:val="clear" w:color="000000" w:fill="F2F2F2"/>
            <w:vAlign w:val="center"/>
            <w:hideMark/>
          </w:tcPr>
          <w:p w14:paraId="32F2DE9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356.7</w:t>
            </w:r>
          </w:p>
        </w:tc>
        <w:tc>
          <w:tcPr>
            <w:tcW w:w="718" w:type="dxa"/>
            <w:tcBorders>
              <w:top w:val="nil"/>
              <w:left w:val="nil"/>
              <w:bottom w:val="single" w:sz="4" w:space="0" w:color="FFFFFF"/>
              <w:right w:val="nil"/>
            </w:tcBorders>
            <w:shd w:val="clear" w:color="000000" w:fill="F2F2F2"/>
            <w:vAlign w:val="center"/>
            <w:hideMark/>
          </w:tcPr>
          <w:p w14:paraId="2A50F96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161.9</w:t>
            </w:r>
          </w:p>
        </w:tc>
        <w:tc>
          <w:tcPr>
            <w:tcW w:w="718" w:type="dxa"/>
            <w:tcBorders>
              <w:top w:val="nil"/>
              <w:left w:val="nil"/>
              <w:bottom w:val="single" w:sz="4" w:space="0" w:color="FFFFFF"/>
              <w:right w:val="nil"/>
            </w:tcBorders>
            <w:shd w:val="clear" w:color="000000" w:fill="F2F2F2"/>
            <w:vAlign w:val="center"/>
            <w:hideMark/>
          </w:tcPr>
          <w:p w14:paraId="7F7CD30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153.7</w:t>
            </w:r>
          </w:p>
        </w:tc>
        <w:tc>
          <w:tcPr>
            <w:tcW w:w="718" w:type="dxa"/>
            <w:tcBorders>
              <w:top w:val="nil"/>
              <w:left w:val="nil"/>
              <w:bottom w:val="single" w:sz="4" w:space="0" w:color="FFFFFF"/>
              <w:right w:val="nil"/>
            </w:tcBorders>
            <w:shd w:val="clear" w:color="000000" w:fill="F2F2F2"/>
            <w:vAlign w:val="center"/>
            <w:hideMark/>
          </w:tcPr>
          <w:p w14:paraId="72B7F7D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149.1</w:t>
            </w:r>
          </w:p>
        </w:tc>
        <w:tc>
          <w:tcPr>
            <w:tcW w:w="718" w:type="dxa"/>
            <w:tcBorders>
              <w:top w:val="nil"/>
              <w:left w:val="nil"/>
              <w:bottom w:val="single" w:sz="4" w:space="0" w:color="FFFFFF"/>
              <w:right w:val="nil"/>
            </w:tcBorders>
            <w:shd w:val="clear" w:color="000000" w:fill="F2F2F2"/>
            <w:vAlign w:val="center"/>
            <w:hideMark/>
          </w:tcPr>
          <w:p w14:paraId="16AB3C7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143.1</w:t>
            </w:r>
          </w:p>
        </w:tc>
        <w:tc>
          <w:tcPr>
            <w:tcW w:w="718" w:type="dxa"/>
            <w:tcBorders>
              <w:top w:val="nil"/>
              <w:left w:val="nil"/>
              <w:bottom w:val="single" w:sz="4" w:space="0" w:color="FFFFFF"/>
              <w:right w:val="nil"/>
            </w:tcBorders>
            <w:shd w:val="clear" w:color="000000" w:fill="F2F2F2"/>
            <w:vAlign w:val="center"/>
            <w:hideMark/>
          </w:tcPr>
          <w:p w14:paraId="423C2B0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138.0</w:t>
            </w:r>
          </w:p>
        </w:tc>
        <w:tc>
          <w:tcPr>
            <w:tcW w:w="718" w:type="dxa"/>
            <w:tcBorders>
              <w:top w:val="nil"/>
              <w:left w:val="nil"/>
              <w:bottom w:val="single" w:sz="4" w:space="0" w:color="FFFFFF"/>
              <w:right w:val="nil"/>
            </w:tcBorders>
            <w:shd w:val="clear" w:color="000000" w:fill="F2F2F2"/>
            <w:vAlign w:val="center"/>
            <w:hideMark/>
          </w:tcPr>
          <w:p w14:paraId="194A838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133.4</w:t>
            </w:r>
          </w:p>
        </w:tc>
      </w:tr>
      <w:tr w:rsidR="00326448" w:rsidRPr="005E057C" w14:paraId="67518F84"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21424F0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36</w:t>
            </w:r>
          </w:p>
        </w:tc>
        <w:tc>
          <w:tcPr>
            <w:tcW w:w="2395" w:type="dxa"/>
            <w:tcBorders>
              <w:top w:val="nil"/>
              <w:left w:val="nil"/>
              <w:bottom w:val="single" w:sz="4" w:space="0" w:color="FFFFFF"/>
              <w:right w:val="nil"/>
            </w:tcBorders>
            <w:shd w:val="clear" w:color="000000" w:fill="D9D9D9"/>
            <w:vAlign w:val="center"/>
            <w:hideMark/>
          </w:tcPr>
          <w:p w14:paraId="07DF5CCC"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Change in gross debt </w:t>
            </w:r>
          </w:p>
        </w:tc>
        <w:tc>
          <w:tcPr>
            <w:tcW w:w="1134" w:type="dxa"/>
            <w:tcBorders>
              <w:top w:val="nil"/>
              <w:left w:val="nil"/>
              <w:bottom w:val="single" w:sz="4" w:space="0" w:color="FFFFFF"/>
              <w:right w:val="nil"/>
            </w:tcBorders>
            <w:shd w:val="clear" w:color="000000" w:fill="D9D9D9"/>
            <w:vAlign w:val="center"/>
            <w:hideMark/>
          </w:tcPr>
          <w:p w14:paraId="1EF7C4F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single" w:sz="4" w:space="0" w:color="FFFFFF"/>
            </w:tcBorders>
            <w:shd w:val="clear" w:color="000000" w:fill="D9D9D9"/>
            <w:vAlign w:val="center"/>
            <w:hideMark/>
          </w:tcPr>
          <w:p w14:paraId="224D17AC"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-0.1</w:t>
            </w:r>
          </w:p>
        </w:tc>
        <w:tc>
          <w:tcPr>
            <w:tcW w:w="718" w:type="dxa"/>
            <w:tcBorders>
              <w:top w:val="nil"/>
              <w:left w:val="nil"/>
              <w:bottom w:val="single" w:sz="4" w:space="0" w:color="FFFFFF"/>
              <w:right w:val="nil"/>
            </w:tcBorders>
            <w:shd w:val="clear" w:color="000000" w:fill="D9D9D9"/>
            <w:vAlign w:val="center"/>
            <w:hideMark/>
          </w:tcPr>
          <w:p w14:paraId="0291DB5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-10.8</w:t>
            </w:r>
          </w:p>
        </w:tc>
        <w:tc>
          <w:tcPr>
            <w:tcW w:w="718" w:type="dxa"/>
            <w:tcBorders>
              <w:top w:val="nil"/>
              <w:left w:val="nil"/>
              <w:bottom w:val="single" w:sz="4" w:space="0" w:color="FFFFFF"/>
              <w:right w:val="nil"/>
            </w:tcBorders>
            <w:shd w:val="clear" w:color="000000" w:fill="D9D9D9"/>
            <w:vAlign w:val="center"/>
            <w:hideMark/>
          </w:tcPr>
          <w:p w14:paraId="3098080C"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-8.2</w:t>
            </w:r>
          </w:p>
        </w:tc>
        <w:tc>
          <w:tcPr>
            <w:tcW w:w="718" w:type="dxa"/>
            <w:tcBorders>
              <w:top w:val="nil"/>
              <w:left w:val="nil"/>
              <w:bottom w:val="single" w:sz="4" w:space="0" w:color="FFFFFF"/>
              <w:right w:val="nil"/>
            </w:tcBorders>
            <w:shd w:val="clear" w:color="000000" w:fill="D9D9D9"/>
            <w:vAlign w:val="center"/>
            <w:hideMark/>
          </w:tcPr>
          <w:p w14:paraId="537988B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-4.6</w:t>
            </w:r>
          </w:p>
        </w:tc>
        <w:tc>
          <w:tcPr>
            <w:tcW w:w="718" w:type="dxa"/>
            <w:tcBorders>
              <w:top w:val="nil"/>
              <w:left w:val="nil"/>
              <w:bottom w:val="single" w:sz="4" w:space="0" w:color="FFFFFF"/>
              <w:right w:val="nil"/>
            </w:tcBorders>
            <w:shd w:val="clear" w:color="000000" w:fill="D9D9D9"/>
            <w:vAlign w:val="center"/>
            <w:hideMark/>
          </w:tcPr>
          <w:p w14:paraId="787F4CA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-6.1</w:t>
            </w:r>
          </w:p>
        </w:tc>
        <w:tc>
          <w:tcPr>
            <w:tcW w:w="718" w:type="dxa"/>
            <w:tcBorders>
              <w:top w:val="nil"/>
              <w:left w:val="nil"/>
              <w:bottom w:val="single" w:sz="4" w:space="0" w:color="FFFFFF"/>
              <w:right w:val="nil"/>
            </w:tcBorders>
            <w:shd w:val="clear" w:color="000000" w:fill="D9D9D9"/>
            <w:vAlign w:val="center"/>
            <w:hideMark/>
          </w:tcPr>
          <w:p w14:paraId="46AC203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-5.0</w:t>
            </w:r>
          </w:p>
        </w:tc>
        <w:tc>
          <w:tcPr>
            <w:tcW w:w="718" w:type="dxa"/>
            <w:tcBorders>
              <w:top w:val="nil"/>
              <w:left w:val="nil"/>
              <w:bottom w:val="single" w:sz="4" w:space="0" w:color="FFFFFF"/>
              <w:right w:val="nil"/>
            </w:tcBorders>
            <w:shd w:val="clear" w:color="000000" w:fill="D9D9D9"/>
            <w:vAlign w:val="center"/>
            <w:hideMark/>
          </w:tcPr>
          <w:p w14:paraId="545BF84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-4.7</w:t>
            </w:r>
          </w:p>
        </w:tc>
      </w:tr>
      <w:tr w:rsidR="00326448" w:rsidRPr="00314E94" w14:paraId="095BB5C4"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3EFBAA3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37</w:t>
            </w:r>
          </w:p>
        </w:tc>
        <w:tc>
          <w:tcPr>
            <w:tcW w:w="2395" w:type="dxa"/>
            <w:tcBorders>
              <w:top w:val="nil"/>
              <w:left w:val="nil"/>
              <w:bottom w:val="single" w:sz="4" w:space="0" w:color="FFFFFF"/>
              <w:right w:val="nil"/>
            </w:tcBorders>
            <w:shd w:val="clear" w:color="000000" w:fill="F2F2F2"/>
            <w:vAlign w:val="center"/>
            <w:hideMark/>
          </w:tcPr>
          <w:p w14:paraId="57BE1C6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Contributions to changes in gross debt </w:t>
            </w:r>
          </w:p>
        </w:tc>
        <w:tc>
          <w:tcPr>
            <w:tcW w:w="1134" w:type="dxa"/>
            <w:tcBorders>
              <w:top w:val="nil"/>
              <w:left w:val="nil"/>
              <w:bottom w:val="single" w:sz="4" w:space="0" w:color="FFFFFF"/>
            </w:tcBorders>
            <w:shd w:val="clear" w:color="000000" w:fill="F2F2F2"/>
            <w:vAlign w:val="center"/>
            <w:hideMark/>
          </w:tcPr>
          <w:p w14:paraId="33558BF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single" w:sz="4" w:space="0" w:color="FFFFFF"/>
              <w:bottom w:val="single" w:sz="4" w:space="0" w:color="FFFFFF"/>
            </w:tcBorders>
            <w:shd w:val="clear" w:color="000000" w:fill="F2F2F2"/>
            <w:vAlign w:val="center"/>
            <w:hideMark/>
          </w:tcPr>
          <w:p w14:paraId="73E8558E"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4" w:space="0" w:color="FFFFFF"/>
              <w:right w:val="nil"/>
            </w:tcBorders>
            <w:shd w:val="clear" w:color="000000" w:fill="F2F2F2"/>
            <w:vAlign w:val="center"/>
            <w:hideMark/>
          </w:tcPr>
          <w:p w14:paraId="332710F6"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000000" w:fill="F2F2F2"/>
            <w:vAlign w:val="center"/>
            <w:hideMark/>
          </w:tcPr>
          <w:p w14:paraId="7CC28840"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000000" w:fill="F2F2F2"/>
            <w:vAlign w:val="center"/>
            <w:hideMark/>
          </w:tcPr>
          <w:p w14:paraId="4DF20C1D"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000000" w:fill="F2F2F2"/>
            <w:vAlign w:val="center"/>
            <w:hideMark/>
          </w:tcPr>
          <w:p w14:paraId="59C7A0F5"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000000" w:fill="F2F2F2"/>
            <w:vAlign w:val="center"/>
            <w:hideMark/>
          </w:tcPr>
          <w:p w14:paraId="5A76AA79" w14:textId="77777777" w:rsidR="00326448" w:rsidRPr="005E057C" w:rsidRDefault="00326448" w:rsidP="00861B0D">
            <w:pPr>
              <w:pStyle w:val="Tabletext"/>
              <w:spacing w:line="200" w:lineRule="exact"/>
              <w:jc w:val="center"/>
              <w:rPr>
                <w:rFonts w:cs="Calibri"/>
                <w:sz w:val="20"/>
                <w:szCs w:val="20"/>
              </w:rPr>
            </w:pPr>
          </w:p>
        </w:tc>
        <w:tc>
          <w:tcPr>
            <w:tcW w:w="718" w:type="dxa"/>
            <w:tcBorders>
              <w:top w:val="nil"/>
              <w:left w:val="nil"/>
              <w:bottom w:val="single" w:sz="4" w:space="0" w:color="FFFFFF"/>
              <w:right w:val="nil"/>
            </w:tcBorders>
            <w:shd w:val="clear" w:color="000000" w:fill="F2F2F2"/>
            <w:vAlign w:val="center"/>
            <w:hideMark/>
          </w:tcPr>
          <w:p w14:paraId="1576CB23" w14:textId="77777777" w:rsidR="00326448" w:rsidRPr="005E057C" w:rsidRDefault="00326448" w:rsidP="00861B0D">
            <w:pPr>
              <w:pStyle w:val="Tabletext"/>
              <w:spacing w:line="200" w:lineRule="exact"/>
              <w:jc w:val="center"/>
              <w:rPr>
                <w:rFonts w:cs="Calibri"/>
                <w:sz w:val="20"/>
                <w:szCs w:val="20"/>
              </w:rPr>
            </w:pPr>
          </w:p>
        </w:tc>
      </w:tr>
      <w:tr w:rsidR="00326448" w:rsidRPr="005E057C" w14:paraId="565D50B7"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1E58CE9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38</w:t>
            </w:r>
          </w:p>
        </w:tc>
        <w:tc>
          <w:tcPr>
            <w:tcW w:w="3529" w:type="dxa"/>
            <w:gridSpan w:val="2"/>
            <w:tcBorders>
              <w:top w:val="nil"/>
              <w:left w:val="nil"/>
              <w:bottom w:val="single" w:sz="4" w:space="0" w:color="FFFFFF"/>
              <w:right w:val="nil"/>
            </w:tcBorders>
            <w:shd w:val="clear" w:color="000000" w:fill="D9D9D9"/>
            <w:vAlign w:val="center"/>
            <w:hideMark/>
          </w:tcPr>
          <w:p w14:paraId="4FFA14A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Primary balance (= minus 32) </w:t>
            </w:r>
          </w:p>
        </w:tc>
        <w:tc>
          <w:tcPr>
            <w:tcW w:w="718" w:type="dxa"/>
            <w:tcBorders>
              <w:top w:val="nil"/>
              <w:left w:val="nil"/>
              <w:bottom w:val="single" w:sz="4" w:space="0" w:color="FFFFFF"/>
              <w:right w:val="nil"/>
            </w:tcBorders>
            <w:shd w:val="clear" w:color="000000" w:fill="D9D9D9"/>
            <w:vAlign w:val="center"/>
            <w:hideMark/>
          </w:tcPr>
          <w:p w14:paraId="47F815E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136E003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-1.9</w:t>
            </w:r>
          </w:p>
        </w:tc>
        <w:tc>
          <w:tcPr>
            <w:tcW w:w="718" w:type="dxa"/>
            <w:tcBorders>
              <w:top w:val="nil"/>
              <w:left w:val="nil"/>
              <w:bottom w:val="single" w:sz="4" w:space="0" w:color="FFFFFF"/>
              <w:right w:val="nil"/>
            </w:tcBorders>
            <w:shd w:val="clear" w:color="000000" w:fill="D9D9D9"/>
            <w:vAlign w:val="center"/>
            <w:hideMark/>
          </w:tcPr>
          <w:p w14:paraId="7E0AECA8"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bottom w:val="single" w:sz="4" w:space="0" w:color="FFFFFF"/>
              <w:right w:val="nil"/>
            </w:tcBorders>
            <w:shd w:val="clear" w:color="000000" w:fill="D9D9D9"/>
            <w:vAlign w:val="center"/>
            <w:hideMark/>
          </w:tcPr>
          <w:p w14:paraId="0425EF7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-2.5</w:t>
            </w:r>
          </w:p>
        </w:tc>
        <w:tc>
          <w:tcPr>
            <w:tcW w:w="718" w:type="dxa"/>
            <w:tcBorders>
              <w:top w:val="nil"/>
              <w:left w:val="nil"/>
              <w:bottom w:val="single" w:sz="4" w:space="0" w:color="FFFFFF"/>
              <w:right w:val="nil"/>
            </w:tcBorders>
            <w:shd w:val="clear" w:color="000000" w:fill="D9D9D9"/>
            <w:vAlign w:val="center"/>
            <w:hideMark/>
          </w:tcPr>
          <w:p w14:paraId="3E6009E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bottom w:val="single" w:sz="4" w:space="0" w:color="FFFFFF"/>
              <w:right w:val="nil"/>
            </w:tcBorders>
            <w:shd w:val="clear" w:color="000000" w:fill="D9D9D9"/>
            <w:vAlign w:val="center"/>
            <w:hideMark/>
          </w:tcPr>
          <w:p w14:paraId="05680DA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c>
          <w:tcPr>
            <w:tcW w:w="718" w:type="dxa"/>
            <w:tcBorders>
              <w:top w:val="nil"/>
              <w:left w:val="nil"/>
              <w:bottom w:val="single" w:sz="4" w:space="0" w:color="FFFFFF"/>
              <w:right w:val="nil"/>
            </w:tcBorders>
            <w:shd w:val="clear" w:color="000000" w:fill="D9D9D9"/>
            <w:vAlign w:val="center"/>
            <w:hideMark/>
          </w:tcPr>
          <w:p w14:paraId="03E07E6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-2.4</w:t>
            </w:r>
          </w:p>
        </w:tc>
      </w:tr>
      <w:tr w:rsidR="00326448" w:rsidRPr="005E057C" w14:paraId="002E4815"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54EE5186"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39</w:t>
            </w:r>
          </w:p>
        </w:tc>
        <w:tc>
          <w:tcPr>
            <w:tcW w:w="2395" w:type="dxa"/>
            <w:tcBorders>
              <w:top w:val="nil"/>
              <w:left w:val="nil"/>
              <w:bottom w:val="single" w:sz="4" w:space="0" w:color="FFFFFF"/>
              <w:right w:val="nil"/>
            </w:tcBorders>
            <w:shd w:val="clear" w:color="000000" w:fill="F2F2F2"/>
            <w:vAlign w:val="center"/>
            <w:hideMark/>
          </w:tcPr>
          <w:p w14:paraId="55BA61B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Snowball effect </w:t>
            </w:r>
          </w:p>
        </w:tc>
        <w:tc>
          <w:tcPr>
            <w:tcW w:w="1134" w:type="dxa"/>
            <w:tcBorders>
              <w:top w:val="nil"/>
              <w:left w:val="nil"/>
              <w:bottom w:val="single" w:sz="4" w:space="0" w:color="FFFFFF"/>
              <w:right w:val="nil"/>
            </w:tcBorders>
            <w:shd w:val="clear" w:color="000000" w:fill="F2F2F2"/>
            <w:vAlign w:val="center"/>
            <w:hideMark/>
          </w:tcPr>
          <w:p w14:paraId="6A446440"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4" w:space="0" w:color="FFFFFF"/>
              <w:right w:val="nil"/>
            </w:tcBorders>
            <w:shd w:val="clear" w:color="000000" w:fill="F2F2F2"/>
            <w:vAlign w:val="center"/>
            <w:hideMark/>
          </w:tcPr>
          <w:p w14:paraId="5CC6EE3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F2F2F2"/>
            <w:vAlign w:val="center"/>
            <w:hideMark/>
          </w:tcPr>
          <w:p w14:paraId="56ADEE0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-7.3</w:t>
            </w:r>
          </w:p>
        </w:tc>
        <w:tc>
          <w:tcPr>
            <w:tcW w:w="718" w:type="dxa"/>
            <w:tcBorders>
              <w:top w:val="nil"/>
              <w:left w:val="nil"/>
              <w:bottom w:val="single" w:sz="4" w:space="0" w:color="FFFFFF"/>
              <w:right w:val="nil"/>
            </w:tcBorders>
            <w:shd w:val="clear" w:color="000000" w:fill="F2F2F2"/>
            <w:vAlign w:val="center"/>
            <w:hideMark/>
          </w:tcPr>
          <w:p w14:paraId="69915CE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-4.7</w:t>
            </w:r>
          </w:p>
        </w:tc>
        <w:tc>
          <w:tcPr>
            <w:tcW w:w="718" w:type="dxa"/>
            <w:tcBorders>
              <w:top w:val="nil"/>
              <w:left w:val="nil"/>
              <w:bottom w:val="single" w:sz="4" w:space="0" w:color="FFFFFF"/>
              <w:right w:val="nil"/>
            </w:tcBorders>
            <w:shd w:val="clear" w:color="000000" w:fill="F2F2F2"/>
            <w:vAlign w:val="center"/>
            <w:hideMark/>
          </w:tcPr>
          <w:p w14:paraId="08A60C5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top w:val="nil"/>
              <w:left w:val="nil"/>
              <w:bottom w:val="single" w:sz="4" w:space="0" w:color="FFFFFF"/>
              <w:right w:val="nil"/>
            </w:tcBorders>
            <w:shd w:val="clear" w:color="000000" w:fill="F2F2F2"/>
            <w:vAlign w:val="center"/>
            <w:hideMark/>
          </w:tcPr>
          <w:p w14:paraId="6535550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-2.8</w:t>
            </w:r>
          </w:p>
        </w:tc>
        <w:tc>
          <w:tcPr>
            <w:tcW w:w="718" w:type="dxa"/>
            <w:tcBorders>
              <w:top w:val="nil"/>
              <w:left w:val="nil"/>
              <w:bottom w:val="single" w:sz="4" w:space="0" w:color="FFFFFF"/>
              <w:right w:val="nil"/>
            </w:tcBorders>
            <w:shd w:val="clear" w:color="000000" w:fill="F2F2F2"/>
            <w:vAlign w:val="center"/>
            <w:hideMark/>
          </w:tcPr>
          <w:p w14:paraId="4A0CCAE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w:t>
            </w:r>
          </w:p>
        </w:tc>
        <w:tc>
          <w:tcPr>
            <w:tcW w:w="718" w:type="dxa"/>
            <w:tcBorders>
              <w:top w:val="nil"/>
              <w:left w:val="nil"/>
              <w:bottom w:val="single" w:sz="4" w:space="0" w:color="FFFFFF"/>
              <w:right w:val="nil"/>
            </w:tcBorders>
            <w:shd w:val="clear" w:color="000000" w:fill="F2F2F2"/>
            <w:vAlign w:val="center"/>
            <w:hideMark/>
          </w:tcPr>
          <w:p w14:paraId="67D20C4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-1.3</w:t>
            </w:r>
          </w:p>
        </w:tc>
      </w:tr>
      <w:tr w:rsidR="00326448" w:rsidRPr="005E057C" w14:paraId="1514C2E6"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0A8FEEE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40</w:t>
            </w:r>
          </w:p>
        </w:tc>
        <w:tc>
          <w:tcPr>
            <w:tcW w:w="3529" w:type="dxa"/>
            <w:gridSpan w:val="2"/>
            <w:tcBorders>
              <w:top w:val="nil"/>
              <w:left w:val="nil"/>
              <w:bottom w:val="single" w:sz="4" w:space="0" w:color="FFFFFF"/>
              <w:right w:val="nil"/>
            </w:tcBorders>
            <w:shd w:val="clear" w:color="000000" w:fill="D9D9D9"/>
            <w:vAlign w:val="center"/>
            <w:hideMark/>
          </w:tcPr>
          <w:p w14:paraId="4ECCB9E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Interest expenditure (= 14) </w:t>
            </w:r>
          </w:p>
        </w:tc>
        <w:tc>
          <w:tcPr>
            <w:tcW w:w="718" w:type="dxa"/>
            <w:tcBorders>
              <w:top w:val="nil"/>
              <w:left w:val="nil"/>
              <w:bottom w:val="single" w:sz="4" w:space="0" w:color="FFFFFF"/>
              <w:right w:val="nil"/>
            </w:tcBorders>
            <w:shd w:val="clear" w:color="000000" w:fill="D9D9D9"/>
            <w:vAlign w:val="center"/>
            <w:hideMark/>
          </w:tcPr>
          <w:p w14:paraId="1F04E505"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19D2C30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top w:val="nil"/>
              <w:left w:val="nil"/>
              <w:bottom w:val="single" w:sz="4" w:space="0" w:color="FFFFFF"/>
              <w:right w:val="nil"/>
            </w:tcBorders>
            <w:shd w:val="clear" w:color="000000" w:fill="D9D9D9"/>
            <w:vAlign w:val="center"/>
            <w:hideMark/>
          </w:tcPr>
          <w:p w14:paraId="45902DE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3.4</w:t>
            </w:r>
          </w:p>
        </w:tc>
        <w:tc>
          <w:tcPr>
            <w:tcW w:w="718" w:type="dxa"/>
            <w:tcBorders>
              <w:top w:val="nil"/>
              <w:left w:val="nil"/>
              <w:bottom w:val="single" w:sz="4" w:space="0" w:color="FFFFFF"/>
              <w:right w:val="nil"/>
            </w:tcBorders>
            <w:shd w:val="clear" w:color="000000" w:fill="D9D9D9"/>
            <w:vAlign w:val="center"/>
            <w:hideMark/>
          </w:tcPr>
          <w:p w14:paraId="473D81E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3.2</w:t>
            </w:r>
          </w:p>
        </w:tc>
        <w:tc>
          <w:tcPr>
            <w:tcW w:w="718" w:type="dxa"/>
            <w:tcBorders>
              <w:top w:val="nil"/>
              <w:left w:val="nil"/>
              <w:bottom w:val="single" w:sz="4" w:space="0" w:color="FFFFFF"/>
              <w:right w:val="nil"/>
            </w:tcBorders>
            <w:shd w:val="clear" w:color="000000" w:fill="D9D9D9"/>
            <w:vAlign w:val="center"/>
            <w:hideMark/>
          </w:tcPr>
          <w:p w14:paraId="1DAE7C3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top w:val="nil"/>
              <w:left w:val="nil"/>
              <w:bottom w:val="single" w:sz="4" w:space="0" w:color="FFFFFF"/>
              <w:right w:val="nil"/>
            </w:tcBorders>
            <w:shd w:val="clear" w:color="000000" w:fill="D9D9D9"/>
            <w:vAlign w:val="center"/>
            <w:hideMark/>
          </w:tcPr>
          <w:p w14:paraId="49DF8A3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3.5</w:t>
            </w:r>
          </w:p>
        </w:tc>
        <w:tc>
          <w:tcPr>
            <w:tcW w:w="718" w:type="dxa"/>
            <w:tcBorders>
              <w:top w:val="nil"/>
              <w:left w:val="nil"/>
              <w:bottom w:val="single" w:sz="4" w:space="0" w:color="FFFFFF"/>
              <w:right w:val="nil"/>
            </w:tcBorders>
            <w:shd w:val="clear" w:color="000000" w:fill="D9D9D9"/>
            <w:vAlign w:val="center"/>
            <w:hideMark/>
          </w:tcPr>
          <w:p w14:paraId="1FC64A1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3.6</w:t>
            </w:r>
          </w:p>
        </w:tc>
      </w:tr>
      <w:tr w:rsidR="00326448" w:rsidRPr="005E057C" w14:paraId="5E74383F"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5885BF08"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41</w:t>
            </w:r>
          </w:p>
        </w:tc>
        <w:tc>
          <w:tcPr>
            <w:tcW w:w="2395" w:type="dxa"/>
            <w:tcBorders>
              <w:top w:val="nil"/>
              <w:left w:val="nil"/>
              <w:bottom w:val="single" w:sz="4" w:space="0" w:color="FFFFFF"/>
              <w:right w:val="nil"/>
            </w:tcBorders>
            <w:shd w:val="clear" w:color="000000" w:fill="F2F2F2"/>
            <w:vAlign w:val="center"/>
            <w:hideMark/>
          </w:tcPr>
          <w:p w14:paraId="1DFE68B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Growth </w:t>
            </w:r>
          </w:p>
        </w:tc>
        <w:tc>
          <w:tcPr>
            <w:tcW w:w="1134" w:type="dxa"/>
            <w:tcBorders>
              <w:top w:val="nil"/>
              <w:left w:val="nil"/>
              <w:bottom w:val="single" w:sz="4" w:space="0" w:color="FFFFFF"/>
              <w:right w:val="nil"/>
            </w:tcBorders>
            <w:shd w:val="clear" w:color="000000" w:fill="F2F2F2"/>
            <w:vAlign w:val="center"/>
            <w:hideMark/>
          </w:tcPr>
          <w:p w14:paraId="44039037"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4" w:space="0" w:color="FFFFFF"/>
              <w:right w:val="nil"/>
            </w:tcBorders>
            <w:shd w:val="clear" w:color="000000" w:fill="F2F2F2"/>
            <w:vAlign w:val="center"/>
            <w:hideMark/>
          </w:tcPr>
          <w:p w14:paraId="57C06B1D"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F2F2F2"/>
            <w:vAlign w:val="center"/>
            <w:hideMark/>
          </w:tcPr>
          <w:p w14:paraId="0BDA2F46"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top w:val="nil"/>
              <w:left w:val="nil"/>
              <w:bottom w:val="single" w:sz="4" w:space="0" w:color="FFFFFF"/>
              <w:right w:val="nil"/>
            </w:tcBorders>
            <w:shd w:val="clear" w:color="000000" w:fill="F2F2F2"/>
            <w:vAlign w:val="center"/>
            <w:hideMark/>
          </w:tcPr>
          <w:p w14:paraId="4C544DF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top w:val="nil"/>
              <w:left w:val="nil"/>
              <w:bottom w:val="single" w:sz="4" w:space="0" w:color="FFFFFF"/>
              <w:right w:val="nil"/>
            </w:tcBorders>
            <w:shd w:val="clear" w:color="000000" w:fill="F2F2F2"/>
            <w:vAlign w:val="center"/>
            <w:hideMark/>
          </w:tcPr>
          <w:p w14:paraId="593F1B9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top w:val="nil"/>
              <w:left w:val="nil"/>
              <w:bottom w:val="single" w:sz="4" w:space="0" w:color="FFFFFF"/>
              <w:right w:val="nil"/>
            </w:tcBorders>
            <w:shd w:val="clear" w:color="000000" w:fill="F2F2F2"/>
            <w:vAlign w:val="center"/>
            <w:hideMark/>
          </w:tcPr>
          <w:p w14:paraId="65139361"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-2.8</w:t>
            </w:r>
          </w:p>
        </w:tc>
        <w:tc>
          <w:tcPr>
            <w:tcW w:w="718" w:type="dxa"/>
            <w:tcBorders>
              <w:top w:val="nil"/>
              <w:left w:val="nil"/>
              <w:bottom w:val="single" w:sz="4" w:space="0" w:color="FFFFFF"/>
              <w:right w:val="nil"/>
            </w:tcBorders>
            <w:shd w:val="clear" w:color="000000" w:fill="F2F2F2"/>
            <w:vAlign w:val="center"/>
            <w:hideMark/>
          </w:tcPr>
          <w:p w14:paraId="3B09CA4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-2.0</w:t>
            </w:r>
          </w:p>
        </w:tc>
        <w:tc>
          <w:tcPr>
            <w:tcW w:w="718" w:type="dxa"/>
            <w:tcBorders>
              <w:top w:val="nil"/>
              <w:left w:val="nil"/>
              <w:bottom w:val="single" w:sz="4" w:space="0" w:color="FFFFFF"/>
              <w:right w:val="nil"/>
            </w:tcBorders>
            <w:shd w:val="clear" w:color="000000" w:fill="F2F2F2"/>
            <w:vAlign w:val="center"/>
            <w:hideMark/>
          </w:tcPr>
          <w:p w14:paraId="01A2D28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-1.7</w:t>
            </w:r>
          </w:p>
        </w:tc>
      </w:tr>
      <w:tr w:rsidR="00326448" w:rsidRPr="005E057C" w14:paraId="49A9E24D"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D9D9D9"/>
            <w:vAlign w:val="center"/>
            <w:hideMark/>
          </w:tcPr>
          <w:p w14:paraId="2B9EBE9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42</w:t>
            </w:r>
          </w:p>
        </w:tc>
        <w:tc>
          <w:tcPr>
            <w:tcW w:w="2395" w:type="dxa"/>
            <w:tcBorders>
              <w:top w:val="nil"/>
              <w:left w:val="nil"/>
              <w:bottom w:val="single" w:sz="4" w:space="0" w:color="FFFFFF"/>
              <w:right w:val="nil"/>
            </w:tcBorders>
            <w:shd w:val="clear" w:color="000000" w:fill="D9D9D9"/>
            <w:vAlign w:val="center"/>
            <w:hideMark/>
          </w:tcPr>
          <w:p w14:paraId="0402E69A"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Inflation </w:t>
            </w:r>
          </w:p>
        </w:tc>
        <w:tc>
          <w:tcPr>
            <w:tcW w:w="1134" w:type="dxa"/>
            <w:tcBorders>
              <w:top w:val="nil"/>
              <w:left w:val="nil"/>
              <w:bottom w:val="single" w:sz="4" w:space="0" w:color="FFFFFF"/>
              <w:right w:val="nil"/>
            </w:tcBorders>
            <w:shd w:val="clear" w:color="000000" w:fill="D9D9D9"/>
            <w:vAlign w:val="center"/>
            <w:hideMark/>
          </w:tcPr>
          <w:p w14:paraId="7E554E73"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4" w:space="0" w:color="FFFFFF"/>
              <w:right w:val="nil"/>
            </w:tcBorders>
            <w:shd w:val="clear" w:color="000000" w:fill="D9D9D9"/>
            <w:vAlign w:val="center"/>
            <w:hideMark/>
          </w:tcPr>
          <w:p w14:paraId="29AF8DE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D9D9D9"/>
            <w:vAlign w:val="center"/>
            <w:hideMark/>
          </w:tcPr>
          <w:p w14:paraId="4EE4E2EA"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-7.5</w:t>
            </w:r>
          </w:p>
        </w:tc>
        <w:tc>
          <w:tcPr>
            <w:tcW w:w="718" w:type="dxa"/>
            <w:tcBorders>
              <w:top w:val="nil"/>
              <w:left w:val="nil"/>
              <w:bottom w:val="single" w:sz="4" w:space="0" w:color="FFFFFF"/>
              <w:right w:val="nil"/>
            </w:tcBorders>
            <w:shd w:val="clear" w:color="000000" w:fill="D9D9D9"/>
            <w:vAlign w:val="center"/>
            <w:hideMark/>
          </w:tcPr>
          <w:p w14:paraId="3DE203B9"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-4.8</w:t>
            </w:r>
          </w:p>
        </w:tc>
        <w:tc>
          <w:tcPr>
            <w:tcW w:w="718" w:type="dxa"/>
            <w:tcBorders>
              <w:top w:val="nil"/>
              <w:left w:val="nil"/>
              <w:bottom w:val="single" w:sz="4" w:space="0" w:color="FFFFFF"/>
              <w:right w:val="nil"/>
            </w:tcBorders>
            <w:shd w:val="clear" w:color="000000" w:fill="D9D9D9"/>
            <w:vAlign w:val="center"/>
            <w:hideMark/>
          </w:tcPr>
          <w:p w14:paraId="22B5AC72"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-3.4</w:t>
            </w:r>
          </w:p>
        </w:tc>
        <w:tc>
          <w:tcPr>
            <w:tcW w:w="718" w:type="dxa"/>
            <w:tcBorders>
              <w:top w:val="nil"/>
              <w:left w:val="nil"/>
              <w:bottom w:val="single" w:sz="4" w:space="0" w:color="FFFFFF"/>
              <w:right w:val="nil"/>
            </w:tcBorders>
            <w:shd w:val="clear" w:color="000000" w:fill="D9D9D9"/>
            <w:vAlign w:val="center"/>
            <w:hideMark/>
          </w:tcPr>
          <w:p w14:paraId="2EA55BE5"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-3.3</w:t>
            </w:r>
          </w:p>
        </w:tc>
        <w:tc>
          <w:tcPr>
            <w:tcW w:w="718" w:type="dxa"/>
            <w:tcBorders>
              <w:top w:val="nil"/>
              <w:left w:val="nil"/>
              <w:bottom w:val="single" w:sz="4" w:space="0" w:color="FFFFFF"/>
              <w:right w:val="nil"/>
            </w:tcBorders>
            <w:shd w:val="clear" w:color="000000" w:fill="D9D9D9"/>
            <w:vAlign w:val="center"/>
            <w:hideMark/>
          </w:tcPr>
          <w:p w14:paraId="18C328C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-3.2</w:t>
            </w:r>
          </w:p>
        </w:tc>
        <w:tc>
          <w:tcPr>
            <w:tcW w:w="718" w:type="dxa"/>
            <w:tcBorders>
              <w:top w:val="nil"/>
              <w:left w:val="nil"/>
              <w:bottom w:val="single" w:sz="4" w:space="0" w:color="FFFFFF"/>
              <w:right w:val="nil"/>
            </w:tcBorders>
            <w:shd w:val="clear" w:color="000000" w:fill="D9D9D9"/>
            <w:vAlign w:val="center"/>
            <w:hideMark/>
          </w:tcPr>
          <w:p w14:paraId="1200F453"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-3.2</w:t>
            </w:r>
          </w:p>
        </w:tc>
      </w:tr>
      <w:tr w:rsidR="00326448" w:rsidRPr="005E057C" w14:paraId="1DC2ACFB" w14:textId="77777777" w:rsidTr="00E507D5">
        <w:trPr>
          <w:trHeight w:val="300"/>
          <w:jc w:val="center"/>
        </w:trPr>
        <w:tc>
          <w:tcPr>
            <w:tcW w:w="440" w:type="dxa"/>
            <w:tcBorders>
              <w:top w:val="nil"/>
              <w:left w:val="single" w:sz="2" w:space="0" w:color="FFFFFF" w:themeColor="background1"/>
              <w:bottom w:val="single" w:sz="4" w:space="0" w:color="FFFFFF"/>
              <w:right w:val="nil"/>
            </w:tcBorders>
            <w:shd w:val="clear" w:color="000000" w:fill="F2F2F2"/>
            <w:vAlign w:val="center"/>
            <w:hideMark/>
          </w:tcPr>
          <w:p w14:paraId="155B8F1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43</w:t>
            </w:r>
          </w:p>
        </w:tc>
        <w:tc>
          <w:tcPr>
            <w:tcW w:w="2395" w:type="dxa"/>
            <w:tcBorders>
              <w:top w:val="nil"/>
              <w:left w:val="nil"/>
              <w:bottom w:val="single" w:sz="4" w:space="0" w:color="FFFFFF"/>
              <w:right w:val="nil"/>
            </w:tcBorders>
            <w:shd w:val="clear" w:color="000000" w:fill="F2F2F2"/>
            <w:vAlign w:val="center"/>
            <w:hideMark/>
          </w:tcPr>
          <w:p w14:paraId="748E685B" w14:textId="77777777" w:rsidR="00326448" w:rsidRDefault="00326448" w:rsidP="00861B0D">
            <w:pPr>
              <w:pStyle w:val="Tabletext"/>
              <w:spacing w:line="200" w:lineRule="exact"/>
              <w:rPr>
                <w:rFonts w:cs="Calibri"/>
                <w:sz w:val="20"/>
                <w:szCs w:val="20"/>
              </w:rPr>
            </w:pPr>
            <w:r w:rsidRPr="005E057C">
              <w:rPr>
                <w:rFonts w:cs="Calibri"/>
                <w:sz w:val="20"/>
                <w:szCs w:val="20"/>
              </w:rPr>
              <w:t xml:space="preserve">Stock-flow adjustment </w:t>
            </w:r>
          </w:p>
          <w:p w14:paraId="164671E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xml:space="preserve">(= 36-38-39) </w:t>
            </w:r>
          </w:p>
        </w:tc>
        <w:tc>
          <w:tcPr>
            <w:tcW w:w="1134" w:type="dxa"/>
            <w:tcBorders>
              <w:top w:val="nil"/>
              <w:left w:val="nil"/>
              <w:bottom w:val="single" w:sz="4" w:space="0" w:color="FFFFFF"/>
              <w:right w:val="nil"/>
            </w:tcBorders>
            <w:shd w:val="clear" w:color="000000" w:fill="F2F2F2"/>
            <w:vAlign w:val="center"/>
            <w:hideMark/>
          </w:tcPr>
          <w:p w14:paraId="278D8F81"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4" w:space="0" w:color="FFFFFF"/>
              <w:right w:val="nil"/>
            </w:tcBorders>
            <w:shd w:val="clear" w:color="000000" w:fill="F2F2F2"/>
            <w:vAlign w:val="center"/>
            <w:hideMark/>
          </w:tcPr>
          <w:p w14:paraId="7CC70BBF"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4" w:space="0" w:color="FFFFFF"/>
              <w:right w:val="nil"/>
            </w:tcBorders>
            <w:shd w:val="clear" w:color="000000" w:fill="F2F2F2"/>
            <w:vAlign w:val="center"/>
            <w:hideMark/>
          </w:tcPr>
          <w:p w14:paraId="7B1A8DF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-1.6</w:t>
            </w:r>
          </w:p>
        </w:tc>
        <w:tc>
          <w:tcPr>
            <w:tcW w:w="718" w:type="dxa"/>
            <w:tcBorders>
              <w:top w:val="nil"/>
              <w:left w:val="nil"/>
              <w:bottom w:val="single" w:sz="4" w:space="0" w:color="FFFFFF"/>
              <w:right w:val="nil"/>
            </w:tcBorders>
            <w:shd w:val="clear" w:color="000000" w:fill="F2F2F2"/>
            <w:vAlign w:val="center"/>
            <w:hideMark/>
          </w:tcPr>
          <w:p w14:paraId="44C4B55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-1.1</w:t>
            </w:r>
          </w:p>
        </w:tc>
        <w:tc>
          <w:tcPr>
            <w:tcW w:w="718" w:type="dxa"/>
            <w:tcBorders>
              <w:top w:val="nil"/>
              <w:left w:val="nil"/>
              <w:bottom w:val="single" w:sz="4" w:space="0" w:color="FFFFFF"/>
              <w:right w:val="nil"/>
            </w:tcBorders>
            <w:shd w:val="clear" w:color="000000" w:fill="F2F2F2"/>
            <w:vAlign w:val="center"/>
            <w:hideMark/>
          </w:tcPr>
          <w:p w14:paraId="496C98A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1.5</w:t>
            </w:r>
          </w:p>
        </w:tc>
        <w:tc>
          <w:tcPr>
            <w:tcW w:w="718" w:type="dxa"/>
            <w:tcBorders>
              <w:top w:val="nil"/>
              <w:left w:val="nil"/>
              <w:bottom w:val="single" w:sz="4" w:space="0" w:color="FFFFFF"/>
              <w:right w:val="nil"/>
            </w:tcBorders>
            <w:shd w:val="clear" w:color="000000" w:fill="F2F2F2"/>
            <w:vAlign w:val="center"/>
            <w:hideMark/>
          </w:tcPr>
          <w:p w14:paraId="6629094B"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-0.8</w:t>
            </w:r>
          </w:p>
        </w:tc>
        <w:tc>
          <w:tcPr>
            <w:tcW w:w="718" w:type="dxa"/>
            <w:tcBorders>
              <w:top w:val="nil"/>
              <w:left w:val="nil"/>
              <w:bottom w:val="single" w:sz="4" w:space="0" w:color="FFFFFF"/>
              <w:right w:val="nil"/>
            </w:tcBorders>
            <w:shd w:val="clear" w:color="000000" w:fill="F2F2F2"/>
            <w:vAlign w:val="center"/>
            <w:hideMark/>
          </w:tcPr>
          <w:p w14:paraId="4F567F27"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-0.9</w:t>
            </w:r>
          </w:p>
        </w:tc>
        <w:tc>
          <w:tcPr>
            <w:tcW w:w="718" w:type="dxa"/>
            <w:tcBorders>
              <w:top w:val="nil"/>
              <w:left w:val="nil"/>
              <w:bottom w:val="single" w:sz="4" w:space="0" w:color="FFFFFF"/>
              <w:right w:val="nil"/>
            </w:tcBorders>
            <w:shd w:val="clear" w:color="000000" w:fill="F2F2F2"/>
            <w:vAlign w:val="center"/>
            <w:hideMark/>
          </w:tcPr>
          <w:p w14:paraId="4458CD24"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-1.0</w:t>
            </w:r>
          </w:p>
        </w:tc>
      </w:tr>
      <w:tr w:rsidR="00326448" w:rsidRPr="005B5DA9" w14:paraId="688757A4" w14:textId="77777777" w:rsidTr="00E507D5">
        <w:trPr>
          <w:trHeight w:val="300"/>
          <w:jc w:val="center"/>
        </w:trPr>
        <w:tc>
          <w:tcPr>
            <w:tcW w:w="440" w:type="dxa"/>
            <w:tcBorders>
              <w:top w:val="nil"/>
              <w:left w:val="single" w:sz="2" w:space="0" w:color="FFFFFF" w:themeColor="background1"/>
              <w:right w:val="nil"/>
            </w:tcBorders>
            <w:shd w:val="clear" w:color="000000" w:fill="BFBFBF"/>
            <w:vAlign w:val="center"/>
            <w:hideMark/>
          </w:tcPr>
          <w:p w14:paraId="5072D6ED"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2395" w:type="dxa"/>
            <w:tcBorders>
              <w:top w:val="nil"/>
              <w:left w:val="nil"/>
              <w:right w:val="nil"/>
            </w:tcBorders>
            <w:shd w:val="clear" w:color="000000" w:fill="BFBFBF"/>
            <w:vAlign w:val="center"/>
            <w:hideMark/>
          </w:tcPr>
          <w:p w14:paraId="60AC0F59"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1134" w:type="dxa"/>
            <w:tcBorders>
              <w:top w:val="nil"/>
              <w:left w:val="nil"/>
              <w:right w:val="nil"/>
            </w:tcBorders>
            <w:shd w:val="clear" w:color="000000" w:fill="BFBFBF"/>
            <w:vAlign w:val="center"/>
            <w:hideMark/>
          </w:tcPr>
          <w:p w14:paraId="43D5AD96"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718" w:type="dxa"/>
            <w:tcBorders>
              <w:top w:val="nil"/>
              <w:left w:val="nil"/>
              <w:right w:val="nil"/>
            </w:tcBorders>
            <w:shd w:val="clear" w:color="000000" w:fill="BFBFBF"/>
            <w:vAlign w:val="center"/>
            <w:hideMark/>
          </w:tcPr>
          <w:p w14:paraId="77712EAD" w14:textId="77777777" w:rsidR="00326448" w:rsidRPr="005B5DA9" w:rsidRDefault="00326448" w:rsidP="00861B0D">
            <w:pPr>
              <w:pStyle w:val="Tabletext"/>
              <w:spacing w:line="200" w:lineRule="exact"/>
              <w:rPr>
                <w:b/>
                <w:sz w:val="20"/>
                <w:szCs w:val="20"/>
              </w:rPr>
            </w:pPr>
            <w:r w:rsidRPr="005B5DA9">
              <w:rPr>
                <w:b/>
                <w:sz w:val="20"/>
                <w:szCs w:val="20"/>
              </w:rPr>
              <w:t> </w:t>
            </w:r>
          </w:p>
        </w:tc>
        <w:tc>
          <w:tcPr>
            <w:tcW w:w="4308" w:type="dxa"/>
            <w:gridSpan w:val="6"/>
            <w:tcBorders>
              <w:top w:val="single" w:sz="4" w:space="0" w:color="FFFFFF"/>
              <w:left w:val="nil"/>
              <w:right w:val="nil"/>
            </w:tcBorders>
            <w:shd w:val="clear" w:color="000000" w:fill="BFBFBF"/>
            <w:vAlign w:val="center"/>
            <w:hideMark/>
          </w:tcPr>
          <w:p w14:paraId="4C18A539" w14:textId="77777777" w:rsidR="00326448" w:rsidRPr="005B5DA9" w:rsidRDefault="00326448" w:rsidP="00861B0D">
            <w:pPr>
              <w:pStyle w:val="Tabletext"/>
              <w:spacing w:line="200" w:lineRule="exact"/>
              <w:jc w:val="center"/>
              <w:rPr>
                <w:b/>
                <w:sz w:val="20"/>
                <w:szCs w:val="20"/>
              </w:rPr>
            </w:pPr>
            <w:r w:rsidRPr="005B5DA9">
              <w:rPr>
                <w:b/>
                <w:sz w:val="20"/>
                <w:szCs w:val="20"/>
              </w:rPr>
              <w:t>%</w:t>
            </w:r>
          </w:p>
        </w:tc>
      </w:tr>
      <w:tr w:rsidR="00326448" w:rsidRPr="005E057C" w14:paraId="1C9EB979" w14:textId="77777777" w:rsidTr="00E507D5">
        <w:trPr>
          <w:trHeight w:val="600"/>
          <w:jc w:val="center"/>
        </w:trPr>
        <w:tc>
          <w:tcPr>
            <w:tcW w:w="440" w:type="dxa"/>
            <w:tcBorders>
              <w:top w:val="nil"/>
              <w:left w:val="single" w:sz="2" w:space="0" w:color="FFFFFF" w:themeColor="background1"/>
              <w:bottom w:val="single" w:sz="18" w:space="0" w:color="4F81BD" w:themeColor="accent1"/>
              <w:right w:val="nil"/>
            </w:tcBorders>
            <w:shd w:val="clear" w:color="000000" w:fill="F2F2F2"/>
            <w:vAlign w:val="center"/>
            <w:hideMark/>
          </w:tcPr>
          <w:p w14:paraId="2B3A29E9"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44</w:t>
            </w:r>
          </w:p>
        </w:tc>
        <w:tc>
          <w:tcPr>
            <w:tcW w:w="2395" w:type="dxa"/>
            <w:tcBorders>
              <w:top w:val="nil"/>
              <w:left w:val="nil"/>
              <w:bottom w:val="single" w:sz="18" w:space="0" w:color="4F81BD" w:themeColor="accent1"/>
              <w:right w:val="nil"/>
            </w:tcBorders>
            <w:shd w:val="clear" w:color="000000" w:fill="F2F2F2"/>
            <w:vAlign w:val="center"/>
            <w:hideMark/>
          </w:tcPr>
          <w:p w14:paraId="7166A8BB" w14:textId="64E90309" w:rsidR="00326448" w:rsidRPr="005E057C" w:rsidRDefault="00326448" w:rsidP="00861B0D">
            <w:pPr>
              <w:pStyle w:val="Tabletext"/>
              <w:spacing w:line="200" w:lineRule="exact"/>
              <w:rPr>
                <w:rFonts w:cs="Calibri"/>
                <w:sz w:val="20"/>
                <w:szCs w:val="20"/>
              </w:rPr>
            </w:pPr>
            <w:r w:rsidRPr="005E057C">
              <w:rPr>
                <w:rFonts w:cs="Calibri"/>
                <w:sz w:val="20"/>
                <w:szCs w:val="20"/>
              </w:rPr>
              <w:t>p.m. Implicit interest rate on debt</w:t>
            </w:r>
          </w:p>
        </w:tc>
        <w:tc>
          <w:tcPr>
            <w:tcW w:w="1134" w:type="dxa"/>
            <w:tcBorders>
              <w:top w:val="nil"/>
              <w:left w:val="nil"/>
              <w:bottom w:val="single" w:sz="18" w:space="0" w:color="4F81BD" w:themeColor="accent1"/>
              <w:right w:val="nil"/>
            </w:tcBorders>
            <w:shd w:val="clear" w:color="000000" w:fill="F2F2F2"/>
            <w:vAlign w:val="center"/>
            <w:hideMark/>
          </w:tcPr>
          <w:p w14:paraId="0A640D0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nil"/>
              <w:bottom w:val="single" w:sz="18" w:space="0" w:color="4F81BD" w:themeColor="accent1"/>
              <w:right w:val="nil"/>
            </w:tcBorders>
            <w:shd w:val="clear" w:color="000000" w:fill="F2F2F2"/>
            <w:vAlign w:val="center"/>
            <w:hideMark/>
          </w:tcPr>
          <w:p w14:paraId="3B540854" w14:textId="77777777" w:rsidR="00326448" w:rsidRPr="005E057C" w:rsidRDefault="00326448" w:rsidP="00861B0D">
            <w:pPr>
              <w:pStyle w:val="Tabletext"/>
              <w:spacing w:line="200" w:lineRule="exact"/>
              <w:rPr>
                <w:rFonts w:cs="Calibri"/>
                <w:sz w:val="20"/>
                <w:szCs w:val="20"/>
              </w:rPr>
            </w:pPr>
            <w:r w:rsidRPr="005E057C">
              <w:rPr>
                <w:rFonts w:cs="Calibri"/>
                <w:sz w:val="20"/>
                <w:szCs w:val="20"/>
              </w:rPr>
              <w:t> </w:t>
            </w:r>
          </w:p>
        </w:tc>
        <w:tc>
          <w:tcPr>
            <w:tcW w:w="718" w:type="dxa"/>
            <w:tcBorders>
              <w:top w:val="nil"/>
              <w:left w:val="single" w:sz="4" w:space="0" w:color="FFFFFF"/>
              <w:bottom w:val="single" w:sz="18" w:space="0" w:color="4F81BD" w:themeColor="accent1"/>
              <w:right w:val="nil"/>
            </w:tcBorders>
            <w:shd w:val="clear" w:color="000000" w:fill="F2F2F2"/>
            <w:vAlign w:val="center"/>
            <w:hideMark/>
          </w:tcPr>
          <w:p w14:paraId="21D048FF"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2.1</w:t>
            </w:r>
          </w:p>
        </w:tc>
        <w:tc>
          <w:tcPr>
            <w:tcW w:w="718" w:type="dxa"/>
            <w:tcBorders>
              <w:top w:val="nil"/>
              <w:left w:val="nil"/>
              <w:bottom w:val="single" w:sz="18" w:space="0" w:color="4F81BD" w:themeColor="accent1"/>
              <w:right w:val="nil"/>
            </w:tcBorders>
            <w:shd w:val="clear" w:color="000000" w:fill="F2F2F2"/>
            <w:vAlign w:val="center"/>
            <w:hideMark/>
          </w:tcPr>
          <w:p w14:paraId="4E8D273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2.2</w:t>
            </w:r>
          </w:p>
        </w:tc>
        <w:tc>
          <w:tcPr>
            <w:tcW w:w="718" w:type="dxa"/>
            <w:tcBorders>
              <w:top w:val="nil"/>
              <w:left w:val="nil"/>
              <w:bottom w:val="single" w:sz="18" w:space="0" w:color="4F81BD" w:themeColor="accent1"/>
              <w:right w:val="nil"/>
            </w:tcBorders>
            <w:shd w:val="clear" w:color="000000" w:fill="F2F2F2"/>
            <w:vAlign w:val="center"/>
            <w:hideMark/>
          </w:tcPr>
          <w:p w14:paraId="18274FBD"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2.2</w:t>
            </w:r>
          </w:p>
        </w:tc>
        <w:tc>
          <w:tcPr>
            <w:tcW w:w="718" w:type="dxa"/>
            <w:tcBorders>
              <w:top w:val="nil"/>
              <w:left w:val="nil"/>
              <w:bottom w:val="single" w:sz="18" w:space="0" w:color="4F81BD" w:themeColor="accent1"/>
              <w:right w:val="nil"/>
            </w:tcBorders>
            <w:shd w:val="clear" w:color="000000" w:fill="F2F2F2"/>
            <w:vAlign w:val="center"/>
            <w:hideMark/>
          </w:tcPr>
          <w:p w14:paraId="372AD3D0"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2.3</w:t>
            </w:r>
          </w:p>
        </w:tc>
        <w:tc>
          <w:tcPr>
            <w:tcW w:w="718" w:type="dxa"/>
            <w:tcBorders>
              <w:top w:val="nil"/>
              <w:left w:val="nil"/>
              <w:bottom w:val="single" w:sz="18" w:space="0" w:color="4F81BD" w:themeColor="accent1"/>
              <w:right w:val="nil"/>
            </w:tcBorders>
            <w:shd w:val="clear" w:color="000000" w:fill="F2F2F2"/>
            <w:vAlign w:val="center"/>
            <w:hideMark/>
          </w:tcPr>
          <w:p w14:paraId="010C975A"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2.5</w:t>
            </w:r>
          </w:p>
        </w:tc>
        <w:tc>
          <w:tcPr>
            <w:tcW w:w="718" w:type="dxa"/>
            <w:tcBorders>
              <w:top w:val="nil"/>
              <w:left w:val="nil"/>
              <w:bottom w:val="single" w:sz="18" w:space="0" w:color="4F81BD" w:themeColor="accent1"/>
              <w:right w:val="nil"/>
            </w:tcBorders>
            <w:shd w:val="clear" w:color="000000" w:fill="F2F2F2"/>
            <w:vAlign w:val="center"/>
            <w:hideMark/>
          </w:tcPr>
          <w:p w14:paraId="5B17016E" w14:textId="77777777" w:rsidR="00326448" w:rsidRPr="005E057C" w:rsidRDefault="00326448" w:rsidP="00861B0D">
            <w:pPr>
              <w:pStyle w:val="Tabletext"/>
              <w:spacing w:line="200" w:lineRule="exact"/>
              <w:jc w:val="center"/>
              <w:rPr>
                <w:rFonts w:cs="Calibri"/>
                <w:sz w:val="20"/>
                <w:szCs w:val="20"/>
              </w:rPr>
            </w:pPr>
            <w:r w:rsidRPr="005E057C">
              <w:rPr>
                <w:rFonts w:cs="Calibri"/>
                <w:sz w:val="20"/>
                <w:szCs w:val="20"/>
              </w:rPr>
              <w:t>2.7</w:t>
            </w:r>
          </w:p>
        </w:tc>
      </w:tr>
    </w:tbl>
    <w:p w14:paraId="47707C6B" w14:textId="797A357C" w:rsidR="00776FBE" w:rsidRPr="00776FBE" w:rsidRDefault="00776FBE" w:rsidP="00C771E0">
      <w:pPr>
        <w:rPr>
          <w:lang w:val="en-US"/>
        </w:rPr>
      </w:pPr>
      <w:r w:rsidRPr="00776FBE">
        <w:rPr>
          <w:lang w:val="en-US"/>
        </w:rPr>
        <w:lastRenderedPageBreak/>
        <w:t xml:space="preserve">The Greek Authorities are actively promoting efficient management of public finances and </w:t>
      </w:r>
      <w:r w:rsidR="000F297E">
        <w:rPr>
          <w:lang w:val="en-US"/>
        </w:rPr>
        <w:t xml:space="preserve">economic </w:t>
      </w:r>
      <w:r w:rsidRPr="00776FBE">
        <w:rPr>
          <w:lang w:val="en-US"/>
        </w:rPr>
        <w:t xml:space="preserve">governance, alongside appropriate fiscal measures, to ensure both the essential fiscal space and the long-term sustainability of public finances. Furthermore, they aim to boost long-term output through investments and increased employment. These efforts are significantly bolstered through necessary reforms and investments under the Recovery and Resilience Plan (RRP). The overarching goal is to further enhance the underlying fiscal conditions and maintain the enhanced confidence achieved since 2019 among investors and financial markets. </w:t>
      </w:r>
    </w:p>
    <w:p w14:paraId="4161E891" w14:textId="78652D12" w:rsidR="00776FBE" w:rsidRPr="00776FBE" w:rsidRDefault="00776FBE" w:rsidP="00C771E0">
      <w:pPr>
        <w:rPr>
          <w:lang w:val="en-US"/>
        </w:rPr>
      </w:pPr>
      <w:r w:rsidRPr="00776FBE">
        <w:rPr>
          <w:lang w:val="en-US"/>
        </w:rPr>
        <w:t>The detailed analysis of reforms and investments is prese</w:t>
      </w:r>
      <w:r w:rsidRPr="00695A6D">
        <w:rPr>
          <w:lang w:val="en-US"/>
        </w:rPr>
        <w:t xml:space="preserve">nted in </w:t>
      </w:r>
      <w:r w:rsidR="00695A6D" w:rsidRPr="00695A6D">
        <w:rPr>
          <w:lang w:val="en-US"/>
        </w:rPr>
        <w:t>Annex I</w:t>
      </w:r>
      <w:r w:rsidRPr="00776FBE">
        <w:rPr>
          <w:lang w:val="en-US"/>
        </w:rPr>
        <w:t>. In the present section</w:t>
      </w:r>
      <w:r w:rsidR="00695A6D">
        <w:rPr>
          <w:lang w:val="en-US"/>
        </w:rPr>
        <w:t>,</w:t>
      </w:r>
      <w:r w:rsidRPr="00776FBE">
        <w:rPr>
          <w:lang w:val="en-US"/>
        </w:rPr>
        <w:t xml:space="preserve"> broad revenue and expenditure policies are discussed in relation to the fiscal palling under the framework of the MT</w:t>
      </w:r>
      <w:r w:rsidR="00127392">
        <w:rPr>
          <w:lang w:val="en-US"/>
        </w:rPr>
        <w:t>P</w:t>
      </w:r>
      <w:r w:rsidRPr="00776FBE">
        <w:rPr>
          <w:lang w:val="en-US"/>
        </w:rPr>
        <w:t xml:space="preserve">. </w:t>
      </w:r>
    </w:p>
    <w:p w14:paraId="6423D864" w14:textId="228BF337" w:rsidR="00776FBE" w:rsidRPr="00776FBE" w:rsidRDefault="00776FBE" w:rsidP="00C771E0">
      <w:pPr>
        <w:rPr>
          <w:lang w:val="en-US"/>
        </w:rPr>
      </w:pPr>
      <w:r w:rsidRPr="00776FBE">
        <w:rPr>
          <w:lang w:val="en-US"/>
        </w:rPr>
        <w:t xml:space="preserve">In this framework, the Greek Authorities have designed a comprehensive policy strategy, </w:t>
      </w:r>
      <w:r w:rsidR="00340738">
        <w:rPr>
          <w:lang w:val="en-US"/>
        </w:rPr>
        <w:t xml:space="preserve">which is </w:t>
      </w:r>
      <w:r w:rsidR="000B3B8A">
        <w:rPr>
          <w:lang w:val="en-US"/>
        </w:rPr>
        <w:t>l</w:t>
      </w:r>
      <w:r w:rsidR="00340738">
        <w:rPr>
          <w:lang w:val="en-US"/>
        </w:rPr>
        <w:t>in</w:t>
      </w:r>
      <w:r w:rsidR="000B3B8A">
        <w:rPr>
          <w:lang w:val="en-US"/>
        </w:rPr>
        <w:t>e</w:t>
      </w:r>
      <w:r w:rsidR="00340738">
        <w:rPr>
          <w:lang w:val="en-US"/>
        </w:rPr>
        <w:t xml:space="preserve"> </w:t>
      </w:r>
      <w:r w:rsidRPr="00776FBE">
        <w:rPr>
          <w:lang w:val="en-US"/>
        </w:rPr>
        <w:t xml:space="preserve">with the related fiscal </w:t>
      </w:r>
      <w:r w:rsidR="000B3B8A">
        <w:rPr>
          <w:lang w:val="en-US"/>
        </w:rPr>
        <w:t>boundary</w:t>
      </w:r>
      <w:r w:rsidRPr="00776FBE">
        <w:rPr>
          <w:lang w:val="en-US"/>
        </w:rPr>
        <w:t>. The policy strategy comprises of several measures, both in the side of expenses and revenue</w:t>
      </w:r>
      <w:r w:rsidR="00D46E58">
        <w:rPr>
          <w:lang w:val="en-US"/>
        </w:rPr>
        <w:t>s</w:t>
      </w:r>
      <w:r w:rsidRPr="00776FBE">
        <w:rPr>
          <w:lang w:val="en-US"/>
        </w:rPr>
        <w:t xml:space="preserve"> in a number of key policy areas, as described below. The main target is to support disposable income, investments and address present and future challenges such as climate change, geopolitical risks and demographic</w:t>
      </w:r>
      <w:r w:rsidR="00E830AE">
        <w:rPr>
          <w:lang w:val="en-US"/>
        </w:rPr>
        <w:t xml:space="preserve"> challenges</w:t>
      </w:r>
      <w:r w:rsidRPr="00776FBE">
        <w:rPr>
          <w:lang w:val="en-US"/>
        </w:rPr>
        <w:t xml:space="preserve"> within the framework of fiscal prudency. As will be evident from the description below</w:t>
      </w:r>
      <w:r w:rsidR="00D46E58">
        <w:rPr>
          <w:lang w:val="en-US"/>
        </w:rPr>
        <w:t>,</w:t>
      </w:r>
      <w:r w:rsidRPr="00776FBE">
        <w:rPr>
          <w:lang w:val="en-US"/>
        </w:rPr>
        <w:t xml:space="preserve"> the biggest part of expenses within the fiscal trajectory covers inelastic or urgent needs and measures with a significant reform impact and limited fiscal impact.</w:t>
      </w:r>
      <w:r w:rsidR="00941052">
        <w:rPr>
          <w:rStyle w:val="FootnoteReference"/>
          <w:lang w:val="en-US"/>
        </w:rPr>
        <w:footnoteReference w:id="1"/>
      </w:r>
      <w:r w:rsidRPr="00776FBE">
        <w:rPr>
          <w:lang w:val="en-US"/>
        </w:rPr>
        <w:t xml:space="preserve"> This is coherent with the country’s dedication on structural changes.</w:t>
      </w:r>
    </w:p>
    <w:p w14:paraId="59256487" w14:textId="7A4149C4" w:rsidR="00776FBE" w:rsidRPr="00776FBE" w:rsidRDefault="00776FBE" w:rsidP="00C771E0">
      <w:pPr>
        <w:rPr>
          <w:lang w:val="en-US"/>
        </w:rPr>
      </w:pPr>
      <w:r w:rsidRPr="00776FBE">
        <w:rPr>
          <w:lang w:val="en-US"/>
        </w:rPr>
        <w:t>In view of the net expenditure path that allows an average annual increase of up to 3.3% and given th</w:t>
      </w:r>
      <w:r w:rsidR="00B12127">
        <w:rPr>
          <w:lang w:val="en-US"/>
        </w:rPr>
        <w:t>e</w:t>
      </w:r>
      <w:r w:rsidRPr="00776FBE">
        <w:rPr>
          <w:lang w:val="en-US"/>
        </w:rPr>
        <w:t xml:space="preserve"> current level of the general government (GG) net expenditure, the average annual increase over the medium term is estimated to about </w:t>
      </w:r>
      <w:r w:rsidR="001C7DBC">
        <w:rPr>
          <w:lang w:val="en-US"/>
        </w:rPr>
        <w:t>€</w:t>
      </w:r>
      <w:r w:rsidRPr="00776FBE">
        <w:rPr>
          <w:lang w:val="en-US"/>
        </w:rPr>
        <w:t xml:space="preserve">3.5 billion. </w:t>
      </w:r>
    </w:p>
    <w:p w14:paraId="0A8E6F08" w14:textId="30E1DABC" w:rsidR="00776FBE" w:rsidRPr="00776FBE" w:rsidRDefault="00776FBE" w:rsidP="00C771E0">
      <w:pPr>
        <w:rPr>
          <w:lang w:val="en-US"/>
        </w:rPr>
      </w:pPr>
      <w:r w:rsidRPr="00776FBE">
        <w:rPr>
          <w:lang w:val="en-US"/>
        </w:rPr>
        <w:t xml:space="preserve">The typical annual increase in GG expenses without new measures is estimated to about </w:t>
      </w:r>
      <w:r w:rsidR="00F824BD">
        <w:rPr>
          <w:lang w:val="en-US"/>
        </w:rPr>
        <w:t>€</w:t>
      </w:r>
      <w:r w:rsidRPr="00776FBE">
        <w:rPr>
          <w:lang w:val="en-US"/>
        </w:rPr>
        <w:t xml:space="preserve">2 billion, from which about </w:t>
      </w:r>
      <w:r w:rsidR="00F824BD">
        <w:rPr>
          <w:lang w:val="en-US"/>
        </w:rPr>
        <w:t>€</w:t>
      </w:r>
      <w:r w:rsidRPr="00776FBE">
        <w:rPr>
          <w:lang w:val="en-US"/>
        </w:rPr>
        <w:t xml:space="preserve">1 billion is the annual increase of operational expenses of the GG entities following the inflation and related obligations (i.e. electricity costs, renting, fuels, maintenance costs, international agreements and contributions costs, as well as pharmaceutical and hospital materials spending) and about </w:t>
      </w:r>
      <w:r w:rsidR="001A52C4">
        <w:rPr>
          <w:lang w:val="en-US"/>
        </w:rPr>
        <w:t>€</w:t>
      </w:r>
      <w:r w:rsidRPr="00776FBE">
        <w:rPr>
          <w:lang w:val="en-US"/>
        </w:rPr>
        <w:t xml:space="preserve">1 billion (depending on the yearly retirements) is the yearly increase of pension expenditure over the projected horizon, taking also into account the indexation on basis of GDP and inflation which is about </w:t>
      </w:r>
      <w:r w:rsidR="00F824BD">
        <w:rPr>
          <w:lang w:val="en-US"/>
        </w:rPr>
        <w:t>€</w:t>
      </w:r>
      <w:r w:rsidRPr="00776FBE">
        <w:rPr>
          <w:lang w:val="en-US"/>
        </w:rPr>
        <w:t>400 million per year.</w:t>
      </w:r>
    </w:p>
    <w:p w14:paraId="15462D2C" w14:textId="74FD4243" w:rsidR="00776FBE" w:rsidRPr="00776FBE" w:rsidRDefault="00776FBE" w:rsidP="00C771E0">
      <w:pPr>
        <w:rPr>
          <w:lang w:val="en-US"/>
        </w:rPr>
      </w:pPr>
      <w:r w:rsidRPr="00776FBE">
        <w:rPr>
          <w:lang w:val="en-US"/>
        </w:rPr>
        <w:t xml:space="preserve">In addition, Greece is implementing a comprehensive military investment programme addressing current geopolitical needs. In this framework military deliveries are expected to increase by </w:t>
      </w:r>
      <w:r w:rsidR="000B3B8A">
        <w:rPr>
          <w:lang w:val="en-US"/>
        </w:rPr>
        <w:t>€</w:t>
      </w:r>
      <w:r w:rsidRPr="00776FBE">
        <w:rPr>
          <w:lang w:val="en-US"/>
        </w:rPr>
        <w:t xml:space="preserve">0.86 billion in 2025, additionally by </w:t>
      </w:r>
      <w:r w:rsidR="000B3B8A">
        <w:rPr>
          <w:lang w:val="en-US"/>
        </w:rPr>
        <w:t>€</w:t>
      </w:r>
      <w:r w:rsidRPr="00776FBE">
        <w:rPr>
          <w:lang w:val="en-US"/>
        </w:rPr>
        <w:t xml:space="preserve">0.48 billion in 2026 and additionally by </w:t>
      </w:r>
      <w:r w:rsidR="000B3B8A">
        <w:rPr>
          <w:lang w:val="en-US"/>
        </w:rPr>
        <w:t>€</w:t>
      </w:r>
      <w:r w:rsidRPr="00776FBE">
        <w:rPr>
          <w:lang w:val="en-US"/>
        </w:rPr>
        <w:t>0.16 billion in 2027 and remain in the same high levels in 2028.</w:t>
      </w:r>
    </w:p>
    <w:p w14:paraId="403FAB5B" w14:textId="35B7D14D" w:rsidR="00776FBE" w:rsidRPr="00776FBE" w:rsidRDefault="00776FBE" w:rsidP="00C771E0">
      <w:pPr>
        <w:rPr>
          <w:lang w:val="en-US"/>
        </w:rPr>
      </w:pPr>
      <w:r w:rsidRPr="00776FBE">
        <w:rPr>
          <w:lang w:val="en-US"/>
        </w:rPr>
        <w:lastRenderedPageBreak/>
        <w:t xml:space="preserve">In view of the above, up to </w:t>
      </w:r>
      <w:r w:rsidR="001C7DBC">
        <w:rPr>
          <w:lang w:val="en-US"/>
        </w:rPr>
        <w:t>€</w:t>
      </w:r>
      <w:r w:rsidRPr="00776FBE">
        <w:rPr>
          <w:lang w:val="en-US"/>
        </w:rPr>
        <w:t>1 billion per year on average over the projection horizon, is to be allocated to policy measures and investments, following a strong reform agenda.</w:t>
      </w:r>
    </w:p>
    <w:p w14:paraId="659D88A4" w14:textId="7F047108" w:rsidR="00776FBE" w:rsidRPr="00776FBE" w:rsidRDefault="00776FBE" w:rsidP="00C771E0">
      <w:pPr>
        <w:rPr>
          <w:lang w:val="en-US"/>
        </w:rPr>
      </w:pPr>
      <w:r w:rsidRPr="00776FBE">
        <w:rPr>
          <w:b/>
          <w:bCs/>
          <w:lang w:val="en-US"/>
        </w:rPr>
        <w:t xml:space="preserve">Strengthening </w:t>
      </w:r>
      <w:r w:rsidR="00B74C34">
        <w:rPr>
          <w:b/>
          <w:bCs/>
          <w:lang w:val="en-US"/>
        </w:rPr>
        <w:t>disposable</w:t>
      </w:r>
      <w:r w:rsidR="00B74C34" w:rsidRPr="00776FBE">
        <w:rPr>
          <w:b/>
          <w:bCs/>
          <w:lang w:val="en-US"/>
        </w:rPr>
        <w:t xml:space="preserve"> </w:t>
      </w:r>
      <w:r w:rsidRPr="00776FBE">
        <w:rPr>
          <w:b/>
          <w:bCs/>
          <w:lang w:val="en-US"/>
        </w:rPr>
        <w:t>income</w:t>
      </w:r>
      <w:r w:rsidRPr="00776FBE">
        <w:rPr>
          <w:lang w:val="en-US"/>
        </w:rPr>
        <w:t>, both in the public and private sector</w:t>
      </w:r>
      <w:r w:rsidR="00B74C34">
        <w:rPr>
          <w:lang w:val="en-US"/>
        </w:rPr>
        <w:t>s</w:t>
      </w:r>
      <w:r w:rsidRPr="00776FBE">
        <w:rPr>
          <w:lang w:val="en-US"/>
        </w:rPr>
        <w:t xml:space="preserve">, in order to address the </w:t>
      </w:r>
      <w:r w:rsidR="00B74C34">
        <w:rPr>
          <w:lang w:val="en-US"/>
        </w:rPr>
        <w:t>increased</w:t>
      </w:r>
      <w:r w:rsidR="00B74C34" w:rsidRPr="00776FBE">
        <w:rPr>
          <w:lang w:val="en-US"/>
        </w:rPr>
        <w:t xml:space="preserve"> </w:t>
      </w:r>
      <w:r w:rsidRPr="00776FBE">
        <w:rPr>
          <w:lang w:val="en-US"/>
        </w:rPr>
        <w:t>price level</w:t>
      </w:r>
      <w:r w:rsidR="00B74C34">
        <w:rPr>
          <w:lang w:val="en-US"/>
        </w:rPr>
        <w:t>s</w:t>
      </w:r>
      <w:r w:rsidRPr="00776FBE">
        <w:rPr>
          <w:lang w:val="en-US"/>
        </w:rPr>
        <w:t xml:space="preserve"> on the back of the high inflation observed in 2022 and 2023, is a key policy priority.</w:t>
      </w:r>
    </w:p>
    <w:p w14:paraId="678FD976" w14:textId="604C3069" w:rsidR="00776FBE" w:rsidRPr="00776FBE" w:rsidRDefault="00776FBE" w:rsidP="00C771E0">
      <w:pPr>
        <w:rPr>
          <w:lang w:val="en-US"/>
        </w:rPr>
      </w:pPr>
      <w:r w:rsidRPr="00776FBE">
        <w:rPr>
          <w:lang w:val="en-US"/>
        </w:rPr>
        <w:t xml:space="preserve">The Greek Authorities place a special emphasis on strengthening participation in the labour market and further decreasing unemployment, while at the same time safeguarding disposable income. Under this framework, social solidarity contributions will </w:t>
      </w:r>
      <w:r w:rsidR="00B74C34">
        <w:rPr>
          <w:lang w:val="en-US"/>
        </w:rPr>
        <w:t xml:space="preserve">be </w:t>
      </w:r>
      <w:r w:rsidRPr="00776FBE">
        <w:rPr>
          <w:lang w:val="en-US"/>
        </w:rPr>
        <w:t>reduce</w:t>
      </w:r>
      <w:r w:rsidR="00B74C34">
        <w:rPr>
          <w:lang w:val="en-US"/>
        </w:rPr>
        <w:t>d</w:t>
      </w:r>
      <w:r w:rsidRPr="00776FBE">
        <w:rPr>
          <w:lang w:val="en-US"/>
        </w:rPr>
        <w:t xml:space="preserve"> by 1 p.p. in 2025 and another 0.5 p.p. in 2027, reaching a total of about 6 p.p. decrease in SSCs since 2019. The cost is estimated to </w:t>
      </w:r>
      <w:r w:rsidR="001C7DBC">
        <w:rPr>
          <w:lang w:val="en-US"/>
        </w:rPr>
        <w:t>€</w:t>
      </w:r>
      <w:r w:rsidRPr="00776FBE">
        <w:rPr>
          <w:lang w:val="en-US"/>
        </w:rPr>
        <w:t xml:space="preserve">440 million for 2025 and additional </w:t>
      </w:r>
      <w:r w:rsidR="001C7DBC">
        <w:rPr>
          <w:lang w:val="en-US"/>
        </w:rPr>
        <w:t>€</w:t>
      </w:r>
      <w:r w:rsidRPr="00776FBE">
        <w:rPr>
          <w:lang w:val="en-US"/>
        </w:rPr>
        <w:t>230 million in 2027.</w:t>
      </w:r>
    </w:p>
    <w:p w14:paraId="14967490" w14:textId="688C0ED2" w:rsidR="00776FBE" w:rsidRPr="00776FBE" w:rsidRDefault="00776FBE" w:rsidP="00C771E0">
      <w:pPr>
        <w:rPr>
          <w:lang w:val="en-US"/>
        </w:rPr>
      </w:pPr>
      <w:r w:rsidRPr="00776FBE">
        <w:rPr>
          <w:lang w:val="en-US"/>
        </w:rPr>
        <w:t xml:space="preserve">According to the latest available data (September 2024), unemployment in Q2 2024 fell further to 9.8% compared to 11.2% in Q2 2023, while employed people rose by 2.2% compared to Q2 2023. Further increases in </w:t>
      </w:r>
      <w:r w:rsidR="00876671">
        <w:rPr>
          <w:lang w:val="en-US"/>
        </w:rPr>
        <w:t xml:space="preserve">the </w:t>
      </w:r>
      <w:r w:rsidRPr="00776FBE">
        <w:rPr>
          <w:lang w:val="en-US"/>
        </w:rPr>
        <w:t xml:space="preserve">minimum wage are envisaged for 2025-2027. The minimum wage is expected to gradually increase from </w:t>
      </w:r>
      <w:r w:rsidR="00695218">
        <w:rPr>
          <w:lang w:val="en-US"/>
        </w:rPr>
        <w:t>€</w:t>
      </w:r>
      <w:r w:rsidRPr="00776FBE">
        <w:rPr>
          <w:lang w:val="en-US"/>
        </w:rPr>
        <w:t xml:space="preserve">830 in 2024 to </w:t>
      </w:r>
      <w:r w:rsidR="00F824BD">
        <w:rPr>
          <w:lang w:val="en-US"/>
        </w:rPr>
        <w:t>€</w:t>
      </w:r>
      <w:r w:rsidRPr="00776FBE">
        <w:rPr>
          <w:lang w:val="en-US"/>
        </w:rPr>
        <w:t>950 in 2027, thus increasing employees’ compensation in the private sector, affecting also average wages. The increase in minimum wage could also address issues of labo</w:t>
      </w:r>
      <w:r w:rsidR="00B74C34">
        <w:rPr>
          <w:lang w:val="en-US"/>
        </w:rPr>
        <w:t>u</w:t>
      </w:r>
      <w:r w:rsidRPr="00776FBE">
        <w:rPr>
          <w:lang w:val="en-US"/>
        </w:rPr>
        <w:t xml:space="preserve">r supply shortages in certain sectors as retail, agriculture, construction and tourism and lead to further strengthening participation rates in the labour market. </w:t>
      </w:r>
    </w:p>
    <w:p w14:paraId="6B0272FB" w14:textId="7D7D1061" w:rsidR="00776FBE" w:rsidRPr="00776FBE" w:rsidRDefault="00776FBE" w:rsidP="00C771E0">
      <w:pPr>
        <w:rPr>
          <w:lang w:val="en-US"/>
        </w:rPr>
      </w:pPr>
      <w:r w:rsidRPr="00776FBE">
        <w:rPr>
          <w:lang w:val="en-US"/>
        </w:rPr>
        <w:t>Following the increase in the minimum wage, a gradual increase in public sector employees’ basic salary is envisaged for 2025 and subsequent years. The rationale lies in the need to have public sectors’ introductory salary</w:t>
      </w:r>
      <w:r w:rsidR="00876671">
        <w:rPr>
          <w:lang w:val="en-US"/>
        </w:rPr>
        <w:t>,</w:t>
      </w:r>
      <w:r w:rsidRPr="00776FBE">
        <w:rPr>
          <w:lang w:val="en-US"/>
        </w:rPr>
        <w:t xml:space="preserve"> which now stands at </w:t>
      </w:r>
      <w:r w:rsidR="00E64E3C">
        <w:rPr>
          <w:lang w:val="en-US"/>
        </w:rPr>
        <w:t>€</w:t>
      </w:r>
      <w:r w:rsidRPr="00776FBE">
        <w:rPr>
          <w:lang w:val="en-US"/>
        </w:rPr>
        <w:t>850, no less than the monthly minimum wage</w:t>
      </w:r>
      <w:r w:rsidR="00876671">
        <w:rPr>
          <w:lang w:val="en-US"/>
        </w:rPr>
        <w:t xml:space="preserve"> of the private sector</w:t>
      </w:r>
      <w:r w:rsidRPr="00776FBE">
        <w:rPr>
          <w:lang w:val="en-US"/>
        </w:rPr>
        <w:t xml:space="preserve">. Thus, public employees will receive horizontal increases every year depending on the increases of the minimum wage, so as for the cumulative increase in monthly wage to reach </w:t>
      </w:r>
      <w:r w:rsidR="005B262C">
        <w:rPr>
          <w:lang w:val="en-US"/>
        </w:rPr>
        <w:t>€</w:t>
      </w:r>
      <w:r w:rsidRPr="00776FBE">
        <w:rPr>
          <w:lang w:val="en-US"/>
        </w:rPr>
        <w:t xml:space="preserve">100 by 2027 and thus the introductory salary to </w:t>
      </w:r>
      <w:r w:rsidR="00E64E3C">
        <w:rPr>
          <w:lang w:val="en-US"/>
        </w:rPr>
        <w:t>€</w:t>
      </w:r>
      <w:r w:rsidRPr="00776FBE">
        <w:rPr>
          <w:lang w:val="en-US"/>
        </w:rPr>
        <w:t xml:space="preserve">950. The </w:t>
      </w:r>
      <w:r w:rsidR="0051251C">
        <w:rPr>
          <w:lang w:val="en-US"/>
        </w:rPr>
        <w:t xml:space="preserve">average </w:t>
      </w:r>
      <w:r w:rsidRPr="00776FBE">
        <w:rPr>
          <w:lang w:val="en-US"/>
        </w:rPr>
        <w:t xml:space="preserve">annual net </w:t>
      </w:r>
      <w:r w:rsidR="005B262C">
        <w:rPr>
          <w:lang w:val="en-US"/>
        </w:rPr>
        <w:t xml:space="preserve">(gross) </w:t>
      </w:r>
      <w:r w:rsidRPr="00776FBE">
        <w:rPr>
          <w:lang w:val="en-US"/>
        </w:rPr>
        <w:t xml:space="preserve">increase of the wage bill </w:t>
      </w:r>
      <w:r w:rsidR="0051251C">
        <w:rPr>
          <w:lang w:val="en-US"/>
        </w:rPr>
        <w:t xml:space="preserve">over the period 2025-2027 </w:t>
      </w:r>
      <w:r w:rsidRPr="00776FBE">
        <w:rPr>
          <w:lang w:val="en-US"/>
        </w:rPr>
        <w:t xml:space="preserve">is estimated to about </w:t>
      </w:r>
      <w:r w:rsidR="005B262C">
        <w:rPr>
          <w:lang w:val="en-US"/>
        </w:rPr>
        <w:t>€150</w:t>
      </w:r>
      <w:r w:rsidR="005B262C" w:rsidRPr="00776FBE">
        <w:rPr>
          <w:lang w:val="en-US"/>
        </w:rPr>
        <w:t xml:space="preserve"> </w:t>
      </w:r>
      <w:r w:rsidR="005B262C">
        <w:rPr>
          <w:lang w:val="en-US"/>
        </w:rPr>
        <w:t>(</w:t>
      </w:r>
      <w:r w:rsidR="00B17592">
        <w:rPr>
          <w:lang w:val="en-US"/>
        </w:rPr>
        <w:t>€</w:t>
      </w:r>
      <w:r w:rsidR="005B262C">
        <w:rPr>
          <w:lang w:val="en-US"/>
        </w:rPr>
        <w:t xml:space="preserve">280) </w:t>
      </w:r>
      <w:r w:rsidRPr="00776FBE">
        <w:rPr>
          <w:lang w:val="en-US"/>
        </w:rPr>
        <w:t>million.</w:t>
      </w:r>
    </w:p>
    <w:p w14:paraId="5801E9A3" w14:textId="3A782357" w:rsidR="00776FBE" w:rsidRPr="00776FBE" w:rsidRDefault="00776FBE" w:rsidP="00C771E0">
      <w:pPr>
        <w:rPr>
          <w:lang w:val="en-US"/>
        </w:rPr>
      </w:pPr>
      <w:r w:rsidRPr="00776FBE">
        <w:rPr>
          <w:lang w:val="en-US"/>
        </w:rPr>
        <w:t>Moreover, targeted increases in specific categories of public sector employees</w:t>
      </w:r>
      <w:r w:rsidR="002D397B">
        <w:rPr>
          <w:lang w:val="en-US"/>
        </w:rPr>
        <w:t>’ compensations</w:t>
      </w:r>
      <w:r w:rsidRPr="00776FBE">
        <w:rPr>
          <w:lang w:val="en-US"/>
        </w:rPr>
        <w:t xml:space="preserve"> will take place from 2025. </w:t>
      </w:r>
      <w:r>
        <w:t>Α</w:t>
      </w:r>
      <w:r w:rsidRPr="00776FBE">
        <w:rPr>
          <w:lang w:val="en-US"/>
        </w:rPr>
        <w:t xml:space="preserve"> decrease in taxation of overtime compensation for hospital doctors (cost €40 mi</w:t>
      </w:r>
      <w:r w:rsidR="00323759">
        <w:rPr>
          <w:lang w:val="en-US"/>
        </w:rPr>
        <w:t>l</w:t>
      </w:r>
      <w:r w:rsidRPr="00776FBE">
        <w:rPr>
          <w:lang w:val="en-US"/>
        </w:rPr>
        <w:t>l</w:t>
      </w:r>
      <w:r w:rsidR="00323759">
        <w:rPr>
          <w:lang w:val="en-US"/>
        </w:rPr>
        <w:t>ion</w:t>
      </w:r>
      <w:r w:rsidRPr="00776FBE">
        <w:rPr>
          <w:lang w:val="en-US"/>
        </w:rPr>
        <w:t xml:space="preserve">) aims at strengthening participation of doctors in the public health system, along with increased compensation for doctors in remote and problematic regions (cost </w:t>
      </w:r>
      <w:r w:rsidR="00323759">
        <w:rPr>
          <w:lang w:val="en-US"/>
        </w:rPr>
        <w:t>€</w:t>
      </w:r>
      <w:r w:rsidRPr="00776FBE">
        <w:rPr>
          <w:lang w:val="en-US"/>
        </w:rPr>
        <w:t>16 mi</w:t>
      </w:r>
      <w:r w:rsidR="00323759">
        <w:rPr>
          <w:lang w:val="en-US"/>
        </w:rPr>
        <w:t>l</w:t>
      </w:r>
      <w:r w:rsidRPr="00776FBE">
        <w:rPr>
          <w:lang w:val="en-US"/>
        </w:rPr>
        <w:t>l</w:t>
      </w:r>
      <w:r w:rsidR="00323759">
        <w:rPr>
          <w:lang w:val="en-US"/>
        </w:rPr>
        <w:t>ion</w:t>
      </w:r>
      <w:r w:rsidRPr="00776FBE">
        <w:rPr>
          <w:lang w:val="en-US"/>
        </w:rPr>
        <w:t>), while there is a similar target in increasing compensation of nightshifts for police and military personnel (cost €25 mil</w:t>
      </w:r>
      <w:r w:rsidR="00323759">
        <w:rPr>
          <w:lang w:val="en-US"/>
        </w:rPr>
        <w:t>lion</w:t>
      </w:r>
      <w:r w:rsidRPr="00776FBE">
        <w:rPr>
          <w:lang w:val="en-US"/>
        </w:rPr>
        <w:t xml:space="preserve">). Furthermore, a new bonus system on basis of quantifiable targets is established in the public sector with an annual cost of </w:t>
      </w:r>
      <w:r w:rsidR="000F46FC">
        <w:rPr>
          <w:lang w:val="en-US"/>
        </w:rPr>
        <w:t>€</w:t>
      </w:r>
      <w:r w:rsidRPr="00776FBE">
        <w:rPr>
          <w:lang w:val="en-US"/>
        </w:rPr>
        <w:t>40 mil</w:t>
      </w:r>
      <w:r w:rsidR="000F46FC">
        <w:rPr>
          <w:lang w:val="en-US"/>
        </w:rPr>
        <w:t>lion</w:t>
      </w:r>
      <w:r w:rsidRPr="00776FBE">
        <w:rPr>
          <w:lang w:val="en-US"/>
        </w:rPr>
        <w:t xml:space="preserve">. </w:t>
      </w:r>
    </w:p>
    <w:p w14:paraId="5C6D0621" w14:textId="606A7E3C" w:rsidR="00776FBE" w:rsidRPr="00776FBE" w:rsidRDefault="00776FBE" w:rsidP="00C771E0">
      <w:pPr>
        <w:rPr>
          <w:lang w:val="en-US"/>
        </w:rPr>
      </w:pPr>
      <w:r w:rsidRPr="00776FBE">
        <w:rPr>
          <w:lang w:val="en-US"/>
        </w:rPr>
        <w:t xml:space="preserve">The overhead tax for self-employed is abolished from 1.1.2025 onwards, following the reduction by 50% that took place in 2024, with a cost of </w:t>
      </w:r>
      <w:r w:rsidR="005301C9">
        <w:rPr>
          <w:lang w:val="en-US"/>
        </w:rPr>
        <w:t xml:space="preserve">about </w:t>
      </w:r>
      <w:r w:rsidR="000F46FC">
        <w:rPr>
          <w:lang w:val="en-US"/>
        </w:rPr>
        <w:t>€</w:t>
      </w:r>
      <w:r w:rsidRPr="00776FBE">
        <w:rPr>
          <w:lang w:val="en-US"/>
        </w:rPr>
        <w:t xml:space="preserve">120 million. It is noted that the abolishment </w:t>
      </w:r>
      <w:r w:rsidRPr="00776FBE">
        <w:rPr>
          <w:lang w:val="en-US"/>
        </w:rPr>
        <w:lastRenderedPageBreak/>
        <w:t>of the overhead tax follows and complements the new PIT regime for the self-employed that took place in 2024 in the framework of reducing tax-evasion.</w:t>
      </w:r>
    </w:p>
    <w:p w14:paraId="5D90F9C0" w14:textId="757AC4A3" w:rsidR="00776FBE" w:rsidRPr="00776FBE" w:rsidRDefault="00776FBE" w:rsidP="00C771E0">
      <w:pPr>
        <w:rPr>
          <w:lang w:val="en-US"/>
        </w:rPr>
      </w:pPr>
      <w:r w:rsidRPr="00776FBE">
        <w:rPr>
          <w:lang w:val="en-US"/>
        </w:rPr>
        <w:t xml:space="preserve">As indicated above, pensioners will continue to receive an increase in their pensions during the next years, following the existing indexation rule (the average of GDP growth and inflation) with a yearly cost of about </w:t>
      </w:r>
      <w:r w:rsidR="00C53D81">
        <w:rPr>
          <w:lang w:val="en-US"/>
        </w:rPr>
        <w:t>€</w:t>
      </w:r>
      <w:r w:rsidRPr="00776FBE">
        <w:rPr>
          <w:lang w:val="en-US"/>
        </w:rPr>
        <w:t>400 million.</w:t>
      </w:r>
    </w:p>
    <w:p w14:paraId="1DCA2BD2" w14:textId="5F0150D1" w:rsidR="00776FBE" w:rsidRPr="00776FBE" w:rsidRDefault="00776FBE" w:rsidP="00C771E0">
      <w:pPr>
        <w:rPr>
          <w:lang w:val="en-US"/>
        </w:rPr>
      </w:pPr>
      <w:r w:rsidRPr="00776FBE">
        <w:rPr>
          <w:lang w:val="en-US"/>
        </w:rPr>
        <w:t xml:space="preserve">One of the main challenges that need to be addressed is </w:t>
      </w:r>
      <w:r w:rsidRPr="00776FBE">
        <w:rPr>
          <w:b/>
          <w:bCs/>
          <w:lang w:val="en-US"/>
        </w:rPr>
        <w:t>demographics.</w:t>
      </w:r>
      <w:r w:rsidRPr="00776FBE">
        <w:rPr>
          <w:lang w:val="en-US"/>
        </w:rPr>
        <w:t xml:space="preserve"> Therefore, a comprehensive set of measures have been designed to further support families with children and increase awareness among young couples to facilitate their decision to create a family. These include several institutional and targeted measures, such as further protection for families with </w:t>
      </w:r>
      <w:r w:rsidR="001C297B">
        <w:rPr>
          <w:lang w:val="en-US"/>
        </w:rPr>
        <w:t>three or more</w:t>
      </w:r>
      <w:r w:rsidRPr="00776FBE">
        <w:rPr>
          <w:lang w:val="en-US"/>
        </w:rPr>
        <w:t xml:space="preserve"> children, tax discount for benefits and nursery school vouchers that employees receive from their employers, reduction in the insurance levy (15%) for children in private healthcare contracts, complimentary fertility check-ups for women and awareness campaigns. Along with these measures</w:t>
      </w:r>
      <w:r w:rsidR="002D397B">
        <w:rPr>
          <w:lang w:val="en-US"/>
        </w:rPr>
        <w:t>,</w:t>
      </w:r>
      <w:r w:rsidRPr="00776FBE">
        <w:rPr>
          <w:lang w:val="en-US"/>
        </w:rPr>
        <w:t xml:space="preserve"> significant programs are financed through the public investment budget, such as increasing the capacity and access to nursery schools, as well as an extensive schools’ renovation programme. These new measures add up to already established measures such as the birth allowance, the increase of maternity compensation, the increase of income tax discounts for families with children and others.</w:t>
      </w:r>
    </w:p>
    <w:p w14:paraId="6FFFCE6F" w14:textId="50864B93" w:rsidR="00776FBE" w:rsidRPr="00776FBE" w:rsidRDefault="00776FBE" w:rsidP="00C771E0">
      <w:pPr>
        <w:rPr>
          <w:lang w:val="en-US"/>
        </w:rPr>
      </w:pPr>
      <w:r w:rsidRPr="00776FBE">
        <w:rPr>
          <w:lang w:val="en-US"/>
        </w:rPr>
        <w:t xml:space="preserve">A focal point in social policy is the </w:t>
      </w:r>
      <w:r w:rsidRPr="00776FBE">
        <w:rPr>
          <w:b/>
          <w:bCs/>
          <w:lang w:val="en-US"/>
        </w:rPr>
        <w:t>reform on the main social benefits</w:t>
      </w:r>
      <w:r w:rsidRPr="00776FBE">
        <w:rPr>
          <w:lang w:val="en-US"/>
        </w:rPr>
        <w:t xml:space="preserve"> (GMI, housing benefit and child allowance). The main pillars of the reform include the harmonization of eligibility criteria so as to create an “eco-system” of benefits, the improvement of targeting through better controls (giving more to those who mostly need it), the alleviation of disincentives to work, the improvement in efficiency and the improvement in poverty and child poverty </w:t>
      </w:r>
      <w:r w:rsidR="00CE0DB9" w:rsidRPr="00776FBE">
        <w:rPr>
          <w:lang w:val="en-US"/>
        </w:rPr>
        <w:t>ind</w:t>
      </w:r>
      <w:r w:rsidR="00CE0DB9">
        <w:rPr>
          <w:lang w:val="en-US"/>
        </w:rPr>
        <w:t>ices</w:t>
      </w:r>
      <w:r w:rsidRPr="00776FBE">
        <w:rPr>
          <w:lang w:val="en-US"/>
        </w:rPr>
        <w:t xml:space="preserve">. The reform also focuses </w:t>
      </w:r>
      <w:r w:rsidR="002D397B">
        <w:rPr>
          <w:lang w:val="en-US"/>
        </w:rPr>
        <w:t>o</w:t>
      </w:r>
      <w:r w:rsidRPr="00776FBE">
        <w:rPr>
          <w:lang w:val="en-US"/>
        </w:rPr>
        <w:t>n families with children. In general, the compensation amounts increase, whereas at the same time new targeted criteria are introduced, to control for eligibility. As a result, the reform is overall almost fiscally neutral, while simulations show that efficiency is improved particularly as regards child poverty indexes.</w:t>
      </w:r>
    </w:p>
    <w:p w14:paraId="439F6C8A" w14:textId="77777777" w:rsidR="00776FBE" w:rsidRPr="00776FBE" w:rsidRDefault="00776FBE" w:rsidP="00C771E0">
      <w:pPr>
        <w:rPr>
          <w:lang w:val="en-US"/>
        </w:rPr>
      </w:pPr>
      <w:r w:rsidRPr="00776FBE">
        <w:rPr>
          <w:lang w:val="en-US"/>
        </w:rPr>
        <w:t>With a target to increase employment incentives</w:t>
      </w:r>
      <w:r w:rsidR="002D397B">
        <w:rPr>
          <w:lang w:val="en-US"/>
        </w:rPr>
        <w:t>,</w:t>
      </w:r>
      <w:r w:rsidRPr="00776FBE">
        <w:rPr>
          <w:lang w:val="en-US"/>
        </w:rPr>
        <w:t xml:space="preserve"> the </w:t>
      </w:r>
      <w:r w:rsidRPr="00776FBE">
        <w:rPr>
          <w:b/>
          <w:bCs/>
          <w:lang w:val="en-US"/>
        </w:rPr>
        <w:t>unemployment benefits</w:t>
      </w:r>
      <w:r w:rsidRPr="00776FBE">
        <w:rPr>
          <w:lang w:val="en-US"/>
        </w:rPr>
        <w:t xml:space="preserve"> are also under review. Main components of the reform include increasing the correlation of the benefit with the time length of employment and scaling the employment benefit along time, with higher benefit at the start of the unemployment period that reduces gradually.</w:t>
      </w:r>
    </w:p>
    <w:p w14:paraId="5613B97B" w14:textId="51C8A2EE" w:rsidR="00776FBE" w:rsidRPr="00776FBE" w:rsidRDefault="00776FBE" w:rsidP="00C771E0">
      <w:pPr>
        <w:rPr>
          <w:lang w:val="en-US"/>
        </w:rPr>
      </w:pPr>
      <w:r w:rsidRPr="00776FBE">
        <w:rPr>
          <w:lang w:val="en-US"/>
        </w:rPr>
        <w:t xml:space="preserve">To address the problem of </w:t>
      </w:r>
      <w:r w:rsidRPr="00776FBE">
        <w:rPr>
          <w:b/>
          <w:bCs/>
          <w:lang w:val="en-US"/>
        </w:rPr>
        <w:t>affordable housing and increase the stock of available houses</w:t>
      </w:r>
      <w:r w:rsidRPr="00776FBE">
        <w:rPr>
          <w:lang w:val="en-US"/>
        </w:rPr>
        <w:t xml:space="preserve">, the fiscal plan includes a series of relevant measures for 2025-2028. On basis of the RRF loan facility, a new programme provides, along with the participation of the private sector, up to </w:t>
      </w:r>
      <w:r w:rsidR="00F7353A">
        <w:rPr>
          <w:lang w:val="en-US"/>
        </w:rPr>
        <w:t>€</w:t>
      </w:r>
      <w:r w:rsidRPr="00776FBE">
        <w:rPr>
          <w:lang w:val="en-US"/>
        </w:rPr>
        <w:t>2 billion loans with low interest rate for the purchase of a first home for individuals and couples aged up to 50 years old, on basis of income and demographic criteria. On the ba</w:t>
      </w:r>
      <w:r w:rsidR="003C6332">
        <w:rPr>
          <w:lang w:val="en-US"/>
        </w:rPr>
        <w:t>c</w:t>
      </w:r>
      <w:r w:rsidRPr="00776FBE">
        <w:rPr>
          <w:lang w:val="en-US"/>
        </w:rPr>
        <w:t xml:space="preserve">k of already implemented restrictions in Golden Visa and taxation of short-term rental, additional restrictions related to new short-term rental are to be enforced in specific regions of central </w:t>
      </w:r>
      <w:r w:rsidRPr="00776FBE">
        <w:rPr>
          <w:lang w:val="en-US"/>
        </w:rPr>
        <w:lastRenderedPageBreak/>
        <w:t xml:space="preserve">Athens. On the incentives side, properties that have been out of the rental market for at least </w:t>
      </w:r>
      <w:r w:rsidR="00FB3F02">
        <w:rPr>
          <w:lang w:val="en-US"/>
        </w:rPr>
        <w:t>three</w:t>
      </w:r>
      <w:r w:rsidRPr="00776FBE">
        <w:rPr>
          <w:lang w:val="en-US"/>
        </w:rPr>
        <w:t xml:space="preserve"> years, or have been used as short-term rentals, will be exempted from rental taxation if transformed to long-term renting contracts. At the same time, subsidy and loan programs on housing renovation complement the strategy, along with the exploitation of public buildings for long-term rentals.</w:t>
      </w:r>
    </w:p>
    <w:p w14:paraId="4DBF8B3C" w14:textId="3FE510F7" w:rsidR="00776FBE" w:rsidRPr="00776FBE" w:rsidRDefault="00776FBE" w:rsidP="00C771E0">
      <w:pPr>
        <w:rPr>
          <w:lang w:val="en-US"/>
        </w:rPr>
      </w:pPr>
      <w:r w:rsidRPr="00776FBE">
        <w:rPr>
          <w:lang w:val="en-US"/>
        </w:rPr>
        <w:t xml:space="preserve">During the past years, Greece has experienced several </w:t>
      </w:r>
      <w:r w:rsidRPr="00776FBE">
        <w:rPr>
          <w:b/>
          <w:bCs/>
          <w:lang w:val="en-US"/>
        </w:rPr>
        <w:t>severe natural phenomena</w:t>
      </w:r>
      <w:r w:rsidRPr="00776FBE">
        <w:rPr>
          <w:lang w:val="en-US"/>
        </w:rPr>
        <w:t xml:space="preserve"> including floods and wildfires, as a result of </w:t>
      </w:r>
      <w:r w:rsidR="00FB3F02">
        <w:rPr>
          <w:lang w:val="en-US"/>
        </w:rPr>
        <w:t xml:space="preserve">the </w:t>
      </w:r>
      <w:r w:rsidRPr="00776FBE">
        <w:rPr>
          <w:lang w:val="en-US"/>
        </w:rPr>
        <w:t xml:space="preserve">climate change. An immediate fiscal result was the need for compensations for houses, businesses and farmers that have been </w:t>
      </w:r>
      <w:r w:rsidR="002D397B">
        <w:rPr>
          <w:lang w:val="en-US"/>
        </w:rPr>
        <w:t>affected</w:t>
      </w:r>
      <w:r w:rsidRPr="00776FBE">
        <w:rPr>
          <w:lang w:val="en-US"/>
        </w:rPr>
        <w:t xml:space="preserve">, as well as significant </w:t>
      </w:r>
      <w:r w:rsidR="00FB3F02">
        <w:rPr>
          <w:lang w:val="en-US"/>
        </w:rPr>
        <w:t>funding</w:t>
      </w:r>
      <w:r w:rsidR="00FB3F02" w:rsidRPr="00776FBE">
        <w:rPr>
          <w:lang w:val="en-US"/>
        </w:rPr>
        <w:t xml:space="preserve"> </w:t>
      </w:r>
      <w:r w:rsidRPr="00776FBE">
        <w:rPr>
          <w:lang w:val="en-US"/>
        </w:rPr>
        <w:t>required to repair infrastructures such as roads, bridges and the railway. In terms of prevention, additional amounts are invested through the Public Investment Budget (PIB), for fire and flood prevention projects, including damns and water management, as well as reinforcement of the civil pro</w:t>
      </w:r>
      <w:r w:rsidR="0060625E">
        <w:rPr>
          <w:lang w:val="en-US"/>
        </w:rPr>
        <w:t>t</w:t>
      </w:r>
      <w:r w:rsidRPr="00776FBE">
        <w:rPr>
          <w:lang w:val="en-US"/>
        </w:rPr>
        <w:t xml:space="preserve">ection via the required equipment and aircrafts. In this respect, an amount of </w:t>
      </w:r>
      <w:r w:rsidR="00F7353A">
        <w:rPr>
          <w:lang w:val="en-US"/>
        </w:rPr>
        <w:t>€</w:t>
      </w:r>
      <w:r w:rsidRPr="00776FBE">
        <w:rPr>
          <w:lang w:val="en-US"/>
        </w:rPr>
        <w:t xml:space="preserve">600 million per year as of 2024 has been projected in the national PIB specifically related to natural disasters, along with significant amounts invested from the NSRF and the RRP that has been revised for that purpose. Part of the associated costs are covered by an increase in the levy related to the climate crisis which is imposed to hotel accommodation, with </w:t>
      </w:r>
      <w:r w:rsidR="007B2AF4">
        <w:rPr>
          <w:lang w:val="en-US"/>
        </w:rPr>
        <w:t xml:space="preserve">expected </w:t>
      </w:r>
      <w:r w:rsidRPr="00776FBE">
        <w:rPr>
          <w:lang w:val="en-US"/>
        </w:rPr>
        <w:t xml:space="preserve">additional revenues of </w:t>
      </w:r>
      <w:r w:rsidR="00FB3F02">
        <w:rPr>
          <w:lang w:val="en-US"/>
        </w:rPr>
        <w:t xml:space="preserve">about </w:t>
      </w:r>
      <w:r w:rsidR="00F824BD">
        <w:rPr>
          <w:lang w:val="en-US"/>
        </w:rPr>
        <w:t>€</w:t>
      </w:r>
      <w:r w:rsidRPr="00776FBE">
        <w:rPr>
          <w:lang w:val="en-US"/>
        </w:rPr>
        <w:t>200 million from 2025 onwards.</w:t>
      </w:r>
    </w:p>
    <w:p w14:paraId="484D57AF" w14:textId="43831FEA" w:rsidR="00776FBE" w:rsidRPr="00776FBE" w:rsidRDefault="00776FBE" w:rsidP="00C771E0">
      <w:pPr>
        <w:rPr>
          <w:lang w:val="en-US"/>
        </w:rPr>
      </w:pPr>
      <w:r w:rsidRPr="00776FBE">
        <w:rPr>
          <w:lang w:val="en-US"/>
        </w:rPr>
        <w:t xml:space="preserve">In addition to the above fiscal implications, but mainly the </w:t>
      </w:r>
      <w:r w:rsidR="00AB5B95">
        <w:rPr>
          <w:lang w:val="en-US"/>
        </w:rPr>
        <w:t>increasing probability</w:t>
      </w:r>
      <w:r w:rsidR="00AB5B95" w:rsidRPr="00776FBE">
        <w:rPr>
          <w:lang w:val="en-US"/>
        </w:rPr>
        <w:t xml:space="preserve"> </w:t>
      </w:r>
      <w:r w:rsidRPr="00776FBE">
        <w:rPr>
          <w:lang w:val="en-US"/>
        </w:rPr>
        <w:t xml:space="preserve">for future natural </w:t>
      </w:r>
      <w:r w:rsidR="00AB5B95">
        <w:rPr>
          <w:lang w:val="en-US"/>
        </w:rPr>
        <w:t>disasters</w:t>
      </w:r>
      <w:r w:rsidRPr="00776FBE">
        <w:rPr>
          <w:lang w:val="en-US"/>
        </w:rPr>
        <w:t xml:space="preserve">, led to a redesign of compensation policy. This includes a mix of incentives and sanctions, so as to help create an insurance culture both for private properties and businesses. A property tax (ENFIA) discount of up to 20% for residential properties (with property value up to €500K) that will be insured against natural disasters is applied </w:t>
      </w:r>
      <w:r w:rsidR="00470175">
        <w:rPr>
          <w:lang w:val="en-US"/>
        </w:rPr>
        <w:t>for residencies insured</w:t>
      </w:r>
      <w:r w:rsidR="00470175" w:rsidRPr="00776FBE">
        <w:rPr>
          <w:lang w:val="en-US"/>
        </w:rPr>
        <w:t xml:space="preserve"> </w:t>
      </w:r>
      <w:r w:rsidRPr="00776FBE">
        <w:rPr>
          <w:lang w:val="en-US"/>
        </w:rPr>
        <w:t>from 2024</w:t>
      </w:r>
      <w:r w:rsidR="00470175">
        <w:rPr>
          <w:lang w:val="en-US"/>
        </w:rPr>
        <w:t xml:space="preserve"> onwards</w:t>
      </w:r>
      <w:r w:rsidRPr="00776FBE">
        <w:rPr>
          <w:lang w:val="en-US"/>
        </w:rPr>
        <w:t xml:space="preserve">. Moreover, high-value properties (over €500K) and businesses with over €500K turnover should be insured shall not be compensated by the </w:t>
      </w:r>
      <w:r w:rsidR="00B82FF0">
        <w:rPr>
          <w:lang w:val="en-US"/>
        </w:rPr>
        <w:t>S</w:t>
      </w:r>
      <w:r w:rsidRPr="00776FBE">
        <w:rPr>
          <w:lang w:val="en-US"/>
        </w:rPr>
        <w:t>tate</w:t>
      </w:r>
      <w:r w:rsidR="007E5F16" w:rsidRPr="009741B1">
        <w:rPr>
          <w:lang w:val="en-US"/>
        </w:rPr>
        <w:t xml:space="preserve"> </w:t>
      </w:r>
      <w:r w:rsidR="007E5F16">
        <w:rPr>
          <w:lang w:val="en-US"/>
        </w:rPr>
        <w:t>from June 2025 onwards</w:t>
      </w:r>
      <w:r w:rsidRPr="00776FBE">
        <w:rPr>
          <w:lang w:val="en-US"/>
        </w:rPr>
        <w:t xml:space="preserve">, whereas vehicles should be </w:t>
      </w:r>
      <w:r w:rsidR="00B82FF0">
        <w:rPr>
          <w:lang w:val="en-US"/>
        </w:rPr>
        <w:t>necessarily</w:t>
      </w:r>
      <w:r w:rsidR="00B82FF0" w:rsidRPr="00776FBE">
        <w:rPr>
          <w:lang w:val="en-US"/>
        </w:rPr>
        <w:t xml:space="preserve"> </w:t>
      </w:r>
      <w:r w:rsidRPr="00776FBE">
        <w:rPr>
          <w:lang w:val="en-US"/>
        </w:rPr>
        <w:t>insured for natural disasters from 2025.</w:t>
      </w:r>
    </w:p>
    <w:p w14:paraId="5A29BB13" w14:textId="186C19D8" w:rsidR="00776FBE" w:rsidRPr="00776FBE" w:rsidRDefault="00776FBE" w:rsidP="00C771E0">
      <w:pPr>
        <w:rPr>
          <w:lang w:val="en-US"/>
        </w:rPr>
      </w:pPr>
      <w:r w:rsidRPr="00776FBE">
        <w:rPr>
          <w:lang w:val="en-US"/>
        </w:rPr>
        <w:t xml:space="preserve">For the past five years, Greece has been steadily following the path of </w:t>
      </w:r>
      <w:r w:rsidRPr="00776FBE">
        <w:rPr>
          <w:b/>
          <w:bCs/>
          <w:lang w:val="en-US"/>
        </w:rPr>
        <w:t>tax evasion</w:t>
      </w:r>
      <w:r w:rsidRPr="00776FBE">
        <w:rPr>
          <w:lang w:val="en-US"/>
        </w:rPr>
        <w:t xml:space="preserve"> reduction and tax reforms to increase compliance. A main goal is to bring the VAT gap down to EU average within the MTP period. A number of initiatives are already in place and results are shown gradually as compliance and revenues steadily increase. Main reforms include (a) the interconnection of POS with tax machines and Tax Authorities, (b) the full application of the “</w:t>
      </w:r>
      <w:r w:rsidR="00D43A88">
        <w:rPr>
          <w:lang w:val="en-US"/>
        </w:rPr>
        <w:t>myDATA</w:t>
      </w:r>
      <w:r w:rsidRPr="00776FBE">
        <w:rPr>
          <w:lang w:val="en-US"/>
        </w:rPr>
        <w:t>” platform and electronic invoices, (c) the extension of mandatory acceptance of direct electronic payments in retail, (d) real estate transactions to take place only through electronic means of payments, (e) the new framework on the minimum taxable income for the self-</w:t>
      </w:r>
      <w:r w:rsidR="00D331AA" w:rsidRPr="00776FBE">
        <w:rPr>
          <w:lang w:val="en-US"/>
        </w:rPr>
        <w:t>employed</w:t>
      </w:r>
      <w:r w:rsidRPr="00776FBE">
        <w:rPr>
          <w:lang w:val="en-US"/>
        </w:rPr>
        <w:t xml:space="preserve">, (f) the increase in fines of using cash in transactions above </w:t>
      </w:r>
      <w:r w:rsidR="00F824BD">
        <w:rPr>
          <w:lang w:val="en-US"/>
        </w:rPr>
        <w:t>€</w:t>
      </w:r>
      <w:r w:rsidRPr="00776FBE">
        <w:rPr>
          <w:lang w:val="en-US"/>
        </w:rPr>
        <w:t xml:space="preserve">500, (g) the payment of social security benefits via prepaid cards, (h) the digitalization </w:t>
      </w:r>
      <w:r w:rsidRPr="00F21E15">
        <w:rPr>
          <w:lang w:val="en-US"/>
        </w:rPr>
        <w:t>and a</w:t>
      </w:r>
      <w:r w:rsidR="005D687A">
        <w:rPr>
          <w:lang w:val="en-US"/>
        </w:rPr>
        <w:t>u</w:t>
      </w:r>
      <w:r w:rsidRPr="00F21E15">
        <w:rPr>
          <w:lang w:val="en-US"/>
        </w:rPr>
        <w:t>tom</w:t>
      </w:r>
      <w:r w:rsidR="005D687A">
        <w:rPr>
          <w:lang w:val="en-US"/>
        </w:rPr>
        <w:t>at</w:t>
      </w:r>
      <w:r w:rsidRPr="00F21E15">
        <w:rPr>
          <w:lang w:val="en-US"/>
        </w:rPr>
        <w:t>ization of</w:t>
      </w:r>
      <w:r w:rsidRPr="00776FBE">
        <w:rPr>
          <w:lang w:val="en-US"/>
        </w:rPr>
        <w:t xml:space="preserve"> tax authority audits, (</w:t>
      </w:r>
      <w:r w:rsidR="00B82FF0">
        <w:rPr>
          <w:lang w:val="en-US"/>
        </w:rPr>
        <w:t>i</w:t>
      </w:r>
      <w:r w:rsidRPr="00776FBE">
        <w:rPr>
          <w:lang w:val="en-US"/>
        </w:rPr>
        <w:t>) the new framework for combating smuggling and other.</w:t>
      </w:r>
    </w:p>
    <w:p w14:paraId="0DFAB454" w14:textId="1E08581F" w:rsidR="00776FBE" w:rsidRPr="00776FBE" w:rsidRDefault="00776FBE" w:rsidP="00C771E0">
      <w:pPr>
        <w:rPr>
          <w:lang w:val="en-US"/>
        </w:rPr>
      </w:pPr>
      <w:r w:rsidRPr="00776FBE">
        <w:rPr>
          <w:lang w:val="en-US"/>
        </w:rPr>
        <w:lastRenderedPageBreak/>
        <w:t xml:space="preserve">Greece is implementing a series of ambitious reforms to upgrade health services and strengthen the efficiency of the </w:t>
      </w:r>
      <w:r w:rsidRPr="00776FBE">
        <w:rPr>
          <w:b/>
          <w:bCs/>
          <w:lang w:val="en-US"/>
        </w:rPr>
        <w:t>health system</w:t>
      </w:r>
      <w:r w:rsidRPr="00776FBE">
        <w:rPr>
          <w:lang w:val="en-US"/>
        </w:rPr>
        <w:t>. Main reforms include (a) prioritization of hiring of medical personnel under the annual hiring plan with more than 10,000 permanent hirings envisaged for 2024 and 2025 and more in the next years, (b) upgrading and modernising at least 80 hospitals and emergency departments and 156 health cent</w:t>
      </w:r>
      <w:r w:rsidR="00B82FF0">
        <w:rPr>
          <w:lang w:val="en-US"/>
        </w:rPr>
        <w:t>e</w:t>
      </w:r>
      <w:r w:rsidRPr="00776FBE">
        <w:rPr>
          <w:lang w:val="en-US"/>
        </w:rPr>
        <w:t>rs, financed by the RRP, (c) completion of the Personal Doctor reform who is the patient’s first point of contact with the National Health</w:t>
      </w:r>
      <w:r w:rsidR="00B82FF0">
        <w:rPr>
          <w:lang w:val="en-US"/>
        </w:rPr>
        <w:t xml:space="preserve"> System</w:t>
      </w:r>
      <w:r w:rsidRPr="00776FBE">
        <w:rPr>
          <w:lang w:val="en-US"/>
        </w:rPr>
        <w:t xml:space="preserve">, (d) the implementation of the National Health Prevention Strategy Program "Spyros Doxiadis", which is the most extensive prevention, early detection, protection and health promotion program ever implemented in the country, (e) reducing the waiting time for ordinary surgeries (related also </w:t>
      </w:r>
      <w:r w:rsidR="00937F06">
        <w:rPr>
          <w:lang w:val="en-US"/>
        </w:rPr>
        <w:t xml:space="preserve">to </w:t>
      </w:r>
      <w:r w:rsidRPr="00776FBE">
        <w:rPr>
          <w:lang w:val="en-US"/>
        </w:rPr>
        <w:t>the allowance of evening surgeries), (f) the improvement in the compensations of medical personnel so as to attract additional personnel (i.e. see also the income measures above), (g) implementation of the central procurement reform under EKAPY and several measures to control for overspending, (h) extending the measure of clawback reduction and R&amp;D offset for pharmaceutical companies after 2025, so as to ensure increasing investments in R&amp;D and access to new pharmaceutical products. More reforms and programs, including also mental health are provided in</w:t>
      </w:r>
      <w:r w:rsidR="00572D84">
        <w:rPr>
          <w:lang w:val="en-US"/>
        </w:rPr>
        <w:t xml:space="preserve"> Annex I.</w:t>
      </w:r>
    </w:p>
    <w:p w14:paraId="65E4A79F" w14:textId="36B5C8BD" w:rsidR="00776FBE" w:rsidRPr="00776FBE" w:rsidRDefault="00776FBE" w:rsidP="00C771E0">
      <w:pPr>
        <w:rPr>
          <w:lang w:val="en-US"/>
        </w:rPr>
      </w:pPr>
      <w:r w:rsidRPr="00776FBE">
        <w:rPr>
          <w:lang w:val="en-US"/>
        </w:rPr>
        <w:t xml:space="preserve">The recent law for higher </w:t>
      </w:r>
      <w:r w:rsidRPr="00776FBE">
        <w:rPr>
          <w:b/>
          <w:bCs/>
          <w:lang w:val="en-US"/>
        </w:rPr>
        <w:t xml:space="preserve">education </w:t>
      </w:r>
      <w:r w:rsidRPr="00776FBE">
        <w:rPr>
          <w:lang w:val="en-US"/>
        </w:rPr>
        <w:t xml:space="preserve">allowed for the first time to found non-state nonprofit Universities, with full legal entity as branches of foreign Universities, with strict criteria, aiming to attract some of the most renowned Universities according to international rankings. The first institutions are to operate during 2025-2026, creating a completely new sector. This inevitably is expected to favour the Greek economy in various ways, including R&amp;D activity, export of services, additional income for highly educated personnel, more opportunities for quality education, but also touches upon demographic issues, creating </w:t>
      </w:r>
      <w:r w:rsidR="003D1D95">
        <w:rPr>
          <w:lang w:val="en-US"/>
        </w:rPr>
        <w:t>a</w:t>
      </w:r>
      <w:r w:rsidRPr="00776FBE">
        <w:rPr>
          <w:lang w:val="en-US"/>
        </w:rPr>
        <w:t xml:space="preserve"> basis for brain regain. In addition, the new law lays the foundations for the creation of a more autonomous and dynamic academic environment, with the reduction of unnecessary bureaucracy in public universities research funds (ELKE), promoting the digitalization of public universities infrastructures and services and promoting their further internationalization. Furthermore, many reforms and investments aim at improving the primary and secondary school education. These include among others (</w:t>
      </w:r>
      <w:r w:rsidRPr="00572D84">
        <w:rPr>
          <w:lang w:val="en-US"/>
        </w:rPr>
        <w:t xml:space="preserve">see </w:t>
      </w:r>
      <w:r w:rsidR="00572D84" w:rsidRPr="00572D84">
        <w:rPr>
          <w:lang w:val="en-US"/>
        </w:rPr>
        <w:t>Annex I</w:t>
      </w:r>
      <w:r w:rsidRPr="00572D84">
        <w:rPr>
          <w:lang w:val="en-US"/>
        </w:rPr>
        <w:t>),</w:t>
      </w:r>
      <w:r w:rsidRPr="00776FBE">
        <w:rPr>
          <w:lang w:val="en-US"/>
        </w:rPr>
        <w:t xml:space="preserve"> promoting digitalization in school, upgrading the learning content, renovation of school buildings, implementing comprehensive evaluation of the educational system, as well as programs for vocational education and training.</w:t>
      </w:r>
    </w:p>
    <w:p w14:paraId="0FFF65F1" w14:textId="77777777" w:rsidR="00776FBE" w:rsidRPr="00776FBE" w:rsidRDefault="00776FBE" w:rsidP="00C771E0">
      <w:pPr>
        <w:rPr>
          <w:lang w:val="en-US"/>
        </w:rPr>
      </w:pPr>
      <w:r w:rsidRPr="00776FBE">
        <w:rPr>
          <w:lang w:val="en-US"/>
        </w:rPr>
        <w:t xml:space="preserve">The </w:t>
      </w:r>
      <w:r w:rsidRPr="00776FBE">
        <w:rPr>
          <w:b/>
          <w:bCs/>
          <w:lang w:val="en-US"/>
        </w:rPr>
        <w:t>rural sector</w:t>
      </w:r>
      <w:r w:rsidRPr="00776FBE">
        <w:rPr>
          <w:lang w:val="en-US"/>
        </w:rPr>
        <w:t xml:space="preserve"> has been especially hit by recent climate crisis events, recently by the “Daniel” storm following the “Ianos” cyclone, but also by smaller scale events. Short term relief has been immediately granted, in collaboration with the European Commission and infrastructure restoration is on track, using several financing instruments, namely national and co-financed sources as well as RRP where applicable. To further support farmers, the return of special levy on diesel has been made permanent (with an annual cost of approximately €100 m</w:t>
      </w:r>
      <w:r w:rsidR="00D96BC4">
        <w:rPr>
          <w:lang w:val="en-US"/>
        </w:rPr>
        <w:t>i</w:t>
      </w:r>
      <w:r w:rsidRPr="00776FBE">
        <w:rPr>
          <w:lang w:val="en-US"/>
        </w:rPr>
        <w:t xml:space="preserve">l). Several co-funded instruments and benefits are in place to support rural investments and incentivize </w:t>
      </w:r>
      <w:r w:rsidRPr="00776FBE">
        <w:rPr>
          <w:lang w:val="en-US"/>
        </w:rPr>
        <w:lastRenderedPageBreak/>
        <w:t>new farmers and cooperations, whereas new initiatives include significant investments for greenhouses expansion.</w:t>
      </w:r>
    </w:p>
    <w:p w14:paraId="53F68699" w14:textId="503693A0" w:rsidR="00776FBE" w:rsidRPr="00776FBE" w:rsidRDefault="00776FBE" w:rsidP="00C771E0">
      <w:pPr>
        <w:rPr>
          <w:lang w:val="en-US"/>
        </w:rPr>
      </w:pPr>
      <w:r w:rsidRPr="00776FBE">
        <w:rPr>
          <w:lang w:val="en-US"/>
        </w:rPr>
        <w:t xml:space="preserve">During the past years, the Greek economy has </w:t>
      </w:r>
      <w:r w:rsidR="00D96BC4">
        <w:rPr>
          <w:lang w:val="en-US"/>
        </w:rPr>
        <w:t>achieved</w:t>
      </w:r>
      <w:r w:rsidR="00D96BC4" w:rsidRPr="00776FBE">
        <w:rPr>
          <w:lang w:val="en-US"/>
        </w:rPr>
        <w:t xml:space="preserve"> </w:t>
      </w:r>
      <w:r w:rsidRPr="00776FBE">
        <w:rPr>
          <w:lang w:val="en-US"/>
        </w:rPr>
        <w:t>steady and significant growth rates, outpacing</w:t>
      </w:r>
      <w:r w:rsidR="00494362">
        <w:rPr>
          <w:lang w:val="en-US"/>
        </w:rPr>
        <w:t xml:space="preserve"> average</w:t>
      </w:r>
      <w:r w:rsidRPr="00776FBE">
        <w:rPr>
          <w:lang w:val="en-US"/>
        </w:rPr>
        <w:t xml:space="preserve"> EU growth. This growth trajectory reflects a significant increase in </w:t>
      </w:r>
      <w:r w:rsidRPr="00776FBE">
        <w:rPr>
          <w:b/>
          <w:bCs/>
          <w:lang w:val="en-US"/>
        </w:rPr>
        <w:t>investment</w:t>
      </w:r>
      <w:r w:rsidRPr="00776FBE">
        <w:rPr>
          <w:lang w:val="en-US"/>
        </w:rPr>
        <w:t xml:space="preserve">, with gross fixed capital formation rising from 4.0% in 2023 to 6.7% in 2024 and projections show 8.4% for 2025. The implementation and acceleration of RRP, as one of the main investment drivers will continue in the trajectory period, with focus on green transition, digitalization, infrastructure, human capital and corporate loans. The main goals are to expand productive capacity, strengthen competitiveness and extroversion, address the need for technology adaptation and enhance employment and social cohesion, resulting in higher potential growth. On top of that, several reforms, as well as non-RRP fiscal measures, are on track, to ensure financing in areas not covered by RRP and also that investments will continue in the post-RRP era. </w:t>
      </w:r>
    </w:p>
    <w:p w14:paraId="33967054" w14:textId="649930CA" w:rsidR="00776FBE" w:rsidRPr="00776FBE" w:rsidRDefault="00776FBE" w:rsidP="00C771E0">
      <w:pPr>
        <w:rPr>
          <w:lang w:val="en-US"/>
        </w:rPr>
      </w:pPr>
      <w:r w:rsidRPr="00776FBE">
        <w:rPr>
          <w:lang w:val="en-US"/>
        </w:rPr>
        <w:t xml:space="preserve">Significant proportion of the aforementioned policies is financed via the Public Investment Budget (PIB). The important investments in clean and efficient production and use of energy, sustainable transport and logistics, infrastructures, digitalization, health, education, the rural sector, migration, civil protection, human </w:t>
      </w:r>
      <w:r w:rsidRPr="00572D84">
        <w:rPr>
          <w:lang w:val="en-US"/>
        </w:rPr>
        <w:t xml:space="preserve">capital and other (see </w:t>
      </w:r>
      <w:r w:rsidR="00572D84" w:rsidRPr="00572D84">
        <w:rPr>
          <w:lang w:val="en-US"/>
        </w:rPr>
        <w:t>Annex I</w:t>
      </w:r>
      <w:r w:rsidRPr="00572D84">
        <w:rPr>
          <w:lang w:val="en-US"/>
        </w:rPr>
        <w:t>)</w:t>
      </w:r>
      <w:r w:rsidRPr="00776FBE">
        <w:rPr>
          <w:lang w:val="en-US"/>
        </w:rPr>
        <w:t xml:space="preserve"> are mainly covered via the PIB.</w:t>
      </w:r>
    </w:p>
    <w:p w14:paraId="2D600AB4" w14:textId="21852925" w:rsidR="00776FBE" w:rsidRDefault="00776FBE" w:rsidP="00C771E0">
      <w:pPr>
        <w:rPr>
          <w:lang w:val="en-US"/>
        </w:rPr>
      </w:pPr>
      <w:r w:rsidRPr="00776FBE">
        <w:rPr>
          <w:lang w:val="en-US"/>
        </w:rPr>
        <w:t xml:space="preserve">Whereas </w:t>
      </w:r>
      <w:r w:rsidR="00D96BC4">
        <w:rPr>
          <w:lang w:val="en-US"/>
        </w:rPr>
        <w:t xml:space="preserve">the </w:t>
      </w:r>
      <w:r w:rsidRPr="00776FBE">
        <w:rPr>
          <w:lang w:val="en-US"/>
        </w:rPr>
        <w:t xml:space="preserve">Public Investment Budget was ranging to around </w:t>
      </w:r>
      <w:r w:rsidR="00F824BD">
        <w:rPr>
          <w:lang w:val="en-US"/>
        </w:rPr>
        <w:t>€</w:t>
      </w:r>
      <w:r w:rsidRPr="00776FBE">
        <w:rPr>
          <w:lang w:val="en-US"/>
        </w:rPr>
        <w:t xml:space="preserve">6-6.5 billion the past decade up to 2019 and increased to about </w:t>
      </w:r>
      <w:r w:rsidR="00F824BD">
        <w:rPr>
          <w:lang w:val="en-US"/>
        </w:rPr>
        <w:t>€</w:t>
      </w:r>
      <w:r w:rsidRPr="00776FBE">
        <w:rPr>
          <w:lang w:val="en-US"/>
        </w:rPr>
        <w:t xml:space="preserve">10-11 billion the following period, a significant increase already takes place from 2024. The RRP injects significant amounts up to 2026, whereas cash disbursements from the loan facility are expected to continue the following years. The co-funded PIB after the significant amounts disbursed in 2022-2024 related to the projects concluded at the end of the NSRF 2014-2020 period, continues with an amount of approximately </w:t>
      </w:r>
      <w:r w:rsidR="00F824BD">
        <w:rPr>
          <w:lang w:val="en-US"/>
        </w:rPr>
        <w:t>€</w:t>
      </w:r>
      <w:r w:rsidRPr="00776FBE">
        <w:rPr>
          <w:lang w:val="en-US"/>
        </w:rPr>
        <w:t xml:space="preserve">6.5 billion including the new programming period NSRF 2021-2027 and the rest co-funded programmes. The national PIB increases significantly already from 2024 by approximately </w:t>
      </w:r>
      <w:r w:rsidR="00F824BD">
        <w:rPr>
          <w:lang w:val="en-US"/>
        </w:rPr>
        <w:t>€</w:t>
      </w:r>
      <w:r w:rsidRPr="00776FBE">
        <w:rPr>
          <w:lang w:val="en-US"/>
        </w:rPr>
        <w:t xml:space="preserve">0.9 billion and a steady yearly increase is projected, surpassing within the MTP period the </w:t>
      </w:r>
      <w:r w:rsidR="00956677">
        <w:rPr>
          <w:lang w:val="en-US"/>
        </w:rPr>
        <w:t>€</w:t>
      </w:r>
      <w:r w:rsidRPr="00776FBE">
        <w:rPr>
          <w:lang w:val="en-US"/>
        </w:rPr>
        <w:t>3 billi</w:t>
      </w:r>
      <w:r w:rsidRPr="00BC63F9">
        <w:rPr>
          <w:color w:val="000000" w:themeColor="text1"/>
          <w:lang w:val="en-US"/>
        </w:rPr>
        <w:t>on (</w:t>
      </w:r>
      <w:r w:rsidR="00A54B46" w:rsidRPr="00BC63F9">
        <w:rPr>
          <w:color w:val="000000" w:themeColor="text1"/>
          <w:lang w:val="en-US"/>
        </w:rPr>
        <w:fldChar w:fldCharType="begin"/>
      </w:r>
      <w:r w:rsidR="00BC63F9" w:rsidRPr="00BC63F9">
        <w:rPr>
          <w:color w:val="000000" w:themeColor="text1"/>
          <w:lang w:val="en-US"/>
        </w:rPr>
        <w:instrText xml:space="preserve"> REF _Ref177547296 \h </w:instrText>
      </w:r>
      <w:r w:rsidR="00A54B46" w:rsidRPr="00BC63F9">
        <w:rPr>
          <w:color w:val="000000" w:themeColor="text1"/>
          <w:lang w:val="en-US"/>
        </w:rPr>
      </w:r>
      <w:r w:rsidR="00A54B46" w:rsidRPr="00BC63F9">
        <w:rPr>
          <w:color w:val="000000" w:themeColor="text1"/>
          <w:lang w:val="en-US"/>
        </w:rPr>
        <w:fldChar w:fldCharType="separate"/>
      </w:r>
      <w:r w:rsidR="00824AAF" w:rsidRPr="00920844">
        <w:rPr>
          <w:lang w:val="en-US"/>
        </w:rPr>
        <w:t xml:space="preserve">Table </w:t>
      </w:r>
      <w:r w:rsidR="00824AAF" w:rsidRPr="00920844">
        <w:rPr>
          <w:noProof/>
          <w:lang w:val="en-US"/>
        </w:rPr>
        <w:t>6</w:t>
      </w:r>
      <w:r w:rsidR="00A54B46" w:rsidRPr="00BC63F9">
        <w:rPr>
          <w:color w:val="000000" w:themeColor="text1"/>
          <w:lang w:val="en-US"/>
        </w:rPr>
        <w:fldChar w:fldCharType="end"/>
      </w:r>
      <w:r w:rsidRPr="00776FBE">
        <w:rPr>
          <w:lang w:val="en-US"/>
        </w:rPr>
        <w:t>).</w:t>
      </w:r>
    </w:p>
    <w:p w14:paraId="717CF08E" w14:textId="77777777" w:rsidR="007D3E6D" w:rsidRDefault="007D3E6D" w:rsidP="00C771E0">
      <w:pPr>
        <w:rPr>
          <w:lang w:val="en-US"/>
        </w:rPr>
      </w:pPr>
    </w:p>
    <w:p w14:paraId="58875A1B" w14:textId="70BB938A" w:rsidR="00C771E0" w:rsidRPr="00DB7526" w:rsidRDefault="00351CF2" w:rsidP="00DB7526">
      <w:pPr>
        <w:pStyle w:val="Table"/>
      </w:pPr>
      <w:bookmarkStart w:id="19" w:name="_Ref177547296"/>
      <w:bookmarkStart w:id="20" w:name="_Toc177747036"/>
      <w:r w:rsidRPr="00DB7526">
        <w:t xml:space="preserve">Table </w:t>
      </w:r>
      <w:r w:rsidR="00337799" w:rsidRPr="00DB7526">
        <w:fldChar w:fldCharType="begin"/>
      </w:r>
      <w:r w:rsidR="00337799" w:rsidRPr="00DB7526">
        <w:instrText xml:space="preserve"> SEQ Table \* ARABIC </w:instrText>
      </w:r>
      <w:r w:rsidR="00337799" w:rsidRPr="00DB7526">
        <w:fldChar w:fldCharType="separate"/>
      </w:r>
      <w:r w:rsidR="00824AAF">
        <w:rPr>
          <w:noProof/>
        </w:rPr>
        <w:t>6</w:t>
      </w:r>
      <w:r w:rsidR="00337799" w:rsidRPr="00DB7526">
        <w:fldChar w:fldCharType="end"/>
      </w:r>
      <w:bookmarkEnd w:id="19"/>
      <w:r w:rsidRPr="00DB7526">
        <w:t xml:space="preserve"> </w:t>
      </w:r>
      <w:r w:rsidR="00DB7526">
        <w:t xml:space="preserve">| </w:t>
      </w:r>
      <w:r w:rsidRPr="00DB7526">
        <w:t>Public Investment Budget projections 2023-2028</w:t>
      </w:r>
      <w:bookmarkEnd w:id="20"/>
    </w:p>
    <w:tbl>
      <w:tblPr>
        <w:tblW w:w="9013" w:type="dxa"/>
        <w:jc w:val="center"/>
        <w:tblLook w:val="04A0" w:firstRow="1" w:lastRow="0" w:firstColumn="1" w:lastColumn="0" w:noHBand="0" w:noVBand="1"/>
      </w:tblPr>
      <w:tblGrid>
        <w:gridCol w:w="3969"/>
        <w:gridCol w:w="849"/>
        <w:gridCol w:w="848"/>
        <w:gridCol w:w="828"/>
        <w:gridCol w:w="828"/>
        <w:gridCol w:w="840"/>
        <w:gridCol w:w="851"/>
      </w:tblGrid>
      <w:tr w:rsidR="00BC63F9" w:rsidRPr="00AD43DE" w14:paraId="594B53B7" w14:textId="77777777" w:rsidTr="00BC63F9">
        <w:trPr>
          <w:trHeight w:val="300"/>
          <w:jc w:val="center"/>
        </w:trPr>
        <w:tc>
          <w:tcPr>
            <w:tcW w:w="3969" w:type="dxa"/>
            <w:tcBorders>
              <w:top w:val="nil"/>
              <w:left w:val="nil"/>
              <w:bottom w:val="single" w:sz="4" w:space="0" w:color="FFFFFF"/>
              <w:right w:val="nil"/>
            </w:tcBorders>
            <w:shd w:val="clear" w:color="000000" w:fill="BFBFBF"/>
            <w:vAlign w:val="center"/>
            <w:hideMark/>
          </w:tcPr>
          <w:p w14:paraId="5B9898EC" w14:textId="77777777" w:rsidR="00AD43DE" w:rsidRPr="000D4DE6" w:rsidRDefault="00AD43DE" w:rsidP="00AD43DE">
            <w:pPr>
              <w:spacing w:after="0" w:line="240" w:lineRule="auto"/>
              <w:jc w:val="left"/>
              <w:rPr>
                <w:rFonts w:ascii="Arial" w:eastAsia="Times New Roman" w:hAnsi="Arial" w:cs="Arial"/>
                <w:b/>
                <w:bCs/>
                <w:color w:val="000000"/>
                <w:sz w:val="20"/>
                <w:szCs w:val="20"/>
                <w:lang w:val="en-US"/>
              </w:rPr>
            </w:pPr>
            <w:r w:rsidRPr="00AD43DE">
              <w:rPr>
                <w:rFonts w:ascii="Arial" w:eastAsia="Times New Roman" w:hAnsi="Arial" w:cs="Arial"/>
                <w:b/>
                <w:bCs/>
                <w:color w:val="000000"/>
                <w:sz w:val="20"/>
                <w:szCs w:val="20"/>
                <w:lang w:val="en-US"/>
              </w:rPr>
              <w:t> </w:t>
            </w:r>
          </w:p>
        </w:tc>
        <w:tc>
          <w:tcPr>
            <w:tcW w:w="849" w:type="dxa"/>
            <w:tcBorders>
              <w:top w:val="nil"/>
              <w:left w:val="nil"/>
              <w:bottom w:val="single" w:sz="4" w:space="0" w:color="FFFFFF"/>
              <w:right w:val="nil"/>
            </w:tcBorders>
            <w:shd w:val="clear" w:color="000000" w:fill="BFBFBF"/>
            <w:vAlign w:val="center"/>
            <w:hideMark/>
          </w:tcPr>
          <w:p w14:paraId="082F6AC8"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2023</w:t>
            </w:r>
          </w:p>
        </w:tc>
        <w:tc>
          <w:tcPr>
            <w:tcW w:w="848" w:type="dxa"/>
            <w:tcBorders>
              <w:top w:val="nil"/>
              <w:left w:val="nil"/>
              <w:bottom w:val="single" w:sz="4" w:space="0" w:color="FFFFFF"/>
              <w:right w:val="nil"/>
            </w:tcBorders>
            <w:shd w:val="clear" w:color="000000" w:fill="BFBFBF"/>
            <w:vAlign w:val="center"/>
            <w:hideMark/>
          </w:tcPr>
          <w:p w14:paraId="1E20345A"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2024</w:t>
            </w:r>
          </w:p>
        </w:tc>
        <w:tc>
          <w:tcPr>
            <w:tcW w:w="828" w:type="dxa"/>
            <w:tcBorders>
              <w:top w:val="nil"/>
              <w:left w:val="nil"/>
              <w:bottom w:val="single" w:sz="4" w:space="0" w:color="FFFFFF"/>
              <w:right w:val="nil"/>
            </w:tcBorders>
            <w:shd w:val="clear" w:color="000000" w:fill="BFBFBF"/>
            <w:vAlign w:val="center"/>
            <w:hideMark/>
          </w:tcPr>
          <w:p w14:paraId="5485354A"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2025</w:t>
            </w:r>
          </w:p>
        </w:tc>
        <w:tc>
          <w:tcPr>
            <w:tcW w:w="828" w:type="dxa"/>
            <w:tcBorders>
              <w:top w:val="nil"/>
              <w:left w:val="nil"/>
              <w:bottom w:val="single" w:sz="4" w:space="0" w:color="FFFFFF"/>
              <w:right w:val="nil"/>
            </w:tcBorders>
            <w:shd w:val="clear" w:color="000000" w:fill="BFBFBF"/>
            <w:vAlign w:val="center"/>
            <w:hideMark/>
          </w:tcPr>
          <w:p w14:paraId="155A347F"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2026</w:t>
            </w:r>
          </w:p>
        </w:tc>
        <w:tc>
          <w:tcPr>
            <w:tcW w:w="840" w:type="dxa"/>
            <w:tcBorders>
              <w:top w:val="nil"/>
              <w:left w:val="nil"/>
              <w:bottom w:val="single" w:sz="4" w:space="0" w:color="FFFFFF"/>
              <w:right w:val="nil"/>
            </w:tcBorders>
            <w:shd w:val="clear" w:color="000000" w:fill="BFBFBF"/>
            <w:vAlign w:val="center"/>
            <w:hideMark/>
          </w:tcPr>
          <w:p w14:paraId="409CB318"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2027</w:t>
            </w:r>
          </w:p>
        </w:tc>
        <w:tc>
          <w:tcPr>
            <w:tcW w:w="851" w:type="dxa"/>
            <w:tcBorders>
              <w:top w:val="nil"/>
              <w:left w:val="nil"/>
              <w:bottom w:val="single" w:sz="4" w:space="0" w:color="FFFFFF"/>
              <w:right w:val="nil"/>
            </w:tcBorders>
            <w:shd w:val="clear" w:color="000000" w:fill="BFBFBF"/>
            <w:vAlign w:val="center"/>
            <w:hideMark/>
          </w:tcPr>
          <w:p w14:paraId="568F7A15"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2028</w:t>
            </w:r>
          </w:p>
        </w:tc>
      </w:tr>
      <w:tr w:rsidR="00BC63F9" w:rsidRPr="00AD43DE" w14:paraId="58C12EFA" w14:textId="77777777" w:rsidTr="00BC63F9">
        <w:trPr>
          <w:trHeight w:val="300"/>
          <w:jc w:val="center"/>
        </w:trPr>
        <w:tc>
          <w:tcPr>
            <w:tcW w:w="3969" w:type="dxa"/>
            <w:tcBorders>
              <w:top w:val="nil"/>
              <w:left w:val="nil"/>
              <w:bottom w:val="single" w:sz="4" w:space="0" w:color="FFFFFF"/>
              <w:right w:val="nil"/>
            </w:tcBorders>
            <w:shd w:val="clear" w:color="000000" w:fill="F2F2F2"/>
            <w:vAlign w:val="center"/>
            <w:hideMark/>
          </w:tcPr>
          <w:p w14:paraId="39D77663" w14:textId="77777777" w:rsidR="00AD43DE" w:rsidRPr="00AD43DE" w:rsidRDefault="00AD43DE" w:rsidP="00AD43DE">
            <w:pPr>
              <w:spacing w:after="0" w:line="240" w:lineRule="auto"/>
              <w:jc w:val="left"/>
              <w:rPr>
                <w:rFonts w:ascii="Calibri" w:eastAsia="Times New Roman" w:hAnsi="Calibri" w:cs="Calibri"/>
                <w:sz w:val="22"/>
              </w:rPr>
            </w:pPr>
            <w:r w:rsidRPr="00AD43DE">
              <w:rPr>
                <w:rFonts w:ascii="Calibri" w:eastAsia="Times New Roman" w:hAnsi="Calibri" w:cs="Calibri"/>
                <w:sz w:val="22"/>
              </w:rPr>
              <w:t>National PIB</w:t>
            </w:r>
          </w:p>
        </w:tc>
        <w:tc>
          <w:tcPr>
            <w:tcW w:w="849" w:type="dxa"/>
            <w:tcBorders>
              <w:top w:val="nil"/>
              <w:left w:val="nil"/>
              <w:bottom w:val="single" w:sz="4" w:space="0" w:color="FFFFFF"/>
              <w:right w:val="nil"/>
            </w:tcBorders>
            <w:shd w:val="clear" w:color="000000" w:fill="F2F2F2"/>
            <w:vAlign w:val="center"/>
            <w:hideMark/>
          </w:tcPr>
          <w:p w14:paraId="19E584D1"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1,716</w:t>
            </w:r>
          </w:p>
        </w:tc>
        <w:tc>
          <w:tcPr>
            <w:tcW w:w="848" w:type="dxa"/>
            <w:tcBorders>
              <w:top w:val="nil"/>
              <w:left w:val="nil"/>
              <w:bottom w:val="single" w:sz="4" w:space="0" w:color="FFFFFF"/>
              <w:right w:val="nil"/>
            </w:tcBorders>
            <w:shd w:val="clear" w:color="000000" w:fill="F2F2F2"/>
            <w:vAlign w:val="center"/>
            <w:hideMark/>
          </w:tcPr>
          <w:p w14:paraId="1524F908"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2,650</w:t>
            </w:r>
          </w:p>
        </w:tc>
        <w:tc>
          <w:tcPr>
            <w:tcW w:w="828" w:type="dxa"/>
            <w:tcBorders>
              <w:top w:val="nil"/>
              <w:left w:val="nil"/>
              <w:bottom w:val="single" w:sz="4" w:space="0" w:color="FFFFFF"/>
              <w:right w:val="nil"/>
            </w:tcBorders>
            <w:shd w:val="clear" w:color="000000" w:fill="F2F2F2"/>
            <w:vAlign w:val="center"/>
            <w:hideMark/>
          </w:tcPr>
          <w:p w14:paraId="467256BD"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2,750</w:t>
            </w:r>
          </w:p>
        </w:tc>
        <w:tc>
          <w:tcPr>
            <w:tcW w:w="828" w:type="dxa"/>
            <w:tcBorders>
              <w:top w:val="nil"/>
              <w:left w:val="nil"/>
              <w:bottom w:val="single" w:sz="4" w:space="0" w:color="FFFFFF"/>
              <w:right w:val="nil"/>
            </w:tcBorders>
            <w:shd w:val="clear" w:color="000000" w:fill="F2F2F2"/>
            <w:vAlign w:val="center"/>
            <w:hideMark/>
          </w:tcPr>
          <w:p w14:paraId="2B76584B"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2,800</w:t>
            </w:r>
          </w:p>
        </w:tc>
        <w:tc>
          <w:tcPr>
            <w:tcW w:w="840" w:type="dxa"/>
            <w:tcBorders>
              <w:top w:val="nil"/>
              <w:left w:val="nil"/>
              <w:bottom w:val="single" w:sz="4" w:space="0" w:color="FFFFFF"/>
              <w:right w:val="nil"/>
            </w:tcBorders>
            <w:shd w:val="clear" w:color="000000" w:fill="F2F2F2"/>
            <w:vAlign w:val="center"/>
            <w:hideMark/>
          </w:tcPr>
          <w:p w14:paraId="76260198"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3,000</w:t>
            </w:r>
          </w:p>
        </w:tc>
        <w:tc>
          <w:tcPr>
            <w:tcW w:w="851" w:type="dxa"/>
            <w:tcBorders>
              <w:top w:val="nil"/>
              <w:left w:val="nil"/>
              <w:bottom w:val="single" w:sz="4" w:space="0" w:color="FFFFFF"/>
              <w:right w:val="nil"/>
            </w:tcBorders>
            <w:shd w:val="clear" w:color="000000" w:fill="F2F2F2"/>
            <w:vAlign w:val="center"/>
            <w:hideMark/>
          </w:tcPr>
          <w:p w14:paraId="2B1827F2"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3,200</w:t>
            </w:r>
          </w:p>
        </w:tc>
      </w:tr>
      <w:tr w:rsidR="00BC63F9" w:rsidRPr="00AD43DE" w14:paraId="45B30BA6" w14:textId="77777777" w:rsidTr="00BC63F9">
        <w:trPr>
          <w:trHeight w:val="300"/>
          <w:jc w:val="center"/>
        </w:trPr>
        <w:tc>
          <w:tcPr>
            <w:tcW w:w="3969" w:type="dxa"/>
            <w:tcBorders>
              <w:top w:val="nil"/>
              <w:left w:val="nil"/>
              <w:bottom w:val="single" w:sz="4" w:space="0" w:color="FFFFFF"/>
              <w:right w:val="nil"/>
            </w:tcBorders>
            <w:shd w:val="clear" w:color="000000" w:fill="D9D9D9"/>
            <w:vAlign w:val="center"/>
            <w:hideMark/>
          </w:tcPr>
          <w:p w14:paraId="06341247" w14:textId="77777777" w:rsidR="00AD43DE" w:rsidRPr="00AD43DE" w:rsidRDefault="00AD43DE" w:rsidP="00AD43DE">
            <w:pPr>
              <w:spacing w:after="0" w:line="240" w:lineRule="auto"/>
              <w:jc w:val="left"/>
              <w:rPr>
                <w:rFonts w:ascii="Calibri" w:eastAsia="Times New Roman" w:hAnsi="Calibri" w:cs="Calibri"/>
                <w:sz w:val="22"/>
              </w:rPr>
            </w:pPr>
            <w:r w:rsidRPr="00AD43DE">
              <w:rPr>
                <w:rFonts w:ascii="Calibri" w:eastAsia="Times New Roman" w:hAnsi="Calibri" w:cs="Calibri"/>
                <w:sz w:val="22"/>
              </w:rPr>
              <w:t>Co-funded PIB</w:t>
            </w:r>
          </w:p>
        </w:tc>
        <w:tc>
          <w:tcPr>
            <w:tcW w:w="849" w:type="dxa"/>
            <w:tcBorders>
              <w:top w:val="nil"/>
              <w:left w:val="nil"/>
              <w:bottom w:val="single" w:sz="4" w:space="0" w:color="FFFFFF"/>
              <w:right w:val="nil"/>
            </w:tcBorders>
            <w:shd w:val="clear" w:color="000000" w:fill="D9D9D9"/>
            <w:vAlign w:val="center"/>
            <w:hideMark/>
          </w:tcPr>
          <w:p w14:paraId="16ADDF06"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6,817</w:t>
            </w:r>
          </w:p>
        </w:tc>
        <w:tc>
          <w:tcPr>
            <w:tcW w:w="848" w:type="dxa"/>
            <w:tcBorders>
              <w:top w:val="nil"/>
              <w:left w:val="nil"/>
              <w:bottom w:val="single" w:sz="4" w:space="0" w:color="FFFFFF"/>
              <w:right w:val="nil"/>
            </w:tcBorders>
            <w:shd w:val="clear" w:color="000000" w:fill="D9D9D9"/>
            <w:vAlign w:val="center"/>
            <w:hideMark/>
          </w:tcPr>
          <w:p w14:paraId="2751A99F"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6,800</w:t>
            </w:r>
          </w:p>
        </w:tc>
        <w:tc>
          <w:tcPr>
            <w:tcW w:w="828" w:type="dxa"/>
            <w:tcBorders>
              <w:top w:val="nil"/>
              <w:left w:val="nil"/>
              <w:bottom w:val="single" w:sz="4" w:space="0" w:color="FFFFFF"/>
              <w:right w:val="nil"/>
            </w:tcBorders>
            <w:shd w:val="clear" w:color="000000" w:fill="D9D9D9"/>
            <w:vAlign w:val="center"/>
            <w:hideMark/>
          </w:tcPr>
          <w:p w14:paraId="02E4F455"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6,450</w:t>
            </w:r>
          </w:p>
        </w:tc>
        <w:tc>
          <w:tcPr>
            <w:tcW w:w="828" w:type="dxa"/>
            <w:tcBorders>
              <w:top w:val="nil"/>
              <w:left w:val="nil"/>
              <w:bottom w:val="single" w:sz="4" w:space="0" w:color="FFFFFF"/>
              <w:right w:val="nil"/>
            </w:tcBorders>
            <w:shd w:val="clear" w:color="000000" w:fill="D9D9D9"/>
            <w:vAlign w:val="center"/>
            <w:hideMark/>
          </w:tcPr>
          <w:p w14:paraId="247E23DE"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6,450</w:t>
            </w:r>
          </w:p>
        </w:tc>
        <w:tc>
          <w:tcPr>
            <w:tcW w:w="840" w:type="dxa"/>
            <w:tcBorders>
              <w:top w:val="nil"/>
              <w:left w:val="nil"/>
              <w:bottom w:val="single" w:sz="4" w:space="0" w:color="FFFFFF"/>
              <w:right w:val="nil"/>
            </w:tcBorders>
            <w:shd w:val="clear" w:color="000000" w:fill="D9D9D9"/>
            <w:vAlign w:val="center"/>
            <w:hideMark/>
          </w:tcPr>
          <w:p w14:paraId="1632BDF7"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6,500</w:t>
            </w:r>
          </w:p>
        </w:tc>
        <w:tc>
          <w:tcPr>
            <w:tcW w:w="851" w:type="dxa"/>
            <w:tcBorders>
              <w:top w:val="nil"/>
              <w:left w:val="nil"/>
              <w:bottom w:val="single" w:sz="4" w:space="0" w:color="FFFFFF"/>
              <w:right w:val="nil"/>
            </w:tcBorders>
            <w:shd w:val="clear" w:color="000000" w:fill="D9D9D9"/>
            <w:vAlign w:val="center"/>
            <w:hideMark/>
          </w:tcPr>
          <w:p w14:paraId="33AE6DB2"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6,500</w:t>
            </w:r>
          </w:p>
        </w:tc>
      </w:tr>
      <w:tr w:rsidR="00BC63F9" w:rsidRPr="00AD43DE" w14:paraId="78C0872A" w14:textId="77777777" w:rsidTr="00BC63F9">
        <w:trPr>
          <w:trHeight w:val="300"/>
          <w:jc w:val="center"/>
        </w:trPr>
        <w:tc>
          <w:tcPr>
            <w:tcW w:w="3969" w:type="dxa"/>
            <w:tcBorders>
              <w:top w:val="nil"/>
              <w:left w:val="nil"/>
              <w:bottom w:val="single" w:sz="4" w:space="0" w:color="FFFFFF"/>
              <w:right w:val="nil"/>
            </w:tcBorders>
            <w:shd w:val="clear" w:color="000000" w:fill="F2F2F2"/>
            <w:vAlign w:val="center"/>
            <w:hideMark/>
          </w:tcPr>
          <w:p w14:paraId="00D2ABD0" w14:textId="77777777" w:rsidR="00AD43DE" w:rsidRPr="00AD43DE" w:rsidRDefault="00AD43DE" w:rsidP="00AD43DE">
            <w:pPr>
              <w:spacing w:after="0" w:line="240" w:lineRule="auto"/>
              <w:jc w:val="left"/>
              <w:rPr>
                <w:rFonts w:ascii="Calibri" w:eastAsia="Times New Roman" w:hAnsi="Calibri" w:cs="Calibri"/>
                <w:sz w:val="22"/>
              </w:rPr>
            </w:pPr>
            <w:r w:rsidRPr="00AD43DE">
              <w:rPr>
                <w:rFonts w:ascii="Calibri" w:eastAsia="Times New Roman" w:hAnsi="Calibri" w:cs="Calibri"/>
                <w:sz w:val="22"/>
              </w:rPr>
              <w:t>RRF grants transfers</w:t>
            </w:r>
          </w:p>
        </w:tc>
        <w:tc>
          <w:tcPr>
            <w:tcW w:w="849" w:type="dxa"/>
            <w:tcBorders>
              <w:top w:val="nil"/>
              <w:left w:val="nil"/>
              <w:bottom w:val="single" w:sz="4" w:space="0" w:color="FFFFFF"/>
              <w:right w:val="nil"/>
            </w:tcBorders>
            <w:shd w:val="clear" w:color="000000" w:fill="F2F2F2"/>
            <w:vAlign w:val="center"/>
            <w:hideMark/>
          </w:tcPr>
          <w:p w14:paraId="2D15E922"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2,089</w:t>
            </w:r>
          </w:p>
        </w:tc>
        <w:tc>
          <w:tcPr>
            <w:tcW w:w="848" w:type="dxa"/>
            <w:tcBorders>
              <w:top w:val="nil"/>
              <w:left w:val="nil"/>
              <w:bottom w:val="single" w:sz="4" w:space="0" w:color="FFFFFF"/>
              <w:right w:val="nil"/>
            </w:tcBorders>
            <w:shd w:val="clear" w:color="000000" w:fill="F2F2F2"/>
            <w:vAlign w:val="center"/>
            <w:hideMark/>
          </w:tcPr>
          <w:p w14:paraId="3C9D9B63"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3,617</w:t>
            </w:r>
          </w:p>
        </w:tc>
        <w:tc>
          <w:tcPr>
            <w:tcW w:w="828" w:type="dxa"/>
            <w:tcBorders>
              <w:top w:val="nil"/>
              <w:left w:val="nil"/>
              <w:bottom w:val="single" w:sz="4" w:space="0" w:color="FFFFFF"/>
              <w:right w:val="nil"/>
            </w:tcBorders>
            <w:shd w:val="clear" w:color="000000" w:fill="F2F2F2"/>
            <w:vAlign w:val="center"/>
            <w:hideMark/>
          </w:tcPr>
          <w:p w14:paraId="055F08BC"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5,140</w:t>
            </w:r>
          </w:p>
        </w:tc>
        <w:tc>
          <w:tcPr>
            <w:tcW w:w="828" w:type="dxa"/>
            <w:tcBorders>
              <w:top w:val="nil"/>
              <w:left w:val="nil"/>
              <w:bottom w:val="single" w:sz="4" w:space="0" w:color="FFFFFF"/>
              <w:right w:val="nil"/>
            </w:tcBorders>
            <w:shd w:val="clear" w:color="000000" w:fill="F2F2F2"/>
            <w:vAlign w:val="center"/>
            <w:hideMark/>
          </w:tcPr>
          <w:p w14:paraId="29DED556"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6,663</w:t>
            </w:r>
          </w:p>
        </w:tc>
        <w:tc>
          <w:tcPr>
            <w:tcW w:w="840" w:type="dxa"/>
            <w:tcBorders>
              <w:top w:val="nil"/>
              <w:left w:val="nil"/>
              <w:bottom w:val="single" w:sz="4" w:space="0" w:color="FFFFFF"/>
              <w:right w:val="nil"/>
            </w:tcBorders>
            <w:shd w:val="clear" w:color="000000" w:fill="F2F2F2"/>
            <w:vAlign w:val="center"/>
            <w:hideMark/>
          </w:tcPr>
          <w:p w14:paraId="64AB1131"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 </w:t>
            </w:r>
          </w:p>
        </w:tc>
        <w:tc>
          <w:tcPr>
            <w:tcW w:w="851" w:type="dxa"/>
            <w:tcBorders>
              <w:top w:val="nil"/>
              <w:left w:val="nil"/>
              <w:bottom w:val="single" w:sz="4" w:space="0" w:color="FFFFFF"/>
              <w:right w:val="nil"/>
            </w:tcBorders>
            <w:shd w:val="clear" w:color="000000" w:fill="F2F2F2"/>
            <w:vAlign w:val="center"/>
            <w:hideMark/>
          </w:tcPr>
          <w:p w14:paraId="11BF738C"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 </w:t>
            </w:r>
          </w:p>
        </w:tc>
      </w:tr>
      <w:tr w:rsidR="00BC63F9" w:rsidRPr="00AD43DE" w14:paraId="2A9A7222" w14:textId="77777777" w:rsidTr="00BC63F9">
        <w:trPr>
          <w:trHeight w:val="300"/>
          <w:jc w:val="center"/>
        </w:trPr>
        <w:tc>
          <w:tcPr>
            <w:tcW w:w="3969" w:type="dxa"/>
            <w:tcBorders>
              <w:top w:val="nil"/>
              <w:left w:val="nil"/>
              <w:bottom w:val="single" w:sz="4" w:space="0" w:color="FFFFFF"/>
              <w:right w:val="nil"/>
            </w:tcBorders>
            <w:shd w:val="clear" w:color="000000" w:fill="D9D9D9"/>
            <w:vAlign w:val="center"/>
            <w:hideMark/>
          </w:tcPr>
          <w:p w14:paraId="0D0E5723" w14:textId="77777777" w:rsidR="00AD43DE" w:rsidRPr="00AD43DE" w:rsidRDefault="00AD43DE" w:rsidP="00AD43DE">
            <w:pPr>
              <w:spacing w:after="0" w:line="240" w:lineRule="auto"/>
              <w:jc w:val="left"/>
              <w:rPr>
                <w:rFonts w:ascii="Calibri" w:eastAsia="Times New Roman" w:hAnsi="Calibri" w:cs="Calibri"/>
                <w:sz w:val="22"/>
              </w:rPr>
            </w:pPr>
            <w:r w:rsidRPr="00AD43DE">
              <w:rPr>
                <w:rFonts w:ascii="Calibri" w:eastAsia="Times New Roman" w:hAnsi="Calibri" w:cs="Calibri"/>
                <w:sz w:val="22"/>
              </w:rPr>
              <w:t>RRF Loan approvals</w:t>
            </w:r>
          </w:p>
        </w:tc>
        <w:tc>
          <w:tcPr>
            <w:tcW w:w="849" w:type="dxa"/>
            <w:tcBorders>
              <w:top w:val="nil"/>
              <w:left w:val="nil"/>
              <w:bottom w:val="single" w:sz="4" w:space="0" w:color="FFFFFF"/>
              <w:right w:val="nil"/>
            </w:tcBorders>
            <w:shd w:val="clear" w:color="000000" w:fill="D9D9D9"/>
            <w:vAlign w:val="center"/>
            <w:hideMark/>
          </w:tcPr>
          <w:p w14:paraId="7A319D5F"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3,377</w:t>
            </w:r>
          </w:p>
        </w:tc>
        <w:tc>
          <w:tcPr>
            <w:tcW w:w="848" w:type="dxa"/>
            <w:tcBorders>
              <w:top w:val="nil"/>
              <w:left w:val="nil"/>
              <w:bottom w:val="single" w:sz="4" w:space="0" w:color="FFFFFF"/>
              <w:right w:val="nil"/>
            </w:tcBorders>
            <w:shd w:val="clear" w:color="000000" w:fill="D9D9D9"/>
            <w:vAlign w:val="center"/>
            <w:hideMark/>
          </w:tcPr>
          <w:p w14:paraId="5C6F4689"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3,817</w:t>
            </w:r>
          </w:p>
        </w:tc>
        <w:tc>
          <w:tcPr>
            <w:tcW w:w="828" w:type="dxa"/>
            <w:tcBorders>
              <w:top w:val="nil"/>
              <w:left w:val="nil"/>
              <w:bottom w:val="single" w:sz="4" w:space="0" w:color="FFFFFF"/>
              <w:right w:val="nil"/>
            </w:tcBorders>
            <w:shd w:val="clear" w:color="000000" w:fill="D9D9D9"/>
            <w:vAlign w:val="center"/>
            <w:hideMark/>
          </w:tcPr>
          <w:p w14:paraId="33F1EDE1"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4,920</w:t>
            </w:r>
          </w:p>
        </w:tc>
        <w:tc>
          <w:tcPr>
            <w:tcW w:w="828" w:type="dxa"/>
            <w:tcBorders>
              <w:top w:val="nil"/>
              <w:left w:val="nil"/>
              <w:bottom w:val="single" w:sz="4" w:space="0" w:color="FFFFFF"/>
              <w:right w:val="nil"/>
            </w:tcBorders>
            <w:shd w:val="clear" w:color="000000" w:fill="D9D9D9"/>
            <w:vAlign w:val="center"/>
            <w:hideMark/>
          </w:tcPr>
          <w:p w14:paraId="633FB118"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lang w:val="en-US"/>
              </w:rPr>
              <w:t>4,436</w:t>
            </w:r>
          </w:p>
        </w:tc>
        <w:tc>
          <w:tcPr>
            <w:tcW w:w="840" w:type="dxa"/>
            <w:tcBorders>
              <w:top w:val="nil"/>
              <w:left w:val="nil"/>
              <w:bottom w:val="single" w:sz="4" w:space="0" w:color="FFFFFF"/>
              <w:right w:val="nil"/>
            </w:tcBorders>
            <w:shd w:val="clear" w:color="000000" w:fill="D9D9D9"/>
            <w:vAlign w:val="center"/>
            <w:hideMark/>
          </w:tcPr>
          <w:p w14:paraId="1D79D630"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 </w:t>
            </w:r>
          </w:p>
        </w:tc>
        <w:tc>
          <w:tcPr>
            <w:tcW w:w="851" w:type="dxa"/>
            <w:tcBorders>
              <w:top w:val="nil"/>
              <w:left w:val="nil"/>
              <w:bottom w:val="single" w:sz="4" w:space="0" w:color="FFFFFF"/>
              <w:right w:val="nil"/>
            </w:tcBorders>
            <w:shd w:val="clear" w:color="000000" w:fill="D9D9D9"/>
            <w:vAlign w:val="center"/>
            <w:hideMark/>
          </w:tcPr>
          <w:p w14:paraId="661ABB90"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 </w:t>
            </w:r>
          </w:p>
        </w:tc>
      </w:tr>
      <w:tr w:rsidR="00BC63F9" w:rsidRPr="00AD43DE" w14:paraId="325D8008" w14:textId="77777777" w:rsidTr="00BC63F9">
        <w:trPr>
          <w:trHeight w:val="300"/>
          <w:jc w:val="center"/>
        </w:trPr>
        <w:tc>
          <w:tcPr>
            <w:tcW w:w="3969" w:type="dxa"/>
            <w:tcBorders>
              <w:top w:val="nil"/>
              <w:left w:val="nil"/>
              <w:bottom w:val="single" w:sz="4" w:space="0" w:color="FFFFFF"/>
              <w:right w:val="nil"/>
            </w:tcBorders>
            <w:shd w:val="clear" w:color="000000" w:fill="F2F2F2"/>
            <w:vAlign w:val="center"/>
            <w:hideMark/>
          </w:tcPr>
          <w:p w14:paraId="02194EA2" w14:textId="77777777" w:rsidR="00AD43DE" w:rsidRPr="00AD43DE" w:rsidRDefault="00AD43DE" w:rsidP="00AD43DE">
            <w:pPr>
              <w:spacing w:after="0" w:line="240" w:lineRule="auto"/>
              <w:jc w:val="left"/>
              <w:rPr>
                <w:rFonts w:ascii="Calibri" w:eastAsia="Times New Roman" w:hAnsi="Calibri" w:cs="Calibri"/>
                <w:sz w:val="22"/>
              </w:rPr>
            </w:pPr>
            <w:r w:rsidRPr="00AD43DE">
              <w:rPr>
                <w:rFonts w:ascii="Calibri" w:eastAsia="Times New Roman" w:hAnsi="Calibri" w:cs="Calibri"/>
                <w:sz w:val="22"/>
              </w:rPr>
              <w:t>RRF Loan cash withdrawals</w:t>
            </w:r>
          </w:p>
        </w:tc>
        <w:tc>
          <w:tcPr>
            <w:tcW w:w="849" w:type="dxa"/>
            <w:tcBorders>
              <w:top w:val="nil"/>
              <w:left w:val="nil"/>
              <w:bottom w:val="single" w:sz="4" w:space="0" w:color="FFFFFF"/>
              <w:right w:val="nil"/>
            </w:tcBorders>
            <w:shd w:val="clear" w:color="000000" w:fill="F2F2F2"/>
            <w:vAlign w:val="center"/>
            <w:hideMark/>
          </w:tcPr>
          <w:p w14:paraId="1FEA4CE2"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961</w:t>
            </w:r>
          </w:p>
        </w:tc>
        <w:tc>
          <w:tcPr>
            <w:tcW w:w="848" w:type="dxa"/>
            <w:tcBorders>
              <w:top w:val="nil"/>
              <w:left w:val="nil"/>
              <w:bottom w:val="single" w:sz="4" w:space="0" w:color="FFFFFF"/>
              <w:right w:val="nil"/>
            </w:tcBorders>
            <w:shd w:val="clear" w:color="000000" w:fill="F2F2F2"/>
            <w:vAlign w:val="center"/>
            <w:hideMark/>
          </w:tcPr>
          <w:p w14:paraId="7A943E23"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1,789</w:t>
            </w:r>
          </w:p>
        </w:tc>
        <w:tc>
          <w:tcPr>
            <w:tcW w:w="828" w:type="dxa"/>
            <w:tcBorders>
              <w:top w:val="nil"/>
              <w:left w:val="nil"/>
              <w:bottom w:val="single" w:sz="4" w:space="0" w:color="FFFFFF"/>
              <w:right w:val="nil"/>
            </w:tcBorders>
            <w:shd w:val="clear" w:color="000000" w:fill="F2F2F2"/>
            <w:vAlign w:val="center"/>
            <w:hideMark/>
          </w:tcPr>
          <w:p w14:paraId="2420B2DD"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4,615</w:t>
            </w:r>
          </w:p>
        </w:tc>
        <w:tc>
          <w:tcPr>
            <w:tcW w:w="828" w:type="dxa"/>
            <w:tcBorders>
              <w:top w:val="nil"/>
              <w:left w:val="nil"/>
              <w:bottom w:val="single" w:sz="4" w:space="0" w:color="FFFFFF"/>
              <w:right w:val="nil"/>
            </w:tcBorders>
            <w:shd w:val="clear" w:color="000000" w:fill="F2F2F2"/>
            <w:vAlign w:val="center"/>
            <w:hideMark/>
          </w:tcPr>
          <w:p w14:paraId="157A7C5D"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4,968</w:t>
            </w:r>
          </w:p>
        </w:tc>
        <w:tc>
          <w:tcPr>
            <w:tcW w:w="840" w:type="dxa"/>
            <w:tcBorders>
              <w:top w:val="nil"/>
              <w:left w:val="nil"/>
              <w:bottom w:val="single" w:sz="4" w:space="0" w:color="FFFFFF"/>
              <w:right w:val="nil"/>
            </w:tcBorders>
            <w:shd w:val="clear" w:color="000000" w:fill="F2F2F2"/>
            <w:vAlign w:val="center"/>
            <w:hideMark/>
          </w:tcPr>
          <w:p w14:paraId="1701B87B"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3,695</w:t>
            </w:r>
          </w:p>
        </w:tc>
        <w:tc>
          <w:tcPr>
            <w:tcW w:w="851" w:type="dxa"/>
            <w:tcBorders>
              <w:top w:val="nil"/>
              <w:left w:val="nil"/>
              <w:bottom w:val="single" w:sz="4" w:space="0" w:color="FFFFFF"/>
              <w:right w:val="nil"/>
            </w:tcBorders>
            <w:shd w:val="clear" w:color="000000" w:fill="F2F2F2"/>
            <w:vAlign w:val="center"/>
            <w:hideMark/>
          </w:tcPr>
          <w:p w14:paraId="380EFF1B" w14:textId="77777777" w:rsidR="00AD43DE" w:rsidRPr="00AD43DE" w:rsidRDefault="00AD43DE" w:rsidP="00AD43DE">
            <w:pPr>
              <w:spacing w:after="0" w:line="240" w:lineRule="auto"/>
              <w:jc w:val="center"/>
              <w:rPr>
                <w:rFonts w:ascii="Calibri" w:eastAsia="Times New Roman" w:hAnsi="Calibri" w:cs="Calibri"/>
                <w:sz w:val="22"/>
              </w:rPr>
            </w:pPr>
            <w:r w:rsidRPr="00AD43DE">
              <w:rPr>
                <w:rFonts w:ascii="Calibri" w:eastAsia="Times New Roman" w:hAnsi="Calibri" w:cs="Calibri"/>
                <w:sz w:val="22"/>
              </w:rPr>
              <w:t>1,479</w:t>
            </w:r>
          </w:p>
        </w:tc>
      </w:tr>
      <w:tr w:rsidR="00BC63F9" w:rsidRPr="00AD43DE" w14:paraId="30248A13" w14:textId="77777777" w:rsidTr="006F3147">
        <w:trPr>
          <w:trHeight w:val="411"/>
          <w:jc w:val="center"/>
        </w:trPr>
        <w:tc>
          <w:tcPr>
            <w:tcW w:w="3969" w:type="dxa"/>
            <w:tcBorders>
              <w:top w:val="single" w:sz="4" w:space="0" w:color="FFFFFF"/>
              <w:left w:val="nil"/>
              <w:bottom w:val="single" w:sz="18" w:space="0" w:color="4F81BD" w:themeColor="accent1"/>
              <w:right w:val="nil"/>
            </w:tcBorders>
            <w:shd w:val="clear" w:color="000000" w:fill="BFBFBF"/>
            <w:vAlign w:val="center"/>
            <w:hideMark/>
          </w:tcPr>
          <w:p w14:paraId="480588D9" w14:textId="77777777" w:rsidR="00AD43DE" w:rsidRPr="00AD43DE" w:rsidRDefault="00AD43DE" w:rsidP="00AD43DE">
            <w:pPr>
              <w:spacing w:after="0" w:line="240" w:lineRule="auto"/>
              <w:jc w:val="left"/>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Total grants &amp; loans disbursements</w:t>
            </w:r>
          </w:p>
        </w:tc>
        <w:tc>
          <w:tcPr>
            <w:tcW w:w="849" w:type="dxa"/>
            <w:tcBorders>
              <w:top w:val="single" w:sz="4" w:space="0" w:color="FFFFFF"/>
              <w:left w:val="nil"/>
              <w:bottom w:val="single" w:sz="18" w:space="0" w:color="4F81BD" w:themeColor="accent1"/>
              <w:right w:val="nil"/>
            </w:tcBorders>
            <w:shd w:val="clear" w:color="000000" w:fill="BFBFBF"/>
            <w:vAlign w:val="center"/>
            <w:hideMark/>
          </w:tcPr>
          <w:p w14:paraId="175FD3C9"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11,583</w:t>
            </w:r>
          </w:p>
        </w:tc>
        <w:tc>
          <w:tcPr>
            <w:tcW w:w="848" w:type="dxa"/>
            <w:tcBorders>
              <w:top w:val="single" w:sz="4" w:space="0" w:color="FFFFFF"/>
              <w:left w:val="nil"/>
              <w:bottom w:val="single" w:sz="18" w:space="0" w:color="4F81BD" w:themeColor="accent1"/>
              <w:right w:val="nil"/>
            </w:tcBorders>
            <w:shd w:val="clear" w:color="000000" w:fill="BFBFBF"/>
            <w:vAlign w:val="center"/>
            <w:hideMark/>
          </w:tcPr>
          <w:p w14:paraId="524C8F86"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14,856</w:t>
            </w:r>
          </w:p>
        </w:tc>
        <w:tc>
          <w:tcPr>
            <w:tcW w:w="828" w:type="dxa"/>
            <w:tcBorders>
              <w:top w:val="single" w:sz="4" w:space="0" w:color="FFFFFF"/>
              <w:left w:val="nil"/>
              <w:bottom w:val="single" w:sz="18" w:space="0" w:color="4F81BD" w:themeColor="accent1"/>
              <w:right w:val="nil"/>
            </w:tcBorders>
            <w:shd w:val="clear" w:color="000000" w:fill="BFBFBF"/>
            <w:vAlign w:val="center"/>
            <w:hideMark/>
          </w:tcPr>
          <w:p w14:paraId="5E2AE8C9"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18,954</w:t>
            </w:r>
          </w:p>
        </w:tc>
        <w:tc>
          <w:tcPr>
            <w:tcW w:w="828" w:type="dxa"/>
            <w:tcBorders>
              <w:top w:val="single" w:sz="4" w:space="0" w:color="FFFFFF"/>
              <w:left w:val="nil"/>
              <w:bottom w:val="single" w:sz="18" w:space="0" w:color="4F81BD" w:themeColor="accent1"/>
              <w:right w:val="nil"/>
            </w:tcBorders>
            <w:shd w:val="clear" w:color="000000" w:fill="BFBFBF"/>
            <w:vAlign w:val="center"/>
            <w:hideMark/>
          </w:tcPr>
          <w:p w14:paraId="2F315072"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20,880</w:t>
            </w:r>
          </w:p>
        </w:tc>
        <w:tc>
          <w:tcPr>
            <w:tcW w:w="840" w:type="dxa"/>
            <w:tcBorders>
              <w:top w:val="single" w:sz="4" w:space="0" w:color="FFFFFF"/>
              <w:left w:val="nil"/>
              <w:bottom w:val="single" w:sz="18" w:space="0" w:color="4F81BD" w:themeColor="accent1"/>
              <w:right w:val="nil"/>
            </w:tcBorders>
            <w:shd w:val="clear" w:color="000000" w:fill="BFBFBF"/>
            <w:vAlign w:val="center"/>
            <w:hideMark/>
          </w:tcPr>
          <w:p w14:paraId="11E7EEB2"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13,195</w:t>
            </w:r>
          </w:p>
        </w:tc>
        <w:tc>
          <w:tcPr>
            <w:tcW w:w="851" w:type="dxa"/>
            <w:tcBorders>
              <w:top w:val="single" w:sz="4" w:space="0" w:color="FFFFFF"/>
              <w:left w:val="nil"/>
              <w:bottom w:val="single" w:sz="18" w:space="0" w:color="4F81BD" w:themeColor="accent1"/>
              <w:right w:val="nil"/>
            </w:tcBorders>
            <w:shd w:val="clear" w:color="000000" w:fill="BFBFBF"/>
            <w:vAlign w:val="center"/>
            <w:hideMark/>
          </w:tcPr>
          <w:p w14:paraId="09BCEEDF" w14:textId="77777777" w:rsidR="00AD43DE" w:rsidRPr="00AD43DE" w:rsidRDefault="00AD43DE" w:rsidP="00AD43DE">
            <w:pPr>
              <w:spacing w:after="0" w:line="240" w:lineRule="auto"/>
              <w:jc w:val="center"/>
              <w:rPr>
                <w:rFonts w:ascii="Arial" w:eastAsia="Times New Roman" w:hAnsi="Arial" w:cs="Arial"/>
                <w:b/>
                <w:bCs/>
                <w:color w:val="000000"/>
                <w:sz w:val="20"/>
                <w:szCs w:val="20"/>
              </w:rPr>
            </w:pPr>
            <w:r w:rsidRPr="00AD43DE">
              <w:rPr>
                <w:rFonts w:ascii="Arial" w:eastAsia="Times New Roman" w:hAnsi="Arial" w:cs="Arial"/>
                <w:b/>
                <w:bCs/>
                <w:color w:val="000000"/>
                <w:sz w:val="20"/>
                <w:szCs w:val="20"/>
              </w:rPr>
              <w:t>11,179</w:t>
            </w:r>
          </w:p>
        </w:tc>
      </w:tr>
    </w:tbl>
    <w:p w14:paraId="04D1C310" w14:textId="77777777" w:rsidR="00776FBE" w:rsidRPr="00351CF2" w:rsidRDefault="00351CF2" w:rsidP="00351CF2">
      <w:pPr>
        <w:rPr>
          <w:rFonts w:eastAsiaTheme="minorHAnsi"/>
          <w:i/>
          <w:sz w:val="18"/>
          <w:lang w:val="en-US" w:eastAsia="en-US"/>
        </w:rPr>
      </w:pPr>
      <w:r w:rsidRPr="00351CF2">
        <w:rPr>
          <w:i/>
          <w:sz w:val="20"/>
          <w:lang w:val="en-US"/>
        </w:rPr>
        <w:t>Notes: In million euro. Grants include VAT.</w:t>
      </w:r>
    </w:p>
    <w:p w14:paraId="7E34ED36" w14:textId="5875DB59" w:rsidR="00776FBE" w:rsidRPr="00776FBE" w:rsidRDefault="00776FBE" w:rsidP="00C771E0">
      <w:pPr>
        <w:rPr>
          <w:lang w:val="en-US"/>
        </w:rPr>
      </w:pPr>
      <w:r w:rsidRPr="00776FBE">
        <w:rPr>
          <w:lang w:val="en-US"/>
        </w:rPr>
        <w:lastRenderedPageBreak/>
        <w:t xml:space="preserve">Besides the significant increase in Public Investment, Greece, continues to focus on </w:t>
      </w:r>
      <w:r w:rsidRPr="00776FBE">
        <w:rPr>
          <w:b/>
          <w:bCs/>
          <w:lang w:val="en-US"/>
        </w:rPr>
        <w:t>improving and facilitating business environment</w:t>
      </w:r>
      <w:r w:rsidRPr="00776FBE">
        <w:rPr>
          <w:lang w:val="en-US"/>
        </w:rPr>
        <w:t xml:space="preserve">. Following the reforms of the previous years, as well as the decreases in corporate taxes and social security contributions, new growth enhancing policies announced recently include (a) new incentives for R&amp;D investments, mergers and acquisitions such as over-depreciation up to 315% for investments in startups, angel investors incentives and tax reductions on mergers, (b) abolishing the stamp duty in several business transactions, (c) reducing Golden Visa limit for investment in startups, (d) abolishing telecommunication tax on fiber connections, (e) increasing the available funds for investments in ports infrastructure via both using privatization proceeds and the revenues of a cruise ships tariff, and (f) establishing the </w:t>
      </w:r>
      <w:r w:rsidR="00741B0D">
        <w:rPr>
          <w:lang w:val="en-US"/>
        </w:rPr>
        <w:t>G</w:t>
      </w:r>
      <w:r w:rsidRPr="00776FBE">
        <w:rPr>
          <w:lang w:val="en-US"/>
        </w:rPr>
        <w:t>rowth</w:t>
      </w:r>
      <w:r w:rsidR="00741B0D">
        <w:rPr>
          <w:lang w:val="en-US"/>
        </w:rPr>
        <w:t xml:space="preserve"> F</w:t>
      </w:r>
      <w:r w:rsidRPr="00776FBE">
        <w:rPr>
          <w:lang w:val="en-US"/>
        </w:rPr>
        <w:t xml:space="preserve">und with initial capital of </w:t>
      </w:r>
      <w:r w:rsidR="00695218">
        <w:rPr>
          <w:lang w:val="en-US"/>
        </w:rPr>
        <w:t>€</w:t>
      </w:r>
      <w:r w:rsidRPr="00776FBE">
        <w:rPr>
          <w:lang w:val="en-US"/>
        </w:rPr>
        <w:t xml:space="preserve">300 million to participate in high value added investments. </w:t>
      </w:r>
    </w:p>
    <w:p w14:paraId="6E19ECCB" w14:textId="77777777" w:rsidR="00081E07" w:rsidRDefault="00776FBE" w:rsidP="00081E07">
      <w:pPr>
        <w:rPr>
          <w:lang w:val="en-US"/>
        </w:rPr>
      </w:pPr>
      <w:r w:rsidRPr="00776FBE">
        <w:rPr>
          <w:lang w:val="en-US"/>
        </w:rPr>
        <w:t xml:space="preserve">Finally in the </w:t>
      </w:r>
      <w:r w:rsidRPr="00776FBE">
        <w:rPr>
          <w:b/>
          <w:bCs/>
          <w:lang w:val="en-US"/>
        </w:rPr>
        <w:t>banking sector</w:t>
      </w:r>
      <w:r w:rsidRPr="00776FBE">
        <w:rPr>
          <w:lang w:val="en-US"/>
        </w:rPr>
        <w:t xml:space="preserve"> with the upcoming conclusion of the HAPS scheme, the Attica and Pancreta banks merger and the de-investment of the HFSF from private banks, a healthy banking sector with NPE ratio close to the EU average, is bound to contribute to the growth of the economy.</w:t>
      </w:r>
    </w:p>
    <w:p w14:paraId="10E05B89" w14:textId="77777777" w:rsidR="00081E07" w:rsidRDefault="00081E07">
      <w:pPr>
        <w:spacing w:after="200" w:line="276" w:lineRule="auto"/>
        <w:jc w:val="left"/>
        <w:rPr>
          <w:lang w:val="en-US"/>
        </w:rPr>
      </w:pPr>
      <w:r>
        <w:rPr>
          <w:lang w:val="en-US"/>
        </w:rPr>
        <w:br w:type="page"/>
      </w:r>
    </w:p>
    <w:p w14:paraId="59474C71" w14:textId="739E0986" w:rsidR="00B20130" w:rsidRPr="00B20130" w:rsidRDefault="008E1030" w:rsidP="00081E07">
      <w:pPr>
        <w:pStyle w:val="Heading1"/>
        <w:numPr>
          <w:ilvl w:val="0"/>
          <w:numId w:val="2"/>
        </w:numPr>
        <w:spacing w:after="480"/>
        <w:ind w:left="709" w:hanging="709"/>
        <w:rPr>
          <w:lang w:val="en-US"/>
        </w:rPr>
      </w:pPr>
      <w:bookmarkStart w:id="21" w:name="_Toc178070094"/>
      <w:r w:rsidRPr="008E1030">
        <w:rPr>
          <w:lang w:val="en-US"/>
        </w:rPr>
        <w:lastRenderedPageBreak/>
        <w:t>Debt developments</w:t>
      </w:r>
      <w:bookmarkEnd w:id="21"/>
    </w:p>
    <w:p w14:paraId="1F4C686A" w14:textId="77777777" w:rsidR="008E1030" w:rsidRPr="008E1030" w:rsidRDefault="008E1030" w:rsidP="008E1030">
      <w:pPr>
        <w:rPr>
          <w:lang w:val="en-US"/>
        </w:rPr>
      </w:pPr>
      <w:r w:rsidRPr="008E1030">
        <w:rPr>
          <w:lang w:val="en-US"/>
        </w:rPr>
        <w:t xml:space="preserve">The general government debt is estimated at 153.7% of GDP at the end of 2024, vs 161.9% of GDP in 2023. For the end of 2025, the general government debt is forecast at 149.1% of GDP, i.e., reduced by 4.6 pp compared to 2024. </w:t>
      </w:r>
    </w:p>
    <w:p w14:paraId="514E6A6C" w14:textId="735C0334" w:rsidR="008E1030" w:rsidRPr="008E1030" w:rsidRDefault="008E1030" w:rsidP="008E1030">
      <w:pPr>
        <w:rPr>
          <w:lang w:val="en-US"/>
        </w:rPr>
      </w:pPr>
      <w:r w:rsidRPr="008E1030">
        <w:rPr>
          <w:lang w:val="en-US"/>
        </w:rPr>
        <w:t>The Hellenic Republic continued its issuance activity smoothly, covering the limited financing needs of the current year, mainly, with the syndicated issuances of 10-year and 30-year bond</w:t>
      </w:r>
      <w:r w:rsidR="000279DD">
        <w:rPr>
          <w:lang w:val="en-US"/>
        </w:rPr>
        <w:t>s,</w:t>
      </w:r>
      <w:r w:rsidRPr="008E1030">
        <w:rPr>
          <w:lang w:val="en-US"/>
        </w:rPr>
        <w:t xml:space="preserve"> which had a significant percentage of over-coverage of their offer book and were allocated with priority to final investors. A notable contribution to the annual refinancing is made by the bond re-openings via auctions which are carried out on regular dates according to the already announced program. The total cash reserves of the Hellenic Republic remain at the high levels of recent years.</w:t>
      </w:r>
    </w:p>
    <w:p w14:paraId="660339C7" w14:textId="77777777" w:rsidR="00502748" w:rsidRPr="00502748" w:rsidRDefault="008E1030" w:rsidP="00502748">
      <w:pPr>
        <w:rPr>
          <w:lang w:val="en-US"/>
        </w:rPr>
      </w:pPr>
      <w:r w:rsidRPr="008E1030">
        <w:rPr>
          <w:lang w:val="en-US"/>
        </w:rPr>
        <w:t xml:space="preserve">The early repayment of part of the GLF's European loans, </w:t>
      </w:r>
      <w:r w:rsidR="0047595E">
        <w:rPr>
          <w:lang w:val="en-US"/>
        </w:rPr>
        <w:t>€</w:t>
      </w:r>
      <w:r w:rsidRPr="008E1030">
        <w:rPr>
          <w:lang w:val="en-US"/>
        </w:rPr>
        <w:t xml:space="preserve">2,645 million in December 2022 and </w:t>
      </w:r>
      <w:r w:rsidR="0047595E">
        <w:rPr>
          <w:lang w:val="en-US"/>
        </w:rPr>
        <w:t>€</w:t>
      </w:r>
      <w:r w:rsidRPr="008E1030">
        <w:rPr>
          <w:lang w:val="en-US"/>
        </w:rPr>
        <w:t xml:space="preserve">5,290 million in December 2023, is expected to be continued with further early repayment </w:t>
      </w:r>
      <w:r w:rsidR="00046D16" w:rsidRPr="008E1030">
        <w:rPr>
          <w:lang w:val="en-US"/>
        </w:rPr>
        <w:t xml:space="preserve">by the end of this year </w:t>
      </w:r>
      <w:r w:rsidRPr="008E1030">
        <w:rPr>
          <w:lang w:val="en-US"/>
        </w:rPr>
        <w:t xml:space="preserve">of loans amounting to </w:t>
      </w:r>
      <w:r w:rsidR="0047595E">
        <w:rPr>
          <w:lang w:val="en-US"/>
        </w:rPr>
        <w:t>€</w:t>
      </w:r>
      <w:r w:rsidRPr="008E1030">
        <w:rPr>
          <w:lang w:val="en-US"/>
        </w:rPr>
        <w:t>7,935 million, due in 2026, 2027 and 2028</w:t>
      </w:r>
      <w:r w:rsidRPr="00502748">
        <w:rPr>
          <w:lang w:val="en-US"/>
        </w:rPr>
        <w:t>.</w:t>
      </w:r>
      <w:r w:rsidR="00D76B16" w:rsidRPr="00502748">
        <w:rPr>
          <w:lang w:val="en-US"/>
        </w:rPr>
        <w:t xml:space="preserve"> </w:t>
      </w:r>
      <w:r w:rsidR="00502748" w:rsidRPr="00502748">
        <w:rPr>
          <w:lang w:val="en-US"/>
        </w:rPr>
        <w:t>The effect of this repayment on gross debt level has not been incorporated in the plan’s projections.</w:t>
      </w:r>
    </w:p>
    <w:p w14:paraId="146C0D96" w14:textId="6EA3A0DC" w:rsidR="008E1030" w:rsidRPr="008E1030" w:rsidRDefault="008E1030" w:rsidP="008E1030">
      <w:pPr>
        <w:rPr>
          <w:lang w:val="en-US"/>
        </w:rPr>
      </w:pPr>
      <w:r w:rsidRPr="008E1030">
        <w:rPr>
          <w:lang w:val="en-US"/>
        </w:rPr>
        <w:t>The first rating agency recognized by the ECB to upgrade Hellenic Republic to investment grade status (BBB-) was DBRS Morningstar, at the beginning of September 2023, followed by Standard &amp; Poor's at the end of October 2023 and Fitch at the beginning of December 2023. Similar upgrades were preceded by both R&amp;I, in July 2023, as well as by the recently approved rating agency Scope Ratings in August 2023. Also noteworthy was the two-step upgrade of Hellenic Republic's credit rating by Moody's, from Ba3 to Ba1, in mid-September 2023</w:t>
      </w:r>
      <w:r w:rsidR="000279DD">
        <w:rPr>
          <w:lang w:val="en-US"/>
        </w:rPr>
        <w:t xml:space="preserve"> and with a positive outlook in September 2024</w:t>
      </w:r>
      <w:r w:rsidRPr="008E1030">
        <w:rPr>
          <w:lang w:val="en-US"/>
        </w:rPr>
        <w:t>.</w:t>
      </w:r>
    </w:p>
    <w:p w14:paraId="1051F32F" w14:textId="3FEC62A4" w:rsidR="008E1030" w:rsidRDefault="008E1030" w:rsidP="008E1030">
      <w:pPr>
        <w:rPr>
          <w:lang w:val="en-US"/>
        </w:rPr>
      </w:pPr>
      <w:r w:rsidRPr="008E1030">
        <w:rPr>
          <w:lang w:val="en-US"/>
        </w:rPr>
        <w:t xml:space="preserve">At the end of August 2024, the total of loans granted by the Support Mechanism amounted to </w:t>
      </w:r>
      <w:r w:rsidR="00183D58">
        <w:rPr>
          <w:lang w:val="en-US"/>
        </w:rPr>
        <w:t>€</w:t>
      </w:r>
      <w:r w:rsidRPr="008E1030">
        <w:rPr>
          <w:lang w:val="en-US"/>
        </w:rPr>
        <w:t xml:space="preserve">226,790 million, which, after the full repayment of the International Monetary Fund, consist exclusively of European loans of the </w:t>
      </w:r>
      <w:r w:rsidR="00046D16">
        <w:rPr>
          <w:lang w:val="en-US"/>
        </w:rPr>
        <w:t>M</w:t>
      </w:r>
      <w:r w:rsidRPr="008E1030">
        <w:rPr>
          <w:lang w:val="en-US"/>
        </w:rPr>
        <w:t xml:space="preserve">ember </w:t>
      </w:r>
      <w:r w:rsidR="00046D16">
        <w:rPr>
          <w:lang w:val="en-US"/>
        </w:rPr>
        <w:t>S</w:t>
      </w:r>
      <w:r w:rsidRPr="008E1030">
        <w:rPr>
          <w:lang w:val="en-US"/>
        </w:rPr>
        <w:t>tates of the Eurozone.</w:t>
      </w:r>
    </w:p>
    <w:p w14:paraId="32EB14B0" w14:textId="77777777" w:rsidR="00C949B4" w:rsidRDefault="00C949B4" w:rsidP="008E1030">
      <w:pPr>
        <w:rPr>
          <w:lang w:val="en-US"/>
        </w:rPr>
      </w:pPr>
    </w:p>
    <w:p w14:paraId="7F8569C4" w14:textId="77777777" w:rsidR="004801FE" w:rsidRDefault="004801FE" w:rsidP="008E1030">
      <w:pPr>
        <w:rPr>
          <w:lang w:val="en-US"/>
        </w:rPr>
      </w:pPr>
    </w:p>
    <w:p w14:paraId="3C378F7F" w14:textId="77777777" w:rsidR="004801FE" w:rsidRDefault="004801FE" w:rsidP="008E1030">
      <w:pPr>
        <w:rPr>
          <w:lang w:val="en-US"/>
        </w:rPr>
        <w:sectPr w:rsidR="004801FE" w:rsidSect="006D781A">
          <w:footerReference w:type="first" r:id="rId12"/>
          <w:pgSz w:w="11906" w:h="16838"/>
          <w:pgMar w:top="1304" w:right="1134" w:bottom="1134" w:left="1304" w:header="709" w:footer="709" w:gutter="567"/>
          <w:cols w:space="708"/>
          <w:titlePg/>
          <w:docGrid w:linePitch="360"/>
        </w:sectPr>
      </w:pPr>
    </w:p>
    <w:p w14:paraId="3A88C863" w14:textId="309196D8" w:rsidR="00044C7A" w:rsidRPr="00FE3386" w:rsidRDefault="004459E9" w:rsidP="00FE3386">
      <w:pPr>
        <w:pStyle w:val="Table"/>
      </w:pPr>
      <w:bookmarkStart w:id="22" w:name="_Toc177747037"/>
      <w:r w:rsidRPr="00FE3386">
        <w:lastRenderedPageBreak/>
        <w:t xml:space="preserve">Table </w:t>
      </w:r>
      <w:r w:rsidR="00337799" w:rsidRPr="00FE3386">
        <w:fldChar w:fldCharType="begin"/>
      </w:r>
      <w:r w:rsidR="00337799" w:rsidRPr="00FE3386">
        <w:instrText xml:space="preserve"> SEQ Table \* ARABIC </w:instrText>
      </w:r>
      <w:r w:rsidR="00337799" w:rsidRPr="00FE3386">
        <w:fldChar w:fldCharType="separate"/>
      </w:r>
      <w:r w:rsidR="00824AAF">
        <w:rPr>
          <w:noProof/>
        </w:rPr>
        <w:t>7</w:t>
      </w:r>
      <w:r w:rsidR="00337799" w:rsidRPr="00FE3386">
        <w:fldChar w:fldCharType="end"/>
      </w:r>
      <w:r w:rsidRPr="00FE3386">
        <w:t xml:space="preserve"> </w:t>
      </w:r>
      <w:r w:rsidR="00FE3386">
        <w:t xml:space="preserve">| </w:t>
      </w:r>
      <w:r w:rsidRPr="00FE3386">
        <w:t>Debt and headline balance projections and key underlying assumptions (under the planned fiscal path</w:t>
      </w:r>
      <w:r w:rsidR="0099335D" w:rsidRPr="00FE3386">
        <w:t>)</w:t>
      </w:r>
      <w:bookmarkEnd w:id="22"/>
      <w:r w:rsidRPr="00FE3386">
        <w:tab/>
      </w:r>
    </w:p>
    <w:tbl>
      <w:tblPr>
        <w:tblW w:w="14440" w:type="dxa"/>
        <w:jc w:val="center"/>
        <w:tblLook w:val="04A0" w:firstRow="1" w:lastRow="0" w:firstColumn="1" w:lastColumn="0" w:noHBand="0" w:noVBand="1"/>
      </w:tblPr>
      <w:tblGrid>
        <w:gridCol w:w="440"/>
        <w:gridCol w:w="2821"/>
        <w:gridCol w:w="926"/>
        <w:gridCol w:w="627"/>
        <w:gridCol w:w="641"/>
        <w:gridCol w:w="641"/>
        <w:gridCol w:w="641"/>
        <w:gridCol w:w="641"/>
        <w:gridCol w:w="642"/>
        <w:gridCol w:w="642"/>
        <w:gridCol w:w="642"/>
        <w:gridCol w:w="642"/>
        <w:gridCol w:w="642"/>
        <w:gridCol w:w="642"/>
        <w:gridCol w:w="642"/>
        <w:gridCol w:w="642"/>
        <w:gridCol w:w="642"/>
        <w:gridCol w:w="642"/>
        <w:gridCol w:w="642"/>
      </w:tblGrid>
      <w:tr w:rsidR="007D5ECC" w:rsidRPr="00650A31" w14:paraId="1BA725F8" w14:textId="77777777" w:rsidTr="007D5ECC">
        <w:trPr>
          <w:trHeight w:val="789"/>
          <w:jc w:val="center"/>
        </w:trPr>
        <w:tc>
          <w:tcPr>
            <w:tcW w:w="440" w:type="dxa"/>
            <w:tcBorders>
              <w:top w:val="nil"/>
              <w:left w:val="nil"/>
              <w:bottom w:val="single" w:sz="4" w:space="0" w:color="FFFFFF"/>
              <w:right w:val="nil"/>
            </w:tcBorders>
            <w:shd w:val="clear" w:color="000000" w:fill="BFBFBF"/>
            <w:vAlign w:val="center"/>
            <w:hideMark/>
          </w:tcPr>
          <w:p w14:paraId="2C7C6238" w14:textId="77777777" w:rsidR="007D5ECC" w:rsidRPr="0099335D" w:rsidRDefault="007D5ECC" w:rsidP="00650A31">
            <w:pPr>
              <w:spacing w:after="0" w:line="240" w:lineRule="auto"/>
              <w:jc w:val="center"/>
              <w:rPr>
                <w:rFonts w:ascii="Arial" w:eastAsia="Times New Roman" w:hAnsi="Arial" w:cs="Arial"/>
                <w:b/>
                <w:bCs/>
                <w:color w:val="000000"/>
                <w:sz w:val="20"/>
                <w:szCs w:val="20"/>
                <w:lang w:val="en-US"/>
              </w:rPr>
            </w:pPr>
            <w:r w:rsidRPr="0099335D">
              <w:rPr>
                <w:rFonts w:ascii="Arial" w:eastAsia="Times New Roman" w:hAnsi="Arial" w:cs="Arial"/>
                <w:b/>
                <w:bCs/>
                <w:color w:val="000000"/>
                <w:sz w:val="20"/>
                <w:szCs w:val="20"/>
                <w:lang w:val="en-US"/>
              </w:rPr>
              <w:t> </w:t>
            </w:r>
          </w:p>
        </w:tc>
        <w:tc>
          <w:tcPr>
            <w:tcW w:w="2821" w:type="dxa"/>
            <w:tcBorders>
              <w:top w:val="nil"/>
              <w:left w:val="nil"/>
              <w:bottom w:val="single" w:sz="4" w:space="0" w:color="FFFFFF"/>
              <w:right w:val="nil"/>
            </w:tcBorders>
            <w:shd w:val="clear" w:color="000000" w:fill="BFBFBF"/>
            <w:vAlign w:val="center"/>
            <w:hideMark/>
          </w:tcPr>
          <w:p w14:paraId="3AD0D988" w14:textId="77777777" w:rsidR="007D5ECC" w:rsidRPr="0099335D" w:rsidRDefault="007D5ECC" w:rsidP="00650A31">
            <w:pPr>
              <w:spacing w:after="0" w:line="240" w:lineRule="auto"/>
              <w:jc w:val="left"/>
              <w:rPr>
                <w:rFonts w:ascii="Arial" w:eastAsia="Times New Roman" w:hAnsi="Arial" w:cs="Arial"/>
                <w:b/>
                <w:bCs/>
                <w:color w:val="000000"/>
                <w:sz w:val="20"/>
                <w:szCs w:val="20"/>
                <w:lang w:val="en-US"/>
              </w:rPr>
            </w:pPr>
            <w:r w:rsidRPr="0099335D">
              <w:rPr>
                <w:rFonts w:ascii="Arial" w:eastAsia="Times New Roman" w:hAnsi="Arial" w:cs="Arial"/>
                <w:b/>
                <w:bCs/>
                <w:color w:val="000000"/>
                <w:sz w:val="20"/>
                <w:szCs w:val="20"/>
                <w:lang w:val="en-US"/>
              </w:rPr>
              <w:t> </w:t>
            </w:r>
          </w:p>
        </w:tc>
        <w:tc>
          <w:tcPr>
            <w:tcW w:w="926" w:type="dxa"/>
            <w:tcBorders>
              <w:top w:val="nil"/>
              <w:left w:val="nil"/>
              <w:bottom w:val="single" w:sz="4" w:space="0" w:color="FFFFFF"/>
              <w:right w:val="nil"/>
            </w:tcBorders>
            <w:shd w:val="clear" w:color="000000" w:fill="BFBFBF"/>
            <w:vAlign w:val="center"/>
            <w:hideMark/>
          </w:tcPr>
          <w:p w14:paraId="7936126A" w14:textId="77777777" w:rsidR="007D5ECC" w:rsidRPr="0099335D" w:rsidRDefault="007D5ECC" w:rsidP="00650A31">
            <w:pPr>
              <w:spacing w:after="0" w:line="240" w:lineRule="auto"/>
              <w:jc w:val="left"/>
              <w:rPr>
                <w:rFonts w:ascii="Arial" w:eastAsia="Times New Roman" w:hAnsi="Arial" w:cs="Arial"/>
                <w:b/>
                <w:bCs/>
                <w:color w:val="000000"/>
                <w:sz w:val="20"/>
                <w:szCs w:val="20"/>
                <w:lang w:val="en-US"/>
              </w:rPr>
            </w:pPr>
            <w:r w:rsidRPr="0099335D">
              <w:rPr>
                <w:rFonts w:ascii="Arial" w:eastAsia="Times New Roman" w:hAnsi="Arial" w:cs="Arial"/>
                <w:b/>
                <w:bCs/>
                <w:color w:val="000000"/>
                <w:sz w:val="20"/>
                <w:szCs w:val="20"/>
                <w:lang w:val="en-US"/>
              </w:rPr>
              <w:t> </w:t>
            </w:r>
          </w:p>
        </w:tc>
        <w:tc>
          <w:tcPr>
            <w:tcW w:w="627" w:type="dxa"/>
            <w:tcBorders>
              <w:top w:val="nil"/>
              <w:left w:val="nil"/>
              <w:bottom w:val="single" w:sz="4" w:space="0" w:color="FFFFFF"/>
              <w:right w:val="nil"/>
            </w:tcBorders>
            <w:shd w:val="clear" w:color="000000" w:fill="BFBFBF"/>
            <w:textDirection w:val="btLr"/>
            <w:vAlign w:val="center"/>
            <w:hideMark/>
          </w:tcPr>
          <w:p w14:paraId="2A6D6ECF"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2023</w:t>
            </w:r>
          </w:p>
        </w:tc>
        <w:tc>
          <w:tcPr>
            <w:tcW w:w="641" w:type="dxa"/>
            <w:tcBorders>
              <w:top w:val="nil"/>
              <w:left w:val="nil"/>
              <w:bottom w:val="single" w:sz="4" w:space="0" w:color="FFFFFF"/>
              <w:right w:val="nil"/>
            </w:tcBorders>
            <w:shd w:val="clear" w:color="000000" w:fill="BFBFBF"/>
            <w:textDirection w:val="btLr"/>
            <w:vAlign w:val="center"/>
            <w:hideMark/>
          </w:tcPr>
          <w:p w14:paraId="4340D03E"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2024</w:t>
            </w:r>
          </w:p>
        </w:tc>
        <w:tc>
          <w:tcPr>
            <w:tcW w:w="641" w:type="dxa"/>
            <w:tcBorders>
              <w:top w:val="nil"/>
              <w:left w:val="nil"/>
              <w:bottom w:val="single" w:sz="4" w:space="0" w:color="FFFFFF"/>
              <w:right w:val="nil"/>
            </w:tcBorders>
            <w:shd w:val="clear" w:color="000000" w:fill="BFBFBF"/>
            <w:textDirection w:val="btLr"/>
            <w:vAlign w:val="center"/>
            <w:hideMark/>
          </w:tcPr>
          <w:p w14:paraId="2881BA95"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2025</w:t>
            </w:r>
          </w:p>
        </w:tc>
        <w:tc>
          <w:tcPr>
            <w:tcW w:w="641" w:type="dxa"/>
            <w:tcBorders>
              <w:top w:val="nil"/>
              <w:left w:val="nil"/>
              <w:bottom w:val="single" w:sz="4" w:space="0" w:color="FFFFFF"/>
              <w:right w:val="nil"/>
            </w:tcBorders>
            <w:shd w:val="clear" w:color="000000" w:fill="BFBFBF"/>
            <w:textDirection w:val="btLr"/>
            <w:vAlign w:val="center"/>
            <w:hideMark/>
          </w:tcPr>
          <w:p w14:paraId="13DFBABA"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2026</w:t>
            </w:r>
          </w:p>
        </w:tc>
        <w:tc>
          <w:tcPr>
            <w:tcW w:w="641" w:type="dxa"/>
            <w:tcBorders>
              <w:top w:val="nil"/>
              <w:left w:val="nil"/>
              <w:bottom w:val="single" w:sz="4" w:space="0" w:color="FFFFFF"/>
              <w:right w:val="nil"/>
            </w:tcBorders>
            <w:shd w:val="clear" w:color="000000" w:fill="BFBFBF"/>
            <w:textDirection w:val="btLr"/>
            <w:vAlign w:val="center"/>
            <w:hideMark/>
          </w:tcPr>
          <w:p w14:paraId="090B27D2"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2027</w:t>
            </w:r>
          </w:p>
        </w:tc>
        <w:tc>
          <w:tcPr>
            <w:tcW w:w="642" w:type="dxa"/>
            <w:tcBorders>
              <w:top w:val="nil"/>
              <w:left w:val="nil"/>
              <w:bottom w:val="single" w:sz="4" w:space="0" w:color="FFFFFF"/>
              <w:right w:val="nil"/>
            </w:tcBorders>
            <w:shd w:val="clear" w:color="000000" w:fill="BFBFBF"/>
            <w:textDirection w:val="btLr"/>
            <w:vAlign w:val="center"/>
            <w:hideMark/>
          </w:tcPr>
          <w:p w14:paraId="0C036A40"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2028</w:t>
            </w:r>
          </w:p>
        </w:tc>
        <w:tc>
          <w:tcPr>
            <w:tcW w:w="642" w:type="dxa"/>
            <w:tcBorders>
              <w:top w:val="nil"/>
              <w:left w:val="nil"/>
              <w:bottom w:val="single" w:sz="4" w:space="0" w:color="FFFFFF"/>
              <w:right w:val="nil"/>
            </w:tcBorders>
            <w:shd w:val="clear" w:color="000000" w:fill="BFBFBF"/>
            <w:textDirection w:val="btLr"/>
            <w:vAlign w:val="center"/>
            <w:hideMark/>
          </w:tcPr>
          <w:p w14:paraId="7A0FCD3F"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2029</w:t>
            </w:r>
          </w:p>
        </w:tc>
        <w:tc>
          <w:tcPr>
            <w:tcW w:w="642" w:type="dxa"/>
            <w:tcBorders>
              <w:top w:val="nil"/>
              <w:left w:val="nil"/>
              <w:bottom w:val="single" w:sz="4" w:space="0" w:color="FFFFFF"/>
              <w:right w:val="nil"/>
            </w:tcBorders>
            <w:shd w:val="clear" w:color="000000" w:fill="BFBFBF"/>
            <w:textDirection w:val="btLr"/>
            <w:vAlign w:val="center"/>
            <w:hideMark/>
          </w:tcPr>
          <w:p w14:paraId="4B41EC56"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2030</w:t>
            </w:r>
          </w:p>
        </w:tc>
        <w:tc>
          <w:tcPr>
            <w:tcW w:w="642" w:type="dxa"/>
            <w:tcBorders>
              <w:top w:val="nil"/>
              <w:left w:val="nil"/>
              <w:bottom w:val="single" w:sz="4" w:space="0" w:color="FFFFFF"/>
              <w:right w:val="nil"/>
            </w:tcBorders>
            <w:shd w:val="clear" w:color="000000" w:fill="BFBFBF"/>
            <w:textDirection w:val="btLr"/>
            <w:vAlign w:val="center"/>
            <w:hideMark/>
          </w:tcPr>
          <w:p w14:paraId="3B148239"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2031</w:t>
            </w:r>
          </w:p>
        </w:tc>
        <w:tc>
          <w:tcPr>
            <w:tcW w:w="642" w:type="dxa"/>
            <w:tcBorders>
              <w:top w:val="nil"/>
              <w:left w:val="nil"/>
              <w:bottom w:val="single" w:sz="4" w:space="0" w:color="FFFFFF"/>
              <w:right w:val="nil"/>
            </w:tcBorders>
            <w:shd w:val="clear" w:color="000000" w:fill="BFBFBF"/>
            <w:textDirection w:val="btLr"/>
            <w:vAlign w:val="center"/>
            <w:hideMark/>
          </w:tcPr>
          <w:p w14:paraId="1CD49C87"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2032</w:t>
            </w:r>
          </w:p>
        </w:tc>
        <w:tc>
          <w:tcPr>
            <w:tcW w:w="642" w:type="dxa"/>
            <w:tcBorders>
              <w:top w:val="nil"/>
              <w:left w:val="nil"/>
              <w:bottom w:val="single" w:sz="4" w:space="0" w:color="FFFFFF"/>
              <w:right w:val="nil"/>
            </w:tcBorders>
            <w:shd w:val="clear" w:color="000000" w:fill="BFBFBF"/>
            <w:textDirection w:val="btLr"/>
            <w:vAlign w:val="center"/>
            <w:hideMark/>
          </w:tcPr>
          <w:p w14:paraId="23859606"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2033</w:t>
            </w:r>
          </w:p>
        </w:tc>
        <w:tc>
          <w:tcPr>
            <w:tcW w:w="642" w:type="dxa"/>
            <w:tcBorders>
              <w:top w:val="nil"/>
              <w:left w:val="nil"/>
              <w:bottom w:val="single" w:sz="4" w:space="0" w:color="FFFFFF"/>
              <w:right w:val="nil"/>
            </w:tcBorders>
            <w:shd w:val="clear" w:color="000000" w:fill="BFBFBF"/>
            <w:textDirection w:val="btLr"/>
            <w:vAlign w:val="center"/>
            <w:hideMark/>
          </w:tcPr>
          <w:p w14:paraId="56D939BF"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2034</w:t>
            </w:r>
          </w:p>
        </w:tc>
        <w:tc>
          <w:tcPr>
            <w:tcW w:w="642" w:type="dxa"/>
            <w:tcBorders>
              <w:top w:val="nil"/>
              <w:left w:val="nil"/>
              <w:bottom w:val="single" w:sz="4" w:space="0" w:color="FFFFFF"/>
              <w:right w:val="nil"/>
            </w:tcBorders>
            <w:shd w:val="clear" w:color="000000" w:fill="BFBFBF"/>
            <w:textDirection w:val="btLr"/>
            <w:vAlign w:val="center"/>
            <w:hideMark/>
          </w:tcPr>
          <w:p w14:paraId="66893EDC"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2035</w:t>
            </w:r>
          </w:p>
        </w:tc>
        <w:tc>
          <w:tcPr>
            <w:tcW w:w="642" w:type="dxa"/>
            <w:tcBorders>
              <w:top w:val="nil"/>
              <w:left w:val="nil"/>
              <w:bottom w:val="single" w:sz="4" w:space="0" w:color="FFFFFF"/>
              <w:right w:val="nil"/>
            </w:tcBorders>
            <w:shd w:val="clear" w:color="000000" w:fill="BFBFBF"/>
            <w:textDirection w:val="btLr"/>
            <w:vAlign w:val="center"/>
            <w:hideMark/>
          </w:tcPr>
          <w:p w14:paraId="3A3D5C08"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2036</w:t>
            </w:r>
          </w:p>
        </w:tc>
        <w:tc>
          <w:tcPr>
            <w:tcW w:w="642" w:type="dxa"/>
            <w:tcBorders>
              <w:top w:val="nil"/>
              <w:left w:val="nil"/>
              <w:bottom w:val="single" w:sz="4" w:space="0" w:color="FFFFFF"/>
              <w:right w:val="nil"/>
            </w:tcBorders>
            <w:shd w:val="clear" w:color="000000" w:fill="BFBFBF"/>
            <w:textDirection w:val="btLr"/>
            <w:vAlign w:val="center"/>
            <w:hideMark/>
          </w:tcPr>
          <w:p w14:paraId="5F007E23"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2037</w:t>
            </w:r>
          </w:p>
        </w:tc>
        <w:tc>
          <w:tcPr>
            <w:tcW w:w="642" w:type="dxa"/>
            <w:tcBorders>
              <w:top w:val="nil"/>
              <w:left w:val="nil"/>
              <w:bottom w:val="single" w:sz="4" w:space="0" w:color="FFFFFF"/>
              <w:right w:val="nil"/>
            </w:tcBorders>
            <w:shd w:val="clear" w:color="000000" w:fill="BFBFBF"/>
            <w:textDirection w:val="btLr"/>
            <w:vAlign w:val="center"/>
            <w:hideMark/>
          </w:tcPr>
          <w:p w14:paraId="30F3FFC0" w14:textId="77777777" w:rsidR="007D5ECC" w:rsidRPr="00650A31" w:rsidRDefault="007D5ECC" w:rsidP="00650A31">
            <w:pPr>
              <w:spacing w:after="0" w:line="240" w:lineRule="auto"/>
              <w:jc w:val="center"/>
              <w:rPr>
                <w:rFonts w:ascii="Arial" w:eastAsia="Times New Roman" w:hAnsi="Arial" w:cs="Arial"/>
                <w:b/>
                <w:bCs/>
                <w:color w:val="000000"/>
                <w:sz w:val="20"/>
                <w:szCs w:val="20"/>
              </w:rPr>
            </w:pPr>
            <w:r w:rsidRPr="00650A31">
              <w:rPr>
                <w:rFonts w:ascii="Arial" w:eastAsia="Times New Roman" w:hAnsi="Arial" w:cs="Arial"/>
                <w:b/>
                <w:bCs/>
                <w:color w:val="000000"/>
                <w:sz w:val="20"/>
                <w:szCs w:val="20"/>
              </w:rPr>
              <w:t>2038</w:t>
            </w:r>
          </w:p>
        </w:tc>
      </w:tr>
      <w:tr w:rsidR="007D5ECC" w:rsidRPr="00650A31" w14:paraId="58B43D84"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76685DED" w14:textId="77777777" w:rsidR="007D5ECC" w:rsidRPr="004A7826" w:rsidRDefault="007D5ECC" w:rsidP="007D5ECC">
            <w:pPr>
              <w:pStyle w:val="Tabletext"/>
            </w:pPr>
            <w:r w:rsidRPr="004A7826">
              <w:t>1</w:t>
            </w:r>
          </w:p>
        </w:tc>
        <w:tc>
          <w:tcPr>
            <w:tcW w:w="2821" w:type="dxa"/>
            <w:tcBorders>
              <w:top w:val="nil"/>
              <w:left w:val="nil"/>
              <w:bottom w:val="single" w:sz="4" w:space="0" w:color="FFFFFF"/>
              <w:right w:val="nil"/>
            </w:tcBorders>
            <w:shd w:val="clear" w:color="000000" w:fill="F2F2F2"/>
            <w:vAlign w:val="center"/>
            <w:hideMark/>
          </w:tcPr>
          <w:p w14:paraId="1CE84E34" w14:textId="77777777" w:rsidR="007D5ECC" w:rsidRPr="004A7826" w:rsidRDefault="007D5ECC" w:rsidP="007D5ECC">
            <w:pPr>
              <w:pStyle w:val="Tabletext"/>
            </w:pPr>
            <w:r w:rsidRPr="004A7826">
              <w:t xml:space="preserve">Gross debt   </w:t>
            </w:r>
          </w:p>
        </w:tc>
        <w:tc>
          <w:tcPr>
            <w:tcW w:w="926" w:type="dxa"/>
            <w:tcBorders>
              <w:top w:val="nil"/>
              <w:left w:val="nil"/>
              <w:bottom w:val="single" w:sz="4" w:space="0" w:color="FFFFFF"/>
              <w:right w:val="nil"/>
            </w:tcBorders>
            <w:shd w:val="clear" w:color="000000" w:fill="F2F2F2"/>
            <w:vAlign w:val="center"/>
            <w:hideMark/>
          </w:tcPr>
          <w:p w14:paraId="170CD32C" w14:textId="77777777" w:rsidR="007D5ECC" w:rsidRPr="004A7826" w:rsidRDefault="007D5ECC" w:rsidP="007D5ECC">
            <w:pPr>
              <w:pStyle w:val="Tabletext"/>
              <w:rPr>
                <w:sz w:val="18"/>
                <w:szCs w:val="18"/>
              </w:rPr>
            </w:pPr>
            <w:r w:rsidRPr="004A7826">
              <w:rPr>
                <w:sz w:val="18"/>
                <w:szCs w:val="18"/>
              </w:rPr>
              <w:t>(% GDP)</w:t>
            </w:r>
          </w:p>
        </w:tc>
        <w:tc>
          <w:tcPr>
            <w:tcW w:w="627" w:type="dxa"/>
            <w:tcBorders>
              <w:top w:val="nil"/>
              <w:left w:val="nil"/>
              <w:bottom w:val="single" w:sz="4" w:space="0" w:color="FFFFFF"/>
              <w:right w:val="nil"/>
            </w:tcBorders>
            <w:shd w:val="clear" w:color="000000" w:fill="F2F2F2"/>
            <w:vAlign w:val="center"/>
            <w:hideMark/>
          </w:tcPr>
          <w:p w14:paraId="620DEDE3" w14:textId="77777777" w:rsidR="007D5ECC" w:rsidRPr="004A7826" w:rsidRDefault="007D5ECC" w:rsidP="007D5ECC">
            <w:pPr>
              <w:pStyle w:val="Tabletext"/>
              <w:jc w:val="center"/>
              <w:rPr>
                <w:sz w:val="18"/>
                <w:szCs w:val="18"/>
              </w:rPr>
            </w:pPr>
            <w:r w:rsidRPr="004A7826">
              <w:rPr>
                <w:sz w:val="18"/>
                <w:szCs w:val="18"/>
              </w:rPr>
              <w:t>161.9</w:t>
            </w:r>
          </w:p>
        </w:tc>
        <w:tc>
          <w:tcPr>
            <w:tcW w:w="641" w:type="dxa"/>
            <w:tcBorders>
              <w:top w:val="nil"/>
              <w:left w:val="nil"/>
              <w:bottom w:val="single" w:sz="4" w:space="0" w:color="FFFFFF"/>
              <w:right w:val="nil"/>
            </w:tcBorders>
            <w:shd w:val="clear" w:color="000000" w:fill="F2F2F2"/>
            <w:vAlign w:val="center"/>
            <w:hideMark/>
          </w:tcPr>
          <w:p w14:paraId="4B6C126D" w14:textId="77777777" w:rsidR="007D5ECC" w:rsidRPr="004A7826" w:rsidRDefault="007D5ECC" w:rsidP="007D5ECC">
            <w:pPr>
              <w:pStyle w:val="Tabletext"/>
              <w:jc w:val="center"/>
              <w:rPr>
                <w:sz w:val="18"/>
                <w:szCs w:val="18"/>
              </w:rPr>
            </w:pPr>
            <w:r w:rsidRPr="004A7826">
              <w:rPr>
                <w:sz w:val="18"/>
                <w:szCs w:val="18"/>
              </w:rPr>
              <w:t>153.7</w:t>
            </w:r>
          </w:p>
        </w:tc>
        <w:tc>
          <w:tcPr>
            <w:tcW w:w="641" w:type="dxa"/>
            <w:tcBorders>
              <w:top w:val="nil"/>
              <w:left w:val="nil"/>
              <w:bottom w:val="single" w:sz="4" w:space="0" w:color="FFFFFF"/>
              <w:right w:val="nil"/>
            </w:tcBorders>
            <w:shd w:val="clear" w:color="000000" w:fill="F2F2F2"/>
            <w:vAlign w:val="center"/>
            <w:hideMark/>
          </w:tcPr>
          <w:p w14:paraId="0C0BCE32" w14:textId="77777777" w:rsidR="007D5ECC" w:rsidRPr="004A7826" w:rsidRDefault="007D5ECC" w:rsidP="007D5ECC">
            <w:pPr>
              <w:pStyle w:val="Tabletext"/>
              <w:jc w:val="center"/>
              <w:rPr>
                <w:sz w:val="18"/>
                <w:szCs w:val="18"/>
              </w:rPr>
            </w:pPr>
            <w:r w:rsidRPr="004A7826">
              <w:rPr>
                <w:sz w:val="18"/>
                <w:szCs w:val="18"/>
              </w:rPr>
              <w:t>149.1</w:t>
            </w:r>
          </w:p>
        </w:tc>
        <w:tc>
          <w:tcPr>
            <w:tcW w:w="641" w:type="dxa"/>
            <w:tcBorders>
              <w:top w:val="nil"/>
              <w:left w:val="nil"/>
              <w:bottom w:val="single" w:sz="4" w:space="0" w:color="FFFFFF"/>
              <w:right w:val="nil"/>
            </w:tcBorders>
            <w:shd w:val="clear" w:color="000000" w:fill="F2F2F2"/>
            <w:vAlign w:val="center"/>
            <w:hideMark/>
          </w:tcPr>
          <w:p w14:paraId="3BF20B89" w14:textId="77777777" w:rsidR="007D5ECC" w:rsidRPr="004A7826" w:rsidRDefault="007D5ECC" w:rsidP="007D5ECC">
            <w:pPr>
              <w:pStyle w:val="Tabletext"/>
              <w:jc w:val="center"/>
              <w:rPr>
                <w:sz w:val="18"/>
                <w:szCs w:val="18"/>
              </w:rPr>
            </w:pPr>
            <w:r w:rsidRPr="004A7826">
              <w:rPr>
                <w:sz w:val="18"/>
                <w:szCs w:val="18"/>
              </w:rPr>
              <w:t>143.1</w:t>
            </w:r>
          </w:p>
        </w:tc>
        <w:tc>
          <w:tcPr>
            <w:tcW w:w="641" w:type="dxa"/>
            <w:tcBorders>
              <w:top w:val="nil"/>
              <w:left w:val="nil"/>
              <w:bottom w:val="single" w:sz="4" w:space="0" w:color="FFFFFF"/>
              <w:right w:val="nil"/>
            </w:tcBorders>
            <w:shd w:val="clear" w:color="000000" w:fill="F2F2F2"/>
            <w:vAlign w:val="center"/>
            <w:hideMark/>
          </w:tcPr>
          <w:p w14:paraId="4FB16986" w14:textId="77777777" w:rsidR="007D5ECC" w:rsidRPr="004A7826" w:rsidRDefault="007D5ECC" w:rsidP="007D5ECC">
            <w:pPr>
              <w:pStyle w:val="Tabletext"/>
              <w:jc w:val="center"/>
              <w:rPr>
                <w:sz w:val="18"/>
                <w:szCs w:val="18"/>
              </w:rPr>
            </w:pPr>
            <w:r w:rsidRPr="004A7826">
              <w:rPr>
                <w:sz w:val="18"/>
                <w:szCs w:val="18"/>
              </w:rPr>
              <w:t>138.0</w:t>
            </w:r>
          </w:p>
        </w:tc>
        <w:tc>
          <w:tcPr>
            <w:tcW w:w="642" w:type="dxa"/>
            <w:tcBorders>
              <w:top w:val="nil"/>
              <w:left w:val="nil"/>
              <w:bottom w:val="single" w:sz="4" w:space="0" w:color="FFFFFF"/>
              <w:right w:val="nil"/>
            </w:tcBorders>
            <w:shd w:val="clear" w:color="000000" w:fill="F2F2F2"/>
            <w:vAlign w:val="center"/>
            <w:hideMark/>
          </w:tcPr>
          <w:p w14:paraId="642A22F4" w14:textId="77777777" w:rsidR="007D5ECC" w:rsidRPr="004A7826" w:rsidRDefault="007D5ECC" w:rsidP="007D5ECC">
            <w:pPr>
              <w:pStyle w:val="Tabletext"/>
              <w:jc w:val="center"/>
              <w:rPr>
                <w:sz w:val="18"/>
                <w:szCs w:val="18"/>
              </w:rPr>
            </w:pPr>
            <w:r w:rsidRPr="004A7826">
              <w:rPr>
                <w:sz w:val="18"/>
                <w:szCs w:val="18"/>
              </w:rPr>
              <w:t>133.4</w:t>
            </w:r>
          </w:p>
        </w:tc>
        <w:tc>
          <w:tcPr>
            <w:tcW w:w="642" w:type="dxa"/>
            <w:tcBorders>
              <w:top w:val="nil"/>
              <w:left w:val="nil"/>
              <w:bottom w:val="single" w:sz="4" w:space="0" w:color="FFFFFF"/>
              <w:right w:val="nil"/>
            </w:tcBorders>
            <w:shd w:val="clear" w:color="000000" w:fill="F2F2F2"/>
            <w:vAlign w:val="center"/>
            <w:hideMark/>
          </w:tcPr>
          <w:p w14:paraId="3F8BCC59" w14:textId="77777777" w:rsidR="007D5ECC" w:rsidRPr="004A7826" w:rsidRDefault="007D5ECC" w:rsidP="007D5ECC">
            <w:pPr>
              <w:pStyle w:val="Tabletext"/>
              <w:jc w:val="center"/>
              <w:rPr>
                <w:sz w:val="18"/>
                <w:szCs w:val="18"/>
              </w:rPr>
            </w:pPr>
            <w:r w:rsidRPr="004A7826">
              <w:rPr>
                <w:sz w:val="18"/>
                <w:szCs w:val="18"/>
              </w:rPr>
              <w:t>130.1</w:t>
            </w:r>
          </w:p>
        </w:tc>
        <w:tc>
          <w:tcPr>
            <w:tcW w:w="642" w:type="dxa"/>
            <w:tcBorders>
              <w:top w:val="nil"/>
              <w:left w:val="nil"/>
              <w:bottom w:val="single" w:sz="4" w:space="0" w:color="FFFFFF"/>
              <w:right w:val="nil"/>
            </w:tcBorders>
            <w:shd w:val="clear" w:color="000000" w:fill="F2F2F2"/>
            <w:vAlign w:val="center"/>
            <w:hideMark/>
          </w:tcPr>
          <w:p w14:paraId="712B46C6" w14:textId="77777777" w:rsidR="007D5ECC" w:rsidRPr="004A7826" w:rsidRDefault="007D5ECC" w:rsidP="007D5ECC">
            <w:pPr>
              <w:pStyle w:val="Tabletext"/>
              <w:jc w:val="center"/>
              <w:rPr>
                <w:sz w:val="18"/>
                <w:szCs w:val="18"/>
              </w:rPr>
            </w:pPr>
            <w:r w:rsidRPr="004A7826">
              <w:rPr>
                <w:sz w:val="18"/>
                <w:szCs w:val="18"/>
              </w:rPr>
              <w:t>127.1</w:t>
            </w:r>
          </w:p>
        </w:tc>
        <w:tc>
          <w:tcPr>
            <w:tcW w:w="642" w:type="dxa"/>
            <w:tcBorders>
              <w:top w:val="nil"/>
              <w:left w:val="nil"/>
              <w:bottom w:val="single" w:sz="4" w:space="0" w:color="FFFFFF"/>
              <w:right w:val="nil"/>
            </w:tcBorders>
            <w:shd w:val="clear" w:color="000000" w:fill="F2F2F2"/>
            <w:vAlign w:val="center"/>
            <w:hideMark/>
          </w:tcPr>
          <w:p w14:paraId="24470EF8" w14:textId="77777777" w:rsidR="007D5ECC" w:rsidRPr="004A7826" w:rsidRDefault="007D5ECC" w:rsidP="007D5ECC">
            <w:pPr>
              <w:pStyle w:val="Tabletext"/>
              <w:jc w:val="center"/>
              <w:rPr>
                <w:sz w:val="18"/>
                <w:szCs w:val="18"/>
              </w:rPr>
            </w:pPr>
            <w:r w:rsidRPr="004A7826">
              <w:rPr>
                <w:sz w:val="18"/>
                <w:szCs w:val="18"/>
              </w:rPr>
              <w:t>124.3</w:t>
            </w:r>
          </w:p>
        </w:tc>
        <w:tc>
          <w:tcPr>
            <w:tcW w:w="642" w:type="dxa"/>
            <w:tcBorders>
              <w:top w:val="nil"/>
              <w:left w:val="nil"/>
              <w:bottom w:val="single" w:sz="4" w:space="0" w:color="FFFFFF"/>
              <w:right w:val="nil"/>
            </w:tcBorders>
            <w:shd w:val="clear" w:color="000000" w:fill="F2F2F2"/>
            <w:vAlign w:val="center"/>
            <w:hideMark/>
          </w:tcPr>
          <w:p w14:paraId="55160F71" w14:textId="77777777" w:rsidR="007D5ECC" w:rsidRPr="004A7826" w:rsidRDefault="007D5ECC" w:rsidP="007D5ECC">
            <w:pPr>
              <w:pStyle w:val="Tabletext"/>
              <w:jc w:val="center"/>
              <w:rPr>
                <w:sz w:val="18"/>
                <w:szCs w:val="18"/>
              </w:rPr>
            </w:pPr>
            <w:r w:rsidRPr="004A7826">
              <w:rPr>
                <w:sz w:val="18"/>
                <w:szCs w:val="18"/>
              </w:rPr>
              <w:t>121.7</w:t>
            </w:r>
          </w:p>
        </w:tc>
        <w:tc>
          <w:tcPr>
            <w:tcW w:w="642" w:type="dxa"/>
            <w:tcBorders>
              <w:top w:val="nil"/>
              <w:left w:val="nil"/>
              <w:bottom w:val="single" w:sz="4" w:space="0" w:color="FFFFFF"/>
              <w:right w:val="nil"/>
            </w:tcBorders>
            <w:shd w:val="clear" w:color="000000" w:fill="F2F2F2"/>
            <w:vAlign w:val="center"/>
            <w:hideMark/>
          </w:tcPr>
          <w:p w14:paraId="4A5B499A" w14:textId="77777777" w:rsidR="007D5ECC" w:rsidRPr="004A7826" w:rsidRDefault="007D5ECC" w:rsidP="007D5ECC">
            <w:pPr>
              <w:pStyle w:val="Tabletext"/>
              <w:jc w:val="center"/>
              <w:rPr>
                <w:sz w:val="18"/>
                <w:szCs w:val="18"/>
              </w:rPr>
            </w:pPr>
            <w:r w:rsidRPr="004A7826">
              <w:rPr>
                <w:sz w:val="18"/>
                <w:szCs w:val="18"/>
              </w:rPr>
              <w:t>120.6</w:t>
            </w:r>
          </w:p>
        </w:tc>
        <w:tc>
          <w:tcPr>
            <w:tcW w:w="642" w:type="dxa"/>
            <w:tcBorders>
              <w:top w:val="nil"/>
              <w:left w:val="nil"/>
              <w:bottom w:val="single" w:sz="4" w:space="0" w:color="FFFFFF"/>
              <w:right w:val="nil"/>
            </w:tcBorders>
            <w:shd w:val="clear" w:color="000000" w:fill="F2F2F2"/>
            <w:vAlign w:val="center"/>
            <w:hideMark/>
          </w:tcPr>
          <w:p w14:paraId="2B2373D6" w14:textId="77777777" w:rsidR="007D5ECC" w:rsidRPr="004A7826" w:rsidRDefault="007D5ECC" w:rsidP="007D5ECC">
            <w:pPr>
              <w:pStyle w:val="Tabletext"/>
              <w:jc w:val="center"/>
              <w:rPr>
                <w:sz w:val="18"/>
                <w:szCs w:val="18"/>
              </w:rPr>
            </w:pPr>
            <w:r w:rsidRPr="004A7826">
              <w:rPr>
                <w:sz w:val="18"/>
                <w:szCs w:val="18"/>
              </w:rPr>
              <w:t>119.6</w:t>
            </w:r>
          </w:p>
        </w:tc>
        <w:tc>
          <w:tcPr>
            <w:tcW w:w="642" w:type="dxa"/>
            <w:tcBorders>
              <w:top w:val="nil"/>
              <w:left w:val="nil"/>
              <w:bottom w:val="single" w:sz="4" w:space="0" w:color="FFFFFF"/>
              <w:right w:val="nil"/>
            </w:tcBorders>
            <w:shd w:val="clear" w:color="000000" w:fill="F2F2F2"/>
            <w:vAlign w:val="center"/>
            <w:hideMark/>
          </w:tcPr>
          <w:p w14:paraId="0A1F98E2" w14:textId="77777777" w:rsidR="007D5ECC" w:rsidRPr="004A7826" w:rsidRDefault="007D5ECC" w:rsidP="007D5ECC">
            <w:pPr>
              <w:pStyle w:val="Tabletext"/>
              <w:jc w:val="center"/>
              <w:rPr>
                <w:sz w:val="18"/>
                <w:szCs w:val="18"/>
              </w:rPr>
            </w:pPr>
            <w:r w:rsidRPr="004A7826">
              <w:rPr>
                <w:sz w:val="18"/>
                <w:szCs w:val="18"/>
              </w:rPr>
              <w:t>118.4</w:t>
            </w:r>
          </w:p>
        </w:tc>
        <w:tc>
          <w:tcPr>
            <w:tcW w:w="642" w:type="dxa"/>
            <w:tcBorders>
              <w:top w:val="nil"/>
              <w:left w:val="nil"/>
              <w:bottom w:val="single" w:sz="4" w:space="0" w:color="FFFFFF"/>
              <w:right w:val="nil"/>
            </w:tcBorders>
            <w:shd w:val="clear" w:color="000000" w:fill="F2F2F2"/>
            <w:vAlign w:val="center"/>
            <w:hideMark/>
          </w:tcPr>
          <w:p w14:paraId="7938DC28" w14:textId="77777777" w:rsidR="007D5ECC" w:rsidRPr="004A7826" w:rsidRDefault="007D5ECC" w:rsidP="007D5ECC">
            <w:pPr>
              <w:pStyle w:val="Tabletext"/>
              <w:jc w:val="center"/>
              <w:rPr>
                <w:sz w:val="18"/>
                <w:szCs w:val="18"/>
              </w:rPr>
            </w:pPr>
            <w:r w:rsidRPr="004A7826">
              <w:rPr>
                <w:sz w:val="18"/>
                <w:szCs w:val="18"/>
              </w:rPr>
              <w:t>117.1</w:t>
            </w:r>
          </w:p>
        </w:tc>
        <w:tc>
          <w:tcPr>
            <w:tcW w:w="642" w:type="dxa"/>
            <w:tcBorders>
              <w:top w:val="nil"/>
              <w:left w:val="nil"/>
              <w:bottom w:val="single" w:sz="4" w:space="0" w:color="FFFFFF"/>
              <w:right w:val="nil"/>
            </w:tcBorders>
            <w:shd w:val="clear" w:color="000000" w:fill="F2F2F2"/>
            <w:vAlign w:val="center"/>
            <w:hideMark/>
          </w:tcPr>
          <w:p w14:paraId="1562E45E" w14:textId="77777777" w:rsidR="007D5ECC" w:rsidRPr="004A7826" w:rsidRDefault="007D5ECC" w:rsidP="007D5ECC">
            <w:pPr>
              <w:pStyle w:val="Tabletext"/>
              <w:jc w:val="center"/>
              <w:rPr>
                <w:sz w:val="18"/>
                <w:szCs w:val="18"/>
              </w:rPr>
            </w:pPr>
            <w:r w:rsidRPr="004A7826">
              <w:rPr>
                <w:sz w:val="18"/>
                <w:szCs w:val="18"/>
              </w:rPr>
              <w:t>115.9</w:t>
            </w:r>
          </w:p>
        </w:tc>
        <w:tc>
          <w:tcPr>
            <w:tcW w:w="642" w:type="dxa"/>
            <w:tcBorders>
              <w:top w:val="nil"/>
              <w:left w:val="nil"/>
              <w:bottom w:val="single" w:sz="4" w:space="0" w:color="FFFFFF"/>
              <w:right w:val="nil"/>
            </w:tcBorders>
            <w:shd w:val="clear" w:color="000000" w:fill="F2F2F2"/>
            <w:vAlign w:val="center"/>
            <w:hideMark/>
          </w:tcPr>
          <w:p w14:paraId="0DDFAB1D" w14:textId="77777777" w:rsidR="007D5ECC" w:rsidRPr="004A7826" w:rsidRDefault="007D5ECC" w:rsidP="007D5ECC">
            <w:pPr>
              <w:pStyle w:val="Tabletext"/>
              <w:jc w:val="center"/>
              <w:rPr>
                <w:sz w:val="18"/>
                <w:szCs w:val="18"/>
              </w:rPr>
            </w:pPr>
            <w:r w:rsidRPr="004A7826">
              <w:rPr>
                <w:sz w:val="18"/>
                <w:szCs w:val="18"/>
              </w:rPr>
              <w:t>114.9</w:t>
            </w:r>
          </w:p>
        </w:tc>
      </w:tr>
      <w:tr w:rsidR="007D5ECC" w:rsidRPr="00650A31" w14:paraId="018F687B" w14:textId="77777777" w:rsidTr="007D5ECC">
        <w:trPr>
          <w:trHeight w:val="397"/>
          <w:jc w:val="center"/>
        </w:trPr>
        <w:tc>
          <w:tcPr>
            <w:tcW w:w="440" w:type="dxa"/>
            <w:tcBorders>
              <w:top w:val="nil"/>
              <w:left w:val="nil"/>
              <w:bottom w:val="single" w:sz="4" w:space="0" w:color="FFFFFF"/>
              <w:right w:val="nil"/>
            </w:tcBorders>
            <w:shd w:val="clear" w:color="000000" w:fill="D9D9D9"/>
            <w:vAlign w:val="center"/>
            <w:hideMark/>
          </w:tcPr>
          <w:p w14:paraId="15A8E3D2" w14:textId="77777777" w:rsidR="007D5ECC" w:rsidRPr="004A7826" w:rsidRDefault="007D5ECC" w:rsidP="007D5ECC">
            <w:pPr>
              <w:pStyle w:val="Tabletext"/>
            </w:pPr>
            <w:r w:rsidRPr="004A7826">
              <w:t>2</w:t>
            </w:r>
          </w:p>
        </w:tc>
        <w:tc>
          <w:tcPr>
            <w:tcW w:w="2821" w:type="dxa"/>
            <w:tcBorders>
              <w:top w:val="nil"/>
              <w:left w:val="nil"/>
              <w:bottom w:val="single" w:sz="4" w:space="0" w:color="FFFFFF"/>
              <w:right w:val="nil"/>
            </w:tcBorders>
            <w:shd w:val="clear" w:color="000000" w:fill="D9D9D9"/>
            <w:vAlign w:val="center"/>
            <w:hideMark/>
          </w:tcPr>
          <w:p w14:paraId="0B38B43A" w14:textId="77777777" w:rsidR="007D5ECC" w:rsidRPr="004A7826" w:rsidRDefault="007D5ECC" w:rsidP="007D5ECC">
            <w:pPr>
              <w:pStyle w:val="Tabletext"/>
            </w:pPr>
            <w:r w:rsidRPr="004A7826">
              <w:t xml:space="preserve">General government balance </w:t>
            </w:r>
          </w:p>
        </w:tc>
        <w:tc>
          <w:tcPr>
            <w:tcW w:w="926" w:type="dxa"/>
            <w:tcBorders>
              <w:top w:val="nil"/>
              <w:left w:val="nil"/>
              <w:bottom w:val="single" w:sz="4" w:space="0" w:color="FFFFFF"/>
              <w:right w:val="nil"/>
            </w:tcBorders>
            <w:shd w:val="clear" w:color="000000" w:fill="D9D9D9"/>
            <w:vAlign w:val="center"/>
            <w:hideMark/>
          </w:tcPr>
          <w:p w14:paraId="1966CCBF" w14:textId="77777777" w:rsidR="007D5ECC" w:rsidRPr="004A7826" w:rsidRDefault="007D5ECC" w:rsidP="007D5ECC">
            <w:pPr>
              <w:pStyle w:val="Tabletext"/>
              <w:rPr>
                <w:sz w:val="18"/>
                <w:szCs w:val="18"/>
              </w:rPr>
            </w:pPr>
            <w:r w:rsidRPr="004A7826">
              <w:rPr>
                <w:sz w:val="18"/>
                <w:szCs w:val="18"/>
              </w:rPr>
              <w:t>(% GDP)</w:t>
            </w:r>
          </w:p>
        </w:tc>
        <w:tc>
          <w:tcPr>
            <w:tcW w:w="627" w:type="dxa"/>
            <w:tcBorders>
              <w:top w:val="nil"/>
              <w:left w:val="nil"/>
              <w:bottom w:val="single" w:sz="4" w:space="0" w:color="FFFFFF"/>
              <w:right w:val="nil"/>
            </w:tcBorders>
            <w:shd w:val="clear" w:color="000000" w:fill="D9D9D9"/>
            <w:vAlign w:val="center"/>
            <w:hideMark/>
          </w:tcPr>
          <w:p w14:paraId="17C96D4B" w14:textId="77777777" w:rsidR="007D5ECC" w:rsidRPr="004A7826" w:rsidRDefault="007D5ECC" w:rsidP="007D5ECC">
            <w:pPr>
              <w:pStyle w:val="Tabletext"/>
              <w:jc w:val="center"/>
              <w:rPr>
                <w:sz w:val="18"/>
                <w:szCs w:val="18"/>
              </w:rPr>
            </w:pPr>
            <w:r w:rsidRPr="004A7826">
              <w:rPr>
                <w:sz w:val="18"/>
                <w:szCs w:val="18"/>
              </w:rPr>
              <w:t>-1.6</w:t>
            </w:r>
          </w:p>
        </w:tc>
        <w:tc>
          <w:tcPr>
            <w:tcW w:w="641" w:type="dxa"/>
            <w:tcBorders>
              <w:top w:val="nil"/>
              <w:left w:val="nil"/>
              <w:bottom w:val="single" w:sz="4" w:space="0" w:color="FFFFFF"/>
              <w:right w:val="nil"/>
            </w:tcBorders>
            <w:shd w:val="clear" w:color="000000" w:fill="D9D9D9"/>
            <w:vAlign w:val="center"/>
            <w:hideMark/>
          </w:tcPr>
          <w:p w14:paraId="257288AD" w14:textId="77777777" w:rsidR="007D5ECC" w:rsidRPr="004A7826" w:rsidRDefault="007D5ECC" w:rsidP="007D5ECC">
            <w:pPr>
              <w:pStyle w:val="Tabletext"/>
              <w:jc w:val="center"/>
              <w:rPr>
                <w:sz w:val="18"/>
                <w:szCs w:val="18"/>
              </w:rPr>
            </w:pPr>
            <w:r w:rsidRPr="004A7826">
              <w:rPr>
                <w:sz w:val="18"/>
                <w:szCs w:val="18"/>
              </w:rPr>
              <w:t>-1.0</w:t>
            </w:r>
          </w:p>
        </w:tc>
        <w:tc>
          <w:tcPr>
            <w:tcW w:w="641" w:type="dxa"/>
            <w:tcBorders>
              <w:top w:val="nil"/>
              <w:left w:val="nil"/>
              <w:bottom w:val="single" w:sz="4" w:space="0" w:color="FFFFFF"/>
              <w:right w:val="nil"/>
            </w:tcBorders>
            <w:shd w:val="clear" w:color="000000" w:fill="D9D9D9"/>
            <w:vAlign w:val="center"/>
            <w:hideMark/>
          </w:tcPr>
          <w:p w14:paraId="35F211B1" w14:textId="77777777" w:rsidR="007D5ECC" w:rsidRPr="004A7826" w:rsidRDefault="007D5ECC" w:rsidP="007D5ECC">
            <w:pPr>
              <w:pStyle w:val="Tabletext"/>
              <w:jc w:val="center"/>
              <w:rPr>
                <w:sz w:val="18"/>
                <w:szCs w:val="18"/>
              </w:rPr>
            </w:pPr>
            <w:r w:rsidRPr="004A7826">
              <w:rPr>
                <w:sz w:val="18"/>
                <w:szCs w:val="18"/>
              </w:rPr>
              <w:t>-0.6</w:t>
            </w:r>
          </w:p>
        </w:tc>
        <w:tc>
          <w:tcPr>
            <w:tcW w:w="641" w:type="dxa"/>
            <w:tcBorders>
              <w:top w:val="nil"/>
              <w:left w:val="nil"/>
              <w:bottom w:val="single" w:sz="4" w:space="0" w:color="FFFFFF"/>
              <w:right w:val="nil"/>
            </w:tcBorders>
            <w:shd w:val="clear" w:color="000000" w:fill="D9D9D9"/>
            <w:vAlign w:val="center"/>
            <w:hideMark/>
          </w:tcPr>
          <w:p w14:paraId="229D79A9" w14:textId="77777777" w:rsidR="007D5ECC" w:rsidRPr="004A7826" w:rsidRDefault="007D5ECC" w:rsidP="007D5ECC">
            <w:pPr>
              <w:pStyle w:val="Tabletext"/>
              <w:jc w:val="center"/>
              <w:rPr>
                <w:sz w:val="18"/>
                <w:szCs w:val="18"/>
              </w:rPr>
            </w:pPr>
            <w:r w:rsidRPr="004A7826">
              <w:rPr>
                <w:sz w:val="18"/>
                <w:szCs w:val="18"/>
              </w:rPr>
              <w:t>-0.8</w:t>
            </w:r>
          </w:p>
        </w:tc>
        <w:tc>
          <w:tcPr>
            <w:tcW w:w="641" w:type="dxa"/>
            <w:tcBorders>
              <w:top w:val="nil"/>
              <w:left w:val="nil"/>
              <w:bottom w:val="single" w:sz="4" w:space="0" w:color="FFFFFF"/>
              <w:right w:val="nil"/>
            </w:tcBorders>
            <w:shd w:val="clear" w:color="000000" w:fill="D9D9D9"/>
            <w:vAlign w:val="center"/>
            <w:hideMark/>
          </w:tcPr>
          <w:p w14:paraId="0E511161" w14:textId="77777777" w:rsidR="007D5ECC" w:rsidRPr="004A7826" w:rsidRDefault="007D5ECC" w:rsidP="007D5ECC">
            <w:pPr>
              <w:pStyle w:val="Tabletext"/>
              <w:jc w:val="center"/>
              <w:rPr>
                <w:sz w:val="18"/>
                <w:szCs w:val="18"/>
              </w:rPr>
            </w:pPr>
            <w:r w:rsidRPr="004A7826">
              <w:rPr>
                <w:sz w:val="18"/>
                <w:szCs w:val="18"/>
              </w:rPr>
              <w:t>-1.1</w:t>
            </w:r>
          </w:p>
        </w:tc>
        <w:tc>
          <w:tcPr>
            <w:tcW w:w="642" w:type="dxa"/>
            <w:tcBorders>
              <w:top w:val="nil"/>
              <w:left w:val="nil"/>
              <w:bottom w:val="single" w:sz="4" w:space="0" w:color="FFFFFF"/>
              <w:right w:val="nil"/>
            </w:tcBorders>
            <w:shd w:val="clear" w:color="000000" w:fill="D9D9D9"/>
            <w:vAlign w:val="center"/>
            <w:hideMark/>
          </w:tcPr>
          <w:p w14:paraId="57146691" w14:textId="77777777" w:rsidR="007D5ECC" w:rsidRPr="004A7826" w:rsidRDefault="007D5ECC" w:rsidP="007D5ECC">
            <w:pPr>
              <w:pStyle w:val="Tabletext"/>
              <w:jc w:val="center"/>
              <w:rPr>
                <w:sz w:val="18"/>
                <w:szCs w:val="18"/>
              </w:rPr>
            </w:pPr>
            <w:r w:rsidRPr="004A7826">
              <w:rPr>
                <w:sz w:val="18"/>
                <w:szCs w:val="18"/>
              </w:rPr>
              <w:t>-1.2</w:t>
            </w:r>
          </w:p>
        </w:tc>
        <w:tc>
          <w:tcPr>
            <w:tcW w:w="642" w:type="dxa"/>
            <w:tcBorders>
              <w:top w:val="nil"/>
              <w:left w:val="nil"/>
              <w:bottom w:val="single" w:sz="4" w:space="0" w:color="FFFFFF"/>
              <w:right w:val="nil"/>
            </w:tcBorders>
            <w:shd w:val="clear" w:color="000000" w:fill="D9D9D9"/>
            <w:vAlign w:val="center"/>
            <w:hideMark/>
          </w:tcPr>
          <w:p w14:paraId="44AFA896" w14:textId="77777777" w:rsidR="007D5ECC" w:rsidRPr="004A7826" w:rsidRDefault="007D5ECC" w:rsidP="007D5ECC">
            <w:pPr>
              <w:pStyle w:val="Tabletext"/>
              <w:jc w:val="center"/>
              <w:rPr>
                <w:sz w:val="18"/>
                <w:szCs w:val="18"/>
              </w:rPr>
            </w:pPr>
            <w:r w:rsidRPr="004A7826">
              <w:rPr>
                <w:sz w:val="18"/>
                <w:szCs w:val="18"/>
              </w:rPr>
              <w:t>-1.4</w:t>
            </w:r>
          </w:p>
        </w:tc>
        <w:tc>
          <w:tcPr>
            <w:tcW w:w="642" w:type="dxa"/>
            <w:tcBorders>
              <w:top w:val="nil"/>
              <w:left w:val="nil"/>
              <w:bottom w:val="single" w:sz="4" w:space="0" w:color="FFFFFF"/>
              <w:right w:val="nil"/>
            </w:tcBorders>
            <w:shd w:val="clear" w:color="000000" w:fill="D9D9D9"/>
            <w:vAlign w:val="center"/>
            <w:hideMark/>
          </w:tcPr>
          <w:p w14:paraId="21E34927" w14:textId="77777777" w:rsidR="007D5ECC" w:rsidRPr="004A7826" w:rsidRDefault="007D5ECC" w:rsidP="007D5ECC">
            <w:pPr>
              <w:pStyle w:val="Tabletext"/>
              <w:jc w:val="center"/>
              <w:rPr>
                <w:sz w:val="18"/>
                <w:szCs w:val="18"/>
              </w:rPr>
            </w:pPr>
            <w:r w:rsidRPr="004A7826">
              <w:rPr>
                <w:sz w:val="18"/>
                <w:szCs w:val="18"/>
              </w:rPr>
              <w:t>-1.5</w:t>
            </w:r>
          </w:p>
        </w:tc>
        <w:tc>
          <w:tcPr>
            <w:tcW w:w="642" w:type="dxa"/>
            <w:tcBorders>
              <w:top w:val="nil"/>
              <w:left w:val="nil"/>
              <w:bottom w:val="single" w:sz="4" w:space="0" w:color="FFFFFF"/>
              <w:right w:val="nil"/>
            </w:tcBorders>
            <w:shd w:val="clear" w:color="000000" w:fill="D9D9D9"/>
            <w:vAlign w:val="center"/>
            <w:hideMark/>
          </w:tcPr>
          <w:p w14:paraId="277A1BA9" w14:textId="77777777" w:rsidR="007D5ECC" w:rsidRPr="004A7826" w:rsidRDefault="007D5ECC" w:rsidP="007D5ECC">
            <w:pPr>
              <w:pStyle w:val="Tabletext"/>
              <w:jc w:val="center"/>
              <w:rPr>
                <w:sz w:val="18"/>
                <w:szCs w:val="18"/>
              </w:rPr>
            </w:pPr>
            <w:r w:rsidRPr="004A7826">
              <w:rPr>
                <w:sz w:val="18"/>
                <w:szCs w:val="18"/>
              </w:rPr>
              <w:t>-1.6</w:t>
            </w:r>
          </w:p>
        </w:tc>
        <w:tc>
          <w:tcPr>
            <w:tcW w:w="642" w:type="dxa"/>
            <w:tcBorders>
              <w:top w:val="nil"/>
              <w:left w:val="nil"/>
              <w:bottom w:val="single" w:sz="4" w:space="0" w:color="FFFFFF"/>
              <w:right w:val="nil"/>
            </w:tcBorders>
            <w:shd w:val="clear" w:color="000000" w:fill="D9D9D9"/>
            <w:vAlign w:val="center"/>
            <w:hideMark/>
          </w:tcPr>
          <w:p w14:paraId="1283E89B" w14:textId="77777777" w:rsidR="007D5ECC" w:rsidRPr="004A7826" w:rsidRDefault="007D5ECC" w:rsidP="007D5ECC">
            <w:pPr>
              <w:pStyle w:val="Tabletext"/>
              <w:jc w:val="center"/>
              <w:rPr>
                <w:sz w:val="18"/>
                <w:szCs w:val="18"/>
              </w:rPr>
            </w:pPr>
            <w:r w:rsidRPr="004A7826">
              <w:rPr>
                <w:sz w:val="18"/>
                <w:szCs w:val="18"/>
              </w:rPr>
              <w:t>-1.7</w:t>
            </w:r>
          </w:p>
        </w:tc>
        <w:tc>
          <w:tcPr>
            <w:tcW w:w="642" w:type="dxa"/>
            <w:tcBorders>
              <w:top w:val="nil"/>
              <w:left w:val="nil"/>
              <w:bottom w:val="single" w:sz="4" w:space="0" w:color="FFFFFF"/>
              <w:right w:val="nil"/>
            </w:tcBorders>
            <w:shd w:val="clear" w:color="000000" w:fill="D9D9D9"/>
            <w:vAlign w:val="center"/>
            <w:hideMark/>
          </w:tcPr>
          <w:p w14:paraId="697F3D5A" w14:textId="77777777" w:rsidR="007D5ECC" w:rsidRPr="004A7826" w:rsidRDefault="007D5ECC" w:rsidP="007D5ECC">
            <w:pPr>
              <w:pStyle w:val="Tabletext"/>
              <w:jc w:val="center"/>
              <w:rPr>
                <w:sz w:val="18"/>
                <w:szCs w:val="18"/>
              </w:rPr>
            </w:pPr>
            <w:r w:rsidRPr="004A7826">
              <w:rPr>
                <w:sz w:val="18"/>
                <w:szCs w:val="18"/>
              </w:rPr>
              <w:t>-1.9</w:t>
            </w:r>
          </w:p>
        </w:tc>
        <w:tc>
          <w:tcPr>
            <w:tcW w:w="642" w:type="dxa"/>
            <w:tcBorders>
              <w:top w:val="nil"/>
              <w:left w:val="nil"/>
              <w:bottom w:val="single" w:sz="4" w:space="0" w:color="FFFFFF"/>
              <w:right w:val="nil"/>
            </w:tcBorders>
            <w:shd w:val="clear" w:color="000000" w:fill="D9D9D9"/>
            <w:vAlign w:val="center"/>
            <w:hideMark/>
          </w:tcPr>
          <w:p w14:paraId="516184A1" w14:textId="77777777" w:rsidR="007D5ECC" w:rsidRPr="004A7826" w:rsidRDefault="007D5ECC" w:rsidP="007D5ECC">
            <w:pPr>
              <w:pStyle w:val="Tabletext"/>
              <w:jc w:val="center"/>
              <w:rPr>
                <w:sz w:val="18"/>
                <w:szCs w:val="18"/>
              </w:rPr>
            </w:pPr>
            <w:r w:rsidRPr="004A7826">
              <w:rPr>
                <w:sz w:val="18"/>
                <w:szCs w:val="18"/>
              </w:rPr>
              <w:t>-2.2</w:t>
            </w:r>
          </w:p>
        </w:tc>
        <w:tc>
          <w:tcPr>
            <w:tcW w:w="642" w:type="dxa"/>
            <w:tcBorders>
              <w:top w:val="nil"/>
              <w:left w:val="nil"/>
              <w:bottom w:val="single" w:sz="4" w:space="0" w:color="FFFFFF"/>
              <w:right w:val="nil"/>
            </w:tcBorders>
            <w:shd w:val="clear" w:color="000000" w:fill="D9D9D9"/>
            <w:vAlign w:val="center"/>
            <w:hideMark/>
          </w:tcPr>
          <w:p w14:paraId="2529F3A6" w14:textId="77777777" w:rsidR="007D5ECC" w:rsidRPr="004A7826" w:rsidRDefault="007D5ECC" w:rsidP="007D5ECC">
            <w:pPr>
              <w:pStyle w:val="Tabletext"/>
              <w:jc w:val="center"/>
              <w:rPr>
                <w:sz w:val="18"/>
                <w:szCs w:val="18"/>
              </w:rPr>
            </w:pPr>
            <w:r w:rsidRPr="004A7826">
              <w:rPr>
                <w:sz w:val="18"/>
                <w:szCs w:val="18"/>
              </w:rPr>
              <w:t>-2.4</w:t>
            </w:r>
          </w:p>
        </w:tc>
        <w:tc>
          <w:tcPr>
            <w:tcW w:w="642" w:type="dxa"/>
            <w:tcBorders>
              <w:top w:val="nil"/>
              <w:left w:val="nil"/>
              <w:bottom w:val="single" w:sz="4" w:space="0" w:color="FFFFFF"/>
              <w:right w:val="nil"/>
            </w:tcBorders>
            <w:shd w:val="clear" w:color="000000" w:fill="D9D9D9"/>
            <w:vAlign w:val="center"/>
            <w:hideMark/>
          </w:tcPr>
          <w:p w14:paraId="5574F501" w14:textId="77777777" w:rsidR="007D5ECC" w:rsidRPr="004A7826" w:rsidRDefault="007D5ECC" w:rsidP="007D5ECC">
            <w:pPr>
              <w:pStyle w:val="Tabletext"/>
              <w:jc w:val="center"/>
              <w:rPr>
                <w:sz w:val="18"/>
                <w:szCs w:val="18"/>
              </w:rPr>
            </w:pPr>
            <w:r w:rsidRPr="004A7826">
              <w:rPr>
                <w:sz w:val="18"/>
                <w:szCs w:val="18"/>
              </w:rPr>
              <w:t>-2.2</w:t>
            </w:r>
          </w:p>
        </w:tc>
        <w:tc>
          <w:tcPr>
            <w:tcW w:w="642" w:type="dxa"/>
            <w:tcBorders>
              <w:top w:val="nil"/>
              <w:left w:val="nil"/>
              <w:bottom w:val="single" w:sz="4" w:space="0" w:color="FFFFFF"/>
              <w:right w:val="nil"/>
            </w:tcBorders>
            <w:shd w:val="clear" w:color="000000" w:fill="D9D9D9"/>
            <w:vAlign w:val="center"/>
            <w:hideMark/>
          </w:tcPr>
          <w:p w14:paraId="02E80F11" w14:textId="77777777" w:rsidR="007D5ECC" w:rsidRPr="004A7826" w:rsidRDefault="007D5ECC" w:rsidP="007D5ECC">
            <w:pPr>
              <w:pStyle w:val="Tabletext"/>
              <w:jc w:val="center"/>
              <w:rPr>
                <w:sz w:val="18"/>
                <w:szCs w:val="18"/>
              </w:rPr>
            </w:pPr>
            <w:r w:rsidRPr="004A7826">
              <w:rPr>
                <w:sz w:val="18"/>
                <w:szCs w:val="18"/>
              </w:rPr>
              <w:t>-2.4</w:t>
            </w:r>
          </w:p>
        </w:tc>
        <w:tc>
          <w:tcPr>
            <w:tcW w:w="642" w:type="dxa"/>
            <w:tcBorders>
              <w:top w:val="nil"/>
              <w:left w:val="nil"/>
              <w:bottom w:val="single" w:sz="4" w:space="0" w:color="FFFFFF"/>
              <w:right w:val="nil"/>
            </w:tcBorders>
            <w:shd w:val="clear" w:color="000000" w:fill="D9D9D9"/>
            <w:vAlign w:val="center"/>
            <w:hideMark/>
          </w:tcPr>
          <w:p w14:paraId="1B96C1A4" w14:textId="77777777" w:rsidR="007D5ECC" w:rsidRPr="004A7826" w:rsidRDefault="007D5ECC" w:rsidP="007D5ECC">
            <w:pPr>
              <w:pStyle w:val="Tabletext"/>
              <w:jc w:val="center"/>
              <w:rPr>
                <w:sz w:val="18"/>
                <w:szCs w:val="18"/>
              </w:rPr>
            </w:pPr>
            <w:r w:rsidRPr="004A7826">
              <w:rPr>
                <w:sz w:val="18"/>
                <w:szCs w:val="18"/>
              </w:rPr>
              <w:t>-2.5</w:t>
            </w:r>
          </w:p>
        </w:tc>
      </w:tr>
      <w:tr w:rsidR="007D5ECC" w:rsidRPr="00650A31" w14:paraId="6A251282"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75A7EE21" w14:textId="77777777" w:rsidR="007D5ECC" w:rsidRPr="004A7826" w:rsidRDefault="007D5ECC" w:rsidP="007D5ECC">
            <w:pPr>
              <w:pStyle w:val="Tabletext"/>
            </w:pPr>
            <w:r w:rsidRPr="004A7826">
              <w:t>3</w:t>
            </w:r>
          </w:p>
        </w:tc>
        <w:tc>
          <w:tcPr>
            <w:tcW w:w="2821" w:type="dxa"/>
            <w:tcBorders>
              <w:top w:val="nil"/>
              <w:left w:val="nil"/>
              <w:bottom w:val="single" w:sz="4" w:space="0" w:color="FFFFFF"/>
              <w:right w:val="nil"/>
            </w:tcBorders>
            <w:shd w:val="clear" w:color="000000" w:fill="F2F2F2"/>
            <w:vAlign w:val="center"/>
            <w:hideMark/>
          </w:tcPr>
          <w:p w14:paraId="466751B7" w14:textId="77777777" w:rsidR="007D5ECC" w:rsidRPr="004A7826" w:rsidRDefault="007D5ECC" w:rsidP="007D5ECC">
            <w:pPr>
              <w:pStyle w:val="Tabletext"/>
            </w:pPr>
            <w:r w:rsidRPr="004A7826">
              <w:t xml:space="preserve">Structural primary balance </w:t>
            </w:r>
          </w:p>
        </w:tc>
        <w:tc>
          <w:tcPr>
            <w:tcW w:w="926" w:type="dxa"/>
            <w:tcBorders>
              <w:top w:val="nil"/>
              <w:left w:val="nil"/>
              <w:bottom w:val="single" w:sz="4" w:space="0" w:color="FFFFFF"/>
              <w:right w:val="nil"/>
            </w:tcBorders>
            <w:shd w:val="clear" w:color="000000" w:fill="F2F2F2"/>
            <w:vAlign w:val="center"/>
            <w:hideMark/>
          </w:tcPr>
          <w:p w14:paraId="04B6A3E3" w14:textId="77777777" w:rsidR="007D5ECC" w:rsidRPr="004A7826" w:rsidRDefault="007D5ECC" w:rsidP="007D5ECC">
            <w:pPr>
              <w:pStyle w:val="Tabletext"/>
              <w:rPr>
                <w:sz w:val="18"/>
                <w:szCs w:val="18"/>
              </w:rPr>
            </w:pPr>
            <w:r w:rsidRPr="004A7826">
              <w:rPr>
                <w:sz w:val="18"/>
                <w:szCs w:val="18"/>
              </w:rPr>
              <w:t xml:space="preserve"> (% pot. GDP)</w:t>
            </w:r>
          </w:p>
        </w:tc>
        <w:tc>
          <w:tcPr>
            <w:tcW w:w="627" w:type="dxa"/>
            <w:tcBorders>
              <w:top w:val="nil"/>
              <w:left w:val="nil"/>
              <w:bottom w:val="single" w:sz="4" w:space="0" w:color="FFFFFF"/>
              <w:right w:val="nil"/>
            </w:tcBorders>
            <w:shd w:val="clear" w:color="000000" w:fill="F2F2F2"/>
            <w:vAlign w:val="center"/>
            <w:hideMark/>
          </w:tcPr>
          <w:p w14:paraId="6DB9FD19" w14:textId="77777777" w:rsidR="007D5ECC" w:rsidRPr="004A7826" w:rsidRDefault="007D5ECC" w:rsidP="007D5ECC">
            <w:pPr>
              <w:pStyle w:val="Tabletext"/>
              <w:jc w:val="center"/>
              <w:rPr>
                <w:sz w:val="18"/>
                <w:szCs w:val="18"/>
              </w:rPr>
            </w:pPr>
            <w:r w:rsidRPr="004A7826">
              <w:rPr>
                <w:sz w:val="18"/>
                <w:szCs w:val="18"/>
              </w:rPr>
              <w:t>1.9</w:t>
            </w:r>
          </w:p>
        </w:tc>
        <w:tc>
          <w:tcPr>
            <w:tcW w:w="641" w:type="dxa"/>
            <w:tcBorders>
              <w:top w:val="nil"/>
              <w:left w:val="nil"/>
              <w:bottom w:val="single" w:sz="4" w:space="0" w:color="FFFFFF"/>
              <w:right w:val="nil"/>
            </w:tcBorders>
            <w:shd w:val="clear" w:color="000000" w:fill="F2F2F2"/>
            <w:vAlign w:val="center"/>
            <w:hideMark/>
          </w:tcPr>
          <w:p w14:paraId="132FACC8" w14:textId="77777777" w:rsidR="007D5ECC" w:rsidRPr="004A7826" w:rsidRDefault="007D5ECC" w:rsidP="007D5ECC">
            <w:pPr>
              <w:pStyle w:val="Tabletext"/>
              <w:jc w:val="center"/>
              <w:rPr>
                <w:sz w:val="18"/>
                <w:szCs w:val="18"/>
              </w:rPr>
            </w:pPr>
            <w:r w:rsidRPr="004A7826">
              <w:rPr>
                <w:sz w:val="18"/>
                <w:szCs w:val="18"/>
              </w:rPr>
              <w:t>1.9</w:t>
            </w:r>
          </w:p>
        </w:tc>
        <w:tc>
          <w:tcPr>
            <w:tcW w:w="641" w:type="dxa"/>
            <w:tcBorders>
              <w:top w:val="nil"/>
              <w:left w:val="nil"/>
              <w:bottom w:val="single" w:sz="4" w:space="0" w:color="FFFFFF"/>
              <w:right w:val="nil"/>
            </w:tcBorders>
            <w:shd w:val="clear" w:color="000000" w:fill="F2F2F2"/>
            <w:vAlign w:val="center"/>
            <w:hideMark/>
          </w:tcPr>
          <w:p w14:paraId="27044282" w14:textId="77777777" w:rsidR="007D5ECC" w:rsidRPr="004A7826" w:rsidRDefault="007D5ECC" w:rsidP="007D5ECC">
            <w:pPr>
              <w:pStyle w:val="Tabletext"/>
              <w:jc w:val="center"/>
              <w:rPr>
                <w:sz w:val="18"/>
                <w:szCs w:val="18"/>
              </w:rPr>
            </w:pPr>
            <w:r w:rsidRPr="004A7826">
              <w:rPr>
                <w:sz w:val="18"/>
                <w:szCs w:val="18"/>
              </w:rPr>
              <w:t>2.0</w:t>
            </w:r>
          </w:p>
        </w:tc>
        <w:tc>
          <w:tcPr>
            <w:tcW w:w="641" w:type="dxa"/>
            <w:tcBorders>
              <w:top w:val="nil"/>
              <w:left w:val="nil"/>
              <w:bottom w:val="single" w:sz="4" w:space="0" w:color="FFFFFF"/>
              <w:right w:val="nil"/>
            </w:tcBorders>
            <w:shd w:val="clear" w:color="000000" w:fill="F2F2F2"/>
            <w:vAlign w:val="center"/>
            <w:hideMark/>
          </w:tcPr>
          <w:p w14:paraId="69784480" w14:textId="77777777" w:rsidR="007D5ECC" w:rsidRPr="004A7826" w:rsidRDefault="007D5ECC" w:rsidP="007D5ECC">
            <w:pPr>
              <w:pStyle w:val="Tabletext"/>
              <w:jc w:val="center"/>
              <w:rPr>
                <w:sz w:val="18"/>
                <w:szCs w:val="18"/>
              </w:rPr>
            </w:pPr>
            <w:r w:rsidRPr="004A7826">
              <w:rPr>
                <w:sz w:val="18"/>
                <w:szCs w:val="18"/>
              </w:rPr>
              <w:t>2.1</w:t>
            </w:r>
          </w:p>
        </w:tc>
        <w:tc>
          <w:tcPr>
            <w:tcW w:w="641" w:type="dxa"/>
            <w:tcBorders>
              <w:top w:val="nil"/>
              <w:left w:val="nil"/>
              <w:bottom w:val="single" w:sz="4" w:space="0" w:color="FFFFFF"/>
              <w:right w:val="nil"/>
            </w:tcBorders>
            <w:shd w:val="clear" w:color="000000" w:fill="F2F2F2"/>
            <w:vAlign w:val="center"/>
            <w:hideMark/>
          </w:tcPr>
          <w:p w14:paraId="45E8C315" w14:textId="77777777" w:rsidR="007D5ECC" w:rsidRPr="004A7826" w:rsidRDefault="007D5ECC" w:rsidP="007D5ECC">
            <w:pPr>
              <w:pStyle w:val="Tabletext"/>
              <w:jc w:val="center"/>
              <w:rPr>
                <w:sz w:val="18"/>
                <w:szCs w:val="18"/>
              </w:rPr>
            </w:pPr>
            <w:r w:rsidRPr="004A7826">
              <w:rPr>
                <w:sz w:val="18"/>
                <w:szCs w:val="18"/>
              </w:rPr>
              <w:t>2.2</w:t>
            </w:r>
          </w:p>
        </w:tc>
        <w:tc>
          <w:tcPr>
            <w:tcW w:w="642" w:type="dxa"/>
            <w:tcBorders>
              <w:top w:val="nil"/>
              <w:left w:val="nil"/>
              <w:bottom w:val="single" w:sz="4" w:space="0" w:color="FFFFFF"/>
              <w:right w:val="nil"/>
            </w:tcBorders>
            <w:shd w:val="clear" w:color="000000" w:fill="F2F2F2"/>
            <w:vAlign w:val="center"/>
            <w:hideMark/>
          </w:tcPr>
          <w:p w14:paraId="0D90DBA4"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0946E259"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7F66138B"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0A08C9F0"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0E37BB35"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0B158A84"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546FAE83"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5B86B925"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5A79AD50"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08FAACFC"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13CAE7A3" w14:textId="77777777" w:rsidR="007D5ECC" w:rsidRPr="004A7826" w:rsidRDefault="007D5ECC" w:rsidP="007D5ECC">
            <w:pPr>
              <w:pStyle w:val="Tabletext"/>
              <w:jc w:val="center"/>
              <w:rPr>
                <w:sz w:val="18"/>
                <w:szCs w:val="18"/>
              </w:rPr>
            </w:pPr>
            <w:r w:rsidRPr="004A7826">
              <w:rPr>
                <w:sz w:val="18"/>
                <w:szCs w:val="18"/>
              </w:rPr>
              <w:t>2.3</w:t>
            </w:r>
          </w:p>
        </w:tc>
      </w:tr>
      <w:tr w:rsidR="007D5ECC" w:rsidRPr="00650A31" w14:paraId="21CBA04F" w14:textId="77777777" w:rsidTr="007D5ECC">
        <w:trPr>
          <w:trHeight w:val="397"/>
          <w:jc w:val="center"/>
        </w:trPr>
        <w:tc>
          <w:tcPr>
            <w:tcW w:w="440" w:type="dxa"/>
            <w:tcBorders>
              <w:top w:val="nil"/>
              <w:left w:val="nil"/>
              <w:bottom w:val="single" w:sz="4" w:space="0" w:color="FFFFFF"/>
              <w:right w:val="nil"/>
            </w:tcBorders>
            <w:shd w:val="clear" w:color="000000" w:fill="D9D9D9"/>
            <w:vAlign w:val="center"/>
            <w:hideMark/>
          </w:tcPr>
          <w:p w14:paraId="2B43EB35" w14:textId="77777777" w:rsidR="007D5ECC" w:rsidRPr="004A7826" w:rsidRDefault="007D5ECC" w:rsidP="007D5ECC">
            <w:pPr>
              <w:pStyle w:val="Tabletext"/>
            </w:pPr>
            <w:r w:rsidRPr="004A7826">
              <w:t>4</w:t>
            </w:r>
          </w:p>
        </w:tc>
        <w:tc>
          <w:tcPr>
            <w:tcW w:w="2821" w:type="dxa"/>
            <w:tcBorders>
              <w:top w:val="nil"/>
              <w:left w:val="nil"/>
              <w:bottom w:val="single" w:sz="4" w:space="0" w:color="FFFFFF"/>
              <w:right w:val="nil"/>
            </w:tcBorders>
            <w:shd w:val="clear" w:color="000000" w:fill="D9D9D9"/>
            <w:vAlign w:val="center"/>
            <w:hideMark/>
          </w:tcPr>
          <w:p w14:paraId="67A30BE5" w14:textId="77777777" w:rsidR="007D5ECC" w:rsidRPr="004A7826" w:rsidRDefault="007D5ECC" w:rsidP="007D5ECC">
            <w:pPr>
              <w:pStyle w:val="Tabletext"/>
            </w:pPr>
            <w:r w:rsidRPr="004A7826">
              <w:t>Cyclical component</w:t>
            </w:r>
          </w:p>
        </w:tc>
        <w:tc>
          <w:tcPr>
            <w:tcW w:w="926" w:type="dxa"/>
            <w:tcBorders>
              <w:top w:val="nil"/>
              <w:left w:val="nil"/>
              <w:bottom w:val="single" w:sz="4" w:space="0" w:color="FFFFFF"/>
              <w:right w:val="nil"/>
            </w:tcBorders>
            <w:shd w:val="clear" w:color="000000" w:fill="D9D9D9"/>
            <w:vAlign w:val="center"/>
            <w:hideMark/>
          </w:tcPr>
          <w:p w14:paraId="750C4082" w14:textId="77777777" w:rsidR="007D5ECC" w:rsidRPr="004A7826" w:rsidRDefault="007D5ECC" w:rsidP="007D5ECC">
            <w:pPr>
              <w:pStyle w:val="Tabletext"/>
              <w:rPr>
                <w:sz w:val="18"/>
                <w:szCs w:val="18"/>
              </w:rPr>
            </w:pPr>
            <w:r w:rsidRPr="004A7826">
              <w:rPr>
                <w:sz w:val="18"/>
                <w:szCs w:val="18"/>
              </w:rPr>
              <w:t xml:space="preserve"> (% pot. GDP)</w:t>
            </w:r>
          </w:p>
        </w:tc>
        <w:tc>
          <w:tcPr>
            <w:tcW w:w="627" w:type="dxa"/>
            <w:tcBorders>
              <w:top w:val="nil"/>
              <w:left w:val="nil"/>
              <w:bottom w:val="single" w:sz="4" w:space="0" w:color="FFFFFF"/>
              <w:right w:val="nil"/>
            </w:tcBorders>
            <w:shd w:val="clear" w:color="000000" w:fill="D9D9D9"/>
            <w:vAlign w:val="center"/>
            <w:hideMark/>
          </w:tcPr>
          <w:p w14:paraId="72139FC7" w14:textId="77777777" w:rsidR="007D5ECC" w:rsidRPr="004A7826" w:rsidRDefault="007D5ECC" w:rsidP="007D5ECC">
            <w:pPr>
              <w:pStyle w:val="Tabletext"/>
              <w:jc w:val="center"/>
              <w:rPr>
                <w:sz w:val="18"/>
                <w:szCs w:val="18"/>
              </w:rPr>
            </w:pPr>
            <w:r w:rsidRPr="004A7826">
              <w:rPr>
                <w:sz w:val="18"/>
                <w:szCs w:val="18"/>
              </w:rPr>
              <w:t>-0.1</w:t>
            </w:r>
          </w:p>
        </w:tc>
        <w:tc>
          <w:tcPr>
            <w:tcW w:w="641" w:type="dxa"/>
            <w:tcBorders>
              <w:top w:val="nil"/>
              <w:left w:val="nil"/>
              <w:bottom w:val="single" w:sz="4" w:space="0" w:color="FFFFFF"/>
              <w:right w:val="nil"/>
            </w:tcBorders>
            <w:shd w:val="clear" w:color="000000" w:fill="D9D9D9"/>
            <w:vAlign w:val="center"/>
            <w:hideMark/>
          </w:tcPr>
          <w:p w14:paraId="75E58C80" w14:textId="77777777" w:rsidR="007D5ECC" w:rsidRPr="004A7826" w:rsidRDefault="007D5ECC" w:rsidP="007D5ECC">
            <w:pPr>
              <w:pStyle w:val="Tabletext"/>
              <w:jc w:val="center"/>
              <w:rPr>
                <w:sz w:val="18"/>
                <w:szCs w:val="18"/>
              </w:rPr>
            </w:pPr>
            <w:r w:rsidRPr="004A7826">
              <w:rPr>
                <w:sz w:val="18"/>
                <w:szCs w:val="18"/>
              </w:rPr>
              <w:t>-0.7</w:t>
            </w:r>
          </w:p>
        </w:tc>
        <w:tc>
          <w:tcPr>
            <w:tcW w:w="641" w:type="dxa"/>
            <w:tcBorders>
              <w:top w:val="nil"/>
              <w:left w:val="nil"/>
              <w:bottom w:val="single" w:sz="4" w:space="0" w:color="FFFFFF"/>
              <w:right w:val="nil"/>
            </w:tcBorders>
            <w:shd w:val="clear" w:color="000000" w:fill="D9D9D9"/>
            <w:vAlign w:val="center"/>
            <w:hideMark/>
          </w:tcPr>
          <w:p w14:paraId="024C0A68" w14:textId="77777777" w:rsidR="007D5ECC" w:rsidRPr="004A7826" w:rsidRDefault="007D5ECC" w:rsidP="007D5ECC">
            <w:pPr>
              <w:pStyle w:val="Tabletext"/>
              <w:jc w:val="center"/>
              <w:rPr>
                <w:sz w:val="18"/>
                <w:szCs w:val="18"/>
              </w:rPr>
            </w:pPr>
            <w:r w:rsidRPr="004A7826">
              <w:rPr>
                <w:sz w:val="18"/>
                <w:szCs w:val="18"/>
              </w:rPr>
              <w:t>-0.5</w:t>
            </w:r>
          </w:p>
        </w:tc>
        <w:tc>
          <w:tcPr>
            <w:tcW w:w="641" w:type="dxa"/>
            <w:tcBorders>
              <w:top w:val="nil"/>
              <w:left w:val="nil"/>
              <w:bottom w:val="single" w:sz="4" w:space="0" w:color="FFFFFF"/>
              <w:right w:val="nil"/>
            </w:tcBorders>
            <w:shd w:val="clear" w:color="000000" w:fill="D9D9D9"/>
            <w:vAlign w:val="center"/>
            <w:hideMark/>
          </w:tcPr>
          <w:p w14:paraId="3A37EDA8" w14:textId="77777777" w:rsidR="007D5ECC" w:rsidRPr="004A7826" w:rsidRDefault="007D5ECC" w:rsidP="007D5ECC">
            <w:pPr>
              <w:pStyle w:val="Tabletext"/>
              <w:jc w:val="center"/>
              <w:rPr>
                <w:sz w:val="18"/>
                <w:szCs w:val="18"/>
              </w:rPr>
            </w:pPr>
            <w:r w:rsidRPr="004A7826">
              <w:rPr>
                <w:sz w:val="18"/>
                <w:szCs w:val="18"/>
              </w:rPr>
              <w:t>-0.3</w:t>
            </w:r>
          </w:p>
        </w:tc>
        <w:tc>
          <w:tcPr>
            <w:tcW w:w="641" w:type="dxa"/>
            <w:tcBorders>
              <w:top w:val="nil"/>
              <w:left w:val="nil"/>
              <w:bottom w:val="single" w:sz="4" w:space="0" w:color="FFFFFF"/>
              <w:right w:val="nil"/>
            </w:tcBorders>
            <w:shd w:val="clear" w:color="000000" w:fill="D9D9D9"/>
            <w:vAlign w:val="center"/>
            <w:hideMark/>
          </w:tcPr>
          <w:p w14:paraId="0EA51084"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6D775132" w14:textId="77777777" w:rsidR="007D5ECC" w:rsidRPr="004A7826" w:rsidRDefault="007D5ECC" w:rsidP="007D5ECC">
            <w:pPr>
              <w:pStyle w:val="Tabletext"/>
              <w:jc w:val="center"/>
              <w:rPr>
                <w:sz w:val="18"/>
                <w:szCs w:val="18"/>
              </w:rPr>
            </w:pPr>
            <w:r w:rsidRPr="004A7826">
              <w:rPr>
                <w:sz w:val="18"/>
                <w:szCs w:val="18"/>
              </w:rPr>
              <w:t>-0.1</w:t>
            </w:r>
          </w:p>
        </w:tc>
        <w:tc>
          <w:tcPr>
            <w:tcW w:w="642" w:type="dxa"/>
            <w:tcBorders>
              <w:top w:val="nil"/>
              <w:left w:val="nil"/>
              <w:bottom w:val="single" w:sz="4" w:space="0" w:color="FFFFFF"/>
              <w:right w:val="nil"/>
            </w:tcBorders>
            <w:shd w:val="clear" w:color="000000" w:fill="D9D9D9"/>
            <w:vAlign w:val="center"/>
            <w:hideMark/>
          </w:tcPr>
          <w:p w14:paraId="1572E2AD"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736ED5E5"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7E10A43B"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5F7956F4"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4D09C1A8"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0A571CE8"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4AFC9FB6"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5887E221"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6FFB0419"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D9D9D9"/>
            <w:vAlign w:val="center"/>
            <w:hideMark/>
          </w:tcPr>
          <w:p w14:paraId="0BD91371" w14:textId="77777777" w:rsidR="007D5ECC" w:rsidRPr="004A7826" w:rsidRDefault="007D5ECC" w:rsidP="007D5ECC">
            <w:pPr>
              <w:pStyle w:val="Tabletext"/>
              <w:jc w:val="center"/>
              <w:rPr>
                <w:sz w:val="18"/>
                <w:szCs w:val="18"/>
              </w:rPr>
            </w:pPr>
            <w:r w:rsidRPr="004A7826">
              <w:rPr>
                <w:sz w:val="18"/>
                <w:szCs w:val="18"/>
              </w:rPr>
              <w:t>0.0</w:t>
            </w:r>
          </w:p>
        </w:tc>
      </w:tr>
      <w:tr w:rsidR="007D5ECC" w:rsidRPr="00650A31" w14:paraId="13E085B8"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1BD1AA67" w14:textId="77777777" w:rsidR="007D5ECC" w:rsidRPr="004A7826" w:rsidRDefault="007D5ECC" w:rsidP="007D5ECC">
            <w:pPr>
              <w:pStyle w:val="Tabletext"/>
            </w:pPr>
            <w:r w:rsidRPr="004A7826">
              <w:t>5</w:t>
            </w:r>
          </w:p>
        </w:tc>
        <w:tc>
          <w:tcPr>
            <w:tcW w:w="2821" w:type="dxa"/>
            <w:tcBorders>
              <w:top w:val="nil"/>
              <w:left w:val="nil"/>
              <w:bottom w:val="single" w:sz="4" w:space="0" w:color="FFFFFF"/>
              <w:right w:val="nil"/>
            </w:tcBorders>
            <w:shd w:val="clear" w:color="000000" w:fill="F2F2F2"/>
            <w:vAlign w:val="center"/>
            <w:hideMark/>
          </w:tcPr>
          <w:p w14:paraId="5582F1A1" w14:textId="77777777" w:rsidR="007D5ECC" w:rsidRPr="004A7826" w:rsidRDefault="007D5ECC" w:rsidP="007D5ECC">
            <w:pPr>
              <w:pStyle w:val="Tabletext"/>
            </w:pPr>
            <w:r w:rsidRPr="004A7826">
              <w:t>One-off measures</w:t>
            </w:r>
          </w:p>
        </w:tc>
        <w:tc>
          <w:tcPr>
            <w:tcW w:w="926" w:type="dxa"/>
            <w:tcBorders>
              <w:top w:val="nil"/>
              <w:left w:val="nil"/>
              <w:bottom w:val="single" w:sz="4" w:space="0" w:color="FFFFFF"/>
              <w:right w:val="nil"/>
            </w:tcBorders>
            <w:shd w:val="clear" w:color="000000" w:fill="F2F2F2"/>
            <w:vAlign w:val="center"/>
            <w:hideMark/>
          </w:tcPr>
          <w:p w14:paraId="1B7CA0E1" w14:textId="77777777" w:rsidR="007D5ECC" w:rsidRPr="004A7826" w:rsidRDefault="007D5ECC" w:rsidP="007D5ECC">
            <w:pPr>
              <w:pStyle w:val="Tabletext"/>
              <w:rPr>
                <w:sz w:val="18"/>
                <w:szCs w:val="18"/>
              </w:rPr>
            </w:pPr>
            <w:r w:rsidRPr="004A7826">
              <w:rPr>
                <w:sz w:val="18"/>
                <w:szCs w:val="18"/>
              </w:rPr>
              <w:t>(% GDP)</w:t>
            </w:r>
          </w:p>
        </w:tc>
        <w:tc>
          <w:tcPr>
            <w:tcW w:w="627" w:type="dxa"/>
            <w:tcBorders>
              <w:top w:val="nil"/>
              <w:left w:val="nil"/>
              <w:bottom w:val="single" w:sz="4" w:space="0" w:color="FFFFFF"/>
              <w:right w:val="nil"/>
            </w:tcBorders>
            <w:shd w:val="clear" w:color="000000" w:fill="F2F2F2"/>
            <w:vAlign w:val="center"/>
            <w:hideMark/>
          </w:tcPr>
          <w:p w14:paraId="1734A717" w14:textId="77777777" w:rsidR="007D5ECC" w:rsidRPr="004A7826" w:rsidRDefault="007D5ECC" w:rsidP="007D5ECC">
            <w:pPr>
              <w:pStyle w:val="Tabletext"/>
              <w:jc w:val="center"/>
              <w:rPr>
                <w:sz w:val="18"/>
                <w:szCs w:val="18"/>
              </w:rPr>
            </w:pPr>
            <w:r w:rsidRPr="004A7826">
              <w:rPr>
                <w:sz w:val="18"/>
                <w:szCs w:val="18"/>
              </w:rPr>
              <w:t>-0.2</w:t>
            </w:r>
          </w:p>
        </w:tc>
        <w:tc>
          <w:tcPr>
            <w:tcW w:w="641" w:type="dxa"/>
            <w:tcBorders>
              <w:top w:val="nil"/>
              <w:left w:val="nil"/>
              <w:bottom w:val="single" w:sz="4" w:space="0" w:color="FFFFFF"/>
              <w:right w:val="nil"/>
            </w:tcBorders>
            <w:shd w:val="clear" w:color="000000" w:fill="F2F2F2"/>
            <w:vAlign w:val="center"/>
            <w:hideMark/>
          </w:tcPr>
          <w:p w14:paraId="59FADE8B" w14:textId="77777777" w:rsidR="007D5ECC" w:rsidRPr="004A7826" w:rsidRDefault="007D5ECC" w:rsidP="007D5ECC">
            <w:pPr>
              <w:pStyle w:val="Tabletext"/>
              <w:jc w:val="center"/>
              <w:rPr>
                <w:sz w:val="18"/>
                <w:szCs w:val="18"/>
              </w:rPr>
            </w:pPr>
            <w:r w:rsidRPr="004A7826">
              <w:rPr>
                <w:sz w:val="18"/>
                <w:szCs w:val="18"/>
              </w:rPr>
              <w:t>-0.2</w:t>
            </w:r>
          </w:p>
        </w:tc>
        <w:tc>
          <w:tcPr>
            <w:tcW w:w="641" w:type="dxa"/>
            <w:tcBorders>
              <w:top w:val="nil"/>
              <w:left w:val="nil"/>
              <w:bottom w:val="single" w:sz="4" w:space="0" w:color="FFFFFF"/>
              <w:right w:val="nil"/>
            </w:tcBorders>
            <w:shd w:val="clear" w:color="000000" w:fill="F2F2F2"/>
            <w:vAlign w:val="center"/>
            <w:hideMark/>
          </w:tcPr>
          <w:p w14:paraId="08385563" w14:textId="77777777" w:rsidR="007D5ECC" w:rsidRPr="004A7826" w:rsidRDefault="007D5ECC" w:rsidP="007D5ECC">
            <w:pPr>
              <w:pStyle w:val="Tabletext"/>
              <w:jc w:val="center"/>
              <w:rPr>
                <w:sz w:val="18"/>
                <w:szCs w:val="18"/>
              </w:rPr>
            </w:pPr>
            <w:r w:rsidRPr="004A7826">
              <w:rPr>
                <w:sz w:val="18"/>
                <w:szCs w:val="18"/>
              </w:rPr>
              <w:t>0.0</w:t>
            </w:r>
          </w:p>
        </w:tc>
        <w:tc>
          <w:tcPr>
            <w:tcW w:w="641" w:type="dxa"/>
            <w:tcBorders>
              <w:top w:val="nil"/>
              <w:left w:val="nil"/>
              <w:bottom w:val="single" w:sz="4" w:space="0" w:color="FFFFFF"/>
              <w:right w:val="nil"/>
            </w:tcBorders>
            <w:shd w:val="clear" w:color="000000" w:fill="F2F2F2"/>
            <w:vAlign w:val="center"/>
            <w:hideMark/>
          </w:tcPr>
          <w:p w14:paraId="7430771A" w14:textId="77777777" w:rsidR="007D5ECC" w:rsidRPr="004A7826" w:rsidRDefault="007D5ECC" w:rsidP="007D5ECC">
            <w:pPr>
              <w:pStyle w:val="Tabletext"/>
              <w:jc w:val="center"/>
              <w:rPr>
                <w:sz w:val="18"/>
                <w:szCs w:val="18"/>
              </w:rPr>
            </w:pPr>
            <w:r w:rsidRPr="004A7826">
              <w:rPr>
                <w:sz w:val="18"/>
                <w:szCs w:val="18"/>
              </w:rPr>
              <w:t>0.0</w:t>
            </w:r>
          </w:p>
        </w:tc>
        <w:tc>
          <w:tcPr>
            <w:tcW w:w="641" w:type="dxa"/>
            <w:tcBorders>
              <w:top w:val="nil"/>
              <w:left w:val="nil"/>
              <w:bottom w:val="single" w:sz="4" w:space="0" w:color="FFFFFF"/>
              <w:right w:val="nil"/>
            </w:tcBorders>
            <w:shd w:val="clear" w:color="000000" w:fill="F2F2F2"/>
            <w:vAlign w:val="center"/>
            <w:hideMark/>
          </w:tcPr>
          <w:p w14:paraId="02560CDF"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3A387432"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22CE69F3"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63C35A34"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58686F4E"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3982EB30"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6E8560D5"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0DE0C7C3"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035C4B67"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06C54D71"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5A38A32B" w14:textId="77777777" w:rsidR="007D5ECC" w:rsidRPr="004A7826" w:rsidRDefault="007D5ECC" w:rsidP="007D5ECC">
            <w:pPr>
              <w:pStyle w:val="Tabletext"/>
              <w:jc w:val="center"/>
              <w:rPr>
                <w:sz w:val="18"/>
                <w:szCs w:val="18"/>
              </w:rPr>
            </w:pPr>
            <w:r w:rsidRPr="004A7826">
              <w:rPr>
                <w:sz w:val="18"/>
                <w:szCs w:val="18"/>
              </w:rPr>
              <w:t>0.0</w:t>
            </w:r>
          </w:p>
        </w:tc>
        <w:tc>
          <w:tcPr>
            <w:tcW w:w="642" w:type="dxa"/>
            <w:tcBorders>
              <w:top w:val="nil"/>
              <w:left w:val="nil"/>
              <w:bottom w:val="single" w:sz="4" w:space="0" w:color="FFFFFF"/>
              <w:right w:val="nil"/>
            </w:tcBorders>
            <w:shd w:val="clear" w:color="000000" w:fill="F2F2F2"/>
            <w:vAlign w:val="center"/>
            <w:hideMark/>
          </w:tcPr>
          <w:p w14:paraId="49D88E86" w14:textId="77777777" w:rsidR="007D5ECC" w:rsidRPr="004A7826" w:rsidRDefault="007D5ECC" w:rsidP="007D5ECC">
            <w:pPr>
              <w:pStyle w:val="Tabletext"/>
              <w:jc w:val="center"/>
              <w:rPr>
                <w:sz w:val="18"/>
                <w:szCs w:val="18"/>
              </w:rPr>
            </w:pPr>
            <w:r w:rsidRPr="004A7826">
              <w:rPr>
                <w:sz w:val="18"/>
                <w:szCs w:val="18"/>
              </w:rPr>
              <w:t>0.0</w:t>
            </w:r>
          </w:p>
        </w:tc>
      </w:tr>
      <w:tr w:rsidR="007D5ECC" w:rsidRPr="00650A31" w14:paraId="793FDEB5" w14:textId="77777777" w:rsidTr="007D5ECC">
        <w:trPr>
          <w:trHeight w:val="397"/>
          <w:jc w:val="center"/>
        </w:trPr>
        <w:tc>
          <w:tcPr>
            <w:tcW w:w="440" w:type="dxa"/>
            <w:tcBorders>
              <w:top w:val="nil"/>
              <w:left w:val="nil"/>
              <w:bottom w:val="single" w:sz="4" w:space="0" w:color="FFFFFF"/>
              <w:right w:val="nil"/>
            </w:tcBorders>
            <w:shd w:val="clear" w:color="000000" w:fill="D9D9D9"/>
            <w:vAlign w:val="center"/>
            <w:hideMark/>
          </w:tcPr>
          <w:p w14:paraId="2776B1EC" w14:textId="77777777" w:rsidR="007D5ECC" w:rsidRPr="004A7826" w:rsidRDefault="007D5ECC" w:rsidP="007D5ECC">
            <w:pPr>
              <w:pStyle w:val="Tabletext"/>
            </w:pPr>
            <w:r w:rsidRPr="004A7826">
              <w:t>6</w:t>
            </w:r>
          </w:p>
        </w:tc>
        <w:tc>
          <w:tcPr>
            <w:tcW w:w="2821" w:type="dxa"/>
            <w:tcBorders>
              <w:top w:val="nil"/>
              <w:left w:val="nil"/>
              <w:bottom w:val="single" w:sz="4" w:space="0" w:color="FFFFFF"/>
              <w:right w:val="nil"/>
            </w:tcBorders>
            <w:shd w:val="clear" w:color="000000" w:fill="D9D9D9"/>
            <w:vAlign w:val="center"/>
            <w:hideMark/>
          </w:tcPr>
          <w:p w14:paraId="0F94688E" w14:textId="77777777" w:rsidR="007D5ECC" w:rsidRPr="004A7826" w:rsidRDefault="007D5ECC" w:rsidP="007D5ECC">
            <w:pPr>
              <w:pStyle w:val="Tabletext"/>
            </w:pPr>
            <w:r w:rsidRPr="004A7826">
              <w:t>Interest expenditure</w:t>
            </w:r>
          </w:p>
        </w:tc>
        <w:tc>
          <w:tcPr>
            <w:tcW w:w="926" w:type="dxa"/>
            <w:tcBorders>
              <w:top w:val="nil"/>
              <w:left w:val="nil"/>
              <w:bottom w:val="single" w:sz="4" w:space="0" w:color="FFFFFF"/>
              <w:right w:val="nil"/>
            </w:tcBorders>
            <w:shd w:val="clear" w:color="000000" w:fill="D9D9D9"/>
            <w:vAlign w:val="center"/>
            <w:hideMark/>
          </w:tcPr>
          <w:p w14:paraId="4B7BBD71" w14:textId="77777777" w:rsidR="007D5ECC" w:rsidRPr="004A7826" w:rsidRDefault="007D5ECC" w:rsidP="007D5ECC">
            <w:pPr>
              <w:pStyle w:val="Tabletext"/>
              <w:rPr>
                <w:sz w:val="18"/>
                <w:szCs w:val="18"/>
              </w:rPr>
            </w:pPr>
            <w:r w:rsidRPr="004A7826">
              <w:rPr>
                <w:sz w:val="18"/>
                <w:szCs w:val="18"/>
              </w:rPr>
              <w:t>(% GDP)</w:t>
            </w:r>
          </w:p>
        </w:tc>
        <w:tc>
          <w:tcPr>
            <w:tcW w:w="627" w:type="dxa"/>
            <w:tcBorders>
              <w:top w:val="nil"/>
              <w:left w:val="nil"/>
              <w:bottom w:val="single" w:sz="4" w:space="0" w:color="FFFFFF"/>
              <w:right w:val="nil"/>
            </w:tcBorders>
            <w:shd w:val="clear" w:color="000000" w:fill="D9D9D9"/>
            <w:vAlign w:val="center"/>
            <w:hideMark/>
          </w:tcPr>
          <w:p w14:paraId="651F782F" w14:textId="77777777" w:rsidR="007D5ECC" w:rsidRPr="004A7826" w:rsidRDefault="007D5ECC" w:rsidP="007D5ECC">
            <w:pPr>
              <w:pStyle w:val="Tabletext"/>
              <w:jc w:val="center"/>
              <w:rPr>
                <w:sz w:val="18"/>
                <w:szCs w:val="18"/>
              </w:rPr>
            </w:pPr>
            <w:r w:rsidRPr="004A7826">
              <w:rPr>
                <w:sz w:val="18"/>
                <w:szCs w:val="18"/>
              </w:rPr>
              <w:t>3.5</w:t>
            </w:r>
          </w:p>
        </w:tc>
        <w:tc>
          <w:tcPr>
            <w:tcW w:w="641" w:type="dxa"/>
            <w:tcBorders>
              <w:top w:val="nil"/>
              <w:left w:val="nil"/>
              <w:bottom w:val="single" w:sz="4" w:space="0" w:color="FFFFFF"/>
              <w:right w:val="nil"/>
            </w:tcBorders>
            <w:shd w:val="clear" w:color="000000" w:fill="D9D9D9"/>
            <w:vAlign w:val="center"/>
            <w:hideMark/>
          </w:tcPr>
          <w:p w14:paraId="03527EA4" w14:textId="77777777" w:rsidR="007D5ECC" w:rsidRPr="004A7826" w:rsidRDefault="007D5ECC" w:rsidP="007D5ECC">
            <w:pPr>
              <w:pStyle w:val="Tabletext"/>
              <w:jc w:val="center"/>
              <w:rPr>
                <w:sz w:val="18"/>
                <w:szCs w:val="18"/>
              </w:rPr>
            </w:pPr>
            <w:r w:rsidRPr="004A7826">
              <w:rPr>
                <w:sz w:val="18"/>
                <w:szCs w:val="18"/>
              </w:rPr>
              <w:t>3.4</w:t>
            </w:r>
          </w:p>
        </w:tc>
        <w:tc>
          <w:tcPr>
            <w:tcW w:w="641" w:type="dxa"/>
            <w:tcBorders>
              <w:top w:val="nil"/>
              <w:left w:val="nil"/>
              <w:bottom w:val="single" w:sz="4" w:space="0" w:color="FFFFFF"/>
              <w:right w:val="nil"/>
            </w:tcBorders>
            <w:shd w:val="clear" w:color="000000" w:fill="D9D9D9"/>
            <w:vAlign w:val="center"/>
            <w:hideMark/>
          </w:tcPr>
          <w:p w14:paraId="0ED10BB5" w14:textId="77777777" w:rsidR="007D5ECC" w:rsidRPr="004A7826" w:rsidRDefault="007D5ECC" w:rsidP="007D5ECC">
            <w:pPr>
              <w:pStyle w:val="Tabletext"/>
              <w:jc w:val="center"/>
              <w:rPr>
                <w:sz w:val="18"/>
                <w:szCs w:val="18"/>
              </w:rPr>
            </w:pPr>
            <w:r w:rsidRPr="004A7826">
              <w:rPr>
                <w:sz w:val="18"/>
                <w:szCs w:val="18"/>
              </w:rPr>
              <w:t>3.2</w:t>
            </w:r>
          </w:p>
        </w:tc>
        <w:tc>
          <w:tcPr>
            <w:tcW w:w="641" w:type="dxa"/>
            <w:tcBorders>
              <w:top w:val="nil"/>
              <w:left w:val="nil"/>
              <w:bottom w:val="single" w:sz="4" w:space="0" w:color="FFFFFF"/>
              <w:right w:val="nil"/>
            </w:tcBorders>
            <w:shd w:val="clear" w:color="000000" w:fill="D9D9D9"/>
            <w:vAlign w:val="center"/>
            <w:hideMark/>
          </w:tcPr>
          <w:p w14:paraId="04BAE618" w14:textId="77777777" w:rsidR="007D5ECC" w:rsidRPr="004A7826" w:rsidRDefault="007D5ECC" w:rsidP="007D5ECC">
            <w:pPr>
              <w:pStyle w:val="Tabletext"/>
              <w:jc w:val="center"/>
              <w:rPr>
                <w:sz w:val="18"/>
                <w:szCs w:val="18"/>
              </w:rPr>
            </w:pPr>
            <w:r w:rsidRPr="004A7826">
              <w:rPr>
                <w:sz w:val="18"/>
                <w:szCs w:val="18"/>
              </w:rPr>
              <w:t>3.3</w:t>
            </w:r>
          </w:p>
        </w:tc>
        <w:tc>
          <w:tcPr>
            <w:tcW w:w="641" w:type="dxa"/>
            <w:tcBorders>
              <w:top w:val="nil"/>
              <w:left w:val="nil"/>
              <w:bottom w:val="single" w:sz="4" w:space="0" w:color="FFFFFF"/>
              <w:right w:val="nil"/>
            </w:tcBorders>
            <w:shd w:val="clear" w:color="000000" w:fill="D9D9D9"/>
            <w:vAlign w:val="center"/>
            <w:hideMark/>
          </w:tcPr>
          <w:p w14:paraId="1119C7D7" w14:textId="77777777" w:rsidR="007D5ECC" w:rsidRPr="004A7826" w:rsidRDefault="007D5ECC" w:rsidP="007D5ECC">
            <w:pPr>
              <w:pStyle w:val="Tabletext"/>
              <w:jc w:val="center"/>
              <w:rPr>
                <w:sz w:val="18"/>
                <w:szCs w:val="18"/>
              </w:rPr>
            </w:pPr>
            <w:r w:rsidRPr="004A7826">
              <w:rPr>
                <w:sz w:val="18"/>
                <w:szCs w:val="18"/>
              </w:rPr>
              <w:t>3.5</w:t>
            </w:r>
          </w:p>
        </w:tc>
        <w:tc>
          <w:tcPr>
            <w:tcW w:w="642" w:type="dxa"/>
            <w:tcBorders>
              <w:top w:val="nil"/>
              <w:left w:val="nil"/>
              <w:bottom w:val="single" w:sz="4" w:space="0" w:color="FFFFFF"/>
              <w:right w:val="nil"/>
            </w:tcBorders>
            <w:shd w:val="clear" w:color="000000" w:fill="D9D9D9"/>
            <w:vAlign w:val="center"/>
            <w:hideMark/>
          </w:tcPr>
          <w:p w14:paraId="25144186" w14:textId="77777777" w:rsidR="007D5ECC" w:rsidRPr="004A7826" w:rsidRDefault="007D5ECC" w:rsidP="007D5ECC">
            <w:pPr>
              <w:pStyle w:val="Tabletext"/>
              <w:jc w:val="center"/>
              <w:rPr>
                <w:sz w:val="18"/>
                <w:szCs w:val="18"/>
              </w:rPr>
            </w:pPr>
            <w:r w:rsidRPr="004A7826">
              <w:rPr>
                <w:sz w:val="18"/>
                <w:szCs w:val="18"/>
              </w:rPr>
              <w:t>3.6</w:t>
            </w:r>
          </w:p>
        </w:tc>
        <w:tc>
          <w:tcPr>
            <w:tcW w:w="642" w:type="dxa"/>
            <w:tcBorders>
              <w:top w:val="nil"/>
              <w:left w:val="nil"/>
              <w:bottom w:val="single" w:sz="4" w:space="0" w:color="FFFFFF"/>
              <w:right w:val="nil"/>
            </w:tcBorders>
            <w:shd w:val="clear" w:color="000000" w:fill="D9D9D9"/>
            <w:vAlign w:val="center"/>
            <w:hideMark/>
          </w:tcPr>
          <w:p w14:paraId="152270EC" w14:textId="77777777" w:rsidR="007D5ECC" w:rsidRPr="004A7826" w:rsidRDefault="007D5ECC" w:rsidP="007D5ECC">
            <w:pPr>
              <w:pStyle w:val="Tabletext"/>
              <w:jc w:val="center"/>
              <w:rPr>
                <w:sz w:val="18"/>
                <w:szCs w:val="18"/>
              </w:rPr>
            </w:pPr>
            <w:r w:rsidRPr="004A7826">
              <w:rPr>
                <w:sz w:val="18"/>
                <w:szCs w:val="18"/>
              </w:rPr>
              <w:t>3.8</w:t>
            </w:r>
          </w:p>
        </w:tc>
        <w:tc>
          <w:tcPr>
            <w:tcW w:w="642" w:type="dxa"/>
            <w:tcBorders>
              <w:top w:val="nil"/>
              <w:left w:val="nil"/>
              <w:bottom w:val="single" w:sz="4" w:space="0" w:color="FFFFFF"/>
              <w:right w:val="nil"/>
            </w:tcBorders>
            <w:shd w:val="clear" w:color="000000" w:fill="D9D9D9"/>
            <w:vAlign w:val="center"/>
            <w:hideMark/>
          </w:tcPr>
          <w:p w14:paraId="6552CCE6" w14:textId="77777777" w:rsidR="007D5ECC" w:rsidRPr="004A7826" w:rsidRDefault="007D5ECC" w:rsidP="007D5ECC">
            <w:pPr>
              <w:pStyle w:val="Tabletext"/>
              <w:jc w:val="center"/>
              <w:rPr>
                <w:sz w:val="18"/>
                <w:szCs w:val="18"/>
              </w:rPr>
            </w:pPr>
            <w:r w:rsidRPr="004A7826">
              <w:rPr>
                <w:sz w:val="18"/>
                <w:szCs w:val="18"/>
              </w:rPr>
              <w:t>3.8</w:t>
            </w:r>
          </w:p>
        </w:tc>
        <w:tc>
          <w:tcPr>
            <w:tcW w:w="642" w:type="dxa"/>
            <w:tcBorders>
              <w:top w:val="nil"/>
              <w:left w:val="nil"/>
              <w:bottom w:val="single" w:sz="4" w:space="0" w:color="FFFFFF"/>
              <w:right w:val="nil"/>
            </w:tcBorders>
            <w:shd w:val="clear" w:color="000000" w:fill="D9D9D9"/>
            <w:vAlign w:val="center"/>
            <w:hideMark/>
          </w:tcPr>
          <w:p w14:paraId="348B721D" w14:textId="77777777" w:rsidR="007D5ECC" w:rsidRPr="004A7826" w:rsidRDefault="007D5ECC" w:rsidP="007D5ECC">
            <w:pPr>
              <w:pStyle w:val="Tabletext"/>
              <w:jc w:val="center"/>
              <w:rPr>
                <w:sz w:val="18"/>
                <w:szCs w:val="18"/>
              </w:rPr>
            </w:pPr>
            <w:r w:rsidRPr="004A7826">
              <w:rPr>
                <w:sz w:val="18"/>
                <w:szCs w:val="18"/>
              </w:rPr>
              <w:t>3.8</w:t>
            </w:r>
          </w:p>
        </w:tc>
        <w:tc>
          <w:tcPr>
            <w:tcW w:w="642" w:type="dxa"/>
            <w:tcBorders>
              <w:top w:val="nil"/>
              <w:left w:val="nil"/>
              <w:bottom w:val="single" w:sz="4" w:space="0" w:color="FFFFFF"/>
              <w:right w:val="nil"/>
            </w:tcBorders>
            <w:shd w:val="clear" w:color="000000" w:fill="D9D9D9"/>
            <w:vAlign w:val="center"/>
            <w:hideMark/>
          </w:tcPr>
          <w:p w14:paraId="64A5A537" w14:textId="77777777" w:rsidR="007D5ECC" w:rsidRPr="004A7826" w:rsidRDefault="007D5ECC" w:rsidP="007D5ECC">
            <w:pPr>
              <w:pStyle w:val="Tabletext"/>
              <w:jc w:val="center"/>
              <w:rPr>
                <w:sz w:val="18"/>
                <w:szCs w:val="18"/>
              </w:rPr>
            </w:pPr>
            <w:r w:rsidRPr="004A7826">
              <w:rPr>
                <w:sz w:val="18"/>
                <w:szCs w:val="18"/>
              </w:rPr>
              <w:t>3.8</w:t>
            </w:r>
          </w:p>
        </w:tc>
        <w:tc>
          <w:tcPr>
            <w:tcW w:w="642" w:type="dxa"/>
            <w:tcBorders>
              <w:top w:val="nil"/>
              <w:left w:val="nil"/>
              <w:bottom w:val="single" w:sz="4" w:space="0" w:color="FFFFFF"/>
              <w:right w:val="nil"/>
            </w:tcBorders>
            <w:shd w:val="clear" w:color="000000" w:fill="D9D9D9"/>
            <w:vAlign w:val="center"/>
            <w:hideMark/>
          </w:tcPr>
          <w:p w14:paraId="41C01149" w14:textId="77777777" w:rsidR="007D5ECC" w:rsidRPr="004A7826" w:rsidRDefault="007D5ECC" w:rsidP="007D5ECC">
            <w:pPr>
              <w:pStyle w:val="Tabletext"/>
              <w:jc w:val="center"/>
              <w:rPr>
                <w:sz w:val="18"/>
                <w:szCs w:val="18"/>
              </w:rPr>
            </w:pPr>
            <w:r w:rsidRPr="004A7826">
              <w:rPr>
                <w:sz w:val="18"/>
                <w:szCs w:val="18"/>
              </w:rPr>
              <w:t>3.8</w:t>
            </w:r>
          </w:p>
        </w:tc>
        <w:tc>
          <w:tcPr>
            <w:tcW w:w="642" w:type="dxa"/>
            <w:tcBorders>
              <w:top w:val="nil"/>
              <w:left w:val="nil"/>
              <w:bottom w:val="single" w:sz="4" w:space="0" w:color="FFFFFF"/>
              <w:right w:val="nil"/>
            </w:tcBorders>
            <w:shd w:val="clear" w:color="000000" w:fill="D9D9D9"/>
            <w:vAlign w:val="center"/>
            <w:hideMark/>
          </w:tcPr>
          <w:p w14:paraId="0064035A" w14:textId="77777777" w:rsidR="007D5ECC" w:rsidRPr="004A7826" w:rsidRDefault="007D5ECC" w:rsidP="007D5ECC">
            <w:pPr>
              <w:pStyle w:val="Tabletext"/>
              <w:jc w:val="center"/>
              <w:rPr>
                <w:sz w:val="18"/>
                <w:szCs w:val="18"/>
              </w:rPr>
            </w:pPr>
            <w:r w:rsidRPr="004A7826">
              <w:rPr>
                <w:sz w:val="18"/>
                <w:szCs w:val="18"/>
              </w:rPr>
              <w:t>3.9</w:t>
            </w:r>
          </w:p>
        </w:tc>
        <w:tc>
          <w:tcPr>
            <w:tcW w:w="642" w:type="dxa"/>
            <w:tcBorders>
              <w:top w:val="nil"/>
              <w:left w:val="nil"/>
              <w:bottom w:val="single" w:sz="4" w:space="0" w:color="FFFFFF"/>
              <w:right w:val="nil"/>
            </w:tcBorders>
            <w:shd w:val="clear" w:color="000000" w:fill="D9D9D9"/>
            <w:vAlign w:val="center"/>
            <w:hideMark/>
          </w:tcPr>
          <w:p w14:paraId="17E14168" w14:textId="77777777" w:rsidR="007D5ECC" w:rsidRPr="004A7826" w:rsidRDefault="007D5ECC" w:rsidP="007D5ECC">
            <w:pPr>
              <w:pStyle w:val="Tabletext"/>
              <w:jc w:val="center"/>
              <w:rPr>
                <w:sz w:val="18"/>
                <w:szCs w:val="18"/>
              </w:rPr>
            </w:pPr>
            <w:r w:rsidRPr="004A7826">
              <w:rPr>
                <w:sz w:val="18"/>
                <w:szCs w:val="18"/>
              </w:rPr>
              <w:t>4.0</w:t>
            </w:r>
          </w:p>
        </w:tc>
        <w:tc>
          <w:tcPr>
            <w:tcW w:w="642" w:type="dxa"/>
            <w:tcBorders>
              <w:top w:val="nil"/>
              <w:left w:val="nil"/>
              <w:bottom w:val="single" w:sz="4" w:space="0" w:color="FFFFFF"/>
              <w:right w:val="nil"/>
            </w:tcBorders>
            <w:shd w:val="clear" w:color="000000" w:fill="D9D9D9"/>
            <w:vAlign w:val="center"/>
            <w:hideMark/>
          </w:tcPr>
          <w:p w14:paraId="3796DE9E" w14:textId="77777777" w:rsidR="007D5ECC" w:rsidRPr="004A7826" w:rsidRDefault="007D5ECC" w:rsidP="007D5ECC">
            <w:pPr>
              <w:pStyle w:val="Tabletext"/>
              <w:jc w:val="center"/>
              <w:rPr>
                <w:sz w:val="18"/>
                <w:szCs w:val="18"/>
              </w:rPr>
            </w:pPr>
            <w:r w:rsidRPr="004A7826">
              <w:rPr>
                <w:sz w:val="18"/>
                <w:szCs w:val="18"/>
              </w:rPr>
              <w:t>3.9</w:t>
            </w:r>
          </w:p>
        </w:tc>
        <w:tc>
          <w:tcPr>
            <w:tcW w:w="642" w:type="dxa"/>
            <w:tcBorders>
              <w:top w:val="nil"/>
              <w:left w:val="nil"/>
              <w:bottom w:val="single" w:sz="4" w:space="0" w:color="FFFFFF"/>
              <w:right w:val="nil"/>
            </w:tcBorders>
            <w:shd w:val="clear" w:color="000000" w:fill="D9D9D9"/>
            <w:vAlign w:val="center"/>
            <w:hideMark/>
          </w:tcPr>
          <w:p w14:paraId="31E71F35" w14:textId="77777777" w:rsidR="007D5ECC" w:rsidRPr="004A7826" w:rsidRDefault="007D5ECC" w:rsidP="007D5ECC">
            <w:pPr>
              <w:pStyle w:val="Tabletext"/>
              <w:jc w:val="center"/>
              <w:rPr>
                <w:sz w:val="18"/>
                <w:szCs w:val="18"/>
              </w:rPr>
            </w:pPr>
            <w:r w:rsidRPr="004A7826">
              <w:rPr>
                <w:sz w:val="18"/>
                <w:szCs w:val="18"/>
              </w:rPr>
              <w:t>3.9</w:t>
            </w:r>
          </w:p>
        </w:tc>
        <w:tc>
          <w:tcPr>
            <w:tcW w:w="642" w:type="dxa"/>
            <w:tcBorders>
              <w:top w:val="nil"/>
              <w:left w:val="nil"/>
              <w:bottom w:val="single" w:sz="4" w:space="0" w:color="FFFFFF"/>
              <w:right w:val="nil"/>
            </w:tcBorders>
            <w:shd w:val="clear" w:color="000000" w:fill="D9D9D9"/>
            <w:vAlign w:val="center"/>
            <w:hideMark/>
          </w:tcPr>
          <w:p w14:paraId="0AA50F12" w14:textId="77777777" w:rsidR="007D5ECC" w:rsidRPr="004A7826" w:rsidRDefault="007D5ECC" w:rsidP="007D5ECC">
            <w:pPr>
              <w:pStyle w:val="Tabletext"/>
              <w:jc w:val="center"/>
              <w:rPr>
                <w:sz w:val="18"/>
                <w:szCs w:val="18"/>
              </w:rPr>
            </w:pPr>
            <w:r w:rsidRPr="004A7826">
              <w:rPr>
                <w:sz w:val="18"/>
                <w:szCs w:val="18"/>
              </w:rPr>
              <w:t>4.0</w:t>
            </w:r>
          </w:p>
        </w:tc>
      </w:tr>
      <w:tr w:rsidR="007D5ECC" w:rsidRPr="00650A31" w14:paraId="41D4367F"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224FB64C" w14:textId="77777777" w:rsidR="007D5ECC" w:rsidRPr="004A7826" w:rsidRDefault="007D5ECC" w:rsidP="007D5ECC">
            <w:pPr>
              <w:pStyle w:val="Tabletext"/>
            </w:pPr>
            <w:r w:rsidRPr="004A7826">
              <w:t>7</w:t>
            </w:r>
          </w:p>
        </w:tc>
        <w:tc>
          <w:tcPr>
            <w:tcW w:w="2821" w:type="dxa"/>
            <w:tcBorders>
              <w:top w:val="nil"/>
              <w:left w:val="nil"/>
              <w:bottom w:val="single" w:sz="4" w:space="0" w:color="FFFFFF"/>
              <w:right w:val="nil"/>
            </w:tcBorders>
            <w:shd w:val="clear" w:color="000000" w:fill="F2F2F2"/>
            <w:vAlign w:val="center"/>
            <w:hideMark/>
          </w:tcPr>
          <w:p w14:paraId="671154DA" w14:textId="77777777" w:rsidR="007D5ECC" w:rsidRPr="004A7826" w:rsidRDefault="007D5ECC" w:rsidP="007D5ECC">
            <w:pPr>
              <w:pStyle w:val="Tabletext"/>
            </w:pPr>
            <w:r w:rsidRPr="004A7826">
              <w:t>Long-term interest rate</w:t>
            </w:r>
          </w:p>
        </w:tc>
        <w:tc>
          <w:tcPr>
            <w:tcW w:w="926" w:type="dxa"/>
            <w:tcBorders>
              <w:top w:val="nil"/>
              <w:left w:val="nil"/>
              <w:bottom w:val="single" w:sz="4" w:space="0" w:color="FFFFFF"/>
              <w:right w:val="nil"/>
            </w:tcBorders>
            <w:shd w:val="clear" w:color="000000" w:fill="F2F2F2"/>
            <w:vAlign w:val="center"/>
            <w:hideMark/>
          </w:tcPr>
          <w:p w14:paraId="1EF127D5" w14:textId="77777777" w:rsidR="007D5ECC" w:rsidRPr="004A7826" w:rsidRDefault="007D5ECC" w:rsidP="007D5ECC">
            <w:pPr>
              <w:pStyle w:val="Tabletext"/>
              <w:rPr>
                <w:sz w:val="18"/>
                <w:szCs w:val="18"/>
              </w:rPr>
            </w:pPr>
            <w:r w:rsidRPr="004A7826">
              <w:rPr>
                <w:sz w:val="18"/>
                <w:szCs w:val="18"/>
              </w:rPr>
              <w:t>(%)</w:t>
            </w:r>
          </w:p>
        </w:tc>
        <w:tc>
          <w:tcPr>
            <w:tcW w:w="627" w:type="dxa"/>
            <w:tcBorders>
              <w:top w:val="nil"/>
              <w:left w:val="nil"/>
              <w:bottom w:val="single" w:sz="4" w:space="0" w:color="FFFFFF"/>
              <w:right w:val="nil"/>
            </w:tcBorders>
            <w:shd w:val="clear" w:color="000000" w:fill="F2F2F2"/>
            <w:vAlign w:val="center"/>
            <w:hideMark/>
          </w:tcPr>
          <w:p w14:paraId="2491DACA" w14:textId="77777777" w:rsidR="007D5ECC" w:rsidRPr="004A7826" w:rsidRDefault="007D5ECC" w:rsidP="007D5ECC">
            <w:pPr>
              <w:pStyle w:val="Tabletext"/>
              <w:jc w:val="center"/>
              <w:rPr>
                <w:sz w:val="18"/>
                <w:szCs w:val="18"/>
              </w:rPr>
            </w:pPr>
            <w:r w:rsidRPr="004A7826">
              <w:rPr>
                <w:sz w:val="18"/>
                <w:szCs w:val="18"/>
              </w:rPr>
              <w:t>4.0</w:t>
            </w:r>
          </w:p>
        </w:tc>
        <w:tc>
          <w:tcPr>
            <w:tcW w:w="641" w:type="dxa"/>
            <w:tcBorders>
              <w:top w:val="nil"/>
              <w:left w:val="nil"/>
              <w:bottom w:val="single" w:sz="4" w:space="0" w:color="FFFFFF"/>
              <w:right w:val="nil"/>
            </w:tcBorders>
            <w:shd w:val="clear" w:color="000000" w:fill="F2F2F2"/>
            <w:vAlign w:val="center"/>
            <w:hideMark/>
          </w:tcPr>
          <w:p w14:paraId="0A834B02" w14:textId="77777777" w:rsidR="007D5ECC" w:rsidRPr="004A7826" w:rsidRDefault="007D5ECC" w:rsidP="007D5ECC">
            <w:pPr>
              <w:pStyle w:val="Tabletext"/>
              <w:jc w:val="center"/>
              <w:rPr>
                <w:sz w:val="18"/>
                <w:szCs w:val="18"/>
              </w:rPr>
            </w:pPr>
            <w:r w:rsidRPr="004A7826">
              <w:rPr>
                <w:sz w:val="18"/>
                <w:szCs w:val="18"/>
              </w:rPr>
              <w:t>3.5</w:t>
            </w:r>
          </w:p>
        </w:tc>
        <w:tc>
          <w:tcPr>
            <w:tcW w:w="641" w:type="dxa"/>
            <w:tcBorders>
              <w:top w:val="nil"/>
              <w:left w:val="nil"/>
              <w:bottom w:val="single" w:sz="4" w:space="0" w:color="FFFFFF"/>
              <w:right w:val="nil"/>
            </w:tcBorders>
            <w:shd w:val="clear" w:color="000000" w:fill="F2F2F2"/>
            <w:vAlign w:val="center"/>
            <w:hideMark/>
          </w:tcPr>
          <w:p w14:paraId="69E1341C" w14:textId="77777777" w:rsidR="007D5ECC" w:rsidRPr="004A7826" w:rsidRDefault="007D5ECC" w:rsidP="007D5ECC">
            <w:pPr>
              <w:pStyle w:val="Tabletext"/>
              <w:jc w:val="center"/>
              <w:rPr>
                <w:sz w:val="18"/>
                <w:szCs w:val="18"/>
              </w:rPr>
            </w:pPr>
            <w:r w:rsidRPr="004A7826">
              <w:rPr>
                <w:sz w:val="18"/>
                <w:szCs w:val="18"/>
              </w:rPr>
              <w:t>3.7</w:t>
            </w:r>
          </w:p>
        </w:tc>
        <w:tc>
          <w:tcPr>
            <w:tcW w:w="641" w:type="dxa"/>
            <w:tcBorders>
              <w:top w:val="nil"/>
              <w:left w:val="nil"/>
              <w:bottom w:val="single" w:sz="4" w:space="0" w:color="FFFFFF"/>
              <w:right w:val="nil"/>
            </w:tcBorders>
            <w:shd w:val="clear" w:color="000000" w:fill="F2F2F2"/>
            <w:vAlign w:val="center"/>
            <w:hideMark/>
          </w:tcPr>
          <w:p w14:paraId="7F9912B3" w14:textId="77777777" w:rsidR="007D5ECC" w:rsidRPr="004A7826" w:rsidRDefault="007D5ECC" w:rsidP="007D5ECC">
            <w:pPr>
              <w:pStyle w:val="Tabletext"/>
              <w:jc w:val="center"/>
              <w:rPr>
                <w:sz w:val="18"/>
                <w:szCs w:val="18"/>
              </w:rPr>
            </w:pPr>
            <w:r w:rsidRPr="004A7826">
              <w:rPr>
                <w:sz w:val="18"/>
                <w:szCs w:val="18"/>
              </w:rPr>
              <w:t>3.8</w:t>
            </w:r>
          </w:p>
        </w:tc>
        <w:tc>
          <w:tcPr>
            <w:tcW w:w="641" w:type="dxa"/>
            <w:tcBorders>
              <w:top w:val="nil"/>
              <w:left w:val="nil"/>
              <w:bottom w:val="single" w:sz="4" w:space="0" w:color="FFFFFF"/>
              <w:right w:val="nil"/>
            </w:tcBorders>
            <w:shd w:val="clear" w:color="000000" w:fill="F2F2F2"/>
            <w:vAlign w:val="center"/>
            <w:hideMark/>
          </w:tcPr>
          <w:p w14:paraId="2E6F58E3" w14:textId="77777777" w:rsidR="007D5ECC" w:rsidRPr="004A7826" w:rsidRDefault="007D5ECC" w:rsidP="007D5ECC">
            <w:pPr>
              <w:pStyle w:val="Tabletext"/>
              <w:jc w:val="center"/>
              <w:rPr>
                <w:sz w:val="18"/>
                <w:szCs w:val="18"/>
              </w:rPr>
            </w:pPr>
            <w:r w:rsidRPr="004A7826">
              <w:rPr>
                <w:sz w:val="18"/>
                <w:szCs w:val="18"/>
              </w:rPr>
              <w:t>3.9</w:t>
            </w:r>
          </w:p>
        </w:tc>
        <w:tc>
          <w:tcPr>
            <w:tcW w:w="642" w:type="dxa"/>
            <w:tcBorders>
              <w:top w:val="nil"/>
              <w:left w:val="nil"/>
              <w:bottom w:val="single" w:sz="4" w:space="0" w:color="FFFFFF"/>
              <w:right w:val="nil"/>
            </w:tcBorders>
            <w:shd w:val="clear" w:color="000000" w:fill="F2F2F2"/>
            <w:vAlign w:val="center"/>
            <w:hideMark/>
          </w:tcPr>
          <w:p w14:paraId="00B1B9AF" w14:textId="77777777" w:rsidR="007D5ECC" w:rsidRPr="004A7826" w:rsidRDefault="007D5ECC" w:rsidP="007D5ECC">
            <w:pPr>
              <w:pStyle w:val="Tabletext"/>
              <w:jc w:val="center"/>
              <w:rPr>
                <w:sz w:val="18"/>
                <w:szCs w:val="18"/>
              </w:rPr>
            </w:pPr>
            <w:r w:rsidRPr="004A7826">
              <w:rPr>
                <w:sz w:val="18"/>
                <w:szCs w:val="18"/>
              </w:rPr>
              <w:t>4.0</w:t>
            </w:r>
          </w:p>
        </w:tc>
        <w:tc>
          <w:tcPr>
            <w:tcW w:w="642" w:type="dxa"/>
            <w:tcBorders>
              <w:top w:val="nil"/>
              <w:left w:val="nil"/>
              <w:bottom w:val="single" w:sz="4" w:space="0" w:color="FFFFFF"/>
              <w:right w:val="nil"/>
            </w:tcBorders>
            <w:shd w:val="clear" w:color="000000" w:fill="F2F2F2"/>
            <w:vAlign w:val="center"/>
            <w:hideMark/>
          </w:tcPr>
          <w:p w14:paraId="3D2D3169" w14:textId="77777777" w:rsidR="007D5ECC" w:rsidRPr="004A7826" w:rsidRDefault="007D5ECC" w:rsidP="007D5ECC">
            <w:pPr>
              <w:pStyle w:val="Tabletext"/>
              <w:jc w:val="center"/>
              <w:rPr>
                <w:sz w:val="18"/>
                <w:szCs w:val="18"/>
              </w:rPr>
            </w:pPr>
            <w:r w:rsidRPr="004A7826">
              <w:rPr>
                <w:sz w:val="18"/>
                <w:szCs w:val="18"/>
              </w:rPr>
              <w:t>4.0</w:t>
            </w:r>
          </w:p>
        </w:tc>
        <w:tc>
          <w:tcPr>
            <w:tcW w:w="642" w:type="dxa"/>
            <w:tcBorders>
              <w:top w:val="nil"/>
              <w:left w:val="nil"/>
              <w:bottom w:val="single" w:sz="4" w:space="0" w:color="FFFFFF"/>
              <w:right w:val="nil"/>
            </w:tcBorders>
            <w:shd w:val="clear" w:color="000000" w:fill="F2F2F2"/>
            <w:vAlign w:val="center"/>
            <w:hideMark/>
          </w:tcPr>
          <w:p w14:paraId="09CD63E3" w14:textId="77777777" w:rsidR="007D5ECC" w:rsidRPr="004A7826" w:rsidRDefault="007D5ECC" w:rsidP="007D5ECC">
            <w:pPr>
              <w:pStyle w:val="Tabletext"/>
              <w:jc w:val="center"/>
              <w:rPr>
                <w:sz w:val="18"/>
                <w:szCs w:val="18"/>
              </w:rPr>
            </w:pPr>
            <w:r w:rsidRPr="004A7826">
              <w:rPr>
                <w:sz w:val="18"/>
                <w:szCs w:val="18"/>
              </w:rPr>
              <w:t>4.1</w:t>
            </w:r>
          </w:p>
        </w:tc>
        <w:tc>
          <w:tcPr>
            <w:tcW w:w="642" w:type="dxa"/>
            <w:tcBorders>
              <w:top w:val="nil"/>
              <w:left w:val="nil"/>
              <w:bottom w:val="single" w:sz="4" w:space="0" w:color="FFFFFF"/>
              <w:right w:val="nil"/>
            </w:tcBorders>
            <w:shd w:val="clear" w:color="000000" w:fill="F2F2F2"/>
            <w:vAlign w:val="center"/>
            <w:hideMark/>
          </w:tcPr>
          <w:p w14:paraId="277DB922" w14:textId="77777777" w:rsidR="007D5ECC" w:rsidRPr="004A7826" w:rsidRDefault="007D5ECC" w:rsidP="007D5ECC">
            <w:pPr>
              <w:pStyle w:val="Tabletext"/>
              <w:jc w:val="center"/>
              <w:rPr>
                <w:sz w:val="18"/>
                <w:szCs w:val="18"/>
              </w:rPr>
            </w:pPr>
            <w:r w:rsidRPr="004A7826">
              <w:rPr>
                <w:sz w:val="18"/>
                <w:szCs w:val="18"/>
              </w:rPr>
              <w:t>4.2</w:t>
            </w:r>
          </w:p>
        </w:tc>
        <w:tc>
          <w:tcPr>
            <w:tcW w:w="642" w:type="dxa"/>
            <w:tcBorders>
              <w:top w:val="nil"/>
              <w:left w:val="nil"/>
              <w:bottom w:val="single" w:sz="4" w:space="0" w:color="FFFFFF"/>
              <w:right w:val="nil"/>
            </w:tcBorders>
            <w:shd w:val="clear" w:color="000000" w:fill="F2F2F2"/>
            <w:vAlign w:val="center"/>
            <w:hideMark/>
          </w:tcPr>
          <w:p w14:paraId="1D3413A3" w14:textId="77777777" w:rsidR="007D5ECC" w:rsidRPr="004A7826" w:rsidRDefault="007D5ECC" w:rsidP="007D5ECC">
            <w:pPr>
              <w:pStyle w:val="Tabletext"/>
              <w:jc w:val="center"/>
              <w:rPr>
                <w:sz w:val="18"/>
                <w:szCs w:val="18"/>
              </w:rPr>
            </w:pPr>
            <w:r w:rsidRPr="004A7826">
              <w:rPr>
                <w:sz w:val="18"/>
                <w:szCs w:val="18"/>
              </w:rPr>
              <w:t>4.3</w:t>
            </w:r>
          </w:p>
        </w:tc>
        <w:tc>
          <w:tcPr>
            <w:tcW w:w="642" w:type="dxa"/>
            <w:tcBorders>
              <w:top w:val="nil"/>
              <w:left w:val="nil"/>
              <w:bottom w:val="single" w:sz="4" w:space="0" w:color="FFFFFF"/>
              <w:right w:val="nil"/>
            </w:tcBorders>
            <w:shd w:val="clear" w:color="000000" w:fill="F2F2F2"/>
            <w:vAlign w:val="center"/>
            <w:hideMark/>
          </w:tcPr>
          <w:p w14:paraId="71E21639" w14:textId="77777777" w:rsidR="007D5ECC" w:rsidRPr="004A7826" w:rsidRDefault="007D5ECC" w:rsidP="007D5ECC">
            <w:pPr>
              <w:pStyle w:val="Tabletext"/>
              <w:jc w:val="center"/>
              <w:rPr>
                <w:sz w:val="18"/>
                <w:szCs w:val="18"/>
              </w:rPr>
            </w:pPr>
            <w:r w:rsidRPr="004A7826">
              <w:rPr>
                <w:sz w:val="18"/>
                <w:szCs w:val="18"/>
              </w:rPr>
              <w:t>4.4</w:t>
            </w:r>
          </w:p>
        </w:tc>
        <w:tc>
          <w:tcPr>
            <w:tcW w:w="642" w:type="dxa"/>
            <w:tcBorders>
              <w:top w:val="nil"/>
              <w:left w:val="nil"/>
              <w:bottom w:val="single" w:sz="4" w:space="0" w:color="FFFFFF"/>
              <w:right w:val="nil"/>
            </w:tcBorders>
            <w:shd w:val="clear" w:color="000000" w:fill="F2F2F2"/>
            <w:vAlign w:val="center"/>
            <w:hideMark/>
          </w:tcPr>
          <w:p w14:paraId="097B89E3" w14:textId="77777777" w:rsidR="007D5ECC" w:rsidRPr="004A7826" w:rsidRDefault="007D5ECC" w:rsidP="007D5ECC">
            <w:pPr>
              <w:pStyle w:val="Tabletext"/>
              <w:jc w:val="center"/>
              <w:rPr>
                <w:sz w:val="18"/>
                <w:szCs w:val="18"/>
              </w:rPr>
            </w:pPr>
            <w:r w:rsidRPr="004A7826">
              <w:rPr>
                <w:sz w:val="18"/>
                <w:szCs w:val="18"/>
              </w:rPr>
              <w:t>4.3</w:t>
            </w:r>
          </w:p>
        </w:tc>
        <w:tc>
          <w:tcPr>
            <w:tcW w:w="642" w:type="dxa"/>
            <w:tcBorders>
              <w:top w:val="nil"/>
              <w:left w:val="nil"/>
              <w:bottom w:val="single" w:sz="4" w:space="0" w:color="FFFFFF"/>
              <w:right w:val="nil"/>
            </w:tcBorders>
            <w:shd w:val="clear" w:color="000000" w:fill="F2F2F2"/>
            <w:vAlign w:val="center"/>
            <w:hideMark/>
          </w:tcPr>
          <w:p w14:paraId="636582A2" w14:textId="77777777" w:rsidR="007D5ECC" w:rsidRPr="004A7826" w:rsidRDefault="007D5ECC" w:rsidP="007D5ECC">
            <w:pPr>
              <w:pStyle w:val="Tabletext"/>
              <w:jc w:val="center"/>
              <w:rPr>
                <w:sz w:val="18"/>
                <w:szCs w:val="18"/>
              </w:rPr>
            </w:pPr>
            <w:r w:rsidRPr="004A7826">
              <w:rPr>
                <w:sz w:val="18"/>
                <w:szCs w:val="18"/>
              </w:rPr>
              <w:t>4.3</w:t>
            </w:r>
          </w:p>
        </w:tc>
        <w:tc>
          <w:tcPr>
            <w:tcW w:w="642" w:type="dxa"/>
            <w:tcBorders>
              <w:top w:val="nil"/>
              <w:left w:val="nil"/>
              <w:bottom w:val="single" w:sz="4" w:space="0" w:color="FFFFFF"/>
              <w:right w:val="nil"/>
            </w:tcBorders>
            <w:shd w:val="clear" w:color="000000" w:fill="F2F2F2"/>
            <w:vAlign w:val="center"/>
            <w:hideMark/>
          </w:tcPr>
          <w:p w14:paraId="48517165" w14:textId="77777777" w:rsidR="007D5ECC" w:rsidRPr="004A7826" w:rsidRDefault="007D5ECC" w:rsidP="007D5ECC">
            <w:pPr>
              <w:pStyle w:val="Tabletext"/>
              <w:jc w:val="center"/>
              <w:rPr>
                <w:sz w:val="18"/>
                <w:szCs w:val="18"/>
              </w:rPr>
            </w:pPr>
            <w:r w:rsidRPr="004A7826">
              <w:rPr>
                <w:sz w:val="18"/>
                <w:szCs w:val="18"/>
              </w:rPr>
              <w:t>4.3</w:t>
            </w:r>
          </w:p>
        </w:tc>
        <w:tc>
          <w:tcPr>
            <w:tcW w:w="642" w:type="dxa"/>
            <w:tcBorders>
              <w:top w:val="nil"/>
              <w:left w:val="nil"/>
              <w:bottom w:val="single" w:sz="4" w:space="0" w:color="FFFFFF"/>
              <w:right w:val="nil"/>
            </w:tcBorders>
            <w:shd w:val="clear" w:color="000000" w:fill="F2F2F2"/>
            <w:vAlign w:val="center"/>
            <w:hideMark/>
          </w:tcPr>
          <w:p w14:paraId="777802C9" w14:textId="77777777" w:rsidR="007D5ECC" w:rsidRPr="004A7826" w:rsidRDefault="007D5ECC" w:rsidP="007D5ECC">
            <w:pPr>
              <w:pStyle w:val="Tabletext"/>
              <w:jc w:val="center"/>
              <w:rPr>
                <w:sz w:val="18"/>
                <w:szCs w:val="18"/>
              </w:rPr>
            </w:pPr>
            <w:r w:rsidRPr="004A7826">
              <w:rPr>
                <w:sz w:val="18"/>
                <w:szCs w:val="18"/>
              </w:rPr>
              <w:t>4.3</w:t>
            </w:r>
          </w:p>
        </w:tc>
        <w:tc>
          <w:tcPr>
            <w:tcW w:w="642" w:type="dxa"/>
            <w:tcBorders>
              <w:top w:val="nil"/>
              <w:left w:val="nil"/>
              <w:bottom w:val="single" w:sz="4" w:space="0" w:color="FFFFFF"/>
              <w:right w:val="nil"/>
            </w:tcBorders>
            <w:shd w:val="clear" w:color="000000" w:fill="F2F2F2"/>
            <w:vAlign w:val="center"/>
            <w:hideMark/>
          </w:tcPr>
          <w:p w14:paraId="520FC3B7" w14:textId="77777777" w:rsidR="007D5ECC" w:rsidRPr="004A7826" w:rsidRDefault="007D5ECC" w:rsidP="007D5ECC">
            <w:pPr>
              <w:pStyle w:val="Tabletext"/>
              <w:jc w:val="center"/>
              <w:rPr>
                <w:sz w:val="18"/>
                <w:szCs w:val="18"/>
              </w:rPr>
            </w:pPr>
            <w:r w:rsidRPr="004A7826">
              <w:rPr>
                <w:sz w:val="18"/>
                <w:szCs w:val="18"/>
              </w:rPr>
              <w:t>4.3</w:t>
            </w:r>
          </w:p>
        </w:tc>
      </w:tr>
      <w:tr w:rsidR="007D5ECC" w:rsidRPr="00650A31" w14:paraId="549C9FF2" w14:textId="77777777" w:rsidTr="007D5ECC">
        <w:trPr>
          <w:trHeight w:val="397"/>
          <w:jc w:val="center"/>
        </w:trPr>
        <w:tc>
          <w:tcPr>
            <w:tcW w:w="440" w:type="dxa"/>
            <w:tcBorders>
              <w:top w:val="nil"/>
              <w:left w:val="nil"/>
              <w:bottom w:val="single" w:sz="4" w:space="0" w:color="FFFFFF"/>
              <w:right w:val="nil"/>
            </w:tcBorders>
            <w:shd w:val="clear" w:color="000000" w:fill="D9D9D9"/>
            <w:vAlign w:val="center"/>
            <w:hideMark/>
          </w:tcPr>
          <w:p w14:paraId="053B7903" w14:textId="77777777" w:rsidR="007D5ECC" w:rsidRPr="004A7826" w:rsidRDefault="007D5ECC" w:rsidP="007D5ECC">
            <w:pPr>
              <w:pStyle w:val="Tabletext"/>
            </w:pPr>
            <w:r w:rsidRPr="004A7826">
              <w:t>8</w:t>
            </w:r>
          </w:p>
        </w:tc>
        <w:tc>
          <w:tcPr>
            <w:tcW w:w="2821" w:type="dxa"/>
            <w:tcBorders>
              <w:top w:val="nil"/>
              <w:left w:val="nil"/>
              <w:bottom w:val="single" w:sz="4" w:space="0" w:color="FFFFFF"/>
              <w:right w:val="nil"/>
            </w:tcBorders>
            <w:shd w:val="clear" w:color="000000" w:fill="D9D9D9"/>
            <w:vAlign w:val="center"/>
            <w:hideMark/>
          </w:tcPr>
          <w:p w14:paraId="559E1785" w14:textId="77777777" w:rsidR="007D5ECC" w:rsidRPr="004A7826" w:rsidRDefault="007D5ECC" w:rsidP="007D5ECC">
            <w:pPr>
              <w:pStyle w:val="Tabletext"/>
            </w:pPr>
            <w:r w:rsidRPr="004A7826">
              <w:t xml:space="preserve">Short-term interest rate </w:t>
            </w:r>
          </w:p>
        </w:tc>
        <w:tc>
          <w:tcPr>
            <w:tcW w:w="926" w:type="dxa"/>
            <w:tcBorders>
              <w:top w:val="nil"/>
              <w:left w:val="nil"/>
              <w:bottom w:val="single" w:sz="4" w:space="0" w:color="FFFFFF"/>
              <w:right w:val="nil"/>
            </w:tcBorders>
            <w:shd w:val="clear" w:color="000000" w:fill="D9D9D9"/>
            <w:vAlign w:val="center"/>
            <w:hideMark/>
          </w:tcPr>
          <w:p w14:paraId="2CF92255" w14:textId="77777777" w:rsidR="007D5ECC" w:rsidRPr="004A7826" w:rsidRDefault="007D5ECC" w:rsidP="007D5ECC">
            <w:pPr>
              <w:pStyle w:val="Tabletext"/>
              <w:rPr>
                <w:sz w:val="18"/>
                <w:szCs w:val="18"/>
              </w:rPr>
            </w:pPr>
            <w:r w:rsidRPr="004A7826">
              <w:rPr>
                <w:sz w:val="18"/>
                <w:szCs w:val="18"/>
              </w:rPr>
              <w:t>(%)</w:t>
            </w:r>
          </w:p>
        </w:tc>
        <w:tc>
          <w:tcPr>
            <w:tcW w:w="627" w:type="dxa"/>
            <w:tcBorders>
              <w:top w:val="nil"/>
              <w:left w:val="nil"/>
              <w:bottom w:val="single" w:sz="4" w:space="0" w:color="FFFFFF"/>
              <w:right w:val="nil"/>
            </w:tcBorders>
            <w:shd w:val="clear" w:color="000000" w:fill="D9D9D9"/>
            <w:vAlign w:val="center"/>
            <w:hideMark/>
          </w:tcPr>
          <w:p w14:paraId="6CA6E8A0" w14:textId="77777777" w:rsidR="007D5ECC" w:rsidRPr="004A7826" w:rsidRDefault="007D5ECC" w:rsidP="007D5ECC">
            <w:pPr>
              <w:pStyle w:val="Tabletext"/>
              <w:jc w:val="center"/>
              <w:rPr>
                <w:sz w:val="18"/>
                <w:szCs w:val="18"/>
              </w:rPr>
            </w:pPr>
            <w:r w:rsidRPr="004A7826">
              <w:rPr>
                <w:sz w:val="18"/>
                <w:szCs w:val="18"/>
              </w:rPr>
              <w:t>3.4</w:t>
            </w:r>
          </w:p>
        </w:tc>
        <w:tc>
          <w:tcPr>
            <w:tcW w:w="641" w:type="dxa"/>
            <w:tcBorders>
              <w:top w:val="nil"/>
              <w:left w:val="nil"/>
              <w:bottom w:val="single" w:sz="4" w:space="0" w:color="FFFFFF"/>
              <w:right w:val="nil"/>
            </w:tcBorders>
            <w:shd w:val="clear" w:color="000000" w:fill="D9D9D9"/>
            <w:vAlign w:val="center"/>
            <w:hideMark/>
          </w:tcPr>
          <w:p w14:paraId="5A37227B" w14:textId="77777777" w:rsidR="007D5ECC" w:rsidRPr="004A7826" w:rsidRDefault="007D5ECC" w:rsidP="007D5ECC">
            <w:pPr>
              <w:pStyle w:val="Tabletext"/>
              <w:jc w:val="center"/>
              <w:rPr>
                <w:sz w:val="18"/>
                <w:szCs w:val="18"/>
              </w:rPr>
            </w:pPr>
            <w:r w:rsidRPr="004A7826">
              <w:rPr>
                <w:sz w:val="18"/>
                <w:szCs w:val="18"/>
              </w:rPr>
              <w:t>3.6</w:t>
            </w:r>
          </w:p>
        </w:tc>
        <w:tc>
          <w:tcPr>
            <w:tcW w:w="641" w:type="dxa"/>
            <w:tcBorders>
              <w:top w:val="nil"/>
              <w:left w:val="nil"/>
              <w:bottom w:val="single" w:sz="4" w:space="0" w:color="FFFFFF"/>
              <w:right w:val="nil"/>
            </w:tcBorders>
            <w:shd w:val="clear" w:color="000000" w:fill="D9D9D9"/>
            <w:vAlign w:val="center"/>
            <w:hideMark/>
          </w:tcPr>
          <w:p w14:paraId="1032B94E" w14:textId="77777777" w:rsidR="007D5ECC" w:rsidRPr="004A7826" w:rsidRDefault="007D5ECC" w:rsidP="007D5ECC">
            <w:pPr>
              <w:pStyle w:val="Tabletext"/>
              <w:jc w:val="center"/>
              <w:rPr>
                <w:sz w:val="18"/>
                <w:szCs w:val="18"/>
              </w:rPr>
            </w:pPr>
            <w:r w:rsidRPr="004A7826">
              <w:rPr>
                <w:sz w:val="18"/>
                <w:szCs w:val="18"/>
              </w:rPr>
              <w:t>2.8</w:t>
            </w:r>
          </w:p>
        </w:tc>
        <w:tc>
          <w:tcPr>
            <w:tcW w:w="641" w:type="dxa"/>
            <w:tcBorders>
              <w:top w:val="nil"/>
              <w:left w:val="nil"/>
              <w:bottom w:val="single" w:sz="4" w:space="0" w:color="FFFFFF"/>
              <w:right w:val="nil"/>
            </w:tcBorders>
            <w:shd w:val="clear" w:color="000000" w:fill="D9D9D9"/>
            <w:vAlign w:val="center"/>
            <w:hideMark/>
          </w:tcPr>
          <w:p w14:paraId="04FB990A" w14:textId="77777777" w:rsidR="007D5ECC" w:rsidRPr="004A7826" w:rsidRDefault="007D5ECC" w:rsidP="007D5ECC">
            <w:pPr>
              <w:pStyle w:val="Tabletext"/>
              <w:jc w:val="center"/>
              <w:rPr>
                <w:sz w:val="18"/>
                <w:szCs w:val="18"/>
              </w:rPr>
            </w:pPr>
            <w:r w:rsidRPr="004A7826">
              <w:rPr>
                <w:sz w:val="18"/>
                <w:szCs w:val="18"/>
              </w:rPr>
              <w:t>2.8</w:t>
            </w:r>
          </w:p>
        </w:tc>
        <w:tc>
          <w:tcPr>
            <w:tcW w:w="641" w:type="dxa"/>
            <w:tcBorders>
              <w:top w:val="nil"/>
              <w:left w:val="nil"/>
              <w:bottom w:val="single" w:sz="4" w:space="0" w:color="FFFFFF"/>
              <w:right w:val="nil"/>
            </w:tcBorders>
            <w:shd w:val="clear" w:color="000000" w:fill="D9D9D9"/>
            <w:vAlign w:val="center"/>
            <w:hideMark/>
          </w:tcPr>
          <w:p w14:paraId="432AD4D9" w14:textId="77777777" w:rsidR="007D5ECC" w:rsidRPr="004A7826" w:rsidRDefault="007D5ECC" w:rsidP="007D5ECC">
            <w:pPr>
              <w:pStyle w:val="Tabletext"/>
              <w:jc w:val="center"/>
              <w:rPr>
                <w:sz w:val="18"/>
                <w:szCs w:val="18"/>
              </w:rPr>
            </w:pPr>
            <w:r w:rsidRPr="004A7826">
              <w:rPr>
                <w:sz w:val="18"/>
                <w:szCs w:val="18"/>
              </w:rPr>
              <w:t>2.8</w:t>
            </w:r>
          </w:p>
        </w:tc>
        <w:tc>
          <w:tcPr>
            <w:tcW w:w="642" w:type="dxa"/>
            <w:tcBorders>
              <w:top w:val="nil"/>
              <w:left w:val="nil"/>
              <w:bottom w:val="single" w:sz="4" w:space="0" w:color="FFFFFF"/>
              <w:right w:val="nil"/>
            </w:tcBorders>
            <w:shd w:val="clear" w:color="000000" w:fill="D9D9D9"/>
            <w:vAlign w:val="center"/>
            <w:hideMark/>
          </w:tcPr>
          <w:p w14:paraId="5D3455DB" w14:textId="77777777" w:rsidR="007D5ECC" w:rsidRPr="004A7826" w:rsidRDefault="007D5ECC" w:rsidP="007D5ECC">
            <w:pPr>
              <w:pStyle w:val="Tabletext"/>
              <w:jc w:val="center"/>
              <w:rPr>
                <w:sz w:val="18"/>
                <w:szCs w:val="18"/>
              </w:rPr>
            </w:pPr>
            <w:r w:rsidRPr="004A7826">
              <w:rPr>
                <w:sz w:val="18"/>
                <w:szCs w:val="18"/>
              </w:rPr>
              <w:t>2.8</w:t>
            </w:r>
          </w:p>
        </w:tc>
        <w:tc>
          <w:tcPr>
            <w:tcW w:w="642" w:type="dxa"/>
            <w:tcBorders>
              <w:top w:val="nil"/>
              <w:left w:val="nil"/>
              <w:bottom w:val="single" w:sz="4" w:space="0" w:color="FFFFFF"/>
              <w:right w:val="nil"/>
            </w:tcBorders>
            <w:shd w:val="clear" w:color="000000" w:fill="D9D9D9"/>
            <w:vAlign w:val="center"/>
            <w:hideMark/>
          </w:tcPr>
          <w:p w14:paraId="3BCEA846" w14:textId="77777777" w:rsidR="007D5ECC" w:rsidRPr="004A7826" w:rsidRDefault="007D5ECC" w:rsidP="007D5ECC">
            <w:pPr>
              <w:pStyle w:val="Tabletext"/>
              <w:jc w:val="center"/>
              <w:rPr>
                <w:sz w:val="18"/>
                <w:szCs w:val="18"/>
              </w:rPr>
            </w:pPr>
            <w:r w:rsidRPr="004A7826">
              <w:rPr>
                <w:sz w:val="18"/>
                <w:szCs w:val="18"/>
              </w:rPr>
              <w:t>2.8</w:t>
            </w:r>
          </w:p>
        </w:tc>
        <w:tc>
          <w:tcPr>
            <w:tcW w:w="642" w:type="dxa"/>
            <w:tcBorders>
              <w:top w:val="nil"/>
              <w:left w:val="nil"/>
              <w:bottom w:val="single" w:sz="4" w:space="0" w:color="FFFFFF"/>
              <w:right w:val="nil"/>
            </w:tcBorders>
            <w:shd w:val="clear" w:color="000000" w:fill="D9D9D9"/>
            <w:vAlign w:val="center"/>
            <w:hideMark/>
          </w:tcPr>
          <w:p w14:paraId="021A469F" w14:textId="77777777" w:rsidR="007D5ECC" w:rsidRPr="004A7826" w:rsidRDefault="007D5ECC" w:rsidP="007D5ECC">
            <w:pPr>
              <w:pStyle w:val="Tabletext"/>
              <w:jc w:val="center"/>
              <w:rPr>
                <w:sz w:val="18"/>
                <w:szCs w:val="18"/>
              </w:rPr>
            </w:pPr>
            <w:r w:rsidRPr="004A7826">
              <w:rPr>
                <w:sz w:val="18"/>
                <w:szCs w:val="18"/>
              </w:rPr>
              <w:t>2.8</w:t>
            </w:r>
          </w:p>
        </w:tc>
        <w:tc>
          <w:tcPr>
            <w:tcW w:w="642" w:type="dxa"/>
            <w:tcBorders>
              <w:top w:val="nil"/>
              <w:left w:val="nil"/>
              <w:bottom w:val="single" w:sz="4" w:space="0" w:color="FFFFFF"/>
              <w:right w:val="nil"/>
            </w:tcBorders>
            <w:shd w:val="clear" w:color="000000" w:fill="D9D9D9"/>
            <w:vAlign w:val="center"/>
            <w:hideMark/>
          </w:tcPr>
          <w:p w14:paraId="4513F649"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nil"/>
              <w:left w:val="nil"/>
              <w:bottom w:val="single" w:sz="4" w:space="0" w:color="FFFFFF"/>
              <w:right w:val="nil"/>
            </w:tcBorders>
            <w:shd w:val="clear" w:color="000000" w:fill="D9D9D9"/>
            <w:vAlign w:val="center"/>
            <w:hideMark/>
          </w:tcPr>
          <w:p w14:paraId="29DC3507"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nil"/>
              <w:left w:val="nil"/>
              <w:bottom w:val="single" w:sz="4" w:space="0" w:color="FFFFFF"/>
              <w:right w:val="nil"/>
            </w:tcBorders>
            <w:shd w:val="clear" w:color="000000" w:fill="D9D9D9"/>
            <w:vAlign w:val="center"/>
            <w:hideMark/>
          </w:tcPr>
          <w:p w14:paraId="7FEB043D"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nil"/>
              <w:left w:val="nil"/>
              <w:bottom w:val="single" w:sz="4" w:space="0" w:color="FFFFFF"/>
              <w:right w:val="nil"/>
            </w:tcBorders>
            <w:shd w:val="clear" w:color="000000" w:fill="D9D9D9"/>
            <w:vAlign w:val="center"/>
            <w:hideMark/>
          </w:tcPr>
          <w:p w14:paraId="760E88ED"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nil"/>
              <w:left w:val="nil"/>
              <w:bottom w:val="single" w:sz="4" w:space="0" w:color="FFFFFF"/>
              <w:right w:val="nil"/>
            </w:tcBorders>
            <w:shd w:val="clear" w:color="000000" w:fill="D9D9D9"/>
            <w:vAlign w:val="center"/>
            <w:hideMark/>
          </w:tcPr>
          <w:p w14:paraId="26A7D42D"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nil"/>
              <w:left w:val="nil"/>
              <w:bottom w:val="single" w:sz="4" w:space="0" w:color="FFFFFF"/>
              <w:right w:val="nil"/>
            </w:tcBorders>
            <w:shd w:val="clear" w:color="000000" w:fill="D9D9D9"/>
            <w:vAlign w:val="center"/>
            <w:hideMark/>
          </w:tcPr>
          <w:p w14:paraId="0F83815E" w14:textId="77777777" w:rsidR="007D5ECC" w:rsidRPr="004A7826" w:rsidRDefault="007D5ECC" w:rsidP="007D5ECC">
            <w:pPr>
              <w:pStyle w:val="Tabletext"/>
              <w:jc w:val="center"/>
              <w:rPr>
                <w:sz w:val="18"/>
                <w:szCs w:val="18"/>
              </w:rPr>
            </w:pPr>
            <w:r w:rsidRPr="004A7826">
              <w:rPr>
                <w:sz w:val="18"/>
                <w:szCs w:val="18"/>
              </w:rPr>
              <w:t>2.6</w:t>
            </w:r>
          </w:p>
        </w:tc>
        <w:tc>
          <w:tcPr>
            <w:tcW w:w="642" w:type="dxa"/>
            <w:tcBorders>
              <w:top w:val="nil"/>
              <w:left w:val="nil"/>
              <w:bottom w:val="single" w:sz="4" w:space="0" w:color="FFFFFF"/>
              <w:right w:val="nil"/>
            </w:tcBorders>
            <w:shd w:val="clear" w:color="000000" w:fill="D9D9D9"/>
            <w:vAlign w:val="center"/>
            <w:hideMark/>
          </w:tcPr>
          <w:p w14:paraId="43069D68" w14:textId="77777777" w:rsidR="007D5ECC" w:rsidRPr="004A7826" w:rsidRDefault="007D5ECC" w:rsidP="007D5ECC">
            <w:pPr>
              <w:pStyle w:val="Tabletext"/>
              <w:jc w:val="center"/>
              <w:rPr>
                <w:sz w:val="18"/>
                <w:szCs w:val="18"/>
              </w:rPr>
            </w:pPr>
            <w:r w:rsidRPr="004A7826">
              <w:rPr>
                <w:sz w:val="18"/>
                <w:szCs w:val="18"/>
              </w:rPr>
              <w:t>2.6</w:t>
            </w:r>
          </w:p>
        </w:tc>
        <w:tc>
          <w:tcPr>
            <w:tcW w:w="642" w:type="dxa"/>
            <w:tcBorders>
              <w:top w:val="nil"/>
              <w:left w:val="nil"/>
              <w:bottom w:val="single" w:sz="4" w:space="0" w:color="FFFFFF"/>
              <w:right w:val="nil"/>
            </w:tcBorders>
            <w:shd w:val="clear" w:color="000000" w:fill="D9D9D9"/>
            <w:vAlign w:val="center"/>
            <w:hideMark/>
          </w:tcPr>
          <w:p w14:paraId="6FD189B4" w14:textId="77777777" w:rsidR="007D5ECC" w:rsidRPr="004A7826" w:rsidRDefault="007D5ECC" w:rsidP="007D5ECC">
            <w:pPr>
              <w:pStyle w:val="Tabletext"/>
              <w:jc w:val="center"/>
              <w:rPr>
                <w:sz w:val="18"/>
                <w:szCs w:val="18"/>
              </w:rPr>
            </w:pPr>
            <w:r w:rsidRPr="004A7826">
              <w:rPr>
                <w:sz w:val="18"/>
                <w:szCs w:val="18"/>
              </w:rPr>
              <w:t>2.5</w:t>
            </w:r>
          </w:p>
        </w:tc>
      </w:tr>
      <w:tr w:rsidR="007D5ECC" w:rsidRPr="00650A31" w14:paraId="68146FD3"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17B0F3F0" w14:textId="77777777" w:rsidR="007D5ECC" w:rsidRPr="004A7826" w:rsidRDefault="007D5ECC" w:rsidP="007D5ECC">
            <w:pPr>
              <w:pStyle w:val="Tabletext"/>
            </w:pPr>
            <w:r w:rsidRPr="004A7826">
              <w:t>9</w:t>
            </w:r>
          </w:p>
        </w:tc>
        <w:tc>
          <w:tcPr>
            <w:tcW w:w="2821" w:type="dxa"/>
            <w:tcBorders>
              <w:top w:val="nil"/>
              <w:left w:val="nil"/>
              <w:bottom w:val="single" w:sz="4" w:space="0" w:color="FFFFFF"/>
              <w:right w:val="nil"/>
            </w:tcBorders>
            <w:shd w:val="clear" w:color="000000" w:fill="F2F2F2"/>
            <w:vAlign w:val="center"/>
            <w:hideMark/>
          </w:tcPr>
          <w:p w14:paraId="7A8AFCAD" w14:textId="77777777" w:rsidR="007D5ECC" w:rsidRPr="004A7826" w:rsidRDefault="007D5ECC" w:rsidP="007D5ECC">
            <w:pPr>
              <w:pStyle w:val="Tabletext"/>
            </w:pPr>
            <w:r w:rsidRPr="004A7826">
              <w:t xml:space="preserve">Implicit average interest rate </w:t>
            </w:r>
          </w:p>
        </w:tc>
        <w:tc>
          <w:tcPr>
            <w:tcW w:w="926" w:type="dxa"/>
            <w:tcBorders>
              <w:top w:val="nil"/>
              <w:left w:val="nil"/>
              <w:bottom w:val="single" w:sz="4" w:space="0" w:color="FFFFFF"/>
              <w:right w:val="nil"/>
            </w:tcBorders>
            <w:shd w:val="clear" w:color="000000" w:fill="F2F2F2"/>
            <w:vAlign w:val="center"/>
            <w:hideMark/>
          </w:tcPr>
          <w:p w14:paraId="410C656B" w14:textId="77777777" w:rsidR="007D5ECC" w:rsidRPr="004A7826" w:rsidRDefault="007D5ECC" w:rsidP="007D5ECC">
            <w:pPr>
              <w:pStyle w:val="Tabletext"/>
              <w:rPr>
                <w:sz w:val="18"/>
                <w:szCs w:val="18"/>
              </w:rPr>
            </w:pPr>
            <w:r w:rsidRPr="004A7826">
              <w:rPr>
                <w:sz w:val="18"/>
                <w:szCs w:val="18"/>
              </w:rPr>
              <w:t>(%)</w:t>
            </w:r>
          </w:p>
        </w:tc>
        <w:tc>
          <w:tcPr>
            <w:tcW w:w="627" w:type="dxa"/>
            <w:tcBorders>
              <w:top w:val="nil"/>
              <w:left w:val="nil"/>
              <w:bottom w:val="single" w:sz="4" w:space="0" w:color="FFFFFF"/>
              <w:right w:val="nil"/>
            </w:tcBorders>
            <w:shd w:val="clear" w:color="000000" w:fill="F2F2F2"/>
            <w:vAlign w:val="center"/>
            <w:hideMark/>
          </w:tcPr>
          <w:p w14:paraId="139B9B5B" w14:textId="77777777" w:rsidR="007D5ECC" w:rsidRPr="004A7826" w:rsidRDefault="007D5ECC" w:rsidP="007D5ECC">
            <w:pPr>
              <w:pStyle w:val="Tabletext"/>
              <w:jc w:val="center"/>
              <w:rPr>
                <w:sz w:val="18"/>
                <w:szCs w:val="18"/>
              </w:rPr>
            </w:pPr>
            <w:r w:rsidRPr="004A7826">
              <w:rPr>
                <w:sz w:val="18"/>
                <w:szCs w:val="18"/>
              </w:rPr>
              <w:t>2.1</w:t>
            </w:r>
          </w:p>
        </w:tc>
        <w:tc>
          <w:tcPr>
            <w:tcW w:w="641" w:type="dxa"/>
            <w:tcBorders>
              <w:top w:val="nil"/>
              <w:left w:val="nil"/>
              <w:bottom w:val="single" w:sz="4" w:space="0" w:color="FFFFFF"/>
              <w:right w:val="nil"/>
            </w:tcBorders>
            <w:shd w:val="clear" w:color="000000" w:fill="F2F2F2"/>
            <w:vAlign w:val="center"/>
            <w:hideMark/>
          </w:tcPr>
          <w:p w14:paraId="53A3B199" w14:textId="77777777" w:rsidR="007D5ECC" w:rsidRPr="004A7826" w:rsidRDefault="007D5ECC" w:rsidP="007D5ECC">
            <w:pPr>
              <w:pStyle w:val="Tabletext"/>
              <w:jc w:val="center"/>
              <w:rPr>
                <w:sz w:val="18"/>
                <w:szCs w:val="18"/>
              </w:rPr>
            </w:pPr>
            <w:r w:rsidRPr="004A7826">
              <w:rPr>
                <w:sz w:val="18"/>
                <w:szCs w:val="18"/>
              </w:rPr>
              <w:t>2.2</w:t>
            </w:r>
          </w:p>
        </w:tc>
        <w:tc>
          <w:tcPr>
            <w:tcW w:w="641" w:type="dxa"/>
            <w:tcBorders>
              <w:top w:val="nil"/>
              <w:left w:val="nil"/>
              <w:bottom w:val="single" w:sz="4" w:space="0" w:color="FFFFFF"/>
              <w:right w:val="nil"/>
            </w:tcBorders>
            <w:shd w:val="clear" w:color="000000" w:fill="F2F2F2"/>
            <w:vAlign w:val="center"/>
            <w:hideMark/>
          </w:tcPr>
          <w:p w14:paraId="49E1159F" w14:textId="77777777" w:rsidR="007D5ECC" w:rsidRPr="004A7826" w:rsidRDefault="007D5ECC" w:rsidP="007D5ECC">
            <w:pPr>
              <w:pStyle w:val="Tabletext"/>
              <w:jc w:val="center"/>
              <w:rPr>
                <w:sz w:val="18"/>
                <w:szCs w:val="18"/>
              </w:rPr>
            </w:pPr>
            <w:r w:rsidRPr="004A7826">
              <w:rPr>
                <w:sz w:val="18"/>
                <w:szCs w:val="18"/>
              </w:rPr>
              <w:t>2.2</w:t>
            </w:r>
          </w:p>
        </w:tc>
        <w:tc>
          <w:tcPr>
            <w:tcW w:w="641" w:type="dxa"/>
            <w:tcBorders>
              <w:top w:val="nil"/>
              <w:left w:val="nil"/>
              <w:bottom w:val="single" w:sz="4" w:space="0" w:color="FFFFFF"/>
              <w:right w:val="nil"/>
            </w:tcBorders>
            <w:shd w:val="clear" w:color="000000" w:fill="F2F2F2"/>
            <w:vAlign w:val="center"/>
            <w:hideMark/>
          </w:tcPr>
          <w:p w14:paraId="5B0742D6" w14:textId="77777777" w:rsidR="007D5ECC" w:rsidRPr="004A7826" w:rsidRDefault="007D5ECC" w:rsidP="007D5ECC">
            <w:pPr>
              <w:pStyle w:val="Tabletext"/>
              <w:jc w:val="center"/>
              <w:rPr>
                <w:sz w:val="18"/>
                <w:szCs w:val="18"/>
              </w:rPr>
            </w:pPr>
            <w:r w:rsidRPr="004A7826">
              <w:rPr>
                <w:sz w:val="18"/>
                <w:szCs w:val="18"/>
              </w:rPr>
              <w:t>2.3</w:t>
            </w:r>
          </w:p>
        </w:tc>
        <w:tc>
          <w:tcPr>
            <w:tcW w:w="641" w:type="dxa"/>
            <w:tcBorders>
              <w:top w:val="nil"/>
              <w:left w:val="nil"/>
              <w:bottom w:val="single" w:sz="4" w:space="0" w:color="FFFFFF"/>
              <w:right w:val="nil"/>
            </w:tcBorders>
            <w:shd w:val="clear" w:color="000000" w:fill="F2F2F2"/>
            <w:vAlign w:val="center"/>
            <w:hideMark/>
          </w:tcPr>
          <w:p w14:paraId="409BEFEC" w14:textId="77777777" w:rsidR="007D5ECC" w:rsidRPr="004A7826" w:rsidRDefault="007D5ECC" w:rsidP="007D5ECC">
            <w:pPr>
              <w:pStyle w:val="Tabletext"/>
              <w:jc w:val="center"/>
              <w:rPr>
                <w:sz w:val="18"/>
                <w:szCs w:val="18"/>
              </w:rPr>
            </w:pPr>
            <w:r w:rsidRPr="004A7826">
              <w:rPr>
                <w:sz w:val="18"/>
                <w:szCs w:val="18"/>
              </w:rPr>
              <w:t>2.5</w:t>
            </w:r>
          </w:p>
        </w:tc>
        <w:tc>
          <w:tcPr>
            <w:tcW w:w="642" w:type="dxa"/>
            <w:tcBorders>
              <w:top w:val="nil"/>
              <w:left w:val="nil"/>
              <w:bottom w:val="single" w:sz="4" w:space="0" w:color="FFFFFF"/>
              <w:right w:val="nil"/>
            </w:tcBorders>
            <w:shd w:val="clear" w:color="000000" w:fill="F2F2F2"/>
            <w:vAlign w:val="center"/>
            <w:hideMark/>
          </w:tcPr>
          <w:p w14:paraId="395004F4"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nil"/>
              <w:left w:val="nil"/>
              <w:bottom w:val="single" w:sz="4" w:space="0" w:color="FFFFFF"/>
              <w:right w:val="nil"/>
            </w:tcBorders>
            <w:shd w:val="clear" w:color="000000" w:fill="F2F2F2"/>
            <w:vAlign w:val="center"/>
            <w:hideMark/>
          </w:tcPr>
          <w:p w14:paraId="4DDAE4C6" w14:textId="77777777" w:rsidR="007D5ECC" w:rsidRPr="004A7826" w:rsidRDefault="007D5ECC" w:rsidP="007D5ECC">
            <w:pPr>
              <w:pStyle w:val="Tabletext"/>
              <w:jc w:val="center"/>
              <w:rPr>
                <w:sz w:val="18"/>
                <w:szCs w:val="18"/>
              </w:rPr>
            </w:pPr>
            <w:r w:rsidRPr="004A7826">
              <w:rPr>
                <w:sz w:val="18"/>
                <w:szCs w:val="18"/>
              </w:rPr>
              <w:t>2.9</w:t>
            </w:r>
          </w:p>
        </w:tc>
        <w:tc>
          <w:tcPr>
            <w:tcW w:w="642" w:type="dxa"/>
            <w:tcBorders>
              <w:top w:val="nil"/>
              <w:left w:val="nil"/>
              <w:bottom w:val="single" w:sz="4" w:space="0" w:color="FFFFFF"/>
              <w:right w:val="nil"/>
            </w:tcBorders>
            <w:shd w:val="clear" w:color="000000" w:fill="F2F2F2"/>
            <w:vAlign w:val="center"/>
            <w:hideMark/>
          </w:tcPr>
          <w:p w14:paraId="61875B7E" w14:textId="77777777" w:rsidR="007D5ECC" w:rsidRPr="004A7826" w:rsidRDefault="007D5ECC" w:rsidP="007D5ECC">
            <w:pPr>
              <w:pStyle w:val="Tabletext"/>
              <w:jc w:val="center"/>
              <w:rPr>
                <w:sz w:val="18"/>
                <w:szCs w:val="18"/>
              </w:rPr>
            </w:pPr>
            <w:r w:rsidRPr="004A7826">
              <w:rPr>
                <w:sz w:val="18"/>
                <w:szCs w:val="18"/>
              </w:rPr>
              <w:t>3.0</w:t>
            </w:r>
          </w:p>
        </w:tc>
        <w:tc>
          <w:tcPr>
            <w:tcW w:w="642" w:type="dxa"/>
            <w:tcBorders>
              <w:top w:val="nil"/>
              <w:left w:val="nil"/>
              <w:bottom w:val="single" w:sz="4" w:space="0" w:color="FFFFFF"/>
              <w:right w:val="nil"/>
            </w:tcBorders>
            <w:shd w:val="clear" w:color="000000" w:fill="F2F2F2"/>
            <w:vAlign w:val="center"/>
            <w:hideMark/>
          </w:tcPr>
          <w:p w14:paraId="20CDC944" w14:textId="77777777" w:rsidR="007D5ECC" w:rsidRPr="004A7826" w:rsidRDefault="007D5ECC" w:rsidP="007D5ECC">
            <w:pPr>
              <w:pStyle w:val="Tabletext"/>
              <w:jc w:val="center"/>
              <w:rPr>
                <w:sz w:val="18"/>
                <w:szCs w:val="18"/>
              </w:rPr>
            </w:pPr>
            <w:r w:rsidRPr="004A7826">
              <w:rPr>
                <w:sz w:val="18"/>
                <w:szCs w:val="18"/>
              </w:rPr>
              <w:t>3.1</w:t>
            </w:r>
          </w:p>
        </w:tc>
        <w:tc>
          <w:tcPr>
            <w:tcW w:w="642" w:type="dxa"/>
            <w:tcBorders>
              <w:top w:val="nil"/>
              <w:left w:val="nil"/>
              <w:bottom w:val="single" w:sz="4" w:space="0" w:color="FFFFFF"/>
              <w:right w:val="nil"/>
            </w:tcBorders>
            <w:shd w:val="clear" w:color="000000" w:fill="F2F2F2"/>
            <w:vAlign w:val="center"/>
            <w:hideMark/>
          </w:tcPr>
          <w:p w14:paraId="11AEFD0A" w14:textId="77777777" w:rsidR="007D5ECC" w:rsidRPr="004A7826" w:rsidRDefault="007D5ECC" w:rsidP="007D5ECC">
            <w:pPr>
              <w:pStyle w:val="Tabletext"/>
              <w:jc w:val="center"/>
              <w:rPr>
                <w:sz w:val="18"/>
                <w:szCs w:val="18"/>
              </w:rPr>
            </w:pPr>
            <w:r w:rsidRPr="004A7826">
              <w:rPr>
                <w:sz w:val="18"/>
                <w:szCs w:val="18"/>
              </w:rPr>
              <w:t>3.1</w:t>
            </w:r>
          </w:p>
        </w:tc>
        <w:tc>
          <w:tcPr>
            <w:tcW w:w="642" w:type="dxa"/>
            <w:tcBorders>
              <w:top w:val="nil"/>
              <w:left w:val="nil"/>
              <w:bottom w:val="single" w:sz="4" w:space="0" w:color="FFFFFF"/>
              <w:right w:val="nil"/>
            </w:tcBorders>
            <w:shd w:val="clear" w:color="000000" w:fill="F2F2F2"/>
            <w:vAlign w:val="center"/>
            <w:hideMark/>
          </w:tcPr>
          <w:p w14:paraId="012E191E" w14:textId="77777777" w:rsidR="007D5ECC" w:rsidRPr="004A7826" w:rsidRDefault="007D5ECC" w:rsidP="007D5ECC">
            <w:pPr>
              <w:pStyle w:val="Tabletext"/>
              <w:jc w:val="center"/>
              <w:rPr>
                <w:sz w:val="18"/>
                <w:szCs w:val="18"/>
              </w:rPr>
            </w:pPr>
            <w:r w:rsidRPr="004A7826">
              <w:rPr>
                <w:sz w:val="18"/>
                <w:szCs w:val="18"/>
              </w:rPr>
              <w:t>3.2</w:t>
            </w:r>
          </w:p>
        </w:tc>
        <w:tc>
          <w:tcPr>
            <w:tcW w:w="642" w:type="dxa"/>
            <w:tcBorders>
              <w:top w:val="nil"/>
              <w:left w:val="nil"/>
              <w:bottom w:val="single" w:sz="4" w:space="0" w:color="FFFFFF"/>
              <w:right w:val="nil"/>
            </w:tcBorders>
            <w:shd w:val="clear" w:color="000000" w:fill="F2F2F2"/>
            <w:vAlign w:val="center"/>
            <w:hideMark/>
          </w:tcPr>
          <w:p w14:paraId="60863504" w14:textId="77777777" w:rsidR="007D5ECC" w:rsidRPr="004A7826" w:rsidRDefault="007D5ECC" w:rsidP="007D5ECC">
            <w:pPr>
              <w:pStyle w:val="Tabletext"/>
              <w:jc w:val="center"/>
              <w:rPr>
                <w:sz w:val="18"/>
                <w:szCs w:val="18"/>
              </w:rPr>
            </w:pPr>
            <w:r w:rsidRPr="004A7826">
              <w:rPr>
                <w:sz w:val="18"/>
                <w:szCs w:val="18"/>
              </w:rPr>
              <w:t>3.3</w:t>
            </w:r>
          </w:p>
        </w:tc>
        <w:tc>
          <w:tcPr>
            <w:tcW w:w="642" w:type="dxa"/>
            <w:tcBorders>
              <w:top w:val="nil"/>
              <w:left w:val="nil"/>
              <w:bottom w:val="single" w:sz="4" w:space="0" w:color="FFFFFF"/>
              <w:right w:val="nil"/>
            </w:tcBorders>
            <w:shd w:val="clear" w:color="000000" w:fill="F2F2F2"/>
            <w:vAlign w:val="center"/>
            <w:hideMark/>
          </w:tcPr>
          <w:p w14:paraId="17ACBF3C" w14:textId="77777777" w:rsidR="007D5ECC" w:rsidRPr="004A7826" w:rsidRDefault="007D5ECC" w:rsidP="007D5ECC">
            <w:pPr>
              <w:pStyle w:val="Tabletext"/>
              <w:jc w:val="center"/>
              <w:rPr>
                <w:sz w:val="18"/>
                <w:szCs w:val="18"/>
              </w:rPr>
            </w:pPr>
            <w:r w:rsidRPr="004A7826">
              <w:rPr>
                <w:sz w:val="18"/>
                <w:szCs w:val="18"/>
              </w:rPr>
              <w:t>3.4</w:t>
            </w:r>
          </w:p>
        </w:tc>
        <w:tc>
          <w:tcPr>
            <w:tcW w:w="642" w:type="dxa"/>
            <w:tcBorders>
              <w:top w:val="nil"/>
              <w:left w:val="nil"/>
              <w:bottom w:val="single" w:sz="4" w:space="0" w:color="FFFFFF"/>
              <w:right w:val="nil"/>
            </w:tcBorders>
            <w:shd w:val="clear" w:color="000000" w:fill="F2F2F2"/>
            <w:vAlign w:val="center"/>
            <w:hideMark/>
          </w:tcPr>
          <w:p w14:paraId="59312B80" w14:textId="77777777" w:rsidR="007D5ECC" w:rsidRPr="004A7826" w:rsidRDefault="007D5ECC" w:rsidP="007D5ECC">
            <w:pPr>
              <w:pStyle w:val="Tabletext"/>
              <w:jc w:val="center"/>
              <w:rPr>
                <w:sz w:val="18"/>
                <w:szCs w:val="18"/>
              </w:rPr>
            </w:pPr>
            <w:r w:rsidRPr="004A7826">
              <w:rPr>
                <w:sz w:val="18"/>
                <w:szCs w:val="18"/>
              </w:rPr>
              <w:t>3.4</w:t>
            </w:r>
          </w:p>
        </w:tc>
        <w:tc>
          <w:tcPr>
            <w:tcW w:w="642" w:type="dxa"/>
            <w:tcBorders>
              <w:top w:val="nil"/>
              <w:left w:val="nil"/>
              <w:bottom w:val="single" w:sz="4" w:space="0" w:color="FFFFFF"/>
              <w:right w:val="nil"/>
            </w:tcBorders>
            <w:shd w:val="clear" w:color="000000" w:fill="F2F2F2"/>
            <w:vAlign w:val="center"/>
            <w:hideMark/>
          </w:tcPr>
          <w:p w14:paraId="4E5EAB03" w14:textId="77777777" w:rsidR="007D5ECC" w:rsidRPr="004A7826" w:rsidRDefault="007D5ECC" w:rsidP="007D5ECC">
            <w:pPr>
              <w:pStyle w:val="Tabletext"/>
              <w:jc w:val="center"/>
              <w:rPr>
                <w:sz w:val="18"/>
                <w:szCs w:val="18"/>
              </w:rPr>
            </w:pPr>
            <w:r w:rsidRPr="004A7826">
              <w:rPr>
                <w:sz w:val="18"/>
                <w:szCs w:val="18"/>
              </w:rPr>
              <w:t>3.5</w:t>
            </w:r>
          </w:p>
        </w:tc>
        <w:tc>
          <w:tcPr>
            <w:tcW w:w="642" w:type="dxa"/>
            <w:tcBorders>
              <w:top w:val="nil"/>
              <w:left w:val="nil"/>
              <w:bottom w:val="single" w:sz="4" w:space="0" w:color="FFFFFF"/>
              <w:right w:val="nil"/>
            </w:tcBorders>
            <w:shd w:val="clear" w:color="000000" w:fill="F2F2F2"/>
            <w:vAlign w:val="center"/>
            <w:hideMark/>
          </w:tcPr>
          <w:p w14:paraId="20D35FF1" w14:textId="77777777" w:rsidR="007D5ECC" w:rsidRPr="004A7826" w:rsidRDefault="007D5ECC" w:rsidP="007D5ECC">
            <w:pPr>
              <w:pStyle w:val="Tabletext"/>
              <w:jc w:val="center"/>
              <w:rPr>
                <w:sz w:val="18"/>
                <w:szCs w:val="18"/>
              </w:rPr>
            </w:pPr>
            <w:r w:rsidRPr="004A7826">
              <w:rPr>
                <w:sz w:val="18"/>
                <w:szCs w:val="18"/>
              </w:rPr>
              <w:t>3.5</w:t>
            </w:r>
          </w:p>
        </w:tc>
      </w:tr>
      <w:tr w:rsidR="007D5ECC" w:rsidRPr="00650A31" w14:paraId="7804ECC0" w14:textId="77777777" w:rsidTr="007D5ECC">
        <w:trPr>
          <w:trHeight w:val="397"/>
          <w:jc w:val="center"/>
        </w:trPr>
        <w:tc>
          <w:tcPr>
            <w:tcW w:w="440" w:type="dxa"/>
            <w:tcBorders>
              <w:top w:val="nil"/>
              <w:left w:val="nil"/>
              <w:bottom w:val="single" w:sz="4" w:space="0" w:color="FFFFFF"/>
              <w:right w:val="nil"/>
            </w:tcBorders>
            <w:shd w:val="clear" w:color="000000" w:fill="D9D9D9"/>
            <w:vAlign w:val="center"/>
            <w:hideMark/>
          </w:tcPr>
          <w:p w14:paraId="7312D23B" w14:textId="77777777" w:rsidR="007D5ECC" w:rsidRPr="004A7826" w:rsidRDefault="007D5ECC" w:rsidP="007D5ECC">
            <w:pPr>
              <w:pStyle w:val="Tabletext"/>
            </w:pPr>
            <w:r w:rsidRPr="004A7826">
              <w:t>10</w:t>
            </w:r>
          </w:p>
        </w:tc>
        <w:tc>
          <w:tcPr>
            <w:tcW w:w="2821" w:type="dxa"/>
            <w:tcBorders>
              <w:top w:val="nil"/>
              <w:left w:val="nil"/>
              <w:bottom w:val="single" w:sz="4" w:space="0" w:color="FFFFFF"/>
              <w:right w:val="nil"/>
            </w:tcBorders>
            <w:shd w:val="clear" w:color="000000" w:fill="D9D9D9"/>
            <w:vAlign w:val="center"/>
            <w:hideMark/>
          </w:tcPr>
          <w:p w14:paraId="341826CF" w14:textId="77777777" w:rsidR="007D5ECC" w:rsidRPr="004A7826" w:rsidRDefault="007D5ECC" w:rsidP="007D5ECC">
            <w:pPr>
              <w:pStyle w:val="Tabletext"/>
            </w:pPr>
            <w:r w:rsidRPr="004A7826">
              <w:t xml:space="preserve">Stock-flow adjustment </w:t>
            </w:r>
          </w:p>
        </w:tc>
        <w:tc>
          <w:tcPr>
            <w:tcW w:w="926" w:type="dxa"/>
            <w:tcBorders>
              <w:top w:val="nil"/>
              <w:left w:val="nil"/>
              <w:bottom w:val="single" w:sz="4" w:space="0" w:color="FFFFFF"/>
              <w:right w:val="nil"/>
            </w:tcBorders>
            <w:shd w:val="clear" w:color="000000" w:fill="D9D9D9"/>
            <w:vAlign w:val="center"/>
            <w:hideMark/>
          </w:tcPr>
          <w:p w14:paraId="1D9592F7" w14:textId="77777777" w:rsidR="007D5ECC" w:rsidRPr="004A7826" w:rsidRDefault="007D5ECC" w:rsidP="007D5ECC">
            <w:pPr>
              <w:pStyle w:val="Tabletext"/>
              <w:rPr>
                <w:sz w:val="18"/>
                <w:szCs w:val="18"/>
              </w:rPr>
            </w:pPr>
            <w:r w:rsidRPr="004A7826">
              <w:rPr>
                <w:sz w:val="18"/>
                <w:szCs w:val="18"/>
              </w:rPr>
              <w:t>(% GDP)</w:t>
            </w:r>
          </w:p>
        </w:tc>
        <w:tc>
          <w:tcPr>
            <w:tcW w:w="627" w:type="dxa"/>
            <w:tcBorders>
              <w:top w:val="nil"/>
              <w:left w:val="nil"/>
              <w:bottom w:val="single" w:sz="4" w:space="0" w:color="FFFFFF"/>
              <w:right w:val="nil"/>
            </w:tcBorders>
            <w:shd w:val="clear" w:color="000000" w:fill="D9D9D9"/>
            <w:vAlign w:val="center"/>
            <w:hideMark/>
          </w:tcPr>
          <w:p w14:paraId="0E33D750" w14:textId="77777777" w:rsidR="007D5ECC" w:rsidRPr="004A7826" w:rsidRDefault="007D5ECC" w:rsidP="007D5ECC">
            <w:pPr>
              <w:pStyle w:val="Tabletext"/>
              <w:jc w:val="center"/>
              <w:rPr>
                <w:sz w:val="18"/>
                <w:szCs w:val="18"/>
              </w:rPr>
            </w:pPr>
            <w:r w:rsidRPr="004A7826">
              <w:rPr>
                <w:sz w:val="18"/>
                <w:szCs w:val="18"/>
              </w:rPr>
              <w:t>-1.6</w:t>
            </w:r>
          </w:p>
        </w:tc>
        <w:tc>
          <w:tcPr>
            <w:tcW w:w="641" w:type="dxa"/>
            <w:tcBorders>
              <w:top w:val="nil"/>
              <w:left w:val="nil"/>
              <w:bottom w:val="single" w:sz="4" w:space="0" w:color="FFFFFF"/>
              <w:right w:val="nil"/>
            </w:tcBorders>
            <w:shd w:val="clear" w:color="000000" w:fill="D9D9D9"/>
            <w:vAlign w:val="center"/>
            <w:hideMark/>
          </w:tcPr>
          <w:p w14:paraId="75D7D9C6" w14:textId="77777777" w:rsidR="007D5ECC" w:rsidRPr="004A7826" w:rsidRDefault="007D5ECC" w:rsidP="007D5ECC">
            <w:pPr>
              <w:pStyle w:val="Tabletext"/>
              <w:jc w:val="center"/>
              <w:rPr>
                <w:sz w:val="18"/>
                <w:szCs w:val="18"/>
              </w:rPr>
            </w:pPr>
            <w:r w:rsidRPr="004A7826">
              <w:rPr>
                <w:sz w:val="18"/>
                <w:szCs w:val="18"/>
              </w:rPr>
              <w:t>-1.1</w:t>
            </w:r>
          </w:p>
        </w:tc>
        <w:tc>
          <w:tcPr>
            <w:tcW w:w="641" w:type="dxa"/>
            <w:tcBorders>
              <w:top w:val="nil"/>
              <w:left w:val="nil"/>
              <w:bottom w:val="single" w:sz="4" w:space="0" w:color="FFFFFF"/>
              <w:right w:val="nil"/>
            </w:tcBorders>
            <w:shd w:val="clear" w:color="000000" w:fill="D9D9D9"/>
            <w:vAlign w:val="center"/>
            <w:hideMark/>
          </w:tcPr>
          <w:p w14:paraId="74CA663B" w14:textId="77777777" w:rsidR="007D5ECC" w:rsidRPr="004A7826" w:rsidRDefault="007D5ECC" w:rsidP="007D5ECC">
            <w:pPr>
              <w:pStyle w:val="Tabletext"/>
              <w:jc w:val="center"/>
              <w:rPr>
                <w:sz w:val="18"/>
                <w:szCs w:val="18"/>
              </w:rPr>
            </w:pPr>
            <w:r w:rsidRPr="004A7826">
              <w:rPr>
                <w:sz w:val="18"/>
                <w:szCs w:val="18"/>
              </w:rPr>
              <w:t>1.5</w:t>
            </w:r>
          </w:p>
        </w:tc>
        <w:tc>
          <w:tcPr>
            <w:tcW w:w="641" w:type="dxa"/>
            <w:tcBorders>
              <w:top w:val="nil"/>
              <w:left w:val="nil"/>
              <w:bottom w:val="single" w:sz="4" w:space="0" w:color="FFFFFF"/>
              <w:right w:val="nil"/>
            </w:tcBorders>
            <w:shd w:val="clear" w:color="000000" w:fill="D9D9D9"/>
            <w:vAlign w:val="center"/>
            <w:hideMark/>
          </w:tcPr>
          <w:p w14:paraId="13C0D574" w14:textId="77777777" w:rsidR="007D5ECC" w:rsidRPr="004A7826" w:rsidRDefault="007D5ECC" w:rsidP="007D5ECC">
            <w:pPr>
              <w:pStyle w:val="Tabletext"/>
              <w:jc w:val="center"/>
              <w:rPr>
                <w:sz w:val="18"/>
                <w:szCs w:val="18"/>
              </w:rPr>
            </w:pPr>
            <w:r w:rsidRPr="004A7826">
              <w:rPr>
                <w:sz w:val="18"/>
                <w:szCs w:val="18"/>
              </w:rPr>
              <w:t>-0.8</w:t>
            </w:r>
          </w:p>
        </w:tc>
        <w:tc>
          <w:tcPr>
            <w:tcW w:w="641" w:type="dxa"/>
            <w:tcBorders>
              <w:top w:val="nil"/>
              <w:left w:val="nil"/>
              <w:bottom w:val="single" w:sz="4" w:space="0" w:color="FFFFFF"/>
              <w:right w:val="nil"/>
            </w:tcBorders>
            <w:shd w:val="clear" w:color="000000" w:fill="D9D9D9"/>
            <w:vAlign w:val="center"/>
            <w:hideMark/>
          </w:tcPr>
          <w:p w14:paraId="67C98BE5" w14:textId="77777777" w:rsidR="007D5ECC" w:rsidRPr="004A7826" w:rsidRDefault="007D5ECC" w:rsidP="007D5ECC">
            <w:pPr>
              <w:pStyle w:val="Tabletext"/>
              <w:jc w:val="center"/>
              <w:rPr>
                <w:sz w:val="18"/>
                <w:szCs w:val="18"/>
              </w:rPr>
            </w:pPr>
            <w:r w:rsidRPr="004A7826">
              <w:rPr>
                <w:sz w:val="18"/>
                <w:szCs w:val="18"/>
              </w:rPr>
              <w:t>-0.9</w:t>
            </w:r>
          </w:p>
        </w:tc>
        <w:tc>
          <w:tcPr>
            <w:tcW w:w="642" w:type="dxa"/>
            <w:tcBorders>
              <w:top w:val="nil"/>
              <w:left w:val="nil"/>
              <w:bottom w:val="single" w:sz="4" w:space="0" w:color="FFFFFF"/>
              <w:right w:val="nil"/>
            </w:tcBorders>
            <w:shd w:val="clear" w:color="000000" w:fill="D9D9D9"/>
            <w:vAlign w:val="center"/>
            <w:hideMark/>
          </w:tcPr>
          <w:p w14:paraId="3A08B858" w14:textId="77777777" w:rsidR="007D5ECC" w:rsidRPr="004A7826" w:rsidRDefault="007D5ECC" w:rsidP="007D5ECC">
            <w:pPr>
              <w:pStyle w:val="Tabletext"/>
              <w:jc w:val="center"/>
              <w:rPr>
                <w:sz w:val="18"/>
                <w:szCs w:val="18"/>
              </w:rPr>
            </w:pPr>
            <w:r w:rsidRPr="004A7826">
              <w:rPr>
                <w:sz w:val="18"/>
                <w:szCs w:val="18"/>
              </w:rPr>
              <w:t>-1.0</w:t>
            </w:r>
          </w:p>
        </w:tc>
        <w:tc>
          <w:tcPr>
            <w:tcW w:w="642" w:type="dxa"/>
            <w:tcBorders>
              <w:top w:val="nil"/>
              <w:left w:val="nil"/>
              <w:bottom w:val="single" w:sz="4" w:space="0" w:color="FFFFFF"/>
              <w:right w:val="nil"/>
            </w:tcBorders>
            <w:shd w:val="clear" w:color="000000" w:fill="D9D9D9"/>
            <w:vAlign w:val="center"/>
            <w:hideMark/>
          </w:tcPr>
          <w:p w14:paraId="7B94CDE0" w14:textId="77777777" w:rsidR="007D5ECC" w:rsidRPr="004A7826" w:rsidRDefault="007D5ECC" w:rsidP="007D5ECC">
            <w:pPr>
              <w:pStyle w:val="Tabletext"/>
              <w:jc w:val="center"/>
              <w:rPr>
                <w:sz w:val="18"/>
                <w:szCs w:val="18"/>
              </w:rPr>
            </w:pPr>
            <w:r w:rsidRPr="004A7826">
              <w:rPr>
                <w:sz w:val="18"/>
                <w:szCs w:val="18"/>
              </w:rPr>
              <w:t>-1.0</w:t>
            </w:r>
          </w:p>
        </w:tc>
        <w:tc>
          <w:tcPr>
            <w:tcW w:w="642" w:type="dxa"/>
            <w:tcBorders>
              <w:top w:val="nil"/>
              <w:left w:val="nil"/>
              <w:bottom w:val="single" w:sz="4" w:space="0" w:color="FFFFFF"/>
              <w:right w:val="nil"/>
            </w:tcBorders>
            <w:shd w:val="clear" w:color="000000" w:fill="D9D9D9"/>
            <w:vAlign w:val="center"/>
            <w:hideMark/>
          </w:tcPr>
          <w:p w14:paraId="16AAF646" w14:textId="77777777" w:rsidR="007D5ECC" w:rsidRPr="004A7826" w:rsidRDefault="007D5ECC" w:rsidP="007D5ECC">
            <w:pPr>
              <w:pStyle w:val="Tabletext"/>
              <w:jc w:val="center"/>
              <w:rPr>
                <w:sz w:val="18"/>
                <w:szCs w:val="18"/>
              </w:rPr>
            </w:pPr>
            <w:r w:rsidRPr="004A7826">
              <w:rPr>
                <w:sz w:val="18"/>
                <w:szCs w:val="18"/>
              </w:rPr>
              <w:t>-1.0</w:t>
            </w:r>
          </w:p>
        </w:tc>
        <w:tc>
          <w:tcPr>
            <w:tcW w:w="642" w:type="dxa"/>
            <w:tcBorders>
              <w:top w:val="nil"/>
              <w:left w:val="nil"/>
              <w:bottom w:val="single" w:sz="4" w:space="0" w:color="FFFFFF"/>
              <w:right w:val="nil"/>
            </w:tcBorders>
            <w:shd w:val="clear" w:color="000000" w:fill="D9D9D9"/>
            <w:vAlign w:val="center"/>
            <w:hideMark/>
          </w:tcPr>
          <w:p w14:paraId="37B6A47C" w14:textId="77777777" w:rsidR="007D5ECC" w:rsidRPr="004A7826" w:rsidRDefault="007D5ECC" w:rsidP="007D5ECC">
            <w:pPr>
              <w:pStyle w:val="Tabletext"/>
              <w:jc w:val="center"/>
              <w:rPr>
                <w:sz w:val="18"/>
                <w:szCs w:val="18"/>
              </w:rPr>
            </w:pPr>
            <w:r w:rsidRPr="004A7826">
              <w:rPr>
                <w:sz w:val="18"/>
                <w:szCs w:val="18"/>
              </w:rPr>
              <w:t>-1.1</w:t>
            </w:r>
          </w:p>
        </w:tc>
        <w:tc>
          <w:tcPr>
            <w:tcW w:w="642" w:type="dxa"/>
            <w:tcBorders>
              <w:top w:val="nil"/>
              <w:left w:val="nil"/>
              <w:bottom w:val="single" w:sz="4" w:space="0" w:color="FFFFFF"/>
              <w:right w:val="nil"/>
            </w:tcBorders>
            <w:shd w:val="clear" w:color="000000" w:fill="D9D9D9"/>
            <w:vAlign w:val="center"/>
            <w:hideMark/>
          </w:tcPr>
          <w:p w14:paraId="74D106B4" w14:textId="77777777" w:rsidR="007D5ECC" w:rsidRPr="004A7826" w:rsidRDefault="007D5ECC" w:rsidP="007D5ECC">
            <w:pPr>
              <w:pStyle w:val="Tabletext"/>
              <w:jc w:val="center"/>
              <w:rPr>
                <w:sz w:val="18"/>
                <w:szCs w:val="18"/>
              </w:rPr>
            </w:pPr>
            <w:r w:rsidRPr="004A7826">
              <w:rPr>
                <w:sz w:val="18"/>
                <w:szCs w:val="18"/>
              </w:rPr>
              <w:t>-1.1</w:t>
            </w:r>
          </w:p>
        </w:tc>
        <w:tc>
          <w:tcPr>
            <w:tcW w:w="642" w:type="dxa"/>
            <w:tcBorders>
              <w:top w:val="nil"/>
              <w:left w:val="nil"/>
              <w:bottom w:val="single" w:sz="4" w:space="0" w:color="FFFFFF"/>
              <w:right w:val="nil"/>
            </w:tcBorders>
            <w:shd w:val="clear" w:color="000000" w:fill="D9D9D9"/>
            <w:vAlign w:val="center"/>
            <w:hideMark/>
          </w:tcPr>
          <w:p w14:paraId="11FB298B"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6B75809A"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15D37C40"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6D5250BB"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09EFF998"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5646DFCF" w14:textId="77777777" w:rsidR="007D5ECC" w:rsidRPr="004A7826" w:rsidRDefault="007D5ECC" w:rsidP="007D5ECC">
            <w:pPr>
              <w:pStyle w:val="Tabletext"/>
              <w:jc w:val="center"/>
              <w:rPr>
                <w:sz w:val="18"/>
                <w:szCs w:val="18"/>
              </w:rPr>
            </w:pPr>
            <w:r w:rsidRPr="004A7826">
              <w:rPr>
                <w:sz w:val="18"/>
                <w:szCs w:val="18"/>
              </w:rPr>
              <w:t>0.2</w:t>
            </w:r>
          </w:p>
        </w:tc>
      </w:tr>
      <w:tr w:rsidR="007D5ECC" w:rsidRPr="00650A31" w14:paraId="4DFD1D8F"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6FFB78CF" w14:textId="77777777" w:rsidR="007D5ECC" w:rsidRPr="004A7826" w:rsidRDefault="007D5ECC" w:rsidP="007D5ECC">
            <w:pPr>
              <w:pStyle w:val="Tabletext"/>
            </w:pPr>
            <w:r w:rsidRPr="004A7826">
              <w:t>11</w:t>
            </w:r>
          </w:p>
        </w:tc>
        <w:tc>
          <w:tcPr>
            <w:tcW w:w="2821" w:type="dxa"/>
            <w:tcBorders>
              <w:top w:val="nil"/>
              <w:left w:val="nil"/>
              <w:bottom w:val="single" w:sz="4" w:space="0" w:color="FFFFFF"/>
              <w:right w:val="nil"/>
            </w:tcBorders>
            <w:shd w:val="clear" w:color="000000" w:fill="F2F2F2"/>
            <w:vAlign w:val="center"/>
            <w:hideMark/>
          </w:tcPr>
          <w:p w14:paraId="1D568F2B" w14:textId="77777777" w:rsidR="007D5ECC" w:rsidRPr="004A7826" w:rsidRDefault="007D5ECC" w:rsidP="007D5ECC">
            <w:pPr>
              <w:pStyle w:val="Tabletext"/>
            </w:pPr>
            <w:r w:rsidRPr="004A7826">
              <w:t xml:space="preserve">Potential GDP </w:t>
            </w:r>
          </w:p>
        </w:tc>
        <w:tc>
          <w:tcPr>
            <w:tcW w:w="926" w:type="dxa"/>
            <w:tcBorders>
              <w:top w:val="nil"/>
              <w:left w:val="nil"/>
              <w:bottom w:val="single" w:sz="4" w:space="0" w:color="FFFFFF"/>
              <w:right w:val="nil"/>
            </w:tcBorders>
            <w:shd w:val="clear" w:color="000000" w:fill="F2F2F2"/>
            <w:vAlign w:val="center"/>
            <w:hideMark/>
          </w:tcPr>
          <w:p w14:paraId="1CBF22BD" w14:textId="77777777" w:rsidR="007D5ECC" w:rsidRPr="004A7826" w:rsidRDefault="007D5ECC" w:rsidP="007D5ECC">
            <w:pPr>
              <w:pStyle w:val="Tabletext"/>
              <w:rPr>
                <w:sz w:val="18"/>
                <w:szCs w:val="18"/>
              </w:rPr>
            </w:pPr>
            <w:r w:rsidRPr="004A7826">
              <w:rPr>
                <w:sz w:val="18"/>
                <w:szCs w:val="18"/>
              </w:rPr>
              <w:t>(growth rate)</w:t>
            </w:r>
          </w:p>
        </w:tc>
        <w:tc>
          <w:tcPr>
            <w:tcW w:w="627" w:type="dxa"/>
            <w:tcBorders>
              <w:top w:val="nil"/>
              <w:left w:val="nil"/>
              <w:bottom w:val="single" w:sz="4" w:space="0" w:color="FFFFFF"/>
              <w:right w:val="nil"/>
            </w:tcBorders>
            <w:shd w:val="clear" w:color="000000" w:fill="F2F2F2"/>
            <w:vAlign w:val="center"/>
            <w:hideMark/>
          </w:tcPr>
          <w:p w14:paraId="6BA47663" w14:textId="77777777" w:rsidR="007D5ECC" w:rsidRPr="004A7826" w:rsidRDefault="007D5ECC" w:rsidP="007D5ECC">
            <w:pPr>
              <w:pStyle w:val="Tabletext"/>
              <w:jc w:val="center"/>
              <w:rPr>
                <w:sz w:val="18"/>
                <w:szCs w:val="18"/>
              </w:rPr>
            </w:pPr>
            <w:r w:rsidRPr="004A7826">
              <w:rPr>
                <w:sz w:val="18"/>
                <w:szCs w:val="18"/>
              </w:rPr>
              <w:t>0.6</w:t>
            </w:r>
          </w:p>
        </w:tc>
        <w:tc>
          <w:tcPr>
            <w:tcW w:w="641" w:type="dxa"/>
            <w:tcBorders>
              <w:top w:val="nil"/>
              <w:left w:val="nil"/>
              <w:bottom w:val="single" w:sz="4" w:space="0" w:color="FFFFFF"/>
              <w:right w:val="nil"/>
            </w:tcBorders>
            <w:shd w:val="clear" w:color="000000" w:fill="F2F2F2"/>
            <w:vAlign w:val="center"/>
            <w:hideMark/>
          </w:tcPr>
          <w:p w14:paraId="1F5EA9FB" w14:textId="77777777" w:rsidR="007D5ECC" w:rsidRPr="004A7826" w:rsidRDefault="007D5ECC" w:rsidP="007D5ECC">
            <w:pPr>
              <w:pStyle w:val="Tabletext"/>
              <w:jc w:val="center"/>
              <w:rPr>
                <w:sz w:val="18"/>
                <w:szCs w:val="18"/>
              </w:rPr>
            </w:pPr>
            <w:r w:rsidRPr="004A7826">
              <w:rPr>
                <w:sz w:val="18"/>
                <w:szCs w:val="18"/>
              </w:rPr>
              <w:t>1.2</w:t>
            </w:r>
          </w:p>
        </w:tc>
        <w:tc>
          <w:tcPr>
            <w:tcW w:w="641" w:type="dxa"/>
            <w:tcBorders>
              <w:top w:val="nil"/>
              <w:left w:val="nil"/>
              <w:bottom w:val="single" w:sz="4" w:space="0" w:color="FFFFFF"/>
              <w:right w:val="nil"/>
            </w:tcBorders>
            <w:shd w:val="clear" w:color="000000" w:fill="F2F2F2"/>
            <w:vAlign w:val="center"/>
            <w:hideMark/>
          </w:tcPr>
          <w:p w14:paraId="0DABB8F6" w14:textId="77777777" w:rsidR="007D5ECC" w:rsidRPr="004A7826" w:rsidRDefault="007D5ECC" w:rsidP="007D5ECC">
            <w:pPr>
              <w:pStyle w:val="Tabletext"/>
              <w:jc w:val="center"/>
              <w:rPr>
                <w:sz w:val="18"/>
                <w:szCs w:val="18"/>
              </w:rPr>
            </w:pPr>
            <w:r w:rsidRPr="004A7826">
              <w:rPr>
                <w:sz w:val="18"/>
                <w:szCs w:val="18"/>
              </w:rPr>
              <w:t>2.5</w:t>
            </w:r>
          </w:p>
        </w:tc>
        <w:tc>
          <w:tcPr>
            <w:tcW w:w="641" w:type="dxa"/>
            <w:tcBorders>
              <w:top w:val="nil"/>
              <w:left w:val="nil"/>
              <w:bottom w:val="single" w:sz="4" w:space="0" w:color="FFFFFF"/>
              <w:right w:val="nil"/>
            </w:tcBorders>
            <w:shd w:val="clear" w:color="000000" w:fill="F2F2F2"/>
            <w:vAlign w:val="center"/>
            <w:hideMark/>
          </w:tcPr>
          <w:p w14:paraId="0FE36061" w14:textId="77777777" w:rsidR="007D5ECC" w:rsidRPr="004A7826" w:rsidRDefault="007D5ECC" w:rsidP="007D5ECC">
            <w:pPr>
              <w:pStyle w:val="Tabletext"/>
              <w:jc w:val="center"/>
              <w:rPr>
                <w:sz w:val="18"/>
                <w:szCs w:val="18"/>
              </w:rPr>
            </w:pPr>
            <w:r w:rsidRPr="004A7826">
              <w:rPr>
                <w:sz w:val="18"/>
                <w:szCs w:val="18"/>
              </w:rPr>
              <w:t>2.4</w:t>
            </w:r>
          </w:p>
        </w:tc>
        <w:tc>
          <w:tcPr>
            <w:tcW w:w="641" w:type="dxa"/>
            <w:tcBorders>
              <w:top w:val="nil"/>
              <w:left w:val="nil"/>
              <w:bottom w:val="single" w:sz="4" w:space="0" w:color="FFFFFF"/>
              <w:right w:val="nil"/>
            </w:tcBorders>
            <w:shd w:val="clear" w:color="000000" w:fill="F2F2F2"/>
            <w:vAlign w:val="center"/>
            <w:hideMark/>
          </w:tcPr>
          <w:p w14:paraId="20F526C2" w14:textId="77777777" w:rsidR="007D5ECC" w:rsidRPr="004A7826" w:rsidRDefault="007D5ECC" w:rsidP="007D5ECC">
            <w:pPr>
              <w:pStyle w:val="Tabletext"/>
              <w:jc w:val="center"/>
              <w:rPr>
                <w:sz w:val="18"/>
                <w:szCs w:val="18"/>
              </w:rPr>
            </w:pPr>
            <w:r w:rsidRPr="004A7826">
              <w:rPr>
                <w:sz w:val="18"/>
                <w:szCs w:val="18"/>
              </w:rPr>
              <w:t>1.7</w:t>
            </w:r>
          </w:p>
        </w:tc>
        <w:tc>
          <w:tcPr>
            <w:tcW w:w="642" w:type="dxa"/>
            <w:tcBorders>
              <w:top w:val="nil"/>
              <w:left w:val="nil"/>
              <w:bottom w:val="single" w:sz="4" w:space="0" w:color="FFFFFF"/>
              <w:right w:val="nil"/>
            </w:tcBorders>
            <w:shd w:val="clear" w:color="000000" w:fill="F2F2F2"/>
            <w:vAlign w:val="center"/>
            <w:hideMark/>
          </w:tcPr>
          <w:p w14:paraId="77DC98D2" w14:textId="77777777" w:rsidR="007D5ECC" w:rsidRPr="004A7826" w:rsidRDefault="007D5ECC" w:rsidP="007D5ECC">
            <w:pPr>
              <w:pStyle w:val="Tabletext"/>
              <w:jc w:val="center"/>
              <w:rPr>
                <w:sz w:val="18"/>
                <w:szCs w:val="18"/>
              </w:rPr>
            </w:pPr>
            <w:r w:rsidRPr="004A7826">
              <w:rPr>
                <w:sz w:val="18"/>
                <w:szCs w:val="18"/>
              </w:rPr>
              <w:t>1.5</w:t>
            </w:r>
          </w:p>
        </w:tc>
        <w:tc>
          <w:tcPr>
            <w:tcW w:w="642" w:type="dxa"/>
            <w:tcBorders>
              <w:top w:val="nil"/>
              <w:left w:val="nil"/>
              <w:bottom w:val="single" w:sz="4" w:space="0" w:color="FFFFFF"/>
              <w:right w:val="nil"/>
            </w:tcBorders>
            <w:shd w:val="clear" w:color="000000" w:fill="F2F2F2"/>
            <w:vAlign w:val="center"/>
            <w:hideMark/>
          </w:tcPr>
          <w:p w14:paraId="64DFA0E8" w14:textId="77777777" w:rsidR="007D5ECC" w:rsidRPr="004A7826" w:rsidRDefault="007D5ECC" w:rsidP="007D5ECC">
            <w:pPr>
              <w:pStyle w:val="Tabletext"/>
              <w:jc w:val="center"/>
              <w:rPr>
                <w:sz w:val="18"/>
                <w:szCs w:val="18"/>
              </w:rPr>
            </w:pPr>
            <w:r w:rsidRPr="004A7826">
              <w:rPr>
                <w:sz w:val="18"/>
                <w:szCs w:val="18"/>
              </w:rPr>
              <w:t>0.5</w:t>
            </w:r>
          </w:p>
        </w:tc>
        <w:tc>
          <w:tcPr>
            <w:tcW w:w="642" w:type="dxa"/>
            <w:tcBorders>
              <w:top w:val="nil"/>
              <w:left w:val="nil"/>
              <w:bottom w:val="single" w:sz="4" w:space="0" w:color="FFFFFF"/>
              <w:right w:val="nil"/>
            </w:tcBorders>
            <w:shd w:val="clear" w:color="000000" w:fill="F2F2F2"/>
            <w:vAlign w:val="center"/>
            <w:hideMark/>
          </w:tcPr>
          <w:p w14:paraId="722CBE6B" w14:textId="77777777" w:rsidR="007D5ECC" w:rsidRPr="004A7826" w:rsidRDefault="007D5ECC" w:rsidP="007D5ECC">
            <w:pPr>
              <w:pStyle w:val="Tabletext"/>
              <w:jc w:val="center"/>
              <w:rPr>
                <w:sz w:val="18"/>
                <w:szCs w:val="18"/>
              </w:rPr>
            </w:pPr>
            <w:r w:rsidRPr="004A7826">
              <w:rPr>
                <w:sz w:val="18"/>
                <w:szCs w:val="18"/>
              </w:rPr>
              <w:t>0.3</w:t>
            </w:r>
          </w:p>
        </w:tc>
        <w:tc>
          <w:tcPr>
            <w:tcW w:w="642" w:type="dxa"/>
            <w:tcBorders>
              <w:top w:val="nil"/>
              <w:left w:val="nil"/>
              <w:bottom w:val="single" w:sz="4" w:space="0" w:color="FFFFFF"/>
              <w:right w:val="nil"/>
            </w:tcBorders>
            <w:shd w:val="clear" w:color="000000" w:fill="F2F2F2"/>
            <w:vAlign w:val="center"/>
            <w:hideMark/>
          </w:tcPr>
          <w:p w14:paraId="3991FC6B"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F2F2F2"/>
            <w:vAlign w:val="center"/>
            <w:hideMark/>
          </w:tcPr>
          <w:p w14:paraId="308D5DED"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F2F2F2"/>
            <w:vAlign w:val="center"/>
            <w:hideMark/>
          </w:tcPr>
          <w:p w14:paraId="3A592AC2"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F2F2F2"/>
            <w:vAlign w:val="center"/>
            <w:hideMark/>
          </w:tcPr>
          <w:p w14:paraId="09CA3044" w14:textId="77777777" w:rsidR="007D5ECC" w:rsidRPr="004A7826" w:rsidRDefault="007D5ECC" w:rsidP="007D5ECC">
            <w:pPr>
              <w:pStyle w:val="Tabletext"/>
              <w:jc w:val="center"/>
              <w:rPr>
                <w:sz w:val="18"/>
                <w:szCs w:val="18"/>
              </w:rPr>
            </w:pPr>
            <w:r w:rsidRPr="004A7826">
              <w:rPr>
                <w:sz w:val="18"/>
                <w:szCs w:val="18"/>
              </w:rPr>
              <w:t>0.3</w:t>
            </w:r>
          </w:p>
        </w:tc>
        <w:tc>
          <w:tcPr>
            <w:tcW w:w="642" w:type="dxa"/>
            <w:tcBorders>
              <w:top w:val="nil"/>
              <w:left w:val="nil"/>
              <w:bottom w:val="single" w:sz="4" w:space="0" w:color="FFFFFF"/>
              <w:right w:val="nil"/>
            </w:tcBorders>
            <w:shd w:val="clear" w:color="000000" w:fill="F2F2F2"/>
            <w:vAlign w:val="center"/>
            <w:hideMark/>
          </w:tcPr>
          <w:p w14:paraId="2CAA67BD" w14:textId="77777777" w:rsidR="007D5ECC" w:rsidRPr="004A7826" w:rsidRDefault="007D5ECC" w:rsidP="007D5ECC">
            <w:pPr>
              <w:pStyle w:val="Tabletext"/>
              <w:jc w:val="center"/>
              <w:rPr>
                <w:sz w:val="18"/>
                <w:szCs w:val="18"/>
              </w:rPr>
            </w:pPr>
            <w:r w:rsidRPr="004A7826">
              <w:rPr>
                <w:sz w:val="18"/>
                <w:szCs w:val="18"/>
              </w:rPr>
              <w:t>0.7</w:t>
            </w:r>
          </w:p>
        </w:tc>
        <w:tc>
          <w:tcPr>
            <w:tcW w:w="642" w:type="dxa"/>
            <w:tcBorders>
              <w:top w:val="nil"/>
              <w:left w:val="nil"/>
              <w:bottom w:val="single" w:sz="4" w:space="0" w:color="FFFFFF"/>
              <w:right w:val="nil"/>
            </w:tcBorders>
            <w:shd w:val="clear" w:color="000000" w:fill="F2F2F2"/>
            <w:vAlign w:val="center"/>
            <w:hideMark/>
          </w:tcPr>
          <w:p w14:paraId="205A78A2" w14:textId="77777777" w:rsidR="007D5ECC" w:rsidRPr="004A7826" w:rsidRDefault="007D5ECC" w:rsidP="007D5ECC">
            <w:pPr>
              <w:pStyle w:val="Tabletext"/>
              <w:jc w:val="center"/>
              <w:rPr>
                <w:sz w:val="18"/>
                <w:szCs w:val="18"/>
              </w:rPr>
            </w:pPr>
            <w:r w:rsidRPr="004A7826">
              <w:rPr>
                <w:sz w:val="18"/>
                <w:szCs w:val="18"/>
              </w:rPr>
              <w:t>0.7</w:t>
            </w:r>
          </w:p>
        </w:tc>
        <w:tc>
          <w:tcPr>
            <w:tcW w:w="642" w:type="dxa"/>
            <w:tcBorders>
              <w:top w:val="nil"/>
              <w:left w:val="nil"/>
              <w:bottom w:val="single" w:sz="4" w:space="0" w:color="FFFFFF"/>
              <w:right w:val="nil"/>
            </w:tcBorders>
            <w:shd w:val="clear" w:color="000000" w:fill="F2F2F2"/>
            <w:vAlign w:val="center"/>
            <w:hideMark/>
          </w:tcPr>
          <w:p w14:paraId="49D29074" w14:textId="77777777" w:rsidR="007D5ECC" w:rsidRPr="004A7826" w:rsidRDefault="007D5ECC" w:rsidP="007D5ECC">
            <w:pPr>
              <w:pStyle w:val="Tabletext"/>
              <w:jc w:val="center"/>
              <w:rPr>
                <w:sz w:val="18"/>
                <w:szCs w:val="18"/>
              </w:rPr>
            </w:pPr>
            <w:r w:rsidRPr="004A7826">
              <w:rPr>
                <w:sz w:val="18"/>
                <w:szCs w:val="18"/>
              </w:rPr>
              <w:t>0.8</w:t>
            </w:r>
          </w:p>
        </w:tc>
        <w:tc>
          <w:tcPr>
            <w:tcW w:w="642" w:type="dxa"/>
            <w:tcBorders>
              <w:top w:val="nil"/>
              <w:left w:val="nil"/>
              <w:bottom w:val="single" w:sz="4" w:space="0" w:color="FFFFFF"/>
              <w:right w:val="nil"/>
            </w:tcBorders>
            <w:shd w:val="clear" w:color="000000" w:fill="F2F2F2"/>
            <w:vAlign w:val="center"/>
            <w:hideMark/>
          </w:tcPr>
          <w:p w14:paraId="2DFC956C" w14:textId="77777777" w:rsidR="007D5ECC" w:rsidRPr="004A7826" w:rsidRDefault="007D5ECC" w:rsidP="007D5ECC">
            <w:pPr>
              <w:pStyle w:val="Tabletext"/>
              <w:jc w:val="center"/>
              <w:rPr>
                <w:sz w:val="18"/>
                <w:szCs w:val="18"/>
              </w:rPr>
            </w:pPr>
            <w:r w:rsidRPr="004A7826">
              <w:rPr>
                <w:sz w:val="18"/>
                <w:szCs w:val="18"/>
              </w:rPr>
              <w:t>0.9</w:t>
            </w:r>
          </w:p>
        </w:tc>
      </w:tr>
      <w:tr w:rsidR="007D5ECC" w:rsidRPr="00650A31" w14:paraId="7AB82414" w14:textId="77777777" w:rsidTr="007D5ECC">
        <w:trPr>
          <w:trHeight w:val="397"/>
          <w:jc w:val="center"/>
        </w:trPr>
        <w:tc>
          <w:tcPr>
            <w:tcW w:w="440" w:type="dxa"/>
            <w:tcBorders>
              <w:top w:val="nil"/>
              <w:left w:val="nil"/>
              <w:bottom w:val="single" w:sz="4" w:space="0" w:color="FFFFFF"/>
              <w:right w:val="nil"/>
            </w:tcBorders>
            <w:shd w:val="clear" w:color="000000" w:fill="D9D9D9"/>
            <w:vAlign w:val="center"/>
            <w:hideMark/>
          </w:tcPr>
          <w:p w14:paraId="0263E22D" w14:textId="77777777" w:rsidR="007D5ECC" w:rsidRPr="004A7826" w:rsidRDefault="007D5ECC" w:rsidP="007D5ECC">
            <w:pPr>
              <w:pStyle w:val="Tabletext"/>
            </w:pPr>
            <w:r w:rsidRPr="004A7826">
              <w:t>12</w:t>
            </w:r>
          </w:p>
        </w:tc>
        <w:tc>
          <w:tcPr>
            <w:tcW w:w="2821" w:type="dxa"/>
            <w:tcBorders>
              <w:top w:val="nil"/>
              <w:left w:val="nil"/>
              <w:bottom w:val="single" w:sz="4" w:space="0" w:color="FFFFFF"/>
              <w:right w:val="nil"/>
            </w:tcBorders>
            <w:shd w:val="clear" w:color="000000" w:fill="D9D9D9"/>
            <w:vAlign w:val="center"/>
            <w:hideMark/>
          </w:tcPr>
          <w:p w14:paraId="4CE8890D" w14:textId="77777777" w:rsidR="007D5ECC" w:rsidRPr="004A7826" w:rsidRDefault="007D5ECC" w:rsidP="007D5ECC">
            <w:pPr>
              <w:pStyle w:val="Tabletext"/>
            </w:pPr>
            <w:r w:rsidRPr="004A7826">
              <w:t xml:space="preserve">Real GDP </w:t>
            </w:r>
          </w:p>
        </w:tc>
        <w:tc>
          <w:tcPr>
            <w:tcW w:w="926" w:type="dxa"/>
            <w:tcBorders>
              <w:top w:val="nil"/>
              <w:left w:val="nil"/>
              <w:bottom w:val="single" w:sz="4" w:space="0" w:color="FFFFFF"/>
              <w:right w:val="nil"/>
            </w:tcBorders>
            <w:shd w:val="clear" w:color="000000" w:fill="D9D9D9"/>
            <w:vAlign w:val="center"/>
            <w:hideMark/>
          </w:tcPr>
          <w:p w14:paraId="0FDE941D" w14:textId="77777777" w:rsidR="007D5ECC" w:rsidRPr="004A7826" w:rsidRDefault="007D5ECC" w:rsidP="007D5ECC">
            <w:pPr>
              <w:pStyle w:val="Tabletext"/>
              <w:rPr>
                <w:sz w:val="18"/>
                <w:szCs w:val="18"/>
              </w:rPr>
            </w:pPr>
            <w:r w:rsidRPr="004A7826">
              <w:rPr>
                <w:sz w:val="18"/>
                <w:szCs w:val="18"/>
              </w:rPr>
              <w:t>(growth rate)</w:t>
            </w:r>
          </w:p>
        </w:tc>
        <w:tc>
          <w:tcPr>
            <w:tcW w:w="627" w:type="dxa"/>
            <w:tcBorders>
              <w:top w:val="nil"/>
              <w:left w:val="nil"/>
              <w:bottom w:val="single" w:sz="4" w:space="0" w:color="FFFFFF"/>
              <w:right w:val="nil"/>
            </w:tcBorders>
            <w:shd w:val="clear" w:color="000000" w:fill="D9D9D9"/>
            <w:vAlign w:val="center"/>
            <w:hideMark/>
          </w:tcPr>
          <w:p w14:paraId="68E4E597" w14:textId="77777777" w:rsidR="007D5ECC" w:rsidRPr="004A7826" w:rsidRDefault="007D5ECC" w:rsidP="007D5ECC">
            <w:pPr>
              <w:pStyle w:val="Tabletext"/>
              <w:jc w:val="center"/>
              <w:rPr>
                <w:sz w:val="18"/>
                <w:szCs w:val="18"/>
              </w:rPr>
            </w:pPr>
            <w:r w:rsidRPr="004A7826">
              <w:rPr>
                <w:sz w:val="18"/>
                <w:szCs w:val="18"/>
              </w:rPr>
              <w:t>2.0</w:t>
            </w:r>
          </w:p>
        </w:tc>
        <w:tc>
          <w:tcPr>
            <w:tcW w:w="641" w:type="dxa"/>
            <w:tcBorders>
              <w:top w:val="nil"/>
              <w:left w:val="nil"/>
              <w:bottom w:val="single" w:sz="4" w:space="0" w:color="FFFFFF"/>
              <w:right w:val="nil"/>
            </w:tcBorders>
            <w:shd w:val="clear" w:color="000000" w:fill="D9D9D9"/>
            <w:vAlign w:val="center"/>
            <w:hideMark/>
          </w:tcPr>
          <w:p w14:paraId="3048AF84" w14:textId="77777777" w:rsidR="007D5ECC" w:rsidRPr="004A7826" w:rsidRDefault="007D5ECC" w:rsidP="007D5ECC">
            <w:pPr>
              <w:pStyle w:val="Tabletext"/>
              <w:jc w:val="center"/>
              <w:rPr>
                <w:sz w:val="18"/>
                <w:szCs w:val="18"/>
              </w:rPr>
            </w:pPr>
            <w:r w:rsidRPr="004A7826">
              <w:rPr>
                <w:sz w:val="18"/>
                <w:szCs w:val="18"/>
              </w:rPr>
              <w:t>2.2</w:t>
            </w:r>
          </w:p>
        </w:tc>
        <w:tc>
          <w:tcPr>
            <w:tcW w:w="641" w:type="dxa"/>
            <w:tcBorders>
              <w:top w:val="nil"/>
              <w:left w:val="nil"/>
              <w:bottom w:val="single" w:sz="4" w:space="0" w:color="FFFFFF"/>
              <w:right w:val="nil"/>
            </w:tcBorders>
            <w:shd w:val="clear" w:color="000000" w:fill="D9D9D9"/>
            <w:vAlign w:val="center"/>
            <w:hideMark/>
          </w:tcPr>
          <w:p w14:paraId="6F8236BD" w14:textId="77777777" w:rsidR="007D5ECC" w:rsidRPr="004A7826" w:rsidRDefault="007D5ECC" w:rsidP="007D5ECC">
            <w:pPr>
              <w:pStyle w:val="Tabletext"/>
              <w:jc w:val="center"/>
              <w:rPr>
                <w:sz w:val="18"/>
                <w:szCs w:val="18"/>
              </w:rPr>
            </w:pPr>
            <w:r w:rsidRPr="004A7826">
              <w:rPr>
                <w:sz w:val="18"/>
                <w:szCs w:val="18"/>
              </w:rPr>
              <w:t>2.3</w:t>
            </w:r>
          </w:p>
        </w:tc>
        <w:tc>
          <w:tcPr>
            <w:tcW w:w="641" w:type="dxa"/>
            <w:tcBorders>
              <w:top w:val="nil"/>
              <w:left w:val="nil"/>
              <w:bottom w:val="single" w:sz="4" w:space="0" w:color="FFFFFF"/>
              <w:right w:val="nil"/>
            </w:tcBorders>
            <w:shd w:val="clear" w:color="000000" w:fill="D9D9D9"/>
            <w:vAlign w:val="center"/>
            <w:hideMark/>
          </w:tcPr>
          <w:p w14:paraId="717ADE0E" w14:textId="77777777" w:rsidR="007D5ECC" w:rsidRPr="004A7826" w:rsidRDefault="007D5ECC" w:rsidP="007D5ECC">
            <w:pPr>
              <w:pStyle w:val="Tabletext"/>
              <w:jc w:val="center"/>
              <w:rPr>
                <w:sz w:val="18"/>
                <w:szCs w:val="18"/>
              </w:rPr>
            </w:pPr>
            <w:r w:rsidRPr="004A7826">
              <w:rPr>
                <w:sz w:val="18"/>
                <w:szCs w:val="18"/>
              </w:rPr>
              <w:t>2.0</w:t>
            </w:r>
          </w:p>
        </w:tc>
        <w:tc>
          <w:tcPr>
            <w:tcW w:w="641" w:type="dxa"/>
            <w:tcBorders>
              <w:top w:val="nil"/>
              <w:left w:val="nil"/>
              <w:bottom w:val="single" w:sz="4" w:space="0" w:color="FFFFFF"/>
              <w:right w:val="nil"/>
            </w:tcBorders>
            <w:shd w:val="clear" w:color="000000" w:fill="D9D9D9"/>
            <w:vAlign w:val="center"/>
            <w:hideMark/>
          </w:tcPr>
          <w:p w14:paraId="11A5A06C" w14:textId="77777777" w:rsidR="007D5ECC" w:rsidRPr="004A7826" w:rsidRDefault="007D5ECC" w:rsidP="007D5ECC">
            <w:pPr>
              <w:pStyle w:val="Tabletext"/>
              <w:jc w:val="center"/>
              <w:rPr>
                <w:sz w:val="18"/>
                <w:szCs w:val="18"/>
              </w:rPr>
            </w:pPr>
            <w:r w:rsidRPr="004A7826">
              <w:rPr>
                <w:sz w:val="18"/>
                <w:szCs w:val="18"/>
              </w:rPr>
              <w:t>1.5</w:t>
            </w:r>
          </w:p>
        </w:tc>
        <w:tc>
          <w:tcPr>
            <w:tcW w:w="642" w:type="dxa"/>
            <w:tcBorders>
              <w:top w:val="nil"/>
              <w:left w:val="nil"/>
              <w:bottom w:val="single" w:sz="4" w:space="0" w:color="FFFFFF"/>
              <w:right w:val="nil"/>
            </w:tcBorders>
            <w:shd w:val="clear" w:color="000000" w:fill="D9D9D9"/>
            <w:vAlign w:val="center"/>
            <w:hideMark/>
          </w:tcPr>
          <w:p w14:paraId="1A0800EA" w14:textId="77777777" w:rsidR="007D5ECC" w:rsidRPr="004A7826" w:rsidRDefault="007D5ECC" w:rsidP="007D5ECC">
            <w:pPr>
              <w:pStyle w:val="Tabletext"/>
              <w:jc w:val="center"/>
              <w:rPr>
                <w:sz w:val="18"/>
                <w:szCs w:val="18"/>
              </w:rPr>
            </w:pPr>
            <w:r w:rsidRPr="004A7826">
              <w:rPr>
                <w:sz w:val="18"/>
                <w:szCs w:val="18"/>
              </w:rPr>
              <w:t>1.3</w:t>
            </w:r>
          </w:p>
        </w:tc>
        <w:tc>
          <w:tcPr>
            <w:tcW w:w="642" w:type="dxa"/>
            <w:tcBorders>
              <w:top w:val="nil"/>
              <w:left w:val="nil"/>
              <w:bottom w:val="single" w:sz="4" w:space="0" w:color="FFFFFF"/>
              <w:right w:val="nil"/>
            </w:tcBorders>
            <w:shd w:val="clear" w:color="000000" w:fill="D9D9D9"/>
            <w:vAlign w:val="center"/>
            <w:hideMark/>
          </w:tcPr>
          <w:p w14:paraId="4017D4E5" w14:textId="77777777" w:rsidR="007D5ECC" w:rsidRPr="004A7826" w:rsidRDefault="007D5ECC" w:rsidP="007D5ECC">
            <w:pPr>
              <w:pStyle w:val="Tabletext"/>
              <w:jc w:val="center"/>
              <w:rPr>
                <w:sz w:val="18"/>
                <w:szCs w:val="18"/>
              </w:rPr>
            </w:pPr>
            <w:r w:rsidRPr="004A7826">
              <w:rPr>
                <w:sz w:val="18"/>
                <w:szCs w:val="18"/>
              </w:rPr>
              <w:t>0.4</w:t>
            </w:r>
          </w:p>
        </w:tc>
        <w:tc>
          <w:tcPr>
            <w:tcW w:w="642" w:type="dxa"/>
            <w:tcBorders>
              <w:top w:val="nil"/>
              <w:left w:val="nil"/>
              <w:bottom w:val="single" w:sz="4" w:space="0" w:color="FFFFFF"/>
              <w:right w:val="nil"/>
            </w:tcBorders>
            <w:shd w:val="clear" w:color="000000" w:fill="D9D9D9"/>
            <w:vAlign w:val="center"/>
            <w:hideMark/>
          </w:tcPr>
          <w:p w14:paraId="6D4F1E65" w14:textId="77777777" w:rsidR="007D5ECC" w:rsidRPr="004A7826" w:rsidRDefault="007D5ECC" w:rsidP="007D5ECC">
            <w:pPr>
              <w:pStyle w:val="Tabletext"/>
              <w:jc w:val="center"/>
              <w:rPr>
                <w:sz w:val="18"/>
                <w:szCs w:val="18"/>
              </w:rPr>
            </w:pPr>
            <w:r w:rsidRPr="004A7826">
              <w:rPr>
                <w:sz w:val="18"/>
                <w:szCs w:val="18"/>
              </w:rPr>
              <w:t>0.3</w:t>
            </w:r>
          </w:p>
        </w:tc>
        <w:tc>
          <w:tcPr>
            <w:tcW w:w="642" w:type="dxa"/>
            <w:tcBorders>
              <w:top w:val="nil"/>
              <w:left w:val="nil"/>
              <w:bottom w:val="single" w:sz="4" w:space="0" w:color="FFFFFF"/>
              <w:right w:val="nil"/>
            </w:tcBorders>
            <w:shd w:val="clear" w:color="000000" w:fill="D9D9D9"/>
            <w:vAlign w:val="center"/>
            <w:hideMark/>
          </w:tcPr>
          <w:p w14:paraId="0F4DF44B"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3CA18E6E"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1CE1D9BF" w14:textId="77777777" w:rsidR="007D5ECC" w:rsidRPr="004A7826" w:rsidRDefault="007D5ECC" w:rsidP="007D5ECC">
            <w:pPr>
              <w:pStyle w:val="Tabletext"/>
              <w:jc w:val="center"/>
              <w:rPr>
                <w:sz w:val="18"/>
                <w:szCs w:val="18"/>
              </w:rPr>
            </w:pPr>
            <w:r w:rsidRPr="004A7826">
              <w:rPr>
                <w:sz w:val="18"/>
                <w:szCs w:val="18"/>
              </w:rPr>
              <w:t>0.2</w:t>
            </w:r>
          </w:p>
        </w:tc>
        <w:tc>
          <w:tcPr>
            <w:tcW w:w="642" w:type="dxa"/>
            <w:tcBorders>
              <w:top w:val="nil"/>
              <w:left w:val="nil"/>
              <w:bottom w:val="single" w:sz="4" w:space="0" w:color="FFFFFF"/>
              <w:right w:val="nil"/>
            </w:tcBorders>
            <w:shd w:val="clear" w:color="000000" w:fill="D9D9D9"/>
            <w:vAlign w:val="center"/>
            <w:hideMark/>
          </w:tcPr>
          <w:p w14:paraId="1F6B2850" w14:textId="77777777" w:rsidR="007D5ECC" w:rsidRPr="004A7826" w:rsidRDefault="007D5ECC" w:rsidP="007D5ECC">
            <w:pPr>
              <w:pStyle w:val="Tabletext"/>
              <w:jc w:val="center"/>
              <w:rPr>
                <w:sz w:val="18"/>
                <w:szCs w:val="18"/>
              </w:rPr>
            </w:pPr>
            <w:r w:rsidRPr="004A7826">
              <w:rPr>
                <w:sz w:val="18"/>
                <w:szCs w:val="18"/>
              </w:rPr>
              <w:t>0.3</w:t>
            </w:r>
          </w:p>
        </w:tc>
        <w:tc>
          <w:tcPr>
            <w:tcW w:w="642" w:type="dxa"/>
            <w:tcBorders>
              <w:top w:val="nil"/>
              <w:left w:val="nil"/>
              <w:bottom w:val="single" w:sz="4" w:space="0" w:color="FFFFFF"/>
              <w:right w:val="nil"/>
            </w:tcBorders>
            <w:shd w:val="clear" w:color="000000" w:fill="D9D9D9"/>
            <w:vAlign w:val="center"/>
            <w:hideMark/>
          </w:tcPr>
          <w:p w14:paraId="6CF65A2E" w14:textId="77777777" w:rsidR="007D5ECC" w:rsidRPr="004A7826" w:rsidRDefault="007D5ECC" w:rsidP="007D5ECC">
            <w:pPr>
              <w:pStyle w:val="Tabletext"/>
              <w:jc w:val="center"/>
              <w:rPr>
                <w:sz w:val="18"/>
                <w:szCs w:val="18"/>
              </w:rPr>
            </w:pPr>
            <w:r w:rsidRPr="004A7826">
              <w:rPr>
                <w:sz w:val="18"/>
                <w:szCs w:val="18"/>
              </w:rPr>
              <w:t>0.7</w:t>
            </w:r>
          </w:p>
        </w:tc>
        <w:tc>
          <w:tcPr>
            <w:tcW w:w="642" w:type="dxa"/>
            <w:tcBorders>
              <w:top w:val="nil"/>
              <w:left w:val="nil"/>
              <w:bottom w:val="single" w:sz="4" w:space="0" w:color="FFFFFF"/>
              <w:right w:val="nil"/>
            </w:tcBorders>
            <w:shd w:val="clear" w:color="000000" w:fill="D9D9D9"/>
            <w:vAlign w:val="center"/>
            <w:hideMark/>
          </w:tcPr>
          <w:p w14:paraId="41EE7DBD" w14:textId="77777777" w:rsidR="007D5ECC" w:rsidRPr="004A7826" w:rsidRDefault="007D5ECC" w:rsidP="007D5ECC">
            <w:pPr>
              <w:pStyle w:val="Tabletext"/>
              <w:jc w:val="center"/>
              <w:rPr>
                <w:sz w:val="18"/>
                <w:szCs w:val="18"/>
              </w:rPr>
            </w:pPr>
            <w:r w:rsidRPr="004A7826">
              <w:rPr>
                <w:sz w:val="18"/>
                <w:szCs w:val="18"/>
              </w:rPr>
              <w:t>0.7</w:t>
            </w:r>
          </w:p>
        </w:tc>
        <w:tc>
          <w:tcPr>
            <w:tcW w:w="642" w:type="dxa"/>
            <w:tcBorders>
              <w:top w:val="nil"/>
              <w:left w:val="nil"/>
              <w:bottom w:val="single" w:sz="4" w:space="0" w:color="FFFFFF"/>
              <w:right w:val="nil"/>
            </w:tcBorders>
            <w:shd w:val="clear" w:color="000000" w:fill="D9D9D9"/>
            <w:vAlign w:val="center"/>
            <w:hideMark/>
          </w:tcPr>
          <w:p w14:paraId="755A8C35" w14:textId="77777777" w:rsidR="007D5ECC" w:rsidRPr="004A7826" w:rsidRDefault="007D5ECC" w:rsidP="007D5ECC">
            <w:pPr>
              <w:pStyle w:val="Tabletext"/>
              <w:jc w:val="center"/>
              <w:rPr>
                <w:sz w:val="18"/>
                <w:szCs w:val="18"/>
              </w:rPr>
            </w:pPr>
            <w:r w:rsidRPr="004A7826">
              <w:rPr>
                <w:sz w:val="18"/>
                <w:szCs w:val="18"/>
              </w:rPr>
              <w:t>0.8</w:t>
            </w:r>
          </w:p>
        </w:tc>
        <w:tc>
          <w:tcPr>
            <w:tcW w:w="642" w:type="dxa"/>
            <w:tcBorders>
              <w:top w:val="nil"/>
              <w:left w:val="nil"/>
              <w:bottom w:val="single" w:sz="4" w:space="0" w:color="FFFFFF"/>
              <w:right w:val="nil"/>
            </w:tcBorders>
            <w:shd w:val="clear" w:color="000000" w:fill="D9D9D9"/>
            <w:vAlign w:val="center"/>
            <w:hideMark/>
          </w:tcPr>
          <w:p w14:paraId="2DC1B136" w14:textId="77777777" w:rsidR="007D5ECC" w:rsidRPr="004A7826" w:rsidRDefault="007D5ECC" w:rsidP="007D5ECC">
            <w:pPr>
              <w:pStyle w:val="Tabletext"/>
              <w:jc w:val="center"/>
              <w:rPr>
                <w:sz w:val="18"/>
                <w:szCs w:val="18"/>
              </w:rPr>
            </w:pPr>
            <w:r w:rsidRPr="004A7826">
              <w:rPr>
                <w:sz w:val="18"/>
                <w:szCs w:val="18"/>
              </w:rPr>
              <w:t>0.9</w:t>
            </w:r>
          </w:p>
        </w:tc>
      </w:tr>
      <w:tr w:rsidR="007D5ECC" w:rsidRPr="00650A31" w14:paraId="7B0E91B4" w14:textId="77777777" w:rsidTr="007D5ECC">
        <w:trPr>
          <w:trHeight w:val="397"/>
          <w:jc w:val="center"/>
        </w:trPr>
        <w:tc>
          <w:tcPr>
            <w:tcW w:w="440" w:type="dxa"/>
            <w:tcBorders>
              <w:top w:val="nil"/>
              <w:left w:val="nil"/>
              <w:bottom w:val="single" w:sz="4" w:space="0" w:color="FFFFFF"/>
              <w:right w:val="nil"/>
            </w:tcBorders>
            <w:shd w:val="clear" w:color="000000" w:fill="F2F2F2"/>
            <w:vAlign w:val="center"/>
            <w:hideMark/>
          </w:tcPr>
          <w:p w14:paraId="054D0DB4" w14:textId="77777777" w:rsidR="007D5ECC" w:rsidRPr="004A7826" w:rsidRDefault="007D5ECC" w:rsidP="007D5ECC">
            <w:pPr>
              <w:pStyle w:val="Tabletext"/>
            </w:pPr>
            <w:r w:rsidRPr="004A7826">
              <w:t>13</w:t>
            </w:r>
          </w:p>
        </w:tc>
        <w:tc>
          <w:tcPr>
            <w:tcW w:w="2821" w:type="dxa"/>
            <w:tcBorders>
              <w:top w:val="nil"/>
              <w:left w:val="nil"/>
              <w:bottom w:val="single" w:sz="4" w:space="0" w:color="FFFFFF"/>
              <w:right w:val="nil"/>
            </w:tcBorders>
            <w:shd w:val="clear" w:color="000000" w:fill="F2F2F2"/>
            <w:vAlign w:val="center"/>
            <w:hideMark/>
          </w:tcPr>
          <w:p w14:paraId="78135E5F" w14:textId="77777777" w:rsidR="007D5ECC" w:rsidRPr="004A7826" w:rsidRDefault="007D5ECC" w:rsidP="007D5ECC">
            <w:pPr>
              <w:pStyle w:val="Tabletext"/>
            </w:pPr>
            <w:r w:rsidRPr="004A7826">
              <w:t xml:space="preserve">GDP deflator </w:t>
            </w:r>
          </w:p>
        </w:tc>
        <w:tc>
          <w:tcPr>
            <w:tcW w:w="926" w:type="dxa"/>
            <w:tcBorders>
              <w:top w:val="nil"/>
              <w:left w:val="nil"/>
              <w:bottom w:val="single" w:sz="4" w:space="0" w:color="FFFFFF"/>
              <w:right w:val="nil"/>
            </w:tcBorders>
            <w:shd w:val="clear" w:color="000000" w:fill="F2F2F2"/>
            <w:vAlign w:val="center"/>
            <w:hideMark/>
          </w:tcPr>
          <w:p w14:paraId="1A185441" w14:textId="77777777" w:rsidR="007D5ECC" w:rsidRPr="004A7826" w:rsidRDefault="007D5ECC" w:rsidP="007D5ECC">
            <w:pPr>
              <w:pStyle w:val="Tabletext"/>
              <w:rPr>
                <w:sz w:val="18"/>
                <w:szCs w:val="18"/>
              </w:rPr>
            </w:pPr>
            <w:r w:rsidRPr="004A7826">
              <w:rPr>
                <w:sz w:val="18"/>
                <w:szCs w:val="18"/>
              </w:rPr>
              <w:t>(growth rate)</w:t>
            </w:r>
          </w:p>
        </w:tc>
        <w:tc>
          <w:tcPr>
            <w:tcW w:w="627" w:type="dxa"/>
            <w:tcBorders>
              <w:top w:val="nil"/>
              <w:left w:val="nil"/>
              <w:bottom w:val="single" w:sz="4" w:space="0" w:color="FFFFFF"/>
              <w:right w:val="nil"/>
            </w:tcBorders>
            <w:shd w:val="clear" w:color="000000" w:fill="F2F2F2"/>
            <w:vAlign w:val="center"/>
            <w:hideMark/>
          </w:tcPr>
          <w:p w14:paraId="32651143" w14:textId="77777777" w:rsidR="007D5ECC" w:rsidRPr="004A7826" w:rsidRDefault="007D5ECC" w:rsidP="007D5ECC">
            <w:pPr>
              <w:pStyle w:val="Tabletext"/>
              <w:jc w:val="center"/>
              <w:rPr>
                <w:sz w:val="18"/>
                <w:szCs w:val="18"/>
              </w:rPr>
            </w:pPr>
            <w:r w:rsidRPr="004A7826">
              <w:rPr>
                <w:sz w:val="18"/>
                <w:szCs w:val="18"/>
              </w:rPr>
              <w:t>4.5</w:t>
            </w:r>
          </w:p>
        </w:tc>
        <w:tc>
          <w:tcPr>
            <w:tcW w:w="641" w:type="dxa"/>
            <w:tcBorders>
              <w:top w:val="nil"/>
              <w:left w:val="nil"/>
              <w:bottom w:val="single" w:sz="4" w:space="0" w:color="FFFFFF"/>
              <w:right w:val="nil"/>
            </w:tcBorders>
            <w:shd w:val="clear" w:color="000000" w:fill="F2F2F2"/>
            <w:vAlign w:val="center"/>
            <w:hideMark/>
          </w:tcPr>
          <w:p w14:paraId="6A541466" w14:textId="77777777" w:rsidR="007D5ECC" w:rsidRPr="004A7826" w:rsidRDefault="007D5ECC" w:rsidP="007D5ECC">
            <w:pPr>
              <w:pStyle w:val="Tabletext"/>
              <w:jc w:val="center"/>
              <w:rPr>
                <w:sz w:val="18"/>
                <w:szCs w:val="18"/>
              </w:rPr>
            </w:pPr>
            <w:r w:rsidRPr="004A7826">
              <w:rPr>
                <w:sz w:val="18"/>
                <w:szCs w:val="18"/>
              </w:rPr>
              <w:t>3.0</w:t>
            </w:r>
          </w:p>
        </w:tc>
        <w:tc>
          <w:tcPr>
            <w:tcW w:w="641" w:type="dxa"/>
            <w:tcBorders>
              <w:top w:val="nil"/>
              <w:left w:val="nil"/>
              <w:bottom w:val="single" w:sz="4" w:space="0" w:color="FFFFFF"/>
              <w:right w:val="nil"/>
            </w:tcBorders>
            <w:shd w:val="clear" w:color="000000" w:fill="F2F2F2"/>
            <w:vAlign w:val="center"/>
            <w:hideMark/>
          </w:tcPr>
          <w:p w14:paraId="369F7DD3" w14:textId="77777777" w:rsidR="007D5ECC" w:rsidRPr="004A7826" w:rsidRDefault="007D5ECC" w:rsidP="007D5ECC">
            <w:pPr>
              <w:pStyle w:val="Tabletext"/>
              <w:jc w:val="center"/>
              <w:rPr>
                <w:sz w:val="18"/>
                <w:szCs w:val="18"/>
              </w:rPr>
            </w:pPr>
            <w:r w:rsidRPr="004A7826">
              <w:rPr>
                <w:sz w:val="18"/>
                <w:szCs w:val="18"/>
              </w:rPr>
              <w:t>2.2</w:t>
            </w:r>
          </w:p>
        </w:tc>
        <w:tc>
          <w:tcPr>
            <w:tcW w:w="641" w:type="dxa"/>
            <w:tcBorders>
              <w:top w:val="nil"/>
              <w:left w:val="nil"/>
              <w:bottom w:val="single" w:sz="4" w:space="0" w:color="FFFFFF"/>
              <w:right w:val="nil"/>
            </w:tcBorders>
            <w:shd w:val="clear" w:color="000000" w:fill="F2F2F2"/>
            <w:vAlign w:val="center"/>
            <w:hideMark/>
          </w:tcPr>
          <w:p w14:paraId="1FAAC94B" w14:textId="77777777" w:rsidR="007D5ECC" w:rsidRPr="004A7826" w:rsidRDefault="007D5ECC" w:rsidP="007D5ECC">
            <w:pPr>
              <w:pStyle w:val="Tabletext"/>
              <w:jc w:val="center"/>
              <w:rPr>
                <w:sz w:val="18"/>
                <w:szCs w:val="18"/>
              </w:rPr>
            </w:pPr>
            <w:r w:rsidRPr="004A7826">
              <w:rPr>
                <w:sz w:val="18"/>
                <w:szCs w:val="18"/>
              </w:rPr>
              <w:t>2.3</w:t>
            </w:r>
          </w:p>
        </w:tc>
        <w:tc>
          <w:tcPr>
            <w:tcW w:w="641" w:type="dxa"/>
            <w:tcBorders>
              <w:top w:val="nil"/>
              <w:left w:val="nil"/>
              <w:bottom w:val="single" w:sz="4" w:space="0" w:color="FFFFFF"/>
              <w:right w:val="nil"/>
            </w:tcBorders>
            <w:shd w:val="clear" w:color="000000" w:fill="F2F2F2"/>
            <w:vAlign w:val="center"/>
            <w:hideMark/>
          </w:tcPr>
          <w:p w14:paraId="75F8FA37" w14:textId="77777777" w:rsidR="007D5ECC" w:rsidRPr="004A7826" w:rsidRDefault="007D5ECC" w:rsidP="007D5ECC">
            <w:pPr>
              <w:pStyle w:val="Tabletext"/>
              <w:jc w:val="center"/>
              <w:rPr>
                <w:sz w:val="18"/>
                <w:szCs w:val="18"/>
              </w:rPr>
            </w:pPr>
            <w:r w:rsidRPr="004A7826">
              <w:rPr>
                <w:sz w:val="18"/>
                <w:szCs w:val="18"/>
              </w:rPr>
              <w:t>2.3</w:t>
            </w:r>
          </w:p>
        </w:tc>
        <w:tc>
          <w:tcPr>
            <w:tcW w:w="642" w:type="dxa"/>
            <w:tcBorders>
              <w:top w:val="nil"/>
              <w:left w:val="nil"/>
              <w:bottom w:val="single" w:sz="4" w:space="0" w:color="FFFFFF"/>
              <w:right w:val="nil"/>
            </w:tcBorders>
            <w:shd w:val="clear" w:color="000000" w:fill="F2F2F2"/>
            <w:vAlign w:val="center"/>
            <w:hideMark/>
          </w:tcPr>
          <w:p w14:paraId="6BA4041E" w14:textId="77777777" w:rsidR="007D5ECC" w:rsidRPr="004A7826" w:rsidRDefault="007D5ECC" w:rsidP="007D5ECC">
            <w:pPr>
              <w:pStyle w:val="Tabletext"/>
              <w:jc w:val="center"/>
              <w:rPr>
                <w:sz w:val="18"/>
                <w:szCs w:val="18"/>
              </w:rPr>
            </w:pPr>
            <w:r w:rsidRPr="004A7826">
              <w:rPr>
                <w:sz w:val="18"/>
                <w:szCs w:val="18"/>
              </w:rPr>
              <w:t>2.4</w:t>
            </w:r>
          </w:p>
        </w:tc>
        <w:tc>
          <w:tcPr>
            <w:tcW w:w="642" w:type="dxa"/>
            <w:tcBorders>
              <w:top w:val="nil"/>
              <w:left w:val="nil"/>
              <w:bottom w:val="single" w:sz="4" w:space="0" w:color="FFFFFF"/>
              <w:right w:val="nil"/>
            </w:tcBorders>
            <w:shd w:val="clear" w:color="000000" w:fill="F2F2F2"/>
            <w:vAlign w:val="center"/>
            <w:hideMark/>
          </w:tcPr>
          <w:p w14:paraId="0E3EE1B9" w14:textId="77777777" w:rsidR="007D5ECC" w:rsidRPr="004A7826" w:rsidRDefault="007D5ECC" w:rsidP="007D5ECC">
            <w:pPr>
              <w:pStyle w:val="Tabletext"/>
              <w:jc w:val="center"/>
              <w:rPr>
                <w:sz w:val="18"/>
                <w:szCs w:val="18"/>
              </w:rPr>
            </w:pPr>
            <w:r w:rsidRPr="004A7826">
              <w:rPr>
                <w:sz w:val="18"/>
                <w:szCs w:val="18"/>
              </w:rPr>
              <w:t>2.4</w:t>
            </w:r>
          </w:p>
        </w:tc>
        <w:tc>
          <w:tcPr>
            <w:tcW w:w="642" w:type="dxa"/>
            <w:tcBorders>
              <w:top w:val="nil"/>
              <w:left w:val="nil"/>
              <w:bottom w:val="single" w:sz="4" w:space="0" w:color="FFFFFF"/>
              <w:right w:val="nil"/>
            </w:tcBorders>
            <w:shd w:val="clear" w:color="000000" w:fill="F2F2F2"/>
            <w:vAlign w:val="center"/>
            <w:hideMark/>
          </w:tcPr>
          <w:p w14:paraId="1D661C33" w14:textId="77777777" w:rsidR="007D5ECC" w:rsidRPr="004A7826" w:rsidRDefault="007D5ECC" w:rsidP="007D5ECC">
            <w:pPr>
              <w:pStyle w:val="Tabletext"/>
              <w:jc w:val="center"/>
              <w:rPr>
                <w:sz w:val="18"/>
                <w:szCs w:val="18"/>
              </w:rPr>
            </w:pPr>
            <w:r w:rsidRPr="004A7826">
              <w:rPr>
                <w:sz w:val="18"/>
                <w:szCs w:val="18"/>
              </w:rPr>
              <w:t>2.4</w:t>
            </w:r>
          </w:p>
        </w:tc>
        <w:tc>
          <w:tcPr>
            <w:tcW w:w="642" w:type="dxa"/>
            <w:tcBorders>
              <w:top w:val="nil"/>
              <w:left w:val="nil"/>
              <w:bottom w:val="single" w:sz="4" w:space="0" w:color="FFFFFF"/>
              <w:right w:val="nil"/>
            </w:tcBorders>
            <w:shd w:val="clear" w:color="000000" w:fill="F2F2F2"/>
            <w:vAlign w:val="center"/>
            <w:hideMark/>
          </w:tcPr>
          <w:p w14:paraId="71548786" w14:textId="77777777" w:rsidR="007D5ECC" w:rsidRPr="004A7826" w:rsidRDefault="007D5ECC" w:rsidP="007D5ECC">
            <w:pPr>
              <w:pStyle w:val="Tabletext"/>
              <w:jc w:val="center"/>
              <w:rPr>
                <w:sz w:val="18"/>
                <w:szCs w:val="18"/>
              </w:rPr>
            </w:pPr>
            <w:r w:rsidRPr="004A7826">
              <w:rPr>
                <w:sz w:val="18"/>
                <w:szCs w:val="18"/>
              </w:rPr>
              <w:t>2.5</w:t>
            </w:r>
          </w:p>
        </w:tc>
        <w:tc>
          <w:tcPr>
            <w:tcW w:w="642" w:type="dxa"/>
            <w:tcBorders>
              <w:top w:val="nil"/>
              <w:left w:val="nil"/>
              <w:bottom w:val="single" w:sz="4" w:space="0" w:color="FFFFFF"/>
              <w:right w:val="nil"/>
            </w:tcBorders>
            <w:shd w:val="clear" w:color="000000" w:fill="F2F2F2"/>
            <w:vAlign w:val="center"/>
            <w:hideMark/>
          </w:tcPr>
          <w:p w14:paraId="52E005F5" w14:textId="77777777" w:rsidR="007D5ECC" w:rsidRPr="004A7826" w:rsidRDefault="007D5ECC" w:rsidP="007D5ECC">
            <w:pPr>
              <w:pStyle w:val="Tabletext"/>
              <w:jc w:val="center"/>
              <w:rPr>
                <w:sz w:val="18"/>
                <w:szCs w:val="18"/>
              </w:rPr>
            </w:pPr>
            <w:r w:rsidRPr="004A7826">
              <w:rPr>
                <w:sz w:val="18"/>
                <w:szCs w:val="18"/>
              </w:rPr>
              <w:t>2.5</w:t>
            </w:r>
          </w:p>
        </w:tc>
        <w:tc>
          <w:tcPr>
            <w:tcW w:w="642" w:type="dxa"/>
            <w:tcBorders>
              <w:top w:val="nil"/>
              <w:left w:val="nil"/>
              <w:bottom w:val="single" w:sz="4" w:space="0" w:color="FFFFFF"/>
              <w:right w:val="nil"/>
            </w:tcBorders>
            <w:shd w:val="clear" w:color="000000" w:fill="F2F2F2"/>
            <w:vAlign w:val="center"/>
            <w:hideMark/>
          </w:tcPr>
          <w:p w14:paraId="77515F98" w14:textId="77777777" w:rsidR="007D5ECC" w:rsidRPr="004A7826" w:rsidRDefault="007D5ECC" w:rsidP="007D5ECC">
            <w:pPr>
              <w:pStyle w:val="Tabletext"/>
              <w:jc w:val="center"/>
              <w:rPr>
                <w:sz w:val="18"/>
                <w:szCs w:val="18"/>
              </w:rPr>
            </w:pPr>
            <w:r w:rsidRPr="004A7826">
              <w:rPr>
                <w:sz w:val="18"/>
                <w:szCs w:val="18"/>
              </w:rPr>
              <w:t>2.6</w:t>
            </w:r>
          </w:p>
        </w:tc>
        <w:tc>
          <w:tcPr>
            <w:tcW w:w="642" w:type="dxa"/>
            <w:tcBorders>
              <w:top w:val="nil"/>
              <w:left w:val="nil"/>
              <w:bottom w:val="single" w:sz="4" w:space="0" w:color="FFFFFF"/>
              <w:right w:val="nil"/>
            </w:tcBorders>
            <w:shd w:val="clear" w:color="000000" w:fill="F2F2F2"/>
            <w:vAlign w:val="center"/>
            <w:hideMark/>
          </w:tcPr>
          <w:p w14:paraId="07CD3106" w14:textId="77777777" w:rsidR="007D5ECC" w:rsidRPr="004A7826" w:rsidRDefault="007D5ECC" w:rsidP="007D5ECC">
            <w:pPr>
              <w:pStyle w:val="Tabletext"/>
              <w:jc w:val="center"/>
              <w:rPr>
                <w:sz w:val="18"/>
                <w:szCs w:val="18"/>
              </w:rPr>
            </w:pPr>
            <w:r w:rsidRPr="004A7826">
              <w:rPr>
                <w:sz w:val="18"/>
                <w:szCs w:val="18"/>
              </w:rPr>
              <w:t>2.5</w:t>
            </w:r>
          </w:p>
        </w:tc>
        <w:tc>
          <w:tcPr>
            <w:tcW w:w="642" w:type="dxa"/>
            <w:tcBorders>
              <w:top w:val="nil"/>
              <w:left w:val="nil"/>
              <w:bottom w:val="single" w:sz="4" w:space="0" w:color="FFFFFF"/>
              <w:right w:val="nil"/>
            </w:tcBorders>
            <w:shd w:val="clear" w:color="000000" w:fill="F2F2F2"/>
            <w:vAlign w:val="center"/>
            <w:hideMark/>
          </w:tcPr>
          <w:p w14:paraId="65DE6EBF" w14:textId="77777777" w:rsidR="007D5ECC" w:rsidRPr="004A7826" w:rsidRDefault="007D5ECC" w:rsidP="007D5ECC">
            <w:pPr>
              <w:pStyle w:val="Tabletext"/>
              <w:jc w:val="center"/>
              <w:rPr>
                <w:sz w:val="18"/>
                <w:szCs w:val="18"/>
              </w:rPr>
            </w:pPr>
            <w:r w:rsidRPr="004A7826">
              <w:rPr>
                <w:sz w:val="18"/>
                <w:szCs w:val="18"/>
              </w:rPr>
              <w:t>2.5</w:t>
            </w:r>
          </w:p>
        </w:tc>
        <w:tc>
          <w:tcPr>
            <w:tcW w:w="642" w:type="dxa"/>
            <w:tcBorders>
              <w:top w:val="nil"/>
              <w:left w:val="nil"/>
              <w:bottom w:val="single" w:sz="4" w:space="0" w:color="FFFFFF"/>
              <w:right w:val="nil"/>
            </w:tcBorders>
            <w:shd w:val="clear" w:color="000000" w:fill="F2F2F2"/>
            <w:vAlign w:val="center"/>
            <w:hideMark/>
          </w:tcPr>
          <w:p w14:paraId="214B7EBD" w14:textId="77777777" w:rsidR="007D5ECC" w:rsidRPr="004A7826" w:rsidRDefault="007D5ECC" w:rsidP="007D5ECC">
            <w:pPr>
              <w:pStyle w:val="Tabletext"/>
              <w:jc w:val="center"/>
              <w:rPr>
                <w:sz w:val="18"/>
                <w:szCs w:val="18"/>
              </w:rPr>
            </w:pPr>
            <w:r w:rsidRPr="004A7826">
              <w:rPr>
                <w:sz w:val="18"/>
                <w:szCs w:val="18"/>
              </w:rPr>
              <w:t>2.5</w:t>
            </w:r>
          </w:p>
        </w:tc>
        <w:tc>
          <w:tcPr>
            <w:tcW w:w="642" w:type="dxa"/>
            <w:tcBorders>
              <w:top w:val="nil"/>
              <w:left w:val="nil"/>
              <w:bottom w:val="single" w:sz="4" w:space="0" w:color="FFFFFF"/>
              <w:right w:val="nil"/>
            </w:tcBorders>
            <w:shd w:val="clear" w:color="000000" w:fill="F2F2F2"/>
            <w:vAlign w:val="center"/>
            <w:hideMark/>
          </w:tcPr>
          <w:p w14:paraId="6849DAF8" w14:textId="77777777" w:rsidR="007D5ECC" w:rsidRPr="004A7826" w:rsidRDefault="007D5ECC" w:rsidP="007D5ECC">
            <w:pPr>
              <w:pStyle w:val="Tabletext"/>
              <w:jc w:val="center"/>
              <w:rPr>
                <w:sz w:val="18"/>
                <w:szCs w:val="18"/>
              </w:rPr>
            </w:pPr>
            <w:r w:rsidRPr="004A7826">
              <w:rPr>
                <w:sz w:val="18"/>
                <w:szCs w:val="18"/>
              </w:rPr>
              <w:t>2.4</w:t>
            </w:r>
          </w:p>
        </w:tc>
        <w:tc>
          <w:tcPr>
            <w:tcW w:w="642" w:type="dxa"/>
            <w:tcBorders>
              <w:top w:val="nil"/>
              <w:left w:val="nil"/>
              <w:bottom w:val="single" w:sz="4" w:space="0" w:color="FFFFFF"/>
              <w:right w:val="nil"/>
            </w:tcBorders>
            <w:shd w:val="clear" w:color="000000" w:fill="F2F2F2"/>
            <w:vAlign w:val="center"/>
            <w:hideMark/>
          </w:tcPr>
          <w:p w14:paraId="746252C7" w14:textId="77777777" w:rsidR="007D5ECC" w:rsidRPr="004A7826" w:rsidRDefault="007D5ECC" w:rsidP="007D5ECC">
            <w:pPr>
              <w:pStyle w:val="Tabletext"/>
              <w:jc w:val="center"/>
              <w:rPr>
                <w:sz w:val="18"/>
                <w:szCs w:val="18"/>
              </w:rPr>
            </w:pPr>
            <w:r w:rsidRPr="004A7826">
              <w:rPr>
                <w:sz w:val="18"/>
                <w:szCs w:val="18"/>
              </w:rPr>
              <w:t>2.4</w:t>
            </w:r>
          </w:p>
        </w:tc>
      </w:tr>
      <w:tr w:rsidR="007D5ECC" w:rsidRPr="00650A31" w14:paraId="08496793" w14:textId="77777777" w:rsidTr="007D5ECC">
        <w:trPr>
          <w:trHeight w:val="397"/>
          <w:jc w:val="center"/>
        </w:trPr>
        <w:tc>
          <w:tcPr>
            <w:tcW w:w="440" w:type="dxa"/>
            <w:tcBorders>
              <w:top w:val="single" w:sz="4" w:space="0" w:color="FFFFFF"/>
              <w:left w:val="nil"/>
              <w:bottom w:val="single" w:sz="18" w:space="0" w:color="4F81BD" w:themeColor="accent1"/>
              <w:right w:val="nil"/>
            </w:tcBorders>
            <w:shd w:val="clear" w:color="000000" w:fill="D9D9D9"/>
            <w:vAlign w:val="center"/>
            <w:hideMark/>
          </w:tcPr>
          <w:p w14:paraId="78F89881" w14:textId="77777777" w:rsidR="007D5ECC" w:rsidRPr="004A7826" w:rsidRDefault="007D5ECC" w:rsidP="007D5ECC">
            <w:pPr>
              <w:pStyle w:val="Tabletext"/>
            </w:pPr>
            <w:r w:rsidRPr="004A7826">
              <w:t>14</w:t>
            </w:r>
          </w:p>
        </w:tc>
        <w:tc>
          <w:tcPr>
            <w:tcW w:w="2821" w:type="dxa"/>
            <w:tcBorders>
              <w:top w:val="single" w:sz="4" w:space="0" w:color="FFFFFF"/>
              <w:left w:val="nil"/>
              <w:bottom w:val="single" w:sz="18" w:space="0" w:color="4F81BD" w:themeColor="accent1"/>
              <w:right w:val="nil"/>
            </w:tcBorders>
            <w:shd w:val="clear" w:color="000000" w:fill="D9D9D9"/>
            <w:vAlign w:val="center"/>
            <w:hideMark/>
          </w:tcPr>
          <w:p w14:paraId="73FF7F47" w14:textId="77777777" w:rsidR="007D5ECC" w:rsidRPr="004A7826" w:rsidRDefault="007D5ECC" w:rsidP="007D5ECC">
            <w:pPr>
              <w:pStyle w:val="Tabletext"/>
            </w:pPr>
            <w:r w:rsidRPr="004A7826">
              <w:t xml:space="preserve">Nominal GDP </w:t>
            </w:r>
          </w:p>
        </w:tc>
        <w:tc>
          <w:tcPr>
            <w:tcW w:w="926" w:type="dxa"/>
            <w:tcBorders>
              <w:top w:val="single" w:sz="4" w:space="0" w:color="FFFFFF"/>
              <w:left w:val="nil"/>
              <w:bottom w:val="single" w:sz="18" w:space="0" w:color="4F81BD" w:themeColor="accent1"/>
              <w:right w:val="nil"/>
            </w:tcBorders>
            <w:shd w:val="clear" w:color="000000" w:fill="D9D9D9"/>
            <w:vAlign w:val="center"/>
            <w:hideMark/>
          </w:tcPr>
          <w:p w14:paraId="2BC2AEB8" w14:textId="77777777" w:rsidR="007D5ECC" w:rsidRPr="004A7826" w:rsidRDefault="007D5ECC" w:rsidP="007D5ECC">
            <w:pPr>
              <w:pStyle w:val="Tabletext"/>
              <w:rPr>
                <w:sz w:val="18"/>
                <w:szCs w:val="18"/>
              </w:rPr>
            </w:pPr>
            <w:r w:rsidRPr="004A7826">
              <w:rPr>
                <w:sz w:val="18"/>
                <w:szCs w:val="18"/>
              </w:rPr>
              <w:t>(growth rate)</w:t>
            </w:r>
          </w:p>
        </w:tc>
        <w:tc>
          <w:tcPr>
            <w:tcW w:w="627" w:type="dxa"/>
            <w:tcBorders>
              <w:top w:val="single" w:sz="4" w:space="0" w:color="FFFFFF"/>
              <w:left w:val="nil"/>
              <w:bottom w:val="single" w:sz="18" w:space="0" w:color="4F81BD" w:themeColor="accent1"/>
              <w:right w:val="nil"/>
            </w:tcBorders>
            <w:shd w:val="clear" w:color="000000" w:fill="D9D9D9"/>
            <w:vAlign w:val="center"/>
            <w:hideMark/>
          </w:tcPr>
          <w:p w14:paraId="66B5A048" w14:textId="77777777" w:rsidR="007D5ECC" w:rsidRPr="004A7826" w:rsidRDefault="007D5ECC" w:rsidP="007D5ECC">
            <w:pPr>
              <w:pStyle w:val="Tabletext"/>
              <w:jc w:val="center"/>
              <w:rPr>
                <w:sz w:val="18"/>
                <w:szCs w:val="18"/>
              </w:rPr>
            </w:pPr>
            <w:r w:rsidRPr="004A7826">
              <w:rPr>
                <w:sz w:val="18"/>
                <w:szCs w:val="18"/>
              </w:rPr>
              <w:t>6.6</w:t>
            </w:r>
          </w:p>
        </w:tc>
        <w:tc>
          <w:tcPr>
            <w:tcW w:w="641" w:type="dxa"/>
            <w:tcBorders>
              <w:top w:val="single" w:sz="4" w:space="0" w:color="FFFFFF"/>
              <w:left w:val="nil"/>
              <w:bottom w:val="single" w:sz="18" w:space="0" w:color="4F81BD" w:themeColor="accent1"/>
              <w:right w:val="nil"/>
            </w:tcBorders>
            <w:shd w:val="clear" w:color="000000" w:fill="D9D9D9"/>
            <w:vAlign w:val="center"/>
            <w:hideMark/>
          </w:tcPr>
          <w:p w14:paraId="60D2E962" w14:textId="77777777" w:rsidR="007D5ECC" w:rsidRPr="004A7826" w:rsidRDefault="007D5ECC" w:rsidP="007D5ECC">
            <w:pPr>
              <w:pStyle w:val="Tabletext"/>
              <w:jc w:val="center"/>
              <w:rPr>
                <w:sz w:val="18"/>
                <w:szCs w:val="18"/>
              </w:rPr>
            </w:pPr>
            <w:r w:rsidRPr="004A7826">
              <w:rPr>
                <w:sz w:val="18"/>
                <w:szCs w:val="18"/>
              </w:rPr>
              <w:t>5.3</w:t>
            </w:r>
          </w:p>
        </w:tc>
        <w:tc>
          <w:tcPr>
            <w:tcW w:w="641" w:type="dxa"/>
            <w:tcBorders>
              <w:top w:val="single" w:sz="4" w:space="0" w:color="FFFFFF"/>
              <w:left w:val="nil"/>
              <w:bottom w:val="single" w:sz="18" w:space="0" w:color="4F81BD" w:themeColor="accent1"/>
              <w:right w:val="nil"/>
            </w:tcBorders>
            <w:shd w:val="clear" w:color="000000" w:fill="D9D9D9"/>
            <w:vAlign w:val="center"/>
            <w:hideMark/>
          </w:tcPr>
          <w:p w14:paraId="16503EC7" w14:textId="77777777" w:rsidR="007D5ECC" w:rsidRPr="004A7826" w:rsidRDefault="007D5ECC" w:rsidP="007D5ECC">
            <w:pPr>
              <w:pStyle w:val="Tabletext"/>
              <w:jc w:val="center"/>
              <w:rPr>
                <w:sz w:val="18"/>
                <w:szCs w:val="18"/>
              </w:rPr>
            </w:pPr>
            <w:r w:rsidRPr="004A7826">
              <w:rPr>
                <w:sz w:val="18"/>
                <w:szCs w:val="18"/>
              </w:rPr>
              <w:t>4.5</w:t>
            </w:r>
          </w:p>
        </w:tc>
        <w:tc>
          <w:tcPr>
            <w:tcW w:w="641" w:type="dxa"/>
            <w:tcBorders>
              <w:top w:val="single" w:sz="4" w:space="0" w:color="FFFFFF"/>
              <w:left w:val="nil"/>
              <w:bottom w:val="single" w:sz="18" w:space="0" w:color="4F81BD" w:themeColor="accent1"/>
              <w:right w:val="nil"/>
            </w:tcBorders>
            <w:shd w:val="clear" w:color="000000" w:fill="D9D9D9"/>
            <w:vAlign w:val="center"/>
            <w:hideMark/>
          </w:tcPr>
          <w:p w14:paraId="1F851A88" w14:textId="77777777" w:rsidR="007D5ECC" w:rsidRPr="004A7826" w:rsidRDefault="007D5ECC" w:rsidP="007D5ECC">
            <w:pPr>
              <w:pStyle w:val="Tabletext"/>
              <w:jc w:val="center"/>
              <w:rPr>
                <w:sz w:val="18"/>
                <w:szCs w:val="18"/>
              </w:rPr>
            </w:pPr>
            <w:r w:rsidRPr="004A7826">
              <w:rPr>
                <w:sz w:val="18"/>
                <w:szCs w:val="18"/>
              </w:rPr>
              <w:t>4.3</w:t>
            </w:r>
          </w:p>
        </w:tc>
        <w:tc>
          <w:tcPr>
            <w:tcW w:w="641" w:type="dxa"/>
            <w:tcBorders>
              <w:top w:val="single" w:sz="4" w:space="0" w:color="FFFFFF"/>
              <w:left w:val="nil"/>
              <w:bottom w:val="single" w:sz="18" w:space="0" w:color="4F81BD" w:themeColor="accent1"/>
              <w:right w:val="nil"/>
            </w:tcBorders>
            <w:shd w:val="clear" w:color="000000" w:fill="D9D9D9"/>
            <w:vAlign w:val="center"/>
            <w:hideMark/>
          </w:tcPr>
          <w:p w14:paraId="50579CC3" w14:textId="77777777" w:rsidR="007D5ECC" w:rsidRPr="004A7826" w:rsidRDefault="007D5ECC" w:rsidP="007D5ECC">
            <w:pPr>
              <w:pStyle w:val="Tabletext"/>
              <w:jc w:val="center"/>
              <w:rPr>
                <w:sz w:val="18"/>
                <w:szCs w:val="18"/>
              </w:rPr>
            </w:pPr>
            <w:r w:rsidRPr="004A7826">
              <w:rPr>
                <w:sz w:val="18"/>
                <w:szCs w:val="18"/>
              </w:rPr>
              <w:t>3.8</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4C25B803" w14:textId="77777777" w:rsidR="007D5ECC" w:rsidRPr="004A7826" w:rsidRDefault="007D5ECC" w:rsidP="007D5ECC">
            <w:pPr>
              <w:pStyle w:val="Tabletext"/>
              <w:jc w:val="center"/>
              <w:rPr>
                <w:sz w:val="18"/>
                <w:szCs w:val="18"/>
              </w:rPr>
            </w:pPr>
            <w:r w:rsidRPr="004A7826">
              <w:rPr>
                <w:sz w:val="18"/>
                <w:szCs w:val="18"/>
              </w:rPr>
              <w:t>3.7</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5E111664" w14:textId="77777777" w:rsidR="007D5ECC" w:rsidRPr="004A7826" w:rsidRDefault="007D5ECC" w:rsidP="007D5ECC">
            <w:pPr>
              <w:pStyle w:val="Tabletext"/>
              <w:jc w:val="center"/>
              <w:rPr>
                <w:sz w:val="18"/>
                <w:szCs w:val="18"/>
              </w:rPr>
            </w:pPr>
            <w:r w:rsidRPr="004A7826">
              <w:rPr>
                <w:sz w:val="18"/>
                <w:szCs w:val="18"/>
              </w:rPr>
              <w:t>2.8</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5094E939"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7BC402F3"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29B21CEA"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310C0192" w14:textId="77777777" w:rsidR="007D5ECC" w:rsidRPr="004A7826" w:rsidRDefault="007D5ECC" w:rsidP="007D5ECC">
            <w:pPr>
              <w:pStyle w:val="Tabletext"/>
              <w:jc w:val="center"/>
              <w:rPr>
                <w:sz w:val="18"/>
                <w:szCs w:val="18"/>
              </w:rPr>
            </w:pPr>
            <w:r w:rsidRPr="004A7826">
              <w:rPr>
                <w:sz w:val="18"/>
                <w:szCs w:val="18"/>
              </w:rPr>
              <w:t>2.7</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34A4F93C" w14:textId="77777777" w:rsidR="007D5ECC" w:rsidRPr="004A7826" w:rsidRDefault="007D5ECC" w:rsidP="007D5ECC">
            <w:pPr>
              <w:pStyle w:val="Tabletext"/>
              <w:jc w:val="center"/>
              <w:rPr>
                <w:sz w:val="18"/>
                <w:szCs w:val="18"/>
              </w:rPr>
            </w:pPr>
            <w:r w:rsidRPr="004A7826">
              <w:rPr>
                <w:sz w:val="18"/>
                <w:szCs w:val="18"/>
              </w:rPr>
              <w:t>2.8</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37FA394E" w14:textId="77777777" w:rsidR="007D5ECC" w:rsidRPr="004A7826" w:rsidRDefault="007D5ECC" w:rsidP="007D5ECC">
            <w:pPr>
              <w:pStyle w:val="Tabletext"/>
              <w:jc w:val="center"/>
              <w:rPr>
                <w:sz w:val="18"/>
                <w:szCs w:val="18"/>
              </w:rPr>
            </w:pPr>
            <w:r w:rsidRPr="004A7826">
              <w:rPr>
                <w:sz w:val="18"/>
                <w:szCs w:val="18"/>
              </w:rPr>
              <w:t>3.2</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15753C41" w14:textId="77777777" w:rsidR="007D5ECC" w:rsidRPr="004A7826" w:rsidRDefault="007D5ECC" w:rsidP="007D5ECC">
            <w:pPr>
              <w:pStyle w:val="Tabletext"/>
              <w:jc w:val="center"/>
              <w:rPr>
                <w:sz w:val="18"/>
                <w:szCs w:val="18"/>
              </w:rPr>
            </w:pPr>
            <w:r w:rsidRPr="004A7826">
              <w:rPr>
                <w:sz w:val="18"/>
                <w:szCs w:val="18"/>
              </w:rPr>
              <w:t>3.2</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4D955810" w14:textId="77777777" w:rsidR="007D5ECC" w:rsidRPr="004A7826" w:rsidRDefault="007D5ECC" w:rsidP="007D5ECC">
            <w:pPr>
              <w:pStyle w:val="Tabletext"/>
              <w:jc w:val="center"/>
              <w:rPr>
                <w:sz w:val="18"/>
                <w:szCs w:val="18"/>
              </w:rPr>
            </w:pPr>
            <w:r w:rsidRPr="004A7826">
              <w:rPr>
                <w:sz w:val="18"/>
                <w:szCs w:val="18"/>
              </w:rPr>
              <w:t>3.3</w:t>
            </w:r>
          </w:p>
        </w:tc>
        <w:tc>
          <w:tcPr>
            <w:tcW w:w="642" w:type="dxa"/>
            <w:tcBorders>
              <w:top w:val="single" w:sz="4" w:space="0" w:color="FFFFFF"/>
              <w:left w:val="nil"/>
              <w:bottom w:val="single" w:sz="18" w:space="0" w:color="4F81BD" w:themeColor="accent1"/>
              <w:right w:val="nil"/>
            </w:tcBorders>
            <w:shd w:val="clear" w:color="000000" w:fill="D9D9D9"/>
            <w:vAlign w:val="center"/>
            <w:hideMark/>
          </w:tcPr>
          <w:p w14:paraId="75603E78" w14:textId="77777777" w:rsidR="007D5ECC" w:rsidRPr="004A7826" w:rsidRDefault="007D5ECC" w:rsidP="007D5ECC">
            <w:pPr>
              <w:pStyle w:val="Tabletext"/>
              <w:jc w:val="center"/>
              <w:rPr>
                <w:sz w:val="18"/>
                <w:szCs w:val="18"/>
              </w:rPr>
            </w:pPr>
            <w:r w:rsidRPr="004A7826">
              <w:rPr>
                <w:sz w:val="18"/>
                <w:szCs w:val="18"/>
              </w:rPr>
              <w:t>3.4</w:t>
            </w:r>
          </w:p>
        </w:tc>
      </w:tr>
    </w:tbl>
    <w:p w14:paraId="03172E20" w14:textId="77777777" w:rsidR="007D5ECC" w:rsidRDefault="007D5ECC" w:rsidP="007D5ECC"/>
    <w:p w14:paraId="2B512C30" w14:textId="77777777" w:rsidR="007D5ECC" w:rsidRDefault="007D5ECC">
      <w:pPr>
        <w:spacing w:after="200" w:line="276" w:lineRule="auto"/>
        <w:jc w:val="left"/>
      </w:pPr>
      <w:r>
        <w:br w:type="page"/>
      </w:r>
    </w:p>
    <w:p w14:paraId="6418E782" w14:textId="3B43A65E" w:rsidR="00044C7A" w:rsidRPr="00D17A1E" w:rsidRDefault="00044C7A" w:rsidP="00D17A1E">
      <w:pPr>
        <w:pStyle w:val="Table"/>
      </w:pPr>
      <w:bookmarkStart w:id="23" w:name="_Toc177747038"/>
      <w:r w:rsidRPr="00D17A1E">
        <w:lastRenderedPageBreak/>
        <w:t xml:space="preserve">Table </w:t>
      </w:r>
      <w:r w:rsidR="00337799" w:rsidRPr="00D17A1E">
        <w:fldChar w:fldCharType="begin"/>
      </w:r>
      <w:r w:rsidR="00337799" w:rsidRPr="00D17A1E">
        <w:instrText xml:space="preserve"> SEQ Table \* ARABIC </w:instrText>
      </w:r>
      <w:r w:rsidR="00337799" w:rsidRPr="00D17A1E">
        <w:fldChar w:fldCharType="separate"/>
      </w:r>
      <w:r w:rsidR="00824AAF">
        <w:rPr>
          <w:noProof/>
        </w:rPr>
        <w:t>8</w:t>
      </w:r>
      <w:r w:rsidR="00337799" w:rsidRPr="00D17A1E">
        <w:fldChar w:fldCharType="end"/>
      </w:r>
      <w:r w:rsidRPr="00D17A1E">
        <w:t xml:space="preserve"> </w:t>
      </w:r>
      <w:r w:rsidR="00D17A1E">
        <w:t xml:space="preserve">| </w:t>
      </w:r>
      <w:r w:rsidRPr="00D17A1E">
        <w:t>Debt and headline balance projections and underlying assumptions (under 'no-fiscal-policy-change' baseline)</w:t>
      </w:r>
      <w:bookmarkEnd w:id="23"/>
    </w:p>
    <w:tbl>
      <w:tblPr>
        <w:tblW w:w="14438" w:type="dxa"/>
        <w:jc w:val="center"/>
        <w:tblLayout w:type="fixed"/>
        <w:tblLook w:val="04A0" w:firstRow="1" w:lastRow="0" w:firstColumn="1" w:lastColumn="0" w:noHBand="0" w:noVBand="1"/>
      </w:tblPr>
      <w:tblGrid>
        <w:gridCol w:w="459"/>
        <w:gridCol w:w="2235"/>
        <w:gridCol w:w="992"/>
        <w:gridCol w:w="672"/>
        <w:gridCol w:w="672"/>
        <w:gridCol w:w="672"/>
        <w:gridCol w:w="672"/>
        <w:gridCol w:w="672"/>
        <w:gridCol w:w="672"/>
        <w:gridCol w:w="672"/>
        <w:gridCol w:w="672"/>
        <w:gridCol w:w="672"/>
        <w:gridCol w:w="672"/>
        <w:gridCol w:w="672"/>
        <w:gridCol w:w="672"/>
        <w:gridCol w:w="672"/>
        <w:gridCol w:w="672"/>
        <w:gridCol w:w="672"/>
        <w:gridCol w:w="672"/>
      </w:tblGrid>
      <w:tr w:rsidR="007D5ECC" w:rsidRPr="001413D7" w14:paraId="10E34487" w14:textId="77777777" w:rsidTr="00001E52">
        <w:trPr>
          <w:trHeight w:val="648"/>
          <w:jc w:val="center"/>
        </w:trPr>
        <w:tc>
          <w:tcPr>
            <w:tcW w:w="459" w:type="dxa"/>
            <w:tcBorders>
              <w:top w:val="nil"/>
              <w:left w:val="nil"/>
              <w:bottom w:val="single" w:sz="4" w:space="0" w:color="FFFFFF"/>
              <w:right w:val="nil"/>
            </w:tcBorders>
            <w:shd w:val="clear" w:color="000000" w:fill="BFBFBF"/>
            <w:textDirection w:val="btLr"/>
            <w:vAlign w:val="center"/>
            <w:hideMark/>
          </w:tcPr>
          <w:p w14:paraId="2A764E4E" w14:textId="77777777" w:rsidR="007D5ECC" w:rsidRPr="005D3D57" w:rsidRDefault="007D5ECC" w:rsidP="001413D7">
            <w:pPr>
              <w:spacing w:after="0" w:line="240" w:lineRule="auto"/>
              <w:jc w:val="center"/>
              <w:rPr>
                <w:rFonts w:ascii="Arial" w:eastAsia="Times New Roman" w:hAnsi="Arial" w:cs="Arial"/>
                <w:b/>
                <w:bCs/>
                <w:color w:val="000000"/>
                <w:sz w:val="20"/>
                <w:szCs w:val="20"/>
                <w:lang w:val="en-US"/>
              </w:rPr>
            </w:pPr>
            <w:r w:rsidRPr="005D3D57">
              <w:rPr>
                <w:rFonts w:ascii="Arial" w:eastAsia="Times New Roman" w:hAnsi="Arial" w:cs="Arial"/>
                <w:b/>
                <w:bCs/>
                <w:color w:val="000000"/>
                <w:sz w:val="20"/>
                <w:szCs w:val="20"/>
                <w:lang w:val="en-US"/>
              </w:rPr>
              <w:t> </w:t>
            </w:r>
          </w:p>
        </w:tc>
        <w:tc>
          <w:tcPr>
            <w:tcW w:w="2235" w:type="dxa"/>
            <w:tcBorders>
              <w:top w:val="nil"/>
              <w:left w:val="nil"/>
              <w:bottom w:val="single" w:sz="4" w:space="0" w:color="FFFFFF"/>
              <w:right w:val="nil"/>
            </w:tcBorders>
            <w:shd w:val="clear" w:color="000000" w:fill="BFBFBF"/>
            <w:textDirection w:val="btLr"/>
            <w:vAlign w:val="center"/>
            <w:hideMark/>
          </w:tcPr>
          <w:p w14:paraId="17A6C547" w14:textId="77777777" w:rsidR="007D5ECC" w:rsidRPr="005D3D57" w:rsidRDefault="007D5ECC" w:rsidP="001413D7">
            <w:pPr>
              <w:spacing w:after="0" w:line="240" w:lineRule="auto"/>
              <w:jc w:val="center"/>
              <w:rPr>
                <w:rFonts w:ascii="Arial" w:eastAsia="Times New Roman" w:hAnsi="Arial" w:cs="Arial"/>
                <w:b/>
                <w:bCs/>
                <w:color w:val="000000"/>
                <w:sz w:val="20"/>
                <w:szCs w:val="20"/>
                <w:lang w:val="en-US"/>
              </w:rPr>
            </w:pPr>
            <w:r w:rsidRPr="005D3D57">
              <w:rPr>
                <w:rFonts w:ascii="Arial" w:eastAsia="Times New Roman" w:hAnsi="Arial" w:cs="Arial"/>
                <w:b/>
                <w:bCs/>
                <w:color w:val="000000"/>
                <w:sz w:val="20"/>
                <w:szCs w:val="20"/>
                <w:lang w:val="en-US"/>
              </w:rPr>
              <w:t> </w:t>
            </w:r>
          </w:p>
        </w:tc>
        <w:tc>
          <w:tcPr>
            <w:tcW w:w="992" w:type="dxa"/>
            <w:tcBorders>
              <w:top w:val="nil"/>
              <w:left w:val="nil"/>
              <w:bottom w:val="single" w:sz="4" w:space="0" w:color="FFFFFF"/>
              <w:right w:val="nil"/>
            </w:tcBorders>
            <w:shd w:val="clear" w:color="000000" w:fill="BFBFBF"/>
            <w:textDirection w:val="btLr"/>
            <w:vAlign w:val="center"/>
            <w:hideMark/>
          </w:tcPr>
          <w:p w14:paraId="73EAFE72" w14:textId="77777777" w:rsidR="007D5ECC" w:rsidRPr="005D3D57" w:rsidRDefault="007D5ECC" w:rsidP="001413D7">
            <w:pPr>
              <w:spacing w:after="0" w:line="240" w:lineRule="auto"/>
              <w:rPr>
                <w:rFonts w:ascii="Arial" w:eastAsia="Times New Roman" w:hAnsi="Arial" w:cs="Arial"/>
                <w:b/>
                <w:bCs/>
                <w:color w:val="000000"/>
                <w:sz w:val="20"/>
                <w:szCs w:val="20"/>
                <w:lang w:val="en-US"/>
              </w:rPr>
            </w:pPr>
            <w:r w:rsidRPr="005D3D57">
              <w:rPr>
                <w:rFonts w:ascii="Arial" w:eastAsia="Times New Roman" w:hAnsi="Arial" w:cs="Arial"/>
                <w:b/>
                <w:bCs/>
                <w:color w:val="000000"/>
                <w:sz w:val="20"/>
                <w:szCs w:val="20"/>
                <w:lang w:val="en-US"/>
              </w:rPr>
              <w:t> </w:t>
            </w:r>
          </w:p>
        </w:tc>
        <w:tc>
          <w:tcPr>
            <w:tcW w:w="672" w:type="dxa"/>
            <w:tcBorders>
              <w:top w:val="nil"/>
              <w:left w:val="nil"/>
              <w:bottom w:val="single" w:sz="4" w:space="0" w:color="FFFFFF"/>
              <w:right w:val="nil"/>
            </w:tcBorders>
            <w:shd w:val="clear" w:color="000000" w:fill="BFBFBF"/>
            <w:textDirection w:val="btLr"/>
            <w:vAlign w:val="center"/>
            <w:hideMark/>
          </w:tcPr>
          <w:p w14:paraId="19304A76"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2023</w:t>
            </w:r>
          </w:p>
        </w:tc>
        <w:tc>
          <w:tcPr>
            <w:tcW w:w="672" w:type="dxa"/>
            <w:tcBorders>
              <w:top w:val="nil"/>
              <w:left w:val="nil"/>
              <w:bottom w:val="single" w:sz="4" w:space="0" w:color="FFFFFF"/>
              <w:right w:val="nil"/>
            </w:tcBorders>
            <w:shd w:val="clear" w:color="000000" w:fill="BFBFBF"/>
            <w:textDirection w:val="btLr"/>
            <w:vAlign w:val="center"/>
            <w:hideMark/>
          </w:tcPr>
          <w:p w14:paraId="6CA54BD5"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2024</w:t>
            </w:r>
          </w:p>
        </w:tc>
        <w:tc>
          <w:tcPr>
            <w:tcW w:w="672" w:type="dxa"/>
            <w:tcBorders>
              <w:top w:val="nil"/>
              <w:left w:val="nil"/>
              <w:bottom w:val="single" w:sz="4" w:space="0" w:color="FFFFFF"/>
              <w:right w:val="nil"/>
            </w:tcBorders>
            <w:shd w:val="clear" w:color="000000" w:fill="BFBFBF"/>
            <w:textDirection w:val="btLr"/>
            <w:vAlign w:val="center"/>
            <w:hideMark/>
          </w:tcPr>
          <w:p w14:paraId="1C5B28B6"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2025</w:t>
            </w:r>
          </w:p>
        </w:tc>
        <w:tc>
          <w:tcPr>
            <w:tcW w:w="672" w:type="dxa"/>
            <w:tcBorders>
              <w:top w:val="nil"/>
              <w:left w:val="nil"/>
              <w:bottom w:val="single" w:sz="4" w:space="0" w:color="FFFFFF"/>
              <w:right w:val="nil"/>
            </w:tcBorders>
            <w:shd w:val="clear" w:color="000000" w:fill="BFBFBF"/>
            <w:textDirection w:val="btLr"/>
            <w:vAlign w:val="center"/>
            <w:hideMark/>
          </w:tcPr>
          <w:p w14:paraId="70358B2E"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2026</w:t>
            </w:r>
          </w:p>
        </w:tc>
        <w:tc>
          <w:tcPr>
            <w:tcW w:w="672" w:type="dxa"/>
            <w:tcBorders>
              <w:top w:val="nil"/>
              <w:left w:val="nil"/>
              <w:bottom w:val="single" w:sz="4" w:space="0" w:color="FFFFFF"/>
              <w:right w:val="nil"/>
            </w:tcBorders>
            <w:shd w:val="clear" w:color="000000" w:fill="BFBFBF"/>
            <w:textDirection w:val="btLr"/>
            <w:vAlign w:val="center"/>
            <w:hideMark/>
          </w:tcPr>
          <w:p w14:paraId="51296556"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2027</w:t>
            </w:r>
          </w:p>
        </w:tc>
        <w:tc>
          <w:tcPr>
            <w:tcW w:w="672" w:type="dxa"/>
            <w:tcBorders>
              <w:top w:val="nil"/>
              <w:left w:val="nil"/>
              <w:bottom w:val="single" w:sz="4" w:space="0" w:color="FFFFFF"/>
              <w:right w:val="nil"/>
            </w:tcBorders>
            <w:shd w:val="clear" w:color="000000" w:fill="BFBFBF"/>
            <w:textDirection w:val="btLr"/>
            <w:vAlign w:val="center"/>
            <w:hideMark/>
          </w:tcPr>
          <w:p w14:paraId="3C21775F"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2028</w:t>
            </w:r>
          </w:p>
        </w:tc>
        <w:tc>
          <w:tcPr>
            <w:tcW w:w="672" w:type="dxa"/>
            <w:tcBorders>
              <w:top w:val="nil"/>
              <w:left w:val="nil"/>
              <w:bottom w:val="single" w:sz="4" w:space="0" w:color="FFFFFF"/>
              <w:right w:val="nil"/>
            </w:tcBorders>
            <w:shd w:val="clear" w:color="000000" w:fill="BFBFBF"/>
            <w:textDirection w:val="btLr"/>
            <w:vAlign w:val="center"/>
            <w:hideMark/>
          </w:tcPr>
          <w:p w14:paraId="6AED5D43"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2029</w:t>
            </w:r>
          </w:p>
        </w:tc>
        <w:tc>
          <w:tcPr>
            <w:tcW w:w="672" w:type="dxa"/>
            <w:tcBorders>
              <w:top w:val="nil"/>
              <w:left w:val="nil"/>
              <w:bottom w:val="single" w:sz="4" w:space="0" w:color="FFFFFF"/>
              <w:right w:val="nil"/>
            </w:tcBorders>
            <w:shd w:val="clear" w:color="000000" w:fill="BFBFBF"/>
            <w:textDirection w:val="btLr"/>
            <w:vAlign w:val="center"/>
            <w:hideMark/>
          </w:tcPr>
          <w:p w14:paraId="2F1FC6CE"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2030</w:t>
            </w:r>
          </w:p>
        </w:tc>
        <w:tc>
          <w:tcPr>
            <w:tcW w:w="672" w:type="dxa"/>
            <w:tcBorders>
              <w:top w:val="nil"/>
              <w:left w:val="nil"/>
              <w:bottom w:val="single" w:sz="4" w:space="0" w:color="FFFFFF"/>
              <w:right w:val="nil"/>
            </w:tcBorders>
            <w:shd w:val="clear" w:color="000000" w:fill="BFBFBF"/>
            <w:textDirection w:val="btLr"/>
            <w:vAlign w:val="center"/>
            <w:hideMark/>
          </w:tcPr>
          <w:p w14:paraId="711AA33A"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2031</w:t>
            </w:r>
          </w:p>
        </w:tc>
        <w:tc>
          <w:tcPr>
            <w:tcW w:w="672" w:type="dxa"/>
            <w:tcBorders>
              <w:top w:val="nil"/>
              <w:left w:val="nil"/>
              <w:bottom w:val="single" w:sz="4" w:space="0" w:color="FFFFFF"/>
              <w:right w:val="nil"/>
            </w:tcBorders>
            <w:shd w:val="clear" w:color="000000" w:fill="BFBFBF"/>
            <w:textDirection w:val="btLr"/>
            <w:vAlign w:val="center"/>
            <w:hideMark/>
          </w:tcPr>
          <w:p w14:paraId="25F4D278"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2032</w:t>
            </w:r>
          </w:p>
        </w:tc>
        <w:tc>
          <w:tcPr>
            <w:tcW w:w="672" w:type="dxa"/>
            <w:tcBorders>
              <w:top w:val="nil"/>
              <w:left w:val="nil"/>
              <w:bottom w:val="single" w:sz="4" w:space="0" w:color="FFFFFF"/>
              <w:right w:val="nil"/>
            </w:tcBorders>
            <w:shd w:val="clear" w:color="000000" w:fill="BFBFBF"/>
            <w:textDirection w:val="btLr"/>
            <w:vAlign w:val="center"/>
            <w:hideMark/>
          </w:tcPr>
          <w:p w14:paraId="3C3B1CBC"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2033</w:t>
            </w:r>
          </w:p>
        </w:tc>
        <w:tc>
          <w:tcPr>
            <w:tcW w:w="672" w:type="dxa"/>
            <w:tcBorders>
              <w:top w:val="nil"/>
              <w:left w:val="nil"/>
              <w:bottom w:val="single" w:sz="4" w:space="0" w:color="FFFFFF"/>
              <w:right w:val="nil"/>
            </w:tcBorders>
            <w:shd w:val="clear" w:color="000000" w:fill="BFBFBF"/>
            <w:textDirection w:val="btLr"/>
            <w:vAlign w:val="center"/>
            <w:hideMark/>
          </w:tcPr>
          <w:p w14:paraId="42CA3BA7"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2034</w:t>
            </w:r>
          </w:p>
        </w:tc>
        <w:tc>
          <w:tcPr>
            <w:tcW w:w="672" w:type="dxa"/>
            <w:tcBorders>
              <w:top w:val="nil"/>
              <w:left w:val="nil"/>
              <w:bottom w:val="single" w:sz="4" w:space="0" w:color="FFFFFF"/>
              <w:right w:val="nil"/>
            </w:tcBorders>
            <w:shd w:val="clear" w:color="000000" w:fill="BFBFBF"/>
            <w:textDirection w:val="btLr"/>
            <w:vAlign w:val="center"/>
            <w:hideMark/>
          </w:tcPr>
          <w:p w14:paraId="635F49F6"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2035</w:t>
            </w:r>
          </w:p>
        </w:tc>
        <w:tc>
          <w:tcPr>
            <w:tcW w:w="672" w:type="dxa"/>
            <w:tcBorders>
              <w:top w:val="nil"/>
              <w:left w:val="nil"/>
              <w:bottom w:val="single" w:sz="4" w:space="0" w:color="FFFFFF"/>
              <w:right w:val="nil"/>
            </w:tcBorders>
            <w:shd w:val="clear" w:color="000000" w:fill="BFBFBF"/>
            <w:textDirection w:val="btLr"/>
            <w:vAlign w:val="center"/>
            <w:hideMark/>
          </w:tcPr>
          <w:p w14:paraId="59A54978"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2036</w:t>
            </w:r>
          </w:p>
        </w:tc>
        <w:tc>
          <w:tcPr>
            <w:tcW w:w="672" w:type="dxa"/>
            <w:tcBorders>
              <w:top w:val="nil"/>
              <w:left w:val="nil"/>
              <w:bottom w:val="single" w:sz="4" w:space="0" w:color="FFFFFF"/>
              <w:right w:val="nil"/>
            </w:tcBorders>
            <w:shd w:val="clear" w:color="000000" w:fill="BFBFBF"/>
            <w:textDirection w:val="btLr"/>
            <w:vAlign w:val="center"/>
            <w:hideMark/>
          </w:tcPr>
          <w:p w14:paraId="35005809"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2037</w:t>
            </w:r>
          </w:p>
        </w:tc>
        <w:tc>
          <w:tcPr>
            <w:tcW w:w="672" w:type="dxa"/>
            <w:tcBorders>
              <w:top w:val="nil"/>
              <w:left w:val="nil"/>
              <w:bottom w:val="single" w:sz="4" w:space="0" w:color="FFFFFF"/>
              <w:right w:val="nil"/>
            </w:tcBorders>
            <w:shd w:val="clear" w:color="000000" w:fill="BFBFBF"/>
            <w:textDirection w:val="btLr"/>
            <w:vAlign w:val="center"/>
            <w:hideMark/>
          </w:tcPr>
          <w:p w14:paraId="693E2A22" w14:textId="77777777" w:rsidR="007D5ECC" w:rsidRPr="001413D7" w:rsidRDefault="007D5ECC" w:rsidP="001413D7">
            <w:pPr>
              <w:spacing w:after="0" w:line="240" w:lineRule="auto"/>
              <w:jc w:val="center"/>
              <w:rPr>
                <w:rFonts w:ascii="Arial" w:eastAsia="Times New Roman" w:hAnsi="Arial" w:cs="Arial"/>
                <w:b/>
                <w:bCs/>
                <w:color w:val="000000"/>
                <w:sz w:val="20"/>
                <w:szCs w:val="20"/>
              </w:rPr>
            </w:pPr>
            <w:r w:rsidRPr="001413D7">
              <w:rPr>
                <w:rFonts w:ascii="Arial" w:eastAsia="Times New Roman" w:hAnsi="Arial" w:cs="Arial"/>
                <w:b/>
                <w:bCs/>
                <w:color w:val="000000"/>
                <w:sz w:val="20"/>
                <w:szCs w:val="20"/>
              </w:rPr>
              <w:t>2038</w:t>
            </w:r>
          </w:p>
        </w:tc>
      </w:tr>
      <w:tr w:rsidR="00001E52" w:rsidRPr="00FE0871" w14:paraId="3D29188F" w14:textId="77777777" w:rsidTr="00001E52">
        <w:trPr>
          <w:trHeight w:val="170"/>
          <w:jc w:val="center"/>
        </w:trPr>
        <w:tc>
          <w:tcPr>
            <w:tcW w:w="459" w:type="dxa"/>
            <w:tcBorders>
              <w:top w:val="nil"/>
              <w:left w:val="nil"/>
              <w:bottom w:val="single" w:sz="4" w:space="0" w:color="FFFFFF"/>
              <w:right w:val="nil"/>
            </w:tcBorders>
            <w:shd w:val="clear" w:color="000000" w:fill="F2F2F2"/>
            <w:vAlign w:val="center"/>
            <w:hideMark/>
          </w:tcPr>
          <w:p w14:paraId="79C8B147" w14:textId="77777777" w:rsidR="00001E52" w:rsidRPr="00FE0871" w:rsidRDefault="00001E52" w:rsidP="00001E52">
            <w:pPr>
              <w:pStyle w:val="Tabletext"/>
            </w:pPr>
            <w:r w:rsidRPr="00FE0871">
              <w:t>1</w:t>
            </w:r>
          </w:p>
        </w:tc>
        <w:tc>
          <w:tcPr>
            <w:tcW w:w="2235" w:type="dxa"/>
            <w:tcBorders>
              <w:top w:val="nil"/>
              <w:left w:val="nil"/>
              <w:bottom w:val="single" w:sz="4" w:space="0" w:color="FFFFFF"/>
              <w:right w:val="nil"/>
            </w:tcBorders>
            <w:shd w:val="clear" w:color="000000" w:fill="F2F2F2"/>
            <w:vAlign w:val="center"/>
            <w:hideMark/>
          </w:tcPr>
          <w:p w14:paraId="2345E083" w14:textId="77777777" w:rsidR="00001E52" w:rsidRPr="00FE0871" w:rsidRDefault="00001E52" w:rsidP="00001E52">
            <w:pPr>
              <w:pStyle w:val="Tabletext"/>
            </w:pPr>
            <w:r w:rsidRPr="00FE0871">
              <w:t xml:space="preserve">Gross debt   </w:t>
            </w:r>
          </w:p>
        </w:tc>
        <w:tc>
          <w:tcPr>
            <w:tcW w:w="992" w:type="dxa"/>
            <w:tcBorders>
              <w:top w:val="nil"/>
              <w:left w:val="nil"/>
              <w:bottom w:val="single" w:sz="4" w:space="0" w:color="FFFFFF"/>
              <w:right w:val="nil"/>
            </w:tcBorders>
            <w:shd w:val="clear" w:color="000000" w:fill="F2F2F2"/>
            <w:vAlign w:val="center"/>
            <w:hideMark/>
          </w:tcPr>
          <w:p w14:paraId="4AC2D4D6" w14:textId="77777777" w:rsidR="00001E52" w:rsidRPr="00FE0871" w:rsidRDefault="00001E52" w:rsidP="00001E52">
            <w:pPr>
              <w:pStyle w:val="Tabletext"/>
              <w:rPr>
                <w:sz w:val="18"/>
                <w:szCs w:val="18"/>
              </w:rPr>
            </w:pPr>
            <w:r w:rsidRPr="00FE0871">
              <w:rPr>
                <w:sz w:val="18"/>
                <w:szCs w:val="18"/>
              </w:rPr>
              <w:t>(% GDP)</w:t>
            </w:r>
          </w:p>
        </w:tc>
        <w:tc>
          <w:tcPr>
            <w:tcW w:w="672" w:type="dxa"/>
            <w:tcBorders>
              <w:top w:val="nil"/>
              <w:left w:val="nil"/>
              <w:bottom w:val="single" w:sz="4" w:space="0" w:color="FFFFFF"/>
              <w:right w:val="nil"/>
            </w:tcBorders>
            <w:shd w:val="clear" w:color="000000" w:fill="F2F2F2"/>
            <w:vAlign w:val="center"/>
            <w:hideMark/>
          </w:tcPr>
          <w:p w14:paraId="2F6BE804" w14:textId="1572B4CB" w:rsidR="00001E52" w:rsidRPr="00001E52" w:rsidRDefault="00001E52" w:rsidP="00001E52">
            <w:pPr>
              <w:pStyle w:val="Tabletext"/>
              <w:jc w:val="center"/>
              <w:rPr>
                <w:sz w:val="20"/>
                <w:szCs w:val="20"/>
              </w:rPr>
            </w:pPr>
            <w:r w:rsidRPr="00001E52">
              <w:rPr>
                <w:sz w:val="20"/>
                <w:szCs w:val="20"/>
              </w:rPr>
              <w:t>161.9</w:t>
            </w:r>
          </w:p>
        </w:tc>
        <w:tc>
          <w:tcPr>
            <w:tcW w:w="672" w:type="dxa"/>
            <w:tcBorders>
              <w:top w:val="nil"/>
              <w:left w:val="nil"/>
              <w:bottom w:val="single" w:sz="4" w:space="0" w:color="FFFFFF"/>
              <w:right w:val="nil"/>
            </w:tcBorders>
            <w:shd w:val="clear" w:color="000000" w:fill="F2F2F2"/>
            <w:vAlign w:val="center"/>
            <w:hideMark/>
          </w:tcPr>
          <w:p w14:paraId="59B0A5DD" w14:textId="31D718AF" w:rsidR="00001E52" w:rsidRPr="00001E52" w:rsidRDefault="00001E52" w:rsidP="00001E52">
            <w:pPr>
              <w:pStyle w:val="Tabletext"/>
              <w:jc w:val="center"/>
              <w:rPr>
                <w:sz w:val="20"/>
                <w:szCs w:val="20"/>
              </w:rPr>
            </w:pPr>
            <w:r w:rsidRPr="00001E52">
              <w:rPr>
                <w:sz w:val="20"/>
                <w:szCs w:val="20"/>
              </w:rPr>
              <w:t>153.7</w:t>
            </w:r>
          </w:p>
        </w:tc>
        <w:tc>
          <w:tcPr>
            <w:tcW w:w="672" w:type="dxa"/>
            <w:tcBorders>
              <w:top w:val="nil"/>
              <w:left w:val="nil"/>
              <w:bottom w:val="single" w:sz="4" w:space="0" w:color="FFFFFF"/>
              <w:right w:val="nil"/>
            </w:tcBorders>
            <w:shd w:val="clear" w:color="000000" w:fill="F2F2F2"/>
            <w:vAlign w:val="center"/>
            <w:hideMark/>
          </w:tcPr>
          <w:p w14:paraId="68D7E2E7" w14:textId="183F5B46" w:rsidR="00001E52" w:rsidRPr="00001E52" w:rsidRDefault="00001E52" w:rsidP="00001E52">
            <w:pPr>
              <w:pStyle w:val="Tabletext"/>
              <w:jc w:val="center"/>
              <w:rPr>
                <w:sz w:val="20"/>
                <w:szCs w:val="20"/>
              </w:rPr>
            </w:pPr>
            <w:r w:rsidRPr="00001E52">
              <w:rPr>
                <w:sz w:val="20"/>
                <w:szCs w:val="20"/>
              </w:rPr>
              <w:t>148.8</w:t>
            </w:r>
          </w:p>
        </w:tc>
        <w:tc>
          <w:tcPr>
            <w:tcW w:w="672" w:type="dxa"/>
            <w:tcBorders>
              <w:top w:val="nil"/>
              <w:left w:val="nil"/>
              <w:bottom w:val="single" w:sz="4" w:space="0" w:color="FFFFFF"/>
              <w:right w:val="nil"/>
            </w:tcBorders>
            <w:shd w:val="clear" w:color="000000" w:fill="F2F2F2"/>
            <w:vAlign w:val="center"/>
            <w:hideMark/>
          </w:tcPr>
          <w:p w14:paraId="3D28AD08" w14:textId="1A52E5D1" w:rsidR="00001E52" w:rsidRPr="00001E52" w:rsidRDefault="00001E52" w:rsidP="00001E52">
            <w:pPr>
              <w:pStyle w:val="Tabletext"/>
              <w:jc w:val="center"/>
              <w:rPr>
                <w:sz w:val="20"/>
                <w:szCs w:val="20"/>
              </w:rPr>
            </w:pPr>
            <w:r w:rsidRPr="00001E52">
              <w:rPr>
                <w:sz w:val="20"/>
                <w:szCs w:val="20"/>
              </w:rPr>
              <w:t>142.4</w:t>
            </w:r>
          </w:p>
        </w:tc>
        <w:tc>
          <w:tcPr>
            <w:tcW w:w="672" w:type="dxa"/>
            <w:tcBorders>
              <w:top w:val="nil"/>
              <w:left w:val="nil"/>
              <w:bottom w:val="single" w:sz="4" w:space="0" w:color="FFFFFF"/>
              <w:right w:val="nil"/>
            </w:tcBorders>
            <w:shd w:val="clear" w:color="000000" w:fill="F2F2F2"/>
            <w:vAlign w:val="center"/>
            <w:hideMark/>
          </w:tcPr>
          <w:p w14:paraId="5C82E213" w14:textId="3C831924" w:rsidR="00001E52" w:rsidRPr="00001E52" w:rsidRDefault="00001E52" w:rsidP="00001E52">
            <w:pPr>
              <w:pStyle w:val="Tabletext"/>
              <w:jc w:val="center"/>
              <w:rPr>
                <w:sz w:val="20"/>
                <w:szCs w:val="20"/>
              </w:rPr>
            </w:pPr>
            <w:r w:rsidRPr="00001E52">
              <w:rPr>
                <w:sz w:val="20"/>
                <w:szCs w:val="20"/>
              </w:rPr>
              <w:t>137.2</w:t>
            </w:r>
          </w:p>
        </w:tc>
        <w:tc>
          <w:tcPr>
            <w:tcW w:w="672" w:type="dxa"/>
            <w:tcBorders>
              <w:top w:val="nil"/>
              <w:left w:val="nil"/>
              <w:bottom w:val="single" w:sz="4" w:space="0" w:color="FFFFFF"/>
              <w:right w:val="nil"/>
            </w:tcBorders>
            <w:shd w:val="clear" w:color="000000" w:fill="F2F2F2"/>
            <w:vAlign w:val="center"/>
            <w:hideMark/>
          </w:tcPr>
          <w:p w14:paraId="2427C866" w14:textId="19AD2CF1" w:rsidR="00001E52" w:rsidRPr="00001E52" w:rsidRDefault="00001E52" w:rsidP="00001E52">
            <w:pPr>
              <w:pStyle w:val="Tabletext"/>
              <w:jc w:val="center"/>
              <w:rPr>
                <w:sz w:val="20"/>
                <w:szCs w:val="20"/>
              </w:rPr>
            </w:pPr>
            <w:r w:rsidRPr="00001E52">
              <w:rPr>
                <w:sz w:val="20"/>
                <w:szCs w:val="20"/>
              </w:rPr>
              <w:t>132.5</w:t>
            </w:r>
          </w:p>
        </w:tc>
        <w:tc>
          <w:tcPr>
            <w:tcW w:w="672" w:type="dxa"/>
            <w:tcBorders>
              <w:top w:val="nil"/>
              <w:left w:val="nil"/>
              <w:bottom w:val="single" w:sz="4" w:space="0" w:color="FFFFFF"/>
              <w:right w:val="nil"/>
            </w:tcBorders>
            <w:shd w:val="clear" w:color="000000" w:fill="F2F2F2"/>
            <w:vAlign w:val="center"/>
            <w:hideMark/>
          </w:tcPr>
          <w:p w14:paraId="253FAE33" w14:textId="139EFC0F" w:rsidR="00001E52" w:rsidRPr="00001E52" w:rsidRDefault="00001E52" w:rsidP="00001E52">
            <w:pPr>
              <w:pStyle w:val="Tabletext"/>
              <w:jc w:val="center"/>
              <w:rPr>
                <w:sz w:val="20"/>
                <w:szCs w:val="20"/>
              </w:rPr>
            </w:pPr>
            <w:r w:rsidRPr="00001E52">
              <w:rPr>
                <w:sz w:val="20"/>
                <w:szCs w:val="20"/>
              </w:rPr>
              <w:t>128.8</w:t>
            </w:r>
          </w:p>
        </w:tc>
        <w:tc>
          <w:tcPr>
            <w:tcW w:w="672" w:type="dxa"/>
            <w:tcBorders>
              <w:top w:val="nil"/>
              <w:left w:val="nil"/>
              <w:bottom w:val="single" w:sz="4" w:space="0" w:color="FFFFFF"/>
              <w:right w:val="nil"/>
            </w:tcBorders>
            <w:shd w:val="clear" w:color="000000" w:fill="F2F2F2"/>
            <w:vAlign w:val="center"/>
            <w:hideMark/>
          </w:tcPr>
          <w:p w14:paraId="170A9666" w14:textId="75E27F51" w:rsidR="00001E52" w:rsidRPr="00001E52" w:rsidRDefault="00001E52" w:rsidP="00001E52">
            <w:pPr>
              <w:pStyle w:val="Tabletext"/>
              <w:jc w:val="center"/>
              <w:rPr>
                <w:sz w:val="20"/>
                <w:szCs w:val="20"/>
              </w:rPr>
            </w:pPr>
            <w:r w:rsidRPr="00001E52">
              <w:rPr>
                <w:sz w:val="20"/>
                <w:szCs w:val="20"/>
              </w:rPr>
              <w:t>125.4</w:t>
            </w:r>
          </w:p>
        </w:tc>
        <w:tc>
          <w:tcPr>
            <w:tcW w:w="672" w:type="dxa"/>
            <w:tcBorders>
              <w:top w:val="nil"/>
              <w:left w:val="nil"/>
              <w:bottom w:val="single" w:sz="4" w:space="0" w:color="FFFFFF"/>
              <w:right w:val="nil"/>
            </w:tcBorders>
            <w:shd w:val="clear" w:color="000000" w:fill="F2F2F2"/>
            <w:vAlign w:val="center"/>
            <w:hideMark/>
          </w:tcPr>
          <w:p w14:paraId="0C387F8E" w14:textId="325CCAEA" w:rsidR="00001E52" w:rsidRPr="00001E52" w:rsidRDefault="00001E52" w:rsidP="00001E52">
            <w:pPr>
              <w:pStyle w:val="Tabletext"/>
              <w:jc w:val="center"/>
              <w:rPr>
                <w:sz w:val="20"/>
                <w:szCs w:val="20"/>
              </w:rPr>
            </w:pPr>
            <w:r w:rsidRPr="00001E52">
              <w:rPr>
                <w:sz w:val="20"/>
                <w:szCs w:val="20"/>
              </w:rPr>
              <w:t>122.2</w:t>
            </w:r>
          </w:p>
        </w:tc>
        <w:tc>
          <w:tcPr>
            <w:tcW w:w="672" w:type="dxa"/>
            <w:tcBorders>
              <w:top w:val="nil"/>
              <w:left w:val="nil"/>
              <w:bottom w:val="single" w:sz="4" w:space="0" w:color="FFFFFF"/>
              <w:right w:val="nil"/>
            </w:tcBorders>
            <w:shd w:val="clear" w:color="000000" w:fill="F2F2F2"/>
            <w:vAlign w:val="center"/>
            <w:hideMark/>
          </w:tcPr>
          <w:p w14:paraId="6E821C69" w14:textId="581D6BB9" w:rsidR="00001E52" w:rsidRPr="00001E52" w:rsidRDefault="00001E52" w:rsidP="00001E52">
            <w:pPr>
              <w:pStyle w:val="Tabletext"/>
              <w:jc w:val="center"/>
              <w:rPr>
                <w:sz w:val="20"/>
                <w:szCs w:val="20"/>
              </w:rPr>
            </w:pPr>
            <w:r w:rsidRPr="00001E52">
              <w:rPr>
                <w:sz w:val="20"/>
                <w:szCs w:val="20"/>
              </w:rPr>
              <w:t>119.3</w:t>
            </w:r>
          </w:p>
        </w:tc>
        <w:tc>
          <w:tcPr>
            <w:tcW w:w="672" w:type="dxa"/>
            <w:tcBorders>
              <w:top w:val="nil"/>
              <w:left w:val="nil"/>
              <w:bottom w:val="single" w:sz="4" w:space="0" w:color="FFFFFF"/>
              <w:right w:val="nil"/>
            </w:tcBorders>
            <w:shd w:val="clear" w:color="000000" w:fill="F2F2F2"/>
            <w:vAlign w:val="center"/>
            <w:hideMark/>
          </w:tcPr>
          <w:p w14:paraId="1088E055" w14:textId="3A572C4D" w:rsidR="00001E52" w:rsidRPr="00001E52" w:rsidRDefault="00001E52" w:rsidP="00001E52">
            <w:pPr>
              <w:pStyle w:val="Tabletext"/>
              <w:jc w:val="center"/>
              <w:rPr>
                <w:sz w:val="20"/>
                <w:szCs w:val="20"/>
              </w:rPr>
            </w:pPr>
            <w:r w:rsidRPr="00001E52">
              <w:rPr>
                <w:sz w:val="20"/>
                <w:szCs w:val="20"/>
              </w:rPr>
              <w:t>117.8</w:t>
            </w:r>
          </w:p>
        </w:tc>
        <w:tc>
          <w:tcPr>
            <w:tcW w:w="672" w:type="dxa"/>
            <w:tcBorders>
              <w:top w:val="nil"/>
              <w:left w:val="nil"/>
              <w:bottom w:val="single" w:sz="4" w:space="0" w:color="FFFFFF"/>
              <w:right w:val="nil"/>
            </w:tcBorders>
            <w:shd w:val="clear" w:color="000000" w:fill="F2F2F2"/>
            <w:vAlign w:val="center"/>
            <w:hideMark/>
          </w:tcPr>
          <w:p w14:paraId="6E12DDD7" w14:textId="0CFB5F04" w:rsidR="00001E52" w:rsidRPr="00001E52" w:rsidRDefault="00001E52" w:rsidP="00001E52">
            <w:pPr>
              <w:pStyle w:val="Tabletext"/>
              <w:jc w:val="center"/>
              <w:rPr>
                <w:sz w:val="20"/>
                <w:szCs w:val="20"/>
              </w:rPr>
            </w:pPr>
            <w:r w:rsidRPr="00001E52">
              <w:rPr>
                <w:sz w:val="20"/>
                <w:szCs w:val="20"/>
              </w:rPr>
              <w:t>116.5</w:t>
            </w:r>
          </w:p>
        </w:tc>
        <w:tc>
          <w:tcPr>
            <w:tcW w:w="672" w:type="dxa"/>
            <w:tcBorders>
              <w:top w:val="nil"/>
              <w:left w:val="nil"/>
              <w:bottom w:val="single" w:sz="4" w:space="0" w:color="FFFFFF"/>
              <w:right w:val="nil"/>
            </w:tcBorders>
            <w:shd w:val="clear" w:color="000000" w:fill="F2F2F2"/>
            <w:vAlign w:val="center"/>
            <w:hideMark/>
          </w:tcPr>
          <w:p w14:paraId="64D56D73" w14:textId="12FE0A68" w:rsidR="00001E52" w:rsidRPr="00001E52" w:rsidRDefault="00001E52" w:rsidP="00001E52">
            <w:pPr>
              <w:pStyle w:val="Tabletext"/>
              <w:jc w:val="center"/>
              <w:rPr>
                <w:sz w:val="20"/>
                <w:szCs w:val="20"/>
              </w:rPr>
            </w:pPr>
            <w:r w:rsidRPr="00001E52">
              <w:rPr>
                <w:sz w:val="20"/>
                <w:szCs w:val="20"/>
              </w:rPr>
              <w:t>114.9</w:t>
            </w:r>
          </w:p>
        </w:tc>
        <w:tc>
          <w:tcPr>
            <w:tcW w:w="672" w:type="dxa"/>
            <w:tcBorders>
              <w:top w:val="nil"/>
              <w:left w:val="nil"/>
              <w:bottom w:val="single" w:sz="4" w:space="0" w:color="FFFFFF"/>
              <w:right w:val="nil"/>
            </w:tcBorders>
            <w:shd w:val="clear" w:color="000000" w:fill="F2F2F2"/>
            <w:vAlign w:val="center"/>
            <w:hideMark/>
          </w:tcPr>
          <w:p w14:paraId="6AD4C7CA" w14:textId="16CE34D6" w:rsidR="00001E52" w:rsidRPr="00001E52" w:rsidRDefault="00001E52" w:rsidP="00001E52">
            <w:pPr>
              <w:pStyle w:val="Tabletext"/>
              <w:jc w:val="center"/>
              <w:rPr>
                <w:sz w:val="20"/>
                <w:szCs w:val="20"/>
              </w:rPr>
            </w:pPr>
            <w:r w:rsidRPr="00001E52">
              <w:rPr>
                <w:sz w:val="20"/>
                <w:szCs w:val="20"/>
              </w:rPr>
              <w:t>113.3</w:t>
            </w:r>
          </w:p>
        </w:tc>
        <w:tc>
          <w:tcPr>
            <w:tcW w:w="672" w:type="dxa"/>
            <w:tcBorders>
              <w:top w:val="nil"/>
              <w:left w:val="nil"/>
              <w:bottom w:val="single" w:sz="4" w:space="0" w:color="FFFFFF"/>
              <w:right w:val="nil"/>
            </w:tcBorders>
            <w:shd w:val="clear" w:color="000000" w:fill="F2F2F2"/>
            <w:vAlign w:val="center"/>
            <w:hideMark/>
          </w:tcPr>
          <w:p w14:paraId="0001899F" w14:textId="131D75C6" w:rsidR="00001E52" w:rsidRPr="00001E52" w:rsidRDefault="00001E52" w:rsidP="00001E52">
            <w:pPr>
              <w:pStyle w:val="Tabletext"/>
              <w:jc w:val="center"/>
              <w:rPr>
                <w:sz w:val="20"/>
                <w:szCs w:val="20"/>
              </w:rPr>
            </w:pPr>
            <w:r w:rsidRPr="00001E52">
              <w:rPr>
                <w:sz w:val="20"/>
                <w:szCs w:val="20"/>
              </w:rPr>
              <w:t>111.7</w:t>
            </w:r>
          </w:p>
        </w:tc>
        <w:tc>
          <w:tcPr>
            <w:tcW w:w="672" w:type="dxa"/>
            <w:tcBorders>
              <w:top w:val="nil"/>
              <w:left w:val="nil"/>
              <w:bottom w:val="single" w:sz="4" w:space="0" w:color="FFFFFF"/>
              <w:right w:val="nil"/>
            </w:tcBorders>
            <w:shd w:val="clear" w:color="000000" w:fill="F2F2F2"/>
            <w:vAlign w:val="center"/>
            <w:hideMark/>
          </w:tcPr>
          <w:p w14:paraId="56094857" w14:textId="506D43D5" w:rsidR="00001E52" w:rsidRPr="00001E52" w:rsidRDefault="00001E52" w:rsidP="00001E52">
            <w:pPr>
              <w:pStyle w:val="Tabletext"/>
              <w:jc w:val="center"/>
              <w:rPr>
                <w:sz w:val="20"/>
                <w:szCs w:val="20"/>
              </w:rPr>
            </w:pPr>
            <w:r w:rsidRPr="00001E52">
              <w:rPr>
                <w:sz w:val="20"/>
                <w:szCs w:val="20"/>
              </w:rPr>
              <w:t>110.3</w:t>
            </w:r>
          </w:p>
        </w:tc>
      </w:tr>
      <w:tr w:rsidR="00001E52" w:rsidRPr="00FE0871" w14:paraId="32FF6DFE" w14:textId="77777777" w:rsidTr="00001E52">
        <w:trPr>
          <w:trHeight w:val="482"/>
          <w:jc w:val="center"/>
        </w:trPr>
        <w:tc>
          <w:tcPr>
            <w:tcW w:w="459" w:type="dxa"/>
            <w:tcBorders>
              <w:top w:val="nil"/>
              <w:left w:val="nil"/>
              <w:bottom w:val="single" w:sz="4" w:space="0" w:color="FFFFFF"/>
              <w:right w:val="nil"/>
            </w:tcBorders>
            <w:shd w:val="clear" w:color="000000" w:fill="D9D9D9"/>
            <w:vAlign w:val="center"/>
            <w:hideMark/>
          </w:tcPr>
          <w:p w14:paraId="6C9FFD50" w14:textId="77777777" w:rsidR="00001E52" w:rsidRPr="00FE0871" w:rsidRDefault="00001E52" w:rsidP="00001E52">
            <w:pPr>
              <w:pStyle w:val="Tabletext"/>
            </w:pPr>
            <w:r w:rsidRPr="00FE0871">
              <w:t>2</w:t>
            </w:r>
          </w:p>
        </w:tc>
        <w:tc>
          <w:tcPr>
            <w:tcW w:w="2235" w:type="dxa"/>
            <w:tcBorders>
              <w:top w:val="nil"/>
              <w:left w:val="nil"/>
              <w:bottom w:val="single" w:sz="4" w:space="0" w:color="FFFFFF"/>
              <w:right w:val="nil"/>
            </w:tcBorders>
            <w:shd w:val="clear" w:color="000000" w:fill="D9D9D9"/>
            <w:vAlign w:val="center"/>
            <w:hideMark/>
          </w:tcPr>
          <w:p w14:paraId="50C5DE52" w14:textId="77777777" w:rsidR="00001E52" w:rsidRPr="00FE0871" w:rsidRDefault="00001E52" w:rsidP="00001E52">
            <w:pPr>
              <w:pStyle w:val="Tabletext"/>
            </w:pPr>
            <w:r w:rsidRPr="00FE0871">
              <w:t xml:space="preserve">General government balance </w:t>
            </w:r>
          </w:p>
        </w:tc>
        <w:tc>
          <w:tcPr>
            <w:tcW w:w="992" w:type="dxa"/>
            <w:tcBorders>
              <w:top w:val="nil"/>
              <w:left w:val="nil"/>
              <w:bottom w:val="single" w:sz="4" w:space="0" w:color="FFFFFF"/>
              <w:right w:val="nil"/>
            </w:tcBorders>
            <w:shd w:val="clear" w:color="000000" w:fill="D9D9D9"/>
            <w:vAlign w:val="center"/>
            <w:hideMark/>
          </w:tcPr>
          <w:p w14:paraId="51EEDE28" w14:textId="77777777" w:rsidR="00001E52" w:rsidRPr="00FE0871" w:rsidRDefault="00001E52" w:rsidP="00001E52">
            <w:pPr>
              <w:pStyle w:val="Tabletext"/>
              <w:rPr>
                <w:sz w:val="18"/>
                <w:szCs w:val="18"/>
              </w:rPr>
            </w:pPr>
            <w:r w:rsidRPr="00FE0871">
              <w:rPr>
                <w:sz w:val="18"/>
                <w:szCs w:val="18"/>
              </w:rPr>
              <w:t>(% GDP)</w:t>
            </w:r>
          </w:p>
        </w:tc>
        <w:tc>
          <w:tcPr>
            <w:tcW w:w="672" w:type="dxa"/>
            <w:tcBorders>
              <w:top w:val="nil"/>
              <w:left w:val="nil"/>
              <w:bottom w:val="single" w:sz="4" w:space="0" w:color="FFFFFF"/>
              <w:right w:val="nil"/>
            </w:tcBorders>
            <w:shd w:val="clear" w:color="000000" w:fill="D9D9D9"/>
            <w:vAlign w:val="center"/>
            <w:hideMark/>
          </w:tcPr>
          <w:p w14:paraId="53CD93B9" w14:textId="6CC0630C" w:rsidR="00001E52" w:rsidRPr="00001E52" w:rsidRDefault="00001E52" w:rsidP="00001E52">
            <w:pPr>
              <w:pStyle w:val="Tabletext"/>
              <w:jc w:val="center"/>
              <w:rPr>
                <w:sz w:val="20"/>
                <w:szCs w:val="20"/>
              </w:rPr>
            </w:pPr>
            <w:r w:rsidRPr="00001E52">
              <w:rPr>
                <w:sz w:val="20"/>
                <w:szCs w:val="20"/>
              </w:rPr>
              <w:t>-1.6</w:t>
            </w:r>
          </w:p>
        </w:tc>
        <w:tc>
          <w:tcPr>
            <w:tcW w:w="672" w:type="dxa"/>
            <w:tcBorders>
              <w:top w:val="nil"/>
              <w:left w:val="nil"/>
              <w:bottom w:val="single" w:sz="4" w:space="0" w:color="FFFFFF"/>
              <w:right w:val="nil"/>
            </w:tcBorders>
            <w:shd w:val="clear" w:color="000000" w:fill="D9D9D9"/>
            <w:vAlign w:val="center"/>
            <w:hideMark/>
          </w:tcPr>
          <w:p w14:paraId="10A90F54" w14:textId="6A0F0725" w:rsidR="00001E52" w:rsidRPr="00001E52" w:rsidRDefault="00001E52" w:rsidP="00001E52">
            <w:pPr>
              <w:pStyle w:val="Tabletext"/>
              <w:jc w:val="center"/>
              <w:rPr>
                <w:sz w:val="20"/>
                <w:szCs w:val="20"/>
              </w:rPr>
            </w:pPr>
            <w:r w:rsidRPr="00001E52">
              <w:rPr>
                <w:sz w:val="20"/>
                <w:szCs w:val="20"/>
              </w:rPr>
              <w:t>-1.0</w:t>
            </w:r>
          </w:p>
        </w:tc>
        <w:tc>
          <w:tcPr>
            <w:tcW w:w="672" w:type="dxa"/>
            <w:tcBorders>
              <w:top w:val="nil"/>
              <w:left w:val="nil"/>
              <w:bottom w:val="single" w:sz="4" w:space="0" w:color="FFFFFF"/>
              <w:right w:val="nil"/>
            </w:tcBorders>
            <w:shd w:val="clear" w:color="000000" w:fill="D9D9D9"/>
            <w:vAlign w:val="center"/>
            <w:hideMark/>
          </w:tcPr>
          <w:p w14:paraId="40BDCB4E" w14:textId="45E3877D" w:rsidR="00001E52" w:rsidRPr="00001E52" w:rsidRDefault="00001E52" w:rsidP="00001E52">
            <w:pPr>
              <w:pStyle w:val="Tabletext"/>
              <w:jc w:val="center"/>
              <w:rPr>
                <w:sz w:val="20"/>
                <w:szCs w:val="20"/>
              </w:rPr>
            </w:pPr>
            <w:r w:rsidRPr="00001E52">
              <w:rPr>
                <w:sz w:val="20"/>
                <w:szCs w:val="20"/>
              </w:rPr>
              <w:t>-0.5</w:t>
            </w:r>
          </w:p>
        </w:tc>
        <w:tc>
          <w:tcPr>
            <w:tcW w:w="672" w:type="dxa"/>
            <w:tcBorders>
              <w:top w:val="nil"/>
              <w:left w:val="nil"/>
              <w:bottom w:val="single" w:sz="4" w:space="0" w:color="FFFFFF"/>
              <w:right w:val="nil"/>
            </w:tcBorders>
            <w:shd w:val="clear" w:color="000000" w:fill="D9D9D9"/>
            <w:vAlign w:val="center"/>
            <w:hideMark/>
          </w:tcPr>
          <w:p w14:paraId="4C2D353E" w14:textId="37DB35FC" w:rsidR="00001E52" w:rsidRPr="00001E52" w:rsidRDefault="00001E52" w:rsidP="00001E52">
            <w:pPr>
              <w:pStyle w:val="Tabletext"/>
              <w:jc w:val="center"/>
              <w:rPr>
                <w:sz w:val="20"/>
                <w:szCs w:val="20"/>
              </w:rPr>
            </w:pPr>
            <w:r w:rsidRPr="00001E52">
              <w:rPr>
                <w:sz w:val="20"/>
                <w:szCs w:val="20"/>
              </w:rPr>
              <w:t>-0.5</w:t>
            </w:r>
          </w:p>
        </w:tc>
        <w:tc>
          <w:tcPr>
            <w:tcW w:w="672" w:type="dxa"/>
            <w:tcBorders>
              <w:top w:val="nil"/>
              <w:left w:val="nil"/>
              <w:bottom w:val="single" w:sz="4" w:space="0" w:color="FFFFFF"/>
              <w:right w:val="nil"/>
            </w:tcBorders>
            <w:shd w:val="clear" w:color="000000" w:fill="D9D9D9"/>
            <w:vAlign w:val="center"/>
            <w:hideMark/>
          </w:tcPr>
          <w:p w14:paraId="7D60776B" w14:textId="3B1BB85F" w:rsidR="00001E52" w:rsidRPr="00001E52" w:rsidRDefault="00001E52" w:rsidP="00001E52">
            <w:pPr>
              <w:pStyle w:val="Tabletext"/>
              <w:jc w:val="center"/>
              <w:rPr>
                <w:sz w:val="20"/>
                <w:szCs w:val="20"/>
              </w:rPr>
            </w:pPr>
            <w:r w:rsidRPr="00001E52">
              <w:rPr>
                <w:sz w:val="20"/>
                <w:szCs w:val="20"/>
              </w:rPr>
              <w:t>-0.7</w:t>
            </w:r>
          </w:p>
        </w:tc>
        <w:tc>
          <w:tcPr>
            <w:tcW w:w="672" w:type="dxa"/>
            <w:tcBorders>
              <w:top w:val="nil"/>
              <w:left w:val="nil"/>
              <w:bottom w:val="single" w:sz="4" w:space="0" w:color="FFFFFF"/>
              <w:right w:val="nil"/>
            </w:tcBorders>
            <w:shd w:val="clear" w:color="000000" w:fill="D9D9D9"/>
            <w:vAlign w:val="center"/>
            <w:hideMark/>
          </w:tcPr>
          <w:p w14:paraId="78D23349" w14:textId="2046CA94" w:rsidR="00001E52" w:rsidRPr="00001E52" w:rsidRDefault="00001E52" w:rsidP="00001E52">
            <w:pPr>
              <w:pStyle w:val="Tabletext"/>
              <w:jc w:val="center"/>
              <w:rPr>
                <w:sz w:val="20"/>
                <w:szCs w:val="20"/>
              </w:rPr>
            </w:pPr>
            <w:r w:rsidRPr="00001E52">
              <w:rPr>
                <w:sz w:val="20"/>
                <w:szCs w:val="20"/>
              </w:rPr>
              <w:t>-0.9</w:t>
            </w:r>
          </w:p>
        </w:tc>
        <w:tc>
          <w:tcPr>
            <w:tcW w:w="672" w:type="dxa"/>
            <w:tcBorders>
              <w:top w:val="nil"/>
              <w:left w:val="nil"/>
              <w:bottom w:val="single" w:sz="4" w:space="0" w:color="FFFFFF"/>
              <w:right w:val="nil"/>
            </w:tcBorders>
            <w:shd w:val="clear" w:color="000000" w:fill="D9D9D9"/>
            <w:vAlign w:val="center"/>
            <w:hideMark/>
          </w:tcPr>
          <w:p w14:paraId="33067B9F" w14:textId="75B3299F" w:rsidR="00001E52" w:rsidRPr="00001E52" w:rsidRDefault="00001E52" w:rsidP="00001E52">
            <w:pPr>
              <w:pStyle w:val="Tabletext"/>
              <w:jc w:val="center"/>
              <w:rPr>
                <w:sz w:val="20"/>
                <w:szCs w:val="20"/>
              </w:rPr>
            </w:pPr>
            <w:r w:rsidRPr="00001E52">
              <w:rPr>
                <w:sz w:val="20"/>
                <w:szCs w:val="20"/>
              </w:rPr>
              <w:t>-1.1</w:t>
            </w:r>
          </w:p>
        </w:tc>
        <w:tc>
          <w:tcPr>
            <w:tcW w:w="672" w:type="dxa"/>
            <w:tcBorders>
              <w:top w:val="nil"/>
              <w:left w:val="nil"/>
              <w:bottom w:val="single" w:sz="4" w:space="0" w:color="FFFFFF"/>
              <w:right w:val="nil"/>
            </w:tcBorders>
            <w:shd w:val="clear" w:color="000000" w:fill="D9D9D9"/>
            <w:vAlign w:val="center"/>
            <w:hideMark/>
          </w:tcPr>
          <w:p w14:paraId="1AC13F3B" w14:textId="350E2AE4" w:rsidR="00001E52" w:rsidRPr="00001E52" w:rsidRDefault="00001E52" w:rsidP="00001E52">
            <w:pPr>
              <w:pStyle w:val="Tabletext"/>
              <w:jc w:val="center"/>
              <w:rPr>
                <w:sz w:val="20"/>
                <w:szCs w:val="20"/>
              </w:rPr>
            </w:pPr>
            <w:r w:rsidRPr="00001E52">
              <w:rPr>
                <w:sz w:val="20"/>
                <w:szCs w:val="20"/>
              </w:rPr>
              <w:t>-1.1</w:t>
            </w:r>
          </w:p>
        </w:tc>
        <w:tc>
          <w:tcPr>
            <w:tcW w:w="672" w:type="dxa"/>
            <w:tcBorders>
              <w:top w:val="nil"/>
              <w:left w:val="nil"/>
              <w:bottom w:val="single" w:sz="4" w:space="0" w:color="FFFFFF"/>
              <w:right w:val="nil"/>
            </w:tcBorders>
            <w:shd w:val="clear" w:color="000000" w:fill="D9D9D9"/>
            <w:vAlign w:val="center"/>
            <w:hideMark/>
          </w:tcPr>
          <w:p w14:paraId="02A38451" w14:textId="69165E3D" w:rsidR="00001E52" w:rsidRPr="00001E52" w:rsidRDefault="00001E52" w:rsidP="00001E52">
            <w:pPr>
              <w:pStyle w:val="Tabletext"/>
              <w:jc w:val="center"/>
              <w:rPr>
                <w:sz w:val="20"/>
                <w:szCs w:val="20"/>
              </w:rPr>
            </w:pPr>
            <w:r w:rsidRPr="00001E52">
              <w:rPr>
                <w:sz w:val="20"/>
                <w:szCs w:val="20"/>
              </w:rPr>
              <w:t>-1.2</w:t>
            </w:r>
          </w:p>
        </w:tc>
        <w:tc>
          <w:tcPr>
            <w:tcW w:w="672" w:type="dxa"/>
            <w:tcBorders>
              <w:top w:val="nil"/>
              <w:left w:val="nil"/>
              <w:bottom w:val="single" w:sz="4" w:space="0" w:color="FFFFFF"/>
              <w:right w:val="nil"/>
            </w:tcBorders>
            <w:shd w:val="clear" w:color="000000" w:fill="D9D9D9"/>
            <w:vAlign w:val="center"/>
            <w:hideMark/>
          </w:tcPr>
          <w:p w14:paraId="5617CEA6" w14:textId="61BEB71D" w:rsidR="00001E52" w:rsidRPr="00001E52" w:rsidRDefault="00001E52" w:rsidP="00001E52">
            <w:pPr>
              <w:pStyle w:val="Tabletext"/>
              <w:jc w:val="center"/>
              <w:rPr>
                <w:sz w:val="20"/>
                <w:szCs w:val="20"/>
              </w:rPr>
            </w:pPr>
            <w:r w:rsidRPr="00001E52">
              <w:rPr>
                <w:sz w:val="20"/>
                <w:szCs w:val="20"/>
              </w:rPr>
              <w:t>-1.3</w:t>
            </w:r>
          </w:p>
        </w:tc>
        <w:tc>
          <w:tcPr>
            <w:tcW w:w="672" w:type="dxa"/>
            <w:tcBorders>
              <w:top w:val="nil"/>
              <w:left w:val="nil"/>
              <w:bottom w:val="single" w:sz="4" w:space="0" w:color="FFFFFF"/>
              <w:right w:val="nil"/>
            </w:tcBorders>
            <w:shd w:val="clear" w:color="000000" w:fill="D9D9D9"/>
            <w:vAlign w:val="center"/>
            <w:hideMark/>
          </w:tcPr>
          <w:p w14:paraId="6A5F8B20" w14:textId="1470B899" w:rsidR="00001E52" w:rsidRPr="00001E52" w:rsidRDefault="00001E52" w:rsidP="00001E52">
            <w:pPr>
              <w:pStyle w:val="Tabletext"/>
              <w:jc w:val="center"/>
              <w:rPr>
                <w:sz w:val="20"/>
                <w:szCs w:val="20"/>
              </w:rPr>
            </w:pPr>
            <w:r w:rsidRPr="00001E52">
              <w:rPr>
                <w:sz w:val="20"/>
                <w:szCs w:val="20"/>
              </w:rPr>
              <w:t>-1.5</w:t>
            </w:r>
          </w:p>
        </w:tc>
        <w:tc>
          <w:tcPr>
            <w:tcW w:w="672" w:type="dxa"/>
            <w:tcBorders>
              <w:top w:val="nil"/>
              <w:left w:val="nil"/>
              <w:bottom w:val="single" w:sz="4" w:space="0" w:color="FFFFFF"/>
              <w:right w:val="nil"/>
            </w:tcBorders>
            <w:shd w:val="clear" w:color="000000" w:fill="D9D9D9"/>
            <w:vAlign w:val="center"/>
            <w:hideMark/>
          </w:tcPr>
          <w:p w14:paraId="6E692CC7" w14:textId="509D5F53" w:rsidR="00001E52" w:rsidRPr="00001E52" w:rsidRDefault="00001E52" w:rsidP="00001E52">
            <w:pPr>
              <w:pStyle w:val="Tabletext"/>
              <w:jc w:val="center"/>
              <w:rPr>
                <w:sz w:val="20"/>
                <w:szCs w:val="20"/>
              </w:rPr>
            </w:pPr>
            <w:r w:rsidRPr="00001E52">
              <w:rPr>
                <w:sz w:val="20"/>
                <w:szCs w:val="20"/>
              </w:rPr>
              <w:t>-1.7</w:t>
            </w:r>
          </w:p>
        </w:tc>
        <w:tc>
          <w:tcPr>
            <w:tcW w:w="672" w:type="dxa"/>
            <w:tcBorders>
              <w:top w:val="nil"/>
              <w:left w:val="nil"/>
              <w:bottom w:val="single" w:sz="4" w:space="0" w:color="FFFFFF"/>
              <w:right w:val="nil"/>
            </w:tcBorders>
            <w:shd w:val="clear" w:color="000000" w:fill="D9D9D9"/>
            <w:vAlign w:val="center"/>
            <w:hideMark/>
          </w:tcPr>
          <w:p w14:paraId="53E7CC8C" w14:textId="0E8C4DBA"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D9D9D9"/>
            <w:vAlign w:val="center"/>
            <w:hideMark/>
          </w:tcPr>
          <w:p w14:paraId="7E9EF33E" w14:textId="732973D2" w:rsidR="00001E52" w:rsidRPr="00001E52" w:rsidRDefault="00001E52" w:rsidP="00001E52">
            <w:pPr>
              <w:pStyle w:val="Tabletext"/>
              <w:jc w:val="center"/>
              <w:rPr>
                <w:sz w:val="20"/>
                <w:szCs w:val="20"/>
              </w:rPr>
            </w:pPr>
            <w:r w:rsidRPr="00001E52">
              <w:rPr>
                <w:sz w:val="20"/>
                <w:szCs w:val="20"/>
              </w:rPr>
              <w:t>-1.8</w:t>
            </w:r>
          </w:p>
        </w:tc>
        <w:tc>
          <w:tcPr>
            <w:tcW w:w="672" w:type="dxa"/>
            <w:tcBorders>
              <w:top w:val="nil"/>
              <w:left w:val="nil"/>
              <w:bottom w:val="single" w:sz="4" w:space="0" w:color="FFFFFF"/>
              <w:right w:val="nil"/>
            </w:tcBorders>
            <w:shd w:val="clear" w:color="000000" w:fill="D9D9D9"/>
            <w:vAlign w:val="center"/>
            <w:hideMark/>
          </w:tcPr>
          <w:p w14:paraId="32E6904E" w14:textId="659261A4"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D9D9D9"/>
            <w:vAlign w:val="center"/>
            <w:hideMark/>
          </w:tcPr>
          <w:p w14:paraId="523AC0B3" w14:textId="38C76184" w:rsidR="00001E52" w:rsidRPr="00001E52" w:rsidRDefault="00001E52" w:rsidP="00001E52">
            <w:pPr>
              <w:pStyle w:val="Tabletext"/>
              <w:jc w:val="center"/>
              <w:rPr>
                <w:sz w:val="20"/>
                <w:szCs w:val="20"/>
              </w:rPr>
            </w:pPr>
            <w:r w:rsidRPr="00001E52">
              <w:rPr>
                <w:sz w:val="20"/>
                <w:szCs w:val="20"/>
              </w:rPr>
              <w:t>-2.0</w:t>
            </w:r>
          </w:p>
        </w:tc>
      </w:tr>
      <w:tr w:rsidR="00001E52" w:rsidRPr="00FE0871" w14:paraId="1C1EC8D8" w14:textId="77777777" w:rsidTr="00001E52">
        <w:trPr>
          <w:trHeight w:val="170"/>
          <w:jc w:val="center"/>
        </w:trPr>
        <w:tc>
          <w:tcPr>
            <w:tcW w:w="459" w:type="dxa"/>
            <w:tcBorders>
              <w:top w:val="nil"/>
              <w:left w:val="nil"/>
              <w:bottom w:val="single" w:sz="4" w:space="0" w:color="FFFFFF"/>
              <w:right w:val="nil"/>
            </w:tcBorders>
            <w:shd w:val="clear" w:color="000000" w:fill="F2F2F2"/>
            <w:vAlign w:val="center"/>
            <w:hideMark/>
          </w:tcPr>
          <w:p w14:paraId="0C2B7062" w14:textId="77777777" w:rsidR="00001E52" w:rsidRPr="00FE0871" w:rsidRDefault="00001E52" w:rsidP="00001E52">
            <w:pPr>
              <w:pStyle w:val="Tabletext"/>
            </w:pPr>
            <w:r w:rsidRPr="00FE0871">
              <w:t>3</w:t>
            </w:r>
          </w:p>
        </w:tc>
        <w:tc>
          <w:tcPr>
            <w:tcW w:w="2235" w:type="dxa"/>
            <w:tcBorders>
              <w:top w:val="nil"/>
              <w:left w:val="nil"/>
              <w:bottom w:val="single" w:sz="4" w:space="0" w:color="FFFFFF"/>
              <w:right w:val="nil"/>
            </w:tcBorders>
            <w:shd w:val="clear" w:color="000000" w:fill="F2F2F2"/>
            <w:vAlign w:val="center"/>
            <w:hideMark/>
          </w:tcPr>
          <w:p w14:paraId="79832189" w14:textId="77777777" w:rsidR="00001E52" w:rsidRPr="00FE0871" w:rsidRDefault="00001E52" w:rsidP="00001E52">
            <w:pPr>
              <w:pStyle w:val="Tabletext"/>
            </w:pPr>
            <w:r w:rsidRPr="00FE0871">
              <w:t xml:space="preserve">Structural primary balance </w:t>
            </w:r>
          </w:p>
        </w:tc>
        <w:tc>
          <w:tcPr>
            <w:tcW w:w="992" w:type="dxa"/>
            <w:tcBorders>
              <w:top w:val="nil"/>
              <w:left w:val="nil"/>
              <w:bottom w:val="single" w:sz="4" w:space="0" w:color="FFFFFF"/>
              <w:right w:val="nil"/>
            </w:tcBorders>
            <w:shd w:val="clear" w:color="000000" w:fill="F2F2F2"/>
            <w:vAlign w:val="center"/>
            <w:hideMark/>
          </w:tcPr>
          <w:p w14:paraId="36AA7EFA" w14:textId="77777777" w:rsidR="00001E52" w:rsidRPr="00FE0871" w:rsidRDefault="00001E52" w:rsidP="00001E52">
            <w:pPr>
              <w:pStyle w:val="Tabletext"/>
              <w:rPr>
                <w:sz w:val="18"/>
                <w:szCs w:val="18"/>
              </w:rPr>
            </w:pPr>
            <w:r w:rsidRPr="00FE0871">
              <w:rPr>
                <w:sz w:val="18"/>
                <w:szCs w:val="18"/>
              </w:rPr>
              <w:t xml:space="preserve"> (% pot. GDP)</w:t>
            </w:r>
          </w:p>
        </w:tc>
        <w:tc>
          <w:tcPr>
            <w:tcW w:w="672" w:type="dxa"/>
            <w:tcBorders>
              <w:top w:val="nil"/>
              <w:left w:val="nil"/>
              <w:bottom w:val="single" w:sz="4" w:space="0" w:color="FFFFFF"/>
              <w:right w:val="nil"/>
            </w:tcBorders>
            <w:shd w:val="clear" w:color="000000" w:fill="F2F2F2"/>
            <w:vAlign w:val="center"/>
            <w:hideMark/>
          </w:tcPr>
          <w:p w14:paraId="45D6208D" w14:textId="716AA211"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42AB91FF" w14:textId="5FAEED82"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4B0CB622" w14:textId="5CF95A1C"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41B40FAB" w14:textId="38C40249"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33C9DA61" w14:textId="3C745920"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61CB8B1C" w14:textId="5281DF7F"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58A4A323" w14:textId="3E771D95"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3F135A1E" w14:textId="5064E4F2"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64751A05" w14:textId="7C19DEF5"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7B742BF2" w14:textId="070DDCD1"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32C6E5F7" w14:textId="6CEC252A"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137102BC" w14:textId="438D08C1"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71829D24" w14:textId="4B4DF1AF"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3AD36CC8" w14:textId="428A0E4A"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5C01147D" w14:textId="1A69F915" w:rsidR="00001E52" w:rsidRPr="00001E52" w:rsidRDefault="00001E52" w:rsidP="00001E52">
            <w:pPr>
              <w:pStyle w:val="Tabletext"/>
              <w:jc w:val="center"/>
              <w:rPr>
                <w:sz w:val="20"/>
                <w:szCs w:val="20"/>
              </w:rPr>
            </w:pPr>
            <w:r w:rsidRPr="00001E52">
              <w:rPr>
                <w:sz w:val="20"/>
                <w:szCs w:val="20"/>
              </w:rPr>
              <w:t>1.9</w:t>
            </w:r>
          </w:p>
        </w:tc>
        <w:tc>
          <w:tcPr>
            <w:tcW w:w="672" w:type="dxa"/>
            <w:tcBorders>
              <w:top w:val="nil"/>
              <w:left w:val="nil"/>
              <w:bottom w:val="single" w:sz="4" w:space="0" w:color="FFFFFF"/>
              <w:right w:val="nil"/>
            </w:tcBorders>
            <w:shd w:val="clear" w:color="000000" w:fill="F2F2F2"/>
            <w:vAlign w:val="center"/>
            <w:hideMark/>
          </w:tcPr>
          <w:p w14:paraId="307BE577" w14:textId="0F4DE2BA" w:rsidR="00001E52" w:rsidRPr="00001E52" w:rsidRDefault="00001E52" w:rsidP="00001E52">
            <w:pPr>
              <w:pStyle w:val="Tabletext"/>
              <w:jc w:val="center"/>
              <w:rPr>
                <w:sz w:val="20"/>
                <w:szCs w:val="20"/>
              </w:rPr>
            </w:pPr>
            <w:r w:rsidRPr="00001E52">
              <w:rPr>
                <w:sz w:val="20"/>
                <w:szCs w:val="20"/>
              </w:rPr>
              <w:t>1.9</w:t>
            </w:r>
          </w:p>
        </w:tc>
      </w:tr>
      <w:tr w:rsidR="00001E52" w:rsidRPr="00FE0871" w14:paraId="5078698F" w14:textId="77777777" w:rsidTr="00001E52">
        <w:trPr>
          <w:trHeight w:val="580"/>
          <w:jc w:val="center"/>
        </w:trPr>
        <w:tc>
          <w:tcPr>
            <w:tcW w:w="459" w:type="dxa"/>
            <w:tcBorders>
              <w:top w:val="nil"/>
              <w:left w:val="nil"/>
              <w:bottom w:val="single" w:sz="4" w:space="0" w:color="FFFFFF"/>
              <w:right w:val="nil"/>
            </w:tcBorders>
            <w:shd w:val="clear" w:color="000000" w:fill="D9D9D9"/>
            <w:vAlign w:val="center"/>
            <w:hideMark/>
          </w:tcPr>
          <w:p w14:paraId="640BCC4D" w14:textId="77777777" w:rsidR="00001E52" w:rsidRPr="00FE0871" w:rsidRDefault="00001E52" w:rsidP="00001E52">
            <w:pPr>
              <w:pStyle w:val="Tabletext"/>
            </w:pPr>
            <w:r w:rsidRPr="00FE0871">
              <w:t>4</w:t>
            </w:r>
          </w:p>
        </w:tc>
        <w:tc>
          <w:tcPr>
            <w:tcW w:w="2235" w:type="dxa"/>
            <w:tcBorders>
              <w:top w:val="nil"/>
              <w:left w:val="nil"/>
              <w:bottom w:val="single" w:sz="4" w:space="0" w:color="FFFFFF"/>
              <w:right w:val="nil"/>
            </w:tcBorders>
            <w:shd w:val="clear" w:color="000000" w:fill="D9D9D9"/>
            <w:vAlign w:val="center"/>
            <w:hideMark/>
          </w:tcPr>
          <w:p w14:paraId="33A98AE7" w14:textId="77777777" w:rsidR="00001E52" w:rsidRPr="00FE0871" w:rsidRDefault="00001E52" w:rsidP="00001E52">
            <w:pPr>
              <w:pStyle w:val="Tabletext"/>
            </w:pPr>
            <w:r w:rsidRPr="00FE0871">
              <w:t>Cyclical component</w:t>
            </w:r>
          </w:p>
        </w:tc>
        <w:tc>
          <w:tcPr>
            <w:tcW w:w="992" w:type="dxa"/>
            <w:tcBorders>
              <w:top w:val="nil"/>
              <w:left w:val="nil"/>
              <w:bottom w:val="single" w:sz="4" w:space="0" w:color="FFFFFF"/>
              <w:right w:val="nil"/>
            </w:tcBorders>
            <w:shd w:val="clear" w:color="000000" w:fill="D9D9D9"/>
            <w:vAlign w:val="center"/>
            <w:hideMark/>
          </w:tcPr>
          <w:p w14:paraId="0A428D19" w14:textId="77777777" w:rsidR="00001E52" w:rsidRPr="00FE0871" w:rsidRDefault="00001E52" w:rsidP="00001E52">
            <w:pPr>
              <w:pStyle w:val="Tabletext"/>
              <w:rPr>
                <w:sz w:val="18"/>
                <w:szCs w:val="18"/>
              </w:rPr>
            </w:pPr>
            <w:r w:rsidRPr="00FE0871">
              <w:rPr>
                <w:sz w:val="18"/>
                <w:szCs w:val="18"/>
              </w:rPr>
              <w:t xml:space="preserve"> (% pot. GDP)</w:t>
            </w:r>
          </w:p>
        </w:tc>
        <w:tc>
          <w:tcPr>
            <w:tcW w:w="672" w:type="dxa"/>
            <w:tcBorders>
              <w:top w:val="nil"/>
              <w:left w:val="nil"/>
              <w:bottom w:val="single" w:sz="4" w:space="0" w:color="FFFFFF"/>
              <w:right w:val="nil"/>
            </w:tcBorders>
            <w:shd w:val="clear" w:color="000000" w:fill="D9D9D9"/>
            <w:vAlign w:val="center"/>
            <w:hideMark/>
          </w:tcPr>
          <w:p w14:paraId="362BAF01" w14:textId="2372D671" w:rsidR="00001E52" w:rsidRPr="00001E52" w:rsidRDefault="00001E52" w:rsidP="00001E52">
            <w:pPr>
              <w:pStyle w:val="Tabletext"/>
              <w:jc w:val="center"/>
              <w:rPr>
                <w:sz w:val="20"/>
                <w:szCs w:val="20"/>
              </w:rPr>
            </w:pPr>
            <w:r w:rsidRPr="00001E52">
              <w:rPr>
                <w:sz w:val="20"/>
                <w:szCs w:val="20"/>
              </w:rPr>
              <w:t>-0.1</w:t>
            </w:r>
          </w:p>
        </w:tc>
        <w:tc>
          <w:tcPr>
            <w:tcW w:w="672" w:type="dxa"/>
            <w:tcBorders>
              <w:top w:val="nil"/>
              <w:left w:val="nil"/>
              <w:bottom w:val="single" w:sz="4" w:space="0" w:color="FFFFFF"/>
              <w:right w:val="nil"/>
            </w:tcBorders>
            <w:shd w:val="clear" w:color="000000" w:fill="D9D9D9"/>
            <w:vAlign w:val="center"/>
            <w:hideMark/>
          </w:tcPr>
          <w:p w14:paraId="44E598AC" w14:textId="275FEFEF" w:rsidR="00001E52" w:rsidRPr="00001E52" w:rsidRDefault="00001E52" w:rsidP="00001E52">
            <w:pPr>
              <w:pStyle w:val="Tabletext"/>
              <w:jc w:val="center"/>
              <w:rPr>
                <w:sz w:val="20"/>
                <w:szCs w:val="20"/>
              </w:rPr>
            </w:pPr>
            <w:r w:rsidRPr="00001E52">
              <w:rPr>
                <w:sz w:val="20"/>
                <w:szCs w:val="20"/>
              </w:rPr>
              <w:t>-0.7</w:t>
            </w:r>
          </w:p>
        </w:tc>
        <w:tc>
          <w:tcPr>
            <w:tcW w:w="672" w:type="dxa"/>
            <w:tcBorders>
              <w:top w:val="nil"/>
              <w:left w:val="nil"/>
              <w:bottom w:val="single" w:sz="4" w:space="0" w:color="FFFFFF"/>
              <w:right w:val="nil"/>
            </w:tcBorders>
            <w:shd w:val="clear" w:color="000000" w:fill="D9D9D9"/>
            <w:vAlign w:val="center"/>
            <w:hideMark/>
          </w:tcPr>
          <w:p w14:paraId="371EDA1F" w14:textId="40F5D58A" w:rsidR="00001E52" w:rsidRPr="00001E52" w:rsidRDefault="00001E52" w:rsidP="00001E52">
            <w:pPr>
              <w:pStyle w:val="Tabletext"/>
              <w:jc w:val="center"/>
              <w:rPr>
                <w:sz w:val="20"/>
                <w:szCs w:val="20"/>
              </w:rPr>
            </w:pPr>
            <w:r w:rsidRPr="00001E52">
              <w:rPr>
                <w:sz w:val="20"/>
                <w:szCs w:val="20"/>
              </w:rPr>
              <w:t>-0.5</w:t>
            </w:r>
          </w:p>
        </w:tc>
        <w:tc>
          <w:tcPr>
            <w:tcW w:w="672" w:type="dxa"/>
            <w:tcBorders>
              <w:top w:val="nil"/>
              <w:left w:val="nil"/>
              <w:bottom w:val="single" w:sz="4" w:space="0" w:color="FFFFFF"/>
              <w:right w:val="nil"/>
            </w:tcBorders>
            <w:shd w:val="clear" w:color="000000" w:fill="D9D9D9"/>
            <w:vAlign w:val="center"/>
            <w:hideMark/>
          </w:tcPr>
          <w:p w14:paraId="35A2B6B9" w14:textId="57BE4C03" w:rsidR="00001E52" w:rsidRPr="00001E52" w:rsidRDefault="00001E52" w:rsidP="00001E52">
            <w:pPr>
              <w:pStyle w:val="Tabletext"/>
              <w:jc w:val="center"/>
              <w:rPr>
                <w:sz w:val="20"/>
                <w:szCs w:val="20"/>
              </w:rPr>
            </w:pPr>
            <w:r w:rsidRPr="00001E52">
              <w:rPr>
                <w:sz w:val="20"/>
                <w:szCs w:val="20"/>
              </w:rPr>
              <w:t>-0.4</w:t>
            </w:r>
          </w:p>
        </w:tc>
        <w:tc>
          <w:tcPr>
            <w:tcW w:w="672" w:type="dxa"/>
            <w:tcBorders>
              <w:top w:val="nil"/>
              <w:left w:val="nil"/>
              <w:bottom w:val="single" w:sz="4" w:space="0" w:color="FFFFFF"/>
              <w:right w:val="nil"/>
            </w:tcBorders>
            <w:shd w:val="clear" w:color="000000" w:fill="D9D9D9"/>
            <w:vAlign w:val="center"/>
            <w:hideMark/>
          </w:tcPr>
          <w:p w14:paraId="3E489A6B" w14:textId="7F963B56"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D9D9D9"/>
            <w:vAlign w:val="center"/>
            <w:hideMark/>
          </w:tcPr>
          <w:p w14:paraId="0258D217" w14:textId="64E9061C"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24808051" w14:textId="39B490DF"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70C77399" w14:textId="635D8111"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2EAAB310" w14:textId="08AC715F"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65A437AA" w14:textId="6418C71F"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67F86034" w14:textId="64CA776F"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3E8F96DD" w14:textId="3E6A90BF"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259B6C4F" w14:textId="3BDE8CDC"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5696EC3D" w14:textId="09E18F8B"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76F1BC52" w14:textId="69F6D58D" w:rsidR="00001E52" w:rsidRPr="00001E52" w:rsidRDefault="00001E52" w:rsidP="00001E52">
            <w:pPr>
              <w:pStyle w:val="Tabletext"/>
              <w:jc w:val="center"/>
              <w:rPr>
                <w:sz w:val="20"/>
                <w:szCs w:val="20"/>
              </w:rPr>
            </w:pPr>
            <w:r w:rsidRPr="00001E52">
              <w:rPr>
                <w:sz w:val="20"/>
                <w:szCs w:val="20"/>
              </w:rPr>
              <w:t>0.0</w:t>
            </w:r>
          </w:p>
        </w:tc>
        <w:tc>
          <w:tcPr>
            <w:tcW w:w="672" w:type="dxa"/>
            <w:tcBorders>
              <w:top w:val="nil"/>
              <w:left w:val="nil"/>
              <w:bottom w:val="single" w:sz="4" w:space="0" w:color="FFFFFF"/>
              <w:right w:val="nil"/>
            </w:tcBorders>
            <w:shd w:val="clear" w:color="000000" w:fill="D9D9D9"/>
            <w:vAlign w:val="center"/>
            <w:hideMark/>
          </w:tcPr>
          <w:p w14:paraId="32D27FAA" w14:textId="5BB1B83B" w:rsidR="00001E52" w:rsidRPr="00001E52" w:rsidRDefault="00001E52" w:rsidP="00001E52">
            <w:pPr>
              <w:pStyle w:val="Tabletext"/>
              <w:jc w:val="center"/>
              <w:rPr>
                <w:sz w:val="20"/>
                <w:szCs w:val="20"/>
              </w:rPr>
            </w:pPr>
            <w:r w:rsidRPr="00001E52">
              <w:rPr>
                <w:sz w:val="20"/>
                <w:szCs w:val="20"/>
              </w:rPr>
              <w:t>0.0</w:t>
            </w:r>
          </w:p>
        </w:tc>
      </w:tr>
      <w:tr w:rsidR="00001E52" w:rsidRPr="00FE0871" w14:paraId="2878A726" w14:textId="77777777" w:rsidTr="00001E52">
        <w:trPr>
          <w:trHeight w:val="170"/>
          <w:jc w:val="center"/>
        </w:trPr>
        <w:tc>
          <w:tcPr>
            <w:tcW w:w="459" w:type="dxa"/>
            <w:tcBorders>
              <w:top w:val="nil"/>
              <w:left w:val="nil"/>
              <w:bottom w:val="single" w:sz="4" w:space="0" w:color="FFFFFF"/>
              <w:right w:val="nil"/>
            </w:tcBorders>
            <w:shd w:val="clear" w:color="000000" w:fill="F2F2F2"/>
            <w:vAlign w:val="center"/>
            <w:hideMark/>
          </w:tcPr>
          <w:p w14:paraId="367673C2" w14:textId="77777777" w:rsidR="00001E52" w:rsidRPr="00FE0871" w:rsidRDefault="00001E52" w:rsidP="00001E52">
            <w:pPr>
              <w:pStyle w:val="Tabletext"/>
            </w:pPr>
            <w:r w:rsidRPr="00FE0871">
              <w:t>5</w:t>
            </w:r>
          </w:p>
        </w:tc>
        <w:tc>
          <w:tcPr>
            <w:tcW w:w="2235" w:type="dxa"/>
            <w:tcBorders>
              <w:top w:val="nil"/>
              <w:left w:val="nil"/>
              <w:bottom w:val="single" w:sz="4" w:space="0" w:color="FFFFFF"/>
              <w:right w:val="nil"/>
            </w:tcBorders>
            <w:shd w:val="clear" w:color="000000" w:fill="F2F2F2"/>
            <w:vAlign w:val="center"/>
            <w:hideMark/>
          </w:tcPr>
          <w:p w14:paraId="7943A706" w14:textId="77777777" w:rsidR="00001E52" w:rsidRPr="00FE0871" w:rsidRDefault="00001E52" w:rsidP="00001E52">
            <w:pPr>
              <w:pStyle w:val="Tabletext"/>
            </w:pPr>
            <w:r w:rsidRPr="00FE0871">
              <w:t xml:space="preserve">Interest expenditure </w:t>
            </w:r>
          </w:p>
        </w:tc>
        <w:tc>
          <w:tcPr>
            <w:tcW w:w="992" w:type="dxa"/>
            <w:tcBorders>
              <w:top w:val="nil"/>
              <w:left w:val="nil"/>
              <w:bottom w:val="single" w:sz="4" w:space="0" w:color="FFFFFF"/>
              <w:right w:val="nil"/>
            </w:tcBorders>
            <w:shd w:val="clear" w:color="000000" w:fill="F2F2F2"/>
            <w:vAlign w:val="center"/>
            <w:hideMark/>
          </w:tcPr>
          <w:p w14:paraId="336B914F" w14:textId="77777777" w:rsidR="00001E52" w:rsidRPr="00FE0871" w:rsidRDefault="00001E52" w:rsidP="00001E52">
            <w:pPr>
              <w:pStyle w:val="Tabletext"/>
              <w:rPr>
                <w:sz w:val="18"/>
                <w:szCs w:val="18"/>
              </w:rPr>
            </w:pPr>
            <w:r w:rsidRPr="00FE0871">
              <w:rPr>
                <w:sz w:val="18"/>
                <w:szCs w:val="18"/>
              </w:rPr>
              <w:t>(% GDP)</w:t>
            </w:r>
          </w:p>
        </w:tc>
        <w:tc>
          <w:tcPr>
            <w:tcW w:w="672" w:type="dxa"/>
            <w:tcBorders>
              <w:top w:val="nil"/>
              <w:left w:val="nil"/>
              <w:bottom w:val="single" w:sz="4" w:space="0" w:color="FFFFFF"/>
              <w:right w:val="nil"/>
            </w:tcBorders>
            <w:shd w:val="clear" w:color="000000" w:fill="F2F2F2"/>
            <w:vAlign w:val="center"/>
            <w:hideMark/>
          </w:tcPr>
          <w:p w14:paraId="40B24E8E" w14:textId="2951C98E" w:rsidR="00001E52" w:rsidRPr="00001E52" w:rsidRDefault="00001E52" w:rsidP="00001E52">
            <w:pPr>
              <w:pStyle w:val="Tabletext"/>
              <w:jc w:val="center"/>
              <w:rPr>
                <w:sz w:val="20"/>
                <w:szCs w:val="20"/>
              </w:rPr>
            </w:pPr>
            <w:r w:rsidRPr="00001E52">
              <w:rPr>
                <w:sz w:val="20"/>
                <w:szCs w:val="20"/>
              </w:rPr>
              <w:t>3.5</w:t>
            </w:r>
          </w:p>
        </w:tc>
        <w:tc>
          <w:tcPr>
            <w:tcW w:w="672" w:type="dxa"/>
            <w:tcBorders>
              <w:top w:val="nil"/>
              <w:left w:val="nil"/>
              <w:bottom w:val="single" w:sz="4" w:space="0" w:color="FFFFFF"/>
              <w:right w:val="nil"/>
            </w:tcBorders>
            <w:shd w:val="clear" w:color="000000" w:fill="F2F2F2"/>
            <w:vAlign w:val="center"/>
            <w:hideMark/>
          </w:tcPr>
          <w:p w14:paraId="137C62AC" w14:textId="4EFCACAD" w:rsidR="00001E52" w:rsidRPr="00001E52" w:rsidRDefault="00001E52" w:rsidP="00001E52">
            <w:pPr>
              <w:pStyle w:val="Tabletext"/>
              <w:jc w:val="center"/>
              <w:rPr>
                <w:sz w:val="20"/>
                <w:szCs w:val="20"/>
              </w:rPr>
            </w:pPr>
            <w:r w:rsidRPr="00001E52">
              <w:rPr>
                <w:sz w:val="20"/>
                <w:szCs w:val="20"/>
              </w:rPr>
              <w:t>3.4</w:t>
            </w:r>
          </w:p>
        </w:tc>
        <w:tc>
          <w:tcPr>
            <w:tcW w:w="672" w:type="dxa"/>
            <w:tcBorders>
              <w:top w:val="nil"/>
              <w:left w:val="nil"/>
              <w:bottom w:val="single" w:sz="4" w:space="0" w:color="FFFFFF"/>
              <w:right w:val="nil"/>
            </w:tcBorders>
            <w:shd w:val="clear" w:color="000000" w:fill="F2F2F2"/>
            <w:vAlign w:val="center"/>
            <w:hideMark/>
          </w:tcPr>
          <w:p w14:paraId="25E22618" w14:textId="1F7B6F08" w:rsidR="00001E52" w:rsidRPr="00001E52" w:rsidRDefault="00001E52" w:rsidP="00001E52">
            <w:pPr>
              <w:pStyle w:val="Tabletext"/>
              <w:jc w:val="center"/>
              <w:rPr>
                <w:sz w:val="20"/>
                <w:szCs w:val="20"/>
              </w:rPr>
            </w:pPr>
            <w:r w:rsidRPr="00001E52">
              <w:rPr>
                <w:sz w:val="20"/>
                <w:szCs w:val="20"/>
              </w:rPr>
              <w:t>3.2</w:t>
            </w:r>
          </w:p>
        </w:tc>
        <w:tc>
          <w:tcPr>
            <w:tcW w:w="672" w:type="dxa"/>
            <w:tcBorders>
              <w:top w:val="nil"/>
              <w:left w:val="nil"/>
              <w:bottom w:val="single" w:sz="4" w:space="0" w:color="FFFFFF"/>
              <w:right w:val="nil"/>
            </w:tcBorders>
            <w:shd w:val="clear" w:color="000000" w:fill="F2F2F2"/>
            <w:vAlign w:val="center"/>
            <w:hideMark/>
          </w:tcPr>
          <w:p w14:paraId="6FDC36BD" w14:textId="2A9645DA" w:rsidR="00001E52" w:rsidRPr="00001E52" w:rsidRDefault="00001E52" w:rsidP="00001E52">
            <w:pPr>
              <w:pStyle w:val="Tabletext"/>
              <w:jc w:val="center"/>
              <w:rPr>
                <w:sz w:val="20"/>
                <w:szCs w:val="20"/>
              </w:rPr>
            </w:pPr>
            <w:r w:rsidRPr="00001E52">
              <w:rPr>
                <w:sz w:val="20"/>
                <w:szCs w:val="20"/>
              </w:rPr>
              <w:t>3.2</w:t>
            </w:r>
          </w:p>
        </w:tc>
        <w:tc>
          <w:tcPr>
            <w:tcW w:w="672" w:type="dxa"/>
            <w:tcBorders>
              <w:top w:val="nil"/>
              <w:left w:val="nil"/>
              <w:bottom w:val="single" w:sz="4" w:space="0" w:color="FFFFFF"/>
              <w:right w:val="nil"/>
            </w:tcBorders>
            <w:shd w:val="clear" w:color="000000" w:fill="F2F2F2"/>
            <w:vAlign w:val="center"/>
            <w:hideMark/>
          </w:tcPr>
          <w:p w14:paraId="6E2CF08F" w14:textId="147FB445" w:rsidR="00001E52" w:rsidRPr="00001E52" w:rsidRDefault="00001E52" w:rsidP="00001E52">
            <w:pPr>
              <w:pStyle w:val="Tabletext"/>
              <w:jc w:val="center"/>
              <w:rPr>
                <w:sz w:val="20"/>
                <w:szCs w:val="20"/>
              </w:rPr>
            </w:pPr>
            <w:r w:rsidRPr="00001E52">
              <w:rPr>
                <w:sz w:val="20"/>
                <w:szCs w:val="20"/>
              </w:rPr>
              <w:t>3.5</w:t>
            </w:r>
          </w:p>
        </w:tc>
        <w:tc>
          <w:tcPr>
            <w:tcW w:w="672" w:type="dxa"/>
            <w:tcBorders>
              <w:top w:val="nil"/>
              <w:left w:val="nil"/>
              <w:bottom w:val="single" w:sz="4" w:space="0" w:color="FFFFFF"/>
              <w:right w:val="nil"/>
            </w:tcBorders>
            <w:shd w:val="clear" w:color="000000" w:fill="F2F2F2"/>
            <w:vAlign w:val="center"/>
            <w:hideMark/>
          </w:tcPr>
          <w:p w14:paraId="4D15A08C" w14:textId="09FF3DDA" w:rsidR="00001E52" w:rsidRPr="00001E52" w:rsidRDefault="00001E52" w:rsidP="00001E52">
            <w:pPr>
              <w:pStyle w:val="Tabletext"/>
              <w:jc w:val="center"/>
              <w:rPr>
                <w:sz w:val="20"/>
                <w:szCs w:val="20"/>
              </w:rPr>
            </w:pPr>
            <w:r w:rsidRPr="00001E52">
              <w:rPr>
                <w:sz w:val="20"/>
                <w:szCs w:val="20"/>
              </w:rPr>
              <w:t>3.6</w:t>
            </w:r>
          </w:p>
        </w:tc>
        <w:tc>
          <w:tcPr>
            <w:tcW w:w="672" w:type="dxa"/>
            <w:tcBorders>
              <w:top w:val="nil"/>
              <w:left w:val="nil"/>
              <w:bottom w:val="single" w:sz="4" w:space="0" w:color="FFFFFF"/>
              <w:right w:val="nil"/>
            </w:tcBorders>
            <w:shd w:val="clear" w:color="000000" w:fill="F2F2F2"/>
            <w:vAlign w:val="center"/>
            <w:hideMark/>
          </w:tcPr>
          <w:p w14:paraId="51BD0BC7" w14:textId="053C00AD" w:rsidR="00001E52" w:rsidRPr="00001E52" w:rsidRDefault="00001E52" w:rsidP="00001E52">
            <w:pPr>
              <w:pStyle w:val="Tabletext"/>
              <w:jc w:val="center"/>
              <w:rPr>
                <w:sz w:val="20"/>
                <w:szCs w:val="20"/>
              </w:rPr>
            </w:pPr>
            <w:r w:rsidRPr="00001E52">
              <w:rPr>
                <w:sz w:val="20"/>
                <w:szCs w:val="20"/>
              </w:rPr>
              <w:t>3.8</w:t>
            </w:r>
          </w:p>
        </w:tc>
        <w:tc>
          <w:tcPr>
            <w:tcW w:w="672" w:type="dxa"/>
            <w:tcBorders>
              <w:top w:val="nil"/>
              <w:left w:val="nil"/>
              <w:bottom w:val="single" w:sz="4" w:space="0" w:color="FFFFFF"/>
              <w:right w:val="nil"/>
            </w:tcBorders>
            <w:shd w:val="clear" w:color="000000" w:fill="F2F2F2"/>
            <w:vAlign w:val="center"/>
            <w:hideMark/>
          </w:tcPr>
          <w:p w14:paraId="5C79A0DE" w14:textId="1D188517" w:rsidR="00001E52" w:rsidRPr="00001E52" w:rsidRDefault="00001E52" w:rsidP="00001E52">
            <w:pPr>
              <w:pStyle w:val="Tabletext"/>
              <w:jc w:val="center"/>
              <w:rPr>
                <w:sz w:val="20"/>
                <w:szCs w:val="20"/>
              </w:rPr>
            </w:pPr>
            <w:r w:rsidRPr="00001E52">
              <w:rPr>
                <w:sz w:val="20"/>
                <w:szCs w:val="20"/>
              </w:rPr>
              <w:t>3.7</w:t>
            </w:r>
          </w:p>
        </w:tc>
        <w:tc>
          <w:tcPr>
            <w:tcW w:w="672" w:type="dxa"/>
            <w:tcBorders>
              <w:top w:val="nil"/>
              <w:left w:val="nil"/>
              <w:bottom w:val="single" w:sz="4" w:space="0" w:color="FFFFFF"/>
              <w:right w:val="nil"/>
            </w:tcBorders>
            <w:shd w:val="clear" w:color="000000" w:fill="F2F2F2"/>
            <w:vAlign w:val="center"/>
            <w:hideMark/>
          </w:tcPr>
          <w:p w14:paraId="411D3ABE" w14:textId="02728122" w:rsidR="00001E52" w:rsidRPr="00001E52" w:rsidRDefault="00001E52" w:rsidP="00001E52">
            <w:pPr>
              <w:pStyle w:val="Tabletext"/>
              <w:jc w:val="center"/>
              <w:rPr>
                <w:sz w:val="20"/>
                <w:szCs w:val="20"/>
              </w:rPr>
            </w:pPr>
            <w:r w:rsidRPr="00001E52">
              <w:rPr>
                <w:sz w:val="20"/>
                <w:szCs w:val="20"/>
              </w:rPr>
              <w:t>3.7</w:t>
            </w:r>
          </w:p>
        </w:tc>
        <w:tc>
          <w:tcPr>
            <w:tcW w:w="672" w:type="dxa"/>
            <w:tcBorders>
              <w:top w:val="nil"/>
              <w:left w:val="nil"/>
              <w:bottom w:val="single" w:sz="4" w:space="0" w:color="FFFFFF"/>
              <w:right w:val="nil"/>
            </w:tcBorders>
            <w:shd w:val="clear" w:color="000000" w:fill="F2F2F2"/>
            <w:vAlign w:val="center"/>
            <w:hideMark/>
          </w:tcPr>
          <w:p w14:paraId="1963598D" w14:textId="49203C3B" w:rsidR="00001E52" w:rsidRPr="00001E52" w:rsidRDefault="00001E52" w:rsidP="00001E52">
            <w:pPr>
              <w:pStyle w:val="Tabletext"/>
              <w:jc w:val="center"/>
              <w:rPr>
                <w:sz w:val="20"/>
                <w:szCs w:val="20"/>
              </w:rPr>
            </w:pPr>
            <w:r w:rsidRPr="00001E52">
              <w:rPr>
                <w:sz w:val="20"/>
                <w:szCs w:val="20"/>
              </w:rPr>
              <w:t>3.7</w:t>
            </w:r>
          </w:p>
        </w:tc>
        <w:tc>
          <w:tcPr>
            <w:tcW w:w="672" w:type="dxa"/>
            <w:tcBorders>
              <w:top w:val="nil"/>
              <w:left w:val="nil"/>
              <w:bottom w:val="single" w:sz="4" w:space="0" w:color="FFFFFF"/>
              <w:right w:val="nil"/>
            </w:tcBorders>
            <w:shd w:val="clear" w:color="000000" w:fill="F2F2F2"/>
            <w:vAlign w:val="center"/>
            <w:hideMark/>
          </w:tcPr>
          <w:p w14:paraId="136F377D" w14:textId="27FE93E4" w:rsidR="00001E52" w:rsidRPr="00001E52" w:rsidRDefault="00001E52" w:rsidP="00001E52">
            <w:pPr>
              <w:pStyle w:val="Tabletext"/>
              <w:jc w:val="center"/>
              <w:rPr>
                <w:sz w:val="20"/>
                <w:szCs w:val="20"/>
              </w:rPr>
            </w:pPr>
            <w:r w:rsidRPr="00001E52">
              <w:rPr>
                <w:sz w:val="20"/>
                <w:szCs w:val="20"/>
              </w:rPr>
              <w:t>3.7</w:t>
            </w:r>
          </w:p>
        </w:tc>
        <w:tc>
          <w:tcPr>
            <w:tcW w:w="672" w:type="dxa"/>
            <w:tcBorders>
              <w:top w:val="nil"/>
              <w:left w:val="nil"/>
              <w:bottom w:val="single" w:sz="4" w:space="0" w:color="FFFFFF"/>
              <w:right w:val="nil"/>
            </w:tcBorders>
            <w:shd w:val="clear" w:color="000000" w:fill="F2F2F2"/>
            <w:vAlign w:val="center"/>
            <w:hideMark/>
          </w:tcPr>
          <w:p w14:paraId="2CB071E8" w14:textId="7BBCD67B" w:rsidR="00001E52" w:rsidRPr="00001E52" w:rsidRDefault="00001E52" w:rsidP="00001E52">
            <w:pPr>
              <w:pStyle w:val="Tabletext"/>
              <w:jc w:val="center"/>
              <w:rPr>
                <w:sz w:val="20"/>
                <w:szCs w:val="20"/>
              </w:rPr>
            </w:pPr>
            <w:r w:rsidRPr="00001E52">
              <w:rPr>
                <w:sz w:val="20"/>
                <w:szCs w:val="20"/>
              </w:rPr>
              <w:t>3.8</w:t>
            </w:r>
          </w:p>
        </w:tc>
        <w:tc>
          <w:tcPr>
            <w:tcW w:w="672" w:type="dxa"/>
            <w:tcBorders>
              <w:top w:val="nil"/>
              <w:left w:val="nil"/>
              <w:bottom w:val="single" w:sz="4" w:space="0" w:color="FFFFFF"/>
              <w:right w:val="nil"/>
            </w:tcBorders>
            <w:shd w:val="clear" w:color="000000" w:fill="F2F2F2"/>
            <w:vAlign w:val="center"/>
            <w:hideMark/>
          </w:tcPr>
          <w:p w14:paraId="080E8D4D" w14:textId="5991E4D5" w:rsidR="00001E52" w:rsidRPr="00001E52" w:rsidRDefault="00001E52" w:rsidP="00001E52">
            <w:pPr>
              <w:pStyle w:val="Tabletext"/>
              <w:jc w:val="center"/>
              <w:rPr>
                <w:sz w:val="20"/>
                <w:szCs w:val="20"/>
              </w:rPr>
            </w:pPr>
            <w:r w:rsidRPr="00001E52">
              <w:rPr>
                <w:sz w:val="20"/>
                <w:szCs w:val="20"/>
              </w:rPr>
              <w:t>3.8</w:t>
            </w:r>
          </w:p>
        </w:tc>
        <w:tc>
          <w:tcPr>
            <w:tcW w:w="672" w:type="dxa"/>
            <w:tcBorders>
              <w:top w:val="nil"/>
              <w:left w:val="nil"/>
              <w:bottom w:val="single" w:sz="4" w:space="0" w:color="FFFFFF"/>
              <w:right w:val="nil"/>
            </w:tcBorders>
            <w:shd w:val="clear" w:color="000000" w:fill="F2F2F2"/>
            <w:vAlign w:val="center"/>
            <w:hideMark/>
          </w:tcPr>
          <w:p w14:paraId="314F8968" w14:textId="4822C0BA" w:rsidR="00001E52" w:rsidRPr="00001E52" w:rsidRDefault="00001E52" w:rsidP="00001E52">
            <w:pPr>
              <w:pStyle w:val="Tabletext"/>
              <w:jc w:val="center"/>
              <w:rPr>
                <w:sz w:val="20"/>
                <w:szCs w:val="20"/>
              </w:rPr>
            </w:pPr>
            <w:r w:rsidRPr="00001E52">
              <w:rPr>
                <w:sz w:val="20"/>
                <w:szCs w:val="20"/>
              </w:rPr>
              <w:t>3.8</w:t>
            </w:r>
          </w:p>
        </w:tc>
        <w:tc>
          <w:tcPr>
            <w:tcW w:w="672" w:type="dxa"/>
            <w:tcBorders>
              <w:top w:val="nil"/>
              <w:left w:val="nil"/>
              <w:bottom w:val="single" w:sz="4" w:space="0" w:color="FFFFFF"/>
              <w:right w:val="nil"/>
            </w:tcBorders>
            <w:shd w:val="clear" w:color="000000" w:fill="F2F2F2"/>
            <w:vAlign w:val="center"/>
            <w:hideMark/>
          </w:tcPr>
          <w:p w14:paraId="53572ABB" w14:textId="0E9A6C00" w:rsidR="00001E52" w:rsidRPr="00001E52" w:rsidRDefault="00001E52" w:rsidP="00001E52">
            <w:pPr>
              <w:pStyle w:val="Tabletext"/>
              <w:jc w:val="center"/>
              <w:rPr>
                <w:sz w:val="20"/>
                <w:szCs w:val="20"/>
              </w:rPr>
            </w:pPr>
            <w:r w:rsidRPr="00001E52">
              <w:rPr>
                <w:sz w:val="20"/>
                <w:szCs w:val="20"/>
              </w:rPr>
              <w:t>3.8</w:t>
            </w:r>
          </w:p>
        </w:tc>
        <w:tc>
          <w:tcPr>
            <w:tcW w:w="672" w:type="dxa"/>
            <w:tcBorders>
              <w:top w:val="nil"/>
              <w:left w:val="nil"/>
              <w:bottom w:val="single" w:sz="4" w:space="0" w:color="FFFFFF"/>
              <w:right w:val="nil"/>
            </w:tcBorders>
            <w:shd w:val="clear" w:color="000000" w:fill="F2F2F2"/>
            <w:vAlign w:val="center"/>
            <w:hideMark/>
          </w:tcPr>
          <w:p w14:paraId="520F1A81" w14:textId="61D54420" w:rsidR="00001E52" w:rsidRPr="00001E52" w:rsidRDefault="00001E52" w:rsidP="00001E52">
            <w:pPr>
              <w:pStyle w:val="Tabletext"/>
              <w:jc w:val="center"/>
              <w:rPr>
                <w:sz w:val="20"/>
                <w:szCs w:val="20"/>
              </w:rPr>
            </w:pPr>
            <w:r w:rsidRPr="00001E52">
              <w:rPr>
                <w:sz w:val="20"/>
                <w:szCs w:val="20"/>
              </w:rPr>
              <w:t>3.8</w:t>
            </w:r>
          </w:p>
        </w:tc>
      </w:tr>
      <w:tr w:rsidR="00001E52" w:rsidRPr="00FE0871" w14:paraId="7C98D6AA" w14:textId="77777777" w:rsidTr="00001E52">
        <w:trPr>
          <w:trHeight w:val="170"/>
          <w:jc w:val="center"/>
        </w:trPr>
        <w:tc>
          <w:tcPr>
            <w:tcW w:w="459" w:type="dxa"/>
            <w:tcBorders>
              <w:top w:val="nil"/>
              <w:left w:val="nil"/>
              <w:bottom w:val="single" w:sz="4" w:space="0" w:color="FFFFFF"/>
              <w:right w:val="nil"/>
            </w:tcBorders>
            <w:shd w:val="clear" w:color="000000" w:fill="D9D9D9"/>
            <w:vAlign w:val="center"/>
            <w:hideMark/>
          </w:tcPr>
          <w:p w14:paraId="37B11FF1" w14:textId="77777777" w:rsidR="00001E52" w:rsidRPr="00FE0871" w:rsidRDefault="00001E52" w:rsidP="00001E52">
            <w:pPr>
              <w:pStyle w:val="Tabletext"/>
            </w:pPr>
            <w:r w:rsidRPr="00FE0871">
              <w:t>6</w:t>
            </w:r>
          </w:p>
        </w:tc>
        <w:tc>
          <w:tcPr>
            <w:tcW w:w="2235" w:type="dxa"/>
            <w:tcBorders>
              <w:top w:val="nil"/>
              <w:left w:val="nil"/>
              <w:bottom w:val="single" w:sz="4" w:space="0" w:color="FFFFFF"/>
              <w:right w:val="nil"/>
            </w:tcBorders>
            <w:shd w:val="clear" w:color="000000" w:fill="D9D9D9"/>
            <w:vAlign w:val="center"/>
            <w:hideMark/>
          </w:tcPr>
          <w:p w14:paraId="212330CD" w14:textId="77777777" w:rsidR="00001E52" w:rsidRPr="00FE0871" w:rsidRDefault="00001E52" w:rsidP="00001E52">
            <w:pPr>
              <w:pStyle w:val="Tabletext"/>
            </w:pPr>
            <w:r w:rsidRPr="00FE0871">
              <w:t xml:space="preserve">Long-term interest rate  </w:t>
            </w:r>
          </w:p>
        </w:tc>
        <w:tc>
          <w:tcPr>
            <w:tcW w:w="992" w:type="dxa"/>
            <w:tcBorders>
              <w:top w:val="nil"/>
              <w:left w:val="nil"/>
              <w:bottom w:val="single" w:sz="4" w:space="0" w:color="FFFFFF"/>
              <w:right w:val="nil"/>
            </w:tcBorders>
            <w:shd w:val="clear" w:color="000000" w:fill="D9D9D9"/>
            <w:vAlign w:val="center"/>
            <w:hideMark/>
          </w:tcPr>
          <w:p w14:paraId="5E13F08D" w14:textId="77777777" w:rsidR="00001E52" w:rsidRPr="00FE0871" w:rsidRDefault="00001E52" w:rsidP="00001E52">
            <w:pPr>
              <w:pStyle w:val="Tabletext"/>
              <w:rPr>
                <w:sz w:val="18"/>
                <w:szCs w:val="18"/>
              </w:rPr>
            </w:pPr>
            <w:r w:rsidRPr="00FE0871">
              <w:rPr>
                <w:sz w:val="18"/>
                <w:szCs w:val="18"/>
              </w:rPr>
              <w:t>(%)</w:t>
            </w:r>
          </w:p>
        </w:tc>
        <w:tc>
          <w:tcPr>
            <w:tcW w:w="672" w:type="dxa"/>
            <w:tcBorders>
              <w:top w:val="nil"/>
              <w:left w:val="nil"/>
              <w:bottom w:val="single" w:sz="4" w:space="0" w:color="FFFFFF"/>
              <w:right w:val="nil"/>
            </w:tcBorders>
            <w:shd w:val="clear" w:color="000000" w:fill="D9D9D9"/>
            <w:vAlign w:val="center"/>
            <w:hideMark/>
          </w:tcPr>
          <w:p w14:paraId="3E004763" w14:textId="0EEB390F" w:rsidR="00001E52" w:rsidRPr="00001E52" w:rsidRDefault="00001E52" w:rsidP="00001E52">
            <w:pPr>
              <w:pStyle w:val="Tabletext"/>
              <w:jc w:val="center"/>
              <w:rPr>
                <w:sz w:val="20"/>
                <w:szCs w:val="20"/>
              </w:rPr>
            </w:pPr>
            <w:r w:rsidRPr="00001E52">
              <w:rPr>
                <w:sz w:val="20"/>
                <w:szCs w:val="20"/>
              </w:rPr>
              <w:t>4.0</w:t>
            </w:r>
          </w:p>
        </w:tc>
        <w:tc>
          <w:tcPr>
            <w:tcW w:w="672" w:type="dxa"/>
            <w:tcBorders>
              <w:top w:val="nil"/>
              <w:left w:val="nil"/>
              <w:bottom w:val="single" w:sz="4" w:space="0" w:color="FFFFFF"/>
              <w:right w:val="nil"/>
            </w:tcBorders>
            <w:shd w:val="clear" w:color="000000" w:fill="D9D9D9"/>
            <w:vAlign w:val="center"/>
            <w:hideMark/>
          </w:tcPr>
          <w:p w14:paraId="2BBF659A" w14:textId="11E6D763" w:rsidR="00001E52" w:rsidRPr="00001E52" w:rsidRDefault="00001E52" w:rsidP="00001E52">
            <w:pPr>
              <w:pStyle w:val="Tabletext"/>
              <w:jc w:val="center"/>
              <w:rPr>
                <w:sz w:val="20"/>
                <w:szCs w:val="20"/>
              </w:rPr>
            </w:pPr>
            <w:r w:rsidRPr="00001E52">
              <w:rPr>
                <w:sz w:val="20"/>
                <w:szCs w:val="20"/>
              </w:rPr>
              <w:t>3.5</w:t>
            </w:r>
          </w:p>
        </w:tc>
        <w:tc>
          <w:tcPr>
            <w:tcW w:w="672" w:type="dxa"/>
            <w:tcBorders>
              <w:top w:val="nil"/>
              <w:left w:val="nil"/>
              <w:bottom w:val="single" w:sz="4" w:space="0" w:color="FFFFFF"/>
              <w:right w:val="nil"/>
            </w:tcBorders>
            <w:shd w:val="clear" w:color="000000" w:fill="D9D9D9"/>
            <w:vAlign w:val="center"/>
            <w:hideMark/>
          </w:tcPr>
          <w:p w14:paraId="68A9871B" w14:textId="71FAABDA" w:rsidR="00001E52" w:rsidRPr="00001E52" w:rsidRDefault="00001E52" w:rsidP="00001E52">
            <w:pPr>
              <w:pStyle w:val="Tabletext"/>
              <w:jc w:val="center"/>
              <w:rPr>
                <w:sz w:val="20"/>
                <w:szCs w:val="20"/>
              </w:rPr>
            </w:pPr>
            <w:r w:rsidRPr="00001E52">
              <w:rPr>
                <w:sz w:val="20"/>
                <w:szCs w:val="20"/>
              </w:rPr>
              <w:t>3.7</w:t>
            </w:r>
          </w:p>
        </w:tc>
        <w:tc>
          <w:tcPr>
            <w:tcW w:w="672" w:type="dxa"/>
            <w:tcBorders>
              <w:top w:val="nil"/>
              <w:left w:val="nil"/>
              <w:bottom w:val="single" w:sz="4" w:space="0" w:color="FFFFFF"/>
              <w:right w:val="nil"/>
            </w:tcBorders>
            <w:shd w:val="clear" w:color="000000" w:fill="D9D9D9"/>
            <w:vAlign w:val="center"/>
            <w:hideMark/>
          </w:tcPr>
          <w:p w14:paraId="4AB0FF8F" w14:textId="6563B9F4" w:rsidR="00001E52" w:rsidRPr="00001E52" w:rsidRDefault="00001E52" w:rsidP="00001E52">
            <w:pPr>
              <w:pStyle w:val="Tabletext"/>
              <w:jc w:val="center"/>
              <w:rPr>
                <w:sz w:val="20"/>
                <w:szCs w:val="20"/>
              </w:rPr>
            </w:pPr>
            <w:r w:rsidRPr="00001E52">
              <w:rPr>
                <w:sz w:val="20"/>
                <w:szCs w:val="20"/>
              </w:rPr>
              <w:t>3.8</w:t>
            </w:r>
          </w:p>
        </w:tc>
        <w:tc>
          <w:tcPr>
            <w:tcW w:w="672" w:type="dxa"/>
            <w:tcBorders>
              <w:top w:val="nil"/>
              <w:left w:val="nil"/>
              <w:bottom w:val="single" w:sz="4" w:space="0" w:color="FFFFFF"/>
              <w:right w:val="nil"/>
            </w:tcBorders>
            <w:shd w:val="clear" w:color="000000" w:fill="D9D9D9"/>
            <w:vAlign w:val="center"/>
            <w:hideMark/>
          </w:tcPr>
          <w:p w14:paraId="0348E83F" w14:textId="18532DF2" w:rsidR="00001E52" w:rsidRPr="00001E52" w:rsidRDefault="00001E52" w:rsidP="00001E52">
            <w:pPr>
              <w:pStyle w:val="Tabletext"/>
              <w:jc w:val="center"/>
              <w:rPr>
                <w:sz w:val="20"/>
                <w:szCs w:val="20"/>
              </w:rPr>
            </w:pPr>
            <w:r w:rsidRPr="00001E52">
              <w:rPr>
                <w:sz w:val="20"/>
                <w:szCs w:val="20"/>
              </w:rPr>
              <w:t>3.9</w:t>
            </w:r>
          </w:p>
        </w:tc>
        <w:tc>
          <w:tcPr>
            <w:tcW w:w="672" w:type="dxa"/>
            <w:tcBorders>
              <w:top w:val="nil"/>
              <w:left w:val="nil"/>
              <w:bottom w:val="single" w:sz="4" w:space="0" w:color="FFFFFF"/>
              <w:right w:val="nil"/>
            </w:tcBorders>
            <w:shd w:val="clear" w:color="000000" w:fill="D9D9D9"/>
            <w:vAlign w:val="center"/>
            <w:hideMark/>
          </w:tcPr>
          <w:p w14:paraId="1F025D74" w14:textId="58ABD4BE" w:rsidR="00001E52" w:rsidRPr="00001E52" w:rsidRDefault="00001E52" w:rsidP="00001E52">
            <w:pPr>
              <w:pStyle w:val="Tabletext"/>
              <w:jc w:val="center"/>
              <w:rPr>
                <w:sz w:val="20"/>
                <w:szCs w:val="20"/>
              </w:rPr>
            </w:pPr>
            <w:r w:rsidRPr="00001E52">
              <w:rPr>
                <w:sz w:val="20"/>
                <w:szCs w:val="20"/>
              </w:rPr>
              <w:t>4.0</w:t>
            </w:r>
          </w:p>
        </w:tc>
        <w:tc>
          <w:tcPr>
            <w:tcW w:w="672" w:type="dxa"/>
            <w:tcBorders>
              <w:top w:val="nil"/>
              <w:left w:val="nil"/>
              <w:bottom w:val="single" w:sz="4" w:space="0" w:color="FFFFFF"/>
              <w:right w:val="nil"/>
            </w:tcBorders>
            <w:shd w:val="clear" w:color="000000" w:fill="D9D9D9"/>
            <w:vAlign w:val="center"/>
            <w:hideMark/>
          </w:tcPr>
          <w:p w14:paraId="38C7F732" w14:textId="45EEDE3C" w:rsidR="00001E52" w:rsidRPr="00001E52" w:rsidRDefault="00001E52" w:rsidP="00001E52">
            <w:pPr>
              <w:pStyle w:val="Tabletext"/>
              <w:jc w:val="center"/>
              <w:rPr>
                <w:sz w:val="20"/>
                <w:szCs w:val="20"/>
              </w:rPr>
            </w:pPr>
            <w:r w:rsidRPr="00001E52">
              <w:rPr>
                <w:sz w:val="20"/>
                <w:szCs w:val="20"/>
              </w:rPr>
              <w:t>4.0</w:t>
            </w:r>
          </w:p>
        </w:tc>
        <w:tc>
          <w:tcPr>
            <w:tcW w:w="672" w:type="dxa"/>
            <w:tcBorders>
              <w:top w:val="nil"/>
              <w:left w:val="nil"/>
              <w:bottom w:val="single" w:sz="4" w:space="0" w:color="FFFFFF"/>
              <w:right w:val="nil"/>
            </w:tcBorders>
            <w:shd w:val="clear" w:color="000000" w:fill="D9D9D9"/>
            <w:vAlign w:val="center"/>
            <w:hideMark/>
          </w:tcPr>
          <w:p w14:paraId="6A6311A7" w14:textId="167330BD" w:rsidR="00001E52" w:rsidRPr="00001E52" w:rsidRDefault="00001E52" w:rsidP="00001E52">
            <w:pPr>
              <w:pStyle w:val="Tabletext"/>
              <w:jc w:val="center"/>
              <w:rPr>
                <w:sz w:val="20"/>
                <w:szCs w:val="20"/>
              </w:rPr>
            </w:pPr>
            <w:r w:rsidRPr="00001E52">
              <w:rPr>
                <w:sz w:val="20"/>
                <w:szCs w:val="20"/>
              </w:rPr>
              <w:t>4.1</w:t>
            </w:r>
          </w:p>
        </w:tc>
        <w:tc>
          <w:tcPr>
            <w:tcW w:w="672" w:type="dxa"/>
            <w:tcBorders>
              <w:top w:val="nil"/>
              <w:left w:val="nil"/>
              <w:bottom w:val="single" w:sz="4" w:space="0" w:color="FFFFFF"/>
              <w:right w:val="nil"/>
            </w:tcBorders>
            <w:shd w:val="clear" w:color="000000" w:fill="D9D9D9"/>
            <w:vAlign w:val="center"/>
            <w:hideMark/>
          </w:tcPr>
          <w:p w14:paraId="75A9215C" w14:textId="0F1EFBF4" w:rsidR="00001E52" w:rsidRPr="00001E52" w:rsidRDefault="00001E52" w:rsidP="00001E52">
            <w:pPr>
              <w:pStyle w:val="Tabletext"/>
              <w:jc w:val="center"/>
              <w:rPr>
                <w:sz w:val="20"/>
                <w:szCs w:val="20"/>
              </w:rPr>
            </w:pPr>
            <w:r w:rsidRPr="00001E52">
              <w:rPr>
                <w:sz w:val="20"/>
                <w:szCs w:val="20"/>
              </w:rPr>
              <w:t>4.2</w:t>
            </w:r>
          </w:p>
        </w:tc>
        <w:tc>
          <w:tcPr>
            <w:tcW w:w="672" w:type="dxa"/>
            <w:tcBorders>
              <w:top w:val="nil"/>
              <w:left w:val="nil"/>
              <w:bottom w:val="single" w:sz="4" w:space="0" w:color="FFFFFF"/>
              <w:right w:val="nil"/>
            </w:tcBorders>
            <w:shd w:val="clear" w:color="000000" w:fill="D9D9D9"/>
            <w:vAlign w:val="center"/>
            <w:hideMark/>
          </w:tcPr>
          <w:p w14:paraId="7471C3A0" w14:textId="503B115D" w:rsidR="00001E52" w:rsidRPr="00001E52" w:rsidRDefault="00001E52" w:rsidP="00001E52">
            <w:pPr>
              <w:pStyle w:val="Tabletext"/>
              <w:jc w:val="center"/>
              <w:rPr>
                <w:sz w:val="20"/>
                <w:szCs w:val="20"/>
              </w:rPr>
            </w:pPr>
            <w:r w:rsidRPr="00001E52">
              <w:rPr>
                <w:sz w:val="20"/>
                <w:szCs w:val="20"/>
              </w:rPr>
              <w:t>4.3</w:t>
            </w:r>
          </w:p>
        </w:tc>
        <w:tc>
          <w:tcPr>
            <w:tcW w:w="672" w:type="dxa"/>
            <w:tcBorders>
              <w:top w:val="nil"/>
              <w:left w:val="nil"/>
              <w:bottom w:val="single" w:sz="4" w:space="0" w:color="FFFFFF"/>
              <w:right w:val="nil"/>
            </w:tcBorders>
            <w:shd w:val="clear" w:color="000000" w:fill="D9D9D9"/>
            <w:vAlign w:val="center"/>
            <w:hideMark/>
          </w:tcPr>
          <w:p w14:paraId="4B6ABF0B" w14:textId="35ABF4EB" w:rsidR="00001E52" w:rsidRPr="00001E52" w:rsidRDefault="00001E52" w:rsidP="00001E52">
            <w:pPr>
              <w:pStyle w:val="Tabletext"/>
              <w:jc w:val="center"/>
              <w:rPr>
                <w:sz w:val="20"/>
                <w:szCs w:val="20"/>
              </w:rPr>
            </w:pPr>
            <w:r w:rsidRPr="00001E52">
              <w:rPr>
                <w:sz w:val="20"/>
                <w:szCs w:val="20"/>
              </w:rPr>
              <w:t>4.4</w:t>
            </w:r>
          </w:p>
        </w:tc>
        <w:tc>
          <w:tcPr>
            <w:tcW w:w="672" w:type="dxa"/>
            <w:tcBorders>
              <w:top w:val="nil"/>
              <w:left w:val="nil"/>
              <w:bottom w:val="single" w:sz="4" w:space="0" w:color="FFFFFF"/>
              <w:right w:val="nil"/>
            </w:tcBorders>
            <w:shd w:val="clear" w:color="000000" w:fill="D9D9D9"/>
            <w:vAlign w:val="center"/>
            <w:hideMark/>
          </w:tcPr>
          <w:p w14:paraId="592FF4D1" w14:textId="42851B4A" w:rsidR="00001E52" w:rsidRPr="00001E52" w:rsidRDefault="00001E52" w:rsidP="00001E52">
            <w:pPr>
              <w:pStyle w:val="Tabletext"/>
              <w:jc w:val="center"/>
              <w:rPr>
                <w:sz w:val="20"/>
                <w:szCs w:val="20"/>
              </w:rPr>
            </w:pPr>
            <w:r w:rsidRPr="00001E52">
              <w:rPr>
                <w:sz w:val="20"/>
                <w:szCs w:val="20"/>
              </w:rPr>
              <w:t>4.3</w:t>
            </w:r>
          </w:p>
        </w:tc>
        <w:tc>
          <w:tcPr>
            <w:tcW w:w="672" w:type="dxa"/>
            <w:tcBorders>
              <w:top w:val="nil"/>
              <w:left w:val="nil"/>
              <w:bottom w:val="single" w:sz="4" w:space="0" w:color="FFFFFF"/>
              <w:right w:val="nil"/>
            </w:tcBorders>
            <w:shd w:val="clear" w:color="000000" w:fill="D9D9D9"/>
            <w:vAlign w:val="center"/>
            <w:hideMark/>
          </w:tcPr>
          <w:p w14:paraId="1FCFDE61" w14:textId="22344D2E" w:rsidR="00001E52" w:rsidRPr="00001E52" w:rsidRDefault="00001E52" w:rsidP="00001E52">
            <w:pPr>
              <w:pStyle w:val="Tabletext"/>
              <w:jc w:val="center"/>
              <w:rPr>
                <w:sz w:val="20"/>
                <w:szCs w:val="20"/>
              </w:rPr>
            </w:pPr>
            <w:r w:rsidRPr="00001E52">
              <w:rPr>
                <w:sz w:val="20"/>
                <w:szCs w:val="20"/>
              </w:rPr>
              <w:t>4.3</w:t>
            </w:r>
          </w:p>
        </w:tc>
        <w:tc>
          <w:tcPr>
            <w:tcW w:w="672" w:type="dxa"/>
            <w:tcBorders>
              <w:top w:val="nil"/>
              <w:left w:val="nil"/>
              <w:bottom w:val="single" w:sz="4" w:space="0" w:color="FFFFFF"/>
              <w:right w:val="nil"/>
            </w:tcBorders>
            <w:shd w:val="clear" w:color="000000" w:fill="D9D9D9"/>
            <w:vAlign w:val="center"/>
            <w:hideMark/>
          </w:tcPr>
          <w:p w14:paraId="0492EAA9" w14:textId="4494B125" w:rsidR="00001E52" w:rsidRPr="00001E52" w:rsidRDefault="00001E52" w:rsidP="00001E52">
            <w:pPr>
              <w:pStyle w:val="Tabletext"/>
              <w:jc w:val="center"/>
              <w:rPr>
                <w:sz w:val="20"/>
                <w:szCs w:val="20"/>
              </w:rPr>
            </w:pPr>
            <w:r w:rsidRPr="00001E52">
              <w:rPr>
                <w:sz w:val="20"/>
                <w:szCs w:val="20"/>
              </w:rPr>
              <w:t>4.3</w:t>
            </w:r>
          </w:p>
        </w:tc>
        <w:tc>
          <w:tcPr>
            <w:tcW w:w="672" w:type="dxa"/>
            <w:tcBorders>
              <w:top w:val="nil"/>
              <w:left w:val="nil"/>
              <w:bottom w:val="single" w:sz="4" w:space="0" w:color="FFFFFF"/>
              <w:right w:val="nil"/>
            </w:tcBorders>
            <w:shd w:val="clear" w:color="000000" w:fill="D9D9D9"/>
            <w:vAlign w:val="center"/>
            <w:hideMark/>
          </w:tcPr>
          <w:p w14:paraId="13410A72" w14:textId="59500FEA" w:rsidR="00001E52" w:rsidRPr="00001E52" w:rsidRDefault="00001E52" w:rsidP="00001E52">
            <w:pPr>
              <w:pStyle w:val="Tabletext"/>
              <w:jc w:val="center"/>
              <w:rPr>
                <w:sz w:val="20"/>
                <w:szCs w:val="20"/>
              </w:rPr>
            </w:pPr>
            <w:r w:rsidRPr="00001E52">
              <w:rPr>
                <w:sz w:val="20"/>
                <w:szCs w:val="20"/>
              </w:rPr>
              <w:t>4.3</w:t>
            </w:r>
          </w:p>
        </w:tc>
        <w:tc>
          <w:tcPr>
            <w:tcW w:w="672" w:type="dxa"/>
            <w:tcBorders>
              <w:top w:val="nil"/>
              <w:left w:val="nil"/>
              <w:bottom w:val="single" w:sz="4" w:space="0" w:color="FFFFFF"/>
              <w:right w:val="nil"/>
            </w:tcBorders>
            <w:shd w:val="clear" w:color="000000" w:fill="D9D9D9"/>
            <w:vAlign w:val="center"/>
            <w:hideMark/>
          </w:tcPr>
          <w:p w14:paraId="413A81F8" w14:textId="065C8732" w:rsidR="00001E52" w:rsidRPr="00001E52" w:rsidRDefault="00001E52" w:rsidP="00001E52">
            <w:pPr>
              <w:pStyle w:val="Tabletext"/>
              <w:jc w:val="center"/>
              <w:rPr>
                <w:sz w:val="20"/>
                <w:szCs w:val="20"/>
              </w:rPr>
            </w:pPr>
            <w:r w:rsidRPr="00001E52">
              <w:rPr>
                <w:sz w:val="20"/>
                <w:szCs w:val="20"/>
              </w:rPr>
              <w:t>4.3</w:t>
            </w:r>
          </w:p>
        </w:tc>
      </w:tr>
      <w:tr w:rsidR="00001E52" w:rsidRPr="00FE0871" w14:paraId="765F4AB7" w14:textId="77777777" w:rsidTr="00001E52">
        <w:trPr>
          <w:trHeight w:val="170"/>
          <w:jc w:val="center"/>
        </w:trPr>
        <w:tc>
          <w:tcPr>
            <w:tcW w:w="459" w:type="dxa"/>
            <w:tcBorders>
              <w:top w:val="nil"/>
              <w:left w:val="nil"/>
              <w:bottom w:val="single" w:sz="4" w:space="0" w:color="FFFFFF"/>
              <w:right w:val="nil"/>
            </w:tcBorders>
            <w:shd w:val="clear" w:color="000000" w:fill="F2F2F2"/>
            <w:vAlign w:val="center"/>
            <w:hideMark/>
          </w:tcPr>
          <w:p w14:paraId="0E703438" w14:textId="77777777" w:rsidR="00001E52" w:rsidRPr="00FE0871" w:rsidRDefault="00001E52" w:rsidP="00001E52">
            <w:pPr>
              <w:pStyle w:val="Tabletext"/>
            </w:pPr>
            <w:r w:rsidRPr="00FE0871">
              <w:t>7</w:t>
            </w:r>
          </w:p>
        </w:tc>
        <w:tc>
          <w:tcPr>
            <w:tcW w:w="2235" w:type="dxa"/>
            <w:tcBorders>
              <w:top w:val="nil"/>
              <w:left w:val="nil"/>
              <w:bottom w:val="single" w:sz="4" w:space="0" w:color="FFFFFF"/>
              <w:right w:val="nil"/>
            </w:tcBorders>
            <w:shd w:val="clear" w:color="000000" w:fill="F2F2F2"/>
            <w:vAlign w:val="center"/>
            <w:hideMark/>
          </w:tcPr>
          <w:p w14:paraId="018FF096" w14:textId="77777777" w:rsidR="00001E52" w:rsidRPr="00FE0871" w:rsidRDefault="00001E52" w:rsidP="00001E52">
            <w:pPr>
              <w:pStyle w:val="Tabletext"/>
            </w:pPr>
            <w:r w:rsidRPr="00FE0871">
              <w:t xml:space="preserve">Short-term interest rate </w:t>
            </w:r>
          </w:p>
        </w:tc>
        <w:tc>
          <w:tcPr>
            <w:tcW w:w="992" w:type="dxa"/>
            <w:tcBorders>
              <w:top w:val="nil"/>
              <w:left w:val="nil"/>
              <w:bottom w:val="single" w:sz="4" w:space="0" w:color="FFFFFF"/>
              <w:right w:val="nil"/>
            </w:tcBorders>
            <w:shd w:val="clear" w:color="000000" w:fill="F2F2F2"/>
            <w:vAlign w:val="center"/>
            <w:hideMark/>
          </w:tcPr>
          <w:p w14:paraId="0A0D4C5D" w14:textId="77777777" w:rsidR="00001E52" w:rsidRPr="00FE0871" w:rsidRDefault="00001E52" w:rsidP="00001E52">
            <w:pPr>
              <w:pStyle w:val="Tabletext"/>
              <w:rPr>
                <w:sz w:val="18"/>
                <w:szCs w:val="18"/>
              </w:rPr>
            </w:pPr>
            <w:r w:rsidRPr="00FE0871">
              <w:rPr>
                <w:sz w:val="18"/>
                <w:szCs w:val="18"/>
              </w:rPr>
              <w:t>(%)</w:t>
            </w:r>
          </w:p>
        </w:tc>
        <w:tc>
          <w:tcPr>
            <w:tcW w:w="672" w:type="dxa"/>
            <w:tcBorders>
              <w:top w:val="nil"/>
              <w:left w:val="nil"/>
              <w:bottom w:val="single" w:sz="4" w:space="0" w:color="FFFFFF"/>
              <w:right w:val="nil"/>
            </w:tcBorders>
            <w:shd w:val="clear" w:color="000000" w:fill="F2F2F2"/>
            <w:vAlign w:val="center"/>
            <w:hideMark/>
          </w:tcPr>
          <w:p w14:paraId="3B374329" w14:textId="76E73EB2" w:rsidR="00001E52" w:rsidRPr="00001E52" w:rsidRDefault="00001E52" w:rsidP="00001E52">
            <w:pPr>
              <w:pStyle w:val="Tabletext"/>
              <w:jc w:val="center"/>
              <w:rPr>
                <w:sz w:val="20"/>
                <w:szCs w:val="20"/>
              </w:rPr>
            </w:pPr>
            <w:r w:rsidRPr="00001E52">
              <w:rPr>
                <w:sz w:val="20"/>
                <w:szCs w:val="20"/>
              </w:rPr>
              <w:t>3.4</w:t>
            </w:r>
          </w:p>
        </w:tc>
        <w:tc>
          <w:tcPr>
            <w:tcW w:w="672" w:type="dxa"/>
            <w:tcBorders>
              <w:top w:val="nil"/>
              <w:left w:val="nil"/>
              <w:bottom w:val="single" w:sz="4" w:space="0" w:color="FFFFFF"/>
              <w:right w:val="nil"/>
            </w:tcBorders>
            <w:shd w:val="clear" w:color="000000" w:fill="F2F2F2"/>
            <w:vAlign w:val="center"/>
            <w:hideMark/>
          </w:tcPr>
          <w:p w14:paraId="521843CA" w14:textId="3360F5CB" w:rsidR="00001E52" w:rsidRPr="00001E52" w:rsidRDefault="00001E52" w:rsidP="00001E52">
            <w:pPr>
              <w:pStyle w:val="Tabletext"/>
              <w:jc w:val="center"/>
              <w:rPr>
                <w:sz w:val="20"/>
                <w:szCs w:val="20"/>
              </w:rPr>
            </w:pPr>
            <w:r w:rsidRPr="00001E52">
              <w:rPr>
                <w:sz w:val="20"/>
                <w:szCs w:val="20"/>
              </w:rPr>
              <w:t>3.6</w:t>
            </w:r>
          </w:p>
        </w:tc>
        <w:tc>
          <w:tcPr>
            <w:tcW w:w="672" w:type="dxa"/>
            <w:tcBorders>
              <w:top w:val="nil"/>
              <w:left w:val="nil"/>
              <w:bottom w:val="single" w:sz="4" w:space="0" w:color="FFFFFF"/>
              <w:right w:val="nil"/>
            </w:tcBorders>
            <w:shd w:val="clear" w:color="000000" w:fill="F2F2F2"/>
            <w:vAlign w:val="center"/>
            <w:hideMark/>
          </w:tcPr>
          <w:p w14:paraId="07ED6DE9" w14:textId="196EC475"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F2F2F2"/>
            <w:vAlign w:val="center"/>
            <w:hideMark/>
          </w:tcPr>
          <w:p w14:paraId="3A9E28BC" w14:textId="6D455A39"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F2F2F2"/>
            <w:vAlign w:val="center"/>
            <w:hideMark/>
          </w:tcPr>
          <w:p w14:paraId="608D8AC3" w14:textId="4761FF77"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F2F2F2"/>
            <w:vAlign w:val="center"/>
            <w:hideMark/>
          </w:tcPr>
          <w:p w14:paraId="31114C35" w14:textId="2AA25FDB"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F2F2F2"/>
            <w:vAlign w:val="center"/>
            <w:hideMark/>
          </w:tcPr>
          <w:p w14:paraId="7FA56045" w14:textId="7D13AC75"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F2F2F2"/>
            <w:vAlign w:val="center"/>
            <w:hideMark/>
          </w:tcPr>
          <w:p w14:paraId="066B412A" w14:textId="08AA2A70"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F2F2F2"/>
            <w:vAlign w:val="center"/>
            <w:hideMark/>
          </w:tcPr>
          <w:p w14:paraId="5BAF92BE" w14:textId="19A02500"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F2F2F2"/>
            <w:vAlign w:val="center"/>
            <w:hideMark/>
          </w:tcPr>
          <w:p w14:paraId="799D5C7C" w14:textId="4A6CD62E"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F2F2F2"/>
            <w:vAlign w:val="center"/>
            <w:hideMark/>
          </w:tcPr>
          <w:p w14:paraId="24F1FC9B" w14:textId="522DA7D1"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F2F2F2"/>
            <w:vAlign w:val="center"/>
            <w:hideMark/>
          </w:tcPr>
          <w:p w14:paraId="72748E03" w14:textId="5E08345D"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F2F2F2"/>
            <w:vAlign w:val="center"/>
            <w:hideMark/>
          </w:tcPr>
          <w:p w14:paraId="7C7902C5" w14:textId="1C59C6FF"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F2F2F2"/>
            <w:vAlign w:val="center"/>
            <w:hideMark/>
          </w:tcPr>
          <w:p w14:paraId="496C3F2B" w14:textId="53A82C26" w:rsidR="00001E52" w:rsidRPr="00001E52" w:rsidRDefault="00001E52" w:rsidP="00001E52">
            <w:pPr>
              <w:pStyle w:val="Tabletext"/>
              <w:jc w:val="center"/>
              <w:rPr>
                <w:sz w:val="20"/>
                <w:szCs w:val="20"/>
              </w:rPr>
            </w:pPr>
            <w:r w:rsidRPr="00001E52">
              <w:rPr>
                <w:sz w:val="20"/>
                <w:szCs w:val="20"/>
              </w:rPr>
              <w:t>2.6</w:t>
            </w:r>
          </w:p>
        </w:tc>
        <w:tc>
          <w:tcPr>
            <w:tcW w:w="672" w:type="dxa"/>
            <w:tcBorders>
              <w:top w:val="nil"/>
              <w:left w:val="nil"/>
              <w:bottom w:val="single" w:sz="4" w:space="0" w:color="FFFFFF"/>
              <w:right w:val="nil"/>
            </w:tcBorders>
            <w:shd w:val="clear" w:color="000000" w:fill="F2F2F2"/>
            <w:vAlign w:val="center"/>
            <w:hideMark/>
          </w:tcPr>
          <w:p w14:paraId="58C03B59" w14:textId="5D8910EC" w:rsidR="00001E52" w:rsidRPr="00001E52" w:rsidRDefault="00001E52" w:rsidP="00001E52">
            <w:pPr>
              <w:pStyle w:val="Tabletext"/>
              <w:jc w:val="center"/>
              <w:rPr>
                <w:sz w:val="20"/>
                <w:szCs w:val="20"/>
              </w:rPr>
            </w:pPr>
            <w:r w:rsidRPr="00001E52">
              <w:rPr>
                <w:sz w:val="20"/>
                <w:szCs w:val="20"/>
              </w:rPr>
              <w:t>2.6</w:t>
            </w:r>
          </w:p>
        </w:tc>
        <w:tc>
          <w:tcPr>
            <w:tcW w:w="672" w:type="dxa"/>
            <w:tcBorders>
              <w:top w:val="nil"/>
              <w:left w:val="nil"/>
              <w:bottom w:val="single" w:sz="4" w:space="0" w:color="FFFFFF"/>
              <w:right w:val="nil"/>
            </w:tcBorders>
            <w:shd w:val="clear" w:color="000000" w:fill="F2F2F2"/>
            <w:vAlign w:val="center"/>
            <w:hideMark/>
          </w:tcPr>
          <w:p w14:paraId="61B1A04B" w14:textId="36C5527D" w:rsidR="00001E52" w:rsidRPr="00001E52" w:rsidRDefault="00001E52" w:rsidP="00001E52">
            <w:pPr>
              <w:pStyle w:val="Tabletext"/>
              <w:jc w:val="center"/>
              <w:rPr>
                <w:sz w:val="20"/>
                <w:szCs w:val="20"/>
              </w:rPr>
            </w:pPr>
            <w:r w:rsidRPr="00001E52">
              <w:rPr>
                <w:sz w:val="20"/>
                <w:szCs w:val="20"/>
              </w:rPr>
              <w:t>2.5</w:t>
            </w:r>
          </w:p>
        </w:tc>
      </w:tr>
      <w:tr w:rsidR="00001E52" w:rsidRPr="00FE0871" w14:paraId="38AFE8AC" w14:textId="77777777" w:rsidTr="00001E52">
        <w:trPr>
          <w:trHeight w:val="170"/>
          <w:jc w:val="center"/>
        </w:trPr>
        <w:tc>
          <w:tcPr>
            <w:tcW w:w="459" w:type="dxa"/>
            <w:tcBorders>
              <w:top w:val="nil"/>
              <w:left w:val="nil"/>
              <w:bottom w:val="single" w:sz="4" w:space="0" w:color="FFFFFF"/>
              <w:right w:val="nil"/>
            </w:tcBorders>
            <w:shd w:val="clear" w:color="000000" w:fill="D9D9D9"/>
            <w:vAlign w:val="center"/>
            <w:hideMark/>
          </w:tcPr>
          <w:p w14:paraId="40C236C8" w14:textId="77777777" w:rsidR="00001E52" w:rsidRPr="00FE0871" w:rsidRDefault="00001E52" w:rsidP="00001E52">
            <w:pPr>
              <w:pStyle w:val="Tabletext"/>
            </w:pPr>
            <w:r w:rsidRPr="00FE0871">
              <w:t>8</w:t>
            </w:r>
          </w:p>
        </w:tc>
        <w:tc>
          <w:tcPr>
            <w:tcW w:w="2235" w:type="dxa"/>
            <w:tcBorders>
              <w:top w:val="nil"/>
              <w:left w:val="nil"/>
              <w:bottom w:val="single" w:sz="4" w:space="0" w:color="FFFFFF"/>
              <w:right w:val="nil"/>
            </w:tcBorders>
            <w:shd w:val="clear" w:color="000000" w:fill="D9D9D9"/>
            <w:vAlign w:val="center"/>
            <w:hideMark/>
          </w:tcPr>
          <w:p w14:paraId="75BC6A80" w14:textId="77777777" w:rsidR="00001E52" w:rsidRPr="00FE0871" w:rsidRDefault="00001E52" w:rsidP="00001E52">
            <w:pPr>
              <w:pStyle w:val="Tabletext"/>
            </w:pPr>
            <w:r w:rsidRPr="00FE0871">
              <w:t xml:space="preserve">Implicit average interest rate </w:t>
            </w:r>
          </w:p>
        </w:tc>
        <w:tc>
          <w:tcPr>
            <w:tcW w:w="992" w:type="dxa"/>
            <w:tcBorders>
              <w:top w:val="nil"/>
              <w:left w:val="nil"/>
              <w:bottom w:val="single" w:sz="4" w:space="0" w:color="FFFFFF"/>
              <w:right w:val="nil"/>
            </w:tcBorders>
            <w:shd w:val="clear" w:color="000000" w:fill="D9D9D9"/>
            <w:vAlign w:val="center"/>
            <w:hideMark/>
          </w:tcPr>
          <w:p w14:paraId="584E9427" w14:textId="77777777" w:rsidR="00001E52" w:rsidRPr="00FE0871" w:rsidRDefault="00001E52" w:rsidP="00001E52">
            <w:pPr>
              <w:pStyle w:val="Tabletext"/>
              <w:rPr>
                <w:sz w:val="18"/>
                <w:szCs w:val="18"/>
              </w:rPr>
            </w:pPr>
            <w:r w:rsidRPr="00FE0871">
              <w:rPr>
                <w:sz w:val="18"/>
                <w:szCs w:val="18"/>
              </w:rPr>
              <w:t>(%)</w:t>
            </w:r>
          </w:p>
        </w:tc>
        <w:tc>
          <w:tcPr>
            <w:tcW w:w="672" w:type="dxa"/>
            <w:tcBorders>
              <w:top w:val="nil"/>
              <w:left w:val="nil"/>
              <w:bottom w:val="single" w:sz="4" w:space="0" w:color="FFFFFF"/>
              <w:right w:val="nil"/>
            </w:tcBorders>
            <w:shd w:val="clear" w:color="000000" w:fill="D9D9D9"/>
            <w:vAlign w:val="center"/>
            <w:hideMark/>
          </w:tcPr>
          <w:p w14:paraId="59968C7C" w14:textId="7E9894C9" w:rsidR="00001E52" w:rsidRPr="00001E52" w:rsidRDefault="00001E52" w:rsidP="00001E52">
            <w:pPr>
              <w:pStyle w:val="Tabletext"/>
              <w:jc w:val="center"/>
              <w:rPr>
                <w:sz w:val="20"/>
                <w:szCs w:val="20"/>
              </w:rPr>
            </w:pPr>
            <w:r w:rsidRPr="00001E52">
              <w:rPr>
                <w:sz w:val="20"/>
                <w:szCs w:val="20"/>
              </w:rPr>
              <w:t>2.1</w:t>
            </w:r>
          </w:p>
        </w:tc>
        <w:tc>
          <w:tcPr>
            <w:tcW w:w="672" w:type="dxa"/>
            <w:tcBorders>
              <w:top w:val="nil"/>
              <w:left w:val="nil"/>
              <w:bottom w:val="single" w:sz="4" w:space="0" w:color="FFFFFF"/>
              <w:right w:val="nil"/>
            </w:tcBorders>
            <w:shd w:val="clear" w:color="000000" w:fill="D9D9D9"/>
            <w:vAlign w:val="center"/>
            <w:hideMark/>
          </w:tcPr>
          <w:p w14:paraId="7F985599" w14:textId="570817DA" w:rsidR="00001E52" w:rsidRPr="00001E52" w:rsidRDefault="00001E52" w:rsidP="00001E52">
            <w:pPr>
              <w:pStyle w:val="Tabletext"/>
              <w:jc w:val="center"/>
              <w:rPr>
                <w:sz w:val="20"/>
                <w:szCs w:val="20"/>
              </w:rPr>
            </w:pPr>
            <w:r w:rsidRPr="00001E52">
              <w:rPr>
                <w:sz w:val="20"/>
                <w:szCs w:val="20"/>
              </w:rPr>
              <w:t>2.2</w:t>
            </w:r>
          </w:p>
        </w:tc>
        <w:tc>
          <w:tcPr>
            <w:tcW w:w="672" w:type="dxa"/>
            <w:tcBorders>
              <w:top w:val="nil"/>
              <w:left w:val="nil"/>
              <w:bottom w:val="single" w:sz="4" w:space="0" w:color="FFFFFF"/>
              <w:right w:val="nil"/>
            </w:tcBorders>
            <w:shd w:val="clear" w:color="000000" w:fill="D9D9D9"/>
            <w:vAlign w:val="center"/>
            <w:hideMark/>
          </w:tcPr>
          <w:p w14:paraId="1218C5A5" w14:textId="32A4F6B6" w:rsidR="00001E52" w:rsidRPr="00001E52" w:rsidRDefault="00001E52" w:rsidP="00001E52">
            <w:pPr>
              <w:pStyle w:val="Tabletext"/>
              <w:jc w:val="center"/>
              <w:rPr>
                <w:sz w:val="20"/>
                <w:szCs w:val="20"/>
              </w:rPr>
            </w:pPr>
            <w:r w:rsidRPr="00001E52">
              <w:rPr>
                <w:sz w:val="20"/>
                <w:szCs w:val="20"/>
              </w:rPr>
              <w:t>2.2</w:t>
            </w:r>
          </w:p>
        </w:tc>
        <w:tc>
          <w:tcPr>
            <w:tcW w:w="672" w:type="dxa"/>
            <w:tcBorders>
              <w:top w:val="nil"/>
              <w:left w:val="nil"/>
              <w:bottom w:val="single" w:sz="4" w:space="0" w:color="FFFFFF"/>
              <w:right w:val="nil"/>
            </w:tcBorders>
            <w:shd w:val="clear" w:color="000000" w:fill="D9D9D9"/>
            <w:vAlign w:val="center"/>
            <w:hideMark/>
          </w:tcPr>
          <w:p w14:paraId="5B63168B" w14:textId="03290133" w:rsidR="00001E52" w:rsidRPr="00001E52" w:rsidRDefault="00001E52" w:rsidP="00001E52">
            <w:pPr>
              <w:pStyle w:val="Tabletext"/>
              <w:jc w:val="center"/>
              <w:rPr>
                <w:sz w:val="20"/>
                <w:szCs w:val="20"/>
              </w:rPr>
            </w:pPr>
            <w:r w:rsidRPr="00001E52">
              <w:rPr>
                <w:sz w:val="20"/>
                <w:szCs w:val="20"/>
              </w:rPr>
              <w:t>2.3</w:t>
            </w:r>
          </w:p>
        </w:tc>
        <w:tc>
          <w:tcPr>
            <w:tcW w:w="672" w:type="dxa"/>
            <w:tcBorders>
              <w:top w:val="nil"/>
              <w:left w:val="nil"/>
              <w:bottom w:val="single" w:sz="4" w:space="0" w:color="FFFFFF"/>
              <w:right w:val="nil"/>
            </w:tcBorders>
            <w:shd w:val="clear" w:color="000000" w:fill="D9D9D9"/>
            <w:vAlign w:val="center"/>
            <w:hideMark/>
          </w:tcPr>
          <w:p w14:paraId="0364B6E7" w14:textId="75C340CB"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D9D9D9"/>
            <w:vAlign w:val="center"/>
            <w:hideMark/>
          </w:tcPr>
          <w:p w14:paraId="49C97EAE" w14:textId="489738C0"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D9D9D9"/>
            <w:vAlign w:val="center"/>
            <w:hideMark/>
          </w:tcPr>
          <w:p w14:paraId="520DACFB" w14:textId="12DDC2CC" w:rsidR="00001E52" w:rsidRPr="00001E52" w:rsidRDefault="00001E52" w:rsidP="00001E52">
            <w:pPr>
              <w:pStyle w:val="Tabletext"/>
              <w:jc w:val="center"/>
              <w:rPr>
                <w:sz w:val="20"/>
                <w:szCs w:val="20"/>
              </w:rPr>
            </w:pPr>
            <w:r w:rsidRPr="00001E52">
              <w:rPr>
                <w:sz w:val="20"/>
                <w:szCs w:val="20"/>
              </w:rPr>
              <w:t>2.9</w:t>
            </w:r>
          </w:p>
        </w:tc>
        <w:tc>
          <w:tcPr>
            <w:tcW w:w="672" w:type="dxa"/>
            <w:tcBorders>
              <w:top w:val="nil"/>
              <w:left w:val="nil"/>
              <w:bottom w:val="single" w:sz="4" w:space="0" w:color="FFFFFF"/>
              <w:right w:val="nil"/>
            </w:tcBorders>
            <w:shd w:val="clear" w:color="000000" w:fill="D9D9D9"/>
            <w:vAlign w:val="center"/>
            <w:hideMark/>
          </w:tcPr>
          <w:p w14:paraId="71B1F5DE" w14:textId="2CDDEA40" w:rsidR="00001E52" w:rsidRPr="00001E52" w:rsidRDefault="00001E52" w:rsidP="00001E52">
            <w:pPr>
              <w:pStyle w:val="Tabletext"/>
              <w:jc w:val="center"/>
              <w:rPr>
                <w:sz w:val="20"/>
                <w:szCs w:val="20"/>
              </w:rPr>
            </w:pPr>
            <w:r w:rsidRPr="00001E52">
              <w:rPr>
                <w:sz w:val="20"/>
                <w:szCs w:val="20"/>
              </w:rPr>
              <w:t>3.0</w:t>
            </w:r>
          </w:p>
        </w:tc>
        <w:tc>
          <w:tcPr>
            <w:tcW w:w="672" w:type="dxa"/>
            <w:tcBorders>
              <w:top w:val="nil"/>
              <w:left w:val="nil"/>
              <w:bottom w:val="single" w:sz="4" w:space="0" w:color="FFFFFF"/>
              <w:right w:val="nil"/>
            </w:tcBorders>
            <w:shd w:val="clear" w:color="000000" w:fill="D9D9D9"/>
            <w:vAlign w:val="center"/>
            <w:hideMark/>
          </w:tcPr>
          <w:p w14:paraId="533239F0" w14:textId="6C72113C" w:rsidR="00001E52" w:rsidRPr="00001E52" w:rsidRDefault="00001E52" w:rsidP="00001E52">
            <w:pPr>
              <w:pStyle w:val="Tabletext"/>
              <w:jc w:val="center"/>
              <w:rPr>
                <w:sz w:val="20"/>
                <w:szCs w:val="20"/>
              </w:rPr>
            </w:pPr>
            <w:r w:rsidRPr="00001E52">
              <w:rPr>
                <w:sz w:val="20"/>
                <w:szCs w:val="20"/>
              </w:rPr>
              <w:t>3.1</w:t>
            </w:r>
          </w:p>
        </w:tc>
        <w:tc>
          <w:tcPr>
            <w:tcW w:w="672" w:type="dxa"/>
            <w:tcBorders>
              <w:top w:val="nil"/>
              <w:left w:val="nil"/>
              <w:bottom w:val="single" w:sz="4" w:space="0" w:color="FFFFFF"/>
              <w:right w:val="nil"/>
            </w:tcBorders>
            <w:shd w:val="clear" w:color="000000" w:fill="D9D9D9"/>
            <w:vAlign w:val="center"/>
            <w:hideMark/>
          </w:tcPr>
          <w:p w14:paraId="48E5826E" w14:textId="3BEF6964" w:rsidR="00001E52" w:rsidRPr="00001E52" w:rsidRDefault="00001E52" w:rsidP="00001E52">
            <w:pPr>
              <w:pStyle w:val="Tabletext"/>
              <w:jc w:val="center"/>
              <w:rPr>
                <w:sz w:val="20"/>
                <w:szCs w:val="20"/>
              </w:rPr>
            </w:pPr>
            <w:r w:rsidRPr="00001E52">
              <w:rPr>
                <w:sz w:val="20"/>
                <w:szCs w:val="20"/>
              </w:rPr>
              <w:t>3.1</w:t>
            </w:r>
          </w:p>
        </w:tc>
        <w:tc>
          <w:tcPr>
            <w:tcW w:w="672" w:type="dxa"/>
            <w:tcBorders>
              <w:top w:val="nil"/>
              <w:left w:val="nil"/>
              <w:bottom w:val="single" w:sz="4" w:space="0" w:color="FFFFFF"/>
              <w:right w:val="nil"/>
            </w:tcBorders>
            <w:shd w:val="clear" w:color="000000" w:fill="D9D9D9"/>
            <w:vAlign w:val="center"/>
            <w:hideMark/>
          </w:tcPr>
          <w:p w14:paraId="27C9926D" w14:textId="3DBA238D" w:rsidR="00001E52" w:rsidRPr="00001E52" w:rsidRDefault="00001E52" w:rsidP="00001E52">
            <w:pPr>
              <w:pStyle w:val="Tabletext"/>
              <w:jc w:val="center"/>
              <w:rPr>
                <w:sz w:val="20"/>
                <w:szCs w:val="20"/>
              </w:rPr>
            </w:pPr>
            <w:r w:rsidRPr="00001E52">
              <w:rPr>
                <w:sz w:val="20"/>
                <w:szCs w:val="20"/>
              </w:rPr>
              <w:t>3.2</w:t>
            </w:r>
          </w:p>
        </w:tc>
        <w:tc>
          <w:tcPr>
            <w:tcW w:w="672" w:type="dxa"/>
            <w:tcBorders>
              <w:top w:val="nil"/>
              <w:left w:val="nil"/>
              <w:bottom w:val="single" w:sz="4" w:space="0" w:color="FFFFFF"/>
              <w:right w:val="nil"/>
            </w:tcBorders>
            <w:shd w:val="clear" w:color="000000" w:fill="D9D9D9"/>
            <w:vAlign w:val="center"/>
            <w:hideMark/>
          </w:tcPr>
          <w:p w14:paraId="7B03189D" w14:textId="002A728F" w:rsidR="00001E52" w:rsidRPr="00001E52" w:rsidRDefault="00001E52" w:rsidP="00001E52">
            <w:pPr>
              <w:pStyle w:val="Tabletext"/>
              <w:jc w:val="center"/>
              <w:rPr>
                <w:sz w:val="20"/>
                <w:szCs w:val="20"/>
              </w:rPr>
            </w:pPr>
            <w:r w:rsidRPr="00001E52">
              <w:rPr>
                <w:sz w:val="20"/>
                <w:szCs w:val="20"/>
              </w:rPr>
              <w:t>3.3</w:t>
            </w:r>
          </w:p>
        </w:tc>
        <w:tc>
          <w:tcPr>
            <w:tcW w:w="672" w:type="dxa"/>
            <w:tcBorders>
              <w:top w:val="nil"/>
              <w:left w:val="nil"/>
              <w:bottom w:val="single" w:sz="4" w:space="0" w:color="FFFFFF"/>
              <w:right w:val="nil"/>
            </w:tcBorders>
            <w:shd w:val="clear" w:color="000000" w:fill="D9D9D9"/>
            <w:vAlign w:val="center"/>
            <w:hideMark/>
          </w:tcPr>
          <w:p w14:paraId="40D44801" w14:textId="0DDDDB27" w:rsidR="00001E52" w:rsidRPr="00001E52" w:rsidRDefault="00001E52" w:rsidP="00001E52">
            <w:pPr>
              <w:pStyle w:val="Tabletext"/>
              <w:jc w:val="center"/>
              <w:rPr>
                <w:sz w:val="20"/>
                <w:szCs w:val="20"/>
              </w:rPr>
            </w:pPr>
            <w:r w:rsidRPr="00001E52">
              <w:rPr>
                <w:sz w:val="20"/>
                <w:szCs w:val="20"/>
              </w:rPr>
              <w:t>3.4</w:t>
            </w:r>
          </w:p>
        </w:tc>
        <w:tc>
          <w:tcPr>
            <w:tcW w:w="672" w:type="dxa"/>
            <w:tcBorders>
              <w:top w:val="nil"/>
              <w:left w:val="nil"/>
              <w:bottom w:val="single" w:sz="4" w:space="0" w:color="FFFFFF"/>
              <w:right w:val="nil"/>
            </w:tcBorders>
            <w:shd w:val="clear" w:color="000000" w:fill="D9D9D9"/>
            <w:vAlign w:val="center"/>
            <w:hideMark/>
          </w:tcPr>
          <w:p w14:paraId="2ADB29B4" w14:textId="451BF556" w:rsidR="00001E52" w:rsidRPr="00001E52" w:rsidRDefault="00001E52" w:rsidP="00001E52">
            <w:pPr>
              <w:pStyle w:val="Tabletext"/>
              <w:jc w:val="center"/>
              <w:rPr>
                <w:sz w:val="20"/>
                <w:szCs w:val="20"/>
              </w:rPr>
            </w:pPr>
            <w:r w:rsidRPr="00001E52">
              <w:rPr>
                <w:sz w:val="20"/>
                <w:szCs w:val="20"/>
              </w:rPr>
              <w:t>3.4</w:t>
            </w:r>
          </w:p>
        </w:tc>
        <w:tc>
          <w:tcPr>
            <w:tcW w:w="672" w:type="dxa"/>
            <w:tcBorders>
              <w:top w:val="nil"/>
              <w:left w:val="nil"/>
              <w:bottom w:val="single" w:sz="4" w:space="0" w:color="FFFFFF"/>
              <w:right w:val="nil"/>
            </w:tcBorders>
            <w:shd w:val="clear" w:color="000000" w:fill="D9D9D9"/>
            <w:vAlign w:val="center"/>
            <w:hideMark/>
          </w:tcPr>
          <w:p w14:paraId="34DBA1FA" w14:textId="77F2B5CC" w:rsidR="00001E52" w:rsidRPr="00001E52" w:rsidRDefault="00001E52" w:rsidP="00001E52">
            <w:pPr>
              <w:pStyle w:val="Tabletext"/>
              <w:jc w:val="center"/>
              <w:rPr>
                <w:sz w:val="20"/>
                <w:szCs w:val="20"/>
              </w:rPr>
            </w:pPr>
            <w:r w:rsidRPr="00001E52">
              <w:rPr>
                <w:sz w:val="20"/>
                <w:szCs w:val="20"/>
              </w:rPr>
              <w:t>3.5</w:t>
            </w:r>
          </w:p>
        </w:tc>
        <w:tc>
          <w:tcPr>
            <w:tcW w:w="672" w:type="dxa"/>
            <w:tcBorders>
              <w:top w:val="nil"/>
              <w:left w:val="nil"/>
              <w:bottom w:val="single" w:sz="4" w:space="0" w:color="FFFFFF"/>
              <w:right w:val="nil"/>
            </w:tcBorders>
            <w:shd w:val="clear" w:color="000000" w:fill="D9D9D9"/>
            <w:vAlign w:val="center"/>
            <w:hideMark/>
          </w:tcPr>
          <w:p w14:paraId="68E1C783" w14:textId="586585D8" w:rsidR="00001E52" w:rsidRPr="00001E52" w:rsidRDefault="00001E52" w:rsidP="00001E52">
            <w:pPr>
              <w:pStyle w:val="Tabletext"/>
              <w:jc w:val="center"/>
              <w:rPr>
                <w:sz w:val="20"/>
                <w:szCs w:val="20"/>
              </w:rPr>
            </w:pPr>
            <w:r w:rsidRPr="00001E52">
              <w:rPr>
                <w:sz w:val="20"/>
                <w:szCs w:val="20"/>
              </w:rPr>
              <w:t>3.5</w:t>
            </w:r>
          </w:p>
        </w:tc>
      </w:tr>
      <w:tr w:rsidR="00001E52" w:rsidRPr="00FE0871" w14:paraId="36EAF35C" w14:textId="77777777" w:rsidTr="00001E52">
        <w:trPr>
          <w:trHeight w:val="170"/>
          <w:jc w:val="center"/>
        </w:trPr>
        <w:tc>
          <w:tcPr>
            <w:tcW w:w="459" w:type="dxa"/>
            <w:tcBorders>
              <w:top w:val="nil"/>
              <w:left w:val="nil"/>
              <w:bottom w:val="single" w:sz="4" w:space="0" w:color="FFFFFF"/>
              <w:right w:val="nil"/>
            </w:tcBorders>
            <w:shd w:val="clear" w:color="000000" w:fill="F2F2F2"/>
            <w:vAlign w:val="center"/>
            <w:hideMark/>
          </w:tcPr>
          <w:p w14:paraId="4F7DE088" w14:textId="77777777" w:rsidR="00001E52" w:rsidRPr="00FE0871" w:rsidRDefault="00001E52" w:rsidP="00001E52">
            <w:pPr>
              <w:pStyle w:val="Tabletext"/>
            </w:pPr>
            <w:r w:rsidRPr="00FE0871">
              <w:t>9</w:t>
            </w:r>
          </w:p>
        </w:tc>
        <w:tc>
          <w:tcPr>
            <w:tcW w:w="2235" w:type="dxa"/>
            <w:tcBorders>
              <w:top w:val="nil"/>
              <w:left w:val="nil"/>
              <w:bottom w:val="single" w:sz="4" w:space="0" w:color="FFFFFF"/>
              <w:right w:val="nil"/>
            </w:tcBorders>
            <w:shd w:val="clear" w:color="000000" w:fill="F2F2F2"/>
            <w:vAlign w:val="center"/>
            <w:hideMark/>
          </w:tcPr>
          <w:p w14:paraId="2B1B9747" w14:textId="77777777" w:rsidR="00001E52" w:rsidRPr="00FE0871" w:rsidRDefault="00001E52" w:rsidP="00001E52">
            <w:pPr>
              <w:pStyle w:val="Tabletext"/>
            </w:pPr>
            <w:r w:rsidRPr="00FE0871">
              <w:t xml:space="preserve">Potential GDP </w:t>
            </w:r>
          </w:p>
        </w:tc>
        <w:tc>
          <w:tcPr>
            <w:tcW w:w="992" w:type="dxa"/>
            <w:tcBorders>
              <w:top w:val="nil"/>
              <w:left w:val="nil"/>
              <w:bottom w:val="single" w:sz="4" w:space="0" w:color="FFFFFF"/>
              <w:right w:val="nil"/>
            </w:tcBorders>
            <w:shd w:val="clear" w:color="000000" w:fill="F2F2F2"/>
            <w:vAlign w:val="center"/>
            <w:hideMark/>
          </w:tcPr>
          <w:p w14:paraId="5C873869" w14:textId="77777777" w:rsidR="00001E52" w:rsidRPr="00FE0871" w:rsidRDefault="00001E52" w:rsidP="00001E52">
            <w:pPr>
              <w:pStyle w:val="Tabletext"/>
              <w:rPr>
                <w:sz w:val="18"/>
                <w:szCs w:val="18"/>
              </w:rPr>
            </w:pPr>
            <w:r w:rsidRPr="00FE0871">
              <w:rPr>
                <w:sz w:val="18"/>
                <w:szCs w:val="18"/>
              </w:rPr>
              <w:t>(growth rate)</w:t>
            </w:r>
          </w:p>
        </w:tc>
        <w:tc>
          <w:tcPr>
            <w:tcW w:w="672" w:type="dxa"/>
            <w:tcBorders>
              <w:top w:val="nil"/>
              <w:left w:val="nil"/>
              <w:bottom w:val="single" w:sz="4" w:space="0" w:color="FFFFFF"/>
              <w:right w:val="nil"/>
            </w:tcBorders>
            <w:shd w:val="clear" w:color="000000" w:fill="F2F2F2"/>
            <w:vAlign w:val="center"/>
            <w:hideMark/>
          </w:tcPr>
          <w:p w14:paraId="4A8C0822" w14:textId="498DECE9" w:rsidR="00001E52" w:rsidRPr="00001E52" w:rsidRDefault="00001E52" w:rsidP="00001E52">
            <w:pPr>
              <w:pStyle w:val="Tabletext"/>
              <w:jc w:val="center"/>
              <w:rPr>
                <w:sz w:val="20"/>
                <w:szCs w:val="20"/>
              </w:rPr>
            </w:pPr>
            <w:r w:rsidRPr="00001E52">
              <w:rPr>
                <w:sz w:val="20"/>
                <w:szCs w:val="20"/>
              </w:rPr>
              <w:t>0.6</w:t>
            </w:r>
          </w:p>
        </w:tc>
        <w:tc>
          <w:tcPr>
            <w:tcW w:w="672" w:type="dxa"/>
            <w:tcBorders>
              <w:top w:val="nil"/>
              <w:left w:val="nil"/>
              <w:bottom w:val="single" w:sz="4" w:space="0" w:color="FFFFFF"/>
              <w:right w:val="nil"/>
            </w:tcBorders>
            <w:shd w:val="clear" w:color="000000" w:fill="F2F2F2"/>
            <w:vAlign w:val="center"/>
            <w:hideMark/>
          </w:tcPr>
          <w:p w14:paraId="7920E115" w14:textId="2E61450A" w:rsidR="00001E52" w:rsidRPr="00001E52" w:rsidRDefault="00001E52" w:rsidP="00001E52">
            <w:pPr>
              <w:pStyle w:val="Tabletext"/>
              <w:jc w:val="center"/>
              <w:rPr>
                <w:sz w:val="20"/>
                <w:szCs w:val="20"/>
              </w:rPr>
            </w:pPr>
            <w:r w:rsidRPr="00001E52">
              <w:rPr>
                <w:sz w:val="20"/>
                <w:szCs w:val="20"/>
              </w:rPr>
              <w:t>1.2</w:t>
            </w:r>
          </w:p>
        </w:tc>
        <w:tc>
          <w:tcPr>
            <w:tcW w:w="672" w:type="dxa"/>
            <w:tcBorders>
              <w:top w:val="nil"/>
              <w:left w:val="nil"/>
              <w:bottom w:val="single" w:sz="4" w:space="0" w:color="FFFFFF"/>
              <w:right w:val="nil"/>
            </w:tcBorders>
            <w:shd w:val="clear" w:color="000000" w:fill="F2F2F2"/>
            <w:vAlign w:val="center"/>
            <w:hideMark/>
          </w:tcPr>
          <w:p w14:paraId="7D67CF92" w14:textId="4382B0A8"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F2F2F2"/>
            <w:vAlign w:val="center"/>
            <w:hideMark/>
          </w:tcPr>
          <w:p w14:paraId="12931871" w14:textId="6CF55D95" w:rsidR="00001E52" w:rsidRPr="00001E52" w:rsidRDefault="00001E52" w:rsidP="00001E52">
            <w:pPr>
              <w:pStyle w:val="Tabletext"/>
              <w:jc w:val="center"/>
              <w:rPr>
                <w:sz w:val="20"/>
                <w:szCs w:val="20"/>
              </w:rPr>
            </w:pPr>
            <w:r w:rsidRPr="00001E52">
              <w:rPr>
                <w:sz w:val="20"/>
                <w:szCs w:val="20"/>
              </w:rPr>
              <w:t>2.4</w:t>
            </w:r>
          </w:p>
        </w:tc>
        <w:tc>
          <w:tcPr>
            <w:tcW w:w="672" w:type="dxa"/>
            <w:tcBorders>
              <w:top w:val="nil"/>
              <w:left w:val="nil"/>
              <w:bottom w:val="single" w:sz="4" w:space="0" w:color="FFFFFF"/>
              <w:right w:val="nil"/>
            </w:tcBorders>
            <w:shd w:val="clear" w:color="000000" w:fill="F2F2F2"/>
            <w:vAlign w:val="center"/>
            <w:hideMark/>
          </w:tcPr>
          <w:p w14:paraId="301D5907" w14:textId="49AAC3BA" w:rsidR="00001E52" w:rsidRPr="00001E52" w:rsidRDefault="00001E52" w:rsidP="00001E52">
            <w:pPr>
              <w:pStyle w:val="Tabletext"/>
              <w:jc w:val="center"/>
              <w:rPr>
                <w:sz w:val="20"/>
                <w:szCs w:val="20"/>
              </w:rPr>
            </w:pPr>
            <w:r w:rsidRPr="00001E52">
              <w:rPr>
                <w:sz w:val="20"/>
                <w:szCs w:val="20"/>
              </w:rPr>
              <w:t>1.7</w:t>
            </w:r>
          </w:p>
        </w:tc>
        <w:tc>
          <w:tcPr>
            <w:tcW w:w="672" w:type="dxa"/>
            <w:tcBorders>
              <w:top w:val="nil"/>
              <w:left w:val="nil"/>
              <w:bottom w:val="single" w:sz="4" w:space="0" w:color="FFFFFF"/>
              <w:right w:val="nil"/>
            </w:tcBorders>
            <w:shd w:val="clear" w:color="000000" w:fill="F2F2F2"/>
            <w:vAlign w:val="center"/>
            <w:hideMark/>
          </w:tcPr>
          <w:p w14:paraId="70ED414C" w14:textId="6C5EE72F" w:rsidR="00001E52" w:rsidRPr="00001E52" w:rsidRDefault="00001E52" w:rsidP="00001E52">
            <w:pPr>
              <w:pStyle w:val="Tabletext"/>
              <w:jc w:val="center"/>
              <w:rPr>
                <w:sz w:val="20"/>
                <w:szCs w:val="20"/>
              </w:rPr>
            </w:pPr>
            <w:r w:rsidRPr="00001E52">
              <w:rPr>
                <w:sz w:val="20"/>
                <w:szCs w:val="20"/>
              </w:rPr>
              <w:t>1.5</w:t>
            </w:r>
          </w:p>
        </w:tc>
        <w:tc>
          <w:tcPr>
            <w:tcW w:w="672" w:type="dxa"/>
            <w:tcBorders>
              <w:top w:val="nil"/>
              <w:left w:val="nil"/>
              <w:bottom w:val="single" w:sz="4" w:space="0" w:color="FFFFFF"/>
              <w:right w:val="nil"/>
            </w:tcBorders>
            <w:shd w:val="clear" w:color="000000" w:fill="F2F2F2"/>
            <w:vAlign w:val="center"/>
            <w:hideMark/>
          </w:tcPr>
          <w:p w14:paraId="58EF060E" w14:textId="6666E922" w:rsidR="00001E52" w:rsidRPr="00001E52" w:rsidRDefault="00001E52" w:rsidP="00001E52">
            <w:pPr>
              <w:pStyle w:val="Tabletext"/>
              <w:jc w:val="center"/>
              <w:rPr>
                <w:sz w:val="20"/>
                <w:szCs w:val="20"/>
              </w:rPr>
            </w:pPr>
            <w:r w:rsidRPr="00001E52">
              <w:rPr>
                <w:sz w:val="20"/>
                <w:szCs w:val="20"/>
              </w:rPr>
              <w:t>0.5</w:t>
            </w:r>
          </w:p>
        </w:tc>
        <w:tc>
          <w:tcPr>
            <w:tcW w:w="672" w:type="dxa"/>
            <w:tcBorders>
              <w:top w:val="nil"/>
              <w:left w:val="nil"/>
              <w:bottom w:val="single" w:sz="4" w:space="0" w:color="FFFFFF"/>
              <w:right w:val="nil"/>
            </w:tcBorders>
            <w:shd w:val="clear" w:color="000000" w:fill="F2F2F2"/>
            <w:vAlign w:val="center"/>
            <w:hideMark/>
          </w:tcPr>
          <w:p w14:paraId="64C83441" w14:textId="559B7ED6" w:rsidR="00001E52" w:rsidRPr="00001E52" w:rsidRDefault="00001E52" w:rsidP="00001E52">
            <w:pPr>
              <w:pStyle w:val="Tabletext"/>
              <w:jc w:val="center"/>
              <w:rPr>
                <w:sz w:val="20"/>
                <w:szCs w:val="20"/>
              </w:rPr>
            </w:pPr>
            <w:r w:rsidRPr="00001E52">
              <w:rPr>
                <w:sz w:val="20"/>
                <w:szCs w:val="20"/>
              </w:rPr>
              <w:t>0.3</w:t>
            </w:r>
          </w:p>
        </w:tc>
        <w:tc>
          <w:tcPr>
            <w:tcW w:w="672" w:type="dxa"/>
            <w:tcBorders>
              <w:top w:val="nil"/>
              <w:left w:val="nil"/>
              <w:bottom w:val="single" w:sz="4" w:space="0" w:color="FFFFFF"/>
              <w:right w:val="nil"/>
            </w:tcBorders>
            <w:shd w:val="clear" w:color="000000" w:fill="F2F2F2"/>
            <w:vAlign w:val="center"/>
            <w:hideMark/>
          </w:tcPr>
          <w:p w14:paraId="6F899467" w14:textId="2EA2A290"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F2F2F2"/>
            <w:vAlign w:val="center"/>
            <w:hideMark/>
          </w:tcPr>
          <w:p w14:paraId="0C0F17C0" w14:textId="1FBDF725"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F2F2F2"/>
            <w:vAlign w:val="center"/>
            <w:hideMark/>
          </w:tcPr>
          <w:p w14:paraId="3A0EDC9E" w14:textId="1CC8440D"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F2F2F2"/>
            <w:vAlign w:val="center"/>
            <w:hideMark/>
          </w:tcPr>
          <w:p w14:paraId="67327841" w14:textId="4DC3ADF2" w:rsidR="00001E52" w:rsidRPr="00001E52" w:rsidRDefault="00001E52" w:rsidP="00001E52">
            <w:pPr>
              <w:pStyle w:val="Tabletext"/>
              <w:jc w:val="center"/>
              <w:rPr>
                <w:sz w:val="20"/>
                <w:szCs w:val="20"/>
              </w:rPr>
            </w:pPr>
            <w:r w:rsidRPr="00001E52">
              <w:rPr>
                <w:sz w:val="20"/>
                <w:szCs w:val="20"/>
              </w:rPr>
              <w:t>0.3</w:t>
            </w:r>
          </w:p>
        </w:tc>
        <w:tc>
          <w:tcPr>
            <w:tcW w:w="672" w:type="dxa"/>
            <w:tcBorders>
              <w:top w:val="nil"/>
              <w:left w:val="nil"/>
              <w:bottom w:val="single" w:sz="4" w:space="0" w:color="FFFFFF"/>
              <w:right w:val="nil"/>
            </w:tcBorders>
            <w:shd w:val="clear" w:color="000000" w:fill="F2F2F2"/>
            <w:vAlign w:val="center"/>
            <w:hideMark/>
          </w:tcPr>
          <w:p w14:paraId="163C542C" w14:textId="5FB66FC2" w:rsidR="00001E52" w:rsidRPr="00001E52" w:rsidRDefault="00001E52" w:rsidP="00001E52">
            <w:pPr>
              <w:pStyle w:val="Tabletext"/>
              <w:jc w:val="center"/>
              <w:rPr>
                <w:sz w:val="20"/>
                <w:szCs w:val="20"/>
              </w:rPr>
            </w:pPr>
            <w:r w:rsidRPr="00001E52">
              <w:rPr>
                <w:sz w:val="20"/>
                <w:szCs w:val="20"/>
              </w:rPr>
              <w:t>0.7</w:t>
            </w:r>
          </w:p>
        </w:tc>
        <w:tc>
          <w:tcPr>
            <w:tcW w:w="672" w:type="dxa"/>
            <w:tcBorders>
              <w:top w:val="nil"/>
              <w:left w:val="nil"/>
              <w:bottom w:val="single" w:sz="4" w:space="0" w:color="FFFFFF"/>
              <w:right w:val="nil"/>
            </w:tcBorders>
            <w:shd w:val="clear" w:color="000000" w:fill="F2F2F2"/>
            <w:vAlign w:val="center"/>
            <w:hideMark/>
          </w:tcPr>
          <w:p w14:paraId="2375C772" w14:textId="5988F83A" w:rsidR="00001E52" w:rsidRPr="00001E52" w:rsidRDefault="00001E52" w:rsidP="00001E52">
            <w:pPr>
              <w:pStyle w:val="Tabletext"/>
              <w:jc w:val="center"/>
              <w:rPr>
                <w:sz w:val="20"/>
                <w:szCs w:val="20"/>
              </w:rPr>
            </w:pPr>
            <w:r w:rsidRPr="00001E52">
              <w:rPr>
                <w:sz w:val="20"/>
                <w:szCs w:val="20"/>
              </w:rPr>
              <w:t>0.7</w:t>
            </w:r>
          </w:p>
        </w:tc>
        <w:tc>
          <w:tcPr>
            <w:tcW w:w="672" w:type="dxa"/>
            <w:tcBorders>
              <w:top w:val="nil"/>
              <w:left w:val="nil"/>
              <w:bottom w:val="single" w:sz="4" w:space="0" w:color="FFFFFF"/>
              <w:right w:val="nil"/>
            </w:tcBorders>
            <w:shd w:val="clear" w:color="000000" w:fill="F2F2F2"/>
            <w:vAlign w:val="center"/>
            <w:hideMark/>
          </w:tcPr>
          <w:p w14:paraId="78712160" w14:textId="18B14FDA" w:rsidR="00001E52" w:rsidRPr="00001E52" w:rsidRDefault="00001E52" w:rsidP="00001E52">
            <w:pPr>
              <w:pStyle w:val="Tabletext"/>
              <w:jc w:val="center"/>
              <w:rPr>
                <w:sz w:val="20"/>
                <w:szCs w:val="20"/>
              </w:rPr>
            </w:pPr>
            <w:r w:rsidRPr="00001E52">
              <w:rPr>
                <w:sz w:val="20"/>
                <w:szCs w:val="20"/>
              </w:rPr>
              <w:t>0.8</w:t>
            </w:r>
          </w:p>
        </w:tc>
        <w:tc>
          <w:tcPr>
            <w:tcW w:w="672" w:type="dxa"/>
            <w:tcBorders>
              <w:top w:val="nil"/>
              <w:left w:val="nil"/>
              <w:bottom w:val="single" w:sz="4" w:space="0" w:color="FFFFFF"/>
              <w:right w:val="nil"/>
            </w:tcBorders>
            <w:shd w:val="clear" w:color="000000" w:fill="F2F2F2"/>
            <w:vAlign w:val="center"/>
            <w:hideMark/>
          </w:tcPr>
          <w:p w14:paraId="271A4C39" w14:textId="75AC1C49" w:rsidR="00001E52" w:rsidRPr="00001E52" w:rsidRDefault="00001E52" w:rsidP="00001E52">
            <w:pPr>
              <w:pStyle w:val="Tabletext"/>
              <w:jc w:val="center"/>
              <w:rPr>
                <w:sz w:val="20"/>
                <w:szCs w:val="20"/>
              </w:rPr>
            </w:pPr>
            <w:r w:rsidRPr="00001E52">
              <w:rPr>
                <w:sz w:val="20"/>
                <w:szCs w:val="20"/>
              </w:rPr>
              <w:t>0.9</w:t>
            </w:r>
          </w:p>
        </w:tc>
      </w:tr>
      <w:tr w:rsidR="00001E52" w:rsidRPr="00FE0871" w14:paraId="64D4066E" w14:textId="77777777" w:rsidTr="00001E52">
        <w:trPr>
          <w:trHeight w:val="170"/>
          <w:jc w:val="center"/>
        </w:trPr>
        <w:tc>
          <w:tcPr>
            <w:tcW w:w="459" w:type="dxa"/>
            <w:tcBorders>
              <w:top w:val="nil"/>
              <w:left w:val="nil"/>
              <w:bottom w:val="single" w:sz="4" w:space="0" w:color="FFFFFF"/>
              <w:right w:val="nil"/>
            </w:tcBorders>
            <w:shd w:val="clear" w:color="000000" w:fill="D9D9D9"/>
            <w:vAlign w:val="center"/>
            <w:hideMark/>
          </w:tcPr>
          <w:p w14:paraId="6E86E34A" w14:textId="77777777" w:rsidR="00001E52" w:rsidRPr="00FE0871" w:rsidRDefault="00001E52" w:rsidP="00001E52">
            <w:pPr>
              <w:pStyle w:val="Tabletext"/>
            </w:pPr>
            <w:r w:rsidRPr="00FE0871">
              <w:t>10</w:t>
            </w:r>
          </w:p>
        </w:tc>
        <w:tc>
          <w:tcPr>
            <w:tcW w:w="2235" w:type="dxa"/>
            <w:tcBorders>
              <w:top w:val="nil"/>
              <w:left w:val="nil"/>
              <w:bottom w:val="single" w:sz="4" w:space="0" w:color="FFFFFF"/>
              <w:right w:val="nil"/>
            </w:tcBorders>
            <w:shd w:val="clear" w:color="000000" w:fill="D9D9D9"/>
            <w:vAlign w:val="center"/>
            <w:hideMark/>
          </w:tcPr>
          <w:p w14:paraId="47CA8A0A" w14:textId="77777777" w:rsidR="00001E52" w:rsidRPr="00FE0871" w:rsidRDefault="00001E52" w:rsidP="00001E52">
            <w:pPr>
              <w:pStyle w:val="Tabletext"/>
            </w:pPr>
            <w:r w:rsidRPr="00FE0871">
              <w:t xml:space="preserve">Real GDP </w:t>
            </w:r>
          </w:p>
        </w:tc>
        <w:tc>
          <w:tcPr>
            <w:tcW w:w="992" w:type="dxa"/>
            <w:tcBorders>
              <w:top w:val="nil"/>
              <w:left w:val="nil"/>
              <w:bottom w:val="single" w:sz="4" w:space="0" w:color="FFFFFF"/>
              <w:right w:val="nil"/>
            </w:tcBorders>
            <w:shd w:val="clear" w:color="000000" w:fill="D9D9D9"/>
            <w:vAlign w:val="center"/>
            <w:hideMark/>
          </w:tcPr>
          <w:p w14:paraId="401E7AB9" w14:textId="77777777" w:rsidR="00001E52" w:rsidRPr="00FE0871" w:rsidRDefault="00001E52" w:rsidP="00001E52">
            <w:pPr>
              <w:pStyle w:val="Tabletext"/>
              <w:rPr>
                <w:sz w:val="18"/>
                <w:szCs w:val="18"/>
              </w:rPr>
            </w:pPr>
            <w:r w:rsidRPr="00FE0871">
              <w:rPr>
                <w:sz w:val="18"/>
                <w:szCs w:val="18"/>
              </w:rPr>
              <w:t>(growth rate)</w:t>
            </w:r>
          </w:p>
        </w:tc>
        <w:tc>
          <w:tcPr>
            <w:tcW w:w="672" w:type="dxa"/>
            <w:tcBorders>
              <w:top w:val="nil"/>
              <w:left w:val="nil"/>
              <w:bottom w:val="single" w:sz="4" w:space="0" w:color="FFFFFF"/>
              <w:right w:val="nil"/>
            </w:tcBorders>
            <w:shd w:val="clear" w:color="000000" w:fill="D9D9D9"/>
            <w:vAlign w:val="center"/>
            <w:hideMark/>
          </w:tcPr>
          <w:p w14:paraId="6C56E3EB" w14:textId="5987F41B" w:rsidR="00001E52" w:rsidRPr="00001E52" w:rsidRDefault="00001E52" w:rsidP="00001E52">
            <w:pPr>
              <w:pStyle w:val="Tabletext"/>
              <w:jc w:val="center"/>
              <w:rPr>
                <w:sz w:val="20"/>
                <w:szCs w:val="20"/>
              </w:rPr>
            </w:pPr>
            <w:r w:rsidRPr="00001E52">
              <w:rPr>
                <w:sz w:val="20"/>
                <w:szCs w:val="20"/>
              </w:rPr>
              <w:t>2.0</w:t>
            </w:r>
          </w:p>
        </w:tc>
        <w:tc>
          <w:tcPr>
            <w:tcW w:w="672" w:type="dxa"/>
            <w:tcBorders>
              <w:top w:val="nil"/>
              <w:left w:val="nil"/>
              <w:bottom w:val="single" w:sz="4" w:space="0" w:color="FFFFFF"/>
              <w:right w:val="nil"/>
            </w:tcBorders>
            <w:shd w:val="clear" w:color="000000" w:fill="D9D9D9"/>
            <w:vAlign w:val="center"/>
            <w:hideMark/>
          </w:tcPr>
          <w:p w14:paraId="5C72B0F8" w14:textId="2DCCA191" w:rsidR="00001E52" w:rsidRPr="00001E52" w:rsidRDefault="00001E52" w:rsidP="00001E52">
            <w:pPr>
              <w:pStyle w:val="Tabletext"/>
              <w:jc w:val="center"/>
              <w:rPr>
                <w:sz w:val="20"/>
                <w:szCs w:val="20"/>
              </w:rPr>
            </w:pPr>
            <w:r w:rsidRPr="00001E52">
              <w:rPr>
                <w:sz w:val="20"/>
                <w:szCs w:val="20"/>
              </w:rPr>
              <w:t>2.2</w:t>
            </w:r>
          </w:p>
        </w:tc>
        <w:tc>
          <w:tcPr>
            <w:tcW w:w="672" w:type="dxa"/>
            <w:tcBorders>
              <w:top w:val="nil"/>
              <w:left w:val="nil"/>
              <w:bottom w:val="single" w:sz="4" w:space="0" w:color="FFFFFF"/>
              <w:right w:val="nil"/>
            </w:tcBorders>
            <w:shd w:val="clear" w:color="000000" w:fill="D9D9D9"/>
            <w:vAlign w:val="center"/>
            <w:hideMark/>
          </w:tcPr>
          <w:p w14:paraId="36FC0B03" w14:textId="3E04FF96" w:rsidR="00001E52" w:rsidRPr="00001E52" w:rsidRDefault="00001E52" w:rsidP="00001E52">
            <w:pPr>
              <w:pStyle w:val="Tabletext"/>
              <w:jc w:val="center"/>
              <w:rPr>
                <w:sz w:val="20"/>
                <w:szCs w:val="20"/>
              </w:rPr>
            </w:pPr>
            <w:r w:rsidRPr="00001E52">
              <w:rPr>
                <w:sz w:val="20"/>
                <w:szCs w:val="20"/>
              </w:rPr>
              <w:t>2.3</w:t>
            </w:r>
          </w:p>
        </w:tc>
        <w:tc>
          <w:tcPr>
            <w:tcW w:w="672" w:type="dxa"/>
            <w:tcBorders>
              <w:top w:val="nil"/>
              <w:left w:val="nil"/>
              <w:bottom w:val="single" w:sz="4" w:space="0" w:color="FFFFFF"/>
              <w:right w:val="nil"/>
            </w:tcBorders>
            <w:shd w:val="clear" w:color="000000" w:fill="D9D9D9"/>
            <w:vAlign w:val="center"/>
            <w:hideMark/>
          </w:tcPr>
          <w:p w14:paraId="7E3F41A9" w14:textId="56FB3C0B" w:rsidR="00001E52" w:rsidRPr="00001E52" w:rsidRDefault="00001E52" w:rsidP="00001E52">
            <w:pPr>
              <w:pStyle w:val="Tabletext"/>
              <w:jc w:val="center"/>
              <w:rPr>
                <w:sz w:val="20"/>
                <w:szCs w:val="20"/>
              </w:rPr>
            </w:pPr>
            <w:r w:rsidRPr="00001E52">
              <w:rPr>
                <w:sz w:val="20"/>
                <w:szCs w:val="20"/>
              </w:rPr>
              <w:t>2.0</w:t>
            </w:r>
          </w:p>
        </w:tc>
        <w:tc>
          <w:tcPr>
            <w:tcW w:w="672" w:type="dxa"/>
            <w:tcBorders>
              <w:top w:val="nil"/>
              <w:left w:val="nil"/>
              <w:bottom w:val="single" w:sz="4" w:space="0" w:color="FFFFFF"/>
              <w:right w:val="nil"/>
            </w:tcBorders>
            <w:shd w:val="clear" w:color="000000" w:fill="D9D9D9"/>
            <w:vAlign w:val="center"/>
            <w:hideMark/>
          </w:tcPr>
          <w:p w14:paraId="5BC6ECD9" w14:textId="22DBAB44" w:rsidR="00001E52" w:rsidRPr="00001E52" w:rsidRDefault="00001E52" w:rsidP="00001E52">
            <w:pPr>
              <w:pStyle w:val="Tabletext"/>
              <w:jc w:val="center"/>
              <w:rPr>
                <w:sz w:val="20"/>
                <w:szCs w:val="20"/>
              </w:rPr>
            </w:pPr>
            <w:r w:rsidRPr="00001E52">
              <w:rPr>
                <w:sz w:val="20"/>
                <w:szCs w:val="20"/>
              </w:rPr>
              <w:t>1.4</w:t>
            </w:r>
          </w:p>
        </w:tc>
        <w:tc>
          <w:tcPr>
            <w:tcW w:w="672" w:type="dxa"/>
            <w:tcBorders>
              <w:top w:val="nil"/>
              <w:left w:val="nil"/>
              <w:bottom w:val="single" w:sz="4" w:space="0" w:color="FFFFFF"/>
              <w:right w:val="nil"/>
            </w:tcBorders>
            <w:shd w:val="clear" w:color="000000" w:fill="D9D9D9"/>
            <w:vAlign w:val="center"/>
            <w:hideMark/>
          </w:tcPr>
          <w:p w14:paraId="797935CB" w14:textId="7D55DAF1" w:rsidR="00001E52" w:rsidRPr="00001E52" w:rsidRDefault="00001E52" w:rsidP="00001E52">
            <w:pPr>
              <w:pStyle w:val="Tabletext"/>
              <w:jc w:val="center"/>
              <w:rPr>
                <w:sz w:val="20"/>
                <w:szCs w:val="20"/>
              </w:rPr>
            </w:pPr>
            <w:r w:rsidRPr="00001E52">
              <w:rPr>
                <w:sz w:val="20"/>
                <w:szCs w:val="20"/>
              </w:rPr>
              <w:t>1.1</w:t>
            </w:r>
          </w:p>
        </w:tc>
        <w:tc>
          <w:tcPr>
            <w:tcW w:w="672" w:type="dxa"/>
            <w:tcBorders>
              <w:top w:val="nil"/>
              <w:left w:val="nil"/>
              <w:bottom w:val="single" w:sz="4" w:space="0" w:color="FFFFFF"/>
              <w:right w:val="nil"/>
            </w:tcBorders>
            <w:shd w:val="clear" w:color="000000" w:fill="D9D9D9"/>
            <w:vAlign w:val="center"/>
            <w:hideMark/>
          </w:tcPr>
          <w:p w14:paraId="3A119B57" w14:textId="37336AA7" w:rsidR="00001E52" w:rsidRPr="00001E52" w:rsidRDefault="00001E52" w:rsidP="00001E52">
            <w:pPr>
              <w:pStyle w:val="Tabletext"/>
              <w:jc w:val="center"/>
              <w:rPr>
                <w:sz w:val="20"/>
                <w:szCs w:val="20"/>
              </w:rPr>
            </w:pPr>
            <w:r w:rsidRPr="00001E52">
              <w:rPr>
                <w:sz w:val="20"/>
                <w:szCs w:val="20"/>
              </w:rPr>
              <w:t>0.5</w:t>
            </w:r>
          </w:p>
        </w:tc>
        <w:tc>
          <w:tcPr>
            <w:tcW w:w="672" w:type="dxa"/>
            <w:tcBorders>
              <w:top w:val="nil"/>
              <w:left w:val="nil"/>
              <w:bottom w:val="single" w:sz="4" w:space="0" w:color="FFFFFF"/>
              <w:right w:val="nil"/>
            </w:tcBorders>
            <w:shd w:val="clear" w:color="000000" w:fill="D9D9D9"/>
            <w:vAlign w:val="center"/>
            <w:hideMark/>
          </w:tcPr>
          <w:p w14:paraId="50813657" w14:textId="79D705FD" w:rsidR="00001E52" w:rsidRPr="00001E52" w:rsidRDefault="00001E52" w:rsidP="00001E52">
            <w:pPr>
              <w:pStyle w:val="Tabletext"/>
              <w:jc w:val="center"/>
              <w:rPr>
                <w:sz w:val="20"/>
                <w:szCs w:val="20"/>
              </w:rPr>
            </w:pPr>
            <w:r w:rsidRPr="00001E52">
              <w:rPr>
                <w:sz w:val="20"/>
                <w:szCs w:val="20"/>
              </w:rPr>
              <w:t>0.3</w:t>
            </w:r>
          </w:p>
        </w:tc>
        <w:tc>
          <w:tcPr>
            <w:tcW w:w="672" w:type="dxa"/>
            <w:tcBorders>
              <w:top w:val="nil"/>
              <w:left w:val="nil"/>
              <w:bottom w:val="single" w:sz="4" w:space="0" w:color="FFFFFF"/>
              <w:right w:val="nil"/>
            </w:tcBorders>
            <w:shd w:val="clear" w:color="000000" w:fill="D9D9D9"/>
            <w:vAlign w:val="center"/>
            <w:hideMark/>
          </w:tcPr>
          <w:p w14:paraId="080E8A5D" w14:textId="302BE98F"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D9D9D9"/>
            <w:vAlign w:val="center"/>
            <w:hideMark/>
          </w:tcPr>
          <w:p w14:paraId="30DED4B3" w14:textId="219973B4"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D9D9D9"/>
            <w:vAlign w:val="center"/>
            <w:hideMark/>
          </w:tcPr>
          <w:p w14:paraId="6F92925E" w14:textId="57871A88" w:rsidR="00001E52" w:rsidRPr="00001E52" w:rsidRDefault="00001E52" w:rsidP="00001E52">
            <w:pPr>
              <w:pStyle w:val="Tabletext"/>
              <w:jc w:val="center"/>
              <w:rPr>
                <w:sz w:val="20"/>
                <w:szCs w:val="20"/>
              </w:rPr>
            </w:pPr>
            <w:r w:rsidRPr="00001E52">
              <w:rPr>
                <w:sz w:val="20"/>
                <w:szCs w:val="20"/>
              </w:rPr>
              <w:t>0.2</w:t>
            </w:r>
          </w:p>
        </w:tc>
        <w:tc>
          <w:tcPr>
            <w:tcW w:w="672" w:type="dxa"/>
            <w:tcBorders>
              <w:top w:val="nil"/>
              <w:left w:val="nil"/>
              <w:bottom w:val="single" w:sz="4" w:space="0" w:color="FFFFFF"/>
              <w:right w:val="nil"/>
            </w:tcBorders>
            <w:shd w:val="clear" w:color="000000" w:fill="D9D9D9"/>
            <w:vAlign w:val="center"/>
            <w:hideMark/>
          </w:tcPr>
          <w:p w14:paraId="65061AF4" w14:textId="42B7357B" w:rsidR="00001E52" w:rsidRPr="00001E52" w:rsidRDefault="00001E52" w:rsidP="00001E52">
            <w:pPr>
              <w:pStyle w:val="Tabletext"/>
              <w:jc w:val="center"/>
              <w:rPr>
                <w:sz w:val="20"/>
                <w:szCs w:val="20"/>
              </w:rPr>
            </w:pPr>
            <w:r w:rsidRPr="00001E52">
              <w:rPr>
                <w:sz w:val="20"/>
                <w:szCs w:val="20"/>
              </w:rPr>
              <w:t>0.3</w:t>
            </w:r>
          </w:p>
        </w:tc>
        <w:tc>
          <w:tcPr>
            <w:tcW w:w="672" w:type="dxa"/>
            <w:tcBorders>
              <w:top w:val="nil"/>
              <w:left w:val="nil"/>
              <w:bottom w:val="single" w:sz="4" w:space="0" w:color="FFFFFF"/>
              <w:right w:val="nil"/>
            </w:tcBorders>
            <w:shd w:val="clear" w:color="000000" w:fill="D9D9D9"/>
            <w:vAlign w:val="center"/>
            <w:hideMark/>
          </w:tcPr>
          <w:p w14:paraId="3644F7C1" w14:textId="48D16F3B" w:rsidR="00001E52" w:rsidRPr="00001E52" w:rsidRDefault="00001E52" w:rsidP="00001E52">
            <w:pPr>
              <w:pStyle w:val="Tabletext"/>
              <w:jc w:val="center"/>
              <w:rPr>
                <w:sz w:val="20"/>
                <w:szCs w:val="20"/>
              </w:rPr>
            </w:pPr>
            <w:r w:rsidRPr="00001E52">
              <w:rPr>
                <w:sz w:val="20"/>
                <w:szCs w:val="20"/>
              </w:rPr>
              <w:t>0.7</w:t>
            </w:r>
          </w:p>
        </w:tc>
        <w:tc>
          <w:tcPr>
            <w:tcW w:w="672" w:type="dxa"/>
            <w:tcBorders>
              <w:top w:val="nil"/>
              <w:left w:val="nil"/>
              <w:bottom w:val="single" w:sz="4" w:space="0" w:color="FFFFFF"/>
              <w:right w:val="nil"/>
            </w:tcBorders>
            <w:shd w:val="clear" w:color="000000" w:fill="D9D9D9"/>
            <w:vAlign w:val="center"/>
            <w:hideMark/>
          </w:tcPr>
          <w:p w14:paraId="0EE17D49" w14:textId="47D83522" w:rsidR="00001E52" w:rsidRPr="00001E52" w:rsidRDefault="00001E52" w:rsidP="00001E52">
            <w:pPr>
              <w:pStyle w:val="Tabletext"/>
              <w:jc w:val="center"/>
              <w:rPr>
                <w:sz w:val="20"/>
                <w:szCs w:val="20"/>
              </w:rPr>
            </w:pPr>
            <w:r w:rsidRPr="00001E52">
              <w:rPr>
                <w:sz w:val="20"/>
                <w:szCs w:val="20"/>
              </w:rPr>
              <w:t>0.7</w:t>
            </w:r>
          </w:p>
        </w:tc>
        <w:tc>
          <w:tcPr>
            <w:tcW w:w="672" w:type="dxa"/>
            <w:tcBorders>
              <w:top w:val="nil"/>
              <w:left w:val="nil"/>
              <w:bottom w:val="single" w:sz="4" w:space="0" w:color="FFFFFF"/>
              <w:right w:val="nil"/>
            </w:tcBorders>
            <w:shd w:val="clear" w:color="000000" w:fill="D9D9D9"/>
            <w:vAlign w:val="center"/>
            <w:hideMark/>
          </w:tcPr>
          <w:p w14:paraId="7B9008A5" w14:textId="2FA0D6DE" w:rsidR="00001E52" w:rsidRPr="00001E52" w:rsidRDefault="00001E52" w:rsidP="00001E52">
            <w:pPr>
              <w:pStyle w:val="Tabletext"/>
              <w:jc w:val="center"/>
              <w:rPr>
                <w:sz w:val="20"/>
                <w:szCs w:val="20"/>
              </w:rPr>
            </w:pPr>
            <w:r w:rsidRPr="00001E52">
              <w:rPr>
                <w:sz w:val="20"/>
                <w:szCs w:val="20"/>
              </w:rPr>
              <w:t>0.8</w:t>
            </w:r>
          </w:p>
        </w:tc>
        <w:tc>
          <w:tcPr>
            <w:tcW w:w="672" w:type="dxa"/>
            <w:tcBorders>
              <w:top w:val="nil"/>
              <w:left w:val="nil"/>
              <w:bottom w:val="single" w:sz="4" w:space="0" w:color="FFFFFF"/>
              <w:right w:val="nil"/>
            </w:tcBorders>
            <w:shd w:val="clear" w:color="000000" w:fill="D9D9D9"/>
            <w:vAlign w:val="center"/>
            <w:hideMark/>
          </w:tcPr>
          <w:p w14:paraId="5FA8ABCF" w14:textId="1EFC8BB5" w:rsidR="00001E52" w:rsidRPr="00001E52" w:rsidRDefault="00001E52" w:rsidP="00001E52">
            <w:pPr>
              <w:pStyle w:val="Tabletext"/>
              <w:jc w:val="center"/>
              <w:rPr>
                <w:sz w:val="20"/>
                <w:szCs w:val="20"/>
              </w:rPr>
            </w:pPr>
            <w:r w:rsidRPr="00001E52">
              <w:rPr>
                <w:sz w:val="20"/>
                <w:szCs w:val="20"/>
              </w:rPr>
              <w:t>0.9</w:t>
            </w:r>
          </w:p>
        </w:tc>
      </w:tr>
      <w:tr w:rsidR="00001E52" w:rsidRPr="00FE0871" w14:paraId="6A326E75" w14:textId="77777777" w:rsidTr="00001E52">
        <w:trPr>
          <w:trHeight w:val="170"/>
          <w:jc w:val="center"/>
        </w:trPr>
        <w:tc>
          <w:tcPr>
            <w:tcW w:w="459" w:type="dxa"/>
            <w:tcBorders>
              <w:top w:val="nil"/>
              <w:left w:val="nil"/>
              <w:bottom w:val="single" w:sz="4" w:space="0" w:color="FFFFFF"/>
              <w:right w:val="nil"/>
            </w:tcBorders>
            <w:shd w:val="clear" w:color="000000" w:fill="F2F2F2"/>
            <w:vAlign w:val="center"/>
            <w:hideMark/>
          </w:tcPr>
          <w:p w14:paraId="350788D2" w14:textId="77777777" w:rsidR="00001E52" w:rsidRPr="00FE0871" w:rsidRDefault="00001E52" w:rsidP="00001E52">
            <w:pPr>
              <w:pStyle w:val="Tabletext"/>
            </w:pPr>
            <w:r w:rsidRPr="00FE0871">
              <w:t>11</w:t>
            </w:r>
          </w:p>
        </w:tc>
        <w:tc>
          <w:tcPr>
            <w:tcW w:w="2235" w:type="dxa"/>
            <w:tcBorders>
              <w:top w:val="nil"/>
              <w:left w:val="nil"/>
              <w:bottom w:val="single" w:sz="4" w:space="0" w:color="FFFFFF"/>
              <w:right w:val="nil"/>
            </w:tcBorders>
            <w:shd w:val="clear" w:color="000000" w:fill="F2F2F2"/>
            <w:vAlign w:val="center"/>
            <w:hideMark/>
          </w:tcPr>
          <w:p w14:paraId="7D18B87A" w14:textId="77777777" w:rsidR="00001E52" w:rsidRPr="00FE0871" w:rsidRDefault="00001E52" w:rsidP="00001E52">
            <w:pPr>
              <w:pStyle w:val="Tabletext"/>
            </w:pPr>
            <w:r w:rsidRPr="00FE0871">
              <w:t xml:space="preserve">GDP deflator </w:t>
            </w:r>
          </w:p>
        </w:tc>
        <w:tc>
          <w:tcPr>
            <w:tcW w:w="992" w:type="dxa"/>
            <w:tcBorders>
              <w:top w:val="nil"/>
              <w:left w:val="nil"/>
              <w:bottom w:val="single" w:sz="4" w:space="0" w:color="FFFFFF"/>
              <w:right w:val="nil"/>
            </w:tcBorders>
            <w:shd w:val="clear" w:color="000000" w:fill="F2F2F2"/>
            <w:vAlign w:val="center"/>
            <w:hideMark/>
          </w:tcPr>
          <w:p w14:paraId="386A1882" w14:textId="77777777" w:rsidR="00001E52" w:rsidRPr="00FE0871" w:rsidRDefault="00001E52" w:rsidP="00001E52">
            <w:pPr>
              <w:pStyle w:val="Tabletext"/>
              <w:rPr>
                <w:sz w:val="18"/>
                <w:szCs w:val="18"/>
              </w:rPr>
            </w:pPr>
            <w:r w:rsidRPr="00FE0871">
              <w:rPr>
                <w:sz w:val="18"/>
                <w:szCs w:val="18"/>
              </w:rPr>
              <w:t>(growth rate)</w:t>
            </w:r>
          </w:p>
        </w:tc>
        <w:tc>
          <w:tcPr>
            <w:tcW w:w="672" w:type="dxa"/>
            <w:tcBorders>
              <w:top w:val="nil"/>
              <w:left w:val="nil"/>
              <w:bottom w:val="single" w:sz="4" w:space="0" w:color="FFFFFF"/>
              <w:right w:val="nil"/>
            </w:tcBorders>
            <w:shd w:val="clear" w:color="000000" w:fill="F2F2F2"/>
            <w:vAlign w:val="center"/>
            <w:hideMark/>
          </w:tcPr>
          <w:p w14:paraId="593AF430" w14:textId="606814D7" w:rsidR="00001E52" w:rsidRPr="00001E52" w:rsidRDefault="00001E52" w:rsidP="00001E52">
            <w:pPr>
              <w:pStyle w:val="Tabletext"/>
              <w:jc w:val="center"/>
              <w:rPr>
                <w:sz w:val="20"/>
                <w:szCs w:val="20"/>
              </w:rPr>
            </w:pPr>
            <w:r w:rsidRPr="00001E52">
              <w:rPr>
                <w:sz w:val="20"/>
                <w:szCs w:val="20"/>
              </w:rPr>
              <w:t>4.5</w:t>
            </w:r>
          </w:p>
        </w:tc>
        <w:tc>
          <w:tcPr>
            <w:tcW w:w="672" w:type="dxa"/>
            <w:tcBorders>
              <w:top w:val="nil"/>
              <w:left w:val="nil"/>
              <w:bottom w:val="single" w:sz="4" w:space="0" w:color="FFFFFF"/>
              <w:right w:val="nil"/>
            </w:tcBorders>
            <w:shd w:val="clear" w:color="000000" w:fill="F2F2F2"/>
            <w:vAlign w:val="center"/>
            <w:hideMark/>
          </w:tcPr>
          <w:p w14:paraId="45B6C1C9" w14:textId="24773E34" w:rsidR="00001E52" w:rsidRPr="00001E52" w:rsidRDefault="00001E52" w:rsidP="00001E52">
            <w:pPr>
              <w:pStyle w:val="Tabletext"/>
              <w:jc w:val="center"/>
              <w:rPr>
                <w:sz w:val="20"/>
                <w:szCs w:val="20"/>
              </w:rPr>
            </w:pPr>
            <w:r w:rsidRPr="00001E52">
              <w:rPr>
                <w:sz w:val="20"/>
                <w:szCs w:val="20"/>
              </w:rPr>
              <w:t>3.0</w:t>
            </w:r>
          </w:p>
        </w:tc>
        <w:tc>
          <w:tcPr>
            <w:tcW w:w="672" w:type="dxa"/>
            <w:tcBorders>
              <w:top w:val="nil"/>
              <w:left w:val="nil"/>
              <w:bottom w:val="single" w:sz="4" w:space="0" w:color="FFFFFF"/>
              <w:right w:val="nil"/>
            </w:tcBorders>
            <w:shd w:val="clear" w:color="000000" w:fill="F2F2F2"/>
            <w:vAlign w:val="center"/>
            <w:hideMark/>
          </w:tcPr>
          <w:p w14:paraId="0F350886" w14:textId="698691BB" w:rsidR="00001E52" w:rsidRPr="00001E52" w:rsidRDefault="00001E52" w:rsidP="00001E52">
            <w:pPr>
              <w:pStyle w:val="Tabletext"/>
              <w:jc w:val="center"/>
              <w:rPr>
                <w:sz w:val="20"/>
                <w:szCs w:val="20"/>
              </w:rPr>
            </w:pPr>
            <w:r w:rsidRPr="00001E52">
              <w:rPr>
                <w:sz w:val="20"/>
                <w:szCs w:val="20"/>
              </w:rPr>
              <w:t>2.2</w:t>
            </w:r>
          </w:p>
        </w:tc>
        <w:tc>
          <w:tcPr>
            <w:tcW w:w="672" w:type="dxa"/>
            <w:tcBorders>
              <w:top w:val="nil"/>
              <w:left w:val="nil"/>
              <w:bottom w:val="single" w:sz="4" w:space="0" w:color="FFFFFF"/>
              <w:right w:val="nil"/>
            </w:tcBorders>
            <w:shd w:val="clear" w:color="000000" w:fill="F2F2F2"/>
            <w:vAlign w:val="center"/>
            <w:hideMark/>
          </w:tcPr>
          <w:p w14:paraId="0094C19E" w14:textId="70533140" w:rsidR="00001E52" w:rsidRPr="00001E52" w:rsidRDefault="00001E52" w:rsidP="00001E52">
            <w:pPr>
              <w:pStyle w:val="Tabletext"/>
              <w:jc w:val="center"/>
              <w:rPr>
                <w:sz w:val="20"/>
                <w:szCs w:val="20"/>
              </w:rPr>
            </w:pPr>
            <w:r w:rsidRPr="00001E52">
              <w:rPr>
                <w:sz w:val="20"/>
                <w:szCs w:val="20"/>
              </w:rPr>
              <w:t>2.3</w:t>
            </w:r>
          </w:p>
        </w:tc>
        <w:tc>
          <w:tcPr>
            <w:tcW w:w="672" w:type="dxa"/>
            <w:tcBorders>
              <w:top w:val="nil"/>
              <w:left w:val="nil"/>
              <w:bottom w:val="single" w:sz="4" w:space="0" w:color="FFFFFF"/>
              <w:right w:val="nil"/>
            </w:tcBorders>
            <w:shd w:val="clear" w:color="000000" w:fill="F2F2F2"/>
            <w:vAlign w:val="center"/>
            <w:hideMark/>
          </w:tcPr>
          <w:p w14:paraId="65D48211" w14:textId="75336ACD" w:rsidR="00001E52" w:rsidRPr="00001E52" w:rsidRDefault="00001E52" w:rsidP="00001E52">
            <w:pPr>
              <w:pStyle w:val="Tabletext"/>
              <w:jc w:val="center"/>
              <w:rPr>
                <w:sz w:val="20"/>
                <w:szCs w:val="20"/>
              </w:rPr>
            </w:pPr>
            <w:r w:rsidRPr="00001E52">
              <w:rPr>
                <w:sz w:val="20"/>
                <w:szCs w:val="20"/>
              </w:rPr>
              <w:t>2.3</w:t>
            </w:r>
          </w:p>
        </w:tc>
        <w:tc>
          <w:tcPr>
            <w:tcW w:w="672" w:type="dxa"/>
            <w:tcBorders>
              <w:top w:val="nil"/>
              <w:left w:val="nil"/>
              <w:bottom w:val="single" w:sz="4" w:space="0" w:color="FFFFFF"/>
              <w:right w:val="nil"/>
            </w:tcBorders>
            <w:shd w:val="clear" w:color="000000" w:fill="F2F2F2"/>
            <w:vAlign w:val="center"/>
            <w:hideMark/>
          </w:tcPr>
          <w:p w14:paraId="248EC4CF" w14:textId="08F8A503" w:rsidR="00001E52" w:rsidRPr="00001E52" w:rsidRDefault="00001E52" w:rsidP="00001E52">
            <w:pPr>
              <w:pStyle w:val="Tabletext"/>
              <w:jc w:val="center"/>
              <w:rPr>
                <w:sz w:val="20"/>
                <w:szCs w:val="20"/>
              </w:rPr>
            </w:pPr>
            <w:r w:rsidRPr="00001E52">
              <w:rPr>
                <w:sz w:val="20"/>
                <w:szCs w:val="20"/>
              </w:rPr>
              <w:t>2.4</w:t>
            </w:r>
          </w:p>
        </w:tc>
        <w:tc>
          <w:tcPr>
            <w:tcW w:w="672" w:type="dxa"/>
            <w:tcBorders>
              <w:top w:val="nil"/>
              <w:left w:val="nil"/>
              <w:bottom w:val="single" w:sz="4" w:space="0" w:color="FFFFFF"/>
              <w:right w:val="nil"/>
            </w:tcBorders>
            <w:shd w:val="clear" w:color="000000" w:fill="F2F2F2"/>
            <w:vAlign w:val="center"/>
            <w:hideMark/>
          </w:tcPr>
          <w:p w14:paraId="1420F718" w14:textId="1D0D6B07" w:rsidR="00001E52" w:rsidRPr="00001E52" w:rsidRDefault="00001E52" w:rsidP="00001E52">
            <w:pPr>
              <w:pStyle w:val="Tabletext"/>
              <w:jc w:val="center"/>
              <w:rPr>
                <w:sz w:val="20"/>
                <w:szCs w:val="20"/>
              </w:rPr>
            </w:pPr>
            <w:r w:rsidRPr="00001E52">
              <w:rPr>
                <w:sz w:val="20"/>
                <w:szCs w:val="20"/>
              </w:rPr>
              <w:t>2.4</w:t>
            </w:r>
          </w:p>
        </w:tc>
        <w:tc>
          <w:tcPr>
            <w:tcW w:w="672" w:type="dxa"/>
            <w:tcBorders>
              <w:top w:val="nil"/>
              <w:left w:val="nil"/>
              <w:bottom w:val="single" w:sz="4" w:space="0" w:color="FFFFFF"/>
              <w:right w:val="nil"/>
            </w:tcBorders>
            <w:shd w:val="clear" w:color="000000" w:fill="F2F2F2"/>
            <w:vAlign w:val="center"/>
            <w:hideMark/>
          </w:tcPr>
          <w:p w14:paraId="4FB4088B" w14:textId="08BD95D7" w:rsidR="00001E52" w:rsidRPr="00001E52" w:rsidRDefault="00001E52" w:rsidP="00001E52">
            <w:pPr>
              <w:pStyle w:val="Tabletext"/>
              <w:jc w:val="center"/>
              <w:rPr>
                <w:sz w:val="20"/>
                <w:szCs w:val="20"/>
              </w:rPr>
            </w:pPr>
            <w:r w:rsidRPr="00001E52">
              <w:rPr>
                <w:sz w:val="20"/>
                <w:szCs w:val="20"/>
              </w:rPr>
              <w:t>2.4</w:t>
            </w:r>
          </w:p>
        </w:tc>
        <w:tc>
          <w:tcPr>
            <w:tcW w:w="672" w:type="dxa"/>
            <w:tcBorders>
              <w:top w:val="nil"/>
              <w:left w:val="nil"/>
              <w:bottom w:val="single" w:sz="4" w:space="0" w:color="FFFFFF"/>
              <w:right w:val="nil"/>
            </w:tcBorders>
            <w:shd w:val="clear" w:color="000000" w:fill="F2F2F2"/>
            <w:vAlign w:val="center"/>
            <w:hideMark/>
          </w:tcPr>
          <w:p w14:paraId="48B89882" w14:textId="273C7EC1"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F2F2F2"/>
            <w:vAlign w:val="center"/>
            <w:hideMark/>
          </w:tcPr>
          <w:p w14:paraId="6CBF8F29" w14:textId="256EA955"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F2F2F2"/>
            <w:vAlign w:val="center"/>
            <w:hideMark/>
          </w:tcPr>
          <w:p w14:paraId="0BE4133B" w14:textId="6B5A2ACB" w:rsidR="00001E52" w:rsidRPr="00001E52" w:rsidRDefault="00001E52" w:rsidP="00001E52">
            <w:pPr>
              <w:pStyle w:val="Tabletext"/>
              <w:jc w:val="center"/>
              <w:rPr>
                <w:sz w:val="20"/>
                <w:szCs w:val="20"/>
              </w:rPr>
            </w:pPr>
            <w:r w:rsidRPr="00001E52">
              <w:rPr>
                <w:sz w:val="20"/>
                <w:szCs w:val="20"/>
              </w:rPr>
              <w:t>2.6</w:t>
            </w:r>
          </w:p>
        </w:tc>
        <w:tc>
          <w:tcPr>
            <w:tcW w:w="672" w:type="dxa"/>
            <w:tcBorders>
              <w:top w:val="nil"/>
              <w:left w:val="nil"/>
              <w:bottom w:val="single" w:sz="4" w:space="0" w:color="FFFFFF"/>
              <w:right w:val="nil"/>
            </w:tcBorders>
            <w:shd w:val="clear" w:color="000000" w:fill="F2F2F2"/>
            <w:vAlign w:val="center"/>
            <w:hideMark/>
          </w:tcPr>
          <w:p w14:paraId="47C2714F" w14:textId="18C381C6"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F2F2F2"/>
            <w:vAlign w:val="center"/>
            <w:hideMark/>
          </w:tcPr>
          <w:p w14:paraId="0981CA5B" w14:textId="4C4C5CF3"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F2F2F2"/>
            <w:vAlign w:val="center"/>
            <w:hideMark/>
          </w:tcPr>
          <w:p w14:paraId="533CB2B0" w14:textId="39A42CEA" w:rsidR="00001E52" w:rsidRPr="00001E52" w:rsidRDefault="00001E52" w:rsidP="00001E52">
            <w:pPr>
              <w:pStyle w:val="Tabletext"/>
              <w:jc w:val="center"/>
              <w:rPr>
                <w:sz w:val="20"/>
                <w:szCs w:val="20"/>
              </w:rPr>
            </w:pPr>
            <w:r w:rsidRPr="00001E52">
              <w:rPr>
                <w:sz w:val="20"/>
                <w:szCs w:val="20"/>
              </w:rPr>
              <w:t>2.5</w:t>
            </w:r>
          </w:p>
        </w:tc>
        <w:tc>
          <w:tcPr>
            <w:tcW w:w="672" w:type="dxa"/>
            <w:tcBorders>
              <w:top w:val="nil"/>
              <w:left w:val="nil"/>
              <w:bottom w:val="single" w:sz="4" w:space="0" w:color="FFFFFF"/>
              <w:right w:val="nil"/>
            </w:tcBorders>
            <w:shd w:val="clear" w:color="000000" w:fill="F2F2F2"/>
            <w:vAlign w:val="center"/>
            <w:hideMark/>
          </w:tcPr>
          <w:p w14:paraId="5A9FFB87" w14:textId="60BFBB01" w:rsidR="00001E52" w:rsidRPr="00001E52" w:rsidRDefault="00001E52" w:rsidP="00001E52">
            <w:pPr>
              <w:pStyle w:val="Tabletext"/>
              <w:jc w:val="center"/>
              <w:rPr>
                <w:sz w:val="20"/>
                <w:szCs w:val="20"/>
              </w:rPr>
            </w:pPr>
            <w:r w:rsidRPr="00001E52">
              <w:rPr>
                <w:sz w:val="20"/>
                <w:szCs w:val="20"/>
              </w:rPr>
              <w:t>2.4</w:t>
            </w:r>
          </w:p>
        </w:tc>
        <w:tc>
          <w:tcPr>
            <w:tcW w:w="672" w:type="dxa"/>
            <w:tcBorders>
              <w:top w:val="nil"/>
              <w:left w:val="nil"/>
              <w:bottom w:val="single" w:sz="4" w:space="0" w:color="FFFFFF"/>
              <w:right w:val="nil"/>
            </w:tcBorders>
            <w:shd w:val="clear" w:color="000000" w:fill="F2F2F2"/>
            <w:vAlign w:val="center"/>
            <w:hideMark/>
          </w:tcPr>
          <w:p w14:paraId="468151F8" w14:textId="694EC28E" w:rsidR="00001E52" w:rsidRPr="00001E52" w:rsidRDefault="00001E52" w:rsidP="00001E52">
            <w:pPr>
              <w:pStyle w:val="Tabletext"/>
              <w:jc w:val="center"/>
              <w:rPr>
                <w:sz w:val="20"/>
                <w:szCs w:val="20"/>
              </w:rPr>
            </w:pPr>
            <w:r w:rsidRPr="00001E52">
              <w:rPr>
                <w:sz w:val="20"/>
                <w:szCs w:val="20"/>
              </w:rPr>
              <w:t>2.4</w:t>
            </w:r>
          </w:p>
        </w:tc>
      </w:tr>
      <w:tr w:rsidR="00001E52" w:rsidRPr="00FE0871" w14:paraId="5446ABA1" w14:textId="77777777" w:rsidTr="00001E52">
        <w:trPr>
          <w:trHeight w:val="170"/>
          <w:jc w:val="center"/>
        </w:trPr>
        <w:tc>
          <w:tcPr>
            <w:tcW w:w="459" w:type="dxa"/>
            <w:tcBorders>
              <w:top w:val="nil"/>
              <w:left w:val="nil"/>
              <w:bottom w:val="single" w:sz="4" w:space="0" w:color="FFFFFF"/>
              <w:right w:val="nil"/>
            </w:tcBorders>
            <w:shd w:val="clear" w:color="000000" w:fill="D9D9D9"/>
            <w:vAlign w:val="center"/>
            <w:hideMark/>
          </w:tcPr>
          <w:p w14:paraId="2BC476C4" w14:textId="77777777" w:rsidR="00001E52" w:rsidRPr="00FE0871" w:rsidRDefault="00001E52" w:rsidP="00001E52">
            <w:pPr>
              <w:pStyle w:val="Tabletext"/>
            </w:pPr>
            <w:r w:rsidRPr="00FE0871">
              <w:t>12</w:t>
            </w:r>
          </w:p>
        </w:tc>
        <w:tc>
          <w:tcPr>
            <w:tcW w:w="2235" w:type="dxa"/>
            <w:tcBorders>
              <w:top w:val="nil"/>
              <w:left w:val="nil"/>
              <w:bottom w:val="single" w:sz="4" w:space="0" w:color="FFFFFF"/>
              <w:right w:val="nil"/>
            </w:tcBorders>
            <w:shd w:val="clear" w:color="000000" w:fill="D9D9D9"/>
            <w:vAlign w:val="center"/>
            <w:hideMark/>
          </w:tcPr>
          <w:p w14:paraId="2B0D0523" w14:textId="77777777" w:rsidR="00001E52" w:rsidRPr="00FE0871" w:rsidRDefault="00001E52" w:rsidP="00001E52">
            <w:pPr>
              <w:pStyle w:val="Tabletext"/>
            </w:pPr>
            <w:r w:rsidRPr="00FE0871">
              <w:t xml:space="preserve">Nominal GDP </w:t>
            </w:r>
          </w:p>
        </w:tc>
        <w:tc>
          <w:tcPr>
            <w:tcW w:w="992" w:type="dxa"/>
            <w:tcBorders>
              <w:top w:val="nil"/>
              <w:left w:val="nil"/>
              <w:bottom w:val="single" w:sz="4" w:space="0" w:color="FFFFFF"/>
              <w:right w:val="nil"/>
            </w:tcBorders>
            <w:shd w:val="clear" w:color="000000" w:fill="D9D9D9"/>
            <w:vAlign w:val="center"/>
            <w:hideMark/>
          </w:tcPr>
          <w:p w14:paraId="2D8AD194" w14:textId="77777777" w:rsidR="00001E52" w:rsidRPr="00FE0871" w:rsidRDefault="00001E52" w:rsidP="00001E52">
            <w:pPr>
              <w:pStyle w:val="Tabletext"/>
              <w:rPr>
                <w:sz w:val="18"/>
                <w:szCs w:val="18"/>
              </w:rPr>
            </w:pPr>
            <w:r w:rsidRPr="00FE0871">
              <w:rPr>
                <w:sz w:val="18"/>
                <w:szCs w:val="18"/>
              </w:rPr>
              <w:t>(growth rate)</w:t>
            </w:r>
          </w:p>
        </w:tc>
        <w:tc>
          <w:tcPr>
            <w:tcW w:w="672" w:type="dxa"/>
            <w:tcBorders>
              <w:top w:val="nil"/>
              <w:left w:val="nil"/>
              <w:bottom w:val="single" w:sz="4" w:space="0" w:color="FFFFFF"/>
              <w:right w:val="nil"/>
            </w:tcBorders>
            <w:shd w:val="clear" w:color="000000" w:fill="D9D9D9"/>
            <w:vAlign w:val="center"/>
            <w:hideMark/>
          </w:tcPr>
          <w:p w14:paraId="4196E7A4" w14:textId="1CF48E2E" w:rsidR="00001E52" w:rsidRPr="00001E52" w:rsidRDefault="00001E52" w:rsidP="00001E52">
            <w:pPr>
              <w:pStyle w:val="Tabletext"/>
              <w:jc w:val="center"/>
              <w:rPr>
                <w:sz w:val="20"/>
                <w:szCs w:val="20"/>
              </w:rPr>
            </w:pPr>
            <w:r w:rsidRPr="00001E52">
              <w:rPr>
                <w:sz w:val="20"/>
                <w:szCs w:val="20"/>
              </w:rPr>
              <w:t>6.6</w:t>
            </w:r>
          </w:p>
        </w:tc>
        <w:tc>
          <w:tcPr>
            <w:tcW w:w="672" w:type="dxa"/>
            <w:tcBorders>
              <w:top w:val="nil"/>
              <w:left w:val="nil"/>
              <w:bottom w:val="single" w:sz="4" w:space="0" w:color="FFFFFF"/>
              <w:right w:val="nil"/>
            </w:tcBorders>
            <w:shd w:val="clear" w:color="000000" w:fill="D9D9D9"/>
            <w:vAlign w:val="center"/>
            <w:hideMark/>
          </w:tcPr>
          <w:p w14:paraId="5541665A" w14:textId="188F8B97" w:rsidR="00001E52" w:rsidRPr="00001E52" w:rsidRDefault="00001E52" w:rsidP="00001E52">
            <w:pPr>
              <w:pStyle w:val="Tabletext"/>
              <w:jc w:val="center"/>
              <w:rPr>
                <w:sz w:val="20"/>
                <w:szCs w:val="20"/>
              </w:rPr>
            </w:pPr>
            <w:r w:rsidRPr="00001E52">
              <w:rPr>
                <w:sz w:val="20"/>
                <w:szCs w:val="20"/>
              </w:rPr>
              <w:t>5.3</w:t>
            </w:r>
          </w:p>
        </w:tc>
        <w:tc>
          <w:tcPr>
            <w:tcW w:w="672" w:type="dxa"/>
            <w:tcBorders>
              <w:top w:val="nil"/>
              <w:left w:val="nil"/>
              <w:bottom w:val="single" w:sz="4" w:space="0" w:color="FFFFFF"/>
              <w:right w:val="nil"/>
            </w:tcBorders>
            <w:shd w:val="clear" w:color="000000" w:fill="D9D9D9"/>
            <w:vAlign w:val="center"/>
            <w:hideMark/>
          </w:tcPr>
          <w:p w14:paraId="49007A7D" w14:textId="2DC2A9A7" w:rsidR="00001E52" w:rsidRPr="00001E52" w:rsidRDefault="00001E52" w:rsidP="00001E52">
            <w:pPr>
              <w:pStyle w:val="Tabletext"/>
              <w:jc w:val="center"/>
              <w:rPr>
                <w:sz w:val="20"/>
                <w:szCs w:val="20"/>
              </w:rPr>
            </w:pPr>
            <w:r w:rsidRPr="00001E52">
              <w:rPr>
                <w:sz w:val="20"/>
                <w:szCs w:val="20"/>
              </w:rPr>
              <w:t>4.6</w:t>
            </w:r>
          </w:p>
        </w:tc>
        <w:tc>
          <w:tcPr>
            <w:tcW w:w="672" w:type="dxa"/>
            <w:tcBorders>
              <w:top w:val="nil"/>
              <w:left w:val="nil"/>
              <w:bottom w:val="single" w:sz="4" w:space="0" w:color="FFFFFF"/>
              <w:right w:val="nil"/>
            </w:tcBorders>
            <w:shd w:val="clear" w:color="000000" w:fill="D9D9D9"/>
            <w:vAlign w:val="center"/>
            <w:hideMark/>
          </w:tcPr>
          <w:p w14:paraId="3267E78D" w14:textId="535996EA" w:rsidR="00001E52" w:rsidRPr="00001E52" w:rsidRDefault="00001E52" w:rsidP="00001E52">
            <w:pPr>
              <w:pStyle w:val="Tabletext"/>
              <w:jc w:val="center"/>
              <w:rPr>
                <w:sz w:val="20"/>
                <w:szCs w:val="20"/>
              </w:rPr>
            </w:pPr>
            <w:r w:rsidRPr="00001E52">
              <w:rPr>
                <w:sz w:val="20"/>
                <w:szCs w:val="20"/>
              </w:rPr>
              <w:t>4.3</w:t>
            </w:r>
          </w:p>
        </w:tc>
        <w:tc>
          <w:tcPr>
            <w:tcW w:w="672" w:type="dxa"/>
            <w:tcBorders>
              <w:top w:val="nil"/>
              <w:left w:val="nil"/>
              <w:bottom w:val="single" w:sz="4" w:space="0" w:color="FFFFFF"/>
              <w:right w:val="nil"/>
            </w:tcBorders>
            <w:shd w:val="clear" w:color="000000" w:fill="D9D9D9"/>
            <w:vAlign w:val="center"/>
            <w:hideMark/>
          </w:tcPr>
          <w:p w14:paraId="572AD367" w14:textId="187A1217" w:rsidR="00001E52" w:rsidRPr="00001E52" w:rsidRDefault="00001E52" w:rsidP="00001E52">
            <w:pPr>
              <w:pStyle w:val="Tabletext"/>
              <w:jc w:val="center"/>
              <w:rPr>
                <w:sz w:val="20"/>
                <w:szCs w:val="20"/>
              </w:rPr>
            </w:pPr>
            <w:r w:rsidRPr="00001E52">
              <w:rPr>
                <w:sz w:val="20"/>
                <w:szCs w:val="20"/>
              </w:rPr>
              <w:t>3.7</w:t>
            </w:r>
          </w:p>
        </w:tc>
        <w:tc>
          <w:tcPr>
            <w:tcW w:w="672" w:type="dxa"/>
            <w:tcBorders>
              <w:top w:val="nil"/>
              <w:left w:val="nil"/>
              <w:bottom w:val="single" w:sz="4" w:space="0" w:color="FFFFFF"/>
              <w:right w:val="nil"/>
            </w:tcBorders>
            <w:shd w:val="clear" w:color="000000" w:fill="D9D9D9"/>
            <w:vAlign w:val="center"/>
            <w:hideMark/>
          </w:tcPr>
          <w:p w14:paraId="20FD05B0" w14:textId="1E8CE34E" w:rsidR="00001E52" w:rsidRPr="00001E52" w:rsidRDefault="00001E52" w:rsidP="00001E52">
            <w:pPr>
              <w:pStyle w:val="Tabletext"/>
              <w:jc w:val="center"/>
              <w:rPr>
                <w:sz w:val="20"/>
                <w:szCs w:val="20"/>
              </w:rPr>
            </w:pPr>
            <w:r w:rsidRPr="00001E52">
              <w:rPr>
                <w:sz w:val="20"/>
                <w:szCs w:val="20"/>
              </w:rPr>
              <w:t>3.5</w:t>
            </w:r>
          </w:p>
        </w:tc>
        <w:tc>
          <w:tcPr>
            <w:tcW w:w="672" w:type="dxa"/>
            <w:tcBorders>
              <w:top w:val="nil"/>
              <w:left w:val="nil"/>
              <w:bottom w:val="single" w:sz="4" w:space="0" w:color="FFFFFF"/>
              <w:right w:val="nil"/>
            </w:tcBorders>
            <w:shd w:val="clear" w:color="000000" w:fill="D9D9D9"/>
            <w:vAlign w:val="center"/>
            <w:hideMark/>
          </w:tcPr>
          <w:p w14:paraId="25D000AA" w14:textId="73A678EA" w:rsidR="00001E52" w:rsidRPr="00001E52" w:rsidRDefault="00001E52" w:rsidP="00001E52">
            <w:pPr>
              <w:pStyle w:val="Tabletext"/>
              <w:jc w:val="center"/>
              <w:rPr>
                <w:sz w:val="20"/>
                <w:szCs w:val="20"/>
              </w:rPr>
            </w:pPr>
            <w:r w:rsidRPr="00001E52">
              <w:rPr>
                <w:sz w:val="20"/>
                <w:szCs w:val="20"/>
              </w:rPr>
              <w:t>2.9</w:t>
            </w:r>
          </w:p>
        </w:tc>
        <w:tc>
          <w:tcPr>
            <w:tcW w:w="672" w:type="dxa"/>
            <w:tcBorders>
              <w:top w:val="nil"/>
              <w:left w:val="nil"/>
              <w:bottom w:val="single" w:sz="4" w:space="0" w:color="FFFFFF"/>
              <w:right w:val="nil"/>
            </w:tcBorders>
            <w:shd w:val="clear" w:color="000000" w:fill="D9D9D9"/>
            <w:vAlign w:val="center"/>
            <w:hideMark/>
          </w:tcPr>
          <w:p w14:paraId="37B6376D" w14:textId="599F96E6"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D9D9D9"/>
            <w:vAlign w:val="center"/>
            <w:hideMark/>
          </w:tcPr>
          <w:p w14:paraId="647916E1" w14:textId="1CDB762A"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D9D9D9"/>
            <w:vAlign w:val="center"/>
            <w:hideMark/>
          </w:tcPr>
          <w:p w14:paraId="146F9E1E" w14:textId="7F38DB8A"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D9D9D9"/>
            <w:vAlign w:val="center"/>
            <w:hideMark/>
          </w:tcPr>
          <w:p w14:paraId="1911995A" w14:textId="352CE411" w:rsidR="00001E52" w:rsidRPr="00001E52" w:rsidRDefault="00001E52" w:rsidP="00001E52">
            <w:pPr>
              <w:pStyle w:val="Tabletext"/>
              <w:jc w:val="center"/>
              <w:rPr>
                <w:sz w:val="20"/>
                <w:szCs w:val="20"/>
              </w:rPr>
            </w:pPr>
            <w:r w:rsidRPr="00001E52">
              <w:rPr>
                <w:sz w:val="20"/>
                <w:szCs w:val="20"/>
              </w:rPr>
              <w:t>2.7</w:t>
            </w:r>
          </w:p>
        </w:tc>
        <w:tc>
          <w:tcPr>
            <w:tcW w:w="672" w:type="dxa"/>
            <w:tcBorders>
              <w:top w:val="nil"/>
              <w:left w:val="nil"/>
              <w:bottom w:val="single" w:sz="4" w:space="0" w:color="FFFFFF"/>
              <w:right w:val="nil"/>
            </w:tcBorders>
            <w:shd w:val="clear" w:color="000000" w:fill="D9D9D9"/>
            <w:vAlign w:val="center"/>
            <w:hideMark/>
          </w:tcPr>
          <w:p w14:paraId="5334CADD" w14:textId="37823277" w:rsidR="00001E52" w:rsidRPr="00001E52" w:rsidRDefault="00001E52" w:rsidP="00001E52">
            <w:pPr>
              <w:pStyle w:val="Tabletext"/>
              <w:jc w:val="center"/>
              <w:rPr>
                <w:sz w:val="20"/>
                <w:szCs w:val="20"/>
              </w:rPr>
            </w:pPr>
            <w:r w:rsidRPr="00001E52">
              <w:rPr>
                <w:sz w:val="20"/>
                <w:szCs w:val="20"/>
              </w:rPr>
              <w:t>2.8</w:t>
            </w:r>
          </w:p>
        </w:tc>
        <w:tc>
          <w:tcPr>
            <w:tcW w:w="672" w:type="dxa"/>
            <w:tcBorders>
              <w:top w:val="nil"/>
              <w:left w:val="nil"/>
              <w:bottom w:val="single" w:sz="4" w:space="0" w:color="FFFFFF"/>
              <w:right w:val="nil"/>
            </w:tcBorders>
            <w:shd w:val="clear" w:color="000000" w:fill="D9D9D9"/>
            <w:vAlign w:val="center"/>
            <w:hideMark/>
          </w:tcPr>
          <w:p w14:paraId="2B5770D4" w14:textId="03ABCC3A" w:rsidR="00001E52" w:rsidRPr="00001E52" w:rsidRDefault="00001E52" w:rsidP="00001E52">
            <w:pPr>
              <w:pStyle w:val="Tabletext"/>
              <w:jc w:val="center"/>
              <w:rPr>
                <w:sz w:val="20"/>
                <w:szCs w:val="20"/>
              </w:rPr>
            </w:pPr>
            <w:r w:rsidRPr="00001E52">
              <w:rPr>
                <w:sz w:val="20"/>
                <w:szCs w:val="20"/>
              </w:rPr>
              <w:t>3.2</w:t>
            </w:r>
          </w:p>
        </w:tc>
        <w:tc>
          <w:tcPr>
            <w:tcW w:w="672" w:type="dxa"/>
            <w:tcBorders>
              <w:top w:val="nil"/>
              <w:left w:val="nil"/>
              <w:bottom w:val="single" w:sz="4" w:space="0" w:color="FFFFFF"/>
              <w:right w:val="nil"/>
            </w:tcBorders>
            <w:shd w:val="clear" w:color="000000" w:fill="D9D9D9"/>
            <w:vAlign w:val="center"/>
            <w:hideMark/>
          </w:tcPr>
          <w:p w14:paraId="5490481C" w14:textId="08F97B26" w:rsidR="00001E52" w:rsidRPr="00001E52" w:rsidRDefault="00001E52" w:rsidP="00001E52">
            <w:pPr>
              <w:pStyle w:val="Tabletext"/>
              <w:jc w:val="center"/>
              <w:rPr>
                <w:sz w:val="20"/>
                <w:szCs w:val="20"/>
              </w:rPr>
            </w:pPr>
            <w:r w:rsidRPr="00001E52">
              <w:rPr>
                <w:sz w:val="20"/>
                <w:szCs w:val="20"/>
              </w:rPr>
              <w:t>3.2</w:t>
            </w:r>
          </w:p>
        </w:tc>
        <w:tc>
          <w:tcPr>
            <w:tcW w:w="672" w:type="dxa"/>
            <w:tcBorders>
              <w:top w:val="nil"/>
              <w:left w:val="nil"/>
              <w:bottom w:val="single" w:sz="4" w:space="0" w:color="FFFFFF"/>
              <w:right w:val="nil"/>
            </w:tcBorders>
            <w:shd w:val="clear" w:color="000000" w:fill="D9D9D9"/>
            <w:vAlign w:val="center"/>
            <w:hideMark/>
          </w:tcPr>
          <w:p w14:paraId="3E2B44DF" w14:textId="2D32974B" w:rsidR="00001E52" w:rsidRPr="00001E52" w:rsidRDefault="00001E52" w:rsidP="00001E52">
            <w:pPr>
              <w:pStyle w:val="Tabletext"/>
              <w:jc w:val="center"/>
              <w:rPr>
                <w:sz w:val="20"/>
                <w:szCs w:val="20"/>
              </w:rPr>
            </w:pPr>
            <w:r w:rsidRPr="00001E52">
              <w:rPr>
                <w:sz w:val="20"/>
                <w:szCs w:val="20"/>
              </w:rPr>
              <w:t>3.3</w:t>
            </w:r>
          </w:p>
        </w:tc>
        <w:tc>
          <w:tcPr>
            <w:tcW w:w="672" w:type="dxa"/>
            <w:tcBorders>
              <w:top w:val="nil"/>
              <w:left w:val="nil"/>
              <w:bottom w:val="single" w:sz="4" w:space="0" w:color="FFFFFF"/>
              <w:right w:val="nil"/>
            </w:tcBorders>
            <w:shd w:val="clear" w:color="000000" w:fill="D9D9D9"/>
            <w:vAlign w:val="center"/>
            <w:hideMark/>
          </w:tcPr>
          <w:p w14:paraId="1CFDEBAA" w14:textId="04D88E65" w:rsidR="00001E52" w:rsidRPr="00001E52" w:rsidRDefault="00001E52" w:rsidP="00001E52">
            <w:pPr>
              <w:pStyle w:val="Tabletext"/>
              <w:jc w:val="center"/>
              <w:rPr>
                <w:sz w:val="20"/>
                <w:szCs w:val="20"/>
              </w:rPr>
            </w:pPr>
            <w:r w:rsidRPr="00001E52">
              <w:rPr>
                <w:sz w:val="20"/>
                <w:szCs w:val="20"/>
              </w:rPr>
              <w:t>3.4</w:t>
            </w:r>
          </w:p>
        </w:tc>
      </w:tr>
      <w:tr w:rsidR="00001E52" w:rsidRPr="00FE0871" w14:paraId="4C375C4B" w14:textId="77777777" w:rsidTr="00001E52">
        <w:trPr>
          <w:trHeight w:val="170"/>
          <w:jc w:val="center"/>
        </w:trPr>
        <w:tc>
          <w:tcPr>
            <w:tcW w:w="459" w:type="dxa"/>
            <w:tcBorders>
              <w:top w:val="single" w:sz="4" w:space="0" w:color="FFFFFF"/>
              <w:left w:val="nil"/>
              <w:bottom w:val="single" w:sz="18" w:space="0" w:color="4F81BD" w:themeColor="accent1"/>
              <w:right w:val="nil"/>
            </w:tcBorders>
            <w:shd w:val="clear" w:color="000000" w:fill="F2F2F2"/>
            <w:vAlign w:val="center"/>
            <w:hideMark/>
          </w:tcPr>
          <w:p w14:paraId="36331548" w14:textId="77777777" w:rsidR="00001E52" w:rsidRPr="00FE0871" w:rsidRDefault="00001E52" w:rsidP="00001E52">
            <w:pPr>
              <w:pStyle w:val="Tabletext"/>
            </w:pPr>
            <w:r w:rsidRPr="00FE0871">
              <w:t>13</w:t>
            </w:r>
          </w:p>
        </w:tc>
        <w:tc>
          <w:tcPr>
            <w:tcW w:w="2235" w:type="dxa"/>
            <w:tcBorders>
              <w:top w:val="single" w:sz="4" w:space="0" w:color="FFFFFF"/>
              <w:left w:val="nil"/>
              <w:bottom w:val="single" w:sz="18" w:space="0" w:color="4F81BD" w:themeColor="accent1"/>
              <w:right w:val="nil"/>
            </w:tcBorders>
            <w:shd w:val="clear" w:color="000000" w:fill="F2F2F2"/>
            <w:vAlign w:val="center"/>
            <w:hideMark/>
          </w:tcPr>
          <w:p w14:paraId="60C4442B" w14:textId="77777777" w:rsidR="00001E52" w:rsidRPr="00FE0871" w:rsidRDefault="00001E52" w:rsidP="00001E52">
            <w:pPr>
              <w:pStyle w:val="Tabletext"/>
            </w:pPr>
            <w:r w:rsidRPr="00FE0871">
              <w:t xml:space="preserve">Fiscal multiplier </w:t>
            </w:r>
          </w:p>
        </w:tc>
        <w:tc>
          <w:tcPr>
            <w:tcW w:w="992" w:type="dxa"/>
            <w:tcBorders>
              <w:top w:val="single" w:sz="4" w:space="0" w:color="FFFFFF"/>
              <w:left w:val="nil"/>
              <w:bottom w:val="single" w:sz="18" w:space="0" w:color="4F81BD" w:themeColor="accent1"/>
              <w:right w:val="nil"/>
            </w:tcBorders>
            <w:shd w:val="clear" w:color="000000" w:fill="F2F2F2"/>
            <w:vAlign w:val="center"/>
            <w:hideMark/>
          </w:tcPr>
          <w:p w14:paraId="64781DBB" w14:textId="77777777" w:rsidR="00001E52" w:rsidRPr="00FE0871" w:rsidRDefault="00001E52" w:rsidP="00001E52">
            <w:pPr>
              <w:pStyle w:val="Tabletext"/>
              <w:rPr>
                <w:sz w:val="18"/>
                <w:szCs w:val="18"/>
              </w:rPr>
            </w:pPr>
            <w:r w:rsidRPr="00FE0871">
              <w:rPr>
                <w:sz w:val="18"/>
                <w:szCs w:val="18"/>
              </w:rPr>
              <w:t>(%)</w:t>
            </w: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6F196F4A" w14:textId="53114115" w:rsidR="00001E52" w:rsidRPr="00001E52" w:rsidRDefault="00001E52" w:rsidP="00001E52">
            <w:pPr>
              <w:pStyle w:val="Tabletext"/>
              <w:jc w:val="center"/>
              <w:rPr>
                <w:sz w:val="20"/>
                <w:szCs w:val="18"/>
              </w:rPr>
            </w:pPr>
            <w:r w:rsidRPr="00001E52">
              <w:rPr>
                <w:sz w:val="20"/>
              </w:rPr>
              <w:t>0.75</w:t>
            </w: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3DCF5A5A"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56C9FAE5"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1DAB18FB"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47EA1D57"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7B74695E"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3BFB4864"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3214E6F1"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66EC7162"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17C6A188"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3A2FAB95"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51D6506A"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25D7D1D2"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63991A90"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039CE5C6" w14:textId="77777777" w:rsidR="00001E52" w:rsidRPr="00001E52" w:rsidRDefault="00001E52" w:rsidP="00001E52">
            <w:pPr>
              <w:pStyle w:val="Tabletext"/>
              <w:jc w:val="center"/>
              <w:rPr>
                <w:sz w:val="20"/>
                <w:szCs w:val="18"/>
              </w:rPr>
            </w:pPr>
          </w:p>
        </w:tc>
        <w:tc>
          <w:tcPr>
            <w:tcW w:w="672" w:type="dxa"/>
            <w:tcBorders>
              <w:top w:val="single" w:sz="4" w:space="0" w:color="FFFFFF"/>
              <w:left w:val="nil"/>
              <w:bottom w:val="single" w:sz="18" w:space="0" w:color="4F81BD" w:themeColor="accent1"/>
              <w:right w:val="nil"/>
            </w:tcBorders>
            <w:shd w:val="clear" w:color="000000" w:fill="F2F2F2"/>
            <w:vAlign w:val="center"/>
            <w:hideMark/>
          </w:tcPr>
          <w:p w14:paraId="3527A024" w14:textId="77777777" w:rsidR="00001E52" w:rsidRPr="00001E52" w:rsidRDefault="00001E52" w:rsidP="00001E52">
            <w:pPr>
              <w:pStyle w:val="Tabletext"/>
              <w:jc w:val="center"/>
              <w:rPr>
                <w:sz w:val="20"/>
                <w:szCs w:val="18"/>
              </w:rPr>
            </w:pPr>
          </w:p>
        </w:tc>
      </w:tr>
    </w:tbl>
    <w:p w14:paraId="02DC9393" w14:textId="77777777" w:rsidR="00AC05E5" w:rsidRDefault="00AC05E5" w:rsidP="007D5ECC">
      <w:pPr>
        <w:pStyle w:val="Tabletext"/>
      </w:pPr>
    </w:p>
    <w:p w14:paraId="63161836" w14:textId="465A41CE" w:rsidR="005F3C62" w:rsidRPr="00D17A1E" w:rsidRDefault="005F3C62" w:rsidP="00D17A1E">
      <w:pPr>
        <w:pStyle w:val="Table"/>
      </w:pPr>
      <w:bookmarkStart w:id="24" w:name="_Toc177747039"/>
      <w:r w:rsidRPr="00D17A1E">
        <w:t xml:space="preserve">Table </w:t>
      </w:r>
      <w:r w:rsidR="00337799" w:rsidRPr="00D17A1E">
        <w:fldChar w:fldCharType="begin"/>
      </w:r>
      <w:r w:rsidR="00337799" w:rsidRPr="00D17A1E">
        <w:instrText xml:space="preserve"> SEQ Table \* ARABIC </w:instrText>
      </w:r>
      <w:r w:rsidR="00337799" w:rsidRPr="00D17A1E">
        <w:fldChar w:fldCharType="separate"/>
      </w:r>
      <w:r w:rsidR="00824AAF">
        <w:rPr>
          <w:noProof/>
        </w:rPr>
        <w:t>9</w:t>
      </w:r>
      <w:r w:rsidR="00337799" w:rsidRPr="00D17A1E">
        <w:fldChar w:fldCharType="end"/>
      </w:r>
      <w:r w:rsidRPr="00D17A1E">
        <w:t xml:space="preserve"> </w:t>
      </w:r>
      <w:r w:rsidR="00D17A1E">
        <w:t xml:space="preserve">| </w:t>
      </w:r>
      <w:r w:rsidRPr="00D17A1E">
        <w:t>Debt projections and additional assumptions (under the projected fiscal path)</w:t>
      </w:r>
      <w:bookmarkEnd w:id="24"/>
      <w:r w:rsidRPr="00D17A1E">
        <w:tab/>
      </w:r>
      <w:r w:rsidRPr="00D17A1E">
        <w:tab/>
      </w:r>
      <w:r w:rsidRPr="00D17A1E">
        <w:tab/>
      </w:r>
      <w:r w:rsidRPr="00D17A1E">
        <w:tab/>
      </w:r>
      <w:r w:rsidRPr="00D17A1E">
        <w:tab/>
      </w:r>
      <w:r w:rsidRPr="00D17A1E">
        <w:tab/>
      </w:r>
      <w:r w:rsidRPr="00D17A1E">
        <w:tab/>
      </w:r>
    </w:p>
    <w:tbl>
      <w:tblPr>
        <w:tblW w:w="14509" w:type="dxa"/>
        <w:jc w:val="center"/>
        <w:tblLook w:val="04A0" w:firstRow="1" w:lastRow="0" w:firstColumn="1" w:lastColumn="0" w:noHBand="0" w:noVBand="1"/>
      </w:tblPr>
      <w:tblGrid>
        <w:gridCol w:w="453"/>
        <w:gridCol w:w="2272"/>
        <w:gridCol w:w="837"/>
        <w:gridCol w:w="685"/>
        <w:gridCol w:w="685"/>
        <w:gridCol w:w="685"/>
        <w:gridCol w:w="684"/>
        <w:gridCol w:w="684"/>
        <w:gridCol w:w="684"/>
        <w:gridCol w:w="684"/>
        <w:gridCol w:w="684"/>
        <w:gridCol w:w="684"/>
        <w:gridCol w:w="684"/>
        <w:gridCol w:w="684"/>
        <w:gridCol w:w="684"/>
        <w:gridCol w:w="684"/>
        <w:gridCol w:w="684"/>
        <w:gridCol w:w="684"/>
        <w:gridCol w:w="684"/>
      </w:tblGrid>
      <w:tr w:rsidR="0099335D" w:rsidRPr="005F3C62" w14:paraId="1DEAE070" w14:textId="77777777" w:rsidTr="00FE0871">
        <w:trPr>
          <w:trHeight w:val="580"/>
          <w:jc w:val="center"/>
        </w:trPr>
        <w:tc>
          <w:tcPr>
            <w:tcW w:w="284" w:type="dxa"/>
            <w:tcBorders>
              <w:top w:val="nil"/>
              <w:left w:val="nil"/>
              <w:bottom w:val="single" w:sz="4" w:space="0" w:color="FFFFFF"/>
              <w:right w:val="nil"/>
            </w:tcBorders>
            <w:shd w:val="clear" w:color="000000" w:fill="BFBFBF"/>
            <w:textDirection w:val="btLr"/>
            <w:vAlign w:val="center"/>
            <w:hideMark/>
          </w:tcPr>
          <w:p w14:paraId="61ABB718" w14:textId="77777777" w:rsidR="0099335D" w:rsidRPr="005D3D57" w:rsidRDefault="0099335D" w:rsidP="005F3C62">
            <w:pPr>
              <w:spacing w:after="0" w:line="240" w:lineRule="auto"/>
              <w:jc w:val="center"/>
              <w:rPr>
                <w:rFonts w:ascii="Arial" w:eastAsia="Times New Roman" w:hAnsi="Arial" w:cs="Arial"/>
                <w:b/>
                <w:bCs/>
                <w:color w:val="000000"/>
                <w:sz w:val="20"/>
                <w:szCs w:val="20"/>
                <w:lang w:val="en-US"/>
              </w:rPr>
            </w:pPr>
            <w:r w:rsidRPr="005D3D57">
              <w:rPr>
                <w:rFonts w:ascii="Arial" w:eastAsia="Times New Roman" w:hAnsi="Arial" w:cs="Arial"/>
                <w:b/>
                <w:bCs/>
                <w:color w:val="000000"/>
                <w:sz w:val="20"/>
                <w:szCs w:val="20"/>
                <w:lang w:val="en-US"/>
              </w:rPr>
              <w:t> </w:t>
            </w:r>
          </w:p>
        </w:tc>
        <w:tc>
          <w:tcPr>
            <w:tcW w:w="2366" w:type="dxa"/>
            <w:tcBorders>
              <w:top w:val="nil"/>
              <w:left w:val="nil"/>
              <w:bottom w:val="single" w:sz="4" w:space="0" w:color="FFFFFF"/>
              <w:right w:val="nil"/>
            </w:tcBorders>
            <w:shd w:val="clear" w:color="000000" w:fill="BFBFBF"/>
            <w:textDirection w:val="btLr"/>
            <w:vAlign w:val="center"/>
            <w:hideMark/>
          </w:tcPr>
          <w:p w14:paraId="139BFEA5" w14:textId="77777777" w:rsidR="0099335D" w:rsidRPr="005D3D57" w:rsidRDefault="0099335D" w:rsidP="005F3C62">
            <w:pPr>
              <w:spacing w:after="0" w:line="240" w:lineRule="auto"/>
              <w:jc w:val="center"/>
              <w:rPr>
                <w:rFonts w:ascii="Arial" w:eastAsia="Times New Roman" w:hAnsi="Arial" w:cs="Arial"/>
                <w:b/>
                <w:bCs/>
                <w:color w:val="000000"/>
                <w:sz w:val="20"/>
                <w:szCs w:val="20"/>
                <w:lang w:val="en-US"/>
              </w:rPr>
            </w:pPr>
            <w:r w:rsidRPr="005D3D57">
              <w:rPr>
                <w:rFonts w:ascii="Arial" w:eastAsia="Times New Roman" w:hAnsi="Arial" w:cs="Arial"/>
                <w:b/>
                <w:bCs/>
                <w:color w:val="000000"/>
                <w:sz w:val="20"/>
                <w:szCs w:val="20"/>
                <w:lang w:val="en-US"/>
              </w:rPr>
              <w:t> </w:t>
            </w:r>
          </w:p>
        </w:tc>
        <w:tc>
          <w:tcPr>
            <w:tcW w:w="851" w:type="dxa"/>
            <w:tcBorders>
              <w:top w:val="nil"/>
              <w:left w:val="nil"/>
              <w:bottom w:val="single" w:sz="4" w:space="0" w:color="FFFFFF"/>
              <w:right w:val="nil"/>
            </w:tcBorders>
            <w:shd w:val="clear" w:color="000000" w:fill="BFBFBF"/>
            <w:textDirection w:val="btLr"/>
            <w:vAlign w:val="center"/>
            <w:hideMark/>
          </w:tcPr>
          <w:p w14:paraId="6284BB22" w14:textId="77777777" w:rsidR="0099335D" w:rsidRPr="005D3D57" w:rsidRDefault="0099335D" w:rsidP="005F3C62">
            <w:pPr>
              <w:spacing w:after="0" w:line="240" w:lineRule="auto"/>
              <w:jc w:val="center"/>
              <w:rPr>
                <w:rFonts w:ascii="Arial" w:eastAsia="Times New Roman" w:hAnsi="Arial" w:cs="Arial"/>
                <w:b/>
                <w:bCs/>
                <w:color w:val="000000"/>
                <w:sz w:val="20"/>
                <w:szCs w:val="20"/>
                <w:lang w:val="en-US"/>
              </w:rPr>
            </w:pPr>
            <w:r w:rsidRPr="005D3D57">
              <w:rPr>
                <w:rFonts w:ascii="Arial" w:eastAsia="Times New Roman" w:hAnsi="Arial" w:cs="Arial"/>
                <w:b/>
                <w:bCs/>
                <w:color w:val="000000"/>
                <w:sz w:val="20"/>
                <w:szCs w:val="20"/>
                <w:lang w:val="en-US"/>
              </w:rPr>
              <w:t> </w:t>
            </w:r>
          </w:p>
        </w:tc>
        <w:tc>
          <w:tcPr>
            <w:tcW w:w="688" w:type="dxa"/>
            <w:tcBorders>
              <w:top w:val="nil"/>
              <w:left w:val="nil"/>
              <w:bottom w:val="single" w:sz="4" w:space="0" w:color="FFFFFF"/>
              <w:right w:val="nil"/>
            </w:tcBorders>
            <w:shd w:val="clear" w:color="000000" w:fill="BFBFBF"/>
            <w:textDirection w:val="btLr"/>
            <w:vAlign w:val="center"/>
            <w:hideMark/>
          </w:tcPr>
          <w:p w14:paraId="190BF43A"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2023</w:t>
            </w:r>
          </w:p>
        </w:tc>
        <w:tc>
          <w:tcPr>
            <w:tcW w:w="688" w:type="dxa"/>
            <w:tcBorders>
              <w:top w:val="nil"/>
              <w:left w:val="nil"/>
              <w:bottom w:val="single" w:sz="4" w:space="0" w:color="FFFFFF"/>
              <w:right w:val="nil"/>
            </w:tcBorders>
            <w:shd w:val="clear" w:color="000000" w:fill="BFBFBF"/>
            <w:textDirection w:val="btLr"/>
            <w:vAlign w:val="center"/>
            <w:hideMark/>
          </w:tcPr>
          <w:p w14:paraId="7AA5059F"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2024</w:t>
            </w:r>
          </w:p>
        </w:tc>
        <w:tc>
          <w:tcPr>
            <w:tcW w:w="688" w:type="dxa"/>
            <w:tcBorders>
              <w:top w:val="nil"/>
              <w:left w:val="nil"/>
              <w:bottom w:val="single" w:sz="4" w:space="0" w:color="FFFFFF"/>
              <w:right w:val="nil"/>
            </w:tcBorders>
            <w:shd w:val="clear" w:color="000000" w:fill="BFBFBF"/>
            <w:textDirection w:val="btLr"/>
            <w:vAlign w:val="center"/>
            <w:hideMark/>
          </w:tcPr>
          <w:p w14:paraId="27D59994"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2025</w:t>
            </w:r>
          </w:p>
        </w:tc>
        <w:tc>
          <w:tcPr>
            <w:tcW w:w="688" w:type="dxa"/>
            <w:tcBorders>
              <w:top w:val="nil"/>
              <w:left w:val="nil"/>
              <w:bottom w:val="single" w:sz="4" w:space="0" w:color="FFFFFF"/>
              <w:right w:val="nil"/>
            </w:tcBorders>
            <w:shd w:val="clear" w:color="000000" w:fill="BFBFBF"/>
            <w:textDirection w:val="btLr"/>
            <w:vAlign w:val="center"/>
            <w:hideMark/>
          </w:tcPr>
          <w:p w14:paraId="48717D22"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2026</w:t>
            </w:r>
          </w:p>
        </w:tc>
        <w:tc>
          <w:tcPr>
            <w:tcW w:w="688" w:type="dxa"/>
            <w:tcBorders>
              <w:top w:val="nil"/>
              <w:left w:val="nil"/>
              <w:bottom w:val="single" w:sz="4" w:space="0" w:color="FFFFFF"/>
              <w:right w:val="nil"/>
            </w:tcBorders>
            <w:shd w:val="clear" w:color="000000" w:fill="BFBFBF"/>
            <w:textDirection w:val="btLr"/>
            <w:vAlign w:val="center"/>
            <w:hideMark/>
          </w:tcPr>
          <w:p w14:paraId="44DA6E4C"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2027</w:t>
            </w:r>
          </w:p>
        </w:tc>
        <w:tc>
          <w:tcPr>
            <w:tcW w:w="688" w:type="dxa"/>
            <w:tcBorders>
              <w:top w:val="nil"/>
              <w:left w:val="nil"/>
              <w:bottom w:val="single" w:sz="4" w:space="0" w:color="FFFFFF"/>
              <w:right w:val="nil"/>
            </w:tcBorders>
            <w:shd w:val="clear" w:color="000000" w:fill="BFBFBF"/>
            <w:textDirection w:val="btLr"/>
            <w:vAlign w:val="center"/>
            <w:hideMark/>
          </w:tcPr>
          <w:p w14:paraId="0AC63780"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2028</w:t>
            </w:r>
          </w:p>
        </w:tc>
        <w:tc>
          <w:tcPr>
            <w:tcW w:w="688" w:type="dxa"/>
            <w:tcBorders>
              <w:top w:val="nil"/>
              <w:left w:val="nil"/>
              <w:bottom w:val="single" w:sz="4" w:space="0" w:color="FFFFFF"/>
              <w:right w:val="nil"/>
            </w:tcBorders>
            <w:shd w:val="clear" w:color="000000" w:fill="BFBFBF"/>
            <w:textDirection w:val="btLr"/>
            <w:vAlign w:val="center"/>
            <w:hideMark/>
          </w:tcPr>
          <w:p w14:paraId="714BCD77"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2029</w:t>
            </w:r>
          </w:p>
        </w:tc>
        <w:tc>
          <w:tcPr>
            <w:tcW w:w="688" w:type="dxa"/>
            <w:tcBorders>
              <w:top w:val="nil"/>
              <w:left w:val="nil"/>
              <w:bottom w:val="single" w:sz="4" w:space="0" w:color="FFFFFF"/>
              <w:right w:val="nil"/>
            </w:tcBorders>
            <w:shd w:val="clear" w:color="000000" w:fill="BFBFBF"/>
            <w:textDirection w:val="btLr"/>
            <w:vAlign w:val="center"/>
            <w:hideMark/>
          </w:tcPr>
          <w:p w14:paraId="04162F44"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2030</w:t>
            </w:r>
          </w:p>
        </w:tc>
        <w:tc>
          <w:tcPr>
            <w:tcW w:w="688" w:type="dxa"/>
            <w:tcBorders>
              <w:top w:val="nil"/>
              <w:left w:val="nil"/>
              <w:bottom w:val="single" w:sz="4" w:space="0" w:color="FFFFFF"/>
              <w:right w:val="nil"/>
            </w:tcBorders>
            <w:shd w:val="clear" w:color="000000" w:fill="BFBFBF"/>
            <w:textDirection w:val="btLr"/>
            <w:vAlign w:val="center"/>
            <w:hideMark/>
          </w:tcPr>
          <w:p w14:paraId="621FFFDE"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2031</w:t>
            </w:r>
          </w:p>
        </w:tc>
        <w:tc>
          <w:tcPr>
            <w:tcW w:w="688" w:type="dxa"/>
            <w:tcBorders>
              <w:top w:val="nil"/>
              <w:left w:val="nil"/>
              <w:bottom w:val="single" w:sz="4" w:space="0" w:color="FFFFFF"/>
              <w:right w:val="nil"/>
            </w:tcBorders>
            <w:shd w:val="clear" w:color="000000" w:fill="BFBFBF"/>
            <w:textDirection w:val="btLr"/>
            <w:vAlign w:val="center"/>
            <w:hideMark/>
          </w:tcPr>
          <w:p w14:paraId="00A7E263"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2032</w:t>
            </w:r>
          </w:p>
        </w:tc>
        <w:tc>
          <w:tcPr>
            <w:tcW w:w="688" w:type="dxa"/>
            <w:tcBorders>
              <w:top w:val="nil"/>
              <w:left w:val="nil"/>
              <w:bottom w:val="single" w:sz="4" w:space="0" w:color="FFFFFF"/>
              <w:right w:val="nil"/>
            </w:tcBorders>
            <w:shd w:val="clear" w:color="000000" w:fill="BFBFBF"/>
            <w:textDirection w:val="btLr"/>
            <w:vAlign w:val="center"/>
            <w:hideMark/>
          </w:tcPr>
          <w:p w14:paraId="43A4914F"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2033</w:t>
            </w:r>
          </w:p>
        </w:tc>
        <w:tc>
          <w:tcPr>
            <w:tcW w:w="688" w:type="dxa"/>
            <w:tcBorders>
              <w:top w:val="nil"/>
              <w:left w:val="nil"/>
              <w:bottom w:val="single" w:sz="4" w:space="0" w:color="FFFFFF"/>
              <w:right w:val="nil"/>
            </w:tcBorders>
            <w:shd w:val="clear" w:color="000000" w:fill="BFBFBF"/>
            <w:textDirection w:val="btLr"/>
            <w:vAlign w:val="center"/>
            <w:hideMark/>
          </w:tcPr>
          <w:p w14:paraId="1B675706"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2034</w:t>
            </w:r>
          </w:p>
        </w:tc>
        <w:tc>
          <w:tcPr>
            <w:tcW w:w="688" w:type="dxa"/>
            <w:tcBorders>
              <w:top w:val="nil"/>
              <w:left w:val="nil"/>
              <w:bottom w:val="single" w:sz="4" w:space="0" w:color="FFFFFF"/>
              <w:right w:val="nil"/>
            </w:tcBorders>
            <w:shd w:val="clear" w:color="000000" w:fill="BFBFBF"/>
            <w:textDirection w:val="btLr"/>
            <w:vAlign w:val="center"/>
            <w:hideMark/>
          </w:tcPr>
          <w:p w14:paraId="66823F85"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2035</w:t>
            </w:r>
          </w:p>
        </w:tc>
        <w:tc>
          <w:tcPr>
            <w:tcW w:w="688" w:type="dxa"/>
            <w:tcBorders>
              <w:top w:val="nil"/>
              <w:left w:val="nil"/>
              <w:bottom w:val="single" w:sz="4" w:space="0" w:color="FFFFFF"/>
              <w:right w:val="nil"/>
            </w:tcBorders>
            <w:shd w:val="clear" w:color="000000" w:fill="BFBFBF"/>
            <w:textDirection w:val="btLr"/>
            <w:vAlign w:val="center"/>
            <w:hideMark/>
          </w:tcPr>
          <w:p w14:paraId="2DCBAFF4"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2036</w:t>
            </w:r>
          </w:p>
        </w:tc>
        <w:tc>
          <w:tcPr>
            <w:tcW w:w="688" w:type="dxa"/>
            <w:tcBorders>
              <w:top w:val="nil"/>
              <w:left w:val="nil"/>
              <w:bottom w:val="single" w:sz="4" w:space="0" w:color="FFFFFF"/>
              <w:right w:val="nil"/>
            </w:tcBorders>
            <w:shd w:val="clear" w:color="000000" w:fill="BFBFBF"/>
            <w:textDirection w:val="btLr"/>
            <w:vAlign w:val="center"/>
            <w:hideMark/>
          </w:tcPr>
          <w:p w14:paraId="7A29E6EC"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2037</w:t>
            </w:r>
          </w:p>
        </w:tc>
        <w:tc>
          <w:tcPr>
            <w:tcW w:w="688" w:type="dxa"/>
            <w:tcBorders>
              <w:top w:val="nil"/>
              <w:left w:val="nil"/>
              <w:bottom w:val="single" w:sz="4" w:space="0" w:color="FFFFFF"/>
              <w:right w:val="nil"/>
            </w:tcBorders>
            <w:shd w:val="clear" w:color="000000" w:fill="BFBFBF"/>
            <w:textDirection w:val="btLr"/>
            <w:vAlign w:val="center"/>
            <w:hideMark/>
          </w:tcPr>
          <w:p w14:paraId="348CF049" w14:textId="77777777" w:rsidR="0099335D" w:rsidRPr="005F3C62" w:rsidRDefault="0099335D" w:rsidP="005F3C62">
            <w:pPr>
              <w:spacing w:after="0" w:line="240" w:lineRule="auto"/>
              <w:jc w:val="center"/>
              <w:rPr>
                <w:rFonts w:ascii="Arial" w:eastAsia="Times New Roman" w:hAnsi="Arial" w:cs="Arial"/>
                <w:b/>
                <w:bCs/>
                <w:color w:val="000000"/>
                <w:sz w:val="20"/>
                <w:szCs w:val="20"/>
              </w:rPr>
            </w:pPr>
            <w:r w:rsidRPr="005F3C62">
              <w:rPr>
                <w:rFonts w:ascii="Arial" w:eastAsia="Times New Roman" w:hAnsi="Arial" w:cs="Arial"/>
                <w:b/>
                <w:bCs/>
                <w:color w:val="000000"/>
                <w:sz w:val="20"/>
                <w:szCs w:val="20"/>
              </w:rPr>
              <w:t>2038</w:t>
            </w:r>
          </w:p>
        </w:tc>
      </w:tr>
      <w:tr w:rsidR="0099335D" w:rsidRPr="005F3C62" w14:paraId="68BC7911" w14:textId="77777777" w:rsidTr="00FE0871">
        <w:trPr>
          <w:trHeight w:val="227"/>
          <w:jc w:val="center"/>
        </w:trPr>
        <w:tc>
          <w:tcPr>
            <w:tcW w:w="284" w:type="dxa"/>
            <w:tcBorders>
              <w:top w:val="nil"/>
              <w:left w:val="nil"/>
              <w:bottom w:val="single" w:sz="4" w:space="0" w:color="FFFFFF"/>
              <w:right w:val="nil"/>
            </w:tcBorders>
            <w:shd w:val="clear" w:color="000000" w:fill="F2F2F2"/>
            <w:vAlign w:val="center"/>
            <w:hideMark/>
          </w:tcPr>
          <w:p w14:paraId="56B0D9D7" w14:textId="77777777" w:rsidR="0099335D" w:rsidRPr="005F3C62" w:rsidRDefault="0099335D" w:rsidP="00FE0871">
            <w:pPr>
              <w:pStyle w:val="Tabletext"/>
              <w:spacing w:line="200" w:lineRule="exact"/>
            </w:pPr>
            <w:r w:rsidRPr="005F3C62">
              <w:t>1</w:t>
            </w:r>
          </w:p>
        </w:tc>
        <w:tc>
          <w:tcPr>
            <w:tcW w:w="2366" w:type="dxa"/>
            <w:tcBorders>
              <w:top w:val="nil"/>
              <w:left w:val="nil"/>
              <w:bottom w:val="single" w:sz="4" w:space="0" w:color="FFFFFF"/>
              <w:right w:val="nil"/>
            </w:tcBorders>
            <w:shd w:val="clear" w:color="000000" w:fill="F2F2F2"/>
            <w:vAlign w:val="center"/>
            <w:hideMark/>
          </w:tcPr>
          <w:p w14:paraId="59A1ECF0" w14:textId="77777777" w:rsidR="0099335D" w:rsidRPr="005F3C62" w:rsidRDefault="0099335D" w:rsidP="00FE0871">
            <w:pPr>
              <w:pStyle w:val="Tabletext"/>
              <w:spacing w:line="200" w:lineRule="exact"/>
            </w:pPr>
            <w:r w:rsidRPr="005F3C62">
              <w:t xml:space="preserve">Gross debt   </w:t>
            </w:r>
          </w:p>
        </w:tc>
        <w:tc>
          <w:tcPr>
            <w:tcW w:w="851" w:type="dxa"/>
            <w:tcBorders>
              <w:top w:val="nil"/>
              <w:left w:val="nil"/>
              <w:bottom w:val="single" w:sz="4" w:space="0" w:color="FFFFFF"/>
              <w:right w:val="nil"/>
            </w:tcBorders>
            <w:shd w:val="clear" w:color="000000" w:fill="F2F2F2"/>
            <w:vAlign w:val="center"/>
            <w:hideMark/>
          </w:tcPr>
          <w:p w14:paraId="340B993E" w14:textId="77777777" w:rsidR="0099335D" w:rsidRPr="00FE0871" w:rsidRDefault="0099335D" w:rsidP="00FE0871">
            <w:pPr>
              <w:pStyle w:val="Tabletext"/>
              <w:spacing w:line="200" w:lineRule="exact"/>
              <w:rPr>
                <w:sz w:val="18"/>
                <w:szCs w:val="18"/>
              </w:rPr>
            </w:pPr>
            <w:r w:rsidRPr="00FE0871">
              <w:rPr>
                <w:sz w:val="18"/>
                <w:szCs w:val="18"/>
              </w:rPr>
              <w:t>(% GDP)</w:t>
            </w:r>
          </w:p>
        </w:tc>
        <w:tc>
          <w:tcPr>
            <w:tcW w:w="688" w:type="dxa"/>
            <w:tcBorders>
              <w:top w:val="nil"/>
              <w:left w:val="nil"/>
              <w:bottom w:val="single" w:sz="4" w:space="0" w:color="FFFFFF"/>
              <w:right w:val="nil"/>
            </w:tcBorders>
            <w:shd w:val="clear" w:color="000000" w:fill="F2F2F2"/>
            <w:vAlign w:val="center"/>
            <w:hideMark/>
          </w:tcPr>
          <w:p w14:paraId="3C02A223" w14:textId="77777777" w:rsidR="0099335D" w:rsidRPr="00FE0871" w:rsidRDefault="0099335D" w:rsidP="00920844">
            <w:pPr>
              <w:pStyle w:val="Tabletext"/>
              <w:spacing w:line="200" w:lineRule="exact"/>
              <w:jc w:val="center"/>
              <w:rPr>
                <w:sz w:val="18"/>
                <w:szCs w:val="18"/>
              </w:rPr>
            </w:pPr>
            <w:r w:rsidRPr="00FE0871">
              <w:rPr>
                <w:sz w:val="18"/>
                <w:szCs w:val="18"/>
              </w:rPr>
              <w:t>161.9</w:t>
            </w:r>
          </w:p>
        </w:tc>
        <w:tc>
          <w:tcPr>
            <w:tcW w:w="688" w:type="dxa"/>
            <w:tcBorders>
              <w:top w:val="nil"/>
              <w:left w:val="nil"/>
              <w:bottom w:val="single" w:sz="4" w:space="0" w:color="FFFFFF"/>
              <w:right w:val="nil"/>
            </w:tcBorders>
            <w:shd w:val="clear" w:color="000000" w:fill="F2F2F2"/>
            <w:vAlign w:val="center"/>
            <w:hideMark/>
          </w:tcPr>
          <w:p w14:paraId="4C12DE8C" w14:textId="77777777" w:rsidR="0099335D" w:rsidRPr="00FE0871" w:rsidRDefault="0099335D" w:rsidP="00920844">
            <w:pPr>
              <w:pStyle w:val="Tabletext"/>
              <w:spacing w:line="200" w:lineRule="exact"/>
              <w:jc w:val="center"/>
              <w:rPr>
                <w:sz w:val="18"/>
                <w:szCs w:val="18"/>
              </w:rPr>
            </w:pPr>
            <w:r w:rsidRPr="00FE0871">
              <w:rPr>
                <w:sz w:val="18"/>
                <w:szCs w:val="18"/>
              </w:rPr>
              <w:t>153.7</w:t>
            </w:r>
          </w:p>
        </w:tc>
        <w:tc>
          <w:tcPr>
            <w:tcW w:w="688" w:type="dxa"/>
            <w:tcBorders>
              <w:top w:val="nil"/>
              <w:left w:val="nil"/>
              <w:bottom w:val="single" w:sz="4" w:space="0" w:color="FFFFFF"/>
              <w:right w:val="nil"/>
            </w:tcBorders>
            <w:shd w:val="clear" w:color="000000" w:fill="F2F2F2"/>
            <w:vAlign w:val="center"/>
            <w:hideMark/>
          </w:tcPr>
          <w:p w14:paraId="0AF085CB" w14:textId="77777777" w:rsidR="0099335D" w:rsidRPr="00FE0871" w:rsidRDefault="0099335D" w:rsidP="00920844">
            <w:pPr>
              <w:pStyle w:val="Tabletext"/>
              <w:spacing w:line="200" w:lineRule="exact"/>
              <w:jc w:val="center"/>
              <w:rPr>
                <w:sz w:val="18"/>
                <w:szCs w:val="18"/>
              </w:rPr>
            </w:pPr>
            <w:r w:rsidRPr="00FE0871">
              <w:rPr>
                <w:sz w:val="18"/>
                <w:szCs w:val="18"/>
              </w:rPr>
              <w:t>149.1</w:t>
            </w:r>
          </w:p>
        </w:tc>
        <w:tc>
          <w:tcPr>
            <w:tcW w:w="688" w:type="dxa"/>
            <w:tcBorders>
              <w:top w:val="nil"/>
              <w:left w:val="nil"/>
              <w:bottom w:val="single" w:sz="4" w:space="0" w:color="FFFFFF"/>
              <w:right w:val="nil"/>
            </w:tcBorders>
            <w:shd w:val="clear" w:color="000000" w:fill="F2F2F2"/>
            <w:vAlign w:val="center"/>
            <w:hideMark/>
          </w:tcPr>
          <w:p w14:paraId="4849638F" w14:textId="77777777" w:rsidR="0099335D" w:rsidRPr="00FE0871" w:rsidRDefault="0099335D" w:rsidP="00920844">
            <w:pPr>
              <w:pStyle w:val="Tabletext"/>
              <w:spacing w:line="200" w:lineRule="exact"/>
              <w:jc w:val="center"/>
              <w:rPr>
                <w:sz w:val="18"/>
                <w:szCs w:val="18"/>
              </w:rPr>
            </w:pPr>
            <w:r w:rsidRPr="00FE0871">
              <w:rPr>
                <w:sz w:val="18"/>
                <w:szCs w:val="18"/>
              </w:rPr>
              <w:t>143.1</w:t>
            </w:r>
          </w:p>
        </w:tc>
        <w:tc>
          <w:tcPr>
            <w:tcW w:w="688" w:type="dxa"/>
            <w:tcBorders>
              <w:top w:val="nil"/>
              <w:left w:val="nil"/>
              <w:bottom w:val="single" w:sz="4" w:space="0" w:color="FFFFFF"/>
              <w:right w:val="nil"/>
            </w:tcBorders>
            <w:shd w:val="clear" w:color="000000" w:fill="F2F2F2"/>
            <w:vAlign w:val="center"/>
            <w:hideMark/>
          </w:tcPr>
          <w:p w14:paraId="427D423C" w14:textId="77777777" w:rsidR="0099335D" w:rsidRPr="00FE0871" w:rsidRDefault="0099335D" w:rsidP="00920844">
            <w:pPr>
              <w:pStyle w:val="Tabletext"/>
              <w:spacing w:line="200" w:lineRule="exact"/>
              <w:jc w:val="center"/>
              <w:rPr>
                <w:sz w:val="18"/>
                <w:szCs w:val="18"/>
              </w:rPr>
            </w:pPr>
            <w:r w:rsidRPr="00FE0871">
              <w:rPr>
                <w:sz w:val="18"/>
                <w:szCs w:val="18"/>
              </w:rPr>
              <w:t>138.0</w:t>
            </w:r>
          </w:p>
        </w:tc>
        <w:tc>
          <w:tcPr>
            <w:tcW w:w="688" w:type="dxa"/>
            <w:tcBorders>
              <w:top w:val="nil"/>
              <w:left w:val="nil"/>
              <w:bottom w:val="single" w:sz="4" w:space="0" w:color="FFFFFF"/>
              <w:right w:val="nil"/>
            </w:tcBorders>
            <w:shd w:val="clear" w:color="000000" w:fill="F2F2F2"/>
            <w:vAlign w:val="center"/>
            <w:hideMark/>
          </w:tcPr>
          <w:p w14:paraId="5A62D71B" w14:textId="77777777" w:rsidR="0099335D" w:rsidRPr="00FE0871" w:rsidRDefault="0099335D" w:rsidP="00920844">
            <w:pPr>
              <w:pStyle w:val="Tabletext"/>
              <w:spacing w:line="200" w:lineRule="exact"/>
              <w:jc w:val="center"/>
              <w:rPr>
                <w:sz w:val="18"/>
                <w:szCs w:val="18"/>
              </w:rPr>
            </w:pPr>
            <w:r w:rsidRPr="00FE0871">
              <w:rPr>
                <w:sz w:val="18"/>
                <w:szCs w:val="18"/>
              </w:rPr>
              <w:t>133.4</w:t>
            </w:r>
          </w:p>
        </w:tc>
        <w:tc>
          <w:tcPr>
            <w:tcW w:w="688" w:type="dxa"/>
            <w:tcBorders>
              <w:top w:val="nil"/>
              <w:left w:val="nil"/>
              <w:bottom w:val="single" w:sz="4" w:space="0" w:color="FFFFFF"/>
              <w:right w:val="nil"/>
            </w:tcBorders>
            <w:shd w:val="clear" w:color="000000" w:fill="F2F2F2"/>
            <w:vAlign w:val="center"/>
            <w:hideMark/>
          </w:tcPr>
          <w:p w14:paraId="1CE30273" w14:textId="77777777" w:rsidR="0099335D" w:rsidRPr="00FE0871" w:rsidRDefault="0099335D" w:rsidP="00920844">
            <w:pPr>
              <w:pStyle w:val="Tabletext"/>
              <w:spacing w:line="200" w:lineRule="exact"/>
              <w:jc w:val="center"/>
              <w:rPr>
                <w:sz w:val="18"/>
                <w:szCs w:val="18"/>
              </w:rPr>
            </w:pPr>
            <w:r w:rsidRPr="00FE0871">
              <w:rPr>
                <w:sz w:val="18"/>
                <w:szCs w:val="18"/>
              </w:rPr>
              <w:t>130.1</w:t>
            </w:r>
          </w:p>
        </w:tc>
        <w:tc>
          <w:tcPr>
            <w:tcW w:w="688" w:type="dxa"/>
            <w:tcBorders>
              <w:top w:val="nil"/>
              <w:left w:val="nil"/>
              <w:bottom w:val="single" w:sz="4" w:space="0" w:color="FFFFFF"/>
              <w:right w:val="nil"/>
            </w:tcBorders>
            <w:shd w:val="clear" w:color="000000" w:fill="F2F2F2"/>
            <w:vAlign w:val="center"/>
            <w:hideMark/>
          </w:tcPr>
          <w:p w14:paraId="4BE1AEDF" w14:textId="77777777" w:rsidR="0099335D" w:rsidRPr="00FE0871" w:rsidRDefault="0099335D" w:rsidP="00920844">
            <w:pPr>
              <w:pStyle w:val="Tabletext"/>
              <w:spacing w:line="200" w:lineRule="exact"/>
              <w:jc w:val="center"/>
              <w:rPr>
                <w:sz w:val="18"/>
                <w:szCs w:val="18"/>
              </w:rPr>
            </w:pPr>
            <w:r w:rsidRPr="00FE0871">
              <w:rPr>
                <w:sz w:val="18"/>
                <w:szCs w:val="18"/>
              </w:rPr>
              <w:t>127.1</w:t>
            </w:r>
          </w:p>
        </w:tc>
        <w:tc>
          <w:tcPr>
            <w:tcW w:w="688" w:type="dxa"/>
            <w:tcBorders>
              <w:top w:val="nil"/>
              <w:left w:val="nil"/>
              <w:bottom w:val="single" w:sz="4" w:space="0" w:color="FFFFFF"/>
              <w:right w:val="nil"/>
            </w:tcBorders>
            <w:shd w:val="clear" w:color="000000" w:fill="F2F2F2"/>
            <w:vAlign w:val="center"/>
            <w:hideMark/>
          </w:tcPr>
          <w:p w14:paraId="2BFE8A96" w14:textId="77777777" w:rsidR="0099335D" w:rsidRPr="00FE0871" w:rsidRDefault="0099335D" w:rsidP="00920844">
            <w:pPr>
              <w:pStyle w:val="Tabletext"/>
              <w:spacing w:line="200" w:lineRule="exact"/>
              <w:jc w:val="center"/>
              <w:rPr>
                <w:sz w:val="18"/>
                <w:szCs w:val="18"/>
              </w:rPr>
            </w:pPr>
            <w:r w:rsidRPr="00FE0871">
              <w:rPr>
                <w:sz w:val="18"/>
                <w:szCs w:val="18"/>
              </w:rPr>
              <w:t>124.3</w:t>
            </w:r>
          </w:p>
        </w:tc>
        <w:tc>
          <w:tcPr>
            <w:tcW w:w="688" w:type="dxa"/>
            <w:tcBorders>
              <w:top w:val="nil"/>
              <w:left w:val="nil"/>
              <w:bottom w:val="single" w:sz="4" w:space="0" w:color="FFFFFF"/>
              <w:right w:val="nil"/>
            </w:tcBorders>
            <w:shd w:val="clear" w:color="000000" w:fill="F2F2F2"/>
            <w:vAlign w:val="center"/>
            <w:hideMark/>
          </w:tcPr>
          <w:p w14:paraId="5F1773B5" w14:textId="77777777" w:rsidR="0099335D" w:rsidRPr="00FE0871" w:rsidRDefault="0099335D" w:rsidP="00920844">
            <w:pPr>
              <w:pStyle w:val="Tabletext"/>
              <w:spacing w:line="200" w:lineRule="exact"/>
              <w:jc w:val="center"/>
              <w:rPr>
                <w:sz w:val="18"/>
                <w:szCs w:val="18"/>
              </w:rPr>
            </w:pPr>
            <w:r w:rsidRPr="00FE0871">
              <w:rPr>
                <w:sz w:val="18"/>
                <w:szCs w:val="18"/>
              </w:rPr>
              <w:t>121.7</w:t>
            </w:r>
          </w:p>
        </w:tc>
        <w:tc>
          <w:tcPr>
            <w:tcW w:w="688" w:type="dxa"/>
            <w:tcBorders>
              <w:top w:val="nil"/>
              <w:left w:val="nil"/>
              <w:bottom w:val="single" w:sz="4" w:space="0" w:color="FFFFFF"/>
              <w:right w:val="nil"/>
            </w:tcBorders>
            <w:shd w:val="clear" w:color="000000" w:fill="F2F2F2"/>
            <w:vAlign w:val="center"/>
            <w:hideMark/>
          </w:tcPr>
          <w:p w14:paraId="21BED114" w14:textId="77777777" w:rsidR="0099335D" w:rsidRPr="00FE0871" w:rsidRDefault="0099335D" w:rsidP="00920844">
            <w:pPr>
              <w:pStyle w:val="Tabletext"/>
              <w:spacing w:line="200" w:lineRule="exact"/>
              <w:jc w:val="center"/>
              <w:rPr>
                <w:sz w:val="18"/>
                <w:szCs w:val="18"/>
              </w:rPr>
            </w:pPr>
            <w:r w:rsidRPr="00FE0871">
              <w:rPr>
                <w:sz w:val="18"/>
                <w:szCs w:val="18"/>
              </w:rPr>
              <w:t>120.6</w:t>
            </w:r>
          </w:p>
        </w:tc>
        <w:tc>
          <w:tcPr>
            <w:tcW w:w="688" w:type="dxa"/>
            <w:tcBorders>
              <w:top w:val="nil"/>
              <w:left w:val="nil"/>
              <w:bottom w:val="single" w:sz="4" w:space="0" w:color="FFFFFF"/>
              <w:right w:val="nil"/>
            </w:tcBorders>
            <w:shd w:val="clear" w:color="000000" w:fill="F2F2F2"/>
            <w:vAlign w:val="center"/>
            <w:hideMark/>
          </w:tcPr>
          <w:p w14:paraId="3067BC71" w14:textId="77777777" w:rsidR="0099335D" w:rsidRPr="00FE0871" w:rsidRDefault="0099335D" w:rsidP="00920844">
            <w:pPr>
              <w:pStyle w:val="Tabletext"/>
              <w:spacing w:line="200" w:lineRule="exact"/>
              <w:jc w:val="center"/>
              <w:rPr>
                <w:sz w:val="18"/>
                <w:szCs w:val="18"/>
              </w:rPr>
            </w:pPr>
            <w:r w:rsidRPr="00FE0871">
              <w:rPr>
                <w:sz w:val="18"/>
                <w:szCs w:val="18"/>
              </w:rPr>
              <w:t>119.6</w:t>
            </w:r>
          </w:p>
        </w:tc>
        <w:tc>
          <w:tcPr>
            <w:tcW w:w="688" w:type="dxa"/>
            <w:tcBorders>
              <w:top w:val="nil"/>
              <w:left w:val="nil"/>
              <w:bottom w:val="single" w:sz="4" w:space="0" w:color="FFFFFF"/>
              <w:right w:val="nil"/>
            </w:tcBorders>
            <w:shd w:val="clear" w:color="000000" w:fill="F2F2F2"/>
            <w:vAlign w:val="center"/>
            <w:hideMark/>
          </w:tcPr>
          <w:p w14:paraId="16B4FC2B" w14:textId="77777777" w:rsidR="0099335D" w:rsidRPr="00FE0871" w:rsidRDefault="0099335D" w:rsidP="00920844">
            <w:pPr>
              <w:pStyle w:val="Tabletext"/>
              <w:spacing w:line="200" w:lineRule="exact"/>
              <w:jc w:val="center"/>
              <w:rPr>
                <w:sz w:val="18"/>
                <w:szCs w:val="18"/>
              </w:rPr>
            </w:pPr>
            <w:r w:rsidRPr="00FE0871">
              <w:rPr>
                <w:sz w:val="18"/>
                <w:szCs w:val="18"/>
              </w:rPr>
              <w:t>118.4</w:t>
            </w:r>
          </w:p>
        </w:tc>
        <w:tc>
          <w:tcPr>
            <w:tcW w:w="688" w:type="dxa"/>
            <w:tcBorders>
              <w:top w:val="nil"/>
              <w:left w:val="nil"/>
              <w:bottom w:val="single" w:sz="4" w:space="0" w:color="FFFFFF"/>
              <w:right w:val="nil"/>
            </w:tcBorders>
            <w:shd w:val="clear" w:color="000000" w:fill="F2F2F2"/>
            <w:vAlign w:val="center"/>
            <w:hideMark/>
          </w:tcPr>
          <w:p w14:paraId="383AAB2E" w14:textId="77777777" w:rsidR="0099335D" w:rsidRPr="00FE0871" w:rsidRDefault="0099335D" w:rsidP="00920844">
            <w:pPr>
              <w:pStyle w:val="Tabletext"/>
              <w:spacing w:line="200" w:lineRule="exact"/>
              <w:jc w:val="center"/>
              <w:rPr>
                <w:sz w:val="18"/>
                <w:szCs w:val="18"/>
              </w:rPr>
            </w:pPr>
            <w:r w:rsidRPr="00FE0871">
              <w:rPr>
                <w:sz w:val="18"/>
                <w:szCs w:val="18"/>
              </w:rPr>
              <w:t>117.1</w:t>
            </w:r>
          </w:p>
        </w:tc>
        <w:tc>
          <w:tcPr>
            <w:tcW w:w="688" w:type="dxa"/>
            <w:tcBorders>
              <w:top w:val="nil"/>
              <w:left w:val="nil"/>
              <w:bottom w:val="single" w:sz="4" w:space="0" w:color="FFFFFF"/>
              <w:right w:val="nil"/>
            </w:tcBorders>
            <w:shd w:val="clear" w:color="000000" w:fill="F2F2F2"/>
            <w:vAlign w:val="center"/>
            <w:hideMark/>
          </w:tcPr>
          <w:p w14:paraId="3DC5C7F9" w14:textId="77777777" w:rsidR="0099335D" w:rsidRPr="00FE0871" w:rsidRDefault="0099335D" w:rsidP="00920844">
            <w:pPr>
              <w:pStyle w:val="Tabletext"/>
              <w:spacing w:line="200" w:lineRule="exact"/>
              <w:jc w:val="center"/>
              <w:rPr>
                <w:sz w:val="18"/>
                <w:szCs w:val="18"/>
              </w:rPr>
            </w:pPr>
            <w:r w:rsidRPr="00FE0871">
              <w:rPr>
                <w:sz w:val="18"/>
                <w:szCs w:val="18"/>
              </w:rPr>
              <w:t>115.9</w:t>
            </w:r>
          </w:p>
        </w:tc>
        <w:tc>
          <w:tcPr>
            <w:tcW w:w="688" w:type="dxa"/>
            <w:tcBorders>
              <w:top w:val="nil"/>
              <w:left w:val="nil"/>
              <w:bottom w:val="single" w:sz="4" w:space="0" w:color="FFFFFF"/>
              <w:right w:val="nil"/>
            </w:tcBorders>
            <w:shd w:val="clear" w:color="000000" w:fill="F2F2F2"/>
            <w:vAlign w:val="center"/>
            <w:hideMark/>
          </w:tcPr>
          <w:p w14:paraId="67956123" w14:textId="77777777" w:rsidR="0099335D" w:rsidRPr="00FE0871" w:rsidRDefault="0099335D" w:rsidP="00920844">
            <w:pPr>
              <w:pStyle w:val="Tabletext"/>
              <w:spacing w:line="200" w:lineRule="exact"/>
              <w:jc w:val="center"/>
              <w:rPr>
                <w:sz w:val="18"/>
                <w:szCs w:val="18"/>
              </w:rPr>
            </w:pPr>
            <w:r w:rsidRPr="00FE0871">
              <w:rPr>
                <w:sz w:val="18"/>
                <w:szCs w:val="18"/>
              </w:rPr>
              <w:t>114.9</w:t>
            </w:r>
          </w:p>
        </w:tc>
      </w:tr>
      <w:tr w:rsidR="0099335D" w:rsidRPr="005F3C62" w14:paraId="435CD347" w14:textId="77777777" w:rsidTr="00FE0871">
        <w:trPr>
          <w:trHeight w:val="227"/>
          <w:jc w:val="center"/>
        </w:trPr>
        <w:tc>
          <w:tcPr>
            <w:tcW w:w="284" w:type="dxa"/>
            <w:tcBorders>
              <w:top w:val="nil"/>
              <w:left w:val="nil"/>
              <w:bottom w:val="single" w:sz="4" w:space="0" w:color="FFFFFF"/>
              <w:right w:val="nil"/>
            </w:tcBorders>
            <w:shd w:val="clear" w:color="000000" w:fill="D9D9D9"/>
            <w:vAlign w:val="center"/>
            <w:hideMark/>
          </w:tcPr>
          <w:p w14:paraId="217D7CF6" w14:textId="77777777" w:rsidR="0099335D" w:rsidRPr="005F3C62" w:rsidRDefault="0099335D" w:rsidP="00FE0871">
            <w:pPr>
              <w:pStyle w:val="Tabletext"/>
              <w:spacing w:line="200" w:lineRule="exact"/>
            </w:pPr>
            <w:r w:rsidRPr="005F3C62">
              <w:t>2</w:t>
            </w:r>
          </w:p>
        </w:tc>
        <w:tc>
          <w:tcPr>
            <w:tcW w:w="2366" w:type="dxa"/>
            <w:tcBorders>
              <w:top w:val="nil"/>
              <w:left w:val="nil"/>
              <w:bottom w:val="single" w:sz="4" w:space="0" w:color="FFFFFF"/>
              <w:right w:val="nil"/>
            </w:tcBorders>
            <w:shd w:val="clear" w:color="000000" w:fill="D9D9D9"/>
            <w:vAlign w:val="center"/>
            <w:hideMark/>
          </w:tcPr>
          <w:p w14:paraId="662F9F8A" w14:textId="77777777" w:rsidR="0099335D" w:rsidRPr="005F3C62" w:rsidRDefault="0099335D" w:rsidP="00FE0871">
            <w:pPr>
              <w:pStyle w:val="Tabletext"/>
              <w:spacing w:line="200" w:lineRule="exact"/>
            </w:pPr>
            <w:r w:rsidRPr="005F3C62">
              <w:t xml:space="preserve">Rolled over long-term debt </w:t>
            </w:r>
          </w:p>
        </w:tc>
        <w:tc>
          <w:tcPr>
            <w:tcW w:w="851" w:type="dxa"/>
            <w:tcBorders>
              <w:top w:val="nil"/>
              <w:left w:val="nil"/>
              <w:bottom w:val="single" w:sz="4" w:space="0" w:color="FFFFFF"/>
              <w:right w:val="nil"/>
            </w:tcBorders>
            <w:shd w:val="clear" w:color="000000" w:fill="D9D9D9"/>
            <w:vAlign w:val="center"/>
            <w:hideMark/>
          </w:tcPr>
          <w:p w14:paraId="4C08577C" w14:textId="77777777" w:rsidR="0099335D" w:rsidRPr="00FE0871" w:rsidRDefault="0099335D" w:rsidP="00FE0871">
            <w:pPr>
              <w:pStyle w:val="Tabletext"/>
              <w:spacing w:line="200" w:lineRule="exact"/>
              <w:rPr>
                <w:sz w:val="18"/>
                <w:szCs w:val="18"/>
              </w:rPr>
            </w:pPr>
            <w:r w:rsidRPr="00FE0871">
              <w:rPr>
                <w:sz w:val="18"/>
                <w:szCs w:val="18"/>
              </w:rPr>
              <w:t>(% GDP)</w:t>
            </w:r>
          </w:p>
        </w:tc>
        <w:tc>
          <w:tcPr>
            <w:tcW w:w="688" w:type="dxa"/>
            <w:tcBorders>
              <w:top w:val="nil"/>
              <w:left w:val="nil"/>
              <w:bottom w:val="single" w:sz="4" w:space="0" w:color="FFFFFF"/>
              <w:right w:val="nil"/>
            </w:tcBorders>
            <w:shd w:val="clear" w:color="000000" w:fill="D9D9D9"/>
            <w:vAlign w:val="center"/>
            <w:hideMark/>
          </w:tcPr>
          <w:p w14:paraId="77110E87" w14:textId="77777777" w:rsidR="0099335D" w:rsidRPr="00FE0871" w:rsidRDefault="0099335D" w:rsidP="00920844">
            <w:pPr>
              <w:pStyle w:val="Tabletext"/>
              <w:spacing w:line="200" w:lineRule="exact"/>
              <w:jc w:val="center"/>
              <w:rPr>
                <w:sz w:val="18"/>
                <w:szCs w:val="18"/>
              </w:rPr>
            </w:pPr>
            <w:r w:rsidRPr="00FE0871">
              <w:rPr>
                <w:sz w:val="18"/>
                <w:szCs w:val="18"/>
              </w:rPr>
              <w:t>6.3</w:t>
            </w:r>
          </w:p>
        </w:tc>
        <w:tc>
          <w:tcPr>
            <w:tcW w:w="688" w:type="dxa"/>
            <w:tcBorders>
              <w:top w:val="nil"/>
              <w:left w:val="nil"/>
              <w:bottom w:val="single" w:sz="4" w:space="0" w:color="FFFFFF"/>
              <w:right w:val="nil"/>
            </w:tcBorders>
            <w:shd w:val="clear" w:color="000000" w:fill="D9D9D9"/>
            <w:vAlign w:val="center"/>
            <w:hideMark/>
          </w:tcPr>
          <w:p w14:paraId="6467531E" w14:textId="77777777" w:rsidR="0099335D" w:rsidRPr="00FE0871" w:rsidRDefault="0099335D" w:rsidP="00920844">
            <w:pPr>
              <w:pStyle w:val="Tabletext"/>
              <w:spacing w:line="200" w:lineRule="exact"/>
              <w:jc w:val="center"/>
              <w:rPr>
                <w:sz w:val="18"/>
                <w:szCs w:val="18"/>
              </w:rPr>
            </w:pPr>
            <w:r w:rsidRPr="00FE0871">
              <w:rPr>
                <w:sz w:val="18"/>
                <w:szCs w:val="18"/>
              </w:rPr>
              <w:t>2.3</w:t>
            </w:r>
          </w:p>
        </w:tc>
        <w:tc>
          <w:tcPr>
            <w:tcW w:w="688" w:type="dxa"/>
            <w:tcBorders>
              <w:top w:val="nil"/>
              <w:left w:val="nil"/>
              <w:bottom w:val="single" w:sz="4" w:space="0" w:color="FFFFFF"/>
              <w:right w:val="nil"/>
            </w:tcBorders>
            <w:shd w:val="clear" w:color="000000" w:fill="D9D9D9"/>
            <w:vAlign w:val="center"/>
            <w:hideMark/>
          </w:tcPr>
          <w:p w14:paraId="6AEC8C53" w14:textId="77777777" w:rsidR="0099335D" w:rsidRPr="00FE0871" w:rsidRDefault="0099335D" w:rsidP="00920844">
            <w:pPr>
              <w:pStyle w:val="Tabletext"/>
              <w:spacing w:line="200" w:lineRule="exact"/>
              <w:jc w:val="center"/>
              <w:rPr>
                <w:sz w:val="18"/>
                <w:szCs w:val="18"/>
              </w:rPr>
            </w:pPr>
            <w:r w:rsidRPr="00FE0871">
              <w:rPr>
                <w:sz w:val="18"/>
                <w:szCs w:val="18"/>
              </w:rPr>
              <w:t>2.2</w:t>
            </w:r>
          </w:p>
        </w:tc>
        <w:tc>
          <w:tcPr>
            <w:tcW w:w="688" w:type="dxa"/>
            <w:tcBorders>
              <w:top w:val="nil"/>
              <w:left w:val="nil"/>
              <w:bottom w:val="single" w:sz="4" w:space="0" w:color="FFFFFF"/>
              <w:right w:val="nil"/>
            </w:tcBorders>
            <w:shd w:val="clear" w:color="000000" w:fill="D9D9D9"/>
            <w:vAlign w:val="center"/>
            <w:hideMark/>
          </w:tcPr>
          <w:p w14:paraId="0FD0319C" w14:textId="77777777" w:rsidR="0099335D" w:rsidRPr="00FE0871" w:rsidRDefault="0099335D" w:rsidP="00920844">
            <w:pPr>
              <w:pStyle w:val="Tabletext"/>
              <w:spacing w:line="200" w:lineRule="exact"/>
              <w:jc w:val="center"/>
              <w:rPr>
                <w:sz w:val="18"/>
                <w:szCs w:val="18"/>
              </w:rPr>
            </w:pPr>
            <w:r w:rsidRPr="00FE0871">
              <w:rPr>
                <w:sz w:val="18"/>
                <w:szCs w:val="18"/>
              </w:rPr>
              <w:t>5.1</w:t>
            </w:r>
          </w:p>
        </w:tc>
        <w:tc>
          <w:tcPr>
            <w:tcW w:w="688" w:type="dxa"/>
            <w:tcBorders>
              <w:top w:val="nil"/>
              <w:left w:val="nil"/>
              <w:bottom w:val="single" w:sz="4" w:space="0" w:color="FFFFFF"/>
              <w:right w:val="nil"/>
            </w:tcBorders>
            <w:shd w:val="clear" w:color="000000" w:fill="D9D9D9"/>
            <w:vAlign w:val="center"/>
            <w:hideMark/>
          </w:tcPr>
          <w:p w14:paraId="410BDF0D" w14:textId="77777777" w:rsidR="0099335D" w:rsidRPr="00FE0871" w:rsidRDefault="0099335D" w:rsidP="00920844">
            <w:pPr>
              <w:pStyle w:val="Tabletext"/>
              <w:spacing w:line="200" w:lineRule="exact"/>
              <w:jc w:val="center"/>
              <w:rPr>
                <w:sz w:val="18"/>
                <w:szCs w:val="18"/>
              </w:rPr>
            </w:pPr>
            <w:r w:rsidRPr="00FE0871">
              <w:rPr>
                <w:sz w:val="18"/>
                <w:szCs w:val="18"/>
              </w:rPr>
              <w:t>4.4</w:t>
            </w:r>
          </w:p>
        </w:tc>
        <w:tc>
          <w:tcPr>
            <w:tcW w:w="688" w:type="dxa"/>
            <w:tcBorders>
              <w:top w:val="nil"/>
              <w:left w:val="nil"/>
              <w:bottom w:val="single" w:sz="4" w:space="0" w:color="FFFFFF"/>
              <w:right w:val="nil"/>
            </w:tcBorders>
            <w:shd w:val="clear" w:color="000000" w:fill="D9D9D9"/>
            <w:vAlign w:val="center"/>
            <w:hideMark/>
          </w:tcPr>
          <w:p w14:paraId="7F78C418" w14:textId="77777777" w:rsidR="0099335D" w:rsidRPr="00FE0871" w:rsidRDefault="0099335D" w:rsidP="00920844">
            <w:pPr>
              <w:pStyle w:val="Tabletext"/>
              <w:spacing w:line="200" w:lineRule="exact"/>
              <w:jc w:val="center"/>
              <w:rPr>
                <w:sz w:val="18"/>
                <w:szCs w:val="18"/>
              </w:rPr>
            </w:pPr>
            <w:r w:rsidRPr="00FE0871">
              <w:rPr>
                <w:sz w:val="18"/>
                <w:szCs w:val="18"/>
              </w:rPr>
              <w:t>6.0</w:t>
            </w:r>
          </w:p>
        </w:tc>
        <w:tc>
          <w:tcPr>
            <w:tcW w:w="688" w:type="dxa"/>
            <w:tcBorders>
              <w:top w:val="nil"/>
              <w:left w:val="nil"/>
              <w:bottom w:val="single" w:sz="4" w:space="0" w:color="FFFFFF"/>
              <w:right w:val="nil"/>
            </w:tcBorders>
            <w:shd w:val="clear" w:color="000000" w:fill="D9D9D9"/>
            <w:vAlign w:val="center"/>
            <w:hideMark/>
          </w:tcPr>
          <w:p w14:paraId="5707CCC5" w14:textId="77777777" w:rsidR="0099335D" w:rsidRPr="00FE0871" w:rsidRDefault="0099335D" w:rsidP="00920844">
            <w:pPr>
              <w:pStyle w:val="Tabletext"/>
              <w:spacing w:line="200" w:lineRule="exact"/>
              <w:jc w:val="center"/>
              <w:rPr>
                <w:sz w:val="18"/>
                <w:szCs w:val="18"/>
              </w:rPr>
            </w:pPr>
            <w:r w:rsidRPr="00FE0871">
              <w:rPr>
                <w:sz w:val="18"/>
                <w:szCs w:val="18"/>
              </w:rPr>
              <w:t>5.4</w:t>
            </w:r>
          </w:p>
        </w:tc>
        <w:tc>
          <w:tcPr>
            <w:tcW w:w="688" w:type="dxa"/>
            <w:tcBorders>
              <w:top w:val="nil"/>
              <w:left w:val="nil"/>
              <w:bottom w:val="single" w:sz="4" w:space="0" w:color="FFFFFF"/>
              <w:right w:val="nil"/>
            </w:tcBorders>
            <w:shd w:val="clear" w:color="000000" w:fill="D9D9D9"/>
            <w:vAlign w:val="center"/>
            <w:hideMark/>
          </w:tcPr>
          <w:p w14:paraId="61478BBD" w14:textId="77777777" w:rsidR="0099335D" w:rsidRPr="00FE0871" w:rsidRDefault="0099335D" w:rsidP="00920844">
            <w:pPr>
              <w:pStyle w:val="Tabletext"/>
              <w:spacing w:line="200" w:lineRule="exact"/>
              <w:jc w:val="center"/>
              <w:rPr>
                <w:sz w:val="18"/>
                <w:szCs w:val="18"/>
              </w:rPr>
            </w:pPr>
            <w:r w:rsidRPr="00FE0871">
              <w:rPr>
                <w:sz w:val="18"/>
                <w:szCs w:val="18"/>
              </w:rPr>
              <w:t>6.1</w:t>
            </w:r>
          </w:p>
        </w:tc>
        <w:tc>
          <w:tcPr>
            <w:tcW w:w="688" w:type="dxa"/>
            <w:tcBorders>
              <w:top w:val="nil"/>
              <w:left w:val="nil"/>
              <w:bottom w:val="single" w:sz="4" w:space="0" w:color="FFFFFF"/>
              <w:right w:val="nil"/>
            </w:tcBorders>
            <w:shd w:val="clear" w:color="000000" w:fill="D9D9D9"/>
            <w:vAlign w:val="center"/>
            <w:hideMark/>
          </w:tcPr>
          <w:p w14:paraId="10C8BA43" w14:textId="77777777" w:rsidR="0099335D" w:rsidRPr="00FE0871" w:rsidRDefault="0099335D" w:rsidP="00920844">
            <w:pPr>
              <w:pStyle w:val="Tabletext"/>
              <w:spacing w:line="200" w:lineRule="exact"/>
              <w:jc w:val="center"/>
              <w:rPr>
                <w:sz w:val="18"/>
                <w:szCs w:val="18"/>
              </w:rPr>
            </w:pPr>
            <w:r w:rsidRPr="00FE0871">
              <w:rPr>
                <w:sz w:val="18"/>
                <w:szCs w:val="18"/>
              </w:rPr>
              <w:t>7.7</w:t>
            </w:r>
          </w:p>
        </w:tc>
        <w:tc>
          <w:tcPr>
            <w:tcW w:w="688" w:type="dxa"/>
            <w:tcBorders>
              <w:top w:val="nil"/>
              <w:left w:val="nil"/>
              <w:bottom w:val="single" w:sz="4" w:space="0" w:color="FFFFFF"/>
              <w:right w:val="nil"/>
            </w:tcBorders>
            <w:shd w:val="clear" w:color="000000" w:fill="D9D9D9"/>
            <w:vAlign w:val="center"/>
            <w:hideMark/>
          </w:tcPr>
          <w:p w14:paraId="7F9E65B1" w14:textId="77777777" w:rsidR="0099335D" w:rsidRPr="00FE0871" w:rsidRDefault="0099335D" w:rsidP="00920844">
            <w:pPr>
              <w:pStyle w:val="Tabletext"/>
              <w:spacing w:line="200" w:lineRule="exact"/>
              <w:jc w:val="center"/>
              <w:rPr>
                <w:sz w:val="18"/>
                <w:szCs w:val="18"/>
              </w:rPr>
            </w:pPr>
            <w:r w:rsidRPr="00FE0871">
              <w:rPr>
                <w:sz w:val="18"/>
                <w:szCs w:val="18"/>
              </w:rPr>
              <w:t>6.9</w:t>
            </w:r>
          </w:p>
        </w:tc>
        <w:tc>
          <w:tcPr>
            <w:tcW w:w="688" w:type="dxa"/>
            <w:tcBorders>
              <w:top w:val="nil"/>
              <w:left w:val="nil"/>
              <w:bottom w:val="single" w:sz="4" w:space="0" w:color="FFFFFF"/>
              <w:right w:val="nil"/>
            </w:tcBorders>
            <w:shd w:val="clear" w:color="000000" w:fill="D9D9D9"/>
            <w:vAlign w:val="center"/>
            <w:hideMark/>
          </w:tcPr>
          <w:p w14:paraId="7AB030D5" w14:textId="77777777" w:rsidR="0099335D" w:rsidRPr="00FE0871" w:rsidRDefault="0099335D" w:rsidP="00920844">
            <w:pPr>
              <w:pStyle w:val="Tabletext"/>
              <w:spacing w:line="200" w:lineRule="exact"/>
              <w:jc w:val="center"/>
              <w:rPr>
                <w:sz w:val="18"/>
                <w:szCs w:val="18"/>
              </w:rPr>
            </w:pPr>
            <w:r w:rsidRPr="00FE0871">
              <w:rPr>
                <w:sz w:val="18"/>
                <w:szCs w:val="18"/>
              </w:rPr>
              <w:t>10.1</w:t>
            </w:r>
          </w:p>
        </w:tc>
        <w:tc>
          <w:tcPr>
            <w:tcW w:w="688" w:type="dxa"/>
            <w:tcBorders>
              <w:top w:val="nil"/>
              <w:left w:val="nil"/>
              <w:bottom w:val="single" w:sz="4" w:space="0" w:color="FFFFFF"/>
              <w:right w:val="nil"/>
            </w:tcBorders>
            <w:shd w:val="clear" w:color="000000" w:fill="D9D9D9"/>
            <w:vAlign w:val="center"/>
            <w:hideMark/>
          </w:tcPr>
          <w:p w14:paraId="544E4D32" w14:textId="77777777" w:rsidR="0099335D" w:rsidRPr="00FE0871" w:rsidRDefault="0099335D" w:rsidP="00920844">
            <w:pPr>
              <w:pStyle w:val="Tabletext"/>
              <w:spacing w:line="200" w:lineRule="exact"/>
              <w:jc w:val="center"/>
              <w:rPr>
                <w:sz w:val="18"/>
                <w:szCs w:val="18"/>
              </w:rPr>
            </w:pPr>
            <w:r w:rsidRPr="00FE0871">
              <w:rPr>
                <w:sz w:val="18"/>
                <w:szCs w:val="18"/>
              </w:rPr>
              <w:t>8.1</w:t>
            </w:r>
          </w:p>
        </w:tc>
        <w:tc>
          <w:tcPr>
            <w:tcW w:w="688" w:type="dxa"/>
            <w:tcBorders>
              <w:top w:val="nil"/>
              <w:left w:val="nil"/>
              <w:bottom w:val="single" w:sz="4" w:space="0" w:color="FFFFFF"/>
              <w:right w:val="nil"/>
            </w:tcBorders>
            <w:shd w:val="clear" w:color="000000" w:fill="D9D9D9"/>
            <w:vAlign w:val="center"/>
            <w:hideMark/>
          </w:tcPr>
          <w:p w14:paraId="5AF44DB4" w14:textId="77777777" w:rsidR="0099335D" w:rsidRPr="00FE0871" w:rsidRDefault="0099335D" w:rsidP="00920844">
            <w:pPr>
              <w:pStyle w:val="Tabletext"/>
              <w:spacing w:line="200" w:lineRule="exact"/>
              <w:jc w:val="center"/>
              <w:rPr>
                <w:sz w:val="18"/>
                <w:szCs w:val="18"/>
              </w:rPr>
            </w:pPr>
            <w:r w:rsidRPr="00FE0871">
              <w:rPr>
                <w:sz w:val="18"/>
                <w:szCs w:val="18"/>
              </w:rPr>
              <w:t>8.5</w:t>
            </w:r>
          </w:p>
        </w:tc>
        <w:tc>
          <w:tcPr>
            <w:tcW w:w="688" w:type="dxa"/>
            <w:tcBorders>
              <w:top w:val="nil"/>
              <w:left w:val="nil"/>
              <w:bottom w:val="single" w:sz="4" w:space="0" w:color="FFFFFF"/>
              <w:right w:val="nil"/>
            </w:tcBorders>
            <w:shd w:val="clear" w:color="000000" w:fill="D9D9D9"/>
            <w:vAlign w:val="center"/>
            <w:hideMark/>
          </w:tcPr>
          <w:p w14:paraId="6955EAB9" w14:textId="77777777" w:rsidR="0099335D" w:rsidRPr="00FE0871" w:rsidRDefault="0099335D" w:rsidP="00920844">
            <w:pPr>
              <w:pStyle w:val="Tabletext"/>
              <w:spacing w:line="200" w:lineRule="exact"/>
              <w:jc w:val="center"/>
              <w:rPr>
                <w:sz w:val="18"/>
                <w:szCs w:val="18"/>
              </w:rPr>
            </w:pPr>
            <w:r w:rsidRPr="00FE0871">
              <w:rPr>
                <w:sz w:val="18"/>
                <w:szCs w:val="18"/>
              </w:rPr>
              <w:t>9.9</w:t>
            </w:r>
          </w:p>
        </w:tc>
        <w:tc>
          <w:tcPr>
            <w:tcW w:w="688" w:type="dxa"/>
            <w:tcBorders>
              <w:top w:val="nil"/>
              <w:left w:val="nil"/>
              <w:bottom w:val="single" w:sz="4" w:space="0" w:color="FFFFFF"/>
              <w:right w:val="nil"/>
            </w:tcBorders>
            <w:shd w:val="clear" w:color="000000" w:fill="D9D9D9"/>
            <w:vAlign w:val="center"/>
            <w:hideMark/>
          </w:tcPr>
          <w:p w14:paraId="201AB079" w14:textId="77777777" w:rsidR="0099335D" w:rsidRPr="00FE0871" w:rsidRDefault="0099335D" w:rsidP="00920844">
            <w:pPr>
              <w:pStyle w:val="Tabletext"/>
              <w:spacing w:line="200" w:lineRule="exact"/>
              <w:jc w:val="center"/>
              <w:rPr>
                <w:sz w:val="18"/>
                <w:szCs w:val="18"/>
              </w:rPr>
            </w:pPr>
            <w:r w:rsidRPr="00FE0871">
              <w:rPr>
                <w:sz w:val="18"/>
                <w:szCs w:val="18"/>
              </w:rPr>
              <w:t>10.7</w:t>
            </w:r>
          </w:p>
        </w:tc>
        <w:tc>
          <w:tcPr>
            <w:tcW w:w="688" w:type="dxa"/>
            <w:tcBorders>
              <w:top w:val="nil"/>
              <w:left w:val="nil"/>
              <w:bottom w:val="single" w:sz="4" w:space="0" w:color="FFFFFF"/>
              <w:right w:val="nil"/>
            </w:tcBorders>
            <w:shd w:val="clear" w:color="000000" w:fill="D9D9D9"/>
            <w:vAlign w:val="center"/>
            <w:hideMark/>
          </w:tcPr>
          <w:p w14:paraId="3AF0CFB3" w14:textId="77777777" w:rsidR="0099335D" w:rsidRPr="00FE0871" w:rsidRDefault="0099335D" w:rsidP="00920844">
            <w:pPr>
              <w:pStyle w:val="Tabletext"/>
              <w:spacing w:line="200" w:lineRule="exact"/>
              <w:jc w:val="center"/>
              <w:rPr>
                <w:sz w:val="18"/>
                <w:szCs w:val="18"/>
              </w:rPr>
            </w:pPr>
            <w:r w:rsidRPr="00FE0871">
              <w:rPr>
                <w:sz w:val="18"/>
                <w:szCs w:val="18"/>
              </w:rPr>
              <w:t>11.6</w:t>
            </w:r>
          </w:p>
        </w:tc>
      </w:tr>
      <w:tr w:rsidR="0099335D" w:rsidRPr="005F3C62" w14:paraId="57434B47" w14:textId="77777777" w:rsidTr="00FE0871">
        <w:trPr>
          <w:trHeight w:val="227"/>
          <w:jc w:val="center"/>
        </w:trPr>
        <w:tc>
          <w:tcPr>
            <w:tcW w:w="284" w:type="dxa"/>
            <w:tcBorders>
              <w:top w:val="nil"/>
              <w:left w:val="nil"/>
              <w:bottom w:val="single" w:sz="4" w:space="0" w:color="FFFFFF"/>
              <w:right w:val="nil"/>
            </w:tcBorders>
            <w:shd w:val="clear" w:color="000000" w:fill="F2F2F2"/>
            <w:vAlign w:val="center"/>
            <w:hideMark/>
          </w:tcPr>
          <w:p w14:paraId="5B222F0C" w14:textId="77777777" w:rsidR="0099335D" w:rsidRPr="005F3C62" w:rsidRDefault="0099335D" w:rsidP="00FE0871">
            <w:pPr>
              <w:pStyle w:val="Tabletext"/>
              <w:spacing w:line="200" w:lineRule="exact"/>
            </w:pPr>
            <w:r w:rsidRPr="005F3C62">
              <w:t>3</w:t>
            </w:r>
          </w:p>
        </w:tc>
        <w:tc>
          <w:tcPr>
            <w:tcW w:w="2366" w:type="dxa"/>
            <w:tcBorders>
              <w:top w:val="nil"/>
              <w:left w:val="nil"/>
              <w:bottom w:val="single" w:sz="4" w:space="0" w:color="FFFFFF"/>
              <w:right w:val="nil"/>
            </w:tcBorders>
            <w:shd w:val="clear" w:color="000000" w:fill="F2F2F2"/>
            <w:vAlign w:val="center"/>
            <w:hideMark/>
          </w:tcPr>
          <w:p w14:paraId="4973BA8C" w14:textId="77777777" w:rsidR="0099335D" w:rsidRPr="005F3C62" w:rsidRDefault="0099335D" w:rsidP="00FE0871">
            <w:pPr>
              <w:pStyle w:val="Tabletext"/>
              <w:spacing w:line="200" w:lineRule="exact"/>
            </w:pPr>
            <w:r w:rsidRPr="005F3C62">
              <w:t>Rolled over short-term debt</w:t>
            </w:r>
          </w:p>
        </w:tc>
        <w:tc>
          <w:tcPr>
            <w:tcW w:w="851" w:type="dxa"/>
            <w:tcBorders>
              <w:top w:val="nil"/>
              <w:left w:val="nil"/>
              <w:bottom w:val="single" w:sz="4" w:space="0" w:color="FFFFFF"/>
              <w:right w:val="nil"/>
            </w:tcBorders>
            <w:shd w:val="clear" w:color="000000" w:fill="F2F2F2"/>
            <w:vAlign w:val="center"/>
            <w:hideMark/>
          </w:tcPr>
          <w:p w14:paraId="77C868DE" w14:textId="77777777" w:rsidR="0099335D" w:rsidRPr="00FE0871" w:rsidRDefault="0099335D" w:rsidP="00FE0871">
            <w:pPr>
              <w:pStyle w:val="Tabletext"/>
              <w:spacing w:line="200" w:lineRule="exact"/>
              <w:rPr>
                <w:sz w:val="18"/>
                <w:szCs w:val="18"/>
              </w:rPr>
            </w:pPr>
            <w:r w:rsidRPr="00FE0871">
              <w:rPr>
                <w:sz w:val="18"/>
                <w:szCs w:val="18"/>
              </w:rPr>
              <w:t>(% GDP)</w:t>
            </w:r>
          </w:p>
        </w:tc>
        <w:tc>
          <w:tcPr>
            <w:tcW w:w="688" w:type="dxa"/>
            <w:tcBorders>
              <w:top w:val="nil"/>
              <w:left w:val="nil"/>
              <w:bottom w:val="single" w:sz="4" w:space="0" w:color="FFFFFF"/>
              <w:right w:val="nil"/>
            </w:tcBorders>
            <w:shd w:val="clear" w:color="000000" w:fill="F2F2F2"/>
            <w:vAlign w:val="center"/>
            <w:hideMark/>
          </w:tcPr>
          <w:p w14:paraId="5E6C0EF2" w14:textId="77777777" w:rsidR="0099335D" w:rsidRPr="00FE0871" w:rsidRDefault="0099335D" w:rsidP="00920844">
            <w:pPr>
              <w:pStyle w:val="Tabletext"/>
              <w:spacing w:line="200" w:lineRule="exact"/>
              <w:jc w:val="center"/>
              <w:rPr>
                <w:sz w:val="18"/>
                <w:szCs w:val="18"/>
              </w:rPr>
            </w:pPr>
            <w:r w:rsidRPr="00FE0871">
              <w:rPr>
                <w:sz w:val="18"/>
                <w:szCs w:val="18"/>
              </w:rPr>
              <w:t>8.9</w:t>
            </w:r>
          </w:p>
        </w:tc>
        <w:tc>
          <w:tcPr>
            <w:tcW w:w="688" w:type="dxa"/>
            <w:tcBorders>
              <w:top w:val="nil"/>
              <w:left w:val="nil"/>
              <w:bottom w:val="single" w:sz="4" w:space="0" w:color="FFFFFF"/>
              <w:right w:val="nil"/>
            </w:tcBorders>
            <w:shd w:val="clear" w:color="000000" w:fill="F2F2F2"/>
            <w:vAlign w:val="center"/>
            <w:hideMark/>
          </w:tcPr>
          <w:p w14:paraId="72865551" w14:textId="77777777" w:rsidR="0099335D" w:rsidRPr="00FE0871" w:rsidRDefault="0099335D" w:rsidP="00920844">
            <w:pPr>
              <w:pStyle w:val="Tabletext"/>
              <w:spacing w:line="200" w:lineRule="exact"/>
              <w:jc w:val="center"/>
              <w:rPr>
                <w:sz w:val="18"/>
                <w:szCs w:val="18"/>
              </w:rPr>
            </w:pPr>
            <w:r w:rsidRPr="00FE0871">
              <w:rPr>
                <w:sz w:val="18"/>
                <w:szCs w:val="18"/>
              </w:rPr>
              <w:t>8.4</w:t>
            </w:r>
          </w:p>
        </w:tc>
        <w:tc>
          <w:tcPr>
            <w:tcW w:w="688" w:type="dxa"/>
            <w:tcBorders>
              <w:top w:val="nil"/>
              <w:left w:val="nil"/>
              <w:bottom w:val="single" w:sz="4" w:space="0" w:color="FFFFFF"/>
              <w:right w:val="nil"/>
            </w:tcBorders>
            <w:shd w:val="clear" w:color="000000" w:fill="F2F2F2"/>
            <w:vAlign w:val="center"/>
            <w:hideMark/>
          </w:tcPr>
          <w:p w14:paraId="26840AD9" w14:textId="77777777" w:rsidR="0099335D" w:rsidRPr="00FE0871" w:rsidRDefault="0099335D" w:rsidP="00920844">
            <w:pPr>
              <w:pStyle w:val="Tabletext"/>
              <w:spacing w:line="200" w:lineRule="exact"/>
              <w:jc w:val="center"/>
              <w:rPr>
                <w:sz w:val="18"/>
                <w:szCs w:val="18"/>
              </w:rPr>
            </w:pPr>
            <w:r w:rsidRPr="00FE0871">
              <w:rPr>
                <w:sz w:val="18"/>
                <w:szCs w:val="18"/>
              </w:rPr>
              <w:t>8.0</w:t>
            </w:r>
          </w:p>
        </w:tc>
        <w:tc>
          <w:tcPr>
            <w:tcW w:w="688" w:type="dxa"/>
            <w:tcBorders>
              <w:top w:val="nil"/>
              <w:left w:val="nil"/>
              <w:bottom w:val="single" w:sz="4" w:space="0" w:color="FFFFFF"/>
              <w:right w:val="nil"/>
            </w:tcBorders>
            <w:shd w:val="clear" w:color="000000" w:fill="F2F2F2"/>
            <w:vAlign w:val="center"/>
            <w:hideMark/>
          </w:tcPr>
          <w:p w14:paraId="32A0FB94" w14:textId="77777777" w:rsidR="0099335D" w:rsidRPr="00FE0871" w:rsidRDefault="0099335D" w:rsidP="00920844">
            <w:pPr>
              <w:pStyle w:val="Tabletext"/>
              <w:spacing w:line="200" w:lineRule="exact"/>
              <w:jc w:val="center"/>
              <w:rPr>
                <w:sz w:val="18"/>
                <w:szCs w:val="18"/>
              </w:rPr>
            </w:pPr>
            <w:r w:rsidRPr="00FE0871">
              <w:rPr>
                <w:sz w:val="18"/>
                <w:szCs w:val="18"/>
              </w:rPr>
              <w:t>7.8</w:t>
            </w:r>
          </w:p>
        </w:tc>
        <w:tc>
          <w:tcPr>
            <w:tcW w:w="688" w:type="dxa"/>
            <w:tcBorders>
              <w:top w:val="nil"/>
              <w:left w:val="nil"/>
              <w:bottom w:val="single" w:sz="4" w:space="0" w:color="FFFFFF"/>
              <w:right w:val="nil"/>
            </w:tcBorders>
            <w:shd w:val="clear" w:color="000000" w:fill="F2F2F2"/>
            <w:vAlign w:val="center"/>
            <w:hideMark/>
          </w:tcPr>
          <w:p w14:paraId="64E020F3" w14:textId="77777777" w:rsidR="0099335D" w:rsidRPr="00FE0871" w:rsidRDefault="0099335D" w:rsidP="00920844">
            <w:pPr>
              <w:pStyle w:val="Tabletext"/>
              <w:spacing w:line="200" w:lineRule="exact"/>
              <w:jc w:val="center"/>
              <w:rPr>
                <w:sz w:val="18"/>
                <w:szCs w:val="18"/>
              </w:rPr>
            </w:pPr>
            <w:r w:rsidRPr="00FE0871">
              <w:rPr>
                <w:sz w:val="18"/>
                <w:szCs w:val="18"/>
              </w:rPr>
              <w:t>7.5</w:t>
            </w:r>
          </w:p>
        </w:tc>
        <w:tc>
          <w:tcPr>
            <w:tcW w:w="688" w:type="dxa"/>
            <w:tcBorders>
              <w:top w:val="nil"/>
              <w:left w:val="nil"/>
              <w:bottom w:val="single" w:sz="4" w:space="0" w:color="FFFFFF"/>
              <w:right w:val="nil"/>
            </w:tcBorders>
            <w:shd w:val="clear" w:color="000000" w:fill="F2F2F2"/>
            <w:vAlign w:val="center"/>
            <w:hideMark/>
          </w:tcPr>
          <w:p w14:paraId="055CEF5C" w14:textId="77777777" w:rsidR="0099335D" w:rsidRPr="00FE0871" w:rsidRDefault="0099335D" w:rsidP="00920844">
            <w:pPr>
              <w:pStyle w:val="Tabletext"/>
              <w:spacing w:line="200" w:lineRule="exact"/>
              <w:jc w:val="center"/>
              <w:rPr>
                <w:sz w:val="18"/>
                <w:szCs w:val="18"/>
              </w:rPr>
            </w:pPr>
            <w:r w:rsidRPr="00FE0871">
              <w:rPr>
                <w:sz w:val="18"/>
                <w:szCs w:val="18"/>
              </w:rPr>
              <w:t>7.3</w:t>
            </w:r>
          </w:p>
        </w:tc>
        <w:tc>
          <w:tcPr>
            <w:tcW w:w="688" w:type="dxa"/>
            <w:tcBorders>
              <w:top w:val="nil"/>
              <w:left w:val="nil"/>
              <w:bottom w:val="single" w:sz="4" w:space="0" w:color="FFFFFF"/>
              <w:right w:val="nil"/>
            </w:tcBorders>
            <w:shd w:val="clear" w:color="000000" w:fill="F2F2F2"/>
            <w:vAlign w:val="center"/>
            <w:hideMark/>
          </w:tcPr>
          <w:p w14:paraId="5957512C" w14:textId="77777777" w:rsidR="0099335D" w:rsidRPr="00FE0871" w:rsidRDefault="0099335D" w:rsidP="00920844">
            <w:pPr>
              <w:pStyle w:val="Tabletext"/>
              <w:spacing w:line="200" w:lineRule="exact"/>
              <w:jc w:val="center"/>
              <w:rPr>
                <w:sz w:val="18"/>
                <w:szCs w:val="18"/>
              </w:rPr>
            </w:pPr>
            <w:r w:rsidRPr="00FE0871">
              <w:rPr>
                <w:sz w:val="18"/>
                <w:szCs w:val="18"/>
              </w:rPr>
              <w:t>7.1</w:t>
            </w:r>
          </w:p>
        </w:tc>
        <w:tc>
          <w:tcPr>
            <w:tcW w:w="688" w:type="dxa"/>
            <w:tcBorders>
              <w:top w:val="nil"/>
              <w:left w:val="nil"/>
              <w:bottom w:val="single" w:sz="4" w:space="0" w:color="FFFFFF"/>
              <w:right w:val="nil"/>
            </w:tcBorders>
            <w:shd w:val="clear" w:color="000000" w:fill="F2F2F2"/>
            <w:vAlign w:val="center"/>
            <w:hideMark/>
          </w:tcPr>
          <w:p w14:paraId="05D1DA08" w14:textId="77777777" w:rsidR="0099335D" w:rsidRPr="00FE0871" w:rsidRDefault="0099335D" w:rsidP="00920844">
            <w:pPr>
              <w:pStyle w:val="Tabletext"/>
              <w:spacing w:line="200" w:lineRule="exact"/>
              <w:jc w:val="center"/>
              <w:rPr>
                <w:sz w:val="18"/>
                <w:szCs w:val="18"/>
              </w:rPr>
            </w:pPr>
            <w:r w:rsidRPr="00FE0871">
              <w:rPr>
                <w:sz w:val="18"/>
                <w:szCs w:val="18"/>
              </w:rPr>
              <w:t>6.9</w:t>
            </w:r>
          </w:p>
        </w:tc>
        <w:tc>
          <w:tcPr>
            <w:tcW w:w="688" w:type="dxa"/>
            <w:tcBorders>
              <w:top w:val="nil"/>
              <w:left w:val="nil"/>
              <w:bottom w:val="single" w:sz="4" w:space="0" w:color="FFFFFF"/>
              <w:right w:val="nil"/>
            </w:tcBorders>
            <w:shd w:val="clear" w:color="000000" w:fill="F2F2F2"/>
            <w:vAlign w:val="center"/>
            <w:hideMark/>
          </w:tcPr>
          <w:p w14:paraId="5EA61E99" w14:textId="77777777" w:rsidR="0099335D" w:rsidRPr="00FE0871" w:rsidRDefault="0099335D" w:rsidP="00920844">
            <w:pPr>
              <w:pStyle w:val="Tabletext"/>
              <w:spacing w:line="200" w:lineRule="exact"/>
              <w:jc w:val="center"/>
              <w:rPr>
                <w:sz w:val="18"/>
                <w:szCs w:val="18"/>
              </w:rPr>
            </w:pPr>
            <w:r w:rsidRPr="00FE0871">
              <w:rPr>
                <w:sz w:val="18"/>
                <w:szCs w:val="18"/>
              </w:rPr>
              <w:t>6.8</w:t>
            </w:r>
          </w:p>
        </w:tc>
        <w:tc>
          <w:tcPr>
            <w:tcW w:w="688" w:type="dxa"/>
            <w:tcBorders>
              <w:top w:val="nil"/>
              <w:left w:val="nil"/>
              <w:bottom w:val="single" w:sz="4" w:space="0" w:color="FFFFFF"/>
              <w:right w:val="nil"/>
            </w:tcBorders>
            <w:shd w:val="clear" w:color="000000" w:fill="F2F2F2"/>
            <w:vAlign w:val="center"/>
            <w:hideMark/>
          </w:tcPr>
          <w:p w14:paraId="25F0CE8B" w14:textId="77777777" w:rsidR="0099335D" w:rsidRPr="00FE0871" w:rsidRDefault="0099335D" w:rsidP="00920844">
            <w:pPr>
              <w:pStyle w:val="Tabletext"/>
              <w:spacing w:line="200" w:lineRule="exact"/>
              <w:jc w:val="center"/>
              <w:rPr>
                <w:sz w:val="18"/>
                <w:szCs w:val="18"/>
              </w:rPr>
            </w:pPr>
            <w:r w:rsidRPr="00FE0871">
              <w:rPr>
                <w:sz w:val="18"/>
                <w:szCs w:val="18"/>
              </w:rPr>
              <w:t>6.6</w:t>
            </w:r>
          </w:p>
        </w:tc>
        <w:tc>
          <w:tcPr>
            <w:tcW w:w="688" w:type="dxa"/>
            <w:tcBorders>
              <w:top w:val="nil"/>
              <w:left w:val="nil"/>
              <w:bottom w:val="single" w:sz="4" w:space="0" w:color="FFFFFF"/>
              <w:right w:val="nil"/>
            </w:tcBorders>
            <w:shd w:val="clear" w:color="000000" w:fill="F2F2F2"/>
            <w:vAlign w:val="center"/>
            <w:hideMark/>
          </w:tcPr>
          <w:p w14:paraId="223060BF" w14:textId="77777777" w:rsidR="0099335D" w:rsidRPr="00FE0871" w:rsidRDefault="0099335D" w:rsidP="00920844">
            <w:pPr>
              <w:pStyle w:val="Tabletext"/>
              <w:spacing w:line="200" w:lineRule="exact"/>
              <w:jc w:val="center"/>
              <w:rPr>
                <w:sz w:val="18"/>
                <w:szCs w:val="18"/>
              </w:rPr>
            </w:pPr>
            <w:r w:rsidRPr="00FE0871">
              <w:rPr>
                <w:sz w:val="18"/>
                <w:szCs w:val="18"/>
              </w:rPr>
              <w:t>6.5</w:t>
            </w:r>
          </w:p>
        </w:tc>
        <w:tc>
          <w:tcPr>
            <w:tcW w:w="688" w:type="dxa"/>
            <w:tcBorders>
              <w:top w:val="nil"/>
              <w:left w:val="nil"/>
              <w:bottom w:val="single" w:sz="4" w:space="0" w:color="FFFFFF"/>
              <w:right w:val="nil"/>
            </w:tcBorders>
            <w:shd w:val="clear" w:color="000000" w:fill="F2F2F2"/>
            <w:vAlign w:val="center"/>
            <w:hideMark/>
          </w:tcPr>
          <w:p w14:paraId="34FC4658" w14:textId="77777777" w:rsidR="0099335D" w:rsidRPr="00FE0871" w:rsidRDefault="0099335D" w:rsidP="00920844">
            <w:pPr>
              <w:pStyle w:val="Tabletext"/>
              <w:spacing w:line="200" w:lineRule="exact"/>
              <w:jc w:val="center"/>
              <w:rPr>
                <w:sz w:val="18"/>
                <w:szCs w:val="18"/>
              </w:rPr>
            </w:pPr>
            <w:r w:rsidRPr="00FE0871">
              <w:rPr>
                <w:sz w:val="18"/>
                <w:szCs w:val="18"/>
              </w:rPr>
              <w:t>6.4</w:t>
            </w:r>
          </w:p>
        </w:tc>
        <w:tc>
          <w:tcPr>
            <w:tcW w:w="688" w:type="dxa"/>
            <w:tcBorders>
              <w:top w:val="nil"/>
              <w:left w:val="nil"/>
              <w:bottom w:val="single" w:sz="4" w:space="0" w:color="FFFFFF"/>
              <w:right w:val="nil"/>
            </w:tcBorders>
            <w:shd w:val="clear" w:color="000000" w:fill="F2F2F2"/>
            <w:vAlign w:val="center"/>
            <w:hideMark/>
          </w:tcPr>
          <w:p w14:paraId="4D237855" w14:textId="77777777" w:rsidR="0099335D" w:rsidRPr="00FE0871" w:rsidRDefault="0099335D" w:rsidP="00920844">
            <w:pPr>
              <w:pStyle w:val="Tabletext"/>
              <w:spacing w:line="200" w:lineRule="exact"/>
              <w:jc w:val="center"/>
              <w:rPr>
                <w:sz w:val="18"/>
                <w:szCs w:val="18"/>
              </w:rPr>
            </w:pPr>
            <w:r w:rsidRPr="00FE0871">
              <w:rPr>
                <w:sz w:val="18"/>
                <w:szCs w:val="18"/>
              </w:rPr>
              <w:t>6.3</w:t>
            </w:r>
          </w:p>
        </w:tc>
        <w:tc>
          <w:tcPr>
            <w:tcW w:w="688" w:type="dxa"/>
            <w:tcBorders>
              <w:top w:val="nil"/>
              <w:left w:val="nil"/>
              <w:bottom w:val="single" w:sz="4" w:space="0" w:color="FFFFFF"/>
              <w:right w:val="nil"/>
            </w:tcBorders>
            <w:shd w:val="clear" w:color="000000" w:fill="F2F2F2"/>
            <w:vAlign w:val="center"/>
            <w:hideMark/>
          </w:tcPr>
          <w:p w14:paraId="64CC30F7" w14:textId="77777777" w:rsidR="0099335D" w:rsidRPr="00FE0871" w:rsidRDefault="0099335D" w:rsidP="00920844">
            <w:pPr>
              <w:pStyle w:val="Tabletext"/>
              <w:spacing w:line="200" w:lineRule="exact"/>
              <w:jc w:val="center"/>
              <w:rPr>
                <w:sz w:val="18"/>
                <w:szCs w:val="18"/>
              </w:rPr>
            </w:pPr>
            <w:r w:rsidRPr="00FE0871">
              <w:rPr>
                <w:sz w:val="18"/>
                <w:szCs w:val="18"/>
              </w:rPr>
              <w:t>6.3</w:t>
            </w:r>
          </w:p>
        </w:tc>
        <w:tc>
          <w:tcPr>
            <w:tcW w:w="688" w:type="dxa"/>
            <w:tcBorders>
              <w:top w:val="nil"/>
              <w:left w:val="nil"/>
              <w:bottom w:val="single" w:sz="4" w:space="0" w:color="FFFFFF"/>
              <w:right w:val="nil"/>
            </w:tcBorders>
            <w:shd w:val="clear" w:color="000000" w:fill="F2F2F2"/>
            <w:vAlign w:val="center"/>
            <w:hideMark/>
          </w:tcPr>
          <w:p w14:paraId="087F56A4" w14:textId="77777777" w:rsidR="0099335D" w:rsidRPr="00FE0871" w:rsidRDefault="0099335D" w:rsidP="00920844">
            <w:pPr>
              <w:pStyle w:val="Tabletext"/>
              <w:spacing w:line="200" w:lineRule="exact"/>
              <w:jc w:val="center"/>
              <w:rPr>
                <w:sz w:val="18"/>
                <w:szCs w:val="18"/>
              </w:rPr>
            </w:pPr>
            <w:r w:rsidRPr="00FE0871">
              <w:rPr>
                <w:sz w:val="18"/>
                <w:szCs w:val="18"/>
              </w:rPr>
              <w:t>6.2</w:t>
            </w:r>
          </w:p>
        </w:tc>
        <w:tc>
          <w:tcPr>
            <w:tcW w:w="688" w:type="dxa"/>
            <w:tcBorders>
              <w:top w:val="nil"/>
              <w:left w:val="nil"/>
              <w:bottom w:val="single" w:sz="4" w:space="0" w:color="FFFFFF"/>
              <w:right w:val="nil"/>
            </w:tcBorders>
            <w:shd w:val="clear" w:color="000000" w:fill="F2F2F2"/>
            <w:vAlign w:val="center"/>
            <w:hideMark/>
          </w:tcPr>
          <w:p w14:paraId="182B7C11" w14:textId="77777777" w:rsidR="0099335D" w:rsidRPr="00FE0871" w:rsidRDefault="0099335D" w:rsidP="00920844">
            <w:pPr>
              <w:pStyle w:val="Tabletext"/>
              <w:spacing w:line="200" w:lineRule="exact"/>
              <w:jc w:val="center"/>
              <w:rPr>
                <w:sz w:val="18"/>
                <w:szCs w:val="18"/>
              </w:rPr>
            </w:pPr>
            <w:r w:rsidRPr="00FE0871">
              <w:rPr>
                <w:sz w:val="18"/>
                <w:szCs w:val="18"/>
              </w:rPr>
              <w:t>6.2</w:t>
            </w:r>
          </w:p>
        </w:tc>
      </w:tr>
      <w:tr w:rsidR="0099335D" w:rsidRPr="005F3C62" w14:paraId="1F59719A" w14:textId="77777777" w:rsidTr="00FE0871">
        <w:trPr>
          <w:trHeight w:val="227"/>
          <w:jc w:val="center"/>
        </w:trPr>
        <w:tc>
          <w:tcPr>
            <w:tcW w:w="284" w:type="dxa"/>
            <w:tcBorders>
              <w:top w:val="nil"/>
              <w:left w:val="nil"/>
              <w:bottom w:val="single" w:sz="4" w:space="0" w:color="FFFFFF"/>
              <w:right w:val="nil"/>
            </w:tcBorders>
            <w:shd w:val="clear" w:color="000000" w:fill="D9D9D9"/>
            <w:vAlign w:val="center"/>
            <w:hideMark/>
          </w:tcPr>
          <w:p w14:paraId="4BABB7FC" w14:textId="77777777" w:rsidR="0099335D" w:rsidRPr="005F3C62" w:rsidRDefault="0099335D" w:rsidP="00FE0871">
            <w:pPr>
              <w:pStyle w:val="Tabletext"/>
              <w:spacing w:line="200" w:lineRule="exact"/>
            </w:pPr>
            <w:r w:rsidRPr="005F3C62">
              <w:t>4</w:t>
            </w:r>
          </w:p>
        </w:tc>
        <w:tc>
          <w:tcPr>
            <w:tcW w:w="2366" w:type="dxa"/>
            <w:tcBorders>
              <w:top w:val="nil"/>
              <w:left w:val="nil"/>
              <w:bottom w:val="single" w:sz="4" w:space="0" w:color="FFFFFF"/>
              <w:right w:val="nil"/>
            </w:tcBorders>
            <w:shd w:val="clear" w:color="000000" w:fill="D9D9D9"/>
            <w:vAlign w:val="center"/>
            <w:hideMark/>
          </w:tcPr>
          <w:p w14:paraId="15BE2C8B" w14:textId="77777777" w:rsidR="0099335D" w:rsidRPr="005F3C62" w:rsidRDefault="0099335D" w:rsidP="00FE0871">
            <w:pPr>
              <w:pStyle w:val="Tabletext"/>
              <w:spacing w:line="200" w:lineRule="exact"/>
            </w:pPr>
            <w:r w:rsidRPr="005F3C62">
              <w:t>New long-term debt</w:t>
            </w:r>
          </w:p>
        </w:tc>
        <w:tc>
          <w:tcPr>
            <w:tcW w:w="851" w:type="dxa"/>
            <w:tcBorders>
              <w:top w:val="nil"/>
              <w:left w:val="nil"/>
              <w:bottom w:val="single" w:sz="4" w:space="0" w:color="FFFFFF"/>
              <w:right w:val="nil"/>
            </w:tcBorders>
            <w:shd w:val="clear" w:color="000000" w:fill="D9D9D9"/>
            <w:vAlign w:val="center"/>
            <w:hideMark/>
          </w:tcPr>
          <w:p w14:paraId="3BBF9CD9" w14:textId="77777777" w:rsidR="0099335D" w:rsidRPr="00FE0871" w:rsidRDefault="0099335D" w:rsidP="00FE0871">
            <w:pPr>
              <w:pStyle w:val="Tabletext"/>
              <w:spacing w:line="200" w:lineRule="exact"/>
              <w:rPr>
                <w:sz w:val="18"/>
                <w:szCs w:val="18"/>
              </w:rPr>
            </w:pPr>
            <w:r w:rsidRPr="00FE0871">
              <w:rPr>
                <w:sz w:val="18"/>
                <w:szCs w:val="18"/>
              </w:rPr>
              <w:t>(% GDP)</w:t>
            </w:r>
          </w:p>
        </w:tc>
        <w:tc>
          <w:tcPr>
            <w:tcW w:w="688" w:type="dxa"/>
            <w:tcBorders>
              <w:top w:val="nil"/>
              <w:left w:val="nil"/>
              <w:bottom w:val="single" w:sz="4" w:space="0" w:color="FFFFFF"/>
              <w:right w:val="nil"/>
            </w:tcBorders>
            <w:shd w:val="clear" w:color="000000" w:fill="D9D9D9"/>
            <w:vAlign w:val="center"/>
            <w:hideMark/>
          </w:tcPr>
          <w:p w14:paraId="40F10E31"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nil"/>
              <w:left w:val="nil"/>
              <w:bottom w:val="single" w:sz="4" w:space="0" w:color="FFFFFF"/>
              <w:right w:val="nil"/>
            </w:tcBorders>
            <w:shd w:val="clear" w:color="000000" w:fill="D9D9D9"/>
            <w:vAlign w:val="center"/>
            <w:hideMark/>
          </w:tcPr>
          <w:p w14:paraId="7ABA5413"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nil"/>
              <w:left w:val="nil"/>
              <w:bottom w:val="single" w:sz="4" w:space="0" w:color="FFFFFF"/>
              <w:right w:val="nil"/>
            </w:tcBorders>
            <w:shd w:val="clear" w:color="000000" w:fill="D9D9D9"/>
            <w:vAlign w:val="center"/>
            <w:hideMark/>
          </w:tcPr>
          <w:p w14:paraId="59385AC8" w14:textId="77777777" w:rsidR="0099335D" w:rsidRPr="00FE0871" w:rsidRDefault="0099335D" w:rsidP="00920844">
            <w:pPr>
              <w:pStyle w:val="Tabletext"/>
              <w:spacing w:line="200" w:lineRule="exact"/>
              <w:jc w:val="center"/>
              <w:rPr>
                <w:sz w:val="18"/>
                <w:szCs w:val="18"/>
              </w:rPr>
            </w:pPr>
            <w:r w:rsidRPr="00FE0871">
              <w:rPr>
                <w:sz w:val="18"/>
                <w:szCs w:val="18"/>
              </w:rPr>
              <w:t>2.0</w:t>
            </w:r>
          </w:p>
        </w:tc>
        <w:tc>
          <w:tcPr>
            <w:tcW w:w="688" w:type="dxa"/>
            <w:tcBorders>
              <w:top w:val="nil"/>
              <w:left w:val="nil"/>
              <w:bottom w:val="single" w:sz="4" w:space="0" w:color="FFFFFF"/>
              <w:right w:val="nil"/>
            </w:tcBorders>
            <w:shd w:val="clear" w:color="000000" w:fill="D9D9D9"/>
            <w:vAlign w:val="center"/>
            <w:hideMark/>
          </w:tcPr>
          <w:p w14:paraId="61FF8A7D"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nil"/>
              <w:left w:val="nil"/>
              <w:bottom w:val="single" w:sz="4" w:space="0" w:color="FFFFFF"/>
              <w:right w:val="nil"/>
            </w:tcBorders>
            <w:shd w:val="clear" w:color="000000" w:fill="D9D9D9"/>
            <w:vAlign w:val="center"/>
            <w:hideMark/>
          </w:tcPr>
          <w:p w14:paraId="2370C377" w14:textId="77777777" w:rsidR="0099335D" w:rsidRPr="00FE0871" w:rsidRDefault="0099335D" w:rsidP="00920844">
            <w:pPr>
              <w:pStyle w:val="Tabletext"/>
              <w:spacing w:line="200" w:lineRule="exact"/>
              <w:jc w:val="center"/>
              <w:rPr>
                <w:sz w:val="18"/>
                <w:szCs w:val="18"/>
              </w:rPr>
            </w:pPr>
            <w:r w:rsidRPr="00FE0871">
              <w:rPr>
                <w:sz w:val="18"/>
                <w:szCs w:val="18"/>
              </w:rPr>
              <w:t>0.2</w:t>
            </w:r>
          </w:p>
        </w:tc>
        <w:tc>
          <w:tcPr>
            <w:tcW w:w="688" w:type="dxa"/>
            <w:tcBorders>
              <w:top w:val="nil"/>
              <w:left w:val="nil"/>
              <w:bottom w:val="single" w:sz="4" w:space="0" w:color="FFFFFF"/>
              <w:right w:val="nil"/>
            </w:tcBorders>
            <w:shd w:val="clear" w:color="000000" w:fill="D9D9D9"/>
            <w:vAlign w:val="center"/>
            <w:hideMark/>
          </w:tcPr>
          <w:p w14:paraId="38076ED8" w14:textId="77777777" w:rsidR="0099335D" w:rsidRPr="00FE0871" w:rsidRDefault="0099335D" w:rsidP="00920844">
            <w:pPr>
              <w:pStyle w:val="Tabletext"/>
              <w:spacing w:line="200" w:lineRule="exact"/>
              <w:jc w:val="center"/>
              <w:rPr>
                <w:sz w:val="18"/>
                <w:szCs w:val="18"/>
              </w:rPr>
            </w:pPr>
            <w:r w:rsidRPr="00FE0871">
              <w:rPr>
                <w:sz w:val="18"/>
                <w:szCs w:val="18"/>
              </w:rPr>
              <w:t>0.2</w:t>
            </w:r>
          </w:p>
        </w:tc>
        <w:tc>
          <w:tcPr>
            <w:tcW w:w="688" w:type="dxa"/>
            <w:tcBorders>
              <w:top w:val="nil"/>
              <w:left w:val="nil"/>
              <w:bottom w:val="single" w:sz="4" w:space="0" w:color="FFFFFF"/>
              <w:right w:val="nil"/>
            </w:tcBorders>
            <w:shd w:val="clear" w:color="000000" w:fill="D9D9D9"/>
            <w:vAlign w:val="center"/>
            <w:hideMark/>
          </w:tcPr>
          <w:p w14:paraId="10341A4E" w14:textId="77777777" w:rsidR="0099335D" w:rsidRPr="00FE0871" w:rsidRDefault="0099335D" w:rsidP="00920844">
            <w:pPr>
              <w:pStyle w:val="Tabletext"/>
              <w:spacing w:line="200" w:lineRule="exact"/>
              <w:jc w:val="center"/>
              <w:rPr>
                <w:sz w:val="18"/>
                <w:szCs w:val="18"/>
              </w:rPr>
            </w:pPr>
            <w:r w:rsidRPr="00FE0871">
              <w:rPr>
                <w:sz w:val="18"/>
                <w:szCs w:val="18"/>
              </w:rPr>
              <w:t>0.4</w:t>
            </w:r>
          </w:p>
        </w:tc>
        <w:tc>
          <w:tcPr>
            <w:tcW w:w="688" w:type="dxa"/>
            <w:tcBorders>
              <w:top w:val="nil"/>
              <w:left w:val="nil"/>
              <w:bottom w:val="single" w:sz="4" w:space="0" w:color="FFFFFF"/>
              <w:right w:val="nil"/>
            </w:tcBorders>
            <w:shd w:val="clear" w:color="000000" w:fill="D9D9D9"/>
            <w:vAlign w:val="center"/>
            <w:hideMark/>
          </w:tcPr>
          <w:p w14:paraId="39E1E0E7" w14:textId="77777777" w:rsidR="0099335D" w:rsidRPr="00FE0871" w:rsidRDefault="0099335D" w:rsidP="00920844">
            <w:pPr>
              <w:pStyle w:val="Tabletext"/>
              <w:spacing w:line="200" w:lineRule="exact"/>
              <w:jc w:val="center"/>
              <w:rPr>
                <w:sz w:val="18"/>
                <w:szCs w:val="18"/>
              </w:rPr>
            </w:pPr>
            <w:r w:rsidRPr="00FE0871">
              <w:rPr>
                <w:sz w:val="18"/>
                <w:szCs w:val="18"/>
              </w:rPr>
              <w:t>0.4</w:t>
            </w:r>
          </w:p>
        </w:tc>
        <w:tc>
          <w:tcPr>
            <w:tcW w:w="688" w:type="dxa"/>
            <w:tcBorders>
              <w:top w:val="nil"/>
              <w:left w:val="nil"/>
              <w:bottom w:val="single" w:sz="4" w:space="0" w:color="FFFFFF"/>
              <w:right w:val="nil"/>
            </w:tcBorders>
            <w:shd w:val="clear" w:color="000000" w:fill="D9D9D9"/>
            <w:vAlign w:val="center"/>
            <w:hideMark/>
          </w:tcPr>
          <w:p w14:paraId="297DCB19" w14:textId="77777777" w:rsidR="0099335D" w:rsidRPr="00FE0871" w:rsidRDefault="0099335D" w:rsidP="00920844">
            <w:pPr>
              <w:pStyle w:val="Tabletext"/>
              <w:spacing w:line="200" w:lineRule="exact"/>
              <w:jc w:val="center"/>
              <w:rPr>
                <w:sz w:val="18"/>
                <w:szCs w:val="18"/>
              </w:rPr>
            </w:pPr>
            <w:r w:rsidRPr="00FE0871">
              <w:rPr>
                <w:sz w:val="18"/>
                <w:szCs w:val="18"/>
              </w:rPr>
              <w:t>0.5</w:t>
            </w:r>
          </w:p>
        </w:tc>
        <w:tc>
          <w:tcPr>
            <w:tcW w:w="688" w:type="dxa"/>
            <w:tcBorders>
              <w:top w:val="nil"/>
              <w:left w:val="nil"/>
              <w:bottom w:val="single" w:sz="4" w:space="0" w:color="FFFFFF"/>
              <w:right w:val="nil"/>
            </w:tcBorders>
            <w:shd w:val="clear" w:color="000000" w:fill="D9D9D9"/>
            <w:vAlign w:val="center"/>
            <w:hideMark/>
          </w:tcPr>
          <w:p w14:paraId="59E53501" w14:textId="77777777" w:rsidR="0099335D" w:rsidRPr="00FE0871" w:rsidRDefault="0099335D" w:rsidP="00920844">
            <w:pPr>
              <w:pStyle w:val="Tabletext"/>
              <w:spacing w:line="200" w:lineRule="exact"/>
              <w:jc w:val="center"/>
              <w:rPr>
                <w:sz w:val="18"/>
                <w:szCs w:val="18"/>
              </w:rPr>
            </w:pPr>
            <w:r w:rsidRPr="00FE0871">
              <w:rPr>
                <w:sz w:val="18"/>
                <w:szCs w:val="18"/>
              </w:rPr>
              <w:t>0.6</w:t>
            </w:r>
          </w:p>
        </w:tc>
        <w:tc>
          <w:tcPr>
            <w:tcW w:w="688" w:type="dxa"/>
            <w:tcBorders>
              <w:top w:val="nil"/>
              <w:left w:val="nil"/>
              <w:bottom w:val="single" w:sz="4" w:space="0" w:color="FFFFFF"/>
              <w:right w:val="nil"/>
            </w:tcBorders>
            <w:shd w:val="clear" w:color="000000" w:fill="D9D9D9"/>
            <w:vAlign w:val="center"/>
            <w:hideMark/>
          </w:tcPr>
          <w:p w14:paraId="492F46AC" w14:textId="77777777" w:rsidR="0099335D" w:rsidRPr="00FE0871" w:rsidRDefault="0099335D" w:rsidP="00920844">
            <w:pPr>
              <w:pStyle w:val="Tabletext"/>
              <w:spacing w:line="200" w:lineRule="exact"/>
              <w:jc w:val="center"/>
              <w:rPr>
                <w:sz w:val="18"/>
                <w:szCs w:val="18"/>
              </w:rPr>
            </w:pPr>
            <w:r w:rsidRPr="00FE0871">
              <w:rPr>
                <w:sz w:val="18"/>
                <w:szCs w:val="18"/>
              </w:rPr>
              <w:t>2.0</w:t>
            </w:r>
          </w:p>
        </w:tc>
        <w:tc>
          <w:tcPr>
            <w:tcW w:w="688" w:type="dxa"/>
            <w:tcBorders>
              <w:top w:val="nil"/>
              <w:left w:val="nil"/>
              <w:bottom w:val="single" w:sz="4" w:space="0" w:color="FFFFFF"/>
              <w:right w:val="nil"/>
            </w:tcBorders>
            <w:shd w:val="clear" w:color="000000" w:fill="D9D9D9"/>
            <w:vAlign w:val="center"/>
            <w:hideMark/>
          </w:tcPr>
          <w:p w14:paraId="35B7101F" w14:textId="77777777" w:rsidR="0099335D" w:rsidRPr="00FE0871" w:rsidRDefault="0099335D" w:rsidP="00920844">
            <w:pPr>
              <w:pStyle w:val="Tabletext"/>
              <w:spacing w:line="200" w:lineRule="exact"/>
              <w:jc w:val="center"/>
              <w:rPr>
                <w:sz w:val="18"/>
                <w:szCs w:val="18"/>
              </w:rPr>
            </w:pPr>
            <w:r w:rsidRPr="00FE0871">
              <w:rPr>
                <w:sz w:val="18"/>
                <w:szCs w:val="18"/>
              </w:rPr>
              <w:t>2.2</w:t>
            </w:r>
          </w:p>
        </w:tc>
        <w:tc>
          <w:tcPr>
            <w:tcW w:w="688" w:type="dxa"/>
            <w:tcBorders>
              <w:top w:val="nil"/>
              <w:left w:val="nil"/>
              <w:bottom w:val="single" w:sz="4" w:space="0" w:color="FFFFFF"/>
              <w:right w:val="nil"/>
            </w:tcBorders>
            <w:shd w:val="clear" w:color="000000" w:fill="D9D9D9"/>
            <w:vAlign w:val="center"/>
            <w:hideMark/>
          </w:tcPr>
          <w:p w14:paraId="4AF254B8" w14:textId="77777777" w:rsidR="0099335D" w:rsidRPr="00FE0871" w:rsidRDefault="0099335D" w:rsidP="00920844">
            <w:pPr>
              <w:pStyle w:val="Tabletext"/>
              <w:spacing w:line="200" w:lineRule="exact"/>
              <w:jc w:val="center"/>
              <w:rPr>
                <w:sz w:val="18"/>
                <w:szCs w:val="18"/>
              </w:rPr>
            </w:pPr>
            <w:r w:rsidRPr="00FE0871">
              <w:rPr>
                <w:sz w:val="18"/>
                <w:szCs w:val="18"/>
              </w:rPr>
              <w:t>2.4</w:t>
            </w:r>
          </w:p>
        </w:tc>
        <w:tc>
          <w:tcPr>
            <w:tcW w:w="688" w:type="dxa"/>
            <w:tcBorders>
              <w:top w:val="nil"/>
              <w:left w:val="nil"/>
              <w:bottom w:val="single" w:sz="4" w:space="0" w:color="FFFFFF"/>
              <w:right w:val="nil"/>
            </w:tcBorders>
            <w:shd w:val="clear" w:color="000000" w:fill="D9D9D9"/>
            <w:vAlign w:val="center"/>
            <w:hideMark/>
          </w:tcPr>
          <w:p w14:paraId="4DA9006B" w14:textId="77777777" w:rsidR="0099335D" w:rsidRPr="00FE0871" w:rsidRDefault="0099335D" w:rsidP="00920844">
            <w:pPr>
              <w:pStyle w:val="Tabletext"/>
              <w:spacing w:line="200" w:lineRule="exact"/>
              <w:jc w:val="center"/>
              <w:rPr>
                <w:sz w:val="18"/>
                <w:szCs w:val="18"/>
              </w:rPr>
            </w:pPr>
            <w:r w:rsidRPr="00FE0871">
              <w:rPr>
                <w:sz w:val="18"/>
                <w:szCs w:val="18"/>
              </w:rPr>
              <w:t>2.3</w:t>
            </w:r>
          </w:p>
        </w:tc>
        <w:tc>
          <w:tcPr>
            <w:tcW w:w="688" w:type="dxa"/>
            <w:tcBorders>
              <w:top w:val="nil"/>
              <w:left w:val="nil"/>
              <w:bottom w:val="single" w:sz="4" w:space="0" w:color="FFFFFF"/>
              <w:right w:val="nil"/>
            </w:tcBorders>
            <w:shd w:val="clear" w:color="000000" w:fill="D9D9D9"/>
            <w:vAlign w:val="center"/>
            <w:hideMark/>
          </w:tcPr>
          <w:p w14:paraId="6781E016" w14:textId="77777777" w:rsidR="0099335D" w:rsidRPr="00FE0871" w:rsidRDefault="0099335D" w:rsidP="00920844">
            <w:pPr>
              <w:pStyle w:val="Tabletext"/>
              <w:spacing w:line="200" w:lineRule="exact"/>
              <w:jc w:val="center"/>
              <w:rPr>
                <w:sz w:val="18"/>
                <w:szCs w:val="18"/>
              </w:rPr>
            </w:pPr>
            <w:r w:rsidRPr="00FE0871">
              <w:rPr>
                <w:sz w:val="18"/>
                <w:szCs w:val="18"/>
              </w:rPr>
              <w:t>2.4</w:t>
            </w:r>
          </w:p>
        </w:tc>
        <w:tc>
          <w:tcPr>
            <w:tcW w:w="688" w:type="dxa"/>
            <w:tcBorders>
              <w:top w:val="nil"/>
              <w:left w:val="nil"/>
              <w:bottom w:val="single" w:sz="4" w:space="0" w:color="FFFFFF"/>
              <w:right w:val="nil"/>
            </w:tcBorders>
            <w:shd w:val="clear" w:color="000000" w:fill="D9D9D9"/>
            <w:vAlign w:val="center"/>
            <w:hideMark/>
          </w:tcPr>
          <w:p w14:paraId="7C7E9650" w14:textId="77777777" w:rsidR="0099335D" w:rsidRPr="00FE0871" w:rsidRDefault="0099335D" w:rsidP="00920844">
            <w:pPr>
              <w:pStyle w:val="Tabletext"/>
              <w:spacing w:line="200" w:lineRule="exact"/>
              <w:jc w:val="center"/>
              <w:rPr>
                <w:sz w:val="18"/>
                <w:szCs w:val="18"/>
              </w:rPr>
            </w:pPr>
            <w:r w:rsidRPr="00FE0871">
              <w:rPr>
                <w:sz w:val="18"/>
                <w:szCs w:val="18"/>
              </w:rPr>
              <w:t>2.6</w:t>
            </w:r>
          </w:p>
        </w:tc>
      </w:tr>
      <w:tr w:rsidR="0099335D" w:rsidRPr="005F3C62" w14:paraId="2EB58198" w14:textId="77777777" w:rsidTr="00FE0871">
        <w:trPr>
          <w:trHeight w:val="227"/>
          <w:jc w:val="center"/>
        </w:trPr>
        <w:tc>
          <w:tcPr>
            <w:tcW w:w="284" w:type="dxa"/>
            <w:tcBorders>
              <w:top w:val="single" w:sz="4" w:space="0" w:color="FFFFFF"/>
              <w:left w:val="nil"/>
              <w:bottom w:val="single" w:sz="18" w:space="0" w:color="4F81BD" w:themeColor="accent1"/>
              <w:right w:val="nil"/>
            </w:tcBorders>
            <w:shd w:val="clear" w:color="000000" w:fill="F2F2F2"/>
            <w:vAlign w:val="center"/>
            <w:hideMark/>
          </w:tcPr>
          <w:p w14:paraId="4567E235" w14:textId="77777777" w:rsidR="0099335D" w:rsidRPr="005F3C62" w:rsidRDefault="0099335D" w:rsidP="00FE0871">
            <w:pPr>
              <w:pStyle w:val="Tabletext"/>
              <w:spacing w:line="200" w:lineRule="exact"/>
            </w:pPr>
            <w:r w:rsidRPr="005F3C62">
              <w:t>5</w:t>
            </w:r>
          </w:p>
        </w:tc>
        <w:tc>
          <w:tcPr>
            <w:tcW w:w="2366" w:type="dxa"/>
            <w:tcBorders>
              <w:top w:val="single" w:sz="4" w:space="0" w:color="FFFFFF"/>
              <w:left w:val="nil"/>
              <w:bottom w:val="single" w:sz="18" w:space="0" w:color="4F81BD" w:themeColor="accent1"/>
              <w:right w:val="nil"/>
            </w:tcBorders>
            <w:shd w:val="clear" w:color="000000" w:fill="F2F2F2"/>
            <w:vAlign w:val="center"/>
            <w:hideMark/>
          </w:tcPr>
          <w:p w14:paraId="3D5DED1C" w14:textId="77777777" w:rsidR="0099335D" w:rsidRPr="005F3C62" w:rsidRDefault="0099335D" w:rsidP="00FE0871">
            <w:pPr>
              <w:pStyle w:val="Tabletext"/>
              <w:spacing w:line="200" w:lineRule="exact"/>
            </w:pPr>
            <w:r w:rsidRPr="005F3C62">
              <w:t>New short-term debt</w:t>
            </w:r>
          </w:p>
        </w:tc>
        <w:tc>
          <w:tcPr>
            <w:tcW w:w="851" w:type="dxa"/>
            <w:tcBorders>
              <w:top w:val="single" w:sz="4" w:space="0" w:color="FFFFFF"/>
              <w:left w:val="nil"/>
              <w:bottom w:val="single" w:sz="18" w:space="0" w:color="4F81BD" w:themeColor="accent1"/>
              <w:right w:val="nil"/>
            </w:tcBorders>
            <w:shd w:val="clear" w:color="000000" w:fill="F2F2F2"/>
            <w:vAlign w:val="center"/>
            <w:hideMark/>
          </w:tcPr>
          <w:p w14:paraId="575E2D8D" w14:textId="77777777" w:rsidR="0099335D" w:rsidRPr="00FE0871" w:rsidRDefault="0099335D" w:rsidP="00FE0871">
            <w:pPr>
              <w:pStyle w:val="Tabletext"/>
              <w:spacing w:line="200" w:lineRule="exact"/>
              <w:rPr>
                <w:sz w:val="18"/>
                <w:szCs w:val="18"/>
              </w:rPr>
            </w:pPr>
            <w:r w:rsidRPr="00FE0871">
              <w:rPr>
                <w:sz w:val="18"/>
                <w:szCs w:val="18"/>
              </w:rPr>
              <w:t>(% GDP)</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53066705"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37AAFAC4"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356303C6" w14:textId="77777777" w:rsidR="0099335D" w:rsidRPr="00FE0871" w:rsidRDefault="0099335D" w:rsidP="00920844">
            <w:pPr>
              <w:pStyle w:val="Tabletext"/>
              <w:spacing w:line="200" w:lineRule="exact"/>
              <w:jc w:val="center"/>
              <w:rPr>
                <w:sz w:val="18"/>
                <w:szCs w:val="18"/>
              </w:rPr>
            </w:pPr>
            <w:r w:rsidRPr="00FE0871">
              <w:rPr>
                <w:sz w:val="18"/>
                <w:szCs w:val="18"/>
              </w:rPr>
              <w:t>0.1</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3294A337"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0B46381F"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1FE3A726"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7B9024E2"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63E3E843"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39523D6A"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230AD4A4" w14:textId="77777777" w:rsidR="0099335D" w:rsidRPr="00FE0871" w:rsidRDefault="0099335D" w:rsidP="00920844">
            <w:pPr>
              <w:pStyle w:val="Tabletext"/>
              <w:spacing w:line="200" w:lineRule="exact"/>
              <w:jc w:val="center"/>
              <w:rPr>
                <w:sz w:val="18"/>
                <w:szCs w:val="18"/>
              </w:rPr>
            </w:pPr>
            <w:r w:rsidRPr="00FE0871">
              <w:rPr>
                <w:sz w:val="18"/>
                <w:szCs w:val="18"/>
              </w:rPr>
              <w:t>0.0</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718C55D7" w14:textId="77777777" w:rsidR="0099335D" w:rsidRPr="00FE0871" w:rsidRDefault="0099335D" w:rsidP="00920844">
            <w:pPr>
              <w:pStyle w:val="Tabletext"/>
              <w:spacing w:line="200" w:lineRule="exact"/>
              <w:jc w:val="center"/>
              <w:rPr>
                <w:sz w:val="18"/>
                <w:szCs w:val="18"/>
              </w:rPr>
            </w:pPr>
            <w:r w:rsidRPr="00FE0871">
              <w:rPr>
                <w:sz w:val="18"/>
                <w:szCs w:val="18"/>
              </w:rPr>
              <w:t>0.1</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2FC61723" w14:textId="77777777" w:rsidR="0099335D" w:rsidRPr="00FE0871" w:rsidRDefault="0099335D" w:rsidP="00920844">
            <w:pPr>
              <w:pStyle w:val="Tabletext"/>
              <w:spacing w:line="200" w:lineRule="exact"/>
              <w:jc w:val="center"/>
              <w:rPr>
                <w:sz w:val="18"/>
                <w:szCs w:val="18"/>
              </w:rPr>
            </w:pPr>
            <w:r w:rsidRPr="00FE0871">
              <w:rPr>
                <w:sz w:val="18"/>
                <w:szCs w:val="18"/>
              </w:rPr>
              <w:t>0.1</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5D726145" w14:textId="77777777" w:rsidR="0099335D" w:rsidRPr="00FE0871" w:rsidRDefault="0099335D" w:rsidP="00920844">
            <w:pPr>
              <w:pStyle w:val="Tabletext"/>
              <w:spacing w:line="200" w:lineRule="exact"/>
              <w:jc w:val="center"/>
              <w:rPr>
                <w:sz w:val="18"/>
                <w:szCs w:val="18"/>
              </w:rPr>
            </w:pPr>
            <w:r w:rsidRPr="00FE0871">
              <w:rPr>
                <w:sz w:val="18"/>
                <w:szCs w:val="18"/>
              </w:rPr>
              <w:t>0.1</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080A7FD1" w14:textId="77777777" w:rsidR="0099335D" w:rsidRPr="00FE0871" w:rsidRDefault="0099335D" w:rsidP="00920844">
            <w:pPr>
              <w:pStyle w:val="Tabletext"/>
              <w:spacing w:line="200" w:lineRule="exact"/>
              <w:jc w:val="center"/>
              <w:rPr>
                <w:sz w:val="18"/>
                <w:szCs w:val="18"/>
              </w:rPr>
            </w:pPr>
            <w:r w:rsidRPr="00FE0871">
              <w:rPr>
                <w:sz w:val="18"/>
                <w:szCs w:val="18"/>
              </w:rPr>
              <w:t>0.1</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15D6300C" w14:textId="77777777" w:rsidR="0099335D" w:rsidRPr="00FE0871" w:rsidRDefault="0099335D" w:rsidP="00920844">
            <w:pPr>
              <w:pStyle w:val="Tabletext"/>
              <w:spacing w:line="200" w:lineRule="exact"/>
              <w:jc w:val="center"/>
              <w:rPr>
                <w:sz w:val="18"/>
                <w:szCs w:val="18"/>
              </w:rPr>
            </w:pPr>
            <w:r w:rsidRPr="00FE0871">
              <w:rPr>
                <w:sz w:val="18"/>
                <w:szCs w:val="18"/>
              </w:rPr>
              <w:t>0.1</w:t>
            </w:r>
          </w:p>
        </w:tc>
        <w:tc>
          <w:tcPr>
            <w:tcW w:w="688" w:type="dxa"/>
            <w:tcBorders>
              <w:top w:val="single" w:sz="4" w:space="0" w:color="FFFFFF"/>
              <w:left w:val="nil"/>
              <w:bottom w:val="single" w:sz="18" w:space="0" w:color="4F81BD" w:themeColor="accent1"/>
              <w:right w:val="nil"/>
            </w:tcBorders>
            <w:shd w:val="clear" w:color="000000" w:fill="F2F2F2"/>
            <w:vAlign w:val="center"/>
            <w:hideMark/>
          </w:tcPr>
          <w:p w14:paraId="54FDFBE6" w14:textId="77777777" w:rsidR="0099335D" w:rsidRPr="00FE0871" w:rsidRDefault="0099335D" w:rsidP="00920844">
            <w:pPr>
              <w:pStyle w:val="Tabletext"/>
              <w:spacing w:line="200" w:lineRule="exact"/>
              <w:jc w:val="center"/>
              <w:rPr>
                <w:sz w:val="18"/>
                <w:szCs w:val="18"/>
              </w:rPr>
            </w:pPr>
            <w:r w:rsidRPr="00FE0871">
              <w:rPr>
                <w:sz w:val="18"/>
                <w:szCs w:val="18"/>
              </w:rPr>
              <w:t>0.2</w:t>
            </w:r>
          </w:p>
        </w:tc>
      </w:tr>
    </w:tbl>
    <w:p w14:paraId="0439724C" w14:textId="77777777" w:rsidR="003C0C39" w:rsidRDefault="003C0C39">
      <w:pPr>
        <w:spacing w:after="200" w:line="276" w:lineRule="auto"/>
        <w:jc w:val="left"/>
        <w:rPr>
          <w:lang w:val="en-US"/>
        </w:rPr>
      </w:pPr>
    </w:p>
    <w:p w14:paraId="2AE28B6D" w14:textId="77777777" w:rsidR="003C0C39" w:rsidRDefault="003C0C39">
      <w:pPr>
        <w:spacing w:after="200" w:line="276" w:lineRule="auto"/>
        <w:jc w:val="left"/>
        <w:rPr>
          <w:lang w:val="en-US"/>
        </w:rPr>
        <w:sectPr w:rsidR="003C0C39" w:rsidSect="00F60507">
          <w:footerReference w:type="default" r:id="rId13"/>
          <w:footerReference w:type="first" r:id="rId14"/>
          <w:pgSz w:w="16838" w:h="11906" w:orient="landscape"/>
          <w:pgMar w:top="907" w:right="1304" w:bottom="907" w:left="1134" w:header="0" w:footer="340" w:gutter="284"/>
          <w:cols w:space="708"/>
          <w:titlePg/>
          <w:docGrid w:linePitch="360"/>
        </w:sectPr>
      </w:pPr>
    </w:p>
    <w:p w14:paraId="500BA8D1" w14:textId="0628320A" w:rsidR="00AB0E21" w:rsidRPr="00AB74B9" w:rsidRDefault="00AB0E21" w:rsidP="00AB0E21">
      <w:pPr>
        <w:rPr>
          <w:sz w:val="24"/>
          <w:szCs w:val="24"/>
          <w:lang w:val="en-US"/>
        </w:rPr>
      </w:pPr>
      <w:r w:rsidRPr="00AB74B9">
        <w:rPr>
          <w:sz w:val="24"/>
          <w:szCs w:val="24"/>
          <w:lang w:val="en-US"/>
        </w:rPr>
        <w:lastRenderedPageBreak/>
        <w:t xml:space="preserve">Concerning the debt sustainability safeguard, the debt ratio is projected to record a significant decline by 8.3 percentage points in 2024, while the average annual decline during the four years covered by the plan is calculated at 5.1 percentage points, substantially above the minimum requirement set by the safeguard. As a result, the debt ratio is projected to fall from 153.7% of GDP in 2024 to 133.4% of GDP in 2028. The analysis of the determinants of this debt reduction shows a gradual weakening of the relative effect of the growth-interest rate differential, as this factor is responsible for about half of the total debt reduction in 2024 and for approximately three quarters of it in 2025, but for approximately one quarter of the projected debt reduction in the last year of the plan. This development is due to the gradual normalization of nominal growth as well as to the projected increase in the overall interest expenditure. As a result, the primary balance is projected to become the crucial factor determining the reduction in the debt ratio by the end of the period of the plan, while stock-flow adjustments also contribute to debt reduction. </w:t>
      </w:r>
    </w:p>
    <w:p w14:paraId="47A7E8B6" w14:textId="34CB7C7F" w:rsidR="00AF2FF5" w:rsidRPr="00AF2FF5" w:rsidRDefault="00AF2FF5" w:rsidP="00AF2FF5">
      <w:pPr>
        <w:pStyle w:val="Figure"/>
      </w:pPr>
      <w:bookmarkStart w:id="25" w:name="_Toc177642764"/>
      <w:r>
        <w:rPr>
          <w:noProof/>
          <w:lang w:val="el-GR" w:eastAsia="el-GR"/>
        </w:rPr>
        <w:drawing>
          <wp:anchor distT="0" distB="0" distL="114300" distR="114300" simplePos="0" relativeHeight="251720704" behindDoc="0" locked="0" layoutInCell="1" allowOverlap="1" wp14:anchorId="50EB3BA6" wp14:editId="08E100B2">
            <wp:simplePos x="0" y="0"/>
            <wp:positionH relativeFrom="column">
              <wp:posOffset>-345440</wp:posOffset>
            </wp:positionH>
            <wp:positionV relativeFrom="paragraph">
              <wp:posOffset>226060</wp:posOffset>
            </wp:positionV>
            <wp:extent cx="6249035" cy="3124835"/>
            <wp:effectExtent l="0" t="0" r="0" b="0"/>
            <wp:wrapTopAndBottom/>
            <wp:docPr id="4"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087799-6B50-404D-BFBE-210E7830B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087799-6B50-404D-BFBE-210E7830B6F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249035" cy="3124835"/>
                    </a:xfrm>
                    <a:prstGeom prst="rect">
                      <a:avLst/>
                    </a:prstGeom>
                  </pic:spPr>
                </pic:pic>
              </a:graphicData>
            </a:graphic>
            <wp14:sizeRelH relativeFrom="page">
              <wp14:pctWidth>0</wp14:pctWidth>
            </wp14:sizeRelH>
            <wp14:sizeRelV relativeFrom="page">
              <wp14:pctHeight>0</wp14:pctHeight>
            </wp14:sizeRelV>
          </wp:anchor>
        </w:drawing>
      </w:r>
      <w:r w:rsidR="007518E6" w:rsidRPr="00132C15">
        <w:t xml:space="preserve">Figure </w:t>
      </w:r>
      <w:r w:rsidR="00A54B46" w:rsidRPr="00132C15">
        <w:fldChar w:fldCharType="begin"/>
      </w:r>
      <w:r w:rsidR="007518E6" w:rsidRPr="00132C15">
        <w:instrText xml:space="preserve"> SEQ Figure \* ARABIC </w:instrText>
      </w:r>
      <w:r w:rsidR="00A54B46" w:rsidRPr="00132C15">
        <w:fldChar w:fldCharType="separate"/>
      </w:r>
      <w:r w:rsidR="00824AAF">
        <w:rPr>
          <w:noProof/>
        </w:rPr>
        <w:t>1</w:t>
      </w:r>
      <w:r w:rsidR="00A54B46" w:rsidRPr="00132C15">
        <w:fldChar w:fldCharType="end"/>
      </w:r>
      <w:r w:rsidR="007518E6" w:rsidRPr="00132C15">
        <w:t xml:space="preserve"> </w:t>
      </w:r>
      <w:r w:rsidR="00132C15">
        <w:t xml:space="preserve">| </w:t>
      </w:r>
      <w:r w:rsidR="00AB0E21" w:rsidRPr="00132C15">
        <w:t>Breakdown of projected debt reduction 2024-2028</w:t>
      </w:r>
      <w:bookmarkEnd w:id="25"/>
    </w:p>
    <w:p w14:paraId="55B82D03" w14:textId="04EC7C58" w:rsidR="00AB0E21" w:rsidRDefault="00AB0E21" w:rsidP="00AF2FF5">
      <w:pPr>
        <w:pBdr>
          <w:top w:val="single" w:sz="18" w:space="1" w:color="4F81BD" w:themeColor="accent1"/>
        </w:pBdr>
        <w:rPr>
          <w:lang w:val="en-US"/>
        </w:rPr>
      </w:pPr>
    </w:p>
    <w:p w14:paraId="41EDAF76" w14:textId="77777777" w:rsidR="00AB0E21" w:rsidRPr="00AB74B9" w:rsidRDefault="00AB0E21" w:rsidP="00AB0E21">
      <w:pPr>
        <w:rPr>
          <w:sz w:val="24"/>
          <w:szCs w:val="24"/>
          <w:lang w:val="en-US"/>
        </w:rPr>
      </w:pPr>
      <w:r w:rsidRPr="00AB74B9">
        <w:rPr>
          <w:sz w:val="24"/>
          <w:szCs w:val="24"/>
          <w:lang w:val="en-US"/>
        </w:rPr>
        <w:t xml:space="preserve">With respect to the requirement of reaching a plausibly downward path for the debt ratio by the end of the adjustment period, the preamble of Regulation 2024/1263 clarifies that for the first national medium-term fiscal structural plans, the plausibility of government debt declining in the medium-term should be based on the methodology described in the Commission’s Debt Sustainability Monitor 2023. According to that methodology, the plausibility of the downward path for the debt ratio should be assessed on the basis of two criteria. The first criterion refers to deterministic projections and entails that by the end of the adjustment period and for the ten following years, the debt ratio should decline (or stay below 60% of GDP) in the adjustment scenario, as well as in the deterministic stress scenarios. </w:t>
      </w:r>
      <w:r w:rsidRPr="00AB74B9">
        <w:rPr>
          <w:sz w:val="24"/>
          <w:szCs w:val="24"/>
          <w:lang w:val="en-US"/>
        </w:rPr>
        <w:lastRenderedPageBreak/>
        <w:t xml:space="preserve">Moreover, the Debt Sustainability Monitor 2023 defines three deterministic stress scenarios that should also satisfy the requirement of a continuous decline in the debt ratio. </w:t>
      </w:r>
    </w:p>
    <w:p w14:paraId="567118B5" w14:textId="77777777" w:rsidR="00AB0E21" w:rsidRPr="00AB74B9" w:rsidRDefault="00AB0E21" w:rsidP="00AB0E21">
      <w:pPr>
        <w:rPr>
          <w:sz w:val="24"/>
          <w:szCs w:val="24"/>
          <w:lang w:val="en-US"/>
        </w:rPr>
      </w:pPr>
      <w:r w:rsidRPr="00AB74B9">
        <w:rPr>
          <w:sz w:val="24"/>
          <w:szCs w:val="24"/>
          <w:lang w:val="en-US"/>
        </w:rPr>
        <w:t>The adjustment scenario of this plan satisfies the above requirement, as the debt to GDP ratio declines continuously over the ten years following the adjustment period in the absence of further budgetary measures. Specifically, the debt ratio is projected to decline from 133.4% in 2028 to 114.9% in 2038, with the average annual debt reduction over this period calculated at 1.85 percentage points.</w:t>
      </w:r>
    </w:p>
    <w:p w14:paraId="4BCDC599" w14:textId="0C88444A" w:rsidR="00AB0E21" w:rsidRDefault="00AB0E21" w:rsidP="00AB0E21">
      <w:pPr>
        <w:rPr>
          <w:lang w:val="en-US"/>
        </w:rPr>
      </w:pPr>
      <w:r w:rsidRPr="00C22B3C">
        <w:rPr>
          <w:sz w:val="24"/>
          <w:szCs w:val="24"/>
          <w:lang w:val="en-US"/>
        </w:rPr>
        <w:t>The first deterministic stress scenario</w:t>
      </w:r>
      <w:r w:rsidR="004C1968" w:rsidRPr="00C22B3C">
        <w:rPr>
          <w:sz w:val="24"/>
          <w:szCs w:val="24"/>
          <w:lang w:val="en-US"/>
        </w:rPr>
        <w:t xml:space="preserve"> (</w:t>
      </w:r>
      <w:r w:rsidR="00875E53" w:rsidRPr="00C22B3C">
        <w:rPr>
          <w:sz w:val="24"/>
          <w:szCs w:val="24"/>
          <w:lang w:val="en-US"/>
        </w:rPr>
        <w:fldChar w:fldCharType="begin"/>
      </w:r>
      <w:r w:rsidR="00875E53" w:rsidRPr="00C22B3C">
        <w:rPr>
          <w:sz w:val="24"/>
          <w:szCs w:val="24"/>
          <w:lang w:val="en-US"/>
        </w:rPr>
        <w:instrText xml:space="preserve"> REF _Ref177555658 \h  \* MERGEFORMAT </w:instrText>
      </w:r>
      <w:r w:rsidR="00875E53" w:rsidRPr="00C22B3C">
        <w:rPr>
          <w:sz w:val="24"/>
          <w:szCs w:val="24"/>
          <w:lang w:val="en-US"/>
        </w:rPr>
      </w:r>
      <w:r w:rsidR="00875E53" w:rsidRPr="00C22B3C">
        <w:rPr>
          <w:sz w:val="24"/>
          <w:szCs w:val="24"/>
          <w:lang w:val="en-US"/>
        </w:rPr>
        <w:fldChar w:fldCharType="separate"/>
      </w:r>
      <w:r w:rsidR="00824AAF" w:rsidRPr="00920844">
        <w:rPr>
          <w:lang w:val="en-US"/>
        </w:rPr>
        <w:t>Table 10</w:t>
      </w:r>
      <w:r w:rsidR="00875E53" w:rsidRPr="00C22B3C">
        <w:rPr>
          <w:sz w:val="24"/>
          <w:szCs w:val="24"/>
          <w:lang w:val="en-US"/>
        </w:rPr>
        <w:fldChar w:fldCharType="end"/>
      </w:r>
      <w:r w:rsidR="004C1968" w:rsidRPr="00C22B3C">
        <w:rPr>
          <w:sz w:val="24"/>
          <w:szCs w:val="24"/>
          <w:lang w:val="en-US"/>
        </w:rPr>
        <w:t>)</w:t>
      </w:r>
      <w:r w:rsidRPr="00C22B3C">
        <w:rPr>
          <w:sz w:val="24"/>
          <w:szCs w:val="24"/>
          <w:lang w:val="en-US"/>
        </w:rPr>
        <w:t xml:space="preserve"> is the “lower structural primary balance</w:t>
      </w:r>
      <w:r w:rsidRPr="00AB74B9">
        <w:rPr>
          <w:sz w:val="24"/>
          <w:szCs w:val="24"/>
          <w:lang w:val="en-US"/>
        </w:rPr>
        <w:t xml:space="preserve"> scenario”, which assumes that the structural primary balance is reduced by 0.5 percentage points in the first two years after the end of the adjustment period and remains at that lower level for the remaining years in the projection. In the context of the adjustment scenario of this plan, this implies a reduction of the projected structural primary balance from 2.35% at the end of the adjustment period to 2.1% in 2029 and to 1.85 from 2030 onwards. As a result of the lower structural primary balance, the results of the DSA lead to a slower decline in the debt ratio, with the average annual debt reduction over 2029-2038 falling to 1.4 percentage points and with the debt ratio in 2038 at 119.3% of GDP, or 4.4 percentage points higher compared to the adjustment scenario. However, the condition that debt continues to decline throughout the 2029-2038 period is still satisfied and annual debt reductions remain above 0.5 percentage points until the end of the projection.</w:t>
      </w:r>
      <w:r>
        <w:rPr>
          <w:lang w:val="en-US"/>
        </w:rPr>
        <w:t xml:space="preserve">   </w:t>
      </w:r>
    </w:p>
    <w:p w14:paraId="4B809E28" w14:textId="77777777" w:rsidR="00416DF5" w:rsidRDefault="00416DF5" w:rsidP="00AB0E21">
      <w:pPr>
        <w:rPr>
          <w:lang w:val="en-US"/>
        </w:rPr>
      </w:pPr>
    </w:p>
    <w:p w14:paraId="3022635D" w14:textId="723DFE10" w:rsidR="00AB0E21" w:rsidRPr="00132C15" w:rsidRDefault="00656C5D" w:rsidP="00132C15">
      <w:pPr>
        <w:pStyle w:val="Figure"/>
      </w:pPr>
      <w:bookmarkStart w:id="26" w:name="_Toc177642765"/>
      <w:r>
        <w:rPr>
          <w:noProof/>
          <w:lang w:val="el-GR" w:eastAsia="el-GR"/>
        </w:rPr>
        <w:drawing>
          <wp:anchor distT="0" distB="0" distL="114300" distR="114300" simplePos="0" relativeHeight="251718656" behindDoc="0" locked="0" layoutInCell="1" allowOverlap="1" wp14:anchorId="14205139" wp14:editId="7F0FA936">
            <wp:simplePos x="0" y="0"/>
            <wp:positionH relativeFrom="column">
              <wp:posOffset>-82372</wp:posOffset>
            </wp:positionH>
            <wp:positionV relativeFrom="paragraph">
              <wp:posOffset>412115</wp:posOffset>
            </wp:positionV>
            <wp:extent cx="5940692" cy="2969972"/>
            <wp:effectExtent l="0" t="0" r="3175" b="1905"/>
            <wp:wrapTopAndBottom/>
            <wp:docPr id="2" name="Γράφημα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FAC1DA-8463-442C-AEBB-EB7560E3A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518E6" w:rsidRPr="00132C15">
        <w:rPr>
          <w:rStyle w:val="FigureChar"/>
          <w:b/>
          <w:iCs/>
          <w:shd w:val="clear" w:color="auto" w:fill="auto"/>
        </w:rPr>
        <w:t xml:space="preserve">Figure </w:t>
      </w:r>
      <w:r w:rsidR="00A54B46" w:rsidRPr="00132C15">
        <w:rPr>
          <w:rStyle w:val="FigureChar"/>
          <w:b/>
          <w:iCs/>
          <w:shd w:val="clear" w:color="auto" w:fill="auto"/>
        </w:rPr>
        <w:fldChar w:fldCharType="begin"/>
      </w:r>
      <w:r w:rsidR="007518E6" w:rsidRPr="00132C15">
        <w:rPr>
          <w:rStyle w:val="FigureChar"/>
          <w:b/>
          <w:iCs/>
          <w:shd w:val="clear" w:color="auto" w:fill="auto"/>
        </w:rPr>
        <w:instrText xml:space="preserve"> SEQ Figure \* ARABIC </w:instrText>
      </w:r>
      <w:r w:rsidR="00A54B46" w:rsidRPr="00132C15">
        <w:rPr>
          <w:rStyle w:val="FigureChar"/>
          <w:b/>
          <w:iCs/>
          <w:shd w:val="clear" w:color="auto" w:fill="auto"/>
        </w:rPr>
        <w:fldChar w:fldCharType="separate"/>
      </w:r>
      <w:r w:rsidR="00824AAF">
        <w:rPr>
          <w:rStyle w:val="FigureChar"/>
          <w:b/>
          <w:iCs/>
          <w:noProof/>
          <w:shd w:val="clear" w:color="auto" w:fill="auto"/>
        </w:rPr>
        <w:t>2</w:t>
      </w:r>
      <w:r w:rsidR="00A54B46" w:rsidRPr="00132C15">
        <w:rPr>
          <w:rStyle w:val="FigureChar"/>
          <w:b/>
          <w:iCs/>
          <w:shd w:val="clear" w:color="auto" w:fill="auto"/>
        </w:rPr>
        <w:fldChar w:fldCharType="end"/>
      </w:r>
      <w:r w:rsidR="007518E6" w:rsidRPr="00132C15">
        <w:rPr>
          <w:rStyle w:val="FigureChar"/>
          <w:b/>
          <w:iCs/>
          <w:shd w:val="clear" w:color="auto" w:fill="auto"/>
        </w:rPr>
        <w:t xml:space="preserve"> </w:t>
      </w:r>
      <w:r w:rsidR="00132C15">
        <w:rPr>
          <w:rStyle w:val="FigureChar"/>
          <w:b/>
          <w:iCs/>
          <w:shd w:val="clear" w:color="auto" w:fill="auto"/>
        </w:rPr>
        <w:t xml:space="preserve">| </w:t>
      </w:r>
      <w:r w:rsidR="00AB0E21" w:rsidRPr="00132C15">
        <w:rPr>
          <w:rStyle w:val="FigureChar"/>
          <w:b/>
          <w:iCs/>
          <w:shd w:val="clear" w:color="auto" w:fill="auto"/>
        </w:rPr>
        <w:t>The evolution of the debt ratio in the adjustment scenario and in the deterministic</w:t>
      </w:r>
      <w:r w:rsidR="00AB0E21" w:rsidRPr="00132C15">
        <w:t xml:space="preserve"> stress scenarios</w:t>
      </w:r>
      <w:bookmarkEnd w:id="26"/>
    </w:p>
    <w:p w14:paraId="324AA607" w14:textId="787A8E97" w:rsidR="00AB0E21" w:rsidRDefault="00AB0E21" w:rsidP="00AB0E21">
      <w:pPr>
        <w:jc w:val="center"/>
        <w:rPr>
          <w:lang w:val="en-US"/>
        </w:rPr>
      </w:pPr>
    </w:p>
    <w:p w14:paraId="74D019B4" w14:textId="62B0882C" w:rsidR="00AB0E21" w:rsidRDefault="00AB0E21" w:rsidP="00AB0E21">
      <w:pPr>
        <w:rPr>
          <w:sz w:val="24"/>
          <w:szCs w:val="24"/>
          <w:lang w:val="en-US"/>
        </w:rPr>
      </w:pPr>
      <w:r w:rsidRPr="00C22B3C">
        <w:rPr>
          <w:sz w:val="24"/>
          <w:szCs w:val="24"/>
          <w:lang w:val="en-US"/>
        </w:rPr>
        <w:lastRenderedPageBreak/>
        <w:t xml:space="preserve">The second stress scenario </w:t>
      </w:r>
      <w:r w:rsidR="004C1968" w:rsidRPr="00C22B3C">
        <w:rPr>
          <w:sz w:val="24"/>
          <w:szCs w:val="24"/>
          <w:lang w:val="en-US"/>
        </w:rPr>
        <w:t>(</w:t>
      </w:r>
      <w:r w:rsidR="00FC4B85" w:rsidRPr="00C22B3C">
        <w:rPr>
          <w:sz w:val="24"/>
          <w:szCs w:val="24"/>
          <w:lang w:val="en-US"/>
        </w:rPr>
        <w:fldChar w:fldCharType="begin"/>
      </w:r>
      <w:r w:rsidR="00FC4B85" w:rsidRPr="00C22B3C">
        <w:rPr>
          <w:sz w:val="24"/>
          <w:szCs w:val="24"/>
          <w:lang w:val="en-US"/>
        </w:rPr>
        <w:instrText xml:space="preserve"> REF _Ref177555658 \h  \* MERGEFORMAT </w:instrText>
      </w:r>
      <w:r w:rsidR="00FC4B85" w:rsidRPr="00C22B3C">
        <w:rPr>
          <w:sz w:val="24"/>
          <w:szCs w:val="24"/>
          <w:lang w:val="en-US"/>
        </w:rPr>
      </w:r>
      <w:r w:rsidR="00FC4B85" w:rsidRPr="00C22B3C">
        <w:rPr>
          <w:sz w:val="24"/>
          <w:szCs w:val="24"/>
          <w:lang w:val="en-US"/>
        </w:rPr>
        <w:fldChar w:fldCharType="separate"/>
      </w:r>
      <w:r w:rsidR="00824AAF" w:rsidRPr="00920844">
        <w:rPr>
          <w:lang w:val="en-US"/>
        </w:rPr>
        <w:t>Table 10</w:t>
      </w:r>
      <w:r w:rsidR="00FC4B85" w:rsidRPr="00C22B3C">
        <w:rPr>
          <w:sz w:val="24"/>
          <w:szCs w:val="24"/>
          <w:lang w:val="en-US"/>
        </w:rPr>
        <w:fldChar w:fldCharType="end"/>
      </w:r>
      <w:r w:rsidR="004C1968" w:rsidRPr="00C22B3C">
        <w:rPr>
          <w:sz w:val="24"/>
          <w:szCs w:val="24"/>
          <w:lang w:val="en-US"/>
        </w:rPr>
        <w:t xml:space="preserve">) </w:t>
      </w:r>
      <w:r w:rsidRPr="00C22B3C">
        <w:rPr>
          <w:sz w:val="24"/>
          <w:szCs w:val="24"/>
          <w:lang w:val="en-US"/>
        </w:rPr>
        <w:t>is the “adverse growth-interest rate differential</w:t>
      </w:r>
      <w:r w:rsidRPr="00AB74B9">
        <w:rPr>
          <w:sz w:val="24"/>
          <w:szCs w:val="24"/>
          <w:lang w:val="en-US"/>
        </w:rPr>
        <w:t xml:space="preserve"> scenario”, which assumes that the difference between the real growth rate and the interest rate permanently deteriorates by 1 percentage points after the end of the adjustment period. This impact is captured by assuming from 2029 onwards a value for the growth rate that is lower by 0.5 percentage points compared to the adjustment scenario, as well as values for the short-term interest rate and the long-term interest rate that are 0.5 percentage points higher. Of the three deterministic stress scenarios, this is the one that has the greatest impact on the evolution of the debt ratio, with average annual debt reduction over 2029-2038 reducing to approximately 1 percentage point and with the debt ratio in 2038 at 123.5% of GDP, or 8.6 percentage points above the respective value in the adjustment scenario. The criterion of a continuous debt reduction until the end of the projection is still satisfied, although annual debt reductions become marginal in the last years of the projection</w:t>
      </w:r>
      <w:r w:rsidR="008E009B" w:rsidRPr="00E306AE">
        <w:rPr>
          <w:sz w:val="24"/>
          <w:szCs w:val="24"/>
          <w:lang w:val="en-US"/>
        </w:rPr>
        <w:t xml:space="preserve"> </w:t>
      </w:r>
      <w:r w:rsidR="008E009B">
        <w:rPr>
          <w:sz w:val="24"/>
          <w:szCs w:val="24"/>
          <w:lang w:val="en-US"/>
        </w:rPr>
        <w:t>period</w:t>
      </w:r>
      <w:r w:rsidRPr="00AB74B9">
        <w:rPr>
          <w:sz w:val="24"/>
          <w:szCs w:val="24"/>
          <w:lang w:val="en-US"/>
        </w:rPr>
        <w:t xml:space="preserve">. </w:t>
      </w:r>
    </w:p>
    <w:p w14:paraId="6E771350" w14:textId="2964F027" w:rsidR="00AB0E21" w:rsidRDefault="00AB0E21" w:rsidP="00AB0E21">
      <w:pPr>
        <w:rPr>
          <w:sz w:val="24"/>
          <w:szCs w:val="24"/>
          <w:lang w:val="en-US"/>
        </w:rPr>
      </w:pPr>
      <w:r w:rsidRPr="00C22B3C">
        <w:rPr>
          <w:sz w:val="24"/>
          <w:szCs w:val="24"/>
          <w:lang w:val="en-US"/>
        </w:rPr>
        <w:t>The last stress scenario</w:t>
      </w:r>
      <w:r w:rsidR="004C1968" w:rsidRPr="00C22B3C">
        <w:rPr>
          <w:sz w:val="24"/>
          <w:szCs w:val="24"/>
          <w:lang w:val="en-US"/>
        </w:rPr>
        <w:t xml:space="preserve"> (</w:t>
      </w:r>
      <w:r w:rsidR="00875E53" w:rsidRPr="00C22B3C">
        <w:rPr>
          <w:sz w:val="24"/>
          <w:szCs w:val="24"/>
          <w:lang w:val="en-US"/>
        </w:rPr>
        <w:fldChar w:fldCharType="begin"/>
      </w:r>
      <w:r w:rsidR="00875E53" w:rsidRPr="00C22B3C">
        <w:rPr>
          <w:sz w:val="24"/>
          <w:szCs w:val="24"/>
          <w:lang w:val="en-US"/>
        </w:rPr>
        <w:instrText xml:space="preserve"> REF _Ref177555658 \h  \* MERGEFORMAT </w:instrText>
      </w:r>
      <w:r w:rsidR="00875E53" w:rsidRPr="00C22B3C">
        <w:rPr>
          <w:sz w:val="24"/>
          <w:szCs w:val="24"/>
          <w:lang w:val="en-US"/>
        </w:rPr>
      </w:r>
      <w:r w:rsidR="00875E53" w:rsidRPr="00C22B3C">
        <w:rPr>
          <w:sz w:val="24"/>
          <w:szCs w:val="24"/>
          <w:lang w:val="en-US"/>
        </w:rPr>
        <w:fldChar w:fldCharType="separate"/>
      </w:r>
      <w:r w:rsidR="00824AAF" w:rsidRPr="00920844">
        <w:rPr>
          <w:lang w:val="en-US"/>
        </w:rPr>
        <w:t>Table 10</w:t>
      </w:r>
      <w:r w:rsidR="00875E53" w:rsidRPr="00C22B3C">
        <w:rPr>
          <w:sz w:val="24"/>
          <w:szCs w:val="24"/>
          <w:lang w:val="en-US"/>
        </w:rPr>
        <w:fldChar w:fldCharType="end"/>
      </w:r>
      <w:r w:rsidR="004C1968" w:rsidRPr="00C22B3C">
        <w:rPr>
          <w:sz w:val="24"/>
          <w:szCs w:val="24"/>
          <w:lang w:val="en-US"/>
        </w:rPr>
        <w:t>)</w:t>
      </w:r>
      <w:r w:rsidRPr="00C22B3C">
        <w:rPr>
          <w:sz w:val="24"/>
          <w:szCs w:val="24"/>
          <w:lang w:val="en-US"/>
        </w:rPr>
        <w:t xml:space="preserve"> is the “financial stress scenario”, which assumes that market</w:t>
      </w:r>
      <w:r>
        <w:rPr>
          <w:sz w:val="24"/>
          <w:szCs w:val="24"/>
          <w:lang w:val="en-US"/>
        </w:rPr>
        <w:t xml:space="preserve"> interest rates are temporarily increased in the first year after the end of the adjustment period. The increase in interest rates is not fixed, but consists in a horizontal increase by 1 percentage point that applies to all </w:t>
      </w:r>
      <w:r w:rsidR="008E009B">
        <w:rPr>
          <w:sz w:val="24"/>
          <w:szCs w:val="24"/>
          <w:lang w:val="en-US"/>
        </w:rPr>
        <w:t>M</w:t>
      </w:r>
      <w:r>
        <w:rPr>
          <w:sz w:val="24"/>
          <w:szCs w:val="24"/>
          <w:lang w:val="en-US"/>
        </w:rPr>
        <w:t xml:space="preserve">ember </w:t>
      </w:r>
      <w:r w:rsidR="008E009B">
        <w:rPr>
          <w:sz w:val="24"/>
          <w:szCs w:val="24"/>
          <w:lang w:val="en-US"/>
        </w:rPr>
        <w:t>S</w:t>
      </w:r>
      <w:r>
        <w:rPr>
          <w:sz w:val="24"/>
          <w:szCs w:val="24"/>
          <w:lang w:val="en-US"/>
        </w:rPr>
        <w:t xml:space="preserve">tates and a country-specific risk premium that applies only to </w:t>
      </w:r>
      <w:r w:rsidR="008E009B">
        <w:rPr>
          <w:sz w:val="24"/>
          <w:szCs w:val="24"/>
          <w:lang w:val="en-US"/>
        </w:rPr>
        <w:t>M</w:t>
      </w:r>
      <w:r>
        <w:rPr>
          <w:sz w:val="24"/>
          <w:szCs w:val="24"/>
          <w:lang w:val="en-US"/>
        </w:rPr>
        <w:t xml:space="preserve">ember </w:t>
      </w:r>
      <w:r w:rsidR="008E009B">
        <w:rPr>
          <w:sz w:val="24"/>
          <w:szCs w:val="24"/>
          <w:lang w:val="en-US"/>
        </w:rPr>
        <w:t>S</w:t>
      </w:r>
      <w:r>
        <w:rPr>
          <w:sz w:val="24"/>
          <w:szCs w:val="24"/>
          <w:lang w:val="en-US"/>
        </w:rPr>
        <w:t xml:space="preserve">tates with a debt ratio above 90% of GDP. For these </w:t>
      </w:r>
      <w:r w:rsidR="008E009B">
        <w:rPr>
          <w:sz w:val="24"/>
          <w:szCs w:val="24"/>
          <w:lang w:val="en-US"/>
        </w:rPr>
        <w:t>M</w:t>
      </w:r>
      <w:r>
        <w:rPr>
          <w:sz w:val="24"/>
          <w:szCs w:val="24"/>
          <w:lang w:val="en-US"/>
        </w:rPr>
        <w:t xml:space="preserve">ember </w:t>
      </w:r>
      <w:r w:rsidR="008E009B">
        <w:rPr>
          <w:sz w:val="24"/>
          <w:szCs w:val="24"/>
          <w:lang w:val="en-US"/>
        </w:rPr>
        <w:t>S</w:t>
      </w:r>
      <w:r>
        <w:rPr>
          <w:sz w:val="24"/>
          <w:szCs w:val="24"/>
          <w:lang w:val="en-US"/>
        </w:rPr>
        <w:t xml:space="preserve">tates, the risk premium is calculated as the excess of the debt ratio over 90% multiplied by a coefficient of 0.06. In the case of Greece, the projected excess over the 90% of GDP threshold in 2028 is equal to 43.4 percentage points, implying that the risk premium that is imposed under the financial stress scenario is equal to 2.6 percentage points and that the overall increase in market interest rates reaches 3.6 percentage points. As a result, the scenario entails a rise in short-term interest rates from 4.0% in 2028 to 7.6% in 2029 and in long-term interest rates from 2.8% in 2028 to 6.4% in 2029. This leads to an increase in the implicit nominal interest rate on debt from 2.7% to 3.3% and to a consecutive increase in interest expenditure from 3.6% of GDP to 4.3% of GDP in 2029. Due to the temporary nature of this shock, the impact on the evolution of the debt ratio is smaller compared to the other two stress scenarios, with the average annual debt reduction over 2029-2038 calculated at 1.67 percentage points and with the debt ratio in 2038 being equal to 116.7% of GDP, just 1.8 percentage points above the respective value in the adjustment scenario. </w:t>
      </w:r>
    </w:p>
    <w:p w14:paraId="7FAC7F95" w14:textId="509876C3" w:rsidR="00FC4B85" w:rsidRDefault="00FC4B85" w:rsidP="00AB0E21">
      <w:pPr>
        <w:rPr>
          <w:sz w:val="24"/>
          <w:szCs w:val="24"/>
          <w:lang w:val="en-US"/>
        </w:rPr>
      </w:pPr>
    </w:p>
    <w:p w14:paraId="0410FC12" w14:textId="23437DD2" w:rsidR="00FC4B85" w:rsidRDefault="00FC4B85" w:rsidP="00AB0E21">
      <w:pPr>
        <w:rPr>
          <w:sz w:val="24"/>
          <w:szCs w:val="24"/>
          <w:lang w:val="en-US"/>
        </w:rPr>
      </w:pPr>
    </w:p>
    <w:p w14:paraId="6F3EAED6" w14:textId="2FEE09BC" w:rsidR="00FC4B85" w:rsidRDefault="00FC4B85" w:rsidP="00AB0E21">
      <w:pPr>
        <w:rPr>
          <w:sz w:val="24"/>
          <w:szCs w:val="24"/>
          <w:lang w:val="en-US"/>
        </w:rPr>
      </w:pPr>
    </w:p>
    <w:p w14:paraId="59F836E7" w14:textId="2A16748A" w:rsidR="00FC4B85" w:rsidRDefault="00FC4B85" w:rsidP="00AB0E21">
      <w:pPr>
        <w:rPr>
          <w:sz w:val="24"/>
          <w:szCs w:val="24"/>
          <w:lang w:val="en-US"/>
        </w:rPr>
      </w:pPr>
    </w:p>
    <w:p w14:paraId="3A8195A5" w14:textId="77777777" w:rsidR="00FC4B85" w:rsidRDefault="00FC4B85" w:rsidP="00AB0E21">
      <w:pPr>
        <w:rPr>
          <w:sz w:val="24"/>
          <w:szCs w:val="24"/>
          <w:lang w:val="en-US"/>
        </w:rPr>
      </w:pPr>
    </w:p>
    <w:p w14:paraId="692CC6E4" w14:textId="7DFA2357" w:rsidR="00AB0E21" w:rsidRPr="001B156B" w:rsidRDefault="002B0691" w:rsidP="001B156B">
      <w:pPr>
        <w:pStyle w:val="Figure"/>
        <w:jc w:val="left"/>
        <w:rPr>
          <w:w w:val="90"/>
          <w:sz w:val="22"/>
        </w:rPr>
      </w:pPr>
      <w:bookmarkStart w:id="27" w:name="_Toc177642766"/>
      <w:r>
        <w:rPr>
          <w:noProof/>
          <w:lang w:val="el-GR" w:eastAsia="el-GR"/>
        </w:rPr>
        <w:lastRenderedPageBreak/>
        <w:drawing>
          <wp:anchor distT="0" distB="0" distL="114300" distR="114300" simplePos="0" relativeHeight="251719680" behindDoc="0" locked="0" layoutInCell="1" allowOverlap="1" wp14:anchorId="319C16B4" wp14:editId="7340EDEF">
            <wp:simplePos x="0" y="0"/>
            <wp:positionH relativeFrom="column">
              <wp:posOffset>85725</wp:posOffset>
            </wp:positionH>
            <wp:positionV relativeFrom="paragraph">
              <wp:posOffset>197485</wp:posOffset>
            </wp:positionV>
            <wp:extent cx="5271135" cy="2632710"/>
            <wp:effectExtent l="0" t="0" r="5715" b="0"/>
            <wp:wrapTopAndBottom/>
            <wp:docPr id="3" name="Γράφημα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97F1D3-3F9F-43E4-8E2A-BBF6B9B5C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518E6" w:rsidRPr="00132C15">
        <w:t xml:space="preserve">Figure </w:t>
      </w:r>
      <w:r w:rsidR="00A54B46" w:rsidRPr="00132C15">
        <w:fldChar w:fldCharType="begin"/>
      </w:r>
      <w:r w:rsidR="007518E6" w:rsidRPr="00132C15">
        <w:instrText xml:space="preserve"> SEQ Figure \* ARABIC </w:instrText>
      </w:r>
      <w:r w:rsidR="00A54B46" w:rsidRPr="00132C15">
        <w:fldChar w:fldCharType="separate"/>
      </w:r>
      <w:r w:rsidR="00824AAF">
        <w:rPr>
          <w:noProof/>
        </w:rPr>
        <w:t>3</w:t>
      </w:r>
      <w:r w:rsidR="00A54B46" w:rsidRPr="00132C15">
        <w:fldChar w:fldCharType="end"/>
      </w:r>
      <w:r w:rsidR="007518E6" w:rsidRPr="00132C15">
        <w:t xml:space="preserve"> </w:t>
      </w:r>
      <w:r w:rsidR="00132C15">
        <w:t xml:space="preserve">| </w:t>
      </w:r>
      <w:r w:rsidR="00AB0E21" w:rsidRPr="001B156B">
        <w:rPr>
          <w:w w:val="90"/>
          <w:sz w:val="22"/>
        </w:rPr>
        <w:t>Annual debt reduction under the adjustment scenario and the deterministic stress scenarios</w:t>
      </w:r>
      <w:bookmarkEnd w:id="27"/>
    </w:p>
    <w:p w14:paraId="75D70925" w14:textId="06EE3602" w:rsidR="00AB0E21" w:rsidRPr="00AB74B9" w:rsidRDefault="00AB0E21" w:rsidP="001B156B">
      <w:pPr>
        <w:pBdr>
          <w:top w:val="single" w:sz="18" w:space="1" w:color="4F81BD" w:themeColor="accent1"/>
        </w:pBdr>
        <w:spacing w:after="0" w:line="140" w:lineRule="exact"/>
        <w:rPr>
          <w:lang w:val="en-US"/>
        </w:rPr>
      </w:pPr>
    </w:p>
    <w:p w14:paraId="5586B4FF" w14:textId="3D843719" w:rsidR="00AB0E21" w:rsidRPr="006019AE" w:rsidRDefault="00AB0E21" w:rsidP="00AB0E21">
      <w:pPr>
        <w:spacing w:line="276" w:lineRule="auto"/>
        <w:rPr>
          <w:sz w:val="24"/>
          <w:szCs w:val="24"/>
          <w:lang w:val="en-US"/>
        </w:rPr>
      </w:pPr>
      <w:r>
        <w:rPr>
          <w:sz w:val="24"/>
          <w:szCs w:val="24"/>
          <w:lang w:val="en-US"/>
        </w:rPr>
        <w:t>The second criterion for the plausibility of the debt ratio’s downward path refers to s</w:t>
      </w:r>
      <w:r w:rsidRPr="006019AE">
        <w:rPr>
          <w:sz w:val="24"/>
          <w:szCs w:val="24"/>
          <w:lang w:val="en-US"/>
        </w:rPr>
        <w:t>tochastic debt projections</w:t>
      </w:r>
      <w:r>
        <w:rPr>
          <w:sz w:val="24"/>
          <w:szCs w:val="24"/>
          <w:lang w:val="en-US"/>
        </w:rPr>
        <w:t>. These</w:t>
      </w:r>
      <w:r w:rsidRPr="006019AE">
        <w:rPr>
          <w:sz w:val="24"/>
          <w:szCs w:val="24"/>
          <w:lang w:val="en-US"/>
        </w:rPr>
        <w:t xml:space="preserve"> are used in the context of the European Commission’s DSA methodology in order to assess the plausibility of the downward path of the debt ratio in the presence of shocks to the main variables that determine its evolution. Unlike the standard DSA stress scenarios that are deterministic and show the change in the evolution of the debt ratio under specific and clearly defined changes in the assumptions about the path of certain macroeconomic variables, stochastic projections simulate random shocks on the basis of the historically recorded volatility of the relevant variables. As a result, they </w:t>
      </w:r>
      <w:r w:rsidR="008E009B">
        <w:rPr>
          <w:sz w:val="24"/>
          <w:szCs w:val="24"/>
          <w:lang w:val="en-US"/>
        </w:rPr>
        <w:t xml:space="preserve">do </w:t>
      </w:r>
      <w:r w:rsidR="008E009B" w:rsidRPr="006019AE">
        <w:rPr>
          <w:sz w:val="24"/>
          <w:szCs w:val="24"/>
          <w:lang w:val="en-US"/>
        </w:rPr>
        <w:t xml:space="preserve">not </w:t>
      </w:r>
      <w:r w:rsidRPr="006019AE">
        <w:rPr>
          <w:sz w:val="24"/>
          <w:szCs w:val="24"/>
          <w:lang w:val="en-US"/>
        </w:rPr>
        <w:t xml:space="preserve">lead to a specific alternative path for the debt ratio, but to a range of possible paths and to a probability distribution for the debt ratio around a central forecast. </w:t>
      </w:r>
    </w:p>
    <w:p w14:paraId="2BDA6B7C" w14:textId="77777777" w:rsidR="00AB0E21" w:rsidRDefault="00AB0E21" w:rsidP="00AB0E21">
      <w:pPr>
        <w:spacing w:line="276" w:lineRule="auto"/>
        <w:rPr>
          <w:sz w:val="24"/>
          <w:szCs w:val="24"/>
          <w:lang w:val="en-US"/>
        </w:rPr>
      </w:pPr>
      <w:r w:rsidRPr="006019AE">
        <w:rPr>
          <w:sz w:val="24"/>
          <w:szCs w:val="24"/>
          <w:lang w:val="en-US"/>
        </w:rPr>
        <w:t xml:space="preserve">The stochastic analysis follows the methodology that has been established by the European Commission in order to examine the sensitivity of the debt ratio projections under the adjustment scenario to random shocks occurring in the first five years after the conclusion of the adjustment, i.e. between 2029-2033. The analysis consists in the simulation of 10,000 random shocks to four macroeconomic variables that affect the evolution of the debt ratio, namely the primary balance, nominal GDP growth, the short-term interest rate and the long-term interest rate. The random shocks are assumed to follow a multivariate normal distribution with a zero mean and with a variance-covariance matrix that is calculated using the quarterly historical values of these variables for the period 2000-2023. </w:t>
      </w:r>
      <w:r>
        <w:rPr>
          <w:sz w:val="24"/>
          <w:szCs w:val="24"/>
          <w:lang w:val="en-US"/>
        </w:rPr>
        <w:t xml:space="preserve">Shocks to the first three variables are assumed not to persist beyond the specific year in which they occur, but shocks to the long-term interest rate are persistent since it applies to the issuance of long-term debt that has a greater average maturity. </w:t>
      </w:r>
    </w:p>
    <w:p w14:paraId="245C6FC9" w14:textId="6B381AEF" w:rsidR="003C0C39" w:rsidRDefault="00AB0E21" w:rsidP="004F6E5D">
      <w:pPr>
        <w:spacing w:line="276" w:lineRule="auto"/>
        <w:rPr>
          <w:lang w:val="en-US"/>
        </w:rPr>
      </w:pPr>
      <w:r>
        <w:rPr>
          <w:sz w:val="24"/>
          <w:szCs w:val="24"/>
          <w:lang w:val="en-US"/>
        </w:rPr>
        <w:t xml:space="preserve">On the basis of the methodology described in the Commission’s Debt Sustainability Monitor 2023, the criterion for a plausible path of debt reduction entails that the probability that the debt ratio is going to decline in the five years following the adjustment period is at least 70%. According to the results of the stochastic analysis, the probability that </w:t>
      </w:r>
      <w:bookmarkStart w:id="28" w:name="_Hlk177639405"/>
      <w:r>
        <w:rPr>
          <w:sz w:val="24"/>
          <w:szCs w:val="24"/>
          <w:lang w:val="en-US"/>
        </w:rPr>
        <w:t xml:space="preserve">the debt ratio will be smaller in 2033 compared to 2028, the last year of the adjustment period, is </w:t>
      </w:r>
      <w:r w:rsidRPr="00F21E15">
        <w:rPr>
          <w:sz w:val="24"/>
          <w:szCs w:val="24"/>
          <w:lang w:val="en-US"/>
        </w:rPr>
        <w:t>calculated at 7</w:t>
      </w:r>
      <w:r w:rsidR="00502748">
        <w:rPr>
          <w:sz w:val="24"/>
          <w:szCs w:val="24"/>
          <w:lang w:val="en-US"/>
        </w:rPr>
        <w:t>1</w:t>
      </w:r>
      <w:r w:rsidRPr="00F21E15">
        <w:rPr>
          <w:sz w:val="24"/>
          <w:szCs w:val="24"/>
          <w:lang w:val="en-US"/>
        </w:rPr>
        <w:t>.</w:t>
      </w:r>
      <w:r w:rsidR="00502748">
        <w:rPr>
          <w:sz w:val="24"/>
          <w:szCs w:val="24"/>
          <w:lang w:val="en-US"/>
        </w:rPr>
        <w:t>8</w:t>
      </w:r>
      <w:bookmarkEnd w:id="28"/>
      <w:r w:rsidRPr="00F21E15">
        <w:rPr>
          <w:sz w:val="24"/>
          <w:szCs w:val="24"/>
          <w:lang w:val="en-US"/>
        </w:rPr>
        <w:t>%, above the threshold set by the methodology.</w:t>
      </w:r>
      <w:r>
        <w:rPr>
          <w:sz w:val="24"/>
          <w:szCs w:val="24"/>
          <w:lang w:val="en-US"/>
        </w:rPr>
        <w:t xml:space="preserve"> </w:t>
      </w:r>
    </w:p>
    <w:p w14:paraId="093939BB" w14:textId="77777777" w:rsidR="003C0C39" w:rsidRDefault="003C0C39">
      <w:pPr>
        <w:spacing w:after="200" w:line="276" w:lineRule="auto"/>
        <w:jc w:val="left"/>
        <w:rPr>
          <w:lang w:val="en-US"/>
        </w:rPr>
        <w:sectPr w:rsidR="003C0C39" w:rsidSect="003C0C39">
          <w:footerReference w:type="first" r:id="rId18"/>
          <w:pgSz w:w="11906" w:h="16838"/>
          <w:pgMar w:top="1304" w:right="964" w:bottom="1134" w:left="1304" w:header="0" w:footer="340" w:gutter="567"/>
          <w:cols w:space="708"/>
          <w:titlePg/>
          <w:docGrid w:linePitch="360"/>
        </w:sectPr>
      </w:pPr>
    </w:p>
    <w:p w14:paraId="736867E3" w14:textId="0B388FDE" w:rsidR="002503D5" w:rsidRPr="00092BFB" w:rsidRDefault="002503D5" w:rsidP="00092BFB">
      <w:pPr>
        <w:pStyle w:val="Table"/>
      </w:pPr>
      <w:bookmarkStart w:id="29" w:name="_Ref177555658"/>
      <w:bookmarkStart w:id="30" w:name="_Toc177747040"/>
      <w:r w:rsidRPr="00092BFB">
        <w:lastRenderedPageBreak/>
        <w:t xml:space="preserve">Table </w:t>
      </w:r>
      <w:r w:rsidR="00337799" w:rsidRPr="00092BFB">
        <w:fldChar w:fldCharType="begin"/>
      </w:r>
      <w:r w:rsidR="00337799" w:rsidRPr="00092BFB">
        <w:instrText xml:space="preserve"> SEQ Table \* ARABIC </w:instrText>
      </w:r>
      <w:r w:rsidR="00337799" w:rsidRPr="00092BFB">
        <w:fldChar w:fldCharType="separate"/>
      </w:r>
      <w:r w:rsidR="00824AAF">
        <w:rPr>
          <w:noProof/>
        </w:rPr>
        <w:t>10</w:t>
      </w:r>
      <w:r w:rsidR="00337799" w:rsidRPr="00092BFB">
        <w:fldChar w:fldCharType="end"/>
      </w:r>
      <w:bookmarkEnd w:id="29"/>
      <w:r w:rsidRPr="00092BFB">
        <w:t xml:space="preserve"> </w:t>
      </w:r>
      <w:r w:rsidR="00092BFB">
        <w:t xml:space="preserve">| </w:t>
      </w:r>
      <w:r w:rsidRPr="00092BFB">
        <w:t>Debt projections and key stressed variables, deterministic scenarios and stochastic simulations</w:t>
      </w:r>
      <w:bookmarkEnd w:id="30"/>
      <w:r w:rsidRPr="00092BFB">
        <w:tab/>
      </w:r>
      <w:r w:rsidRPr="00092BFB">
        <w:tab/>
      </w:r>
      <w:r w:rsidRPr="00092BFB">
        <w:tab/>
      </w:r>
      <w:r w:rsidRPr="00092BFB">
        <w:tab/>
      </w:r>
      <w:r w:rsidRPr="00092BFB">
        <w:tab/>
      </w:r>
      <w:r w:rsidRPr="00092BFB">
        <w:tab/>
      </w:r>
    </w:p>
    <w:tbl>
      <w:tblPr>
        <w:tblW w:w="14556" w:type="dxa"/>
        <w:jc w:val="center"/>
        <w:tblBorders>
          <w:bottom w:val="single" w:sz="18" w:space="0" w:color="4F81BD" w:themeColor="accent1"/>
          <w:insideH w:val="single" w:sz="4" w:space="0" w:color="FFFFFF" w:themeColor="background1"/>
        </w:tblBorders>
        <w:tblLook w:val="04A0" w:firstRow="1" w:lastRow="0" w:firstColumn="1" w:lastColumn="0" w:noHBand="0" w:noVBand="1"/>
      </w:tblPr>
      <w:tblGrid>
        <w:gridCol w:w="504"/>
        <w:gridCol w:w="1764"/>
        <w:gridCol w:w="912"/>
        <w:gridCol w:w="711"/>
        <w:gridCol w:w="711"/>
        <w:gridCol w:w="711"/>
        <w:gridCol w:w="711"/>
        <w:gridCol w:w="711"/>
        <w:gridCol w:w="711"/>
        <w:gridCol w:w="711"/>
        <w:gridCol w:w="711"/>
        <w:gridCol w:w="711"/>
        <w:gridCol w:w="711"/>
        <w:gridCol w:w="711"/>
        <w:gridCol w:w="711"/>
        <w:gridCol w:w="711"/>
        <w:gridCol w:w="711"/>
        <w:gridCol w:w="711"/>
        <w:gridCol w:w="711"/>
      </w:tblGrid>
      <w:tr w:rsidR="00E204B7" w:rsidRPr="007518E6" w14:paraId="094EE059" w14:textId="77777777" w:rsidTr="00E204B7">
        <w:trPr>
          <w:trHeight w:val="840"/>
          <w:jc w:val="center"/>
        </w:trPr>
        <w:tc>
          <w:tcPr>
            <w:tcW w:w="504" w:type="dxa"/>
            <w:shd w:val="clear" w:color="auto" w:fill="BFBFBF" w:themeFill="background1" w:themeFillShade="BF"/>
            <w:vAlign w:val="center"/>
            <w:hideMark/>
          </w:tcPr>
          <w:p w14:paraId="07666F12" w14:textId="77777777" w:rsidR="007518E6" w:rsidRPr="007518E6" w:rsidRDefault="007518E6" w:rsidP="007518E6">
            <w:pPr>
              <w:spacing w:after="0" w:line="240" w:lineRule="auto"/>
              <w:jc w:val="center"/>
              <w:rPr>
                <w:rFonts w:ascii="Arial" w:eastAsia="Times New Roman" w:hAnsi="Arial" w:cs="Arial"/>
                <w:b/>
                <w:bCs/>
                <w:color w:val="000000"/>
                <w:sz w:val="20"/>
                <w:szCs w:val="20"/>
                <w:lang w:val="en-US"/>
              </w:rPr>
            </w:pPr>
            <w:r w:rsidRPr="007518E6">
              <w:rPr>
                <w:rFonts w:ascii="Arial" w:eastAsia="Times New Roman" w:hAnsi="Arial" w:cs="Arial"/>
                <w:b/>
                <w:bCs/>
                <w:color w:val="000000"/>
                <w:sz w:val="20"/>
                <w:szCs w:val="20"/>
                <w:lang w:val="en-US"/>
              </w:rPr>
              <w:t> </w:t>
            </w:r>
          </w:p>
        </w:tc>
        <w:tc>
          <w:tcPr>
            <w:tcW w:w="2676" w:type="dxa"/>
            <w:gridSpan w:val="2"/>
            <w:shd w:val="clear" w:color="auto" w:fill="BFBFBF" w:themeFill="background1" w:themeFillShade="BF"/>
            <w:vAlign w:val="center"/>
            <w:hideMark/>
          </w:tcPr>
          <w:p w14:paraId="7FBFC5E6" w14:textId="77777777" w:rsidR="007518E6" w:rsidRPr="007518E6" w:rsidRDefault="007518E6" w:rsidP="007518E6">
            <w:pPr>
              <w:spacing w:after="0" w:line="240" w:lineRule="auto"/>
              <w:jc w:val="left"/>
              <w:rPr>
                <w:rFonts w:ascii="Arial" w:eastAsia="Times New Roman" w:hAnsi="Arial" w:cs="Arial"/>
                <w:b/>
                <w:bCs/>
                <w:color w:val="000000"/>
                <w:sz w:val="20"/>
                <w:szCs w:val="20"/>
                <w:lang w:val="en-US"/>
              </w:rPr>
            </w:pPr>
            <w:r w:rsidRPr="007518E6">
              <w:rPr>
                <w:rFonts w:ascii="Arial" w:eastAsia="Times New Roman" w:hAnsi="Arial" w:cs="Arial"/>
                <w:b/>
                <w:bCs/>
                <w:color w:val="000000"/>
                <w:sz w:val="20"/>
                <w:szCs w:val="20"/>
                <w:lang w:val="en-US"/>
              </w:rPr>
              <w:t> </w:t>
            </w:r>
          </w:p>
        </w:tc>
        <w:tc>
          <w:tcPr>
            <w:tcW w:w="711" w:type="dxa"/>
            <w:shd w:val="clear" w:color="auto" w:fill="BFBFBF" w:themeFill="background1" w:themeFillShade="BF"/>
            <w:textDirection w:val="btLr"/>
            <w:vAlign w:val="center"/>
            <w:hideMark/>
          </w:tcPr>
          <w:p w14:paraId="7B1809E1"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2023</w:t>
            </w:r>
          </w:p>
        </w:tc>
        <w:tc>
          <w:tcPr>
            <w:tcW w:w="711" w:type="dxa"/>
            <w:shd w:val="clear" w:color="auto" w:fill="BFBFBF" w:themeFill="background1" w:themeFillShade="BF"/>
            <w:textDirection w:val="btLr"/>
            <w:vAlign w:val="center"/>
            <w:hideMark/>
          </w:tcPr>
          <w:p w14:paraId="643FEA5B"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2024</w:t>
            </w:r>
          </w:p>
        </w:tc>
        <w:tc>
          <w:tcPr>
            <w:tcW w:w="711" w:type="dxa"/>
            <w:shd w:val="clear" w:color="auto" w:fill="BFBFBF" w:themeFill="background1" w:themeFillShade="BF"/>
            <w:textDirection w:val="btLr"/>
            <w:vAlign w:val="center"/>
            <w:hideMark/>
          </w:tcPr>
          <w:p w14:paraId="030E9B60"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2025</w:t>
            </w:r>
          </w:p>
        </w:tc>
        <w:tc>
          <w:tcPr>
            <w:tcW w:w="711" w:type="dxa"/>
            <w:shd w:val="clear" w:color="auto" w:fill="BFBFBF" w:themeFill="background1" w:themeFillShade="BF"/>
            <w:textDirection w:val="btLr"/>
            <w:vAlign w:val="center"/>
            <w:hideMark/>
          </w:tcPr>
          <w:p w14:paraId="626B5E15"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2026</w:t>
            </w:r>
          </w:p>
        </w:tc>
        <w:tc>
          <w:tcPr>
            <w:tcW w:w="711" w:type="dxa"/>
            <w:shd w:val="clear" w:color="auto" w:fill="BFBFBF" w:themeFill="background1" w:themeFillShade="BF"/>
            <w:textDirection w:val="btLr"/>
            <w:vAlign w:val="center"/>
            <w:hideMark/>
          </w:tcPr>
          <w:p w14:paraId="4C052BEA"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2027</w:t>
            </w:r>
          </w:p>
        </w:tc>
        <w:tc>
          <w:tcPr>
            <w:tcW w:w="711" w:type="dxa"/>
            <w:shd w:val="clear" w:color="auto" w:fill="BFBFBF" w:themeFill="background1" w:themeFillShade="BF"/>
            <w:textDirection w:val="btLr"/>
            <w:vAlign w:val="center"/>
            <w:hideMark/>
          </w:tcPr>
          <w:p w14:paraId="7D728A25"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2028</w:t>
            </w:r>
          </w:p>
        </w:tc>
        <w:tc>
          <w:tcPr>
            <w:tcW w:w="711" w:type="dxa"/>
            <w:shd w:val="clear" w:color="auto" w:fill="BFBFBF" w:themeFill="background1" w:themeFillShade="BF"/>
            <w:textDirection w:val="btLr"/>
            <w:vAlign w:val="center"/>
            <w:hideMark/>
          </w:tcPr>
          <w:p w14:paraId="2E2A9AFD"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2029</w:t>
            </w:r>
          </w:p>
        </w:tc>
        <w:tc>
          <w:tcPr>
            <w:tcW w:w="711" w:type="dxa"/>
            <w:shd w:val="clear" w:color="auto" w:fill="BFBFBF" w:themeFill="background1" w:themeFillShade="BF"/>
            <w:textDirection w:val="btLr"/>
            <w:vAlign w:val="center"/>
            <w:hideMark/>
          </w:tcPr>
          <w:p w14:paraId="3388A4F7"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2030</w:t>
            </w:r>
          </w:p>
        </w:tc>
        <w:tc>
          <w:tcPr>
            <w:tcW w:w="711" w:type="dxa"/>
            <w:shd w:val="clear" w:color="auto" w:fill="BFBFBF" w:themeFill="background1" w:themeFillShade="BF"/>
            <w:textDirection w:val="btLr"/>
            <w:vAlign w:val="center"/>
            <w:hideMark/>
          </w:tcPr>
          <w:p w14:paraId="1C2D7565"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2031</w:t>
            </w:r>
          </w:p>
        </w:tc>
        <w:tc>
          <w:tcPr>
            <w:tcW w:w="711" w:type="dxa"/>
            <w:shd w:val="clear" w:color="auto" w:fill="BFBFBF" w:themeFill="background1" w:themeFillShade="BF"/>
            <w:textDirection w:val="btLr"/>
            <w:vAlign w:val="center"/>
            <w:hideMark/>
          </w:tcPr>
          <w:p w14:paraId="16FD591E"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2032</w:t>
            </w:r>
          </w:p>
        </w:tc>
        <w:tc>
          <w:tcPr>
            <w:tcW w:w="711" w:type="dxa"/>
            <w:shd w:val="clear" w:color="auto" w:fill="BFBFBF" w:themeFill="background1" w:themeFillShade="BF"/>
            <w:textDirection w:val="btLr"/>
            <w:vAlign w:val="center"/>
            <w:hideMark/>
          </w:tcPr>
          <w:p w14:paraId="10509AEF"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2033</w:t>
            </w:r>
          </w:p>
        </w:tc>
        <w:tc>
          <w:tcPr>
            <w:tcW w:w="711" w:type="dxa"/>
            <w:shd w:val="clear" w:color="auto" w:fill="BFBFBF" w:themeFill="background1" w:themeFillShade="BF"/>
            <w:textDirection w:val="btLr"/>
            <w:vAlign w:val="center"/>
            <w:hideMark/>
          </w:tcPr>
          <w:p w14:paraId="7F547DCA"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2034</w:t>
            </w:r>
          </w:p>
        </w:tc>
        <w:tc>
          <w:tcPr>
            <w:tcW w:w="711" w:type="dxa"/>
            <w:shd w:val="clear" w:color="auto" w:fill="BFBFBF" w:themeFill="background1" w:themeFillShade="BF"/>
            <w:textDirection w:val="btLr"/>
            <w:vAlign w:val="center"/>
            <w:hideMark/>
          </w:tcPr>
          <w:p w14:paraId="676AACB6"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2035</w:t>
            </w:r>
          </w:p>
        </w:tc>
        <w:tc>
          <w:tcPr>
            <w:tcW w:w="711" w:type="dxa"/>
            <w:shd w:val="clear" w:color="auto" w:fill="BFBFBF" w:themeFill="background1" w:themeFillShade="BF"/>
            <w:textDirection w:val="btLr"/>
            <w:vAlign w:val="center"/>
            <w:hideMark/>
          </w:tcPr>
          <w:p w14:paraId="0270A58D"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2036</w:t>
            </w:r>
          </w:p>
        </w:tc>
        <w:tc>
          <w:tcPr>
            <w:tcW w:w="711" w:type="dxa"/>
            <w:shd w:val="clear" w:color="auto" w:fill="BFBFBF" w:themeFill="background1" w:themeFillShade="BF"/>
            <w:textDirection w:val="btLr"/>
            <w:vAlign w:val="center"/>
            <w:hideMark/>
          </w:tcPr>
          <w:p w14:paraId="368BC71F"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2037</w:t>
            </w:r>
          </w:p>
        </w:tc>
        <w:tc>
          <w:tcPr>
            <w:tcW w:w="711" w:type="dxa"/>
            <w:shd w:val="clear" w:color="auto" w:fill="BFBFBF" w:themeFill="background1" w:themeFillShade="BF"/>
            <w:textDirection w:val="btLr"/>
            <w:vAlign w:val="center"/>
            <w:hideMark/>
          </w:tcPr>
          <w:p w14:paraId="2B62D33F" w14:textId="77777777" w:rsidR="007518E6" w:rsidRPr="007518E6" w:rsidRDefault="007518E6" w:rsidP="007518E6">
            <w:pPr>
              <w:spacing w:after="0" w:line="240" w:lineRule="auto"/>
              <w:jc w:val="center"/>
              <w:rPr>
                <w:rFonts w:ascii="Arial" w:eastAsia="Times New Roman" w:hAnsi="Arial" w:cs="Arial"/>
                <w:b/>
                <w:bCs/>
                <w:color w:val="000000"/>
                <w:sz w:val="20"/>
                <w:szCs w:val="20"/>
              </w:rPr>
            </w:pPr>
            <w:r w:rsidRPr="007518E6">
              <w:rPr>
                <w:rFonts w:ascii="Arial" w:eastAsia="Times New Roman" w:hAnsi="Arial" w:cs="Arial"/>
                <w:b/>
                <w:bCs/>
                <w:color w:val="000000"/>
                <w:sz w:val="20"/>
                <w:szCs w:val="20"/>
              </w:rPr>
              <w:t>2038</w:t>
            </w:r>
          </w:p>
        </w:tc>
      </w:tr>
      <w:tr w:rsidR="007518E6" w:rsidRPr="007518E6" w14:paraId="72F42743" w14:textId="77777777" w:rsidTr="00E204B7">
        <w:trPr>
          <w:trHeight w:val="300"/>
          <w:jc w:val="center"/>
        </w:trPr>
        <w:tc>
          <w:tcPr>
            <w:tcW w:w="504" w:type="dxa"/>
            <w:shd w:val="clear" w:color="auto" w:fill="BFBFBF" w:themeFill="background1" w:themeFillShade="BF"/>
            <w:vAlign w:val="center"/>
            <w:hideMark/>
          </w:tcPr>
          <w:p w14:paraId="32015C3F"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3387" w:type="dxa"/>
            <w:gridSpan w:val="3"/>
            <w:shd w:val="clear" w:color="auto" w:fill="BFBFBF" w:themeFill="background1" w:themeFillShade="BF"/>
            <w:vAlign w:val="center"/>
            <w:hideMark/>
          </w:tcPr>
          <w:p w14:paraId="793CB347"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xml:space="preserve">Financial stress scenario </w:t>
            </w:r>
          </w:p>
        </w:tc>
        <w:tc>
          <w:tcPr>
            <w:tcW w:w="711" w:type="dxa"/>
            <w:shd w:val="clear" w:color="auto" w:fill="BFBFBF" w:themeFill="background1" w:themeFillShade="BF"/>
            <w:textDirection w:val="btLr"/>
            <w:vAlign w:val="center"/>
            <w:hideMark/>
          </w:tcPr>
          <w:p w14:paraId="28B69531"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7F864FF0"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5EB5B3E7"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7BC39FB9"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1AD3713F"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3CAC4D3C"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391BDE59"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7D2DD737"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62A665D8"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249DFBE4"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5BD52D4C"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1C37A3CA"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1D93346E"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334F34B5"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711" w:type="dxa"/>
            <w:shd w:val="clear" w:color="auto" w:fill="BFBFBF" w:themeFill="background1" w:themeFillShade="BF"/>
            <w:textDirection w:val="btLr"/>
            <w:vAlign w:val="center"/>
            <w:hideMark/>
          </w:tcPr>
          <w:p w14:paraId="00A5C7F1" w14:textId="77777777" w:rsidR="007518E6" w:rsidRPr="007518E6" w:rsidRDefault="007518E6" w:rsidP="00E204B7">
            <w:pPr>
              <w:pStyle w:val="Tabletext"/>
              <w:rPr>
                <w:rFonts w:ascii="Arial" w:hAnsi="Arial" w:cs="Arial"/>
                <w:b/>
                <w:bCs/>
                <w:color w:val="000000"/>
                <w:sz w:val="20"/>
                <w:szCs w:val="20"/>
              </w:rPr>
            </w:pPr>
            <w:r w:rsidRPr="007518E6">
              <w:rPr>
                <w:rFonts w:ascii="Arial" w:hAnsi="Arial" w:cs="Arial"/>
                <w:b/>
                <w:bCs/>
                <w:color w:val="000000"/>
                <w:sz w:val="20"/>
                <w:szCs w:val="20"/>
              </w:rPr>
              <w:t> </w:t>
            </w:r>
          </w:p>
        </w:tc>
      </w:tr>
      <w:tr w:rsidR="007518E6" w:rsidRPr="007518E6" w14:paraId="046E8938" w14:textId="77777777" w:rsidTr="00C93A0F">
        <w:trPr>
          <w:trHeight w:val="300"/>
          <w:jc w:val="center"/>
        </w:trPr>
        <w:tc>
          <w:tcPr>
            <w:tcW w:w="504" w:type="dxa"/>
            <w:shd w:val="clear" w:color="000000" w:fill="F2F2F2"/>
            <w:vAlign w:val="center"/>
            <w:hideMark/>
          </w:tcPr>
          <w:p w14:paraId="1B9336D2" w14:textId="77777777" w:rsidR="007518E6" w:rsidRPr="007518E6" w:rsidRDefault="007518E6" w:rsidP="007518E6">
            <w:pPr>
              <w:pStyle w:val="Tabletext"/>
            </w:pPr>
            <w:r w:rsidRPr="007518E6">
              <w:t>1</w:t>
            </w:r>
          </w:p>
        </w:tc>
        <w:tc>
          <w:tcPr>
            <w:tcW w:w="1764" w:type="dxa"/>
            <w:shd w:val="clear" w:color="000000" w:fill="F2F2F2"/>
            <w:vAlign w:val="center"/>
            <w:hideMark/>
          </w:tcPr>
          <w:p w14:paraId="79AAD081" w14:textId="77777777" w:rsidR="007518E6" w:rsidRPr="007518E6" w:rsidRDefault="007518E6" w:rsidP="007518E6">
            <w:pPr>
              <w:pStyle w:val="Tabletext"/>
            </w:pPr>
            <w:r w:rsidRPr="007518E6">
              <w:t xml:space="preserve">Gross debt   </w:t>
            </w:r>
          </w:p>
        </w:tc>
        <w:tc>
          <w:tcPr>
            <w:tcW w:w="912" w:type="dxa"/>
            <w:shd w:val="clear" w:color="000000" w:fill="F2F2F2"/>
            <w:vAlign w:val="center"/>
            <w:hideMark/>
          </w:tcPr>
          <w:p w14:paraId="290DEA3D" w14:textId="77777777" w:rsidR="007518E6" w:rsidRPr="007518E6" w:rsidRDefault="007518E6" w:rsidP="007518E6">
            <w:pPr>
              <w:pStyle w:val="Tabletext"/>
            </w:pPr>
            <w:r w:rsidRPr="007518E6">
              <w:t>(% GDP)</w:t>
            </w:r>
          </w:p>
        </w:tc>
        <w:tc>
          <w:tcPr>
            <w:tcW w:w="711" w:type="dxa"/>
            <w:shd w:val="clear" w:color="000000" w:fill="F2F2F2"/>
            <w:vAlign w:val="center"/>
            <w:hideMark/>
          </w:tcPr>
          <w:p w14:paraId="15DFE5ED" w14:textId="77777777" w:rsidR="007518E6" w:rsidRPr="007518E6" w:rsidRDefault="007518E6" w:rsidP="007518E6">
            <w:pPr>
              <w:pStyle w:val="Tabletext"/>
              <w:jc w:val="center"/>
            </w:pPr>
            <w:r w:rsidRPr="007518E6">
              <w:t>161.9</w:t>
            </w:r>
          </w:p>
        </w:tc>
        <w:tc>
          <w:tcPr>
            <w:tcW w:w="711" w:type="dxa"/>
            <w:shd w:val="clear" w:color="000000" w:fill="F2F2F2"/>
            <w:vAlign w:val="center"/>
            <w:hideMark/>
          </w:tcPr>
          <w:p w14:paraId="49847EAD" w14:textId="77777777" w:rsidR="007518E6" w:rsidRPr="007518E6" w:rsidRDefault="007518E6" w:rsidP="007518E6">
            <w:pPr>
              <w:pStyle w:val="Tabletext"/>
              <w:jc w:val="center"/>
            </w:pPr>
            <w:r w:rsidRPr="007518E6">
              <w:t>153.7</w:t>
            </w:r>
          </w:p>
        </w:tc>
        <w:tc>
          <w:tcPr>
            <w:tcW w:w="711" w:type="dxa"/>
            <w:shd w:val="clear" w:color="000000" w:fill="F2F2F2"/>
            <w:vAlign w:val="center"/>
            <w:hideMark/>
          </w:tcPr>
          <w:p w14:paraId="7AFC9AEB" w14:textId="77777777" w:rsidR="007518E6" w:rsidRPr="007518E6" w:rsidRDefault="007518E6" w:rsidP="007518E6">
            <w:pPr>
              <w:pStyle w:val="Tabletext"/>
              <w:jc w:val="center"/>
            </w:pPr>
            <w:r w:rsidRPr="007518E6">
              <w:t>149.1</w:t>
            </w:r>
          </w:p>
        </w:tc>
        <w:tc>
          <w:tcPr>
            <w:tcW w:w="711" w:type="dxa"/>
            <w:shd w:val="clear" w:color="000000" w:fill="F2F2F2"/>
            <w:vAlign w:val="center"/>
            <w:hideMark/>
          </w:tcPr>
          <w:p w14:paraId="47D0350A" w14:textId="77777777" w:rsidR="007518E6" w:rsidRPr="007518E6" w:rsidRDefault="007518E6" w:rsidP="007518E6">
            <w:pPr>
              <w:pStyle w:val="Tabletext"/>
              <w:jc w:val="center"/>
            </w:pPr>
            <w:r w:rsidRPr="007518E6">
              <w:t>143.1</w:t>
            </w:r>
          </w:p>
        </w:tc>
        <w:tc>
          <w:tcPr>
            <w:tcW w:w="711" w:type="dxa"/>
            <w:shd w:val="clear" w:color="000000" w:fill="F2F2F2"/>
            <w:vAlign w:val="center"/>
            <w:hideMark/>
          </w:tcPr>
          <w:p w14:paraId="198F8A4A" w14:textId="77777777" w:rsidR="007518E6" w:rsidRPr="007518E6" w:rsidRDefault="007518E6" w:rsidP="007518E6">
            <w:pPr>
              <w:pStyle w:val="Tabletext"/>
              <w:jc w:val="center"/>
            </w:pPr>
            <w:r w:rsidRPr="007518E6">
              <w:t>138.0</w:t>
            </w:r>
          </w:p>
        </w:tc>
        <w:tc>
          <w:tcPr>
            <w:tcW w:w="711" w:type="dxa"/>
            <w:shd w:val="clear" w:color="000000" w:fill="F2F2F2"/>
            <w:vAlign w:val="center"/>
            <w:hideMark/>
          </w:tcPr>
          <w:p w14:paraId="32B90190" w14:textId="77777777" w:rsidR="007518E6" w:rsidRPr="007518E6" w:rsidRDefault="007518E6" w:rsidP="007518E6">
            <w:pPr>
              <w:pStyle w:val="Tabletext"/>
              <w:jc w:val="center"/>
            </w:pPr>
            <w:r w:rsidRPr="007518E6">
              <w:t>133.4</w:t>
            </w:r>
          </w:p>
        </w:tc>
        <w:tc>
          <w:tcPr>
            <w:tcW w:w="711" w:type="dxa"/>
            <w:shd w:val="clear" w:color="000000" w:fill="F2F2F2"/>
            <w:vAlign w:val="center"/>
            <w:hideMark/>
          </w:tcPr>
          <w:p w14:paraId="7E7DD27E" w14:textId="77777777" w:rsidR="007518E6" w:rsidRPr="007518E6" w:rsidRDefault="007518E6" w:rsidP="007518E6">
            <w:pPr>
              <w:pStyle w:val="Tabletext"/>
              <w:jc w:val="center"/>
            </w:pPr>
            <w:r w:rsidRPr="007518E6">
              <w:t>130.5</w:t>
            </w:r>
          </w:p>
        </w:tc>
        <w:tc>
          <w:tcPr>
            <w:tcW w:w="711" w:type="dxa"/>
            <w:shd w:val="clear" w:color="000000" w:fill="F2F2F2"/>
            <w:vAlign w:val="center"/>
            <w:hideMark/>
          </w:tcPr>
          <w:p w14:paraId="3C011C2B" w14:textId="77777777" w:rsidR="007518E6" w:rsidRPr="007518E6" w:rsidRDefault="007518E6" w:rsidP="007518E6">
            <w:pPr>
              <w:pStyle w:val="Tabletext"/>
              <w:jc w:val="center"/>
            </w:pPr>
            <w:r w:rsidRPr="007518E6">
              <w:t>127.7</w:t>
            </w:r>
          </w:p>
        </w:tc>
        <w:tc>
          <w:tcPr>
            <w:tcW w:w="711" w:type="dxa"/>
            <w:shd w:val="clear" w:color="000000" w:fill="F2F2F2"/>
            <w:vAlign w:val="center"/>
            <w:hideMark/>
          </w:tcPr>
          <w:p w14:paraId="11A262C8" w14:textId="77777777" w:rsidR="007518E6" w:rsidRPr="007518E6" w:rsidRDefault="007518E6" w:rsidP="007518E6">
            <w:pPr>
              <w:pStyle w:val="Tabletext"/>
              <w:jc w:val="center"/>
            </w:pPr>
            <w:r w:rsidRPr="007518E6">
              <w:t>125.2</w:t>
            </w:r>
          </w:p>
        </w:tc>
        <w:tc>
          <w:tcPr>
            <w:tcW w:w="711" w:type="dxa"/>
            <w:shd w:val="clear" w:color="000000" w:fill="F2F2F2"/>
            <w:vAlign w:val="center"/>
            <w:hideMark/>
          </w:tcPr>
          <w:p w14:paraId="1DB45F3C" w14:textId="77777777" w:rsidR="007518E6" w:rsidRPr="007518E6" w:rsidRDefault="007518E6" w:rsidP="007518E6">
            <w:pPr>
              <w:pStyle w:val="Tabletext"/>
              <w:jc w:val="center"/>
            </w:pPr>
            <w:r w:rsidRPr="007518E6">
              <w:t>122.7</w:t>
            </w:r>
          </w:p>
        </w:tc>
        <w:tc>
          <w:tcPr>
            <w:tcW w:w="711" w:type="dxa"/>
            <w:shd w:val="clear" w:color="000000" w:fill="F2F2F2"/>
            <w:vAlign w:val="center"/>
            <w:hideMark/>
          </w:tcPr>
          <w:p w14:paraId="2BB64CB3" w14:textId="77777777" w:rsidR="007518E6" w:rsidRPr="007518E6" w:rsidRDefault="007518E6" w:rsidP="007518E6">
            <w:pPr>
              <w:pStyle w:val="Tabletext"/>
              <w:jc w:val="center"/>
            </w:pPr>
            <w:r w:rsidRPr="007518E6">
              <w:t>121.8</w:t>
            </w:r>
          </w:p>
        </w:tc>
        <w:tc>
          <w:tcPr>
            <w:tcW w:w="711" w:type="dxa"/>
            <w:shd w:val="clear" w:color="000000" w:fill="F2F2F2"/>
            <w:vAlign w:val="center"/>
            <w:hideMark/>
          </w:tcPr>
          <w:p w14:paraId="0BA948F2" w14:textId="77777777" w:rsidR="007518E6" w:rsidRPr="007518E6" w:rsidRDefault="007518E6" w:rsidP="007518E6">
            <w:pPr>
              <w:pStyle w:val="Tabletext"/>
              <w:jc w:val="center"/>
            </w:pPr>
            <w:r w:rsidRPr="007518E6">
              <w:t>121.0</w:t>
            </w:r>
          </w:p>
        </w:tc>
        <w:tc>
          <w:tcPr>
            <w:tcW w:w="711" w:type="dxa"/>
            <w:shd w:val="clear" w:color="000000" w:fill="F2F2F2"/>
            <w:vAlign w:val="center"/>
            <w:hideMark/>
          </w:tcPr>
          <w:p w14:paraId="78601E30" w14:textId="77777777" w:rsidR="007518E6" w:rsidRPr="007518E6" w:rsidRDefault="007518E6" w:rsidP="007518E6">
            <w:pPr>
              <w:pStyle w:val="Tabletext"/>
              <w:jc w:val="center"/>
            </w:pPr>
            <w:r w:rsidRPr="007518E6">
              <w:t>119.9</w:t>
            </w:r>
          </w:p>
        </w:tc>
        <w:tc>
          <w:tcPr>
            <w:tcW w:w="711" w:type="dxa"/>
            <w:shd w:val="clear" w:color="000000" w:fill="F2F2F2"/>
            <w:vAlign w:val="center"/>
            <w:hideMark/>
          </w:tcPr>
          <w:p w14:paraId="1A731312" w14:textId="77777777" w:rsidR="007518E6" w:rsidRPr="007518E6" w:rsidRDefault="007518E6" w:rsidP="007518E6">
            <w:pPr>
              <w:pStyle w:val="Tabletext"/>
              <w:jc w:val="center"/>
            </w:pPr>
            <w:r w:rsidRPr="007518E6">
              <w:t>118.8</w:t>
            </w:r>
          </w:p>
        </w:tc>
        <w:tc>
          <w:tcPr>
            <w:tcW w:w="711" w:type="dxa"/>
            <w:shd w:val="clear" w:color="000000" w:fill="F2F2F2"/>
            <w:vAlign w:val="center"/>
            <w:hideMark/>
          </w:tcPr>
          <w:p w14:paraId="4BAF684A" w14:textId="77777777" w:rsidR="007518E6" w:rsidRPr="007518E6" w:rsidRDefault="007518E6" w:rsidP="007518E6">
            <w:pPr>
              <w:pStyle w:val="Tabletext"/>
              <w:jc w:val="center"/>
            </w:pPr>
            <w:r w:rsidRPr="007518E6">
              <w:t>117.7</w:t>
            </w:r>
          </w:p>
        </w:tc>
        <w:tc>
          <w:tcPr>
            <w:tcW w:w="711" w:type="dxa"/>
            <w:shd w:val="clear" w:color="000000" w:fill="F2F2F2"/>
            <w:vAlign w:val="center"/>
            <w:hideMark/>
          </w:tcPr>
          <w:p w14:paraId="2340B50D" w14:textId="77777777" w:rsidR="007518E6" w:rsidRPr="007518E6" w:rsidRDefault="007518E6" w:rsidP="007518E6">
            <w:pPr>
              <w:pStyle w:val="Tabletext"/>
              <w:jc w:val="center"/>
            </w:pPr>
            <w:r w:rsidRPr="007518E6">
              <w:t>116.7</w:t>
            </w:r>
          </w:p>
        </w:tc>
      </w:tr>
      <w:tr w:rsidR="007518E6" w:rsidRPr="007518E6" w14:paraId="600EE206" w14:textId="77777777" w:rsidTr="00C93A0F">
        <w:trPr>
          <w:trHeight w:val="600"/>
          <w:jc w:val="center"/>
        </w:trPr>
        <w:tc>
          <w:tcPr>
            <w:tcW w:w="504" w:type="dxa"/>
            <w:shd w:val="clear" w:color="000000" w:fill="D9D9D9"/>
            <w:vAlign w:val="center"/>
            <w:hideMark/>
          </w:tcPr>
          <w:p w14:paraId="1F92E67D" w14:textId="77777777" w:rsidR="007518E6" w:rsidRPr="007518E6" w:rsidRDefault="007518E6" w:rsidP="007518E6">
            <w:pPr>
              <w:pStyle w:val="Tabletext"/>
            </w:pPr>
            <w:r w:rsidRPr="007518E6">
              <w:t>2</w:t>
            </w:r>
          </w:p>
        </w:tc>
        <w:tc>
          <w:tcPr>
            <w:tcW w:w="1764" w:type="dxa"/>
            <w:shd w:val="clear" w:color="000000" w:fill="D9D9D9"/>
            <w:vAlign w:val="center"/>
            <w:hideMark/>
          </w:tcPr>
          <w:p w14:paraId="61A10547" w14:textId="77777777" w:rsidR="007518E6" w:rsidRPr="007518E6" w:rsidRDefault="007518E6" w:rsidP="007518E6">
            <w:pPr>
              <w:pStyle w:val="Tabletext"/>
            </w:pPr>
            <w:r w:rsidRPr="007518E6">
              <w:t>Long-term interest rate</w:t>
            </w:r>
          </w:p>
        </w:tc>
        <w:tc>
          <w:tcPr>
            <w:tcW w:w="912" w:type="dxa"/>
            <w:shd w:val="clear" w:color="000000" w:fill="D9D9D9"/>
            <w:vAlign w:val="center"/>
            <w:hideMark/>
          </w:tcPr>
          <w:p w14:paraId="795453A6" w14:textId="77777777" w:rsidR="007518E6" w:rsidRPr="007518E6" w:rsidRDefault="007518E6" w:rsidP="007518E6">
            <w:pPr>
              <w:pStyle w:val="Tabletext"/>
            </w:pPr>
            <w:r w:rsidRPr="007518E6">
              <w:t xml:space="preserve">(%) </w:t>
            </w:r>
          </w:p>
        </w:tc>
        <w:tc>
          <w:tcPr>
            <w:tcW w:w="711" w:type="dxa"/>
            <w:shd w:val="clear" w:color="000000" w:fill="D9D9D9"/>
            <w:vAlign w:val="center"/>
            <w:hideMark/>
          </w:tcPr>
          <w:p w14:paraId="331A05DC" w14:textId="77777777" w:rsidR="007518E6" w:rsidRPr="007518E6" w:rsidRDefault="007518E6" w:rsidP="007518E6">
            <w:pPr>
              <w:pStyle w:val="Tabletext"/>
              <w:jc w:val="center"/>
            </w:pPr>
            <w:r w:rsidRPr="007518E6">
              <w:t>4.0</w:t>
            </w:r>
          </w:p>
        </w:tc>
        <w:tc>
          <w:tcPr>
            <w:tcW w:w="711" w:type="dxa"/>
            <w:shd w:val="clear" w:color="000000" w:fill="D9D9D9"/>
            <w:vAlign w:val="center"/>
            <w:hideMark/>
          </w:tcPr>
          <w:p w14:paraId="085F9AD2" w14:textId="77777777" w:rsidR="007518E6" w:rsidRPr="007518E6" w:rsidRDefault="007518E6" w:rsidP="007518E6">
            <w:pPr>
              <w:pStyle w:val="Tabletext"/>
              <w:jc w:val="center"/>
            </w:pPr>
            <w:r w:rsidRPr="007518E6">
              <w:t>3.5</w:t>
            </w:r>
          </w:p>
        </w:tc>
        <w:tc>
          <w:tcPr>
            <w:tcW w:w="711" w:type="dxa"/>
            <w:shd w:val="clear" w:color="000000" w:fill="D9D9D9"/>
            <w:vAlign w:val="center"/>
            <w:hideMark/>
          </w:tcPr>
          <w:p w14:paraId="56C33238" w14:textId="77777777" w:rsidR="007518E6" w:rsidRPr="007518E6" w:rsidRDefault="007518E6" w:rsidP="007518E6">
            <w:pPr>
              <w:pStyle w:val="Tabletext"/>
              <w:jc w:val="center"/>
            </w:pPr>
            <w:r w:rsidRPr="007518E6">
              <w:t>3.7</w:t>
            </w:r>
          </w:p>
        </w:tc>
        <w:tc>
          <w:tcPr>
            <w:tcW w:w="711" w:type="dxa"/>
            <w:shd w:val="clear" w:color="000000" w:fill="D9D9D9"/>
            <w:vAlign w:val="center"/>
            <w:hideMark/>
          </w:tcPr>
          <w:p w14:paraId="196A7692" w14:textId="77777777" w:rsidR="007518E6" w:rsidRPr="007518E6" w:rsidRDefault="007518E6" w:rsidP="007518E6">
            <w:pPr>
              <w:pStyle w:val="Tabletext"/>
              <w:jc w:val="center"/>
            </w:pPr>
            <w:r w:rsidRPr="007518E6">
              <w:t>3.8</w:t>
            </w:r>
          </w:p>
        </w:tc>
        <w:tc>
          <w:tcPr>
            <w:tcW w:w="711" w:type="dxa"/>
            <w:shd w:val="clear" w:color="000000" w:fill="D9D9D9"/>
            <w:vAlign w:val="center"/>
            <w:hideMark/>
          </w:tcPr>
          <w:p w14:paraId="24538BEB" w14:textId="77777777" w:rsidR="007518E6" w:rsidRPr="007518E6" w:rsidRDefault="007518E6" w:rsidP="007518E6">
            <w:pPr>
              <w:pStyle w:val="Tabletext"/>
              <w:jc w:val="center"/>
            </w:pPr>
            <w:r w:rsidRPr="007518E6">
              <w:t>3.9</w:t>
            </w:r>
          </w:p>
        </w:tc>
        <w:tc>
          <w:tcPr>
            <w:tcW w:w="711" w:type="dxa"/>
            <w:shd w:val="clear" w:color="000000" w:fill="D9D9D9"/>
            <w:vAlign w:val="center"/>
            <w:hideMark/>
          </w:tcPr>
          <w:p w14:paraId="342B77C9" w14:textId="77777777" w:rsidR="007518E6" w:rsidRPr="007518E6" w:rsidRDefault="007518E6" w:rsidP="007518E6">
            <w:pPr>
              <w:pStyle w:val="Tabletext"/>
              <w:jc w:val="center"/>
            </w:pPr>
            <w:r w:rsidRPr="007518E6">
              <w:t>4.0</w:t>
            </w:r>
          </w:p>
        </w:tc>
        <w:tc>
          <w:tcPr>
            <w:tcW w:w="711" w:type="dxa"/>
            <w:shd w:val="clear" w:color="000000" w:fill="D9D9D9"/>
            <w:vAlign w:val="center"/>
            <w:hideMark/>
          </w:tcPr>
          <w:p w14:paraId="029F2374" w14:textId="77777777" w:rsidR="007518E6" w:rsidRPr="007518E6" w:rsidRDefault="007518E6" w:rsidP="007518E6">
            <w:pPr>
              <w:pStyle w:val="Tabletext"/>
              <w:jc w:val="center"/>
            </w:pPr>
            <w:r w:rsidRPr="007518E6">
              <w:t>7.6</w:t>
            </w:r>
          </w:p>
        </w:tc>
        <w:tc>
          <w:tcPr>
            <w:tcW w:w="711" w:type="dxa"/>
            <w:shd w:val="clear" w:color="000000" w:fill="D9D9D9"/>
            <w:vAlign w:val="center"/>
            <w:hideMark/>
          </w:tcPr>
          <w:p w14:paraId="2E1FCCEB" w14:textId="77777777" w:rsidR="007518E6" w:rsidRPr="007518E6" w:rsidRDefault="007518E6" w:rsidP="007518E6">
            <w:pPr>
              <w:pStyle w:val="Tabletext"/>
              <w:jc w:val="center"/>
            </w:pPr>
            <w:r w:rsidRPr="007518E6">
              <w:t>4.1</w:t>
            </w:r>
          </w:p>
        </w:tc>
        <w:tc>
          <w:tcPr>
            <w:tcW w:w="711" w:type="dxa"/>
            <w:shd w:val="clear" w:color="000000" w:fill="D9D9D9"/>
            <w:vAlign w:val="center"/>
            <w:hideMark/>
          </w:tcPr>
          <w:p w14:paraId="15051A8F" w14:textId="77777777" w:rsidR="007518E6" w:rsidRPr="007518E6" w:rsidRDefault="007518E6" w:rsidP="007518E6">
            <w:pPr>
              <w:pStyle w:val="Tabletext"/>
              <w:jc w:val="center"/>
            </w:pPr>
            <w:r w:rsidRPr="007518E6">
              <w:t>4.2</w:t>
            </w:r>
          </w:p>
        </w:tc>
        <w:tc>
          <w:tcPr>
            <w:tcW w:w="711" w:type="dxa"/>
            <w:shd w:val="clear" w:color="000000" w:fill="D9D9D9"/>
            <w:vAlign w:val="center"/>
            <w:hideMark/>
          </w:tcPr>
          <w:p w14:paraId="7FD8997E" w14:textId="77777777" w:rsidR="007518E6" w:rsidRPr="007518E6" w:rsidRDefault="007518E6" w:rsidP="007518E6">
            <w:pPr>
              <w:pStyle w:val="Tabletext"/>
              <w:jc w:val="center"/>
            </w:pPr>
            <w:r w:rsidRPr="007518E6">
              <w:t>4.3</w:t>
            </w:r>
          </w:p>
        </w:tc>
        <w:tc>
          <w:tcPr>
            <w:tcW w:w="711" w:type="dxa"/>
            <w:shd w:val="clear" w:color="000000" w:fill="D9D9D9"/>
            <w:vAlign w:val="center"/>
            <w:hideMark/>
          </w:tcPr>
          <w:p w14:paraId="338563CC" w14:textId="77777777" w:rsidR="007518E6" w:rsidRPr="007518E6" w:rsidRDefault="007518E6" w:rsidP="007518E6">
            <w:pPr>
              <w:pStyle w:val="Tabletext"/>
              <w:jc w:val="center"/>
            </w:pPr>
            <w:r w:rsidRPr="007518E6">
              <w:t>4.4</w:t>
            </w:r>
          </w:p>
        </w:tc>
        <w:tc>
          <w:tcPr>
            <w:tcW w:w="711" w:type="dxa"/>
            <w:shd w:val="clear" w:color="000000" w:fill="D9D9D9"/>
            <w:vAlign w:val="center"/>
            <w:hideMark/>
          </w:tcPr>
          <w:p w14:paraId="1F5247AD" w14:textId="77777777" w:rsidR="007518E6" w:rsidRPr="007518E6" w:rsidRDefault="007518E6" w:rsidP="007518E6">
            <w:pPr>
              <w:pStyle w:val="Tabletext"/>
              <w:jc w:val="center"/>
            </w:pPr>
            <w:r w:rsidRPr="007518E6">
              <w:t>4.3</w:t>
            </w:r>
          </w:p>
        </w:tc>
        <w:tc>
          <w:tcPr>
            <w:tcW w:w="711" w:type="dxa"/>
            <w:shd w:val="clear" w:color="000000" w:fill="D9D9D9"/>
            <w:vAlign w:val="center"/>
            <w:hideMark/>
          </w:tcPr>
          <w:p w14:paraId="32948506" w14:textId="77777777" w:rsidR="007518E6" w:rsidRPr="007518E6" w:rsidRDefault="007518E6" w:rsidP="007518E6">
            <w:pPr>
              <w:pStyle w:val="Tabletext"/>
              <w:jc w:val="center"/>
            </w:pPr>
            <w:r w:rsidRPr="007518E6">
              <w:t>4.3</w:t>
            </w:r>
          </w:p>
        </w:tc>
        <w:tc>
          <w:tcPr>
            <w:tcW w:w="711" w:type="dxa"/>
            <w:shd w:val="clear" w:color="000000" w:fill="D9D9D9"/>
            <w:vAlign w:val="center"/>
            <w:hideMark/>
          </w:tcPr>
          <w:p w14:paraId="06C01478" w14:textId="77777777" w:rsidR="007518E6" w:rsidRPr="007518E6" w:rsidRDefault="007518E6" w:rsidP="007518E6">
            <w:pPr>
              <w:pStyle w:val="Tabletext"/>
              <w:jc w:val="center"/>
            </w:pPr>
            <w:r w:rsidRPr="007518E6">
              <w:t>4.3</w:t>
            </w:r>
          </w:p>
        </w:tc>
        <w:tc>
          <w:tcPr>
            <w:tcW w:w="711" w:type="dxa"/>
            <w:shd w:val="clear" w:color="000000" w:fill="D9D9D9"/>
            <w:vAlign w:val="center"/>
            <w:hideMark/>
          </w:tcPr>
          <w:p w14:paraId="11DDF88B" w14:textId="77777777" w:rsidR="007518E6" w:rsidRPr="007518E6" w:rsidRDefault="007518E6" w:rsidP="007518E6">
            <w:pPr>
              <w:pStyle w:val="Tabletext"/>
              <w:jc w:val="center"/>
            </w:pPr>
            <w:r w:rsidRPr="007518E6">
              <w:t>4.3</w:t>
            </w:r>
          </w:p>
        </w:tc>
        <w:tc>
          <w:tcPr>
            <w:tcW w:w="711" w:type="dxa"/>
            <w:shd w:val="clear" w:color="000000" w:fill="D9D9D9"/>
            <w:vAlign w:val="center"/>
            <w:hideMark/>
          </w:tcPr>
          <w:p w14:paraId="0B94A1C6" w14:textId="77777777" w:rsidR="007518E6" w:rsidRPr="007518E6" w:rsidRDefault="007518E6" w:rsidP="007518E6">
            <w:pPr>
              <w:pStyle w:val="Tabletext"/>
              <w:jc w:val="center"/>
            </w:pPr>
            <w:r w:rsidRPr="007518E6">
              <w:t>4.3</w:t>
            </w:r>
          </w:p>
        </w:tc>
      </w:tr>
      <w:tr w:rsidR="007518E6" w:rsidRPr="007518E6" w14:paraId="56F51798" w14:textId="77777777" w:rsidTr="00C93A0F">
        <w:trPr>
          <w:trHeight w:val="600"/>
          <w:jc w:val="center"/>
        </w:trPr>
        <w:tc>
          <w:tcPr>
            <w:tcW w:w="504" w:type="dxa"/>
            <w:shd w:val="clear" w:color="000000" w:fill="F2F2F2"/>
            <w:vAlign w:val="center"/>
            <w:hideMark/>
          </w:tcPr>
          <w:p w14:paraId="3601E9C1" w14:textId="77777777" w:rsidR="007518E6" w:rsidRPr="007518E6" w:rsidRDefault="007518E6" w:rsidP="007518E6">
            <w:pPr>
              <w:pStyle w:val="Tabletext"/>
            </w:pPr>
            <w:r w:rsidRPr="007518E6">
              <w:t>3</w:t>
            </w:r>
          </w:p>
        </w:tc>
        <w:tc>
          <w:tcPr>
            <w:tcW w:w="1764" w:type="dxa"/>
            <w:shd w:val="clear" w:color="000000" w:fill="F2F2F2"/>
            <w:vAlign w:val="center"/>
            <w:hideMark/>
          </w:tcPr>
          <w:p w14:paraId="02716855" w14:textId="77777777" w:rsidR="007518E6" w:rsidRPr="007518E6" w:rsidRDefault="007518E6" w:rsidP="007518E6">
            <w:pPr>
              <w:pStyle w:val="Tabletext"/>
            </w:pPr>
            <w:r w:rsidRPr="007518E6">
              <w:t xml:space="preserve">Short-term interest rate </w:t>
            </w:r>
          </w:p>
        </w:tc>
        <w:tc>
          <w:tcPr>
            <w:tcW w:w="912" w:type="dxa"/>
            <w:shd w:val="clear" w:color="000000" w:fill="F2F2F2"/>
            <w:vAlign w:val="center"/>
            <w:hideMark/>
          </w:tcPr>
          <w:p w14:paraId="53BC48D7" w14:textId="77777777" w:rsidR="007518E6" w:rsidRPr="007518E6" w:rsidRDefault="007518E6" w:rsidP="007518E6">
            <w:pPr>
              <w:pStyle w:val="Tabletext"/>
            </w:pPr>
            <w:r w:rsidRPr="007518E6">
              <w:t xml:space="preserve">(%) </w:t>
            </w:r>
          </w:p>
        </w:tc>
        <w:tc>
          <w:tcPr>
            <w:tcW w:w="711" w:type="dxa"/>
            <w:shd w:val="clear" w:color="000000" w:fill="F2F2F2"/>
            <w:vAlign w:val="center"/>
            <w:hideMark/>
          </w:tcPr>
          <w:p w14:paraId="79433047" w14:textId="77777777" w:rsidR="007518E6" w:rsidRPr="007518E6" w:rsidRDefault="007518E6" w:rsidP="007518E6">
            <w:pPr>
              <w:pStyle w:val="Tabletext"/>
              <w:jc w:val="center"/>
            </w:pPr>
            <w:r w:rsidRPr="007518E6">
              <w:t>3.4</w:t>
            </w:r>
          </w:p>
        </w:tc>
        <w:tc>
          <w:tcPr>
            <w:tcW w:w="711" w:type="dxa"/>
            <w:shd w:val="clear" w:color="000000" w:fill="F2F2F2"/>
            <w:vAlign w:val="center"/>
            <w:hideMark/>
          </w:tcPr>
          <w:p w14:paraId="21A01246" w14:textId="77777777" w:rsidR="007518E6" w:rsidRPr="007518E6" w:rsidRDefault="007518E6" w:rsidP="007518E6">
            <w:pPr>
              <w:pStyle w:val="Tabletext"/>
              <w:jc w:val="center"/>
            </w:pPr>
            <w:r w:rsidRPr="007518E6">
              <w:t>3.6</w:t>
            </w:r>
          </w:p>
        </w:tc>
        <w:tc>
          <w:tcPr>
            <w:tcW w:w="711" w:type="dxa"/>
            <w:shd w:val="clear" w:color="000000" w:fill="F2F2F2"/>
            <w:vAlign w:val="center"/>
            <w:hideMark/>
          </w:tcPr>
          <w:p w14:paraId="14E9D249"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6934FF9A"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313EA2EB"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4AFCE165"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625FB93B" w14:textId="77777777" w:rsidR="007518E6" w:rsidRPr="007518E6" w:rsidRDefault="007518E6" w:rsidP="007518E6">
            <w:pPr>
              <w:pStyle w:val="Tabletext"/>
              <w:jc w:val="center"/>
            </w:pPr>
            <w:r w:rsidRPr="007518E6">
              <w:t>6.4</w:t>
            </w:r>
          </w:p>
        </w:tc>
        <w:tc>
          <w:tcPr>
            <w:tcW w:w="711" w:type="dxa"/>
            <w:shd w:val="clear" w:color="000000" w:fill="F2F2F2"/>
            <w:vAlign w:val="center"/>
            <w:hideMark/>
          </w:tcPr>
          <w:p w14:paraId="0D51E899"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1A54F918" w14:textId="77777777" w:rsidR="007518E6" w:rsidRPr="007518E6" w:rsidRDefault="007518E6" w:rsidP="007518E6">
            <w:pPr>
              <w:pStyle w:val="Tabletext"/>
              <w:jc w:val="center"/>
            </w:pPr>
            <w:r w:rsidRPr="007518E6">
              <w:t>2.7</w:t>
            </w:r>
          </w:p>
        </w:tc>
        <w:tc>
          <w:tcPr>
            <w:tcW w:w="711" w:type="dxa"/>
            <w:shd w:val="clear" w:color="000000" w:fill="F2F2F2"/>
            <w:vAlign w:val="center"/>
            <w:hideMark/>
          </w:tcPr>
          <w:p w14:paraId="48E4DA72" w14:textId="77777777" w:rsidR="007518E6" w:rsidRPr="007518E6" w:rsidRDefault="007518E6" w:rsidP="007518E6">
            <w:pPr>
              <w:pStyle w:val="Tabletext"/>
              <w:jc w:val="center"/>
            </w:pPr>
            <w:r w:rsidRPr="007518E6">
              <w:t>2.7</w:t>
            </w:r>
          </w:p>
        </w:tc>
        <w:tc>
          <w:tcPr>
            <w:tcW w:w="711" w:type="dxa"/>
            <w:shd w:val="clear" w:color="000000" w:fill="F2F2F2"/>
            <w:vAlign w:val="center"/>
            <w:hideMark/>
          </w:tcPr>
          <w:p w14:paraId="0E9D2142" w14:textId="77777777" w:rsidR="007518E6" w:rsidRPr="007518E6" w:rsidRDefault="007518E6" w:rsidP="007518E6">
            <w:pPr>
              <w:pStyle w:val="Tabletext"/>
              <w:jc w:val="center"/>
            </w:pPr>
            <w:r w:rsidRPr="007518E6">
              <w:t>2.7</w:t>
            </w:r>
          </w:p>
        </w:tc>
        <w:tc>
          <w:tcPr>
            <w:tcW w:w="711" w:type="dxa"/>
            <w:shd w:val="clear" w:color="000000" w:fill="F2F2F2"/>
            <w:vAlign w:val="center"/>
            <w:hideMark/>
          </w:tcPr>
          <w:p w14:paraId="3D118C49" w14:textId="77777777" w:rsidR="007518E6" w:rsidRPr="007518E6" w:rsidRDefault="007518E6" w:rsidP="007518E6">
            <w:pPr>
              <w:pStyle w:val="Tabletext"/>
              <w:jc w:val="center"/>
            </w:pPr>
            <w:r w:rsidRPr="007518E6">
              <w:t>2.7</w:t>
            </w:r>
          </w:p>
        </w:tc>
        <w:tc>
          <w:tcPr>
            <w:tcW w:w="711" w:type="dxa"/>
            <w:shd w:val="clear" w:color="000000" w:fill="F2F2F2"/>
            <w:vAlign w:val="center"/>
            <w:hideMark/>
          </w:tcPr>
          <w:p w14:paraId="653FA5E8" w14:textId="77777777" w:rsidR="007518E6" w:rsidRPr="007518E6" w:rsidRDefault="007518E6" w:rsidP="007518E6">
            <w:pPr>
              <w:pStyle w:val="Tabletext"/>
              <w:jc w:val="center"/>
            </w:pPr>
            <w:r w:rsidRPr="007518E6">
              <w:t>2.7</w:t>
            </w:r>
          </w:p>
        </w:tc>
        <w:tc>
          <w:tcPr>
            <w:tcW w:w="711" w:type="dxa"/>
            <w:shd w:val="clear" w:color="000000" w:fill="F2F2F2"/>
            <w:vAlign w:val="center"/>
            <w:hideMark/>
          </w:tcPr>
          <w:p w14:paraId="55CCA9DE" w14:textId="77777777" w:rsidR="007518E6" w:rsidRPr="007518E6" w:rsidRDefault="007518E6" w:rsidP="007518E6">
            <w:pPr>
              <w:pStyle w:val="Tabletext"/>
              <w:jc w:val="center"/>
            </w:pPr>
            <w:r w:rsidRPr="007518E6">
              <w:t>2.6</w:t>
            </w:r>
          </w:p>
        </w:tc>
        <w:tc>
          <w:tcPr>
            <w:tcW w:w="711" w:type="dxa"/>
            <w:shd w:val="clear" w:color="000000" w:fill="F2F2F2"/>
            <w:vAlign w:val="center"/>
            <w:hideMark/>
          </w:tcPr>
          <w:p w14:paraId="279D9BC4" w14:textId="77777777" w:rsidR="007518E6" w:rsidRPr="007518E6" w:rsidRDefault="007518E6" w:rsidP="007518E6">
            <w:pPr>
              <w:pStyle w:val="Tabletext"/>
              <w:jc w:val="center"/>
            </w:pPr>
            <w:r w:rsidRPr="007518E6">
              <w:t>2.6</w:t>
            </w:r>
          </w:p>
        </w:tc>
        <w:tc>
          <w:tcPr>
            <w:tcW w:w="711" w:type="dxa"/>
            <w:shd w:val="clear" w:color="000000" w:fill="F2F2F2"/>
            <w:vAlign w:val="center"/>
            <w:hideMark/>
          </w:tcPr>
          <w:p w14:paraId="646D7A2E" w14:textId="77777777" w:rsidR="007518E6" w:rsidRPr="007518E6" w:rsidRDefault="007518E6" w:rsidP="007518E6">
            <w:pPr>
              <w:pStyle w:val="Tabletext"/>
              <w:jc w:val="center"/>
            </w:pPr>
            <w:r w:rsidRPr="007518E6">
              <w:t>2.5</w:t>
            </w:r>
          </w:p>
        </w:tc>
      </w:tr>
      <w:tr w:rsidR="00E204B7" w:rsidRPr="007518E6" w14:paraId="4DF2A3D0" w14:textId="77777777" w:rsidTr="00E204B7">
        <w:trPr>
          <w:trHeight w:val="300"/>
          <w:jc w:val="center"/>
        </w:trPr>
        <w:tc>
          <w:tcPr>
            <w:tcW w:w="504" w:type="dxa"/>
            <w:shd w:val="clear" w:color="auto" w:fill="BFBFBF" w:themeFill="background1" w:themeFillShade="BF"/>
            <w:vAlign w:val="center"/>
            <w:hideMark/>
          </w:tcPr>
          <w:p w14:paraId="1396F6BE" w14:textId="77777777" w:rsidR="007518E6" w:rsidRPr="007518E6" w:rsidRDefault="007518E6" w:rsidP="007518E6">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2676" w:type="dxa"/>
            <w:gridSpan w:val="2"/>
            <w:shd w:val="clear" w:color="auto" w:fill="BFBFBF" w:themeFill="background1" w:themeFillShade="BF"/>
            <w:vAlign w:val="center"/>
            <w:hideMark/>
          </w:tcPr>
          <w:p w14:paraId="2184864E" w14:textId="77777777" w:rsidR="007518E6" w:rsidRPr="007518E6" w:rsidRDefault="007518E6" w:rsidP="007518E6">
            <w:pPr>
              <w:pStyle w:val="Tabletext"/>
              <w:rPr>
                <w:rFonts w:ascii="Arial" w:hAnsi="Arial" w:cs="Arial"/>
                <w:b/>
                <w:bCs/>
                <w:color w:val="000000"/>
                <w:sz w:val="20"/>
                <w:szCs w:val="20"/>
              </w:rPr>
            </w:pPr>
            <w:r w:rsidRPr="007518E6">
              <w:rPr>
                <w:rFonts w:ascii="Arial" w:hAnsi="Arial" w:cs="Arial"/>
                <w:b/>
                <w:bCs/>
                <w:color w:val="000000"/>
                <w:sz w:val="20"/>
                <w:szCs w:val="20"/>
              </w:rPr>
              <w:t xml:space="preserve">Lower SPB scenario </w:t>
            </w:r>
          </w:p>
        </w:tc>
        <w:tc>
          <w:tcPr>
            <w:tcW w:w="711" w:type="dxa"/>
            <w:shd w:val="clear" w:color="auto" w:fill="BFBFBF" w:themeFill="background1" w:themeFillShade="BF"/>
            <w:vAlign w:val="center"/>
            <w:hideMark/>
          </w:tcPr>
          <w:p w14:paraId="74212969"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373EA17F"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8C664D1"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6E16A467"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5ADF4A2"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2D8ED660"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5BC2ED86"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601F26E9"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2624B4CD"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6938F57C"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492E8E28"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A1074E4"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046118F0"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C0654F4"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39F5DD19"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282FD45C" w14:textId="77777777" w:rsidR="007518E6" w:rsidRPr="007518E6" w:rsidRDefault="007518E6" w:rsidP="007518E6">
            <w:pPr>
              <w:pStyle w:val="Tabletext"/>
              <w:jc w:val="center"/>
              <w:rPr>
                <w:rFonts w:ascii="Arial" w:hAnsi="Arial" w:cs="Arial"/>
                <w:b/>
                <w:bCs/>
                <w:color w:val="000000"/>
                <w:sz w:val="20"/>
                <w:szCs w:val="20"/>
              </w:rPr>
            </w:pPr>
          </w:p>
        </w:tc>
      </w:tr>
      <w:tr w:rsidR="007518E6" w:rsidRPr="007518E6" w14:paraId="711EC4FD" w14:textId="77777777" w:rsidTr="00C93A0F">
        <w:trPr>
          <w:trHeight w:val="300"/>
          <w:jc w:val="center"/>
        </w:trPr>
        <w:tc>
          <w:tcPr>
            <w:tcW w:w="504" w:type="dxa"/>
            <w:shd w:val="clear" w:color="000000" w:fill="F2F2F2"/>
            <w:vAlign w:val="center"/>
            <w:hideMark/>
          </w:tcPr>
          <w:p w14:paraId="70834CF5" w14:textId="77777777" w:rsidR="007518E6" w:rsidRPr="007518E6" w:rsidRDefault="007518E6" w:rsidP="007518E6">
            <w:pPr>
              <w:pStyle w:val="Tabletext"/>
            </w:pPr>
            <w:r w:rsidRPr="007518E6">
              <w:t>4</w:t>
            </w:r>
          </w:p>
        </w:tc>
        <w:tc>
          <w:tcPr>
            <w:tcW w:w="1764" w:type="dxa"/>
            <w:shd w:val="clear" w:color="000000" w:fill="F2F2F2"/>
            <w:vAlign w:val="center"/>
            <w:hideMark/>
          </w:tcPr>
          <w:p w14:paraId="782C5081" w14:textId="77777777" w:rsidR="007518E6" w:rsidRPr="007518E6" w:rsidRDefault="007518E6" w:rsidP="007518E6">
            <w:pPr>
              <w:pStyle w:val="Tabletext"/>
            </w:pPr>
            <w:r w:rsidRPr="007518E6">
              <w:t xml:space="preserve">Gross debt </w:t>
            </w:r>
          </w:p>
        </w:tc>
        <w:tc>
          <w:tcPr>
            <w:tcW w:w="912" w:type="dxa"/>
            <w:shd w:val="clear" w:color="000000" w:fill="F2F2F2"/>
            <w:vAlign w:val="center"/>
            <w:hideMark/>
          </w:tcPr>
          <w:p w14:paraId="57196EA8" w14:textId="77777777" w:rsidR="007518E6" w:rsidRPr="007518E6" w:rsidRDefault="007518E6" w:rsidP="007518E6">
            <w:pPr>
              <w:pStyle w:val="Tabletext"/>
            </w:pPr>
            <w:r w:rsidRPr="007518E6">
              <w:t xml:space="preserve"> (% GDP) </w:t>
            </w:r>
          </w:p>
        </w:tc>
        <w:tc>
          <w:tcPr>
            <w:tcW w:w="711" w:type="dxa"/>
            <w:shd w:val="clear" w:color="000000" w:fill="F2F2F2"/>
            <w:vAlign w:val="center"/>
            <w:hideMark/>
          </w:tcPr>
          <w:p w14:paraId="05B6FE5F" w14:textId="77777777" w:rsidR="007518E6" w:rsidRPr="007518E6" w:rsidRDefault="007518E6" w:rsidP="007518E6">
            <w:pPr>
              <w:pStyle w:val="Tabletext"/>
              <w:jc w:val="center"/>
            </w:pPr>
            <w:r w:rsidRPr="007518E6">
              <w:t>161.9</w:t>
            </w:r>
          </w:p>
        </w:tc>
        <w:tc>
          <w:tcPr>
            <w:tcW w:w="711" w:type="dxa"/>
            <w:shd w:val="clear" w:color="000000" w:fill="F2F2F2"/>
            <w:vAlign w:val="center"/>
            <w:hideMark/>
          </w:tcPr>
          <w:p w14:paraId="58494619" w14:textId="77777777" w:rsidR="007518E6" w:rsidRPr="007518E6" w:rsidRDefault="007518E6" w:rsidP="007518E6">
            <w:pPr>
              <w:pStyle w:val="Tabletext"/>
              <w:jc w:val="center"/>
            </w:pPr>
            <w:r w:rsidRPr="007518E6">
              <w:t>153.7</w:t>
            </w:r>
          </w:p>
        </w:tc>
        <w:tc>
          <w:tcPr>
            <w:tcW w:w="711" w:type="dxa"/>
            <w:shd w:val="clear" w:color="000000" w:fill="F2F2F2"/>
            <w:vAlign w:val="center"/>
            <w:hideMark/>
          </w:tcPr>
          <w:p w14:paraId="0E1300C8" w14:textId="77777777" w:rsidR="007518E6" w:rsidRPr="007518E6" w:rsidRDefault="007518E6" w:rsidP="007518E6">
            <w:pPr>
              <w:pStyle w:val="Tabletext"/>
              <w:jc w:val="center"/>
            </w:pPr>
            <w:r w:rsidRPr="007518E6">
              <w:t>149.1</w:t>
            </w:r>
          </w:p>
        </w:tc>
        <w:tc>
          <w:tcPr>
            <w:tcW w:w="711" w:type="dxa"/>
            <w:shd w:val="clear" w:color="000000" w:fill="F2F2F2"/>
            <w:vAlign w:val="center"/>
            <w:hideMark/>
          </w:tcPr>
          <w:p w14:paraId="0A11A804" w14:textId="77777777" w:rsidR="007518E6" w:rsidRPr="007518E6" w:rsidRDefault="007518E6" w:rsidP="007518E6">
            <w:pPr>
              <w:pStyle w:val="Tabletext"/>
              <w:jc w:val="center"/>
            </w:pPr>
            <w:r w:rsidRPr="007518E6">
              <w:t>143.1</w:t>
            </w:r>
          </w:p>
        </w:tc>
        <w:tc>
          <w:tcPr>
            <w:tcW w:w="711" w:type="dxa"/>
            <w:shd w:val="clear" w:color="000000" w:fill="F2F2F2"/>
            <w:vAlign w:val="center"/>
            <w:hideMark/>
          </w:tcPr>
          <w:p w14:paraId="62674D22" w14:textId="77777777" w:rsidR="007518E6" w:rsidRPr="007518E6" w:rsidRDefault="007518E6" w:rsidP="007518E6">
            <w:pPr>
              <w:pStyle w:val="Tabletext"/>
              <w:jc w:val="center"/>
            </w:pPr>
            <w:r w:rsidRPr="007518E6">
              <w:t>138.0</w:t>
            </w:r>
          </w:p>
        </w:tc>
        <w:tc>
          <w:tcPr>
            <w:tcW w:w="711" w:type="dxa"/>
            <w:shd w:val="clear" w:color="000000" w:fill="F2F2F2"/>
            <w:vAlign w:val="center"/>
            <w:hideMark/>
          </w:tcPr>
          <w:p w14:paraId="30070D95" w14:textId="77777777" w:rsidR="007518E6" w:rsidRPr="007518E6" w:rsidRDefault="007518E6" w:rsidP="007518E6">
            <w:pPr>
              <w:pStyle w:val="Tabletext"/>
              <w:jc w:val="center"/>
            </w:pPr>
            <w:r w:rsidRPr="007518E6">
              <w:t>133.4</w:t>
            </w:r>
          </w:p>
        </w:tc>
        <w:tc>
          <w:tcPr>
            <w:tcW w:w="711" w:type="dxa"/>
            <w:shd w:val="clear" w:color="000000" w:fill="F2F2F2"/>
            <w:vAlign w:val="center"/>
            <w:hideMark/>
          </w:tcPr>
          <w:p w14:paraId="19A0ED1D" w14:textId="77777777" w:rsidR="007518E6" w:rsidRPr="007518E6" w:rsidRDefault="007518E6" w:rsidP="007518E6">
            <w:pPr>
              <w:pStyle w:val="Tabletext"/>
              <w:jc w:val="center"/>
            </w:pPr>
            <w:r w:rsidRPr="007518E6">
              <w:t>130.0</w:t>
            </w:r>
          </w:p>
        </w:tc>
        <w:tc>
          <w:tcPr>
            <w:tcW w:w="711" w:type="dxa"/>
            <w:shd w:val="clear" w:color="000000" w:fill="F2F2F2"/>
            <w:vAlign w:val="center"/>
            <w:hideMark/>
          </w:tcPr>
          <w:p w14:paraId="4DB53F29" w14:textId="77777777" w:rsidR="007518E6" w:rsidRPr="007518E6" w:rsidRDefault="007518E6" w:rsidP="007518E6">
            <w:pPr>
              <w:pStyle w:val="Tabletext"/>
              <w:jc w:val="center"/>
            </w:pPr>
            <w:r w:rsidRPr="007518E6">
              <w:t>127.1</w:t>
            </w:r>
          </w:p>
        </w:tc>
        <w:tc>
          <w:tcPr>
            <w:tcW w:w="711" w:type="dxa"/>
            <w:shd w:val="clear" w:color="000000" w:fill="F2F2F2"/>
            <w:vAlign w:val="center"/>
            <w:hideMark/>
          </w:tcPr>
          <w:p w14:paraId="3D44E8A1" w14:textId="77777777" w:rsidR="007518E6" w:rsidRPr="007518E6" w:rsidRDefault="007518E6" w:rsidP="007518E6">
            <w:pPr>
              <w:pStyle w:val="Tabletext"/>
              <w:jc w:val="center"/>
            </w:pPr>
            <w:r w:rsidRPr="007518E6">
              <w:t>124.8</w:t>
            </w:r>
          </w:p>
        </w:tc>
        <w:tc>
          <w:tcPr>
            <w:tcW w:w="711" w:type="dxa"/>
            <w:shd w:val="clear" w:color="000000" w:fill="F2F2F2"/>
            <w:vAlign w:val="center"/>
            <w:hideMark/>
          </w:tcPr>
          <w:p w14:paraId="179D2F13" w14:textId="77777777" w:rsidR="007518E6" w:rsidRPr="007518E6" w:rsidRDefault="007518E6" w:rsidP="007518E6">
            <w:pPr>
              <w:pStyle w:val="Tabletext"/>
              <w:jc w:val="center"/>
            </w:pPr>
            <w:r w:rsidRPr="007518E6">
              <w:t>122.8</w:t>
            </w:r>
          </w:p>
        </w:tc>
        <w:tc>
          <w:tcPr>
            <w:tcW w:w="711" w:type="dxa"/>
            <w:shd w:val="clear" w:color="000000" w:fill="F2F2F2"/>
            <w:vAlign w:val="center"/>
            <w:hideMark/>
          </w:tcPr>
          <w:p w14:paraId="0423A36E" w14:textId="77777777" w:rsidR="007518E6" w:rsidRPr="007518E6" w:rsidRDefault="007518E6" w:rsidP="007518E6">
            <w:pPr>
              <w:pStyle w:val="Tabletext"/>
              <w:jc w:val="center"/>
            </w:pPr>
            <w:r w:rsidRPr="007518E6">
              <w:t>122.4</w:t>
            </w:r>
          </w:p>
        </w:tc>
        <w:tc>
          <w:tcPr>
            <w:tcW w:w="711" w:type="dxa"/>
            <w:shd w:val="clear" w:color="000000" w:fill="F2F2F2"/>
            <w:vAlign w:val="center"/>
            <w:hideMark/>
          </w:tcPr>
          <w:p w14:paraId="664156ED" w14:textId="77777777" w:rsidR="007518E6" w:rsidRPr="007518E6" w:rsidRDefault="007518E6" w:rsidP="007518E6">
            <w:pPr>
              <w:pStyle w:val="Tabletext"/>
              <w:jc w:val="center"/>
            </w:pPr>
            <w:r w:rsidRPr="007518E6">
              <w:t>121.9</w:t>
            </w:r>
          </w:p>
        </w:tc>
        <w:tc>
          <w:tcPr>
            <w:tcW w:w="711" w:type="dxa"/>
            <w:shd w:val="clear" w:color="000000" w:fill="F2F2F2"/>
            <w:vAlign w:val="center"/>
            <w:hideMark/>
          </w:tcPr>
          <w:p w14:paraId="73B0A321" w14:textId="77777777" w:rsidR="007518E6" w:rsidRPr="007518E6" w:rsidRDefault="007518E6" w:rsidP="007518E6">
            <w:pPr>
              <w:pStyle w:val="Tabletext"/>
              <w:jc w:val="center"/>
            </w:pPr>
            <w:r w:rsidRPr="007518E6">
              <w:t>121.3</w:t>
            </w:r>
          </w:p>
        </w:tc>
        <w:tc>
          <w:tcPr>
            <w:tcW w:w="711" w:type="dxa"/>
            <w:shd w:val="clear" w:color="000000" w:fill="F2F2F2"/>
            <w:vAlign w:val="center"/>
            <w:hideMark/>
          </w:tcPr>
          <w:p w14:paraId="5A6F0B71" w14:textId="77777777" w:rsidR="007518E6" w:rsidRPr="007518E6" w:rsidRDefault="007518E6" w:rsidP="007518E6">
            <w:pPr>
              <w:pStyle w:val="Tabletext"/>
              <w:jc w:val="center"/>
            </w:pPr>
            <w:r w:rsidRPr="007518E6">
              <w:t>120.5</w:t>
            </w:r>
          </w:p>
        </w:tc>
        <w:tc>
          <w:tcPr>
            <w:tcW w:w="711" w:type="dxa"/>
            <w:shd w:val="clear" w:color="000000" w:fill="F2F2F2"/>
            <w:vAlign w:val="center"/>
            <w:hideMark/>
          </w:tcPr>
          <w:p w14:paraId="7116E1F6" w14:textId="77777777" w:rsidR="007518E6" w:rsidRPr="007518E6" w:rsidRDefault="007518E6" w:rsidP="007518E6">
            <w:pPr>
              <w:pStyle w:val="Tabletext"/>
              <w:jc w:val="center"/>
            </w:pPr>
            <w:r w:rsidRPr="007518E6">
              <w:t>119.9</w:t>
            </w:r>
          </w:p>
        </w:tc>
        <w:tc>
          <w:tcPr>
            <w:tcW w:w="711" w:type="dxa"/>
            <w:shd w:val="clear" w:color="000000" w:fill="F2F2F2"/>
            <w:vAlign w:val="center"/>
            <w:hideMark/>
          </w:tcPr>
          <w:p w14:paraId="15E79A7F" w14:textId="77777777" w:rsidR="007518E6" w:rsidRPr="007518E6" w:rsidRDefault="007518E6" w:rsidP="007518E6">
            <w:pPr>
              <w:pStyle w:val="Tabletext"/>
              <w:jc w:val="center"/>
            </w:pPr>
            <w:r w:rsidRPr="007518E6">
              <w:t>119.3</w:t>
            </w:r>
          </w:p>
        </w:tc>
      </w:tr>
      <w:tr w:rsidR="007518E6" w:rsidRPr="007518E6" w14:paraId="09648AAB" w14:textId="77777777" w:rsidTr="00C93A0F">
        <w:trPr>
          <w:trHeight w:val="900"/>
          <w:jc w:val="center"/>
        </w:trPr>
        <w:tc>
          <w:tcPr>
            <w:tcW w:w="504" w:type="dxa"/>
            <w:shd w:val="clear" w:color="000000" w:fill="D9D9D9"/>
            <w:vAlign w:val="center"/>
            <w:hideMark/>
          </w:tcPr>
          <w:p w14:paraId="4478095B" w14:textId="77777777" w:rsidR="007518E6" w:rsidRPr="007518E6" w:rsidRDefault="007518E6" w:rsidP="007518E6">
            <w:pPr>
              <w:pStyle w:val="Tabletext"/>
            </w:pPr>
            <w:r w:rsidRPr="007518E6">
              <w:t>5</w:t>
            </w:r>
          </w:p>
        </w:tc>
        <w:tc>
          <w:tcPr>
            <w:tcW w:w="1764" w:type="dxa"/>
            <w:shd w:val="clear" w:color="000000" w:fill="D9D9D9"/>
            <w:vAlign w:val="center"/>
            <w:hideMark/>
          </w:tcPr>
          <w:p w14:paraId="4C0BD42E" w14:textId="77777777" w:rsidR="007518E6" w:rsidRPr="007518E6" w:rsidRDefault="007518E6" w:rsidP="007518E6">
            <w:pPr>
              <w:pStyle w:val="Tabletext"/>
            </w:pPr>
            <w:r w:rsidRPr="007518E6">
              <w:t xml:space="preserve">Structural primary balance </w:t>
            </w:r>
          </w:p>
        </w:tc>
        <w:tc>
          <w:tcPr>
            <w:tcW w:w="912" w:type="dxa"/>
            <w:shd w:val="clear" w:color="000000" w:fill="D9D9D9"/>
            <w:vAlign w:val="center"/>
            <w:hideMark/>
          </w:tcPr>
          <w:p w14:paraId="7CD7C6AB" w14:textId="77777777" w:rsidR="007518E6" w:rsidRPr="007518E6" w:rsidRDefault="007518E6" w:rsidP="007518E6">
            <w:pPr>
              <w:pStyle w:val="Tabletext"/>
            </w:pPr>
            <w:r w:rsidRPr="007518E6">
              <w:t xml:space="preserve"> (% pot. GDP) </w:t>
            </w:r>
          </w:p>
        </w:tc>
        <w:tc>
          <w:tcPr>
            <w:tcW w:w="711" w:type="dxa"/>
            <w:shd w:val="clear" w:color="000000" w:fill="D9D9D9"/>
            <w:vAlign w:val="center"/>
            <w:hideMark/>
          </w:tcPr>
          <w:p w14:paraId="7CED85C7" w14:textId="77777777" w:rsidR="007518E6" w:rsidRPr="007518E6" w:rsidRDefault="007518E6" w:rsidP="007518E6">
            <w:pPr>
              <w:pStyle w:val="Tabletext"/>
              <w:jc w:val="center"/>
            </w:pPr>
            <w:r w:rsidRPr="007518E6">
              <w:t>1.9</w:t>
            </w:r>
          </w:p>
        </w:tc>
        <w:tc>
          <w:tcPr>
            <w:tcW w:w="711" w:type="dxa"/>
            <w:shd w:val="clear" w:color="000000" w:fill="D9D9D9"/>
            <w:vAlign w:val="center"/>
            <w:hideMark/>
          </w:tcPr>
          <w:p w14:paraId="3F3226A5" w14:textId="77777777" w:rsidR="007518E6" w:rsidRPr="007518E6" w:rsidRDefault="007518E6" w:rsidP="007518E6">
            <w:pPr>
              <w:pStyle w:val="Tabletext"/>
              <w:jc w:val="center"/>
            </w:pPr>
            <w:r w:rsidRPr="007518E6">
              <w:t>1.9</w:t>
            </w:r>
          </w:p>
        </w:tc>
        <w:tc>
          <w:tcPr>
            <w:tcW w:w="711" w:type="dxa"/>
            <w:shd w:val="clear" w:color="000000" w:fill="D9D9D9"/>
            <w:vAlign w:val="center"/>
            <w:hideMark/>
          </w:tcPr>
          <w:p w14:paraId="02014B75" w14:textId="77777777" w:rsidR="007518E6" w:rsidRPr="007518E6" w:rsidRDefault="007518E6" w:rsidP="007518E6">
            <w:pPr>
              <w:pStyle w:val="Tabletext"/>
              <w:jc w:val="center"/>
            </w:pPr>
            <w:r w:rsidRPr="007518E6">
              <w:t>2.0</w:t>
            </w:r>
          </w:p>
        </w:tc>
        <w:tc>
          <w:tcPr>
            <w:tcW w:w="711" w:type="dxa"/>
            <w:shd w:val="clear" w:color="000000" w:fill="D9D9D9"/>
            <w:vAlign w:val="center"/>
            <w:hideMark/>
          </w:tcPr>
          <w:p w14:paraId="06B86DDF" w14:textId="77777777" w:rsidR="007518E6" w:rsidRPr="007518E6" w:rsidRDefault="007518E6" w:rsidP="007518E6">
            <w:pPr>
              <w:pStyle w:val="Tabletext"/>
              <w:jc w:val="center"/>
            </w:pPr>
            <w:r w:rsidRPr="007518E6">
              <w:t>2.1</w:t>
            </w:r>
          </w:p>
        </w:tc>
        <w:tc>
          <w:tcPr>
            <w:tcW w:w="711" w:type="dxa"/>
            <w:shd w:val="clear" w:color="000000" w:fill="D9D9D9"/>
            <w:vAlign w:val="center"/>
            <w:hideMark/>
          </w:tcPr>
          <w:p w14:paraId="6C5BB77D" w14:textId="77777777" w:rsidR="007518E6" w:rsidRPr="007518E6" w:rsidRDefault="007518E6" w:rsidP="007518E6">
            <w:pPr>
              <w:pStyle w:val="Tabletext"/>
              <w:jc w:val="center"/>
            </w:pPr>
            <w:r w:rsidRPr="007518E6">
              <w:t>2.2</w:t>
            </w:r>
          </w:p>
        </w:tc>
        <w:tc>
          <w:tcPr>
            <w:tcW w:w="711" w:type="dxa"/>
            <w:shd w:val="clear" w:color="000000" w:fill="D9D9D9"/>
            <w:vAlign w:val="center"/>
            <w:hideMark/>
          </w:tcPr>
          <w:p w14:paraId="159B1F14" w14:textId="77777777" w:rsidR="007518E6" w:rsidRPr="007518E6" w:rsidRDefault="007518E6" w:rsidP="007518E6">
            <w:pPr>
              <w:pStyle w:val="Tabletext"/>
              <w:jc w:val="center"/>
            </w:pPr>
            <w:r w:rsidRPr="007518E6">
              <w:t>2.3</w:t>
            </w:r>
          </w:p>
        </w:tc>
        <w:tc>
          <w:tcPr>
            <w:tcW w:w="711" w:type="dxa"/>
            <w:shd w:val="clear" w:color="000000" w:fill="D9D9D9"/>
            <w:vAlign w:val="center"/>
            <w:hideMark/>
          </w:tcPr>
          <w:p w14:paraId="7B040360" w14:textId="77777777" w:rsidR="007518E6" w:rsidRPr="007518E6" w:rsidRDefault="007518E6" w:rsidP="007518E6">
            <w:pPr>
              <w:pStyle w:val="Tabletext"/>
              <w:jc w:val="center"/>
            </w:pPr>
            <w:r w:rsidRPr="007518E6">
              <w:t>2.1</w:t>
            </w:r>
          </w:p>
        </w:tc>
        <w:tc>
          <w:tcPr>
            <w:tcW w:w="711" w:type="dxa"/>
            <w:shd w:val="clear" w:color="000000" w:fill="D9D9D9"/>
            <w:vAlign w:val="center"/>
            <w:hideMark/>
          </w:tcPr>
          <w:p w14:paraId="64027428"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4D2F0D27"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21187D37"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43887DF9"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66558EE0"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7B5703E8"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543DE7FF"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65FA0045" w14:textId="77777777" w:rsidR="007518E6" w:rsidRPr="007518E6" w:rsidRDefault="007518E6" w:rsidP="007518E6">
            <w:pPr>
              <w:pStyle w:val="Tabletext"/>
              <w:jc w:val="center"/>
            </w:pPr>
            <w:r w:rsidRPr="007518E6">
              <w:t>1.8</w:t>
            </w:r>
          </w:p>
        </w:tc>
        <w:tc>
          <w:tcPr>
            <w:tcW w:w="711" w:type="dxa"/>
            <w:shd w:val="clear" w:color="000000" w:fill="D9D9D9"/>
            <w:vAlign w:val="center"/>
            <w:hideMark/>
          </w:tcPr>
          <w:p w14:paraId="42E940B7" w14:textId="77777777" w:rsidR="007518E6" w:rsidRPr="007518E6" w:rsidRDefault="007518E6" w:rsidP="007518E6">
            <w:pPr>
              <w:pStyle w:val="Tabletext"/>
              <w:jc w:val="center"/>
            </w:pPr>
            <w:r w:rsidRPr="007518E6">
              <w:t>1.8</w:t>
            </w:r>
          </w:p>
        </w:tc>
      </w:tr>
      <w:tr w:rsidR="00EF4019" w:rsidRPr="007518E6" w14:paraId="23652C82" w14:textId="77777777" w:rsidTr="00EF4019">
        <w:trPr>
          <w:trHeight w:val="300"/>
          <w:jc w:val="center"/>
        </w:trPr>
        <w:tc>
          <w:tcPr>
            <w:tcW w:w="504" w:type="dxa"/>
            <w:shd w:val="clear" w:color="auto" w:fill="BFBFBF" w:themeFill="background1" w:themeFillShade="BF"/>
            <w:vAlign w:val="center"/>
            <w:hideMark/>
          </w:tcPr>
          <w:p w14:paraId="712881F5" w14:textId="77777777" w:rsidR="007518E6" w:rsidRPr="007518E6" w:rsidRDefault="007518E6" w:rsidP="007518E6">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2676" w:type="dxa"/>
            <w:gridSpan w:val="2"/>
            <w:shd w:val="clear" w:color="auto" w:fill="BFBFBF" w:themeFill="background1" w:themeFillShade="BF"/>
            <w:vAlign w:val="center"/>
            <w:hideMark/>
          </w:tcPr>
          <w:p w14:paraId="3A0E8AEA" w14:textId="77777777" w:rsidR="007518E6" w:rsidRPr="007518E6" w:rsidRDefault="007518E6" w:rsidP="007518E6">
            <w:pPr>
              <w:pStyle w:val="Tabletext"/>
              <w:rPr>
                <w:rFonts w:ascii="Arial" w:hAnsi="Arial" w:cs="Arial"/>
                <w:b/>
                <w:bCs/>
                <w:color w:val="000000"/>
                <w:sz w:val="20"/>
                <w:szCs w:val="20"/>
              </w:rPr>
            </w:pPr>
            <w:r w:rsidRPr="007518E6">
              <w:rPr>
                <w:rFonts w:ascii="Arial" w:hAnsi="Arial" w:cs="Arial"/>
                <w:b/>
                <w:bCs/>
                <w:color w:val="000000"/>
                <w:sz w:val="20"/>
                <w:szCs w:val="20"/>
              </w:rPr>
              <w:t xml:space="preserve">Adverse 'r-g' scenario </w:t>
            </w:r>
          </w:p>
        </w:tc>
        <w:tc>
          <w:tcPr>
            <w:tcW w:w="711" w:type="dxa"/>
            <w:shd w:val="clear" w:color="auto" w:fill="BFBFBF" w:themeFill="background1" w:themeFillShade="BF"/>
            <w:vAlign w:val="center"/>
            <w:hideMark/>
          </w:tcPr>
          <w:p w14:paraId="5AF41709"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6124A0EA"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553E1962"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4A609F6A"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7D0850A"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58CC12E"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53DBAE98"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2DC5CF7E"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8B5D930"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359B3B2"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34F8269"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4C4AF2AD"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24CAC7D"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028228DB"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56660D55"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241A636E" w14:textId="77777777" w:rsidR="007518E6" w:rsidRPr="007518E6" w:rsidRDefault="007518E6" w:rsidP="007518E6">
            <w:pPr>
              <w:pStyle w:val="Tabletext"/>
              <w:jc w:val="center"/>
              <w:rPr>
                <w:rFonts w:ascii="Arial" w:hAnsi="Arial" w:cs="Arial"/>
                <w:b/>
                <w:bCs/>
                <w:color w:val="000000"/>
                <w:sz w:val="20"/>
                <w:szCs w:val="20"/>
              </w:rPr>
            </w:pPr>
          </w:p>
        </w:tc>
      </w:tr>
      <w:tr w:rsidR="007518E6" w:rsidRPr="007518E6" w14:paraId="4107A3F1" w14:textId="77777777" w:rsidTr="00C93A0F">
        <w:trPr>
          <w:trHeight w:val="300"/>
          <w:jc w:val="center"/>
        </w:trPr>
        <w:tc>
          <w:tcPr>
            <w:tcW w:w="504" w:type="dxa"/>
            <w:shd w:val="clear" w:color="000000" w:fill="F2F2F2"/>
            <w:vAlign w:val="center"/>
            <w:hideMark/>
          </w:tcPr>
          <w:p w14:paraId="7B693DE1" w14:textId="77777777" w:rsidR="007518E6" w:rsidRPr="007518E6" w:rsidRDefault="007518E6" w:rsidP="007518E6">
            <w:pPr>
              <w:pStyle w:val="Tabletext"/>
            </w:pPr>
            <w:r w:rsidRPr="007518E6">
              <w:t>6</w:t>
            </w:r>
          </w:p>
        </w:tc>
        <w:tc>
          <w:tcPr>
            <w:tcW w:w="1764" w:type="dxa"/>
            <w:shd w:val="clear" w:color="000000" w:fill="F2F2F2"/>
            <w:vAlign w:val="center"/>
            <w:hideMark/>
          </w:tcPr>
          <w:p w14:paraId="0F77EBF5" w14:textId="77777777" w:rsidR="007518E6" w:rsidRPr="007518E6" w:rsidRDefault="007518E6" w:rsidP="007518E6">
            <w:pPr>
              <w:pStyle w:val="Tabletext"/>
            </w:pPr>
            <w:r w:rsidRPr="007518E6">
              <w:t xml:space="preserve">Gross debt </w:t>
            </w:r>
          </w:p>
        </w:tc>
        <w:tc>
          <w:tcPr>
            <w:tcW w:w="912" w:type="dxa"/>
            <w:shd w:val="clear" w:color="000000" w:fill="F2F2F2"/>
            <w:vAlign w:val="center"/>
            <w:hideMark/>
          </w:tcPr>
          <w:p w14:paraId="06A3DC5E" w14:textId="77777777" w:rsidR="007518E6" w:rsidRPr="007518E6" w:rsidRDefault="007518E6" w:rsidP="007518E6">
            <w:pPr>
              <w:pStyle w:val="Tabletext"/>
            </w:pPr>
            <w:r w:rsidRPr="007518E6">
              <w:t>(% GDP)</w:t>
            </w:r>
          </w:p>
        </w:tc>
        <w:tc>
          <w:tcPr>
            <w:tcW w:w="711" w:type="dxa"/>
            <w:shd w:val="clear" w:color="000000" w:fill="F2F2F2"/>
            <w:vAlign w:val="center"/>
            <w:hideMark/>
          </w:tcPr>
          <w:p w14:paraId="5749A4C4" w14:textId="77777777" w:rsidR="007518E6" w:rsidRPr="007518E6" w:rsidRDefault="007518E6" w:rsidP="007518E6">
            <w:pPr>
              <w:pStyle w:val="Tabletext"/>
              <w:jc w:val="center"/>
            </w:pPr>
            <w:r w:rsidRPr="007518E6">
              <w:t>161.9</w:t>
            </w:r>
          </w:p>
        </w:tc>
        <w:tc>
          <w:tcPr>
            <w:tcW w:w="711" w:type="dxa"/>
            <w:shd w:val="clear" w:color="000000" w:fill="F2F2F2"/>
            <w:vAlign w:val="center"/>
            <w:hideMark/>
          </w:tcPr>
          <w:p w14:paraId="3F42C9E5" w14:textId="77777777" w:rsidR="007518E6" w:rsidRPr="007518E6" w:rsidRDefault="007518E6" w:rsidP="007518E6">
            <w:pPr>
              <w:pStyle w:val="Tabletext"/>
              <w:jc w:val="center"/>
            </w:pPr>
            <w:r w:rsidRPr="007518E6">
              <w:t>153.7</w:t>
            </w:r>
          </w:p>
        </w:tc>
        <w:tc>
          <w:tcPr>
            <w:tcW w:w="711" w:type="dxa"/>
            <w:shd w:val="clear" w:color="000000" w:fill="F2F2F2"/>
            <w:vAlign w:val="center"/>
            <w:hideMark/>
          </w:tcPr>
          <w:p w14:paraId="0048361B" w14:textId="77777777" w:rsidR="007518E6" w:rsidRPr="007518E6" w:rsidRDefault="007518E6" w:rsidP="007518E6">
            <w:pPr>
              <w:pStyle w:val="Tabletext"/>
              <w:jc w:val="center"/>
            </w:pPr>
            <w:r w:rsidRPr="007518E6">
              <w:t>149.1</w:t>
            </w:r>
          </w:p>
        </w:tc>
        <w:tc>
          <w:tcPr>
            <w:tcW w:w="711" w:type="dxa"/>
            <w:shd w:val="clear" w:color="000000" w:fill="F2F2F2"/>
            <w:vAlign w:val="center"/>
            <w:hideMark/>
          </w:tcPr>
          <w:p w14:paraId="6D504A1A" w14:textId="77777777" w:rsidR="007518E6" w:rsidRPr="007518E6" w:rsidRDefault="007518E6" w:rsidP="007518E6">
            <w:pPr>
              <w:pStyle w:val="Tabletext"/>
              <w:jc w:val="center"/>
            </w:pPr>
            <w:r w:rsidRPr="007518E6">
              <w:t>143.1</w:t>
            </w:r>
          </w:p>
        </w:tc>
        <w:tc>
          <w:tcPr>
            <w:tcW w:w="711" w:type="dxa"/>
            <w:shd w:val="clear" w:color="000000" w:fill="F2F2F2"/>
            <w:vAlign w:val="center"/>
            <w:hideMark/>
          </w:tcPr>
          <w:p w14:paraId="3C37AC4D" w14:textId="77777777" w:rsidR="007518E6" w:rsidRPr="007518E6" w:rsidRDefault="007518E6" w:rsidP="007518E6">
            <w:pPr>
              <w:pStyle w:val="Tabletext"/>
              <w:jc w:val="center"/>
            </w:pPr>
            <w:r w:rsidRPr="007518E6">
              <w:t>138.0</w:t>
            </w:r>
          </w:p>
        </w:tc>
        <w:tc>
          <w:tcPr>
            <w:tcW w:w="711" w:type="dxa"/>
            <w:shd w:val="clear" w:color="000000" w:fill="F2F2F2"/>
            <w:vAlign w:val="center"/>
            <w:hideMark/>
          </w:tcPr>
          <w:p w14:paraId="3ED9DA91" w14:textId="77777777" w:rsidR="007518E6" w:rsidRPr="007518E6" w:rsidRDefault="007518E6" w:rsidP="007518E6">
            <w:pPr>
              <w:pStyle w:val="Tabletext"/>
              <w:jc w:val="center"/>
            </w:pPr>
            <w:r w:rsidRPr="007518E6">
              <w:t>133.4</w:t>
            </w:r>
          </w:p>
        </w:tc>
        <w:tc>
          <w:tcPr>
            <w:tcW w:w="711" w:type="dxa"/>
            <w:shd w:val="clear" w:color="000000" w:fill="F2F2F2"/>
            <w:vAlign w:val="center"/>
            <w:hideMark/>
          </w:tcPr>
          <w:p w14:paraId="46A2C949" w14:textId="77777777" w:rsidR="007518E6" w:rsidRPr="007518E6" w:rsidRDefault="007518E6" w:rsidP="007518E6">
            <w:pPr>
              <w:pStyle w:val="Tabletext"/>
              <w:jc w:val="center"/>
            </w:pPr>
            <w:r w:rsidRPr="007518E6">
              <w:t>130.8</w:t>
            </w:r>
          </w:p>
        </w:tc>
        <w:tc>
          <w:tcPr>
            <w:tcW w:w="711" w:type="dxa"/>
            <w:shd w:val="clear" w:color="000000" w:fill="F2F2F2"/>
            <w:vAlign w:val="center"/>
            <w:hideMark/>
          </w:tcPr>
          <w:p w14:paraId="6E10E2D6" w14:textId="77777777" w:rsidR="007518E6" w:rsidRPr="007518E6" w:rsidRDefault="007518E6" w:rsidP="007518E6">
            <w:pPr>
              <w:pStyle w:val="Tabletext"/>
              <w:jc w:val="center"/>
            </w:pPr>
            <w:r w:rsidRPr="007518E6">
              <w:t>128.5</w:t>
            </w:r>
          </w:p>
        </w:tc>
        <w:tc>
          <w:tcPr>
            <w:tcW w:w="711" w:type="dxa"/>
            <w:shd w:val="clear" w:color="000000" w:fill="F2F2F2"/>
            <w:vAlign w:val="center"/>
            <w:hideMark/>
          </w:tcPr>
          <w:p w14:paraId="18DB2C79" w14:textId="77777777" w:rsidR="007518E6" w:rsidRPr="007518E6" w:rsidRDefault="007518E6" w:rsidP="007518E6">
            <w:pPr>
              <w:pStyle w:val="Tabletext"/>
              <w:jc w:val="center"/>
            </w:pPr>
            <w:r w:rsidRPr="007518E6">
              <w:t>126.6</w:t>
            </w:r>
          </w:p>
        </w:tc>
        <w:tc>
          <w:tcPr>
            <w:tcW w:w="711" w:type="dxa"/>
            <w:shd w:val="clear" w:color="000000" w:fill="F2F2F2"/>
            <w:vAlign w:val="center"/>
            <w:hideMark/>
          </w:tcPr>
          <w:p w14:paraId="2B45D3D5" w14:textId="77777777" w:rsidR="007518E6" w:rsidRPr="007518E6" w:rsidRDefault="007518E6" w:rsidP="007518E6">
            <w:pPr>
              <w:pStyle w:val="Tabletext"/>
              <w:jc w:val="center"/>
            </w:pPr>
            <w:r w:rsidRPr="007518E6">
              <w:t>124.7</w:t>
            </w:r>
          </w:p>
        </w:tc>
        <w:tc>
          <w:tcPr>
            <w:tcW w:w="711" w:type="dxa"/>
            <w:shd w:val="clear" w:color="000000" w:fill="F2F2F2"/>
            <w:vAlign w:val="center"/>
            <w:hideMark/>
          </w:tcPr>
          <w:p w14:paraId="30DC5CDC" w14:textId="77777777" w:rsidR="007518E6" w:rsidRPr="007518E6" w:rsidRDefault="007518E6" w:rsidP="007518E6">
            <w:pPr>
              <w:pStyle w:val="Tabletext"/>
              <w:jc w:val="center"/>
            </w:pPr>
            <w:r w:rsidRPr="007518E6">
              <w:t>124.5</w:t>
            </w:r>
          </w:p>
        </w:tc>
        <w:tc>
          <w:tcPr>
            <w:tcW w:w="711" w:type="dxa"/>
            <w:shd w:val="clear" w:color="000000" w:fill="F2F2F2"/>
            <w:vAlign w:val="center"/>
            <w:hideMark/>
          </w:tcPr>
          <w:p w14:paraId="10E32C88" w14:textId="77777777" w:rsidR="007518E6" w:rsidRPr="007518E6" w:rsidRDefault="007518E6" w:rsidP="007518E6">
            <w:pPr>
              <w:pStyle w:val="Tabletext"/>
              <w:jc w:val="center"/>
            </w:pPr>
            <w:r w:rsidRPr="007518E6">
              <w:t>124.4</w:t>
            </w:r>
          </w:p>
        </w:tc>
        <w:tc>
          <w:tcPr>
            <w:tcW w:w="711" w:type="dxa"/>
            <w:shd w:val="clear" w:color="000000" w:fill="F2F2F2"/>
            <w:vAlign w:val="center"/>
            <w:hideMark/>
          </w:tcPr>
          <w:p w14:paraId="76301141" w14:textId="77777777" w:rsidR="007518E6" w:rsidRPr="007518E6" w:rsidRDefault="007518E6" w:rsidP="007518E6">
            <w:pPr>
              <w:pStyle w:val="Tabletext"/>
              <w:jc w:val="center"/>
            </w:pPr>
            <w:r w:rsidRPr="007518E6">
              <w:t>124.1</w:t>
            </w:r>
          </w:p>
        </w:tc>
        <w:tc>
          <w:tcPr>
            <w:tcW w:w="711" w:type="dxa"/>
            <w:shd w:val="clear" w:color="000000" w:fill="F2F2F2"/>
            <w:vAlign w:val="center"/>
            <w:hideMark/>
          </w:tcPr>
          <w:p w14:paraId="2D12DF21" w14:textId="77777777" w:rsidR="007518E6" w:rsidRPr="007518E6" w:rsidRDefault="007518E6" w:rsidP="007518E6">
            <w:pPr>
              <w:pStyle w:val="Tabletext"/>
              <w:jc w:val="center"/>
            </w:pPr>
            <w:r w:rsidRPr="007518E6">
              <w:t>123.8</w:t>
            </w:r>
          </w:p>
        </w:tc>
        <w:tc>
          <w:tcPr>
            <w:tcW w:w="711" w:type="dxa"/>
            <w:shd w:val="clear" w:color="000000" w:fill="F2F2F2"/>
            <w:vAlign w:val="center"/>
            <w:hideMark/>
          </w:tcPr>
          <w:p w14:paraId="4806B9D9" w14:textId="77777777" w:rsidR="007518E6" w:rsidRPr="007518E6" w:rsidRDefault="007518E6" w:rsidP="007518E6">
            <w:pPr>
              <w:pStyle w:val="Tabletext"/>
              <w:jc w:val="center"/>
            </w:pPr>
            <w:r w:rsidRPr="007518E6">
              <w:t>123.5</w:t>
            </w:r>
          </w:p>
        </w:tc>
        <w:tc>
          <w:tcPr>
            <w:tcW w:w="711" w:type="dxa"/>
            <w:shd w:val="clear" w:color="000000" w:fill="F2F2F2"/>
            <w:vAlign w:val="center"/>
            <w:hideMark/>
          </w:tcPr>
          <w:p w14:paraId="451490E6" w14:textId="77777777" w:rsidR="007518E6" w:rsidRPr="007518E6" w:rsidRDefault="007518E6" w:rsidP="007518E6">
            <w:pPr>
              <w:pStyle w:val="Tabletext"/>
              <w:jc w:val="center"/>
            </w:pPr>
            <w:r w:rsidRPr="007518E6">
              <w:t>123.5</w:t>
            </w:r>
          </w:p>
        </w:tc>
      </w:tr>
      <w:tr w:rsidR="007518E6" w:rsidRPr="007518E6" w14:paraId="5BA57919" w14:textId="77777777" w:rsidTr="00C93A0F">
        <w:trPr>
          <w:trHeight w:val="600"/>
          <w:jc w:val="center"/>
        </w:trPr>
        <w:tc>
          <w:tcPr>
            <w:tcW w:w="504" w:type="dxa"/>
            <w:shd w:val="clear" w:color="000000" w:fill="D9D9D9"/>
            <w:vAlign w:val="center"/>
            <w:hideMark/>
          </w:tcPr>
          <w:p w14:paraId="5D292CF7" w14:textId="77777777" w:rsidR="007518E6" w:rsidRPr="007518E6" w:rsidRDefault="007518E6" w:rsidP="007518E6">
            <w:pPr>
              <w:pStyle w:val="Tabletext"/>
            </w:pPr>
            <w:r w:rsidRPr="007518E6">
              <w:t>7</w:t>
            </w:r>
          </w:p>
        </w:tc>
        <w:tc>
          <w:tcPr>
            <w:tcW w:w="1764" w:type="dxa"/>
            <w:shd w:val="clear" w:color="000000" w:fill="D9D9D9"/>
            <w:vAlign w:val="center"/>
            <w:hideMark/>
          </w:tcPr>
          <w:p w14:paraId="0FAEE676" w14:textId="77777777" w:rsidR="007518E6" w:rsidRPr="007518E6" w:rsidRDefault="007518E6" w:rsidP="007518E6">
            <w:pPr>
              <w:pStyle w:val="Tabletext"/>
            </w:pPr>
            <w:r w:rsidRPr="007518E6">
              <w:t xml:space="preserve">Long-term interest rate </w:t>
            </w:r>
          </w:p>
        </w:tc>
        <w:tc>
          <w:tcPr>
            <w:tcW w:w="912" w:type="dxa"/>
            <w:shd w:val="clear" w:color="000000" w:fill="D9D9D9"/>
            <w:vAlign w:val="center"/>
            <w:hideMark/>
          </w:tcPr>
          <w:p w14:paraId="43CBF178" w14:textId="77777777" w:rsidR="007518E6" w:rsidRPr="007518E6" w:rsidRDefault="007518E6" w:rsidP="007518E6">
            <w:pPr>
              <w:pStyle w:val="Tabletext"/>
            </w:pPr>
            <w:r w:rsidRPr="007518E6">
              <w:t xml:space="preserve">(%) </w:t>
            </w:r>
          </w:p>
        </w:tc>
        <w:tc>
          <w:tcPr>
            <w:tcW w:w="711" w:type="dxa"/>
            <w:shd w:val="clear" w:color="000000" w:fill="D9D9D9"/>
            <w:vAlign w:val="center"/>
            <w:hideMark/>
          </w:tcPr>
          <w:p w14:paraId="01FB4FB4" w14:textId="77777777" w:rsidR="007518E6" w:rsidRPr="007518E6" w:rsidRDefault="007518E6" w:rsidP="007518E6">
            <w:pPr>
              <w:pStyle w:val="Tabletext"/>
              <w:jc w:val="center"/>
            </w:pPr>
            <w:r w:rsidRPr="007518E6">
              <w:t>4.0</w:t>
            </w:r>
          </w:p>
        </w:tc>
        <w:tc>
          <w:tcPr>
            <w:tcW w:w="711" w:type="dxa"/>
            <w:shd w:val="clear" w:color="000000" w:fill="D9D9D9"/>
            <w:vAlign w:val="center"/>
            <w:hideMark/>
          </w:tcPr>
          <w:p w14:paraId="212D6E54" w14:textId="77777777" w:rsidR="007518E6" w:rsidRPr="007518E6" w:rsidRDefault="007518E6" w:rsidP="007518E6">
            <w:pPr>
              <w:pStyle w:val="Tabletext"/>
              <w:jc w:val="center"/>
            </w:pPr>
            <w:r w:rsidRPr="007518E6">
              <w:t>3.5</w:t>
            </w:r>
          </w:p>
        </w:tc>
        <w:tc>
          <w:tcPr>
            <w:tcW w:w="711" w:type="dxa"/>
            <w:shd w:val="clear" w:color="000000" w:fill="D9D9D9"/>
            <w:vAlign w:val="center"/>
            <w:hideMark/>
          </w:tcPr>
          <w:p w14:paraId="66EE605C" w14:textId="77777777" w:rsidR="007518E6" w:rsidRPr="007518E6" w:rsidRDefault="007518E6" w:rsidP="007518E6">
            <w:pPr>
              <w:pStyle w:val="Tabletext"/>
              <w:jc w:val="center"/>
            </w:pPr>
            <w:r w:rsidRPr="007518E6">
              <w:t>3.7</w:t>
            </w:r>
          </w:p>
        </w:tc>
        <w:tc>
          <w:tcPr>
            <w:tcW w:w="711" w:type="dxa"/>
            <w:shd w:val="clear" w:color="000000" w:fill="D9D9D9"/>
            <w:vAlign w:val="center"/>
            <w:hideMark/>
          </w:tcPr>
          <w:p w14:paraId="61F3A414" w14:textId="77777777" w:rsidR="007518E6" w:rsidRPr="007518E6" w:rsidRDefault="007518E6" w:rsidP="007518E6">
            <w:pPr>
              <w:pStyle w:val="Tabletext"/>
              <w:jc w:val="center"/>
            </w:pPr>
            <w:r w:rsidRPr="007518E6">
              <w:t>3.8</w:t>
            </w:r>
          </w:p>
        </w:tc>
        <w:tc>
          <w:tcPr>
            <w:tcW w:w="711" w:type="dxa"/>
            <w:shd w:val="clear" w:color="000000" w:fill="D9D9D9"/>
            <w:vAlign w:val="center"/>
            <w:hideMark/>
          </w:tcPr>
          <w:p w14:paraId="5AEA7A5E" w14:textId="77777777" w:rsidR="007518E6" w:rsidRPr="007518E6" w:rsidRDefault="007518E6" w:rsidP="007518E6">
            <w:pPr>
              <w:pStyle w:val="Tabletext"/>
              <w:jc w:val="center"/>
            </w:pPr>
            <w:r w:rsidRPr="007518E6">
              <w:t>3.9</w:t>
            </w:r>
          </w:p>
        </w:tc>
        <w:tc>
          <w:tcPr>
            <w:tcW w:w="711" w:type="dxa"/>
            <w:shd w:val="clear" w:color="000000" w:fill="D9D9D9"/>
            <w:vAlign w:val="center"/>
            <w:hideMark/>
          </w:tcPr>
          <w:p w14:paraId="70653F96" w14:textId="77777777" w:rsidR="007518E6" w:rsidRPr="007518E6" w:rsidRDefault="007518E6" w:rsidP="007518E6">
            <w:pPr>
              <w:pStyle w:val="Tabletext"/>
              <w:jc w:val="center"/>
            </w:pPr>
            <w:r w:rsidRPr="007518E6">
              <w:t>4.0</w:t>
            </w:r>
          </w:p>
        </w:tc>
        <w:tc>
          <w:tcPr>
            <w:tcW w:w="711" w:type="dxa"/>
            <w:shd w:val="clear" w:color="000000" w:fill="D9D9D9"/>
            <w:vAlign w:val="center"/>
            <w:hideMark/>
          </w:tcPr>
          <w:p w14:paraId="77455CB8" w14:textId="77777777" w:rsidR="007518E6" w:rsidRPr="007518E6" w:rsidRDefault="007518E6" w:rsidP="007518E6">
            <w:pPr>
              <w:pStyle w:val="Tabletext"/>
              <w:jc w:val="center"/>
            </w:pPr>
            <w:r w:rsidRPr="007518E6">
              <w:t>4.5</w:t>
            </w:r>
          </w:p>
        </w:tc>
        <w:tc>
          <w:tcPr>
            <w:tcW w:w="711" w:type="dxa"/>
            <w:shd w:val="clear" w:color="000000" w:fill="D9D9D9"/>
            <w:vAlign w:val="center"/>
            <w:hideMark/>
          </w:tcPr>
          <w:p w14:paraId="3B02E92B" w14:textId="77777777" w:rsidR="007518E6" w:rsidRPr="007518E6" w:rsidRDefault="007518E6" w:rsidP="007518E6">
            <w:pPr>
              <w:pStyle w:val="Tabletext"/>
              <w:jc w:val="center"/>
            </w:pPr>
            <w:r w:rsidRPr="007518E6">
              <w:t>4.6</w:t>
            </w:r>
          </w:p>
        </w:tc>
        <w:tc>
          <w:tcPr>
            <w:tcW w:w="711" w:type="dxa"/>
            <w:shd w:val="clear" w:color="000000" w:fill="D9D9D9"/>
            <w:vAlign w:val="center"/>
            <w:hideMark/>
          </w:tcPr>
          <w:p w14:paraId="79B7E6DE" w14:textId="77777777" w:rsidR="007518E6" w:rsidRPr="007518E6" w:rsidRDefault="007518E6" w:rsidP="007518E6">
            <w:pPr>
              <w:pStyle w:val="Tabletext"/>
              <w:jc w:val="center"/>
            </w:pPr>
            <w:r w:rsidRPr="007518E6">
              <w:t>4.7</w:t>
            </w:r>
          </w:p>
        </w:tc>
        <w:tc>
          <w:tcPr>
            <w:tcW w:w="711" w:type="dxa"/>
            <w:shd w:val="clear" w:color="000000" w:fill="D9D9D9"/>
            <w:vAlign w:val="center"/>
            <w:hideMark/>
          </w:tcPr>
          <w:p w14:paraId="1F20C118" w14:textId="77777777" w:rsidR="007518E6" w:rsidRPr="007518E6" w:rsidRDefault="007518E6" w:rsidP="007518E6">
            <w:pPr>
              <w:pStyle w:val="Tabletext"/>
              <w:jc w:val="center"/>
            </w:pPr>
            <w:r w:rsidRPr="007518E6">
              <w:t>4.8</w:t>
            </w:r>
          </w:p>
        </w:tc>
        <w:tc>
          <w:tcPr>
            <w:tcW w:w="711" w:type="dxa"/>
            <w:shd w:val="clear" w:color="000000" w:fill="D9D9D9"/>
            <w:vAlign w:val="center"/>
            <w:hideMark/>
          </w:tcPr>
          <w:p w14:paraId="469C85AB" w14:textId="77777777" w:rsidR="007518E6" w:rsidRPr="007518E6" w:rsidRDefault="007518E6" w:rsidP="007518E6">
            <w:pPr>
              <w:pStyle w:val="Tabletext"/>
              <w:jc w:val="center"/>
            </w:pPr>
            <w:r w:rsidRPr="007518E6">
              <w:t>4.9</w:t>
            </w:r>
          </w:p>
        </w:tc>
        <w:tc>
          <w:tcPr>
            <w:tcW w:w="711" w:type="dxa"/>
            <w:shd w:val="clear" w:color="000000" w:fill="D9D9D9"/>
            <w:vAlign w:val="center"/>
            <w:hideMark/>
          </w:tcPr>
          <w:p w14:paraId="7DC0C3B0" w14:textId="77777777" w:rsidR="007518E6" w:rsidRPr="007518E6" w:rsidRDefault="007518E6" w:rsidP="007518E6">
            <w:pPr>
              <w:pStyle w:val="Tabletext"/>
              <w:jc w:val="center"/>
            </w:pPr>
            <w:r w:rsidRPr="007518E6">
              <w:t>4.8</w:t>
            </w:r>
          </w:p>
        </w:tc>
        <w:tc>
          <w:tcPr>
            <w:tcW w:w="711" w:type="dxa"/>
            <w:shd w:val="clear" w:color="000000" w:fill="D9D9D9"/>
            <w:vAlign w:val="center"/>
            <w:hideMark/>
          </w:tcPr>
          <w:p w14:paraId="67203D95" w14:textId="77777777" w:rsidR="007518E6" w:rsidRPr="007518E6" w:rsidRDefault="007518E6" w:rsidP="007518E6">
            <w:pPr>
              <w:pStyle w:val="Tabletext"/>
              <w:jc w:val="center"/>
            </w:pPr>
            <w:r w:rsidRPr="007518E6">
              <w:t>4.8</w:t>
            </w:r>
          </w:p>
        </w:tc>
        <w:tc>
          <w:tcPr>
            <w:tcW w:w="711" w:type="dxa"/>
            <w:shd w:val="clear" w:color="000000" w:fill="D9D9D9"/>
            <w:vAlign w:val="center"/>
            <w:hideMark/>
          </w:tcPr>
          <w:p w14:paraId="5AE766B4" w14:textId="77777777" w:rsidR="007518E6" w:rsidRPr="007518E6" w:rsidRDefault="007518E6" w:rsidP="007518E6">
            <w:pPr>
              <w:pStyle w:val="Tabletext"/>
              <w:jc w:val="center"/>
            </w:pPr>
            <w:r w:rsidRPr="007518E6">
              <w:t>4.8</w:t>
            </w:r>
          </w:p>
        </w:tc>
        <w:tc>
          <w:tcPr>
            <w:tcW w:w="711" w:type="dxa"/>
            <w:shd w:val="clear" w:color="000000" w:fill="D9D9D9"/>
            <w:vAlign w:val="center"/>
            <w:hideMark/>
          </w:tcPr>
          <w:p w14:paraId="7A5BDE9B" w14:textId="77777777" w:rsidR="007518E6" w:rsidRPr="007518E6" w:rsidRDefault="007518E6" w:rsidP="007518E6">
            <w:pPr>
              <w:pStyle w:val="Tabletext"/>
              <w:jc w:val="center"/>
            </w:pPr>
            <w:r w:rsidRPr="007518E6">
              <w:t>4.8</w:t>
            </w:r>
          </w:p>
        </w:tc>
        <w:tc>
          <w:tcPr>
            <w:tcW w:w="711" w:type="dxa"/>
            <w:shd w:val="clear" w:color="000000" w:fill="D9D9D9"/>
            <w:vAlign w:val="center"/>
            <w:hideMark/>
          </w:tcPr>
          <w:p w14:paraId="3177CAA2" w14:textId="77777777" w:rsidR="007518E6" w:rsidRPr="007518E6" w:rsidRDefault="007518E6" w:rsidP="007518E6">
            <w:pPr>
              <w:pStyle w:val="Tabletext"/>
              <w:jc w:val="center"/>
            </w:pPr>
            <w:r w:rsidRPr="007518E6">
              <w:t>4.8</w:t>
            </w:r>
          </w:p>
        </w:tc>
      </w:tr>
      <w:tr w:rsidR="007518E6" w:rsidRPr="007518E6" w14:paraId="23C613B5" w14:textId="77777777" w:rsidTr="00C93A0F">
        <w:trPr>
          <w:trHeight w:val="600"/>
          <w:jc w:val="center"/>
        </w:trPr>
        <w:tc>
          <w:tcPr>
            <w:tcW w:w="504" w:type="dxa"/>
            <w:shd w:val="clear" w:color="000000" w:fill="F2F2F2"/>
            <w:vAlign w:val="center"/>
            <w:hideMark/>
          </w:tcPr>
          <w:p w14:paraId="7623A286" w14:textId="77777777" w:rsidR="007518E6" w:rsidRPr="007518E6" w:rsidRDefault="007518E6" w:rsidP="007518E6">
            <w:pPr>
              <w:pStyle w:val="Tabletext"/>
            </w:pPr>
            <w:r w:rsidRPr="007518E6">
              <w:t>8</w:t>
            </w:r>
          </w:p>
        </w:tc>
        <w:tc>
          <w:tcPr>
            <w:tcW w:w="1764" w:type="dxa"/>
            <w:shd w:val="clear" w:color="000000" w:fill="F2F2F2"/>
            <w:vAlign w:val="center"/>
            <w:hideMark/>
          </w:tcPr>
          <w:p w14:paraId="501EE4D7" w14:textId="77777777" w:rsidR="007518E6" w:rsidRPr="007518E6" w:rsidRDefault="007518E6" w:rsidP="007518E6">
            <w:pPr>
              <w:pStyle w:val="Tabletext"/>
            </w:pPr>
            <w:r w:rsidRPr="007518E6">
              <w:t xml:space="preserve">Short-term interest rate </w:t>
            </w:r>
          </w:p>
        </w:tc>
        <w:tc>
          <w:tcPr>
            <w:tcW w:w="912" w:type="dxa"/>
            <w:shd w:val="clear" w:color="000000" w:fill="F2F2F2"/>
            <w:vAlign w:val="center"/>
            <w:hideMark/>
          </w:tcPr>
          <w:p w14:paraId="4C3DF72D" w14:textId="77777777" w:rsidR="007518E6" w:rsidRPr="007518E6" w:rsidRDefault="007518E6" w:rsidP="007518E6">
            <w:pPr>
              <w:pStyle w:val="Tabletext"/>
            </w:pPr>
            <w:r w:rsidRPr="007518E6">
              <w:t xml:space="preserve">(%) </w:t>
            </w:r>
          </w:p>
        </w:tc>
        <w:tc>
          <w:tcPr>
            <w:tcW w:w="711" w:type="dxa"/>
            <w:shd w:val="clear" w:color="000000" w:fill="F2F2F2"/>
            <w:vAlign w:val="center"/>
            <w:hideMark/>
          </w:tcPr>
          <w:p w14:paraId="004068D8" w14:textId="77777777" w:rsidR="007518E6" w:rsidRPr="007518E6" w:rsidRDefault="007518E6" w:rsidP="007518E6">
            <w:pPr>
              <w:pStyle w:val="Tabletext"/>
              <w:jc w:val="center"/>
            </w:pPr>
            <w:r w:rsidRPr="007518E6">
              <w:t>3.4</w:t>
            </w:r>
          </w:p>
        </w:tc>
        <w:tc>
          <w:tcPr>
            <w:tcW w:w="711" w:type="dxa"/>
            <w:shd w:val="clear" w:color="000000" w:fill="F2F2F2"/>
            <w:vAlign w:val="center"/>
            <w:hideMark/>
          </w:tcPr>
          <w:p w14:paraId="4202E4BC" w14:textId="77777777" w:rsidR="007518E6" w:rsidRPr="007518E6" w:rsidRDefault="007518E6" w:rsidP="007518E6">
            <w:pPr>
              <w:pStyle w:val="Tabletext"/>
              <w:jc w:val="center"/>
            </w:pPr>
            <w:r w:rsidRPr="007518E6">
              <w:t>3.6</w:t>
            </w:r>
          </w:p>
        </w:tc>
        <w:tc>
          <w:tcPr>
            <w:tcW w:w="711" w:type="dxa"/>
            <w:shd w:val="clear" w:color="000000" w:fill="F2F2F2"/>
            <w:vAlign w:val="center"/>
            <w:hideMark/>
          </w:tcPr>
          <w:p w14:paraId="040DD7F8"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2222F487"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320B91B2"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00E12B6A" w14:textId="77777777" w:rsidR="007518E6" w:rsidRPr="007518E6" w:rsidRDefault="007518E6" w:rsidP="007518E6">
            <w:pPr>
              <w:pStyle w:val="Tabletext"/>
              <w:jc w:val="center"/>
            </w:pPr>
            <w:r w:rsidRPr="007518E6">
              <w:t>2.8</w:t>
            </w:r>
          </w:p>
        </w:tc>
        <w:tc>
          <w:tcPr>
            <w:tcW w:w="711" w:type="dxa"/>
            <w:shd w:val="clear" w:color="000000" w:fill="F2F2F2"/>
            <w:vAlign w:val="center"/>
            <w:hideMark/>
          </w:tcPr>
          <w:p w14:paraId="594B3B80" w14:textId="77777777" w:rsidR="007518E6" w:rsidRPr="007518E6" w:rsidRDefault="007518E6" w:rsidP="007518E6">
            <w:pPr>
              <w:pStyle w:val="Tabletext"/>
              <w:jc w:val="center"/>
            </w:pPr>
            <w:r w:rsidRPr="007518E6">
              <w:t>3.3</w:t>
            </w:r>
          </w:p>
        </w:tc>
        <w:tc>
          <w:tcPr>
            <w:tcW w:w="711" w:type="dxa"/>
            <w:shd w:val="clear" w:color="000000" w:fill="F2F2F2"/>
            <w:vAlign w:val="center"/>
            <w:hideMark/>
          </w:tcPr>
          <w:p w14:paraId="36368DF8" w14:textId="77777777" w:rsidR="007518E6" w:rsidRPr="007518E6" w:rsidRDefault="007518E6" w:rsidP="007518E6">
            <w:pPr>
              <w:pStyle w:val="Tabletext"/>
              <w:jc w:val="center"/>
            </w:pPr>
            <w:r w:rsidRPr="007518E6">
              <w:t>3.3</w:t>
            </w:r>
          </w:p>
        </w:tc>
        <w:tc>
          <w:tcPr>
            <w:tcW w:w="711" w:type="dxa"/>
            <w:shd w:val="clear" w:color="000000" w:fill="F2F2F2"/>
            <w:vAlign w:val="center"/>
            <w:hideMark/>
          </w:tcPr>
          <w:p w14:paraId="65F13AAF" w14:textId="77777777" w:rsidR="007518E6" w:rsidRPr="007518E6" w:rsidRDefault="007518E6" w:rsidP="007518E6">
            <w:pPr>
              <w:pStyle w:val="Tabletext"/>
              <w:jc w:val="center"/>
            </w:pPr>
            <w:r w:rsidRPr="007518E6">
              <w:t>3.2</w:t>
            </w:r>
          </w:p>
        </w:tc>
        <w:tc>
          <w:tcPr>
            <w:tcW w:w="711" w:type="dxa"/>
            <w:shd w:val="clear" w:color="000000" w:fill="F2F2F2"/>
            <w:vAlign w:val="center"/>
            <w:hideMark/>
          </w:tcPr>
          <w:p w14:paraId="72653260" w14:textId="77777777" w:rsidR="007518E6" w:rsidRPr="007518E6" w:rsidRDefault="007518E6" w:rsidP="007518E6">
            <w:pPr>
              <w:pStyle w:val="Tabletext"/>
              <w:jc w:val="center"/>
            </w:pPr>
            <w:r w:rsidRPr="007518E6">
              <w:t>3.2</w:t>
            </w:r>
          </w:p>
        </w:tc>
        <w:tc>
          <w:tcPr>
            <w:tcW w:w="711" w:type="dxa"/>
            <w:shd w:val="clear" w:color="000000" w:fill="F2F2F2"/>
            <w:vAlign w:val="center"/>
            <w:hideMark/>
          </w:tcPr>
          <w:p w14:paraId="2F4A6ECF" w14:textId="77777777" w:rsidR="007518E6" w:rsidRPr="007518E6" w:rsidRDefault="007518E6" w:rsidP="007518E6">
            <w:pPr>
              <w:pStyle w:val="Tabletext"/>
              <w:jc w:val="center"/>
            </w:pPr>
            <w:r w:rsidRPr="007518E6">
              <w:t>3.2</w:t>
            </w:r>
          </w:p>
        </w:tc>
        <w:tc>
          <w:tcPr>
            <w:tcW w:w="711" w:type="dxa"/>
            <w:shd w:val="clear" w:color="000000" w:fill="F2F2F2"/>
            <w:vAlign w:val="center"/>
            <w:hideMark/>
          </w:tcPr>
          <w:p w14:paraId="5589BE42" w14:textId="77777777" w:rsidR="007518E6" w:rsidRPr="007518E6" w:rsidRDefault="007518E6" w:rsidP="007518E6">
            <w:pPr>
              <w:pStyle w:val="Tabletext"/>
              <w:jc w:val="center"/>
            </w:pPr>
            <w:r w:rsidRPr="007518E6">
              <w:t>3.2</w:t>
            </w:r>
          </w:p>
        </w:tc>
        <w:tc>
          <w:tcPr>
            <w:tcW w:w="711" w:type="dxa"/>
            <w:shd w:val="clear" w:color="000000" w:fill="F2F2F2"/>
            <w:vAlign w:val="center"/>
            <w:hideMark/>
          </w:tcPr>
          <w:p w14:paraId="2054D99F" w14:textId="77777777" w:rsidR="007518E6" w:rsidRPr="007518E6" w:rsidRDefault="007518E6" w:rsidP="007518E6">
            <w:pPr>
              <w:pStyle w:val="Tabletext"/>
              <w:jc w:val="center"/>
            </w:pPr>
            <w:r w:rsidRPr="007518E6">
              <w:t>3.2</w:t>
            </w:r>
          </w:p>
        </w:tc>
        <w:tc>
          <w:tcPr>
            <w:tcW w:w="711" w:type="dxa"/>
            <w:shd w:val="clear" w:color="000000" w:fill="F2F2F2"/>
            <w:vAlign w:val="center"/>
            <w:hideMark/>
          </w:tcPr>
          <w:p w14:paraId="722D74F6" w14:textId="77777777" w:rsidR="007518E6" w:rsidRPr="007518E6" w:rsidRDefault="007518E6" w:rsidP="007518E6">
            <w:pPr>
              <w:pStyle w:val="Tabletext"/>
              <w:jc w:val="center"/>
            </w:pPr>
            <w:r w:rsidRPr="007518E6">
              <w:t>3.1</w:t>
            </w:r>
          </w:p>
        </w:tc>
        <w:tc>
          <w:tcPr>
            <w:tcW w:w="711" w:type="dxa"/>
            <w:shd w:val="clear" w:color="000000" w:fill="F2F2F2"/>
            <w:vAlign w:val="center"/>
            <w:hideMark/>
          </w:tcPr>
          <w:p w14:paraId="54ECF727" w14:textId="77777777" w:rsidR="007518E6" w:rsidRPr="007518E6" w:rsidRDefault="007518E6" w:rsidP="007518E6">
            <w:pPr>
              <w:pStyle w:val="Tabletext"/>
              <w:jc w:val="center"/>
            </w:pPr>
            <w:r w:rsidRPr="007518E6">
              <w:t>3.1</w:t>
            </w:r>
          </w:p>
        </w:tc>
        <w:tc>
          <w:tcPr>
            <w:tcW w:w="711" w:type="dxa"/>
            <w:shd w:val="clear" w:color="000000" w:fill="F2F2F2"/>
            <w:vAlign w:val="center"/>
            <w:hideMark/>
          </w:tcPr>
          <w:p w14:paraId="21D281B0" w14:textId="77777777" w:rsidR="007518E6" w:rsidRPr="007518E6" w:rsidRDefault="007518E6" w:rsidP="007518E6">
            <w:pPr>
              <w:pStyle w:val="Tabletext"/>
              <w:jc w:val="center"/>
            </w:pPr>
            <w:r w:rsidRPr="007518E6">
              <w:t>3.0</w:t>
            </w:r>
          </w:p>
        </w:tc>
      </w:tr>
      <w:tr w:rsidR="007518E6" w:rsidRPr="007518E6" w14:paraId="21DFD9E3" w14:textId="77777777" w:rsidTr="00C93A0F">
        <w:trPr>
          <w:trHeight w:val="600"/>
          <w:jc w:val="center"/>
        </w:trPr>
        <w:tc>
          <w:tcPr>
            <w:tcW w:w="504" w:type="dxa"/>
            <w:shd w:val="clear" w:color="000000" w:fill="D9D9D9"/>
            <w:vAlign w:val="center"/>
            <w:hideMark/>
          </w:tcPr>
          <w:p w14:paraId="00EEC745" w14:textId="77777777" w:rsidR="007518E6" w:rsidRPr="007518E6" w:rsidRDefault="007518E6" w:rsidP="007518E6">
            <w:pPr>
              <w:pStyle w:val="Tabletext"/>
            </w:pPr>
            <w:r w:rsidRPr="007518E6">
              <w:t>9</w:t>
            </w:r>
          </w:p>
        </w:tc>
        <w:tc>
          <w:tcPr>
            <w:tcW w:w="1764" w:type="dxa"/>
            <w:shd w:val="clear" w:color="000000" w:fill="D9D9D9"/>
            <w:vAlign w:val="center"/>
            <w:hideMark/>
          </w:tcPr>
          <w:p w14:paraId="635F649A" w14:textId="77777777" w:rsidR="007518E6" w:rsidRPr="007518E6" w:rsidRDefault="007518E6" w:rsidP="007518E6">
            <w:pPr>
              <w:pStyle w:val="Tabletext"/>
            </w:pPr>
            <w:r w:rsidRPr="007518E6">
              <w:t>Real GDP</w:t>
            </w:r>
          </w:p>
        </w:tc>
        <w:tc>
          <w:tcPr>
            <w:tcW w:w="912" w:type="dxa"/>
            <w:shd w:val="clear" w:color="000000" w:fill="D9D9D9"/>
            <w:vAlign w:val="center"/>
            <w:hideMark/>
          </w:tcPr>
          <w:p w14:paraId="5DA34D2C" w14:textId="77777777" w:rsidR="007518E6" w:rsidRPr="007518E6" w:rsidRDefault="007518E6" w:rsidP="007518E6">
            <w:pPr>
              <w:pStyle w:val="Tabletext"/>
            </w:pPr>
            <w:r w:rsidRPr="007518E6">
              <w:t>(growth rate)</w:t>
            </w:r>
          </w:p>
        </w:tc>
        <w:tc>
          <w:tcPr>
            <w:tcW w:w="711" w:type="dxa"/>
            <w:shd w:val="clear" w:color="000000" w:fill="D9D9D9"/>
            <w:vAlign w:val="center"/>
            <w:hideMark/>
          </w:tcPr>
          <w:p w14:paraId="5CD4857F" w14:textId="77777777" w:rsidR="007518E6" w:rsidRPr="007518E6" w:rsidRDefault="007518E6" w:rsidP="007518E6">
            <w:pPr>
              <w:pStyle w:val="Tabletext"/>
              <w:jc w:val="center"/>
            </w:pPr>
            <w:r w:rsidRPr="007518E6">
              <w:t>2.0</w:t>
            </w:r>
          </w:p>
        </w:tc>
        <w:tc>
          <w:tcPr>
            <w:tcW w:w="711" w:type="dxa"/>
            <w:shd w:val="clear" w:color="000000" w:fill="D9D9D9"/>
            <w:vAlign w:val="center"/>
            <w:hideMark/>
          </w:tcPr>
          <w:p w14:paraId="60124448" w14:textId="77777777" w:rsidR="007518E6" w:rsidRPr="007518E6" w:rsidRDefault="007518E6" w:rsidP="007518E6">
            <w:pPr>
              <w:pStyle w:val="Tabletext"/>
              <w:jc w:val="center"/>
            </w:pPr>
            <w:r w:rsidRPr="007518E6">
              <w:t>2.2</w:t>
            </w:r>
          </w:p>
        </w:tc>
        <w:tc>
          <w:tcPr>
            <w:tcW w:w="711" w:type="dxa"/>
            <w:shd w:val="clear" w:color="000000" w:fill="D9D9D9"/>
            <w:vAlign w:val="center"/>
            <w:hideMark/>
          </w:tcPr>
          <w:p w14:paraId="37D2749E" w14:textId="77777777" w:rsidR="007518E6" w:rsidRPr="007518E6" w:rsidRDefault="007518E6" w:rsidP="007518E6">
            <w:pPr>
              <w:pStyle w:val="Tabletext"/>
              <w:jc w:val="center"/>
            </w:pPr>
            <w:r w:rsidRPr="007518E6">
              <w:t>2.3</w:t>
            </w:r>
          </w:p>
        </w:tc>
        <w:tc>
          <w:tcPr>
            <w:tcW w:w="711" w:type="dxa"/>
            <w:shd w:val="clear" w:color="000000" w:fill="D9D9D9"/>
            <w:vAlign w:val="center"/>
            <w:hideMark/>
          </w:tcPr>
          <w:p w14:paraId="1FD0B1E9" w14:textId="77777777" w:rsidR="007518E6" w:rsidRPr="007518E6" w:rsidRDefault="007518E6" w:rsidP="007518E6">
            <w:pPr>
              <w:pStyle w:val="Tabletext"/>
              <w:jc w:val="center"/>
            </w:pPr>
            <w:r w:rsidRPr="007518E6">
              <w:t>2.0</w:t>
            </w:r>
          </w:p>
        </w:tc>
        <w:tc>
          <w:tcPr>
            <w:tcW w:w="711" w:type="dxa"/>
            <w:shd w:val="clear" w:color="000000" w:fill="D9D9D9"/>
            <w:vAlign w:val="center"/>
            <w:hideMark/>
          </w:tcPr>
          <w:p w14:paraId="2445E953" w14:textId="77777777" w:rsidR="007518E6" w:rsidRPr="007518E6" w:rsidRDefault="007518E6" w:rsidP="007518E6">
            <w:pPr>
              <w:pStyle w:val="Tabletext"/>
              <w:jc w:val="center"/>
            </w:pPr>
            <w:r w:rsidRPr="007518E6">
              <w:t>1.5</w:t>
            </w:r>
          </w:p>
        </w:tc>
        <w:tc>
          <w:tcPr>
            <w:tcW w:w="711" w:type="dxa"/>
            <w:shd w:val="clear" w:color="000000" w:fill="D9D9D9"/>
            <w:vAlign w:val="center"/>
            <w:hideMark/>
          </w:tcPr>
          <w:p w14:paraId="2914D90A" w14:textId="77777777" w:rsidR="007518E6" w:rsidRPr="007518E6" w:rsidRDefault="007518E6" w:rsidP="007518E6">
            <w:pPr>
              <w:pStyle w:val="Tabletext"/>
              <w:jc w:val="center"/>
            </w:pPr>
            <w:r w:rsidRPr="007518E6">
              <w:t>1.3</w:t>
            </w:r>
          </w:p>
        </w:tc>
        <w:tc>
          <w:tcPr>
            <w:tcW w:w="711" w:type="dxa"/>
            <w:shd w:val="clear" w:color="000000" w:fill="D9D9D9"/>
            <w:vAlign w:val="center"/>
            <w:hideMark/>
          </w:tcPr>
          <w:p w14:paraId="1FD71DD7" w14:textId="77777777" w:rsidR="007518E6" w:rsidRPr="007518E6" w:rsidRDefault="007518E6" w:rsidP="007518E6">
            <w:pPr>
              <w:pStyle w:val="Tabletext"/>
              <w:jc w:val="center"/>
            </w:pPr>
            <w:r w:rsidRPr="007518E6">
              <w:t>-0.1</w:t>
            </w:r>
          </w:p>
        </w:tc>
        <w:tc>
          <w:tcPr>
            <w:tcW w:w="711" w:type="dxa"/>
            <w:shd w:val="clear" w:color="000000" w:fill="D9D9D9"/>
            <w:vAlign w:val="center"/>
            <w:hideMark/>
          </w:tcPr>
          <w:p w14:paraId="1AA08658" w14:textId="77777777" w:rsidR="007518E6" w:rsidRPr="007518E6" w:rsidRDefault="007518E6" w:rsidP="007518E6">
            <w:pPr>
              <w:pStyle w:val="Tabletext"/>
              <w:jc w:val="center"/>
            </w:pPr>
            <w:r w:rsidRPr="007518E6">
              <w:t>-0.2</w:t>
            </w:r>
          </w:p>
        </w:tc>
        <w:tc>
          <w:tcPr>
            <w:tcW w:w="711" w:type="dxa"/>
            <w:shd w:val="clear" w:color="000000" w:fill="D9D9D9"/>
            <w:vAlign w:val="center"/>
            <w:hideMark/>
          </w:tcPr>
          <w:p w14:paraId="1B4E8B27" w14:textId="77777777" w:rsidR="007518E6" w:rsidRPr="007518E6" w:rsidRDefault="007518E6" w:rsidP="007518E6">
            <w:pPr>
              <w:pStyle w:val="Tabletext"/>
              <w:jc w:val="center"/>
            </w:pPr>
            <w:r w:rsidRPr="007518E6">
              <w:t>-0.3</w:t>
            </w:r>
          </w:p>
        </w:tc>
        <w:tc>
          <w:tcPr>
            <w:tcW w:w="711" w:type="dxa"/>
            <w:shd w:val="clear" w:color="000000" w:fill="D9D9D9"/>
            <w:vAlign w:val="center"/>
            <w:hideMark/>
          </w:tcPr>
          <w:p w14:paraId="2F3D1EF3" w14:textId="77777777" w:rsidR="007518E6" w:rsidRPr="007518E6" w:rsidRDefault="007518E6" w:rsidP="007518E6">
            <w:pPr>
              <w:pStyle w:val="Tabletext"/>
              <w:jc w:val="center"/>
            </w:pPr>
            <w:r w:rsidRPr="007518E6">
              <w:t>-0.3</w:t>
            </w:r>
          </w:p>
        </w:tc>
        <w:tc>
          <w:tcPr>
            <w:tcW w:w="711" w:type="dxa"/>
            <w:shd w:val="clear" w:color="000000" w:fill="D9D9D9"/>
            <w:vAlign w:val="center"/>
            <w:hideMark/>
          </w:tcPr>
          <w:p w14:paraId="56D92A91" w14:textId="77777777" w:rsidR="007518E6" w:rsidRPr="007518E6" w:rsidRDefault="007518E6" w:rsidP="007518E6">
            <w:pPr>
              <w:pStyle w:val="Tabletext"/>
              <w:jc w:val="center"/>
            </w:pPr>
            <w:r w:rsidRPr="007518E6">
              <w:t>-0.3</w:t>
            </w:r>
          </w:p>
        </w:tc>
        <w:tc>
          <w:tcPr>
            <w:tcW w:w="711" w:type="dxa"/>
            <w:shd w:val="clear" w:color="000000" w:fill="D9D9D9"/>
            <w:vAlign w:val="center"/>
            <w:hideMark/>
          </w:tcPr>
          <w:p w14:paraId="6442D1CB" w14:textId="77777777" w:rsidR="007518E6" w:rsidRPr="007518E6" w:rsidRDefault="007518E6" w:rsidP="007518E6">
            <w:pPr>
              <w:pStyle w:val="Tabletext"/>
              <w:jc w:val="center"/>
            </w:pPr>
            <w:r w:rsidRPr="007518E6">
              <w:t>-0.2</w:t>
            </w:r>
          </w:p>
        </w:tc>
        <w:tc>
          <w:tcPr>
            <w:tcW w:w="711" w:type="dxa"/>
            <w:shd w:val="clear" w:color="000000" w:fill="D9D9D9"/>
            <w:vAlign w:val="center"/>
            <w:hideMark/>
          </w:tcPr>
          <w:p w14:paraId="72773FC5" w14:textId="77777777" w:rsidR="007518E6" w:rsidRPr="007518E6" w:rsidRDefault="007518E6" w:rsidP="007518E6">
            <w:pPr>
              <w:pStyle w:val="Tabletext"/>
              <w:jc w:val="center"/>
            </w:pPr>
            <w:r w:rsidRPr="007518E6">
              <w:t>0.2</w:t>
            </w:r>
          </w:p>
        </w:tc>
        <w:tc>
          <w:tcPr>
            <w:tcW w:w="711" w:type="dxa"/>
            <w:shd w:val="clear" w:color="000000" w:fill="D9D9D9"/>
            <w:vAlign w:val="center"/>
            <w:hideMark/>
          </w:tcPr>
          <w:p w14:paraId="63D65F67" w14:textId="77777777" w:rsidR="007518E6" w:rsidRPr="007518E6" w:rsidRDefault="007518E6" w:rsidP="007518E6">
            <w:pPr>
              <w:pStyle w:val="Tabletext"/>
              <w:jc w:val="center"/>
            </w:pPr>
            <w:r w:rsidRPr="007518E6">
              <w:t>0.2</w:t>
            </w:r>
          </w:p>
        </w:tc>
        <w:tc>
          <w:tcPr>
            <w:tcW w:w="711" w:type="dxa"/>
            <w:shd w:val="clear" w:color="000000" w:fill="D9D9D9"/>
            <w:vAlign w:val="center"/>
            <w:hideMark/>
          </w:tcPr>
          <w:p w14:paraId="3216CF8E" w14:textId="77777777" w:rsidR="007518E6" w:rsidRPr="007518E6" w:rsidRDefault="007518E6" w:rsidP="007518E6">
            <w:pPr>
              <w:pStyle w:val="Tabletext"/>
              <w:jc w:val="center"/>
            </w:pPr>
            <w:r w:rsidRPr="007518E6">
              <w:t>0.3</w:t>
            </w:r>
          </w:p>
        </w:tc>
        <w:tc>
          <w:tcPr>
            <w:tcW w:w="711" w:type="dxa"/>
            <w:shd w:val="clear" w:color="000000" w:fill="D9D9D9"/>
            <w:vAlign w:val="center"/>
            <w:hideMark/>
          </w:tcPr>
          <w:p w14:paraId="30254BF6" w14:textId="77777777" w:rsidR="007518E6" w:rsidRPr="007518E6" w:rsidRDefault="007518E6" w:rsidP="007518E6">
            <w:pPr>
              <w:pStyle w:val="Tabletext"/>
              <w:jc w:val="center"/>
            </w:pPr>
            <w:r w:rsidRPr="007518E6">
              <w:t>0.4</w:t>
            </w:r>
          </w:p>
        </w:tc>
      </w:tr>
      <w:tr w:rsidR="007518E6" w:rsidRPr="007518E6" w14:paraId="5B8C2A5C" w14:textId="77777777" w:rsidTr="00C93A0F">
        <w:trPr>
          <w:trHeight w:val="600"/>
          <w:jc w:val="center"/>
        </w:trPr>
        <w:tc>
          <w:tcPr>
            <w:tcW w:w="504" w:type="dxa"/>
            <w:shd w:val="clear" w:color="000000" w:fill="F2F2F2"/>
            <w:vAlign w:val="center"/>
            <w:hideMark/>
          </w:tcPr>
          <w:p w14:paraId="23B691D0" w14:textId="77777777" w:rsidR="007518E6" w:rsidRPr="007518E6" w:rsidRDefault="007518E6" w:rsidP="007518E6">
            <w:pPr>
              <w:pStyle w:val="Tabletext"/>
            </w:pPr>
            <w:r w:rsidRPr="007518E6">
              <w:t>10</w:t>
            </w:r>
          </w:p>
        </w:tc>
        <w:tc>
          <w:tcPr>
            <w:tcW w:w="1764" w:type="dxa"/>
            <w:shd w:val="clear" w:color="000000" w:fill="F2F2F2"/>
            <w:vAlign w:val="center"/>
            <w:hideMark/>
          </w:tcPr>
          <w:p w14:paraId="2E04A2D1" w14:textId="77777777" w:rsidR="007518E6" w:rsidRPr="007518E6" w:rsidRDefault="007518E6" w:rsidP="007518E6">
            <w:pPr>
              <w:pStyle w:val="Tabletext"/>
            </w:pPr>
            <w:r w:rsidRPr="007518E6">
              <w:t xml:space="preserve">Potential GDP </w:t>
            </w:r>
          </w:p>
        </w:tc>
        <w:tc>
          <w:tcPr>
            <w:tcW w:w="912" w:type="dxa"/>
            <w:shd w:val="clear" w:color="000000" w:fill="F2F2F2"/>
            <w:vAlign w:val="center"/>
            <w:hideMark/>
          </w:tcPr>
          <w:p w14:paraId="02E705FE" w14:textId="77777777" w:rsidR="007518E6" w:rsidRPr="007518E6" w:rsidRDefault="007518E6" w:rsidP="007518E6">
            <w:pPr>
              <w:pStyle w:val="Tabletext"/>
            </w:pPr>
            <w:r w:rsidRPr="007518E6">
              <w:t>(growth rate)</w:t>
            </w:r>
          </w:p>
        </w:tc>
        <w:tc>
          <w:tcPr>
            <w:tcW w:w="711" w:type="dxa"/>
            <w:shd w:val="clear" w:color="000000" w:fill="F2F2F2"/>
            <w:vAlign w:val="center"/>
            <w:hideMark/>
          </w:tcPr>
          <w:p w14:paraId="73DDA17C" w14:textId="77777777" w:rsidR="007518E6" w:rsidRPr="007518E6" w:rsidRDefault="007518E6" w:rsidP="007518E6">
            <w:pPr>
              <w:pStyle w:val="Tabletext"/>
              <w:jc w:val="center"/>
            </w:pPr>
            <w:r w:rsidRPr="007518E6">
              <w:t>0.6</w:t>
            </w:r>
          </w:p>
        </w:tc>
        <w:tc>
          <w:tcPr>
            <w:tcW w:w="711" w:type="dxa"/>
            <w:shd w:val="clear" w:color="000000" w:fill="F2F2F2"/>
            <w:vAlign w:val="center"/>
            <w:hideMark/>
          </w:tcPr>
          <w:p w14:paraId="18890571" w14:textId="77777777" w:rsidR="007518E6" w:rsidRPr="007518E6" w:rsidRDefault="007518E6" w:rsidP="007518E6">
            <w:pPr>
              <w:pStyle w:val="Tabletext"/>
              <w:jc w:val="center"/>
            </w:pPr>
            <w:r w:rsidRPr="007518E6">
              <w:t>1.2</w:t>
            </w:r>
          </w:p>
        </w:tc>
        <w:tc>
          <w:tcPr>
            <w:tcW w:w="711" w:type="dxa"/>
            <w:shd w:val="clear" w:color="000000" w:fill="F2F2F2"/>
            <w:vAlign w:val="center"/>
            <w:hideMark/>
          </w:tcPr>
          <w:p w14:paraId="5BA2801D" w14:textId="77777777" w:rsidR="007518E6" w:rsidRPr="007518E6" w:rsidRDefault="007518E6" w:rsidP="007518E6">
            <w:pPr>
              <w:pStyle w:val="Tabletext"/>
              <w:jc w:val="center"/>
            </w:pPr>
            <w:r w:rsidRPr="007518E6">
              <w:t>2.5</w:t>
            </w:r>
          </w:p>
        </w:tc>
        <w:tc>
          <w:tcPr>
            <w:tcW w:w="711" w:type="dxa"/>
            <w:shd w:val="clear" w:color="000000" w:fill="F2F2F2"/>
            <w:vAlign w:val="center"/>
            <w:hideMark/>
          </w:tcPr>
          <w:p w14:paraId="0419BDFE" w14:textId="77777777" w:rsidR="007518E6" w:rsidRPr="007518E6" w:rsidRDefault="007518E6" w:rsidP="007518E6">
            <w:pPr>
              <w:pStyle w:val="Tabletext"/>
              <w:jc w:val="center"/>
            </w:pPr>
            <w:r w:rsidRPr="007518E6">
              <w:t>2.4</w:t>
            </w:r>
          </w:p>
        </w:tc>
        <w:tc>
          <w:tcPr>
            <w:tcW w:w="711" w:type="dxa"/>
            <w:shd w:val="clear" w:color="000000" w:fill="F2F2F2"/>
            <w:vAlign w:val="center"/>
            <w:hideMark/>
          </w:tcPr>
          <w:p w14:paraId="6A9A6A80" w14:textId="77777777" w:rsidR="007518E6" w:rsidRPr="007518E6" w:rsidRDefault="007518E6" w:rsidP="007518E6">
            <w:pPr>
              <w:pStyle w:val="Tabletext"/>
              <w:jc w:val="center"/>
            </w:pPr>
            <w:r w:rsidRPr="007518E6">
              <w:t>1.7</w:t>
            </w:r>
          </w:p>
        </w:tc>
        <w:tc>
          <w:tcPr>
            <w:tcW w:w="711" w:type="dxa"/>
            <w:shd w:val="clear" w:color="000000" w:fill="F2F2F2"/>
            <w:vAlign w:val="center"/>
            <w:hideMark/>
          </w:tcPr>
          <w:p w14:paraId="40F4974D" w14:textId="77777777" w:rsidR="007518E6" w:rsidRPr="007518E6" w:rsidRDefault="007518E6" w:rsidP="007518E6">
            <w:pPr>
              <w:pStyle w:val="Tabletext"/>
              <w:jc w:val="center"/>
            </w:pPr>
            <w:r w:rsidRPr="007518E6">
              <w:t>1.5</w:t>
            </w:r>
          </w:p>
        </w:tc>
        <w:tc>
          <w:tcPr>
            <w:tcW w:w="711" w:type="dxa"/>
            <w:shd w:val="clear" w:color="000000" w:fill="F2F2F2"/>
            <w:vAlign w:val="center"/>
            <w:hideMark/>
          </w:tcPr>
          <w:p w14:paraId="025D46E8" w14:textId="77777777" w:rsidR="007518E6" w:rsidRPr="007518E6" w:rsidRDefault="007518E6" w:rsidP="007518E6">
            <w:pPr>
              <w:pStyle w:val="Tabletext"/>
              <w:jc w:val="center"/>
            </w:pPr>
            <w:r w:rsidRPr="007518E6">
              <w:t>0.0</w:t>
            </w:r>
          </w:p>
        </w:tc>
        <w:tc>
          <w:tcPr>
            <w:tcW w:w="711" w:type="dxa"/>
            <w:shd w:val="clear" w:color="000000" w:fill="F2F2F2"/>
            <w:vAlign w:val="center"/>
            <w:hideMark/>
          </w:tcPr>
          <w:p w14:paraId="4F75F544" w14:textId="77777777" w:rsidR="007518E6" w:rsidRPr="007518E6" w:rsidRDefault="007518E6" w:rsidP="007518E6">
            <w:pPr>
              <w:pStyle w:val="Tabletext"/>
              <w:jc w:val="center"/>
            </w:pPr>
            <w:r w:rsidRPr="007518E6">
              <w:t>-0.2</w:t>
            </w:r>
          </w:p>
        </w:tc>
        <w:tc>
          <w:tcPr>
            <w:tcW w:w="711" w:type="dxa"/>
            <w:shd w:val="clear" w:color="000000" w:fill="F2F2F2"/>
            <w:vAlign w:val="center"/>
            <w:hideMark/>
          </w:tcPr>
          <w:p w14:paraId="7B4F1A61" w14:textId="77777777" w:rsidR="007518E6" w:rsidRPr="007518E6" w:rsidRDefault="007518E6" w:rsidP="007518E6">
            <w:pPr>
              <w:pStyle w:val="Tabletext"/>
              <w:jc w:val="center"/>
            </w:pPr>
            <w:r w:rsidRPr="007518E6">
              <w:t>-0.3</w:t>
            </w:r>
          </w:p>
        </w:tc>
        <w:tc>
          <w:tcPr>
            <w:tcW w:w="711" w:type="dxa"/>
            <w:shd w:val="clear" w:color="000000" w:fill="F2F2F2"/>
            <w:vAlign w:val="center"/>
            <w:hideMark/>
          </w:tcPr>
          <w:p w14:paraId="24B3E291" w14:textId="77777777" w:rsidR="007518E6" w:rsidRPr="007518E6" w:rsidRDefault="007518E6" w:rsidP="007518E6">
            <w:pPr>
              <w:pStyle w:val="Tabletext"/>
              <w:jc w:val="center"/>
            </w:pPr>
            <w:r w:rsidRPr="007518E6">
              <w:t>-0.3</w:t>
            </w:r>
          </w:p>
        </w:tc>
        <w:tc>
          <w:tcPr>
            <w:tcW w:w="711" w:type="dxa"/>
            <w:shd w:val="clear" w:color="000000" w:fill="F2F2F2"/>
            <w:vAlign w:val="center"/>
            <w:hideMark/>
          </w:tcPr>
          <w:p w14:paraId="24079ABC" w14:textId="77777777" w:rsidR="007518E6" w:rsidRPr="007518E6" w:rsidRDefault="007518E6" w:rsidP="007518E6">
            <w:pPr>
              <w:pStyle w:val="Tabletext"/>
              <w:jc w:val="center"/>
            </w:pPr>
            <w:r w:rsidRPr="007518E6">
              <w:t>-0.3</w:t>
            </w:r>
          </w:p>
        </w:tc>
        <w:tc>
          <w:tcPr>
            <w:tcW w:w="711" w:type="dxa"/>
            <w:shd w:val="clear" w:color="000000" w:fill="F2F2F2"/>
            <w:vAlign w:val="center"/>
            <w:hideMark/>
          </w:tcPr>
          <w:p w14:paraId="52C7F1C4" w14:textId="77777777" w:rsidR="007518E6" w:rsidRPr="007518E6" w:rsidRDefault="007518E6" w:rsidP="007518E6">
            <w:pPr>
              <w:pStyle w:val="Tabletext"/>
              <w:jc w:val="center"/>
            </w:pPr>
            <w:r w:rsidRPr="007518E6">
              <w:t>-0.2</w:t>
            </w:r>
          </w:p>
        </w:tc>
        <w:tc>
          <w:tcPr>
            <w:tcW w:w="711" w:type="dxa"/>
            <w:shd w:val="clear" w:color="000000" w:fill="F2F2F2"/>
            <w:vAlign w:val="center"/>
            <w:hideMark/>
          </w:tcPr>
          <w:p w14:paraId="5B92D361" w14:textId="77777777" w:rsidR="007518E6" w:rsidRPr="007518E6" w:rsidRDefault="007518E6" w:rsidP="007518E6">
            <w:pPr>
              <w:pStyle w:val="Tabletext"/>
              <w:jc w:val="center"/>
            </w:pPr>
            <w:r w:rsidRPr="007518E6">
              <w:t>0.2</w:t>
            </w:r>
          </w:p>
        </w:tc>
        <w:tc>
          <w:tcPr>
            <w:tcW w:w="711" w:type="dxa"/>
            <w:shd w:val="clear" w:color="000000" w:fill="F2F2F2"/>
            <w:vAlign w:val="center"/>
            <w:hideMark/>
          </w:tcPr>
          <w:p w14:paraId="2AC40EA6" w14:textId="77777777" w:rsidR="007518E6" w:rsidRPr="007518E6" w:rsidRDefault="007518E6" w:rsidP="007518E6">
            <w:pPr>
              <w:pStyle w:val="Tabletext"/>
              <w:jc w:val="center"/>
            </w:pPr>
            <w:r w:rsidRPr="007518E6">
              <w:t>0.2</w:t>
            </w:r>
          </w:p>
        </w:tc>
        <w:tc>
          <w:tcPr>
            <w:tcW w:w="711" w:type="dxa"/>
            <w:shd w:val="clear" w:color="000000" w:fill="F2F2F2"/>
            <w:vAlign w:val="center"/>
            <w:hideMark/>
          </w:tcPr>
          <w:p w14:paraId="3E72CB0D" w14:textId="77777777" w:rsidR="007518E6" w:rsidRPr="007518E6" w:rsidRDefault="007518E6" w:rsidP="007518E6">
            <w:pPr>
              <w:pStyle w:val="Tabletext"/>
              <w:jc w:val="center"/>
            </w:pPr>
            <w:r w:rsidRPr="007518E6">
              <w:t>0.3</w:t>
            </w:r>
          </w:p>
        </w:tc>
        <w:tc>
          <w:tcPr>
            <w:tcW w:w="711" w:type="dxa"/>
            <w:shd w:val="clear" w:color="000000" w:fill="F2F2F2"/>
            <w:vAlign w:val="center"/>
            <w:hideMark/>
          </w:tcPr>
          <w:p w14:paraId="54E475E8" w14:textId="77777777" w:rsidR="007518E6" w:rsidRPr="007518E6" w:rsidRDefault="007518E6" w:rsidP="007518E6">
            <w:pPr>
              <w:pStyle w:val="Tabletext"/>
              <w:jc w:val="center"/>
            </w:pPr>
            <w:r w:rsidRPr="007518E6">
              <w:t>0.4</w:t>
            </w:r>
          </w:p>
        </w:tc>
      </w:tr>
      <w:tr w:rsidR="00EF4019" w:rsidRPr="007518E6" w14:paraId="181746F2" w14:textId="77777777" w:rsidTr="00EF4019">
        <w:trPr>
          <w:trHeight w:val="300"/>
          <w:jc w:val="center"/>
        </w:trPr>
        <w:tc>
          <w:tcPr>
            <w:tcW w:w="504" w:type="dxa"/>
            <w:shd w:val="clear" w:color="auto" w:fill="BFBFBF" w:themeFill="background1" w:themeFillShade="BF"/>
            <w:vAlign w:val="center"/>
            <w:hideMark/>
          </w:tcPr>
          <w:p w14:paraId="2B41E689" w14:textId="77777777" w:rsidR="007518E6" w:rsidRPr="007518E6" w:rsidRDefault="007518E6" w:rsidP="007518E6">
            <w:pPr>
              <w:pStyle w:val="Tabletext"/>
              <w:rPr>
                <w:rFonts w:ascii="Arial" w:hAnsi="Arial" w:cs="Arial"/>
                <w:b/>
                <w:bCs/>
                <w:color w:val="000000"/>
                <w:sz w:val="20"/>
                <w:szCs w:val="20"/>
              </w:rPr>
            </w:pPr>
            <w:r w:rsidRPr="007518E6">
              <w:rPr>
                <w:rFonts w:ascii="Arial" w:hAnsi="Arial" w:cs="Arial"/>
                <w:b/>
                <w:bCs/>
                <w:color w:val="000000"/>
                <w:sz w:val="20"/>
                <w:szCs w:val="20"/>
              </w:rPr>
              <w:t> </w:t>
            </w:r>
          </w:p>
        </w:tc>
        <w:tc>
          <w:tcPr>
            <w:tcW w:w="2676" w:type="dxa"/>
            <w:gridSpan w:val="2"/>
            <w:shd w:val="clear" w:color="auto" w:fill="BFBFBF" w:themeFill="background1" w:themeFillShade="BF"/>
            <w:vAlign w:val="center"/>
            <w:hideMark/>
          </w:tcPr>
          <w:p w14:paraId="1A35EAD1" w14:textId="77777777" w:rsidR="007518E6" w:rsidRPr="007518E6" w:rsidRDefault="007518E6" w:rsidP="007518E6">
            <w:pPr>
              <w:pStyle w:val="Tabletext"/>
              <w:rPr>
                <w:rFonts w:ascii="Arial" w:hAnsi="Arial" w:cs="Arial"/>
                <w:b/>
                <w:bCs/>
                <w:color w:val="000000"/>
                <w:sz w:val="20"/>
                <w:szCs w:val="20"/>
              </w:rPr>
            </w:pPr>
            <w:r w:rsidRPr="007518E6">
              <w:rPr>
                <w:rFonts w:ascii="Arial" w:hAnsi="Arial" w:cs="Arial"/>
                <w:b/>
                <w:bCs/>
                <w:color w:val="000000"/>
                <w:sz w:val="20"/>
                <w:szCs w:val="20"/>
              </w:rPr>
              <w:t> </w:t>
            </w:r>
            <w:r w:rsidR="00DB0B0B">
              <w:rPr>
                <w:rFonts w:ascii="Arial" w:hAnsi="Arial" w:cs="Arial"/>
                <w:b/>
                <w:bCs/>
                <w:color w:val="000000"/>
                <w:sz w:val="20"/>
                <w:szCs w:val="20"/>
              </w:rPr>
              <w:t>Stochastic simulation</w:t>
            </w:r>
          </w:p>
        </w:tc>
        <w:tc>
          <w:tcPr>
            <w:tcW w:w="711" w:type="dxa"/>
            <w:shd w:val="clear" w:color="auto" w:fill="BFBFBF" w:themeFill="background1" w:themeFillShade="BF"/>
            <w:vAlign w:val="center"/>
            <w:hideMark/>
          </w:tcPr>
          <w:p w14:paraId="217E0D9F"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BDD615A"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6ECBCAB"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30ED970"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BB89E7E"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4A5048B"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9AC07E3"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77B75C90"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5066FCFE"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A047FB5"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39A3F7A7"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6260A4A5"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30994C1F"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040A169C"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12120DE1" w14:textId="77777777" w:rsidR="007518E6" w:rsidRPr="007518E6" w:rsidRDefault="007518E6" w:rsidP="007518E6">
            <w:pPr>
              <w:pStyle w:val="Tabletext"/>
              <w:jc w:val="center"/>
              <w:rPr>
                <w:rFonts w:ascii="Arial" w:hAnsi="Arial" w:cs="Arial"/>
                <w:b/>
                <w:bCs/>
                <w:color w:val="000000"/>
                <w:sz w:val="20"/>
                <w:szCs w:val="20"/>
              </w:rPr>
            </w:pPr>
          </w:p>
        </w:tc>
        <w:tc>
          <w:tcPr>
            <w:tcW w:w="711" w:type="dxa"/>
            <w:shd w:val="clear" w:color="auto" w:fill="BFBFBF" w:themeFill="background1" w:themeFillShade="BF"/>
            <w:vAlign w:val="center"/>
            <w:hideMark/>
          </w:tcPr>
          <w:p w14:paraId="59AB34D9" w14:textId="77777777" w:rsidR="007518E6" w:rsidRPr="007518E6" w:rsidRDefault="007518E6" w:rsidP="007518E6">
            <w:pPr>
              <w:pStyle w:val="Tabletext"/>
              <w:jc w:val="center"/>
              <w:rPr>
                <w:rFonts w:ascii="Arial" w:hAnsi="Arial" w:cs="Arial"/>
                <w:b/>
                <w:bCs/>
                <w:color w:val="000000"/>
                <w:sz w:val="20"/>
                <w:szCs w:val="20"/>
              </w:rPr>
            </w:pPr>
          </w:p>
        </w:tc>
      </w:tr>
      <w:tr w:rsidR="007518E6" w:rsidRPr="007518E6" w14:paraId="35EF2FE5" w14:textId="77777777" w:rsidTr="00C93A0F">
        <w:trPr>
          <w:trHeight w:val="900"/>
          <w:jc w:val="center"/>
        </w:trPr>
        <w:tc>
          <w:tcPr>
            <w:tcW w:w="504" w:type="dxa"/>
            <w:shd w:val="clear" w:color="000000" w:fill="F2F2F2"/>
            <w:vAlign w:val="center"/>
            <w:hideMark/>
          </w:tcPr>
          <w:p w14:paraId="50096AC9" w14:textId="77777777" w:rsidR="007518E6" w:rsidRPr="007518E6" w:rsidRDefault="007518E6" w:rsidP="007518E6">
            <w:pPr>
              <w:pStyle w:val="Tabletext"/>
            </w:pPr>
            <w:r w:rsidRPr="007518E6">
              <w:t>11</w:t>
            </w:r>
          </w:p>
        </w:tc>
        <w:tc>
          <w:tcPr>
            <w:tcW w:w="1764" w:type="dxa"/>
            <w:shd w:val="clear" w:color="000000" w:fill="F2F2F2"/>
            <w:vAlign w:val="center"/>
            <w:hideMark/>
          </w:tcPr>
          <w:p w14:paraId="145275B1" w14:textId="77777777" w:rsidR="007518E6" w:rsidRPr="007518E6" w:rsidRDefault="007518E6" w:rsidP="007518E6">
            <w:pPr>
              <w:pStyle w:val="Tabletext"/>
            </w:pPr>
            <w:r w:rsidRPr="007518E6">
              <w:t xml:space="preserve">Probability of debt being below its value in T+4/7 </w:t>
            </w:r>
          </w:p>
        </w:tc>
        <w:tc>
          <w:tcPr>
            <w:tcW w:w="912" w:type="dxa"/>
            <w:shd w:val="clear" w:color="000000" w:fill="F2F2F2"/>
            <w:vAlign w:val="center"/>
            <w:hideMark/>
          </w:tcPr>
          <w:p w14:paraId="3A79C485" w14:textId="77777777" w:rsidR="007518E6" w:rsidRPr="007518E6" w:rsidRDefault="007518E6" w:rsidP="007518E6">
            <w:pPr>
              <w:pStyle w:val="Tabletext"/>
            </w:pPr>
            <w:r w:rsidRPr="007518E6">
              <w:t xml:space="preserve">(%) </w:t>
            </w:r>
          </w:p>
        </w:tc>
        <w:tc>
          <w:tcPr>
            <w:tcW w:w="711" w:type="dxa"/>
            <w:shd w:val="clear" w:color="000000" w:fill="F2F2F2"/>
            <w:vAlign w:val="center"/>
            <w:hideMark/>
          </w:tcPr>
          <w:p w14:paraId="6C74E526" w14:textId="44416AF8" w:rsidR="007518E6" w:rsidRPr="007518E6" w:rsidRDefault="000D61B3" w:rsidP="007518E6">
            <w:pPr>
              <w:pStyle w:val="Tabletext"/>
              <w:jc w:val="center"/>
            </w:pPr>
            <w:r>
              <w:t>7</w:t>
            </w:r>
            <w:r w:rsidR="00502748">
              <w:t>1</w:t>
            </w:r>
            <w:r w:rsidR="007518E6" w:rsidRPr="007518E6">
              <w:t>.</w:t>
            </w:r>
            <w:r w:rsidR="00502748">
              <w:t>8</w:t>
            </w:r>
          </w:p>
        </w:tc>
        <w:tc>
          <w:tcPr>
            <w:tcW w:w="711" w:type="dxa"/>
            <w:shd w:val="clear" w:color="000000" w:fill="F2F2F2"/>
            <w:vAlign w:val="center"/>
            <w:hideMark/>
          </w:tcPr>
          <w:p w14:paraId="5B87E3E8" w14:textId="77777777" w:rsidR="007518E6" w:rsidRPr="007518E6" w:rsidRDefault="007518E6" w:rsidP="007518E6">
            <w:pPr>
              <w:pStyle w:val="Tabletext"/>
              <w:jc w:val="center"/>
            </w:pPr>
          </w:p>
        </w:tc>
        <w:tc>
          <w:tcPr>
            <w:tcW w:w="711" w:type="dxa"/>
            <w:shd w:val="clear" w:color="000000" w:fill="F2F2F2"/>
            <w:vAlign w:val="center"/>
            <w:hideMark/>
          </w:tcPr>
          <w:p w14:paraId="073F13ED" w14:textId="77777777" w:rsidR="007518E6" w:rsidRPr="007518E6" w:rsidRDefault="007518E6" w:rsidP="007518E6">
            <w:pPr>
              <w:pStyle w:val="Tabletext"/>
              <w:jc w:val="center"/>
            </w:pPr>
          </w:p>
        </w:tc>
        <w:tc>
          <w:tcPr>
            <w:tcW w:w="711" w:type="dxa"/>
            <w:shd w:val="clear" w:color="000000" w:fill="F2F2F2"/>
            <w:vAlign w:val="center"/>
            <w:hideMark/>
          </w:tcPr>
          <w:p w14:paraId="19EC1A01" w14:textId="77777777" w:rsidR="007518E6" w:rsidRPr="007518E6" w:rsidRDefault="007518E6" w:rsidP="007518E6">
            <w:pPr>
              <w:pStyle w:val="Tabletext"/>
              <w:jc w:val="center"/>
            </w:pPr>
          </w:p>
        </w:tc>
        <w:tc>
          <w:tcPr>
            <w:tcW w:w="711" w:type="dxa"/>
            <w:shd w:val="clear" w:color="000000" w:fill="F2F2F2"/>
            <w:vAlign w:val="center"/>
            <w:hideMark/>
          </w:tcPr>
          <w:p w14:paraId="11AE66F7" w14:textId="77777777" w:rsidR="007518E6" w:rsidRPr="007518E6" w:rsidRDefault="007518E6" w:rsidP="007518E6">
            <w:pPr>
              <w:pStyle w:val="Tabletext"/>
              <w:jc w:val="center"/>
            </w:pPr>
          </w:p>
        </w:tc>
        <w:tc>
          <w:tcPr>
            <w:tcW w:w="711" w:type="dxa"/>
            <w:shd w:val="clear" w:color="000000" w:fill="F2F2F2"/>
            <w:vAlign w:val="center"/>
            <w:hideMark/>
          </w:tcPr>
          <w:p w14:paraId="6AB0D9F6" w14:textId="77777777" w:rsidR="007518E6" w:rsidRPr="007518E6" w:rsidRDefault="007518E6" w:rsidP="007518E6">
            <w:pPr>
              <w:pStyle w:val="Tabletext"/>
              <w:jc w:val="center"/>
            </w:pPr>
          </w:p>
        </w:tc>
        <w:tc>
          <w:tcPr>
            <w:tcW w:w="711" w:type="dxa"/>
            <w:shd w:val="clear" w:color="000000" w:fill="F2F2F2"/>
            <w:vAlign w:val="center"/>
            <w:hideMark/>
          </w:tcPr>
          <w:p w14:paraId="1DA6901B" w14:textId="77777777" w:rsidR="007518E6" w:rsidRPr="007518E6" w:rsidRDefault="007518E6" w:rsidP="007518E6">
            <w:pPr>
              <w:pStyle w:val="Tabletext"/>
              <w:jc w:val="center"/>
            </w:pPr>
          </w:p>
        </w:tc>
        <w:tc>
          <w:tcPr>
            <w:tcW w:w="711" w:type="dxa"/>
            <w:shd w:val="clear" w:color="000000" w:fill="F2F2F2"/>
            <w:vAlign w:val="center"/>
            <w:hideMark/>
          </w:tcPr>
          <w:p w14:paraId="19F31834" w14:textId="77777777" w:rsidR="007518E6" w:rsidRPr="007518E6" w:rsidRDefault="007518E6" w:rsidP="007518E6">
            <w:pPr>
              <w:pStyle w:val="Tabletext"/>
              <w:jc w:val="center"/>
            </w:pPr>
          </w:p>
        </w:tc>
        <w:tc>
          <w:tcPr>
            <w:tcW w:w="711" w:type="dxa"/>
            <w:shd w:val="clear" w:color="000000" w:fill="F2F2F2"/>
            <w:vAlign w:val="center"/>
            <w:hideMark/>
          </w:tcPr>
          <w:p w14:paraId="1DF445CE" w14:textId="77777777" w:rsidR="007518E6" w:rsidRPr="007518E6" w:rsidRDefault="007518E6" w:rsidP="007518E6">
            <w:pPr>
              <w:pStyle w:val="Tabletext"/>
              <w:jc w:val="center"/>
            </w:pPr>
          </w:p>
        </w:tc>
        <w:tc>
          <w:tcPr>
            <w:tcW w:w="711" w:type="dxa"/>
            <w:shd w:val="clear" w:color="000000" w:fill="F2F2F2"/>
            <w:vAlign w:val="center"/>
            <w:hideMark/>
          </w:tcPr>
          <w:p w14:paraId="3F26AB2E" w14:textId="77777777" w:rsidR="007518E6" w:rsidRPr="007518E6" w:rsidRDefault="007518E6" w:rsidP="007518E6">
            <w:pPr>
              <w:pStyle w:val="Tabletext"/>
              <w:jc w:val="center"/>
            </w:pPr>
          </w:p>
        </w:tc>
        <w:tc>
          <w:tcPr>
            <w:tcW w:w="711" w:type="dxa"/>
            <w:shd w:val="clear" w:color="000000" w:fill="F2F2F2"/>
            <w:vAlign w:val="center"/>
            <w:hideMark/>
          </w:tcPr>
          <w:p w14:paraId="4981D828" w14:textId="77777777" w:rsidR="007518E6" w:rsidRPr="007518E6" w:rsidRDefault="007518E6" w:rsidP="007518E6">
            <w:pPr>
              <w:pStyle w:val="Tabletext"/>
              <w:jc w:val="center"/>
            </w:pPr>
          </w:p>
        </w:tc>
        <w:tc>
          <w:tcPr>
            <w:tcW w:w="711" w:type="dxa"/>
            <w:shd w:val="clear" w:color="000000" w:fill="F2F2F2"/>
            <w:vAlign w:val="center"/>
            <w:hideMark/>
          </w:tcPr>
          <w:p w14:paraId="154E4535" w14:textId="77777777" w:rsidR="007518E6" w:rsidRPr="007518E6" w:rsidRDefault="007518E6" w:rsidP="007518E6">
            <w:pPr>
              <w:pStyle w:val="Tabletext"/>
              <w:jc w:val="center"/>
            </w:pPr>
          </w:p>
        </w:tc>
        <w:tc>
          <w:tcPr>
            <w:tcW w:w="711" w:type="dxa"/>
            <w:shd w:val="clear" w:color="000000" w:fill="F2F2F2"/>
            <w:vAlign w:val="center"/>
            <w:hideMark/>
          </w:tcPr>
          <w:p w14:paraId="76C1D173" w14:textId="77777777" w:rsidR="007518E6" w:rsidRPr="007518E6" w:rsidRDefault="007518E6" w:rsidP="007518E6">
            <w:pPr>
              <w:pStyle w:val="Tabletext"/>
              <w:jc w:val="center"/>
            </w:pPr>
          </w:p>
        </w:tc>
        <w:tc>
          <w:tcPr>
            <w:tcW w:w="711" w:type="dxa"/>
            <w:shd w:val="clear" w:color="000000" w:fill="F2F2F2"/>
            <w:vAlign w:val="center"/>
            <w:hideMark/>
          </w:tcPr>
          <w:p w14:paraId="048D28C2" w14:textId="77777777" w:rsidR="007518E6" w:rsidRPr="007518E6" w:rsidRDefault="007518E6" w:rsidP="007518E6">
            <w:pPr>
              <w:pStyle w:val="Tabletext"/>
              <w:jc w:val="center"/>
            </w:pPr>
          </w:p>
        </w:tc>
        <w:tc>
          <w:tcPr>
            <w:tcW w:w="711" w:type="dxa"/>
            <w:shd w:val="clear" w:color="000000" w:fill="F2F2F2"/>
            <w:vAlign w:val="center"/>
            <w:hideMark/>
          </w:tcPr>
          <w:p w14:paraId="3661573F" w14:textId="77777777" w:rsidR="007518E6" w:rsidRPr="007518E6" w:rsidRDefault="007518E6" w:rsidP="007518E6">
            <w:pPr>
              <w:pStyle w:val="Tabletext"/>
              <w:jc w:val="center"/>
            </w:pPr>
          </w:p>
        </w:tc>
        <w:tc>
          <w:tcPr>
            <w:tcW w:w="711" w:type="dxa"/>
            <w:shd w:val="clear" w:color="000000" w:fill="F2F2F2"/>
            <w:vAlign w:val="center"/>
            <w:hideMark/>
          </w:tcPr>
          <w:p w14:paraId="4F5CCB47" w14:textId="77777777" w:rsidR="007518E6" w:rsidRPr="007518E6" w:rsidRDefault="007518E6" w:rsidP="007518E6">
            <w:pPr>
              <w:pStyle w:val="Tabletext"/>
              <w:jc w:val="center"/>
            </w:pPr>
          </w:p>
        </w:tc>
      </w:tr>
    </w:tbl>
    <w:p w14:paraId="340D3A83" w14:textId="77777777" w:rsidR="00ED197A" w:rsidRDefault="00ED197A" w:rsidP="002503D5">
      <w:pPr>
        <w:rPr>
          <w:lang w:val="en-US"/>
        </w:rPr>
        <w:sectPr w:rsidR="00ED197A" w:rsidSect="007518E6">
          <w:pgSz w:w="16838" w:h="11906" w:orient="landscape"/>
          <w:pgMar w:top="1077" w:right="1304" w:bottom="851" w:left="1134" w:header="0" w:footer="340" w:gutter="454"/>
          <w:cols w:space="708"/>
          <w:titlePg/>
          <w:docGrid w:linePitch="360"/>
        </w:sectPr>
      </w:pPr>
    </w:p>
    <w:p w14:paraId="7A8A70A7" w14:textId="77777777" w:rsidR="00B20130" w:rsidRPr="00B20130" w:rsidRDefault="00B20130" w:rsidP="00923015">
      <w:pPr>
        <w:pStyle w:val="Heading1"/>
        <w:numPr>
          <w:ilvl w:val="0"/>
          <w:numId w:val="2"/>
        </w:numPr>
        <w:spacing w:after="480"/>
        <w:ind w:left="709" w:hanging="709"/>
        <w:rPr>
          <w:lang w:val="en-US"/>
        </w:rPr>
      </w:pPr>
      <w:bookmarkStart w:id="31" w:name="_Toc178070095"/>
      <w:r w:rsidRPr="00B20130">
        <w:rPr>
          <w:lang w:val="en-US"/>
        </w:rPr>
        <w:lastRenderedPageBreak/>
        <w:t>Contingent liabilities</w:t>
      </w:r>
      <w:bookmarkEnd w:id="31"/>
    </w:p>
    <w:p w14:paraId="2C10B84C" w14:textId="4C389DF6" w:rsidR="00425C9E" w:rsidRDefault="004C1968" w:rsidP="00425C9E">
      <w:pPr>
        <w:rPr>
          <w:lang w:val="en-US"/>
        </w:rPr>
      </w:pPr>
      <w:r>
        <w:rPr>
          <w:lang w:val="en-US"/>
        </w:rPr>
        <w:t>The</w:t>
      </w:r>
      <w:r w:rsidR="00425C9E" w:rsidRPr="00425C9E">
        <w:rPr>
          <w:lang w:val="en-US"/>
        </w:rPr>
        <w:t xml:space="preserve"> </w:t>
      </w:r>
      <w:r w:rsidR="001D21A0">
        <w:rPr>
          <w:lang w:val="en-US"/>
        </w:rPr>
        <w:t>contingent liabilities</w:t>
      </w:r>
      <w:r w:rsidR="00425C9E" w:rsidRPr="00425C9E">
        <w:rPr>
          <w:lang w:val="en-US"/>
        </w:rPr>
        <w:t xml:space="preserve"> from outstanding guarantees by the end of 2023 and 2024</w:t>
      </w:r>
      <w:r>
        <w:rPr>
          <w:lang w:val="en-US"/>
        </w:rPr>
        <w:t xml:space="preserve"> are presented in</w:t>
      </w:r>
      <w:r w:rsidR="0054694F">
        <w:rPr>
          <w:lang w:val="en-US"/>
        </w:rPr>
        <w:t xml:space="preserve"> </w:t>
      </w:r>
      <w:r w:rsidR="0054694F">
        <w:rPr>
          <w:lang w:val="en-US"/>
        </w:rPr>
        <w:fldChar w:fldCharType="begin"/>
      </w:r>
      <w:r w:rsidR="0054694F">
        <w:rPr>
          <w:lang w:val="en-US"/>
        </w:rPr>
        <w:instrText xml:space="preserve"> REF _Ref177640965 \h </w:instrText>
      </w:r>
      <w:r w:rsidR="0054694F">
        <w:rPr>
          <w:lang w:val="en-US"/>
        </w:rPr>
      </w:r>
      <w:r w:rsidR="0054694F">
        <w:rPr>
          <w:lang w:val="en-US"/>
        </w:rPr>
        <w:fldChar w:fldCharType="separate"/>
      </w:r>
      <w:r w:rsidR="00824AAF" w:rsidRPr="00920844">
        <w:rPr>
          <w:lang w:val="en-US"/>
        </w:rPr>
        <w:t xml:space="preserve">Table </w:t>
      </w:r>
      <w:r w:rsidR="00824AAF" w:rsidRPr="00920844">
        <w:rPr>
          <w:noProof/>
          <w:lang w:val="en-US"/>
        </w:rPr>
        <w:t>11</w:t>
      </w:r>
      <w:r w:rsidR="0054694F">
        <w:rPr>
          <w:lang w:val="en-US"/>
        </w:rPr>
        <w:fldChar w:fldCharType="end"/>
      </w:r>
      <w:r w:rsidR="00425C9E" w:rsidRPr="00425C9E">
        <w:rPr>
          <w:lang w:val="en-US"/>
        </w:rPr>
        <w:t>. The part that is linked to the financial sector refers to guarantees granted in the context of the Hercules Asset Protection Scheme, to entities that have purchased NPLs from Greek Banks.</w:t>
      </w:r>
    </w:p>
    <w:p w14:paraId="187AF861" w14:textId="0D63789A" w:rsidR="00C510AC" w:rsidRPr="002D1A95" w:rsidRDefault="005F69C6" w:rsidP="002D1A95">
      <w:pPr>
        <w:pStyle w:val="Table"/>
      </w:pPr>
      <w:bookmarkStart w:id="32" w:name="_Ref177640965"/>
      <w:bookmarkStart w:id="33" w:name="_Toc177747041"/>
      <w:r w:rsidRPr="002D1A95">
        <w:t xml:space="preserve">Table </w:t>
      </w:r>
      <w:r w:rsidR="00337799" w:rsidRPr="002D1A95">
        <w:fldChar w:fldCharType="begin"/>
      </w:r>
      <w:r w:rsidR="00337799" w:rsidRPr="002D1A95">
        <w:instrText xml:space="preserve"> SEQ Table \* ARABIC </w:instrText>
      </w:r>
      <w:r w:rsidR="00337799" w:rsidRPr="002D1A95">
        <w:fldChar w:fldCharType="separate"/>
      </w:r>
      <w:r w:rsidR="00824AAF">
        <w:rPr>
          <w:noProof/>
        </w:rPr>
        <w:t>11</w:t>
      </w:r>
      <w:r w:rsidR="00337799" w:rsidRPr="002D1A95">
        <w:fldChar w:fldCharType="end"/>
      </w:r>
      <w:bookmarkEnd w:id="32"/>
      <w:r w:rsidRPr="002D1A95">
        <w:t xml:space="preserve"> </w:t>
      </w:r>
      <w:r w:rsidR="00337799" w:rsidRPr="002D1A95">
        <w:t xml:space="preserve">| </w:t>
      </w:r>
      <w:r w:rsidRPr="002D1A95">
        <w:t>Contingent liabilities</w:t>
      </w:r>
      <w:bookmarkEnd w:id="33"/>
      <w:r w:rsidR="001D21A0">
        <w:t xml:space="preserve"> - Guarantees</w:t>
      </w:r>
    </w:p>
    <w:tbl>
      <w:tblPr>
        <w:tblW w:w="8896" w:type="dxa"/>
        <w:jc w:val="center"/>
        <w:tblLook w:val="04A0" w:firstRow="1" w:lastRow="0" w:firstColumn="1" w:lastColumn="0" w:noHBand="0" w:noVBand="1"/>
      </w:tblPr>
      <w:tblGrid>
        <w:gridCol w:w="5387"/>
        <w:gridCol w:w="1576"/>
        <w:gridCol w:w="1933"/>
      </w:tblGrid>
      <w:tr w:rsidR="002D5F4A" w:rsidRPr="000B4488" w14:paraId="30BD01B3" w14:textId="77777777" w:rsidTr="00E77D7E">
        <w:trPr>
          <w:trHeight w:val="300"/>
          <w:jc w:val="center"/>
        </w:trPr>
        <w:tc>
          <w:tcPr>
            <w:tcW w:w="5387" w:type="dxa"/>
            <w:tcBorders>
              <w:top w:val="nil"/>
              <w:left w:val="nil"/>
              <w:right w:val="nil"/>
            </w:tcBorders>
            <w:shd w:val="clear" w:color="auto" w:fill="A6A6A6" w:themeFill="background1" w:themeFillShade="A6"/>
            <w:vAlign w:val="center"/>
            <w:hideMark/>
          </w:tcPr>
          <w:p w14:paraId="60D1BCD9" w14:textId="77777777" w:rsidR="002D5F4A" w:rsidRPr="000B4488" w:rsidRDefault="002D5F4A" w:rsidP="00BF0AF4">
            <w:pPr>
              <w:spacing w:after="0" w:line="240" w:lineRule="auto"/>
              <w:jc w:val="center"/>
              <w:rPr>
                <w:rFonts w:ascii="Arial" w:eastAsia="Times New Roman" w:hAnsi="Arial" w:cs="Arial"/>
                <w:b/>
                <w:bCs/>
                <w:color w:val="000000"/>
                <w:sz w:val="20"/>
                <w:szCs w:val="20"/>
              </w:rPr>
            </w:pPr>
            <w:r w:rsidRPr="000B4488">
              <w:rPr>
                <w:rFonts w:ascii="Arial" w:eastAsia="Times New Roman" w:hAnsi="Arial" w:cs="Arial"/>
                <w:b/>
                <w:bCs/>
                <w:color w:val="000000"/>
                <w:sz w:val="20"/>
                <w:szCs w:val="20"/>
              </w:rPr>
              <w:t> </w:t>
            </w:r>
          </w:p>
        </w:tc>
        <w:tc>
          <w:tcPr>
            <w:tcW w:w="1576" w:type="dxa"/>
            <w:tcBorders>
              <w:top w:val="nil"/>
              <w:left w:val="nil"/>
              <w:right w:val="nil"/>
            </w:tcBorders>
            <w:shd w:val="clear" w:color="auto" w:fill="A6A6A6" w:themeFill="background1" w:themeFillShade="A6"/>
            <w:vAlign w:val="center"/>
            <w:hideMark/>
          </w:tcPr>
          <w:p w14:paraId="6946C21F" w14:textId="77777777" w:rsidR="002D5F4A" w:rsidRPr="000B4488" w:rsidRDefault="002D5F4A" w:rsidP="00BF0AF4">
            <w:pPr>
              <w:spacing w:after="0" w:line="240" w:lineRule="auto"/>
              <w:jc w:val="center"/>
              <w:rPr>
                <w:rFonts w:ascii="Arial" w:eastAsia="Times New Roman" w:hAnsi="Arial" w:cs="Arial"/>
                <w:b/>
                <w:bCs/>
                <w:color w:val="000000"/>
                <w:sz w:val="20"/>
                <w:szCs w:val="20"/>
              </w:rPr>
            </w:pPr>
            <w:r w:rsidRPr="000B4488">
              <w:rPr>
                <w:rFonts w:ascii="Arial" w:eastAsia="Times New Roman" w:hAnsi="Arial" w:cs="Arial"/>
                <w:b/>
                <w:bCs/>
                <w:color w:val="000000"/>
                <w:sz w:val="20"/>
                <w:szCs w:val="20"/>
              </w:rPr>
              <w:t>2023</w:t>
            </w:r>
          </w:p>
        </w:tc>
        <w:tc>
          <w:tcPr>
            <w:tcW w:w="1933" w:type="dxa"/>
            <w:tcBorders>
              <w:top w:val="nil"/>
              <w:left w:val="nil"/>
              <w:right w:val="nil"/>
            </w:tcBorders>
            <w:shd w:val="clear" w:color="auto" w:fill="A6A6A6" w:themeFill="background1" w:themeFillShade="A6"/>
            <w:vAlign w:val="center"/>
            <w:hideMark/>
          </w:tcPr>
          <w:p w14:paraId="5A9211AD" w14:textId="77777777" w:rsidR="002D5F4A" w:rsidRPr="000B4488" w:rsidRDefault="002D5F4A" w:rsidP="00BF0AF4">
            <w:pPr>
              <w:spacing w:after="0" w:line="240" w:lineRule="auto"/>
              <w:jc w:val="center"/>
              <w:rPr>
                <w:rFonts w:ascii="Arial" w:eastAsia="Times New Roman" w:hAnsi="Arial" w:cs="Arial"/>
                <w:b/>
                <w:bCs/>
                <w:color w:val="000000"/>
                <w:sz w:val="20"/>
                <w:szCs w:val="20"/>
              </w:rPr>
            </w:pPr>
            <w:r w:rsidRPr="000B4488">
              <w:rPr>
                <w:rFonts w:ascii="Arial" w:eastAsia="Times New Roman" w:hAnsi="Arial" w:cs="Arial"/>
                <w:b/>
                <w:bCs/>
                <w:color w:val="000000"/>
                <w:sz w:val="20"/>
                <w:szCs w:val="20"/>
              </w:rPr>
              <w:t>2024</w:t>
            </w:r>
          </w:p>
        </w:tc>
      </w:tr>
      <w:tr w:rsidR="002D5F4A" w:rsidRPr="000B4488" w14:paraId="6B0E13F4" w14:textId="77777777" w:rsidTr="00E77D7E">
        <w:trPr>
          <w:trHeight w:val="300"/>
          <w:jc w:val="center"/>
        </w:trPr>
        <w:tc>
          <w:tcPr>
            <w:tcW w:w="5387" w:type="dxa"/>
            <w:tcBorders>
              <w:left w:val="nil"/>
              <w:bottom w:val="single" w:sz="4" w:space="0" w:color="FFFFFF" w:themeColor="background1"/>
              <w:right w:val="nil"/>
            </w:tcBorders>
            <w:shd w:val="clear" w:color="auto" w:fill="A6A6A6" w:themeFill="background1" w:themeFillShade="A6"/>
            <w:vAlign w:val="center"/>
            <w:hideMark/>
          </w:tcPr>
          <w:p w14:paraId="5DF7006D" w14:textId="77777777" w:rsidR="002D5F4A" w:rsidRPr="000B4488" w:rsidRDefault="002D5F4A" w:rsidP="00BF0AF4">
            <w:pPr>
              <w:spacing w:after="0" w:line="240" w:lineRule="auto"/>
              <w:jc w:val="center"/>
              <w:rPr>
                <w:rFonts w:ascii="Arial" w:eastAsia="Times New Roman" w:hAnsi="Arial" w:cs="Arial"/>
                <w:b/>
                <w:bCs/>
                <w:color w:val="000000"/>
                <w:sz w:val="18"/>
                <w:szCs w:val="20"/>
              </w:rPr>
            </w:pPr>
            <w:r w:rsidRPr="000B4488">
              <w:rPr>
                <w:rFonts w:ascii="Arial" w:eastAsia="Times New Roman" w:hAnsi="Arial" w:cs="Arial"/>
                <w:b/>
                <w:bCs/>
                <w:color w:val="000000"/>
                <w:sz w:val="18"/>
                <w:szCs w:val="20"/>
              </w:rPr>
              <w:t> </w:t>
            </w:r>
          </w:p>
        </w:tc>
        <w:tc>
          <w:tcPr>
            <w:tcW w:w="3509" w:type="dxa"/>
            <w:gridSpan w:val="2"/>
            <w:tcBorders>
              <w:left w:val="nil"/>
              <w:bottom w:val="single" w:sz="4" w:space="0" w:color="FFFFFF" w:themeColor="background1"/>
              <w:right w:val="nil"/>
            </w:tcBorders>
            <w:shd w:val="clear" w:color="auto" w:fill="A6A6A6" w:themeFill="background1" w:themeFillShade="A6"/>
            <w:vAlign w:val="center"/>
            <w:hideMark/>
          </w:tcPr>
          <w:p w14:paraId="67D82B9D" w14:textId="77777777" w:rsidR="002D5F4A" w:rsidRPr="007011FA" w:rsidRDefault="002D5F4A" w:rsidP="00BF0AF4">
            <w:pPr>
              <w:spacing w:after="0" w:line="240" w:lineRule="auto"/>
              <w:jc w:val="center"/>
              <w:rPr>
                <w:rFonts w:ascii="Arial" w:eastAsia="Times New Roman" w:hAnsi="Arial" w:cs="Arial"/>
                <w:bCs/>
                <w:color w:val="000000"/>
                <w:sz w:val="18"/>
                <w:szCs w:val="20"/>
              </w:rPr>
            </w:pPr>
            <w:r w:rsidRPr="007011FA">
              <w:rPr>
                <w:rFonts w:ascii="Arial" w:eastAsia="Times New Roman" w:hAnsi="Arial" w:cs="Arial"/>
                <w:bCs/>
                <w:color w:val="000000"/>
                <w:sz w:val="18"/>
                <w:szCs w:val="20"/>
              </w:rPr>
              <w:t>% of GDP</w:t>
            </w:r>
          </w:p>
        </w:tc>
      </w:tr>
      <w:tr w:rsidR="002D5F4A" w:rsidRPr="000B4488" w14:paraId="61A39F65" w14:textId="77777777" w:rsidTr="00E77D7E">
        <w:trPr>
          <w:trHeight w:val="300"/>
          <w:jc w:val="center"/>
        </w:trPr>
        <w:tc>
          <w:tcPr>
            <w:tcW w:w="5387"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16206364" w14:textId="77777777" w:rsidR="002D5F4A" w:rsidRPr="000B4488" w:rsidRDefault="002D5F4A" w:rsidP="00BF0AF4">
            <w:pPr>
              <w:spacing w:after="0" w:line="240" w:lineRule="auto"/>
              <w:jc w:val="left"/>
              <w:rPr>
                <w:rFonts w:ascii="Calibri" w:eastAsia="Times New Roman" w:hAnsi="Calibri" w:cs="Calibri"/>
                <w:sz w:val="22"/>
              </w:rPr>
            </w:pPr>
            <w:r w:rsidRPr="000B4488">
              <w:rPr>
                <w:rFonts w:ascii="Calibri" w:eastAsia="Times New Roman" w:hAnsi="Calibri" w:cs="Calibri"/>
                <w:sz w:val="22"/>
              </w:rPr>
              <w:t>Public guarantees</w:t>
            </w:r>
          </w:p>
        </w:tc>
        <w:tc>
          <w:tcPr>
            <w:tcW w:w="1576"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7391AE98" w14:textId="77777777" w:rsidR="002D5F4A" w:rsidRPr="000B4488" w:rsidRDefault="002D5F4A" w:rsidP="00BF0AF4">
            <w:pPr>
              <w:spacing w:after="0" w:line="240" w:lineRule="auto"/>
              <w:jc w:val="center"/>
              <w:rPr>
                <w:rFonts w:ascii="Calibri" w:eastAsia="Times New Roman" w:hAnsi="Calibri" w:cs="Calibri"/>
                <w:sz w:val="22"/>
              </w:rPr>
            </w:pPr>
            <w:r w:rsidRPr="000B4488">
              <w:rPr>
                <w:rFonts w:ascii="Calibri" w:eastAsia="Times New Roman" w:hAnsi="Calibri" w:cs="Calibri"/>
                <w:sz w:val="22"/>
              </w:rPr>
              <w:t>11.3</w:t>
            </w:r>
          </w:p>
        </w:tc>
        <w:tc>
          <w:tcPr>
            <w:tcW w:w="1933" w:type="dxa"/>
            <w:tcBorders>
              <w:top w:val="single" w:sz="4" w:space="0" w:color="FFFFFF" w:themeColor="background1"/>
              <w:left w:val="nil"/>
              <w:bottom w:val="single" w:sz="4" w:space="0" w:color="FFFFFF" w:themeColor="background1"/>
              <w:right w:val="nil"/>
            </w:tcBorders>
            <w:shd w:val="clear" w:color="000000" w:fill="F2F2F2"/>
            <w:vAlign w:val="center"/>
            <w:hideMark/>
          </w:tcPr>
          <w:p w14:paraId="36E3F10F" w14:textId="77777777" w:rsidR="002D5F4A" w:rsidRPr="000B4488" w:rsidRDefault="002D5F4A" w:rsidP="00BF0AF4">
            <w:pPr>
              <w:spacing w:after="0" w:line="240" w:lineRule="auto"/>
              <w:jc w:val="center"/>
              <w:rPr>
                <w:rFonts w:ascii="Calibri" w:eastAsia="Times New Roman" w:hAnsi="Calibri" w:cs="Calibri"/>
                <w:sz w:val="22"/>
              </w:rPr>
            </w:pPr>
            <w:r w:rsidRPr="000B4488">
              <w:rPr>
                <w:rFonts w:ascii="Calibri" w:eastAsia="Times New Roman" w:hAnsi="Calibri" w:cs="Calibri"/>
                <w:sz w:val="22"/>
              </w:rPr>
              <w:t>10.2</w:t>
            </w:r>
          </w:p>
        </w:tc>
      </w:tr>
      <w:tr w:rsidR="002D5F4A" w:rsidRPr="000B4488" w14:paraId="2B49712A" w14:textId="77777777" w:rsidTr="00E77D7E">
        <w:trPr>
          <w:trHeight w:val="300"/>
          <w:jc w:val="center"/>
        </w:trPr>
        <w:tc>
          <w:tcPr>
            <w:tcW w:w="5387" w:type="dxa"/>
            <w:tcBorders>
              <w:top w:val="single" w:sz="4" w:space="0" w:color="FFFFFF" w:themeColor="background1"/>
              <w:left w:val="nil"/>
              <w:bottom w:val="single" w:sz="18" w:space="0" w:color="4F81BD" w:themeColor="accent1"/>
              <w:right w:val="nil"/>
            </w:tcBorders>
            <w:shd w:val="clear" w:color="000000" w:fill="D9D9D9"/>
            <w:vAlign w:val="center"/>
            <w:hideMark/>
          </w:tcPr>
          <w:p w14:paraId="5D26C274" w14:textId="77777777" w:rsidR="002D5F4A" w:rsidRPr="000B4488" w:rsidRDefault="002D5F4A" w:rsidP="00BF0AF4">
            <w:pPr>
              <w:spacing w:after="0" w:line="240" w:lineRule="auto"/>
              <w:ind w:left="604"/>
              <w:jc w:val="left"/>
              <w:rPr>
                <w:rFonts w:ascii="Calibri" w:eastAsia="Times New Roman" w:hAnsi="Calibri" w:cs="Calibri"/>
                <w:sz w:val="22"/>
                <w:lang w:val="en-US"/>
              </w:rPr>
            </w:pPr>
            <w:r w:rsidRPr="000B4488">
              <w:rPr>
                <w:rFonts w:ascii="Calibri" w:eastAsia="Times New Roman" w:hAnsi="Calibri" w:cs="Calibri"/>
                <w:sz w:val="22"/>
                <w:lang w:val="en-US"/>
              </w:rPr>
              <w:t>of which: Public guarantees: linked to the financial sector</w:t>
            </w:r>
          </w:p>
        </w:tc>
        <w:tc>
          <w:tcPr>
            <w:tcW w:w="1576" w:type="dxa"/>
            <w:tcBorders>
              <w:top w:val="single" w:sz="4" w:space="0" w:color="FFFFFF" w:themeColor="background1"/>
              <w:left w:val="nil"/>
              <w:bottom w:val="single" w:sz="18" w:space="0" w:color="4F81BD" w:themeColor="accent1"/>
              <w:right w:val="nil"/>
            </w:tcBorders>
            <w:shd w:val="clear" w:color="000000" w:fill="D9D9D9"/>
            <w:vAlign w:val="center"/>
            <w:hideMark/>
          </w:tcPr>
          <w:p w14:paraId="32FEB109" w14:textId="77777777" w:rsidR="002D5F4A" w:rsidRPr="000B4488" w:rsidRDefault="002D5F4A" w:rsidP="00BF0AF4">
            <w:pPr>
              <w:spacing w:after="0" w:line="240" w:lineRule="auto"/>
              <w:jc w:val="center"/>
              <w:rPr>
                <w:rFonts w:ascii="Calibri" w:eastAsia="Times New Roman" w:hAnsi="Calibri" w:cs="Calibri"/>
                <w:sz w:val="22"/>
              </w:rPr>
            </w:pPr>
            <w:r w:rsidRPr="000B4488">
              <w:rPr>
                <w:rFonts w:ascii="Calibri" w:eastAsia="Times New Roman" w:hAnsi="Calibri" w:cs="Calibri"/>
                <w:sz w:val="22"/>
              </w:rPr>
              <w:t>7.6</w:t>
            </w:r>
          </w:p>
        </w:tc>
        <w:tc>
          <w:tcPr>
            <w:tcW w:w="1933" w:type="dxa"/>
            <w:tcBorders>
              <w:top w:val="single" w:sz="4" w:space="0" w:color="FFFFFF" w:themeColor="background1"/>
              <w:left w:val="nil"/>
              <w:bottom w:val="single" w:sz="18" w:space="0" w:color="4F81BD" w:themeColor="accent1"/>
              <w:right w:val="nil"/>
            </w:tcBorders>
            <w:shd w:val="clear" w:color="000000" w:fill="D9D9D9"/>
            <w:vAlign w:val="center"/>
            <w:hideMark/>
          </w:tcPr>
          <w:p w14:paraId="6FDA7863" w14:textId="77777777" w:rsidR="002D5F4A" w:rsidRPr="000B4488" w:rsidRDefault="002D5F4A" w:rsidP="00BF0AF4">
            <w:pPr>
              <w:spacing w:after="0" w:line="240" w:lineRule="auto"/>
              <w:jc w:val="center"/>
              <w:rPr>
                <w:rFonts w:ascii="Calibri" w:eastAsia="Times New Roman" w:hAnsi="Calibri" w:cs="Calibri"/>
                <w:sz w:val="22"/>
              </w:rPr>
            </w:pPr>
            <w:r w:rsidRPr="000B4488">
              <w:rPr>
                <w:rFonts w:ascii="Calibri" w:eastAsia="Times New Roman" w:hAnsi="Calibri" w:cs="Calibri"/>
                <w:sz w:val="22"/>
              </w:rPr>
              <w:t>7.0</w:t>
            </w:r>
          </w:p>
        </w:tc>
      </w:tr>
    </w:tbl>
    <w:p w14:paraId="614B04A5" w14:textId="77777777" w:rsidR="002D5F4A" w:rsidRPr="005F69C6" w:rsidRDefault="002D5F4A" w:rsidP="005F69C6">
      <w:pPr>
        <w:rPr>
          <w:lang w:val="en-US" w:eastAsia="en-US"/>
        </w:rPr>
      </w:pPr>
    </w:p>
    <w:p w14:paraId="55778B18" w14:textId="27247377" w:rsidR="00425C9E" w:rsidRDefault="0054694F" w:rsidP="00425C9E">
      <w:pPr>
        <w:rPr>
          <w:lang w:val="en-US"/>
        </w:rPr>
      </w:pPr>
      <w:r w:rsidRPr="00087F63">
        <w:rPr>
          <w:lang w:val="en-US"/>
        </w:rPr>
        <w:fldChar w:fldCharType="begin"/>
      </w:r>
      <w:r w:rsidRPr="00087F63">
        <w:rPr>
          <w:lang w:val="en-US"/>
        </w:rPr>
        <w:instrText xml:space="preserve"> REF _Ref177640980 \h </w:instrText>
      </w:r>
      <w:r w:rsidR="00087F63">
        <w:rPr>
          <w:lang w:val="en-US"/>
        </w:rPr>
        <w:instrText xml:space="preserve"> \* MERGEFORMAT </w:instrText>
      </w:r>
      <w:r w:rsidRPr="00087F63">
        <w:rPr>
          <w:lang w:val="en-US"/>
        </w:rPr>
      </w:r>
      <w:r w:rsidRPr="00087F63">
        <w:rPr>
          <w:lang w:val="en-US"/>
        </w:rPr>
        <w:fldChar w:fldCharType="separate"/>
      </w:r>
      <w:r w:rsidR="00824AAF" w:rsidRPr="00920844">
        <w:rPr>
          <w:rStyle w:val="TableChar"/>
          <w:b w:val="0"/>
          <w:bCs/>
          <w:color w:val="auto"/>
          <w:shd w:val="clear" w:color="auto" w:fill="auto"/>
        </w:rPr>
        <w:t>Table</w:t>
      </w:r>
      <w:r w:rsidR="00824AAF" w:rsidRPr="00920844">
        <w:rPr>
          <w:rStyle w:val="TableChar"/>
          <w:color w:val="auto"/>
          <w:shd w:val="clear" w:color="auto" w:fill="auto"/>
        </w:rPr>
        <w:t xml:space="preserve"> </w:t>
      </w:r>
      <w:r w:rsidR="00824AAF" w:rsidRPr="00920844">
        <w:rPr>
          <w:rStyle w:val="TableChar"/>
          <w:b w:val="0"/>
          <w:iCs w:val="0"/>
          <w:noProof/>
          <w:color w:val="auto"/>
          <w:shd w:val="clear" w:color="auto" w:fill="auto"/>
        </w:rPr>
        <w:t>12</w:t>
      </w:r>
      <w:r w:rsidRPr="00087F63">
        <w:rPr>
          <w:lang w:val="en-US"/>
        </w:rPr>
        <w:fldChar w:fldCharType="end"/>
      </w:r>
      <w:r w:rsidR="003F386B" w:rsidRPr="00087F63">
        <w:rPr>
          <w:lang w:val="en-US"/>
        </w:rPr>
        <w:t xml:space="preserve"> </w:t>
      </w:r>
      <w:r w:rsidR="00425C9E" w:rsidRPr="00425C9E">
        <w:rPr>
          <w:lang w:val="en-US"/>
        </w:rPr>
        <w:t xml:space="preserve">presents other sources of </w:t>
      </w:r>
      <w:r w:rsidR="003F386B">
        <w:rPr>
          <w:lang w:val="en-US"/>
        </w:rPr>
        <w:t>c</w:t>
      </w:r>
      <w:r w:rsidR="00425C9E" w:rsidRPr="00425C9E">
        <w:rPr>
          <w:lang w:val="en-US"/>
        </w:rPr>
        <w:t xml:space="preserve">ontingent </w:t>
      </w:r>
      <w:r w:rsidR="003F386B">
        <w:rPr>
          <w:lang w:val="en-US"/>
        </w:rPr>
        <w:t>l</w:t>
      </w:r>
      <w:r w:rsidR="00425C9E" w:rsidRPr="00425C9E">
        <w:rPr>
          <w:lang w:val="en-US"/>
        </w:rPr>
        <w:t>iabilities, namely the value of off-balance Public-Private-Partnerships, the stock of NPLs provided by the general government and the liabilities of government-controlled entities that are classified outside the general government, until the end of 2022</w:t>
      </w:r>
      <w:r w:rsidR="00D96A22">
        <w:rPr>
          <w:lang w:val="en-US"/>
        </w:rPr>
        <w:t xml:space="preserve"> on basis of Eurostat data</w:t>
      </w:r>
      <w:r w:rsidR="00425C9E" w:rsidRPr="00425C9E">
        <w:rPr>
          <w:lang w:val="en-US"/>
        </w:rPr>
        <w:t xml:space="preserve">. Given the time lag of this information, the recent development concerning the increase of loans provided by the government </w:t>
      </w:r>
      <w:r w:rsidR="00D642D5">
        <w:rPr>
          <w:lang w:val="en-US"/>
        </w:rPr>
        <w:t>-</w:t>
      </w:r>
      <w:r w:rsidR="00425C9E" w:rsidRPr="00425C9E">
        <w:rPr>
          <w:lang w:val="en-US"/>
        </w:rPr>
        <w:t>in the context of the RR</w:t>
      </w:r>
      <w:r w:rsidR="003F386B">
        <w:rPr>
          <w:lang w:val="en-US"/>
        </w:rPr>
        <w:t>P</w:t>
      </w:r>
      <w:r w:rsidR="00D642D5">
        <w:rPr>
          <w:lang w:val="en-US"/>
        </w:rPr>
        <w:t>- should be mentioned</w:t>
      </w:r>
      <w:r w:rsidR="00425C9E" w:rsidRPr="00425C9E">
        <w:rPr>
          <w:lang w:val="en-US"/>
        </w:rPr>
        <w:t xml:space="preserve">, </w:t>
      </w:r>
      <w:r w:rsidR="00D642D5">
        <w:rPr>
          <w:lang w:val="en-US"/>
        </w:rPr>
        <w:t>noting that</w:t>
      </w:r>
      <w:r w:rsidR="00425C9E" w:rsidRPr="00425C9E">
        <w:rPr>
          <w:lang w:val="en-US"/>
        </w:rPr>
        <w:t xml:space="preserve"> none of them has been recorded as non-performing so far, given that the RRF loan programmes are still ongoing. </w:t>
      </w:r>
    </w:p>
    <w:p w14:paraId="661FFC0C" w14:textId="3E30213D" w:rsidR="00673F04" w:rsidRPr="00337799" w:rsidRDefault="00673F04" w:rsidP="00337799">
      <w:pPr>
        <w:pStyle w:val="Table"/>
      </w:pPr>
      <w:bookmarkStart w:id="34" w:name="_Ref177640980"/>
      <w:bookmarkStart w:id="35" w:name="_Toc177747042"/>
      <w:r w:rsidRPr="00337799">
        <w:rPr>
          <w:rStyle w:val="TableChar"/>
          <w:b/>
          <w:iCs/>
          <w:shd w:val="clear" w:color="auto" w:fill="auto"/>
        </w:rPr>
        <w:t xml:space="preserve">Table </w:t>
      </w:r>
      <w:r w:rsidR="00337799" w:rsidRPr="00337799">
        <w:rPr>
          <w:rStyle w:val="TableChar"/>
          <w:b/>
          <w:iCs/>
          <w:shd w:val="clear" w:color="auto" w:fill="auto"/>
        </w:rPr>
        <w:fldChar w:fldCharType="begin"/>
      </w:r>
      <w:r w:rsidR="00337799" w:rsidRPr="00337799">
        <w:rPr>
          <w:rStyle w:val="TableChar"/>
          <w:b/>
          <w:iCs/>
          <w:shd w:val="clear" w:color="auto" w:fill="auto"/>
        </w:rPr>
        <w:instrText xml:space="preserve"> SEQ Table \* ARABIC </w:instrText>
      </w:r>
      <w:r w:rsidR="00337799" w:rsidRPr="00337799">
        <w:rPr>
          <w:rStyle w:val="TableChar"/>
          <w:b/>
          <w:iCs/>
          <w:shd w:val="clear" w:color="auto" w:fill="auto"/>
        </w:rPr>
        <w:fldChar w:fldCharType="separate"/>
      </w:r>
      <w:r w:rsidR="00824AAF">
        <w:rPr>
          <w:rStyle w:val="TableChar"/>
          <w:b/>
          <w:iCs/>
          <w:noProof/>
          <w:shd w:val="clear" w:color="auto" w:fill="auto"/>
        </w:rPr>
        <w:t>12</w:t>
      </w:r>
      <w:r w:rsidR="00337799" w:rsidRPr="00337799">
        <w:rPr>
          <w:rStyle w:val="TableChar"/>
          <w:b/>
          <w:iCs/>
          <w:shd w:val="clear" w:color="auto" w:fill="auto"/>
        </w:rPr>
        <w:fldChar w:fldCharType="end"/>
      </w:r>
      <w:bookmarkEnd w:id="34"/>
      <w:r w:rsidRPr="00337799">
        <w:rPr>
          <w:rStyle w:val="TableChar"/>
          <w:b/>
          <w:iCs/>
          <w:shd w:val="clear" w:color="auto" w:fill="auto"/>
        </w:rPr>
        <w:t xml:space="preserve"> </w:t>
      </w:r>
      <w:r w:rsidR="00337799">
        <w:rPr>
          <w:rStyle w:val="TableChar"/>
          <w:b/>
          <w:iCs/>
          <w:shd w:val="clear" w:color="auto" w:fill="auto"/>
        </w:rPr>
        <w:t xml:space="preserve">| </w:t>
      </w:r>
      <w:r w:rsidRPr="00337799">
        <w:rPr>
          <w:rStyle w:val="TableChar"/>
          <w:b/>
          <w:iCs/>
          <w:shd w:val="clear" w:color="auto" w:fill="auto"/>
        </w:rPr>
        <w:t xml:space="preserve">Contingent </w:t>
      </w:r>
      <w:r w:rsidR="000E2DD8">
        <w:rPr>
          <w:rStyle w:val="TableChar"/>
          <w:b/>
          <w:iCs/>
          <w:shd w:val="clear" w:color="auto" w:fill="auto"/>
        </w:rPr>
        <w:t>l</w:t>
      </w:r>
      <w:r w:rsidRPr="00337799">
        <w:rPr>
          <w:rStyle w:val="TableChar"/>
          <w:b/>
          <w:iCs/>
          <w:shd w:val="clear" w:color="auto" w:fill="auto"/>
        </w:rPr>
        <w:t>iabilities of the general government from other sources: PPPs</w:t>
      </w:r>
      <w:r w:rsidRPr="00337799">
        <w:t xml:space="preserve"> recorded off-balance sheet; NPLs; Liabilities of non - GG government controlled entities</w:t>
      </w:r>
      <w:bookmarkEnd w:id="35"/>
    </w:p>
    <w:tbl>
      <w:tblPr>
        <w:tblW w:w="8976" w:type="dxa"/>
        <w:tblLook w:val="04A0" w:firstRow="1" w:lastRow="0" w:firstColumn="1" w:lastColumn="0" w:noHBand="0" w:noVBand="1"/>
      </w:tblPr>
      <w:tblGrid>
        <w:gridCol w:w="6096"/>
        <w:gridCol w:w="960"/>
        <w:gridCol w:w="280"/>
        <w:gridCol w:w="680"/>
        <w:gridCol w:w="960"/>
      </w:tblGrid>
      <w:tr w:rsidR="00882AEC" w:rsidRPr="00882AEC" w14:paraId="62BB7B0D" w14:textId="77777777" w:rsidTr="00882AEC">
        <w:trPr>
          <w:trHeight w:val="300"/>
        </w:trPr>
        <w:tc>
          <w:tcPr>
            <w:tcW w:w="6096" w:type="dxa"/>
            <w:tcBorders>
              <w:top w:val="nil"/>
              <w:left w:val="nil"/>
              <w:right w:val="nil"/>
            </w:tcBorders>
            <w:shd w:val="clear" w:color="000000" w:fill="BFBFBF"/>
            <w:vAlign w:val="center"/>
            <w:hideMark/>
          </w:tcPr>
          <w:p w14:paraId="74153A83" w14:textId="77777777" w:rsidR="00882AEC" w:rsidRPr="00882AEC" w:rsidRDefault="00882AEC" w:rsidP="00882AEC">
            <w:pPr>
              <w:spacing w:after="0" w:line="240" w:lineRule="auto"/>
              <w:jc w:val="left"/>
              <w:rPr>
                <w:rFonts w:ascii="Arial" w:eastAsia="Times New Roman" w:hAnsi="Arial" w:cs="Arial"/>
                <w:b/>
                <w:bCs/>
                <w:color w:val="000000"/>
                <w:sz w:val="20"/>
                <w:szCs w:val="20"/>
                <w:lang w:val="en-US"/>
              </w:rPr>
            </w:pPr>
            <w:r w:rsidRPr="00882AEC">
              <w:rPr>
                <w:rFonts w:ascii="Arial" w:eastAsia="Times New Roman" w:hAnsi="Arial" w:cs="Arial"/>
                <w:b/>
                <w:bCs/>
                <w:color w:val="000000"/>
                <w:sz w:val="20"/>
                <w:szCs w:val="20"/>
                <w:lang w:val="en-US"/>
              </w:rPr>
              <w:t> </w:t>
            </w:r>
          </w:p>
        </w:tc>
        <w:tc>
          <w:tcPr>
            <w:tcW w:w="960" w:type="dxa"/>
            <w:tcBorders>
              <w:top w:val="nil"/>
              <w:left w:val="nil"/>
              <w:right w:val="nil"/>
            </w:tcBorders>
            <w:shd w:val="clear" w:color="000000" w:fill="BFBFBF"/>
            <w:vAlign w:val="center"/>
            <w:hideMark/>
          </w:tcPr>
          <w:p w14:paraId="6D72B1D7" w14:textId="77777777" w:rsidR="00882AEC" w:rsidRPr="00882AEC" w:rsidRDefault="00882AEC" w:rsidP="00882AEC">
            <w:pPr>
              <w:spacing w:after="0" w:line="240" w:lineRule="auto"/>
              <w:jc w:val="center"/>
              <w:rPr>
                <w:rFonts w:ascii="Arial" w:eastAsia="Times New Roman" w:hAnsi="Arial" w:cs="Arial"/>
                <w:b/>
                <w:bCs/>
                <w:color w:val="000000"/>
                <w:sz w:val="20"/>
                <w:szCs w:val="20"/>
              </w:rPr>
            </w:pPr>
            <w:r w:rsidRPr="00882AEC">
              <w:rPr>
                <w:rFonts w:ascii="Arial" w:eastAsia="Times New Roman" w:hAnsi="Arial" w:cs="Arial"/>
                <w:b/>
                <w:bCs/>
                <w:color w:val="000000"/>
                <w:sz w:val="20"/>
                <w:szCs w:val="20"/>
              </w:rPr>
              <w:t>2020</w:t>
            </w:r>
          </w:p>
        </w:tc>
        <w:tc>
          <w:tcPr>
            <w:tcW w:w="960" w:type="dxa"/>
            <w:gridSpan w:val="2"/>
            <w:tcBorders>
              <w:top w:val="nil"/>
              <w:left w:val="nil"/>
              <w:right w:val="nil"/>
            </w:tcBorders>
            <w:shd w:val="clear" w:color="000000" w:fill="BFBFBF"/>
            <w:vAlign w:val="center"/>
            <w:hideMark/>
          </w:tcPr>
          <w:p w14:paraId="641D87DA" w14:textId="77777777" w:rsidR="00882AEC" w:rsidRPr="00882AEC" w:rsidRDefault="00882AEC" w:rsidP="00882AEC">
            <w:pPr>
              <w:spacing w:after="0" w:line="240" w:lineRule="auto"/>
              <w:jc w:val="center"/>
              <w:rPr>
                <w:rFonts w:ascii="Arial" w:eastAsia="Times New Roman" w:hAnsi="Arial" w:cs="Arial"/>
                <w:b/>
                <w:bCs/>
                <w:color w:val="000000"/>
                <w:sz w:val="20"/>
                <w:szCs w:val="20"/>
              </w:rPr>
            </w:pPr>
            <w:r w:rsidRPr="00882AEC">
              <w:rPr>
                <w:rFonts w:ascii="Arial" w:eastAsia="Times New Roman" w:hAnsi="Arial" w:cs="Arial"/>
                <w:b/>
                <w:bCs/>
                <w:color w:val="000000"/>
                <w:sz w:val="20"/>
                <w:szCs w:val="20"/>
              </w:rPr>
              <w:t>2021</w:t>
            </w:r>
          </w:p>
        </w:tc>
        <w:tc>
          <w:tcPr>
            <w:tcW w:w="960" w:type="dxa"/>
            <w:tcBorders>
              <w:top w:val="nil"/>
              <w:left w:val="nil"/>
              <w:right w:val="nil"/>
            </w:tcBorders>
            <w:shd w:val="clear" w:color="000000" w:fill="BFBFBF"/>
            <w:vAlign w:val="center"/>
            <w:hideMark/>
          </w:tcPr>
          <w:p w14:paraId="5BF1B50C" w14:textId="77777777" w:rsidR="00882AEC" w:rsidRPr="00882AEC" w:rsidRDefault="00882AEC" w:rsidP="00882AEC">
            <w:pPr>
              <w:spacing w:after="0" w:line="240" w:lineRule="auto"/>
              <w:jc w:val="center"/>
              <w:rPr>
                <w:rFonts w:ascii="Arial" w:eastAsia="Times New Roman" w:hAnsi="Arial" w:cs="Arial"/>
                <w:b/>
                <w:bCs/>
                <w:color w:val="000000"/>
                <w:sz w:val="20"/>
                <w:szCs w:val="20"/>
              </w:rPr>
            </w:pPr>
            <w:r w:rsidRPr="00882AEC">
              <w:rPr>
                <w:rFonts w:ascii="Arial" w:eastAsia="Times New Roman" w:hAnsi="Arial" w:cs="Arial"/>
                <w:b/>
                <w:bCs/>
                <w:color w:val="000000"/>
                <w:sz w:val="20"/>
                <w:szCs w:val="20"/>
              </w:rPr>
              <w:t>2022</w:t>
            </w:r>
          </w:p>
        </w:tc>
      </w:tr>
      <w:tr w:rsidR="00882AEC" w:rsidRPr="00882AEC" w14:paraId="097E1D55" w14:textId="77777777" w:rsidTr="00882AEC">
        <w:trPr>
          <w:trHeight w:val="510"/>
        </w:trPr>
        <w:tc>
          <w:tcPr>
            <w:tcW w:w="6096" w:type="dxa"/>
            <w:tcBorders>
              <w:left w:val="nil"/>
              <w:bottom w:val="single" w:sz="4" w:space="0" w:color="FFFFFF"/>
              <w:right w:val="nil"/>
            </w:tcBorders>
            <w:shd w:val="clear" w:color="000000" w:fill="BFBFBF"/>
            <w:vAlign w:val="center"/>
            <w:hideMark/>
          </w:tcPr>
          <w:p w14:paraId="4D6C9EED" w14:textId="77777777" w:rsidR="00882AEC" w:rsidRPr="00882AEC" w:rsidRDefault="00882AEC" w:rsidP="00882AEC">
            <w:pPr>
              <w:spacing w:after="0" w:line="240" w:lineRule="auto"/>
              <w:jc w:val="left"/>
              <w:rPr>
                <w:rFonts w:ascii="Arial" w:eastAsia="Times New Roman" w:hAnsi="Arial" w:cs="Arial"/>
                <w:b/>
                <w:bCs/>
                <w:color w:val="000000"/>
                <w:sz w:val="20"/>
                <w:szCs w:val="20"/>
              </w:rPr>
            </w:pPr>
          </w:p>
        </w:tc>
        <w:tc>
          <w:tcPr>
            <w:tcW w:w="2880" w:type="dxa"/>
            <w:gridSpan w:val="4"/>
            <w:tcBorders>
              <w:left w:val="nil"/>
              <w:bottom w:val="single" w:sz="4" w:space="0" w:color="FFFFFF"/>
              <w:right w:val="nil"/>
            </w:tcBorders>
            <w:shd w:val="clear" w:color="000000" w:fill="BFBFBF"/>
            <w:vAlign w:val="center"/>
            <w:hideMark/>
          </w:tcPr>
          <w:p w14:paraId="5B19D7F1" w14:textId="77777777" w:rsidR="00882AEC" w:rsidRPr="007011FA" w:rsidRDefault="00882AEC" w:rsidP="00882AEC">
            <w:pPr>
              <w:spacing w:after="0" w:line="240" w:lineRule="auto"/>
              <w:jc w:val="center"/>
              <w:rPr>
                <w:rFonts w:ascii="Arial" w:eastAsia="Times New Roman" w:hAnsi="Arial" w:cs="Arial"/>
                <w:bCs/>
                <w:color w:val="000000"/>
                <w:sz w:val="18"/>
                <w:szCs w:val="20"/>
              </w:rPr>
            </w:pPr>
            <w:r w:rsidRPr="007011FA">
              <w:rPr>
                <w:rFonts w:ascii="Arial" w:eastAsia="Times New Roman" w:hAnsi="Arial" w:cs="Arial"/>
                <w:bCs/>
                <w:color w:val="000000"/>
                <w:sz w:val="18"/>
                <w:szCs w:val="20"/>
              </w:rPr>
              <w:t>% of GDP</w:t>
            </w:r>
          </w:p>
        </w:tc>
      </w:tr>
      <w:tr w:rsidR="00882AEC" w:rsidRPr="00882AEC" w14:paraId="6AE453AA" w14:textId="77777777" w:rsidTr="00882AEC">
        <w:trPr>
          <w:trHeight w:val="300"/>
        </w:trPr>
        <w:tc>
          <w:tcPr>
            <w:tcW w:w="6096" w:type="dxa"/>
            <w:tcBorders>
              <w:top w:val="nil"/>
              <w:left w:val="nil"/>
              <w:bottom w:val="single" w:sz="4" w:space="0" w:color="FFFFFF"/>
              <w:right w:val="nil"/>
            </w:tcBorders>
            <w:shd w:val="clear" w:color="000000" w:fill="F2F2F2"/>
            <w:vAlign w:val="center"/>
            <w:hideMark/>
          </w:tcPr>
          <w:p w14:paraId="4638051E" w14:textId="77777777" w:rsidR="00882AEC" w:rsidRPr="00882AEC" w:rsidRDefault="00882AEC" w:rsidP="00882AEC">
            <w:pPr>
              <w:spacing w:after="0" w:line="240" w:lineRule="auto"/>
              <w:jc w:val="left"/>
              <w:rPr>
                <w:rFonts w:ascii="Calibri" w:eastAsia="Times New Roman" w:hAnsi="Calibri" w:cs="Calibri"/>
                <w:sz w:val="22"/>
                <w:lang w:val="en-US"/>
              </w:rPr>
            </w:pPr>
            <w:r w:rsidRPr="00882AEC">
              <w:rPr>
                <w:rFonts w:ascii="Calibri" w:eastAsia="Times New Roman" w:hAnsi="Calibri" w:cs="Calibri"/>
                <w:sz w:val="22"/>
                <w:lang w:val="en-US"/>
              </w:rPr>
              <w:t>Adjusted capital value of off-balance PPPs</w:t>
            </w:r>
          </w:p>
        </w:tc>
        <w:tc>
          <w:tcPr>
            <w:tcW w:w="960" w:type="dxa"/>
            <w:tcBorders>
              <w:top w:val="nil"/>
              <w:left w:val="nil"/>
              <w:bottom w:val="single" w:sz="4" w:space="0" w:color="FFFFFF"/>
              <w:right w:val="nil"/>
            </w:tcBorders>
            <w:shd w:val="clear" w:color="000000" w:fill="F2F2F2"/>
            <w:vAlign w:val="center"/>
            <w:hideMark/>
          </w:tcPr>
          <w:p w14:paraId="6E29356C"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0.2</w:t>
            </w:r>
          </w:p>
        </w:tc>
        <w:tc>
          <w:tcPr>
            <w:tcW w:w="960" w:type="dxa"/>
            <w:gridSpan w:val="2"/>
            <w:tcBorders>
              <w:top w:val="nil"/>
              <w:left w:val="nil"/>
              <w:bottom w:val="single" w:sz="4" w:space="0" w:color="FFFFFF"/>
              <w:right w:val="nil"/>
            </w:tcBorders>
            <w:shd w:val="clear" w:color="000000" w:fill="F2F2F2"/>
            <w:vAlign w:val="center"/>
            <w:hideMark/>
          </w:tcPr>
          <w:p w14:paraId="3DF37528"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0.2</w:t>
            </w:r>
          </w:p>
        </w:tc>
        <w:tc>
          <w:tcPr>
            <w:tcW w:w="960" w:type="dxa"/>
            <w:tcBorders>
              <w:top w:val="nil"/>
              <w:left w:val="nil"/>
              <w:bottom w:val="single" w:sz="4" w:space="0" w:color="FFFFFF"/>
              <w:right w:val="nil"/>
            </w:tcBorders>
            <w:shd w:val="clear" w:color="000000" w:fill="F2F2F2"/>
            <w:vAlign w:val="center"/>
            <w:hideMark/>
          </w:tcPr>
          <w:p w14:paraId="3FE2625D"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0.2</w:t>
            </w:r>
          </w:p>
        </w:tc>
      </w:tr>
      <w:tr w:rsidR="00882AEC" w:rsidRPr="00882AEC" w14:paraId="28EC5543" w14:textId="77777777" w:rsidTr="00882AEC">
        <w:trPr>
          <w:trHeight w:val="300"/>
        </w:trPr>
        <w:tc>
          <w:tcPr>
            <w:tcW w:w="6096" w:type="dxa"/>
            <w:tcBorders>
              <w:top w:val="nil"/>
              <w:left w:val="nil"/>
              <w:bottom w:val="single" w:sz="4" w:space="0" w:color="FFFFFF"/>
              <w:right w:val="nil"/>
            </w:tcBorders>
            <w:shd w:val="clear" w:color="000000" w:fill="D9D9D9"/>
            <w:vAlign w:val="center"/>
            <w:hideMark/>
          </w:tcPr>
          <w:p w14:paraId="546A7E58" w14:textId="77777777" w:rsidR="00882AEC" w:rsidRPr="00882AEC" w:rsidRDefault="00882AEC" w:rsidP="00882AEC">
            <w:pPr>
              <w:spacing w:after="0" w:line="240" w:lineRule="auto"/>
              <w:jc w:val="left"/>
              <w:rPr>
                <w:rFonts w:ascii="Calibri" w:eastAsia="Times New Roman" w:hAnsi="Calibri" w:cs="Calibri"/>
                <w:sz w:val="22"/>
                <w:lang w:val="en-US"/>
              </w:rPr>
            </w:pPr>
            <w:r w:rsidRPr="00882AEC">
              <w:rPr>
                <w:rFonts w:ascii="Calibri" w:eastAsia="Times New Roman" w:hAnsi="Calibri" w:cs="Calibri"/>
                <w:sz w:val="22"/>
                <w:lang w:val="en-US"/>
              </w:rPr>
              <w:t>Stock of NPLs provided by government</w:t>
            </w:r>
          </w:p>
        </w:tc>
        <w:tc>
          <w:tcPr>
            <w:tcW w:w="960" w:type="dxa"/>
            <w:tcBorders>
              <w:top w:val="nil"/>
              <w:left w:val="nil"/>
              <w:bottom w:val="single" w:sz="4" w:space="0" w:color="FFFFFF"/>
              <w:right w:val="nil"/>
            </w:tcBorders>
            <w:shd w:val="clear" w:color="000000" w:fill="D9D9D9"/>
            <w:vAlign w:val="center"/>
            <w:hideMark/>
          </w:tcPr>
          <w:p w14:paraId="147DCADE"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0.2</w:t>
            </w:r>
          </w:p>
        </w:tc>
        <w:tc>
          <w:tcPr>
            <w:tcW w:w="960" w:type="dxa"/>
            <w:gridSpan w:val="2"/>
            <w:tcBorders>
              <w:top w:val="nil"/>
              <w:left w:val="nil"/>
              <w:bottom w:val="single" w:sz="4" w:space="0" w:color="FFFFFF"/>
              <w:right w:val="nil"/>
            </w:tcBorders>
            <w:shd w:val="clear" w:color="000000" w:fill="D9D9D9"/>
            <w:vAlign w:val="center"/>
            <w:hideMark/>
          </w:tcPr>
          <w:p w14:paraId="38DC5268"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0.3</w:t>
            </w:r>
          </w:p>
        </w:tc>
        <w:tc>
          <w:tcPr>
            <w:tcW w:w="960" w:type="dxa"/>
            <w:tcBorders>
              <w:top w:val="nil"/>
              <w:left w:val="nil"/>
              <w:bottom w:val="single" w:sz="4" w:space="0" w:color="FFFFFF"/>
              <w:right w:val="nil"/>
            </w:tcBorders>
            <w:shd w:val="clear" w:color="000000" w:fill="D9D9D9"/>
            <w:vAlign w:val="center"/>
            <w:hideMark/>
          </w:tcPr>
          <w:p w14:paraId="77523C9D"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0.3</w:t>
            </w:r>
          </w:p>
        </w:tc>
      </w:tr>
      <w:tr w:rsidR="00882AEC" w:rsidRPr="00882AEC" w14:paraId="0DC68DB1" w14:textId="77777777" w:rsidTr="00882AEC">
        <w:trPr>
          <w:trHeight w:val="600"/>
        </w:trPr>
        <w:tc>
          <w:tcPr>
            <w:tcW w:w="6096" w:type="dxa"/>
            <w:tcBorders>
              <w:top w:val="single" w:sz="4" w:space="0" w:color="FFFFFF"/>
              <w:left w:val="nil"/>
              <w:bottom w:val="single" w:sz="18" w:space="0" w:color="4F81BD" w:themeColor="accent1"/>
              <w:right w:val="nil"/>
            </w:tcBorders>
            <w:shd w:val="clear" w:color="000000" w:fill="F2F2F2"/>
            <w:vAlign w:val="center"/>
            <w:hideMark/>
          </w:tcPr>
          <w:p w14:paraId="0D8FB97E" w14:textId="77777777" w:rsidR="00882AEC" w:rsidRPr="00882AEC" w:rsidRDefault="00882AEC" w:rsidP="00882AEC">
            <w:pPr>
              <w:spacing w:after="0" w:line="240" w:lineRule="auto"/>
              <w:jc w:val="left"/>
              <w:rPr>
                <w:rFonts w:ascii="Calibri" w:eastAsia="Times New Roman" w:hAnsi="Calibri" w:cs="Calibri"/>
                <w:sz w:val="22"/>
                <w:lang w:val="en-US"/>
              </w:rPr>
            </w:pPr>
            <w:r w:rsidRPr="00882AEC">
              <w:rPr>
                <w:rFonts w:ascii="Calibri" w:eastAsia="Times New Roman" w:hAnsi="Calibri" w:cs="Calibri"/>
                <w:sz w:val="22"/>
                <w:lang w:val="en-US"/>
              </w:rPr>
              <w:t>Liabilities of government controlled entities classified outside general government/1</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5DCBDB8E"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11.7</w:t>
            </w:r>
          </w:p>
        </w:tc>
        <w:tc>
          <w:tcPr>
            <w:tcW w:w="960" w:type="dxa"/>
            <w:gridSpan w:val="2"/>
            <w:tcBorders>
              <w:top w:val="single" w:sz="4" w:space="0" w:color="FFFFFF"/>
              <w:left w:val="nil"/>
              <w:bottom w:val="single" w:sz="18" w:space="0" w:color="4F81BD" w:themeColor="accent1"/>
              <w:right w:val="nil"/>
            </w:tcBorders>
            <w:shd w:val="clear" w:color="000000" w:fill="F2F2F2"/>
            <w:vAlign w:val="center"/>
            <w:hideMark/>
          </w:tcPr>
          <w:p w14:paraId="70B2CD0B"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11.9</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167125DF" w14:textId="77777777" w:rsidR="00882AEC" w:rsidRPr="00882AEC" w:rsidRDefault="00882AEC" w:rsidP="00882AEC">
            <w:pPr>
              <w:spacing w:after="0" w:line="240" w:lineRule="auto"/>
              <w:jc w:val="center"/>
              <w:rPr>
                <w:rFonts w:ascii="Calibri" w:eastAsia="Times New Roman" w:hAnsi="Calibri" w:cs="Calibri"/>
                <w:sz w:val="22"/>
              </w:rPr>
            </w:pPr>
            <w:r w:rsidRPr="00882AEC">
              <w:rPr>
                <w:rFonts w:ascii="Calibri" w:eastAsia="Times New Roman" w:hAnsi="Calibri" w:cs="Calibri"/>
                <w:sz w:val="22"/>
              </w:rPr>
              <w:t>11.2</w:t>
            </w:r>
          </w:p>
        </w:tc>
      </w:tr>
      <w:tr w:rsidR="00882AEC" w:rsidRPr="00882AEC" w14:paraId="675391A4" w14:textId="77777777" w:rsidTr="00882AEC">
        <w:trPr>
          <w:gridAfter w:val="2"/>
          <w:wAfter w:w="1640" w:type="dxa"/>
          <w:trHeight w:val="300"/>
        </w:trPr>
        <w:tc>
          <w:tcPr>
            <w:tcW w:w="7336" w:type="dxa"/>
            <w:gridSpan w:val="3"/>
            <w:tcBorders>
              <w:top w:val="nil"/>
              <w:left w:val="nil"/>
              <w:bottom w:val="nil"/>
              <w:right w:val="nil"/>
            </w:tcBorders>
            <w:shd w:val="clear" w:color="auto" w:fill="auto"/>
            <w:noWrap/>
            <w:vAlign w:val="bottom"/>
            <w:hideMark/>
          </w:tcPr>
          <w:p w14:paraId="15368330" w14:textId="77777777" w:rsidR="00882AEC" w:rsidRPr="00882AEC" w:rsidRDefault="00882AEC" w:rsidP="00882AEC">
            <w:pPr>
              <w:spacing w:after="0" w:line="240" w:lineRule="auto"/>
              <w:jc w:val="left"/>
              <w:rPr>
                <w:rFonts w:ascii="Calibri" w:eastAsia="Times New Roman" w:hAnsi="Calibri" w:cs="Calibri"/>
                <w:i/>
                <w:color w:val="000000"/>
                <w:sz w:val="22"/>
              </w:rPr>
            </w:pPr>
            <w:r w:rsidRPr="00882AEC">
              <w:rPr>
                <w:rFonts w:ascii="Calibri" w:eastAsia="Times New Roman" w:hAnsi="Calibri" w:cs="Calibri"/>
                <w:i/>
                <w:color w:val="000000"/>
                <w:sz w:val="22"/>
              </w:rPr>
              <w:t>Source: Eurostat</w:t>
            </w:r>
          </w:p>
        </w:tc>
      </w:tr>
      <w:tr w:rsidR="00882AEC" w:rsidRPr="00882AEC" w14:paraId="0A368DE5" w14:textId="77777777" w:rsidTr="00882AEC">
        <w:trPr>
          <w:gridAfter w:val="2"/>
          <w:wAfter w:w="1640" w:type="dxa"/>
          <w:trHeight w:val="300"/>
        </w:trPr>
        <w:tc>
          <w:tcPr>
            <w:tcW w:w="7336" w:type="dxa"/>
            <w:gridSpan w:val="3"/>
            <w:tcBorders>
              <w:top w:val="nil"/>
              <w:left w:val="nil"/>
              <w:bottom w:val="nil"/>
              <w:right w:val="nil"/>
            </w:tcBorders>
            <w:shd w:val="clear" w:color="auto" w:fill="auto"/>
            <w:vAlign w:val="bottom"/>
            <w:hideMark/>
          </w:tcPr>
          <w:p w14:paraId="0C072C2E" w14:textId="77777777" w:rsidR="00882AEC" w:rsidRPr="00882AEC" w:rsidRDefault="00882AEC" w:rsidP="00882AEC">
            <w:pPr>
              <w:spacing w:after="0" w:line="240" w:lineRule="auto"/>
              <w:jc w:val="left"/>
              <w:rPr>
                <w:rFonts w:ascii="Calibri" w:eastAsia="Times New Roman" w:hAnsi="Calibri" w:cs="Calibri"/>
                <w:color w:val="000000"/>
                <w:sz w:val="18"/>
                <w:szCs w:val="18"/>
              </w:rPr>
            </w:pPr>
            <w:r w:rsidRPr="00882AEC">
              <w:rPr>
                <w:rFonts w:ascii="Calibri" w:eastAsia="Times New Roman" w:hAnsi="Calibri" w:cs="Calibri"/>
                <w:color w:val="000000"/>
                <w:sz w:val="18"/>
                <w:szCs w:val="18"/>
              </w:rPr>
              <w:t>/1: Non-consolidated</w:t>
            </w:r>
          </w:p>
        </w:tc>
      </w:tr>
    </w:tbl>
    <w:p w14:paraId="69EE51F8" w14:textId="77777777" w:rsidR="00673F04" w:rsidRPr="00425C9E" w:rsidRDefault="00673F04" w:rsidP="00425C9E">
      <w:pPr>
        <w:rPr>
          <w:lang w:val="en-US"/>
        </w:rPr>
      </w:pPr>
    </w:p>
    <w:p w14:paraId="7B894F80" w14:textId="77777777" w:rsidR="00393E65" w:rsidRPr="00425C9E" w:rsidRDefault="00393E65" w:rsidP="00393E65">
      <w:pPr>
        <w:rPr>
          <w:lang w:val="en-US"/>
        </w:rPr>
      </w:pPr>
    </w:p>
    <w:p w14:paraId="5DBBEEE3" w14:textId="77777777" w:rsidR="00B20130" w:rsidRPr="00425C9E" w:rsidRDefault="00B20130" w:rsidP="00393E65">
      <w:pPr>
        <w:rPr>
          <w:lang w:val="en-US"/>
        </w:rPr>
      </w:pPr>
      <w:r w:rsidRPr="00425C9E">
        <w:rPr>
          <w:lang w:val="en-US"/>
        </w:rPr>
        <w:br w:type="page"/>
      </w:r>
    </w:p>
    <w:p w14:paraId="0DC87161" w14:textId="77777777" w:rsidR="00B20130" w:rsidRPr="00B20130" w:rsidRDefault="00BD442D" w:rsidP="005810AB">
      <w:pPr>
        <w:pStyle w:val="Heading1"/>
        <w:numPr>
          <w:ilvl w:val="0"/>
          <w:numId w:val="2"/>
        </w:numPr>
        <w:spacing w:after="600"/>
        <w:ind w:left="709" w:hanging="709"/>
        <w:rPr>
          <w:lang w:val="en-US"/>
        </w:rPr>
      </w:pPr>
      <w:bookmarkStart w:id="36" w:name="_Toc178070096"/>
      <w:r w:rsidRPr="00BD442D">
        <w:rPr>
          <w:lang w:val="en-US"/>
        </w:rPr>
        <w:lastRenderedPageBreak/>
        <w:t>Differences to the Reference Trajectory</w:t>
      </w:r>
      <w:bookmarkEnd w:id="36"/>
    </w:p>
    <w:p w14:paraId="5DB253D4" w14:textId="77777777" w:rsidR="00801763" w:rsidRPr="000424BD" w:rsidRDefault="00801763" w:rsidP="000424BD">
      <w:pPr>
        <w:pStyle w:val="Heading2"/>
        <w:numPr>
          <w:ilvl w:val="1"/>
          <w:numId w:val="2"/>
        </w:numPr>
        <w:ind w:left="709" w:hanging="709"/>
        <w:rPr>
          <w:lang w:val="en-US"/>
        </w:rPr>
      </w:pPr>
      <w:bookmarkStart w:id="37" w:name="_Toc178070097"/>
      <w:r w:rsidRPr="000424BD">
        <w:rPr>
          <w:lang w:val="en-US"/>
        </w:rPr>
        <w:t>The Reference Trajectory and main assumptions</w:t>
      </w:r>
      <w:bookmarkEnd w:id="37"/>
    </w:p>
    <w:p w14:paraId="1D46D1B2" w14:textId="53BC1B4D" w:rsidR="00801763" w:rsidRPr="00801763" w:rsidRDefault="00801763" w:rsidP="000424BD">
      <w:pPr>
        <w:rPr>
          <w:rFonts w:eastAsiaTheme="minorHAnsi"/>
          <w:lang w:val="en-US"/>
        </w:rPr>
      </w:pPr>
      <w:r w:rsidRPr="00801763">
        <w:rPr>
          <w:lang w:val="en-US"/>
        </w:rPr>
        <w:t xml:space="preserve">The European Commission provided the Reference Trajectory (RT) </w:t>
      </w:r>
      <w:r w:rsidR="00BB1D1F">
        <w:rPr>
          <w:lang w:val="en-US"/>
        </w:rPr>
        <w:t xml:space="preserve">in June </w:t>
      </w:r>
      <w:r w:rsidR="00D57524" w:rsidRPr="00801763">
        <w:rPr>
          <w:lang w:val="en-US"/>
        </w:rPr>
        <w:t xml:space="preserve">2024 </w:t>
      </w:r>
      <w:r w:rsidRPr="00801763">
        <w:rPr>
          <w:lang w:val="en-US"/>
        </w:rPr>
        <w:t xml:space="preserve">as prior guidance for the preparation of the </w:t>
      </w:r>
      <w:r w:rsidR="00D57524">
        <w:t>Μ</w:t>
      </w:r>
      <w:r w:rsidRPr="00801763">
        <w:rPr>
          <w:lang w:val="en-US"/>
        </w:rPr>
        <w:t>edium-</w:t>
      </w:r>
      <w:r w:rsidR="00D57524">
        <w:t>Τ</w:t>
      </w:r>
      <w:r w:rsidRPr="00801763">
        <w:rPr>
          <w:lang w:val="en-US"/>
        </w:rPr>
        <w:t xml:space="preserve">erm </w:t>
      </w:r>
      <w:r w:rsidR="00D57524">
        <w:rPr>
          <w:lang w:val="en-US"/>
        </w:rPr>
        <w:t>F</w:t>
      </w:r>
      <w:r w:rsidRPr="00801763">
        <w:rPr>
          <w:lang w:val="en-US"/>
        </w:rPr>
        <w:t>iscal-</w:t>
      </w:r>
      <w:r w:rsidR="00D57524">
        <w:rPr>
          <w:lang w:val="en-US"/>
        </w:rPr>
        <w:t>S</w:t>
      </w:r>
      <w:r w:rsidRPr="00801763">
        <w:rPr>
          <w:lang w:val="en-US"/>
        </w:rPr>
        <w:t xml:space="preserve">tructural </w:t>
      </w:r>
      <w:r w:rsidR="00D57524">
        <w:rPr>
          <w:lang w:val="en-US"/>
        </w:rPr>
        <w:t>P</w:t>
      </w:r>
      <w:r w:rsidRPr="00801763">
        <w:rPr>
          <w:lang w:val="en-US"/>
        </w:rPr>
        <w:t>lan.</w:t>
      </w:r>
    </w:p>
    <w:p w14:paraId="40E75FCC" w14:textId="38835A49" w:rsidR="00801763" w:rsidRDefault="00801763" w:rsidP="000424BD">
      <w:pPr>
        <w:rPr>
          <w:lang w:val="en-US"/>
        </w:rPr>
      </w:pPr>
      <w:r w:rsidRPr="00801763">
        <w:rPr>
          <w:lang w:val="en-US"/>
        </w:rPr>
        <w:t>The RT is prese</w:t>
      </w:r>
      <w:r w:rsidRPr="00A826F1">
        <w:rPr>
          <w:color w:val="000000" w:themeColor="text1"/>
          <w:lang w:val="en-US"/>
        </w:rPr>
        <w:t>nted in</w:t>
      </w:r>
      <w:r w:rsidR="00E30BE9" w:rsidRPr="00A826F1">
        <w:rPr>
          <w:color w:val="000000" w:themeColor="text1"/>
          <w:lang w:val="en-US"/>
        </w:rPr>
        <w:t xml:space="preserve"> </w:t>
      </w:r>
      <w:r w:rsidR="00A54B46" w:rsidRPr="0053218E">
        <w:rPr>
          <w:color w:val="000000" w:themeColor="text1"/>
          <w:lang w:val="en-US"/>
        </w:rPr>
        <w:fldChar w:fldCharType="begin"/>
      </w:r>
      <w:r w:rsidR="0053218E" w:rsidRPr="0053218E">
        <w:rPr>
          <w:color w:val="000000" w:themeColor="text1"/>
          <w:lang w:val="en-US"/>
        </w:rPr>
        <w:instrText xml:space="preserve"> REF _Ref177391409 \h </w:instrText>
      </w:r>
      <w:r w:rsidR="00A54B46" w:rsidRPr="0053218E">
        <w:rPr>
          <w:color w:val="000000" w:themeColor="text1"/>
          <w:lang w:val="en-US"/>
        </w:rPr>
      </w:r>
      <w:r w:rsidR="00A54B46" w:rsidRPr="0053218E">
        <w:rPr>
          <w:color w:val="000000" w:themeColor="text1"/>
          <w:lang w:val="en-US"/>
        </w:rPr>
        <w:fldChar w:fldCharType="separate"/>
      </w:r>
      <w:r w:rsidR="00824AAF" w:rsidRPr="00920844">
        <w:rPr>
          <w:lang w:val="en-US"/>
        </w:rPr>
        <w:t xml:space="preserve">Table </w:t>
      </w:r>
      <w:r w:rsidR="00824AAF" w:rsidRPr="00920844">
        <w:rPr>
          <w:noProof/>
          <w:lang w:val="en-US"/>
        </w:rPr>
        <w:t>13</w:t>
      </w:r>
      <w:r w:rsidR="00A54B46" w:rsidRPr="0053218E">
        <w:rPr>
          <w:color w:val="000000" w:themeColor="text1"/>
          <w:lang w:val="en-US"/>
        </w:rPr>
        <w:fldChar w:fldCharType="end"/>
      </w:r>
      <w:r w:rsidR="0053218E">
        <w:rPr>
          <w:color w:val="000000" w:themeColor="text1"/>
          <w:lang w:val="en-US"/>
        </w:rPr>
        <w:t xml:space="preserve"> </w:t>
      </w:r>
      <w:r w:rsidRPr="00FC7BEF">
        <w:rPr>
          <w:color w:val="000000" w:themeColor="text1"/>
          <w:lang w:val="en-US"/>
        </w:rPr>
        <w:t xml:space="preserve">and the main assumptions </w:t>
      </w:r>
      <w:r w:rsidRPr="0053218E">
        <w:rPr>
          <w:color w:val="000000" w:themeColor="text1"/>
          <w:lang w:val="en-US"/>
        </w:rPr>
        <w:t>in</w:t>
      </w:r>
      <w:r w:rsidR="002E38AC" w:rsidRPr="0053218E">
        <w:rPr>
          <w:color w:val="000000" w:themeColor="text1"/>
          <w:lang w:val="en-US"/>
        </w:rPr>
        <w:t xml:space="preserve"> </w:t>
      </w:r>
      <w:r w:rsidR="00A54B46" w:rsidRPr="0053218E">
        <w:rPr>
          <w:color w:val="000000" w:themeColor="text1"/>
          <w:lang w:val="en-US"/>
        </w:rPr>
        <w:fldChar w:fldCharType="begin"/>
      </w:r>
      <w:r w:rsidR="0053218E" w:rsidRPr="0053218E">
        <w:rPr>
          <w:color w:val="000000" w:themeColor="text1"/>
          <w:lang w:val="en-US"/>
        </w:rPr>
        <w:instrText xml:space="preserve"> REF _Ref177392334 \h </w:instrText>
      </w:r>
      <w:r w:rsidR="00A54B46" w:rsidRPr="0053218E">
        <w:rPr>
          <w:color w:val="000000" w:themeColor="text1"/>
          <w:lang w:val="en-US"/>
        </w:rPr>
      </w:r>
      <w:r w:rsidR="00A54B46" w:rsidRPr="0053218E">
        <w:rPr>
          <w:color w:val="000000" w:themeColor="text1"/>
          <w:lang w:val="en-US"/>
        </w:rPr>
        <w:fldChar w:fldCharType="separate"/>
      </w:r>
      <w:r w:rsidR="00824AAF" w:rsidRPr="00920844">
        <w:rPr>
          <w:lang w:val="en-US"/>
        </w:rPr>
        <w:t xml:space="preserve">Table </w:t>
      </w:r>
      <w:r w:rsidR="00824AAF" w:rsidRPr="00920844">
        <w:rPr>
          <w:noProof/>
          <w:lang w:val="en-US"/>
        </w:rPr>
        <w:t>14</w:t>
      </w:r>
      <w:r w:rsidR="00A54B46" w:rsidRPr="0053218E">
        <w:rPr>
          <w:color w:val="000000" w:themeColor="text1"/>
          <w:lang w:val="en-US"/>
        </w:rPr>
        <w:fldChar w:fldCharType="end"/>
      </w:r>
      <w:r w:rsidR="0053218E" w:rsidRPr="0053218E">
        <w:rPr>
          <w:color w:val="000000" w:themeColor="text1"/>
          <w:lang w:val="en-US"/>
        </w:rPr>
        <w:t xml:space="preserve"> </w:t>
      </w:r>
      <w:r w:rsidRPr="0053218E">
        <w:rPr>
          <w:color w:val="000000" w:themeColor="text1"/>
          <w:lang w:val="en-US"/>
        </w:rPr>
        <w:t>and</w:t>
      </w:r>
      <w:r w:rsidR="0053218E" w:rsidRPr="0053218E">
        <w:rPr>
          <w:color w:val="000000" w:themeColor="text1"/>
          <w:lang w:val="en-US"/>
        </w:rPr>
        <w:t xml:space="preserve"> </w:t>
      </w:r>
      <w:r w:rsidR="00A54B46" w:rsidRPr="0053218E">
        <w:rPr>
          <w:color w:val="000000" w:themeColor="text1"/>
          <w:lang w:val="en-US"/>
        </w:rPr>
        <w:fldChar w:fldCharType="begin"/>
      </w:r>
      <w:r w:rsidR="0053218E" w:rsidRPr="0053218E">
        <w:rPr>
          <w:color w:val="000000" w:themeColor="text1"/>
          <w:lang w:val="en-US"/>
        </w:rPr>
        <w:instrText xml:space="preserve"> REF _Ref177393466 \h </w:instrText>
      </w:r>
      <w:r w:rsidR="00A54B46" w:rsidRPr="0053218E">
        <w:rPr>
          <w:color w:val="000000" w:themeColor="text1"/>
          <w:lang w:val="en-US"/>
        </w:rPr>
      </w:r>
      <w:r w:rsidR="00A54B46" w:rsidRPr="0053218E">
        <w:rPr>
          <w:color w:val="000000" w:themeColor="text1"/>
          <w:lang w:val="en-US"/>
        </w:rPr>
        <w:fldChar w:fldCharType="separate"/>
      </w:r>
      <w:r w:rsidR="00824AAF" w:rsidRPr="00920844">
        <w:rPr>
          <w:lang w:val="en-US"/>
        </w:rPr>
        <w:t xml:space="preserve">Table </w:t>
      </w:r>
      <w:r w:rsidR="00824AAF" w:rsidRPr="00920844">
        <w:rPr>
          <w:noProof/>
          <w:lang w:val="en-US"/>
        </w:rPr>
        <w:t>15</w:t>
      </w:r>
      <w:r w:rsidR="00A54B46" w:rsidRPr="0053218E">
        <w:rPr>
          <w:color w:val="000000" w:themeColor="text1"/>
          <w:lang w:val="en-US"/>
        </w:rPr>
        <w:fldChar w:fldCharType="end"/>
      </w:r>
      <w:r w:rsidRPr="00801763">
        <w:rPr>
          <w:lang w:val="en-US"/>
        </w:rPr>
        <w:t>.</w:t>
      </w:r>
    </w:p>
    <w:p w14:paraId="0752EF8D" w14:textId="503D4B73" w:rsidR="00E30BE9" w:rsidRPr="00E30BE9" w:rsidRDefault="00E30BE9" w:rsidP="00337799">
      <w:pPr>
        <w:pStyle w:val="Table"/>
      </w:pPr>
      <w:bookmarkStart w:id="38" w:name="_Ref177391409"/>
      <w:bookmarkStart w:id="39" w:name="_Toc177747043"/>
      <w:r w:rsidRPr="00E30BE9">
        <w:t xml:space="preserve">Table </w:t>
      </w:r>
      <w:r w:rsidR="00337799">
        <w:fldChar w:fldCharType="begin"/>
      </w:r>
      <w:r w:rsidR="00337799">
        <w:instrText xml:space="preserve"> SEQ Table \* ARABIC </w:instrText>
      </w:r>
      <w:r w:rsidR="00337799">
        <w:fldChar w:fldCharType="separate"/>
      </w:r>
      <w:r w:rsidR="00824AAF">
        <w:rPr>
          <w:noProof/>
        </w:rPr>
        <w:t>13</w:t>
      </w:r>
      <w:r w:rsidR="00337799">
        <w:fldChar w:fldCharType="end"/>
      </w:r>
      <w:bookmarkEnd w:id="38"/>
      <w:r w:rsidR="00337799">
        <w:t xml:space="preserve"> |</w:t>
      </w:r>
      <w:r>
        <w:t xml:space="preserve"> </w:t>
      </w:r>
      <w:r w:rsidRPr="00E30BE9">
        <w:t>Reference Trajectory</w:t>
      </w:r>
      <w:bookmarkEnd w:id="39"/>
      <w:r w:rsidRPr="00E30BE9">
        <w:t xml:space="preserve"> </w:t>
      </w:r>
    </w:p>
    <w:tbl>
      <w:tblPr>
        <w:tblW w:w="9006" w:type="dxa"/>
        <w:jc w:val="center"/>
        <w:tblBorders>
          <w:bottom w:val="single" w:sz="18" w:space="0" w:color="4472C4"/>
          <w:insideH w:val="single" w:sz="4" w:space="0" w:color="FFFFFF"/>
        </w:tblBorders>
        <w:tblLook w:val="04A0" w:firstRow="1" w:lastRow="0" w:firstColumn="1" w:lastColumn="0" w:noHBand="0" w:noVBand="1"/>
      </w:tblPr>
      <w:tblGrid>
        <w:gridCol w:w="4253"/>
        <w:gridCol w:w="1465"/>
        <w:gridCol w:w="822"/>
        <w:gridCol w:w="822"/>
        <w:gridCol w:w="822"/>
        <w:gridCol w:w="822"/>
      </w:tblGrid>
      <w:tr w:rsidR="00E30BE9" w:rsidRPr="00E30BE9" w14:paraId="48782BCD" w14:textId="77777777" w:rsidTr="00E30BE9">
        <w:trPr>
          <w:trHeight w:val="510"/>
          <w:jc w:val="center"/>
        </w:trPr>
        <w:tc>
          <w:tcPr>
            <w:tcW w:w="4253" w:type="dxa"/>
            <w:shd w:val="clear" w:color="000000" w:fill="BFBFBF"/>
            <w:vAlign w:val="center"/>
            <w:hideMark/>
          </w:tcPr>
          <w:p w14:paraId="13BCB0EB" w14:textId="77777777" w:rsidR="00E30BE9" w:rsidRPr="00E30BE9" w:rsidRDefault="00E30BE9" w:rsidP="00E30BE9">
            <w:pPr>
              <w:spacing w:after="0" w:line="240" w:lineRule="auto"/>
              <w:jc w:val="left"/>
              <w:rPr>
                <w:rFonts w:ascii="Arial" w:eastAsia="Times New Roman" w:hAnsi="Arial" w:cs="Arial"/>
                <w:b/>
                <w:bCs/>
                <w:color w:val="000000"/>
                <w:sz w:val="20"/>
                <w:szCs w:val="20"/>
              </w:rPr>
            </w:pPr>
            <w:r w:rsidRPr="00E30BE9">
              <w:rPr>
                <w:rFonts w:ascii="Arial" w:eastAsia="Times New Roman" w:hAnsi="Arial" w:cs="Arial"/>
                <w:b/>
                <w:bCs/>
                <w:color w:val="000000"/>
                <w:sz w:val="20"/>
                <w:szCs w:val="20"/>
                <w:lang w:val="en-US"/>
              </w:rPr>
              <w:t>Reference Trajectory</w:t>
            </w:r>
          </w:p>
        </w:tc>
        <w:tc>
          <w:tcPr>
            <w:tcW w:w="1465" w:type="dxa"/>
            <w:shd w:val="clear" w:color="000000" w:fill="BFBFBF"/>
            <w:vAlign w:val="center"/>
            <w:hideMark/>
          </w:tcPr>
          <w:p w14:paraId="48DBDFCB" w14:textId="77777777" w:rsidR="00E30BE9" w:rsidRPr="00E30BE9" w:rsidRDefault="00E30BE9" w:rsidP="00E30BE9">
            <w:pPr>
              <w:spacing w:after="0" w:line="240" w:lineRule="auto"/>
              <w:jc w:val="center"/>
              <w:rPr>
                <w:rFonts w:ascii="Arial" w:eastAsia="Times New Roman" w:hAnsi="Arial" w:cs="Arial"/>
                <w:b/>
                <w:bCs/>
                <w:color w:val="000000"/>
                <w:sz w:val="20"/>
                <w:szCs w:val="20"/>
              </w:rPr>
            </w:pPr>
            <w:r w:rsidRPr="00E30BE9">
              <w:rPr>
                <w:rFonts w:ascii="Arial" w:eastAsia="Times New Roman" w:hAnsi="Arial" w:cs="Arial"/>
                <w:b/>
                <w:bCs/>
                <w:color w:val="000000"/>
                <w:sz w:val="20"/>
                <w:szCs w:val="20"/>
                <w:lang w:val="en-US"/>
              </w:rPr>
              <w:t>Average 2025-2028</w:t>
            </w:r>
          </w:p>
        </w:tc>
        <w:tc>
          <w:tcPr>
            <w:tcW w:w="822" w:type="dxa"/>
            <w:shd w:val="clear" w:color="000000" w:fill="BFBFBF"/>
            <w:vAlign w:val="center"/>
            <w:hideMark/>
          </w:tcPr>
          <w:p w14:paraId="36253FF8" w14:textId="77777777" w:rsidR="00E30BE9" w:rsidRPr="00E30BE9" w:rsidRDefault="00E30BE9" w:rsidP="00E30BE9">
            <w:pPr>
              <w:spacing w:after="0" w:line="240" w:lineRule="auto"/>
              <w:jc w:val="center"/>
              <w:rPr>
                <w:rFonts w:ascii="Arial" w:eastAsia="Times New Roman" w:hAnsi="Arial" w:cs="Arial"/>
                <w:b/>
                <w:bCs/>
                <w:color w:val="000000"/>
                <w:sz w:val="20"/>
                <w:szCs w:val="20"/>
              </w:rPr>
            </w:pPr>
            <w:r w:rsidRPr="00E30BE9">
              <w:rPr>
                <w:rFonts w:ascii="Arial" w:eastAsia="Times New Roman" w:hAnsi="Arial" w:cs="Arial"/>
                <w:b/>
                <w:bCs/>
                <w:color w:val="000000"/>
                <w:sz w:val="20"/>
                <w:szCs w:val="20"/>
                <w:lang w:val="en-US"/>
              </w:rPr>
              <w:t>2025</w:t>
            </w:r>
          </w:p>
        </w:tc>
        <w:tc>
          <w:tcPr>
            <w:tcW w:w="822" w:type="dxa"/>
            <w:shd w:val="clear" w:color="000000" w:fill="BFBFBF"/>
            <w:vAlign w:val="center"/>
            <w:hideMark/>
          </w:tcPr>
          <w:p w14:paraId="4E13E309" w14:textId="77777777" w:rsidR="00E30BE9" w:rsidRPr="00E30BE9" w:rsidRDefault="00E30BE9" w:rsidP="00E30BE9">
            <w:pPr>
              <w:spacing w:after="0" w:line="240" w:lineRule="auto"/>
              <w:jc w:val="center"/>
              <w:rPr>
                <w:rFonts w:ascii="Arial" w:eastAsia="Times New Roman" w:hAnsi="Arial" w:cs="Arial"/>
                <w:b/>
                <w:bCs/>
                <w:color w:val="000000"/>
                <w:sz w:val="20"/>
                <w:szCs w:val="20"/>
              </w:rPr>
            </w:pPr>
            <w:r w:rsidRPr="00E30BE9">
              <w:rPr>
                <w:rFonts w:ascii="Arial" w:eastAsia="Times New Roman" w:hAnsi="Arial" w:cs="Arial"/>
                <w:b/>
                <w:bCs/>
                <w:color w:val="000000"/>
                <w:sz w:val="20"/>
                <w:szCs w:val="20"/>
                <w:lang w:val="en-US"/>
              </w:rPr>
              <w:t>2026</w:t>
            </w:r>
          </w:p>
        </w:tc>
        <w:tc>
          <w:tcPr>
            <w:tcW w:w="822" w:type="dxa"/>
            <w:shd w:val="clear" w:color="000000" w:fill="BFBFBF"/>
            <w:vAlign w:val="center"/>
            <w:hideMark/>
          </w:tcPr>
          <w:p w14:paraId="6BF9B738" w14:textId="77777777" w:rsidR="00E30BE9" w:rsidRPr="00E30BE9" w:rsidRDefault="00E30BE9" w:rsidP="00E30BE9">
            <w:pPr>
              <w:spacing w:after="0" w:line="240" w:lineRule="auto"/>
              <w:jc w:val="center"/>
              <w:rPr>
                <w:rFonts w:ascii="Arial" w:eastAsia="Times New Roman" w:hAnsi="Arial" w:cs="Arial"/>
                <w:b/>
                <w:bCs/>
                <w:color w:val="000000"/>
                <w:sz w:val="20"/>
                <w:szCs w:val="20"/>
              </w:rPr>
            </w:pPr>
            <w:r w:rsidRPr="00E30BE9">
              <w:rPr>
                <w:rFonts w:ascii="Arial" w:eastAsia="Times New Roman" w:hAnsi="Arial" w:cs="Arial"/>
                <w:b/>
                <w:bCs/>
                <w:color w:val="000000"/>
                <w:sz w:val="20"/>
                <w:szCs w:val="20"/>
                <w:lang w:val="en-US"/>
              </w:rPr>
              <w:t>2027</w:t>
            </w:r>
          </w:p>
        </w:tc>
        <w:tc>
          <w:tcPr>
            <w:tcW w:w="822" w:type="dxa"/>
            <w:shd w:val="clear" w:color="000000" w:fill="BFBFBF"/>
            <w:vAlign w:val="center"/>
            <w:hideMark/>
          </w:tcPr>
          <w:p w14:paraId="65F6CF36" w14:textId="77777777" w:rsidR="00E30BE9" w:rsidRPr="00E30BE9" w:rsidRDefault="00E30BE9" w:rsidP="00E30BE9">
            <w:pPr>
              <w:spacing w:after="0" w:line="240" w:lineRule="auto"/>
              <w:jc w:val="center"/>
              <w:rPr>
                <w:rFonts w:ascii="Arial" w:eastAsia="Times New Roman" w:hAnsi="Arial" w:cs="Arial"/>
                <w:b/>
                <w:bCs/>
                <w:color w:val="000000"/>
                <w:sz w:val="20"/>
                <w:szCs w:val="20"/>
              </w:rPr>
            </w:pPr>
            <w:r w:rsidRPr="00E30BE9">
              <w:rPr>
                <w:rFonts w:ascii="Arial" w:eastAsia="Times New Roman" w:hAnsi="Arial" w:cs="Arial"/>
                <w:b/>
                <w:bCs/>
                <w:color w:val="000000"/>
                <w:sz w:val="20"/>
                <w:szCs w:val="20"/>
                <w:lang w:val="en-US"/>
              </w:rPr>
              <w:t>2028</w:t>
            </w:r>
          </w:p>
        </w:tc>
      </w:tr>
      <w:tr w:rsidR="00E30BE9" w:rsidRPr="00E30BE9" w14:paraId="128B7879" w14:textId="77777777" w:rsidTr="00E30BE9">
        <w:trPr>
          <w:trHeight w:val="300"/>
          <w:jc w:val="center"/>
        </w:trPr>
        <w:tc>
          <w:tcPr>
            <w:tcW w:w="4253" w:type="dxa"/>
            <w:shd w:val="clear" w:color="000000" w:fill="F2F2F2"/>
            <w:vAlign w:val="center"/>
            <w:hideMark/>
          </w:tcPr>
          <w:p w14:paraId="45352180" w14:textId="77777777" w:rsidR="00E30BE9" w:rsidRPr="00E30BE9" w:rsidRDefault="00E30BE9" w:rsidP="00E30BE9">
            <w:pPr>
              <w:spacing w:after="0" w:line="240" w:lineRule="auto"/>
              <w:jc w:val="left"/>
              <w:rPr>
                <w:rFonts w:ascii="Calibri" w:eastAsia="Times New Roman" w:hAnsi="Calibri" w:cs="Calibri"/>
                <w:sz w:val="22"/>
              </w:rPr>
            </w:pPr>
            <w:r w:rsidRPr="00E30BE9">
              <w:rPr>
                <w:rFonts w:ascii="Calibri" w:eastAsia="Times New Roman" w:hAnsi="Calibri" w:cs="Calibri"/>
                <w:sz w:val="22"/>
                <w:lang w:val="en-US"/>
              </w:rPr>
              <w:t>Net expenditure growth (%)</w:t>
            </w:r>
          </w:p>
        </w:tc>
        <w:tc>
          <w:tcPr>
            <w:tcW w:w="1465" w:type="dxa"/>
            <w:shd w:val="clear" w:color="000000" w:fill="F2F2F2"/>
            <w:vAlign w:val="center"/>
            <w:hideMark/>
          </w:tcPr>
          <w:p w14:paraId="22531706"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3.1</w:t>
            </w:r>
          </w:p>
        </w:tc>
        <w:tc>
          <w:tcPr>
            <w:tcW w:w="822" w:type="dxa"/>
            <w:shd w:val="clear" w:color="000000" w:fill="F2F2F2"/>
            <w:vAlign w:val="center"/>
            <w:hideMark/>
          </w:tcPr>
          <w:p w14:paraId="68A70DC1"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3.0</w:t>
            </w:r>
          </w:p>
        </w:tc>
        <w:tc>
          <w:tcPr>
            <w:tcW w:w="822" w:type="dxa"/>
            <w:shd w:val="clear" w:color="000000" w:fill="F2F2F2"/>
            <w:vAlign w:val="center"/>
            <w:hideMark/>
          </w:tcPr>
          <w:p w14:paraId="6BC79760"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3.2</w:t>
            </w:r>
          </w:p>
        </w:tc>
        <w:tc>
          <w:tcPr>
            <w:tcW w:w="822" w:type="dxa"/>
            <w:shd w:val="clear" w:color="000000" w:fill="F2F2F2"/>
            <w:vAlign w:val="center"/>
            <w:hideMark/>
          </w:tcPr>
          <w:p w14:paraId="63073E27"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3.1</w:t>
            </w:r>
          </w:p>
        </w:tc>
        <w:tc>
          <w:tcPr>
            <w:tcW w:w="822" w:type="dxa"/>
            <w:shd w:val="clear" w:color="000000" w:fill="F2F2F2"/>
            <w:vAlign w:val="center"/>
            <w:hideMark/>
          </w:tcPr>
          <w:p w14:paraId="27E836CF"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3.0</w:t>
            </w:r>
          </w:p>
        </w:tc>
      </w:tr>
      <w:tr w:rsidR="00E30BE9" w:rsidRPr="00E30BE9" w14:paraId="273B50EB" w14:textId="77777777" w:rsidTr="00E30BE9">
        <w:trPr>
          <w:trHeight w:val="300"/>
          <w:jc w:val="center"/>
        </w:trPr>
        <w:tc>
          <w:tcPr>
            <w:tcW w:w="4253" w:type="dxa"/>
            <w:shd w:val="clear" w:color="000000" w:fill="D9D9D9"/>
            <w:vAlign w:val="center"/>
            <w:hideMark/>
          </w:tcPr>
          <w:p w14:paraId="0B996232" w14:textId="77777777" w:rsidR="00E30BE9" w:rsidRPr="00E30BE9" w:rsidRDefault="00E30BE9" w:rsidP="00E30BE9">
            <w:pPr>
              <w:spacing w:after="0" w:line="240" w:lineRule="auto"/>
              <w:jc w:val="left"/>
              <w:rPr>
                <w:rFonts w:ascii="Calibri" w:eastAsia="Times New Roman" w:hAnsi="Calibri" w:cs="Calibri"/>
                <w:sz w:val="22"/>
                <w:lang w:val="en-US"/>
              </w:rPr>
            </w:pPr>
            <w:r w:rsidRPr="00E30BE9">
              <w:rPr>
                <w:rFonts w:ascii="Calibri" w:eastAsia="Times New Roman" w:hAnsi="Calibri" w:cs="Calibri"/>
                <w:sz w:val="22"/>
                <w:lang w:val="en-US"/>
              </w:rPr>
              <w:t>Structural primary balance (% of GDP)</w:t>
            </w:r>
          </w:p>
        </w:tc>
        <w:tc>
          <w:tcPr>
            <w:tcW w:w="1465" w:type="dxa"/>
            <w:shd w:val="clear" w:color="000000" w:fill="D9D9D9"/>
            <w:vAlign w:val="center"/>
            <w:hideMark/>
          </w:tcPr>
          <w:p w14:paraId="1658E066"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2.4</w:t>
            </w:r>
          </w:p>
        </w:tc>
        <w:tc>
          <w:tcPr>
            <w:tcW w:w="822" w:type="dxa"/>
            <w:shd w:val="clear" w:color="000000" w:fill="D9D9D9"/>
            <w:vAlign w:val="center"/>
            <w:hideMark/>
          </w:tcPr>
          <w:p w14:paraId="6AA5606D"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2.1</w:t>
            </w:r>
          </w:p>
        </w:tc>
        <w:tc>
          <w:tcPr>
            <w:tcW w:w="822" w:type="dxa"/>
            <w:shd w:val="clear" w:color="000000" w:fill="D9D9D9"/>
            <w:vAlign w:val="center"/>
            <w:hideMark/>
          </w:tcPr>
          <w:p w14:paraId="6571185A"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2.3</w:t>
            </w:r>
          </w:p>
        </w:tc>
        <w:tc>
          <w:tcPr>
            <w:tcW w:w="822" w:type="dxa"/>
            <w:shd w:val="clear" w:color="000000" w:fill="D9D9D9"/>
            <w:vAlign w:val="center"/>
            <w:hideMark/>
          </w:tcPr>
          <w:p w14:paraId="3EC01DF8"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2.4</w:t>
            </w:r>
          </w:p>
        </w:tc>
        <w:tc>
          <w:tcPr>
            <w:tcW w:w="822" w:type="dxa"/>
            <w:shd w:val="clear" w:color="000000" w:fill="D9D9D9"/>
            <w:vAlign w:val="center"/>
            <w:hideMark/>
          </w:tcPr>
          <w:p w14:paraId="6B4A94CC"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2.6</w:t>
            </w:r>
          </w:p>
        </w:tc>
      </w:tr>
      <w:tr w:rsidR="00E30BE9" w:rsidRPr="00E30BE9" w14:paraId="381D0FA9" w14:textId="77777777" w:rsidTr="00E30BE9">
        <w:trPr>
          <w:trHeight w:val="300"/>
          <w:jc w:val="center"/>
        </w:trPr>
        <w:tc>
          <w:tcPr>
            <w:tcW w:w="4253" w:type="dxa"/>
            <w:shd w:val="clear" w:color="000000" w:fill="F2F2F2"/>
            <w:vAlign w:val="center"/>
            <w:hideMark/>
          </w:tcPr>
          <w:p w14:paraId="299C161F" w14:textId="77777777" w:rsidR="00E30BE9" w:rsidRPr="00E30BE9" w:rsidRDefault="00E30BE9" w:rsidP="00E30BE9">
            <w:pPr>
              <w:spacing w:after="0" w:line="240" w:lineRule="auto"/>
              <w:jc w:val="left"/>
              <w:rPr>
                <w:rFonts w:ascii="Calibri" w:eastAsia="Times New Roman" w:hAnsi="Calibri" w:cs="Calibri"/>
                <w:sz w:val="22"/>
                <w:lang w:val="en-US"/>
              </w:rPr>
            </w:pPr>
            <w:r w:rsidRPr="00E30BE9">
              <w:rPr>
                <w:rFonts w:ascii="Calibri" w:eastAsia="Times New Roman" w:hAnsi="Calibri" w:cs="Calibri"/>
                <w:sz w:val="22"/>
                <w:lang w:val="en-US"/>
              </w:rPr>
              <w:t>Annual change in the structural primary balance (pp. of GDP)</w:t>
            </w:r>
          </w:p>
        </w:tc>
        <w:tc>
          <w:tcPr>
            <w:tcW w:w="1465" w:type="dxa"/>
            <w:shd w:val="clear" w:color="000000" w:fill="F2F2F2"/>
            <w:vAlign w:val="center"/>
            <w:hideMark/>
          </w:tcPr>
          <w:p w14:paraId="6409796D"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0.2</w:t>
            </w:r>
            <w:r w:rsidR="00CA2934">
              <w:rPr>
                <w:rFonts w:ascii="Calibri" w:eastAsia="Times New Roman" w:hAnsi="Calibri" w:cs="Calibri"/>
                <w:sz w:val="22"/>
                <w:lang w:val="en-US"/>
              </w:rPr>
              <w:t>2</w:t>
            </w:r>
          </w:p>
        </w:tc>
        <w:tc>
          <w:tcPr>
            <w:tcW w:w="822" w:type="dxa"/>
            <w:shd w:val="clear" w:color="000000" w:fill="F2F2F2"/>
            <w:vAlign w:val="center"/>
            <w:hideMark/>
          </w:tcPr>
          <w:p w14:paraId="5A844674"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0.4</w:t>
            </w:r>
            <w:r w:rsidR="00CA2934">
              <w:rPr>
                <w:rFonts w:ascii="Calibri" w:eastAsia="Times New Roman" w:hAnsi="Calibri" w:cs="Calibri"/>
                <w:sz w:val="22"/>
                <w:lang w:val="en-US"/>
              </w:rPr>
              <w:t>0</w:t>
            </w:r>
            <w:r w:rsidRPr="00E30BE9">
              <w:rPr>
                <w:rFonts w:ascii="Calibri" w:eastAsia="Times New Roman" w:hAnsi="Calibri" w:cs="Calibri"/>
                <w:sz w:val="22"/>
                <w:lang w:val="en-US"/>
              </w:rPr>
              <w:t>*</w:t>
            </w:r>
          </w:p>
        </w:tc>
        <w:tc>
          <w:tcPr>
            <w:tcW w:w="822" w:type="dxa"/>
            <w:shd w:val="clear" w:color="000000" w:fill="F2F2F2"/>
            <w:vAlign w:val="center"/>
            <w:hideMark/>
          </w:tcPr>
          <w:p w14:paraId="1F8FB3A6"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c>
          <w:tcPr>
            <w:tcW w:w="822" w:type="dxa"/>
            <w:shd w:val="clear" w:color="000000" w:fill="F2F2F2"/>
            <w:vAlign w:val="center"/>
            <w:hideMark/>
          </w:tcPr>
          <w:p w14:paraId="66EBA32C"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c>
          <w:tcPr>
            <w:tcW w:w="822" w:type="dxa"/>
            <w:shd w:val="clear" w:color="000000" w:fill="F2F2F2"/>
            <w:vAlign w:val="center"/>
            <w:hideMark/>
          </w:tcPr>
          <w:p w14:paraId="78DFADD7"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r>
      <w:tr w:rsidR="00E30BE9" w:rsidRPr="00E30BE9" w14:paraId="42E5DDBC" w14:textId="77777777" w:rsidTr="00E30BE9">
        <w:trPr>
          <w:trHeight w:val="300"/>
          <w:jc w:val="center"/>
        </w:trPr>
        <w:tc>
          <w:tcPr>
            <w:tcW w:w="4253" w:type="dxa"/>
            <w:shd w:val="clear" w:color="000000" w:fill="D9D9D9"/>
            <w:vAlign w:val="center"/>
            <w:hideMark/>
          </w:tcPr>
          <w:p w14:paraId="4DEE984A" w14:textId="77777777" w:rsidR="00E30BE9" w:rsidRPr="00E30BE9" w:rsidRDefault="00E30BE9" w:rsidP="00E30BE9">
            <w:pPr>
              <w:spacing w:after="0" w:line="240" w:lineRule="auto"/>
              <w:jc w:val="left"/>
              <w:rPr>
                <w:rFonts w:ascii="Calibri" w:eastAsia="Times New Roman" w:hAnsi="Calibri" w:cs="Calibri"/>
                <w:sz w:val="22"/>
              </w:rPr>
            </w:pPr>
            <w:r w:rsidRPr="00E30BE9">
              <w:rPr>
                <w:rFonts w:ascii="Calibri" w:eastAsia="Times New Roman" w:hAnsi="Calibri" w:cs="Calibri"/>
                <w:sz w:val="22"/>
                <w:lang w:val="en-US"/>
              </w:rPr>
              <w:t>of which</w:t>
            </w:r>
          </w:p>
        </w:tc>
        <w:tc>
          <w:tcPr>
            <w:tcW w:w="1465" w:type="dxa"/>
            <w:shd w:val="clear" w:color="000000" w:fill="D9D9D9"/>
            <w:vAlign w:val="center"/>
            <w:hideMark/>
          </w:tcPr>
          <w:p w14:paraId="55553D2D"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rPr>
              <w:t> </w:t>
            </w:r>
          </w:p>
        </w:tc>
        <w:tc>
          <w:tcPr>
            <w:tcW w:w="822" w:type="dxa"/>
            <w:shd w:val="clear" w:color="000000" w:fill="D9D9D9"/>
            <w:vAlign w:val="center"/>
            <w:hideMark/>
          </w:tcPr>
          <w:p w14:paraId="4218CF93"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rPr>
              <w:t> </w:t>
            </w:r>
          </w:p>
        </w:tc>
        <w:tc>
          <w:tcPr>
            <w:tcW w:w="822" w:type="dxa"/>
            <w:shd w:val="clear" w:color="000000" w:fill="D9D9D9"/>
            <w:vAlign w:val="center"/>
            <w:hideMark/>
          </w:tcPr>
          <w:p w14:paraId="4CE00747"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rPr>
              <w:t> </w:t>
            </w:r>
          </w:p>
        </w:tc>
        <w:tc>
          <w:tcPr>
            <w:tcW w:w="822" w:type="dxa"/>
            <w:shd w:val="clear" w:color="000000" w:fill="D9D9D9"/>
            <w:vAlign w:val="center"/>
            <w:hideMark/>
          </w:tcPr>
          <w:p w14:paraId="49841692"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rPr>
              <w:t> </w:t>
            </w:r>
          </w:p>
        </w:tc>
        <w:tc>
          <w:tcPr>
            <w:tcW w:w="822" w:type="dxa"/>
            <w:shd w:val="clear" w:color="000000" w:fill="D9D9D9"/>
            <w:vAlign w:val="center"/>
            <w:hideMark/>
          </w:tcPr>
          <w:p w14:paraId="6B62A877"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 </w:t>
            </w:r>
          </w:p>
        </w:tc>
      </w:tr>
      <w:tr w:rsidR="00E30BE9" w:rsidRPr="00E30BE9" w14:paraId="6BF40C81" w14:textId="77777777" w:rsidTr="00E30BE9">
        <w:trPr>
          <w:trHeight w:val="300"/>
          <w:jc w:val="center"/>
        </w:trPr>
        <w:tc>
          <w:tcPr>
            <w:tcW w:w="4253" w:type="dxa"/>
            <w:shd w:val="clear" w:color="000000" w:fill="F2F2F2"/>
            <w:vAlign w:val="center"/>
            <w:hideMark/>
          </w:tcPr>
          <w:p w14:paraId="07783C8F" w14:textId="77777777" w:rsidR="00E30BE9" w:rsidRPr="00E30BE9" w:rsidRDefault="00E30BE9" w:rsidP="00E30BE9">
            <w:pPr>
              <w:spacing w:after="0" w:line="240" w:lineRule="auto"/>
              <w:ind w:firstLineChars="200" w:firstLine="440"/>
              <w:jc w:val="left"/>
              <w:rPr>
                <w:rFonts w:ascii="Calibri" w:eastAsia="Times New Roman" w:hAnsi="Calibri" w:cs="Calibri"/>
                <w:sz w:val="22"/>
              </w:rPr>
            </w:pPr>
            <w:r w:rsidRPr="00E30BE9">
              <w:rPr>
                <w:rFonts w:ascii="Calibri" w:eastAsia="Times New Roman" w:hAnsi="Calibri" w:cs="Calibri"/>
                <w:sz w:val="22"/>
                <w:lang w:val="en-US"/>
              </w:rPr>
              <w:t>DSA-based criteria</w:t>
            </w:r>
          </w:p>
        </w:tc>
        <w:tc>
          <w:tcPr>
            <w:tcW w:w="1465" w:type="dxa"/>
            <w:shd w:val="clear" w:color="000000" w:fill="F2F2F2"/>
            <w:vAlign w:val="center"/>
            <w:hideMark/>
          </w:tcPr>
          <w:p w14:paraId="2AB7E376"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c>
          <w:tcPr>
            <w:tcW w:w="822" w:type="dxa"/>
            <w:shd w:val="clear" w:color="000000" w:fill="F2F2F2"/>
            <w:vAlign w:val="center"/>
            <w:hideMark/>
          </w:tcPr>
          <w:p w14:paraId="6B9DF178"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c>
          <w:tcPr>
            <w:tcW w:w="822" w:type="dxa"/>
            <w:shd w:val="clear" w:color="000000" w:fill="F2F2F2"/>
            <w:vAlign w:val="center"/>
            <w:hideMark/>
          </w:tcPr>
          <w:p w14:paraId="25456D00"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c>
          <w:tcPr>
            <w:tcW w:w="822" w:type="dxa"/>
            <w:shd w:val="clear" w:color="000000" w:fill="F2F2F2"/>
            <w:vAlign w:val="center"/>
            <w:hideMark/>
          </w:tcPr>
          <w:p w14:paraId="73735BC2"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c>
          <w:tcPr>
            <w:tcW w:w="822" w:type="dxa"/>
            <w:shd w:val="clear" w:color="000000" w:fill="F2F2F2"/>
            <w:vAlign w:val="center"/>
            <w:hideMark/>
          </w:tcPr>
          <w:p w14:paraId="2B941B9C"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16</w:t>
            </w:r>
          </w:p>
        </w:tc>
      </w:tr>
      <w:tr w:rsidR="00E30BE9" w:rsidRPr="00E30BE9" w14:paraId="0BA3ECE4" w14:textId="77777777" w:rsidTr="00E30BE9">
        <w:trPr>
          <w:trHeight w:val="315"/>
          <w:jc w:val="center"/>
        </w:trPr>
        <w:tc>
          <w:tcPr>
            <w:tcW w:w="4253" w:type="dxa"/>
            <w:shd w:val="clear" w:color="000000" w:fill="D9D9D9"/>
            <w:vAlign w:val="center"/>
            <w:hideMark/>
          </w:tcPr>
          <w:p w14:paraId="0C90B318" w14:textId="77777777" w:rsidR="00E30BE9" w:rsidRPr="00E30BE9" w:rsidRDefault="00E30BE9" w:rsidP="00E30BE9">
            <w:pPr>
              <w:spacing w:after="0" w:line="240" w:lineRule="auto"/>
              <w:ind w:leftChars="200" w:left="460"/>
              <w:jc w:val="left"/>
              <w:rPr>
                <w:rFonts w:ascii="Calibri" w:eastAsia="Times New Roman" w:hAnsi="Calibri" w:cs="Calibri"/>
                <w:sz w:val="22"/>
                <w:lang w:val="en-US"/>
              </w:rPr>
            </w:pPr>
            <w:r w:rsidRPr="00E30BE9">
              <w:rPr>
                <w:rFonts w:ascii="Calibri" w:eastAsia="Times New Roman" w:hAnsi="Calibri" w:cs="Calibri"/>
                <w:sz w:val="22"/>
                <w:lang w:val="en-US"/>
              </w:rPr>
              <w:t>Impact of the benchmark and safeguards</w:t>
            </w:r>
          </w:p>
        </w:tc>
        <w:tc>
          <w:tcPr>
            <w:tcW w:w="1465" w:type="dxa"/>
            <w:shd w:val="clear" w:color="000000" w:fill="D9D9D9"/>
            <w:vAlign w:val="center"/>
            <w:hideMark/>
          </w:tcPr>
          <w:p w14:paraId="26334782"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w:t>
            </w:r>
            <w:r w:rsidR="00CA2934">
              <w:rPr>
                <w:rFonts w:ascii="Calibri" w:eastAsia="Times New Roman" w:hAnsi="Calibri" w:cs="Calibri"/>
                <w:sz w:val="22"/>
                <w:lang w:val="en-US"/>
              </w:rPr>
              <w:t>06</w:t>
            </w:r>
          </w:p>
        </w:tc>
        <w:tc>
          <w:tcPr>
            <w:tcW w:w="822" w:type="dxa"/>
            <w:shd w:val="clear" w:color="000000" w:fill="D9D9D9"/>
            <w:vAlign w:val="center"/>
            <w:hideMark/>
          </w:tcPr>
          <w:p w14:paraId="184B0B03"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0.2</w:t>
            </w:r>
            <w:r w:rsidR="00CA2934">
              <w:rPr>
                <w:rFonts w:ascii="Calibri" w:eastAsia="Times New Roman" w:hAnsi="Calibri" w:cs="Calibri"/>
                <w:sz w:val="22"/>
                <w:lang w:val="en-US"/>
              </w:rPr>
              <w:t>4</w:t>
            </w:r>
          </w:p>
        </w:tc>
        <w:tc>
          <w:tcPr>
            <w:tcW w:w="822" w:type="dxa"/>
            <w:shd w:val="clear" w:color="000000" w:fill="D9D9D9"/>
            <w:vAlign w:val="center"/>
            <w:hideMark/>
          </w:tcPr>
          <w:p w14:paraId="11F24231"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0.0</w:t>
            </w:r>
          </w:p>
        </w:tc>
        <w:tc>
          <w:tcPr>
            <w:tcW w:w="822" w:type="dxa"/>
            <w:shd w:val="clear" w:color="000000" w:fill="D9D9D9"/>
            <w:vAlign w:val="center"/>
            <w:hideMark/>
          </w:tcPr>
          <w:p w14:paraId="15E20BF3"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0.0</w:t>
            </w:r>
          </w:p>
        </w:tc>
        <w:tc>
          <w:tcPr>
            <w:tcW w:w="822" w:type="dxa"/>
            <w:shd w:val="clear" w:color="000000" w:fill="D9D9D9"/>
            <w:vAlign w:val="center"/>
            <w:hideMark/>
          </w:tcPr>
          <w:p w14:paraId="1BF11AF5" w14:textId="77777777" w:rsidR="00E30BE9" w:rsidRPr="00E30BE9" w:rsidRDefault="00E30BE9" w:rsidP="00E30BE9">
            <w:pPr>
              <w:spacing w:after="0" w:line="240" w:lineRule="auto"/>
              <w:jc w:val="center"/>
              <w:rPr>
                <w:rFonts w:ascii="Calibri" w:eastAsia="Times New Roman" w:hAnsi="Calibri" w:cs="Calibri"/>
                <w:sz w:val="22"/>
              </w:rPr>
            </w:pPr>
            <w:r w:rsidRPr="00E30BE9">
              <w:rPr>
                <w:rFonts w:ascii="Calibri" w:eastAsia="Times New Roman" w:hAnsi="Calibri" w:cs="Calibri"/>
                <w:sz w:val="22"/>
                <w:lang w:val="en-US"/>
              </w:rPr>
              <w:t>0.0</w:t>
            </w:r>
          </w:p>
        </w:tc>
      </w:tr>
    </w:tbl>
    <w:p w14:paraId="2AC3B009" w14:textId="77777777" w:rsidR="00E30BE9" w:rsidRPr="00E30BE9" w:rsidRDefault="00E30BE9" w:rsidP="00E30BE9">
      <w:pPr>
        <w:spacing w:after="0" w:line="240" w:lineRule="auto"/>
        <w:rPr>
          <w:rFonts w:ascii="Calibri" w:eastAsia="Times New Roman" w:hAnsi="Calibri" w:cs="Calibri"/>
          <w:color w:val="000000"/>
          <w:sz w:val="22"/>
          <w:lang w:val="en-US"/>
        </w:rPr>
      </w:pPr>
      <w:r w:rsidRPr="00E30BE9">
        <w:rPr>
          <w:rFonts w:ascii="Calibri" w:eastAsia="Times New Roman" w:hAnsi="Calibri" w:cs="Calibri"/>
          <w:color w:val="000000"/>
          <w:sz w:val="22"/>
          <w:lang w:val="en-US"/>
        </w:rPr>
        <w:t>* The deficit resilience safeguard is binding</w:t>
      </w:r>
      <w:r w:rsidR="00AE61BB">
        <w:rPr>
          <w:rFonts w:ascii="Calibri" w:eastAsia="Times New Roman" w:hAnsi="Calibri" w:cs="Calibri"/>
          <w:color w:val="000000"/>
          <w:sz w:val="22"/>
          <w:lang w:val="en-US"/>
        </w:rPr>
        <w:t>.</w:t>
      </w:r>
    </w:p>
    <w:p w14:paraId="30450E81" w14:textId="77777777" w:rsidR="00E30BE9" w:rsidRDefault="00E30BE9" w:rsidP="000424BD">
      <w:pPr>
        <w:rPr>
          <w:lang w:val="en-US"/>
        </w:rPr>
      </w:pPr>
    </w:p>
    <w:p w14:paraId="644A3E68" w14:textId="6BC7648E" w:rsidR="00C30E96" w:rsidRPr="00337799" w:rsidRDefault="002E38AC" w:rsidP="00337799">
      <w:pPr>
        <w:pStyle w:val="Table"/>
      </w:pPr>
      <w:bookmarkStart w:id="40" w:name="_Ref177392334"/>
      <w:bookmarkStart w:id="41" w:name="_Toc177747044"/>
      <w:r w:rsidRPr="00337799">
        <w:t xml:space="preserve">Table </w:t>
      </w:r>
      <w:r w:rsidR="00337799" w:rsidRPr="00337799">
        <w:fldChar w:fldCharType="begin"/>
      </w:r>
      <w:r w:rsidR="00337799" w:rsidRPr="00337799">
        <w:instrText xml:space="preserve"> SEQ Table \* ARABIC </w:instrText>
      </w:r>
      <w:r w:rsidR="00337799" w:rsidRPr="00337799">
        <w:fldChar w:fldCharType="separate"/>
      </w:r>
      <w:r w:rsidR="00824AAF">
        <w:rPr>
          <w:noProof/>
        </w:rPr>
        <w:t>14</w:t>
      </w:r>
      <w:r w:rsidR="00337799" w:rsidRPr="00337799">
        <w:fldChar w:fldCharType="end"/>
      </w:r>
      <w:bookmarkEnd w:id="40"/>
      <w:r w:rsidRPr="00337799">
        <w:t xml:space="preserve"> </w:t>
      </w:r>
      <w:r w:rsidR="00337799">
        <w:t xml:space="preserve">| </w:t>
      </w:r>
      <w:r w:rsidRPr="00337799">
        <w:t>Main budgetary, macroeconomic and financial variables</w:t>
      </w:r>
      <w:bookmarkEnd w:id="41"/>
    </w:p>
    <w:tbl>
      <w:tblPr>
        <w:tblW w:w="8930" w:type="dxa"/>
        <w:jc w:val="center"/>
        <w:tblBorders>
          <w:bottom w:val="single" w:sz="18" w:space="0" w:color="4F81BD" w:themeColor="accent1"/>
          <w:insideH w:val="single" w:sz="4" w:space="0" w:color="FFFFFF"/>
        </w:tblBorders>
        <w:tblLook w:val="04A0" w:firstRow="1" w:lastRow="0" w:firstColumn="1" w:lastColumn="0" w:noHBand="0" w:noVBand="1"/>
      </w:tblPr>
      <w:tblGrid>
        <w:gridCol w:w="5103"/>
        <w:gridCol w:w="1559"/>
        <w:gridCol w:w="2268"/>
      </w:tblGrid>
      <w:tr w:rsidR="002E38AC" w:rsidRPr="002E38AC" w14:paraId="065426A9" w14:textId="77777777" w:rsidTr="00F259D5">
        <w:trPr>
          <w:trHeight w:val="300"/>
          <w:jc w:val="center"/>
        </w:trPr>
        <w:tc>
          <w:tcPr>
            <w:tcW w:w="5103" w:type="dxa"/>
            <w:shd w:val="clear" w:color="000000" w:fill="BFBFBF"/>
            <w:vAlign w:val="center"/>
            <w:hideMark/>
          </w:tcPr>
          <w:p w14:paraId="0F4909EE" w14:textId="77777777" w:rsidR="002E38AC" w:rsidRPr="002E38AC" w:rsidRDefault="002E38AC" w:rsidP="002E38AC">
            <w:pPr>
              <w:spacing w:after="0" w:line="240" w:lineRule="auto"/>
              <w:jc w:val="left"/>
              <w:rPr>
                <w:rFonts w:ascii="Arial" w:eastAsia="Times New Roman" w:hAnsi="Arial" w:cs="Arial"/>
                <w:b/>
                <w:bCs/>
                <w:color w:val="000000"/>
                <w:sz w:val="20"/>
                <w:szCs w:val="20"/>
              </w:rPr>
            </w:pPr>
            <w:r w:rsidRPr="002E38AC">
              <w:rPr>
                <w:rFonts w:ascii="Arial" w:eastAsia="Times New Roman" w:hAnsi="Arial" w:cs="Arial"/>
                <w:b/>
                <w:bCs/>
                <w:color w:val="000000"/>
                <w:sz w:val="20"/>
                <w:szCs w:val="20"/>
                <w:lang w:val="en-US"/>
              </w:rPr>
              <w:t>Budgetary variables: initial conditions</w:t>
            </w:r>
          </w:p>
        </w:tc>
        <w:tc>
          <w:tcPr>
            <w:tcW w:w="1559" w:type="dxa"/>
            <w:shd w:val="clear" w:color="000000" w:fill="BFBFBF"/>
            <w:vAlign w:val="center"/>
            <w:hideMark/>
          </w:tcPr>
          <w:p w14:paraId="000EA364" w14:textId="77777777" w:rsidR="002E38AC" w:rsidRPr="002E38AC" w:rsidRDefault="002E38AC" w:rsidP="002E38AC">
            <w:pPr>
              <w:spacing w:after="0" w:line="240" w:lineRule="auto"/>
              <w:jc w:val="center"/>
              <w:rPr>
                <w:rFonts w:ascii="Arial" w:eastAsia="Times New Roman" w:hAnsi="Arial" w:cs="Arial"/>
                <w:b/>
                <w:bCs/>
                <w:color w:val="000000"/>
                <w:sz w:val="20"/>
                <w:szCs w:val="20"/>
              </w:rPr>
            </w:pPr>
            <w:r w:rsidRPr="002E38AC">
              <w:rPr>
                <w:rFonts w:ascii="Arial" w:eastAsia="Times New Roman" w:hAnsi="Arial" w:cs="Arial"/>
                <w:b/>
                <w:bCs/>
                <w:color w:val="000000"/>
                <w:sz w:val="20"/>
                <w:szCs w:val="20"/>
                <w:lang w:val="en-US"/>
              </w:rPr>
              <w:t>2023</w:t>
            </w:r>
          </w:p>
        </w:tc>
        <w:tc>
          <w:tcPr>
            <w:tcW w:w="2268" w:type="dxa"/>
            <w:shd w:val="clear" w:color="000000" w:fill="BFBFBF"/>
            <w:vAlign w:val="center"/>
            <w:hideMark/>
          </w:tcPr>
          <w:p w14:paraId="4C9EE215" w14:textId="77777777" w:rsidR="002E38AC" w:rsidRPr="002E38AC" w:rsidRDefault="002E38AC" w:rsidP="002E38AC">
            <w:pPr>
              <w:spacing w:after="0" w:line="240" w:lineRule="auto"/>
              <w:jc w:val="center"/>
              <w:rPr>
                <w:rFonts w:ascii="Arial" w:eastAsia="Times New Roman" w:hAnsi="Arial" w:cs="Arial"/>
                <w:b/>
                <w:bCs/>
                <w:color w:val="000000"/>
                <w:sz w:val="20"/>
                <w:szCs w:val="20"/>
              </w:rPr>
            </w:pPr>
            <w:r w:rsidRPr="002E38AC">
              <w:rPr>
                <w:rFonts w:ascii="Arial" w:eastAsia="Times New Roman" w:hAnsi="Arial" w:cs="Arial"/>
                <w:b/>
                <w:bCs/>
                <w:color w:val="000000"/>
                <w:sz w:val="20"/>
                <w:szCs w:val="20"/>
                <w:lang w:val="en-US"/>
              </w:rPr>
              <w:t>2024</w:t>
            </w:r>
          </w:p>
        </w:tc>
      </w:tr>
      <w:tr w:rsidR="002E38AC" w:rsidRPr="002E38AC" w14:paraId="33117784" w14:textId="77777777" w:rsidTr="00F259D5">
        <w:trPr>
          <w:trHeight w:val="300"/>
          <w:jc w:val="center"/>
        </w:trPr>
        <w:tc>
          <w:tcPr>
            <w:tcW w:w="5103" w:type="dxa"/>
            <w:shd w:val="clear" w:color="000000" w:fill="F2F2F2"/>
            <w:vAlign w:val="center"/>
            <w:hideMark/>
          </w:tcPr>
          <w:p w14:paraId="655BD924" w14:textId="77777777" w:rsidR="002E38AC" w:rsidRPr="002E38AC" w:rsidRDefault="002E38AC" w:rsidP="002E38AC">
            <w:pPr>
              <w:spacing w:after="0" w:line="240" w:lineRule="auto"/>
              <w:jc w:val="left"/>
              <w:rPr>
                <w:rFonts w:ascii="Calibri" w:eastAsia="Times New Roman" w:hAnsi="Calibri" w:cs="Calibri"/>
                <w:sz w:val="22"/>
                <w:lang w:val="en-US"/>
              </w:rPr>
            </w:pPr>
            <w:r w:rsidRPr="002E38AC">
              <w:rPr>
                <w:rFonts w:ascii="Calibri" w:eastAsia="Times New Roman" w:hAnsi="Calibri" w:cs="Calibri"/>
                <w:sz w:val="22"/>
                <w:lang w:val="en-US"/>
              </w:rPr>
              <w:t>Government budget balance (% of GDP)</w:t>
            </w:r>
          </w:p>
        </w:tc>
        <w:tc>
          <w:tcPr>
            <w:tcW w:w="1559" w:type="dxa"/>
            <w:shd w:val="clear" w:color="000000" w:fill="F2F2F2"/>
            <w:vAlign w:val="center"/>
            <w:hideMark/>
          </w:tcPr>
          <w:p w14:paraId="0FA61951"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-1.6</w:t>
            </w:r>
          </w:p>
        </w:tc>
        <w:tc>
          <w:tcPr>
            <w:tcW w:w="2268" w:type="dxa"/>
            <w:shd w:val="clear" w:color="000000" w:fill="F2F2F2"/>
            <w:vAlign w:val="center"/>
            <w:hideMark/>
          </w:tcPr>
          <w:p w14:paraId="7225E6BB"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-1.2</w:t>
            </w:r>
          </w:p>
        </w:tc>
      </w:tr>
      <w:tr w:rsidR="002E38AC" w:rsidRPr="002E38AC" w14:paraId="61734584" w14:textId="77777777" w:rsidTr="00F259D5">
        <w:trPr>
          <w:trHeight w:val="300"/>
          <w:jc w:val="center"/>
        </w:trPr>
        <w:tc>
          <w:tcPr>
            <w:tcW w:w="5103" w:type="dxa"/>
            <w:shd w:val="clear" w:color="000000" w:fill="D9D9D9"/>
            <w:vAlign w:val="center"/>
            <w:hideMark/>
          </w:tcPr>
          <w:p w14:paraId="4022C5DD" w14:textId="77777777" w:rsidR="002E38AC" w:rsidRPr="002E38AC" w:rsidRDefault="002E38AC" w:rsidP="002E38AC">
            <w:pPr>
              <w:spacing w:after="0" w:line="240" w:lineRule="auto"/>
              <w:jc w:val="left"/>
              <w:rPr>
                <w:rFonts w:ascii="Calibri" w:eastAsia="Times New Roman" w:hAnsi="Calibri" w:cs="Calibri"/>
                <w:sz w:val="22"/>
              </w:rPr>
            </w:pPr>
            <w:r w:rsidRPr="002E38AC">
              <w:rPr>
                <w:rFonts w:ascii="Calibri" w:eastAsia="Times New Roman" w:hAnsi="Calibri" w:cs="Calibri"/>
                <w:sz w:val="22"/>
                <w:lang w:val="en-US"/>
              </w:rPr>
              <w:t>Government debt (% of GDP)</w:t>
            </w:r>
          </w:p>
        </w:tc>
        <w:tc>
          <w:tcPr>
            <w:tcW w:w="1559" w:type="dxa"/>
            <w:shd w:val="clear" w:color="000000" w:fill="D9D9D9"/>
            <w:vAlign w:val="center"/>
            <w:hideMark/>
          </w:tcPr>
          <w:p w14:paraId="110D90FF"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161.9</w:t>
            </w:r>
          </w:p>
        </w:tc>
        <w:tc>
          <w:tcPr>
            <w:tcW w:w="2268" w:type="dxa"/>
            <w:shd w:val="clear" w:color="000000" w:fill="D9D9D9"/>
            <w:vAlign w:val="center"/>
            <w:hideMark/>
          </w:tcPr>
          <w:p w14:paraId="508034B8"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153.9</w:t>
            </w:r>
          </w:p>
        </w:tc>
      </w:tr>
      <w:tr w:rsidR="002E38AC" w:rsidRPr="002E38AC" w14:paraId="0EB23C98" w14:textId="77777777" w:rsidTr="00F259D5">
        <w:trPr>
          <w:trHeight w:val="300"/>
          <w:jc w:val="center"/>
        </w:trPr>
        <w:tc>
          <w:tcPr>
            <w:tcW w:w="5103" w:type="dxa"/>
            <w:shd w:val="clear" w:color="000000" w:fill="F2F2F2"/>
            <w:vAlign w:val="center"/>
            <w:hideMark/>
          </w:tcPr>
          <w:p w14:paraId="1E3ECE85" w14:textId="77777777" w:rsidR="002E38AC" w:rsidRPr="002E38AC" w:rsidRDefault="002E38AC" w:rsidP="002E38AC">
            <w:pPr>
              <w:spacing w:after="0" w:line="240" w:lineRule="auto"/>
              <w:jc w:val="left"/>
              <w:rPr>
                <w:rFonts w:ascii="Calibri" w:eastAsia="Times New Roman" w:hAnsi="Calibri" w:cs="Calibri"/>
                <w:sz w:val="22"/>
              </w:rPr>
            </w:pPr>
            <w:r w:rsidRPr="002E38AC">
              <w:rPr>
                <w:rFonts w:ascii="Calibri" w:eastAsia="Times New Roman" w:hAnsi="Calibri" w:cs="Calibri"/>
                <w:sz w:val="22"/>
                <w:lang w:val="en-US"/>
              </w:rPr>
              <w:t>Net expenditure growth (%)</w:t>
            </w:r>
          </w:p>
        </w:tc>
        <w:tc>
          <w:tcPr>
            <w:tcW w:w="1559" w:type="dxa"/>
            <w:shd w:val="clear" w:color="000000" w:fill="F2F2F2"/>
            <w:vAlign w:val="center"/>
            <w:hideMark/>
          </w:tcPr>
          <w:p w14:paraId="6A857791"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4.5</w:t>
            </w:r>
          </w:p>
        </w:tc>
        <w:tc>
          <w:tcPr>
            <w:tcW w:w="2268" w:type="dxa"/>
            <w:shd w:val="clear" w:color="000000" w:fill="F2F2F2"/>
            <w:vAlign w:val="center"/>
            <w:hideMark/>
          </w:tcPr>
          <w:p w14:paraId="1D48D8CF"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1.8</w:t>
            </w:r>
          </w:p>
        </w:tc>
      </w:tr>
      <w:tr w:rsidR="002E38AC" w:rsidRPr="002E38AC" w14:paraId="13696A9C" w14:textId="77777777" w:rsidTr="00F259D5">
        <w:trPr>
          <w:trHeight w:val="300"/>
          <w:jc w:val="center"/>
        </w:trPr>
        <w:tc>
          <w:tcPr>
            <w:tcW w:w="5103" w:type="dxa"/>
            <w:shd w:val="clear" w:color="000000" w:fill="D9D9D9"/>
            <w:vAlign w:val="center"/>
            <w:hideMark/>
          </w:tcPr>
          <w:p w14:paraId="66CB39F4" w14:textId="77777777" w:rsidR="002E38AC" w:rsidRPr="002E38AC" w:rsidRDefault="002E38AC" w:rsidP="002E38AC">
            <w:pPr>
              <w:spacing w:after="0" w:line="240" w:lineRule="auto"/>
              <w:jc w:val="left"/>
              <w:rPr>
                <w:rFonts w:ascii="Calibri" w:eastAsia="Times New Roman" w:hAnsi="Calibri" w:cs="Calibri"/>
                <w:sz w:val="22"/>
                <w:lang w:val="en-US"/>
              </w:rPr>
            </w:pPr>
            <w:r w:rsidRPr="002E38AC">
              <w:rPr>
                <w:rFonts w:ascii="Calibri" w:eastAsia="Times New Roman" w:hAnsi="Calibri" w:cs="Calibri"/>
                <w:sz w:val="22"/>
                <w:lang w:val="en-US"/>
              </w:rPr>
              <w:t>Structural primary balance (% of GDP)</w:t>
            </w:r>
          </w:p>
        </w:tc>
        <w:tc>
          <w:tcPr>
            <w:tcW w:w="1559" w:type="dxa"/>
            <w:shd w:val="clear" w:color="000000" w:fill="D9D9D9"/>
            <w:vAlign w:val="center"/>
            <w:hideMark/>
          </w:tcPr>
          <w:p w14:paraId="1D7B4253"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1.9</w:t>
            </w:r>
          </w:p>
        </w:tc>
        <w:tc>
          <w:tcPr>
            <w:tcW w:w="2268" w:type="dxa"/>
            <w:shd w:val="clear" w:color="000000" w:fill="D9D9D9"/>
            <w:vAlign w:val="center"/>
            <w:hideMark/>
          </w:tcPr>
          <w:p w14:paraId="1CAC2739" w14:textId="77777777" w:rsidR="002E38AC" w:rsidRPr="0031547E" w:rsidRDefault="002E38AC" w:rsidP="002E38AC">
            <w:pPr>
              <w:spacing w:after="0" w:line="240" w:lineRule="auto"/>
              <w:jc w:val="center"/>
              <w:rPr>
                <w:rFonts w:ascii="Calibri" w:eastAsia="Times New Roman" w:hAnsi="Calibri" w:cs="Calibri"/>
                <w:b/>
                <w:sz w:val="22"/>
              </w:rPr>
            </w:pPr>
            <w:r w:rsidRPr="0031547E">
              <w:rPr>
                <w:rFonts w:ascii="Calibri" w:eastAsia="Times New Roman" w:hAnsi="Calibri" w:cs="Calibri"/>
                <w:b/>
                <w:color w:val="548DD4" w:themeColor="text2" w:themeTint="99"/>
                <w:sz w:val="22"/>
                <w:lang w:val="en-US"/>
              </w:rPr>
              <w:t>1.7</w:t>
            </w:r>
          </w:p>
        </w:tc>
      </w:tr>
      <w:tr w:rsidR="002E38AC" w:rsidRPr="002E38AC" w14:paraId="06051329" w14:textId="77777777" w:rsidTr="00F259D5">
        <w:trPr>
          <w:trHeight w:val="300"/>
          <w:jc w:val="center"/>
        </w:trPr>
        <w:tc>
          <w:tcPr>
            <w:tcW w:w="5103" w:type="dxa"/>
            <w:shd w:val="clear" w:color="000000" w:fill="F2F2F2"/>
            <w:vAlign w:val="center"/>
            <w:hideMark/>
          </w:tcPr>
          <w:p w14:paraId="4E2B9F4A" w14:textId="77777777" w:rsidR="002E38AC" w:rsidRPr="002E38AC" w:rsidRDefault="002E38AC" w:rsidP="002E38AC">
            <w:pPr>
              <w:spacing w:after="0" w:line="240" w:lineRule="auto"/>
              <w:jc w:val="left"/>
              <w:rPr>
                <w:rFonts w:ascii="Calibri" w:eastAsia="Times New Roman" w:hAnsi="Calibri" w:cs="Calibri"/>
                <w:sz w:val="22"/>
                <w:lang w:val="en-US"/>
              </w:rPr>
            </w:pPr>
            <w:r w:rsidRPr="002E38AC">
              <w:rPr>
                <w:rFonts w:ascii="Calibri" w:eastAsia="Times New Roman" w:hAnsi="Calibri" w:cs="Calibri"/>
                <w:sz w:val="22"/>
                <w:lang w:val="en-US"/>
              </w:rPr>
              <w:t>Structural headline balance (% of GDP)</w:t>
            </w:r>
          </w:p>
        </w:tc>
        <w:tc>
          <w:tcPr>
            <w:tcW w:w="1559" w:type="dxa"/>
            <w:shd w:val="clear" w:color="000000" w:fill="F2F2F2"/>
            <w:vAlign w:val="center"/>
            <w:hideMark/>
          </w:tcPr>
          <w:p w14:paraId="7A8AB1B2"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-1.5</w:t>
            </w:r>
          </w:p>
        </w:tc>
        <w:tc>
          <w:tcPr>
            <w:tcW w:w="2268" w:type="dxa"/>
            <w:shd w:val="clear" w:color="000000" w:fill="F2F2F2"/>
            <w:vAlign w:val="center"/>
            <w:hideMark/>
          </w:tcPr>
          <w:p w14:paraId="35CFF55F" w14:textId="77777777" w:rsidR="002E38AC" w:rsidRPr="0031547E" w:rsidRDefault="002E38AC" w:rsidP="002E38AC">
            <w:pPr>
              <w:spacing w:after="0" w:line="240" w:lineRule="auto"/>
              <w:jc w:val="center"/>
              <w:rPr>
                <w:rFonts w:ascii="Calibri" w:eastAsia="Times New Roman" w:hAnsi="Calibri" w:cs="Calibri"/>
                <w:b/>
                <w:sz w:val="22"/>
              </w:rPr>
            </w:pPr>
            <w:r w:rsidRPr="008911D7">
              <w:rPr>
                <w:rFonts w:ascii="Calibri" w:eastAsia="Times New Roman" w:hAnsi="Calibri" w:cs="Calibri"/>
                <w:color w:val="548DD4" w:themeColor="text2" w:themeTint="99"/>
                <w:sz w:val="22"/>
                <w:lang w:val="en-US"/>
              </w:rPr>
              <w:t xml:space="preserve"> </w:t>
            </w:r>
            <w:r w:rsidRPr="0031547E">
              <w:rPr>
                <w:rFonts w:ascii="Calibri" w:eastAsia="Times New Roman" w:hAnsi="Calibri" w:cs="Calibri"/>
                <w:b/>
                <w:color w:val="548DD4" w:themeColor="text2" w:themeTint="99"/>
                <w:sz w:val="22"/>
                <w:lang w:val="en-US"/>
              </w:rPr>
              <w:t>-1.7</w:t>
            </w:r>
          </w:p>
        </w:tc>
      </w:tr>
      <w:tr w:rsidR="002E38AC" w:rsidRPr="002E38AC" w14:paraId="2BF27883" w14:textId="77777777" w:rsidTr="00F259D5">
        <w:trPr>
          <w:trHeight w:val="300"/>
          <w:jc w:val="center"/>
        </w:trPr>
        <w:tc>
          <w:tcPr>
            <w:tcW w:w="5103" w:type="dxa"/>
            <w:shd w:val="clear" w:color="000000" w:fill="BFBFBF"/>
            <w:vAlign w:val="center"/>
            <w:hideMark/>
          </w:tcPr>
          <w:p w14:paraId="0BBCB09D" w14:textId="77777777" w:rsidR="002E38AC" w:rsidRPr="002E38AC" w:rsidRDefault="002E38AC" w:rsidP="002E38AC">
            <w:pPr>
              <w:spacing w:after="0" w:line="240" w:lineRule="auto"/>
              <w:jc w:val="left"/>
              <w:rPr>
                <w:rFonts w:ascii="Arial" w:eastAsia="Times New Roman" w:hAnsi="Arial" w:cs="Arial"/>
                <w:b/>
                <w:bCs/>
                <w:color w:val="000000"/>
                <w:sz w:val="20"/>
                <w:szCs w:val="20"/>
              </w:rPr>
            </w:pPr>
            <w:r w:rsidRPr="002E38AC">
              <w:rPr>
                <w:rFonts w:ascii="Arial" w:eastAsia="Times New Roman" w:hAnsi="Arial" w:cs="Arial"/>
                <w:b/>
                <w:bCs/>
                <w:color w:val="000000"/>
                <w:sz w:val="20"/>
                <w:szCs w:val="20"/>
                <w:lang w:val="en-US"/>
              </w:rPr>
              <w:t>Main assumptions</w:t>
            </w:r>
          </w:p>
        </w:tc>
        <w:tc>
          <w:tcPr>
            <w:tcW w:w="1559" w:type="dxa"/>
            <w:shd w:val="clear" w:color="000000" w:fill="BFBFBF"/>
            <w:vAlign w:val="center"/>
            <w:hideMark/>
          </w:tcPr>
          <w:p w14:paraId="60D02AA9" w14:textId="77777777" w:rsidR="002E38AC" w:rsidRPr="002E38AC" w:rsidRDefault="002E38AC" w:rsidP="002E38AC">
            <w:pPr>
              <w:spacing w:after="0" w:line="240" w:lineRule="auto"/>
              <w:jc w:val="center"/>
              <w:rPr>
                <w:rFonts w:ascii="Arial" w:eastAsia="Times New Roman" w:hAnsi="Arial" w:cs="Arial"/>
                <w:b/>
                <w:bCs/>
                <w:color w:val="000000"/>
                <w:sz w:val="20"/>
                <w:szCs w:val="20"/>
              </w:rPr>
            </w:pPr>
            <w:r w:rsidRPr="002E38AC">
              <w:rPr>
                <w:rFonts w:ascii="Arial" w:eastAsia="Times New Roman" w:hAnsi="Arial" w:cs="Arial"/>
                <w:b/>
                <w:bCs/>
                <w:color w:val="000000"/>
                <w:sz w:val="20"/>
                <w:szCs w:val="20"/>
              </w:rPr>
              <w:t>Assumption</w:t>
            </w:r>
          </w:p>
        </w:tc>
        <w:tc>
          <w:tcPr>
            <w:tcW w:w="2268" w:type="dxa"/>
            <w:shd w:val="clear" w:color="000000" w:fill="BFBFBF"/>
            <w:vAlign w:val="center"/>
            <w:hideMark/>
          </w:tcPr>
          <w:p w14:paraId="2D017501" w14:textId="77777777" w:rsidR="002E38AC" w:rsidRPr="002E38AC" w:rsidRDefault="002E38AC" w:rsidP="002E38AC">
            <w:pPr>
              <w:spacing w:after="0" w:line="240" w:lineRule="auto"/>
              <w:jc w:val="center"/>
              <w:rPr>
                <w:rFonts w:ascii="Arial" w:eastAsia="Times New Roman" w:hAnsi="Arial" w:cs="Arial"/>
                <w:b/>
                <w:bCs/>
                <w:color w:val="000000"/>
                <w:sz w:val="20"/>
                <w:szCs w:val="20"/>
              </w:rPr>
            </w:pPr>
            <w:r w:rsidRPr="002E38AC">
              <w:rPr>
                <w:rFonts w:ascii="Arial" w:eastAsia="Times New Roman" w:hAnsi="Arial" w:cs="Arial"/>
                <w:b/>
                <w:bCs/>
                <w:color w:val="000000"/>
                <w:sz w:val="20"/>
                <w:szCs w:val="20"/>
              </w:rPr>
              <w:t>Period</w:t>
            </w:r>
          </w:p>
        </w:tc>
      </w:tr>
      <w:tr w:rsidR="002E38AC" w:rsidRPr="002E38AC" w14:paraId="32EA1F59" w14:textId="77777777" w:rsidTr="00F259D5">
        <w:trPr>
          <w:trHeight w:val="300"/>
          <w:jc w:val="center"/>
        </w:trPr>
        <w:tc>
          <w:tcPr>
            <w:tcW w:w="5103" w:type="dxa"/>
            <w:shd w:val="clear" w:color="000000" w:fill="F2F2F2"/>
            <w:vAlign w:val="center"/>
            <w:hideMark/>
          </w:tcPr>
          <w:p w14:paraId="10060891" w14:textId="77777777" w:rsidR="002E38AC" w:rsidRPr="002E38AC" w:rsidRDefault="002E38AC" w:rsidP="002E38AC">
            <w:pPr>
              <w:spacing w:after="0" w:line="240" w:lineRule="auto"/>
              <w:jc w:val="left"/>
              <w:rPr>
                <w:rFonts w:ascii="Calibri" w:eastAsia="Times New Roman" w:hAnsi="Calibri" w:cs="Calibri"/>
                <w:sz w:val="22"/>
                <w:lang w:val="en-US"/>
              </w:rPr>
            </w:pPr>
            <w:r w:rsidRPr="002E38AC">
              <w:rPr>
                <w:rFonts w:ascii="Calibri" w:eastAsia="Times New Roman" w:hAnsi="Calibri" w:cs="Calibri"/>
                <w:sz w:val="22"/>
                <w:lang w:val="en-US"/>
              </w:rPr>
              <w:t>Change in the cost of ageing (pp. of GDP)</w:t>
            </w:r>
          </w:p>
        </w:tc>
        <w:tc>
          <w:tcPr>
            <w:tcW w:w="1559" w:type="dxa"/>
            <w:shd w:val="clear" w:color="000000" w:fill="F2F2F2"/>
            <w:vAlign w:val="center"/>
            <w:hideMark/>
          </w:tcPr>
          <w:p w14:paraId="52836762"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0.9</w:t>
            </w:r>
          </w:p>
        </w:tc>
        <w:tc>
          <w:tcPr>
            <w:tcW w:w="2268" w:type="dxa"/>
            <w:shd w:val="clear" w:color="000000" w:fill="F2F2F2"/>
            <w:vAlign w:val="center"/>
            <w:hideMark/>
          </w:tcPr>
          <w:p w14:paraId="16220A19"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2028-2038</w:t>
            </w:r>
          </w:p>
        </w:tc>
      </w:tr>
      <w:tr w:rsidR="002E38AC" w:rsidRPr="002E38AC" w14:paraId="5B8DC594" w14:textId="77777777" w:rsidTr="00F259D5">
        <w:trPr>
          <w:trHeight w:val="300"/>
          <w:jc w:val="center"/>
        </w:trPr>
        <w:tc>
          <w:tcPr>
            <w:tcW w:w="5103" w:type="dxa"/>
            <w:shd w:val="clear" w:color="000000" w:fill="D9D9D9"/>
            <w:vAlign w:val="center"/>
            <w:hideMark/>
          </w:tcPr>
          <w:p w14:paraId="5AC170FF" w14:textId="77777777" w:rsidR="002E38AC" w:rsidRPr="002E38AC" w:rsidRDefault="002E38AC" w:rsidP="002E38AC">
            <w:pPr>
              <w:spacing w:after="0" w:line="240" w:lineRule="auto"/>
              <w:jc w:val="left"/>
              <w:rPr>
                <w:rFonts w:ascii="Calibri" w:eastAsia="Times New Roman" w:hAnsi="Calibri" w:cs="Calibri"/>
                <w:sz w:val="22"/>
                <w:lang w:val="en-US"/>
              </w:rPr>
            </w:pPr>
            <w:r w:rsidRPr="002E38AC">
              <w:rPr>
                <w:rFonts w:ascii="Calibri" w:eastAsia="Times New Roman" w:hAnsi="Calibri" w:cs="Calibri"/>
                <w:sz w:val="22"/>
                <w:lang w:val="en-US"/>
              </w:rPr>
              <w:t>Stock-flow adjustment (% of GDP)</w:t>
            </w:r>
          </w:p>
        </w:tc>
        <w:tc>
          <w:tcPr>
            <w:tcW w:w="1559" w:type="dxa"/>
            <w:shd w:val="clear" w:color="000000" w:fill="D9D9D9"/>
            <w:vAlign w:val="center"/>
            <w:hideMark/>
          </w:tcPr>
          <w:p w14:paraId="4A18D468"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-0.3</w:t>
            </w:r>
          </w:p>
        </w:tc>
        <w:tc>
          <w:tcPr>
            <w:tcW w:w="2268" w:type="dxa"/>
            <w:shd w:val="clear" w:color="000000" w:fill="D9D9D9"/>
            <w:vAlign w:val="center"/>
            <w:hideMark/>
          </w:tcPr>
          <w:p w14:paraId="35997798"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2025-2038 average</w:t>
            </w:r>
          </w:p>
        </w:tc>
      </w:tr>
      <w:tr w:rsidR="002E38AC" w:rsidRPr="002E38AC" w14:paraId="1F929D3F" w14:textId="77777777" w:rsidTr="00F259D5">
        <w:trPr>
          <w:trHeight w:val="300"/>
          <w:jc w:val="center"/>
        </w:trPr>
        <w:tc>
          <w:tcPr>
            <w:tcW w:w="5103" w:type="dxa"/>
            <w:shd w:val="clear" w:color="000000" w:fill="F2F2F2"/>
            <w:vAlign w:val="center"/>
            <w:hideMark/>
          </w:tcPr>
          <w:p w14:paraId="68E1A3EB" w14:textId="77777777" w:rsidR="002E38AC" w:rsidRPr="002E38AC" w:rsidRDefault="002E38AC" w:rsidP="002E38AC">
            <w:pPr>
              <w:spacing w:after="0" w:line="240" w:lineRule="auto"/>
              <w:jc w:val="left"/>
              <w:rPr>
                <w:rFonts w:ascii="Calibri" w:eastAsia="Times New Roman" w:hAnsi="Calibri" w:cs="Calibri"/>
                <w:sz w:val="22"/>
              </w:rPr>
            </w:pPr>
            <w:r w:rsidRPr="002E38AC">
              <w:rPr>
                <w:rFonts w:ascii="Calibri" w:eastAsia="Times New Roman" w:hAnsi="Calibri" w:cs="Calibri"/>
                <w:sz w:val="22"/>
                <w:lang w:val="en-US"/>
              </w:rPr>
              <w:t>Real GDP growth (%)</w:t>
            </w:r>
          </w:p>
        </w:tc>
        <w:tc>
          <w:tcPr>
            <w:tcW w:w="1559" w:type="dxa"/>
            <w:shd w:val="clear" w:color="000000" w:fill="F2F2F2"/>
            <w:vAlign w:val="center"/>
            <w:hideMark/>
          </w:tcPr>
          <w:p w14:paraId="335A5074"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0.8</w:t>
            </w:r>
          </w:p>
        </w:tc>
        <w:tc>
          <w:tcPr>
            <w:tcW w:w="2268" w:type="dxa"/>
            <w:shd w:val="clear" w:color="000000" w:fill="F2F2F2"/>
            <w:vAlign w:val="center"/>
            <w:hideMark/>
          </w:tcPr>
          <w:p w14:paraId="2ACD4311"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2025-2038 average</w:t>
            </w:r>
          </w:p>
        </w:tc>
      </w:tr>
      <w:tr w:rsidR="002E38AC" w:rsidRPr="002E38AC" w14:paraId="79488682" w14:textId="77777777" w:rsidTr="00F259D5">
        <w:trPr>
          <w:trHeight w:val="300"/>
          <w:jc w:val="center"/>
        </w:trPr>
        <w:tc>
          <w:tcPr>
            <w:tcW w:w="5103" w:type="dxa"/>
            <w:shd w:val="clear" w:color="000000" w:fill="D9D9D9"/>
            <w:vAlign w:val="center"/>
            <w:hideMark/>
          </w:tcPr>
          <w:p w14:paraId="56A74AF5" w14:textId="77777777" w:rsidR="002E38AC" w:rsidRPr="002E38AC" w:rsidRDefault="002E38AC" w:rsidP="002E38AC">
            <w:pPr>
              <w:spacing w:after="0" w:line="240" w:lineRule="auto"/>
              <w:jc w:val="left"/>
              <w:rPr>
                <w:rFonts w:ascii="Calibri" w:eastAsia="Times New Roman" w:hAnsi="Calibri" w:cs="Calibri"/>
                <w:sz w:val="22"/>
                <w:lang w:val="en-US"/>
              </w:rPr>
            </w:pPr>
            <w:r w:rsidRPr="002E38AC">
              <w:rPr>
                <w:rFonts w:ascii="Calibri" w:eastAsia="Times New Roman" w:hAnsi="Calibri" w:cs="Calibri"/>
                <w:sz w:val="22"/>
                <w:lang w:val="en-US"/>
              </w:rPr>
              <w:t>Inflation (change in the GDP deflator, %)</w:t>
            </w:r>
          </w:p>
        </w:tc>
        <w:tc>
          <w:tcPr>
            <w:tcW w:w="1559" w:type="dxa"/>
            <w:shd w:val="clear" w:color="000000" w:fill="D9D9D9"/>
            <w:vAlign w:val="center"/>
            <w:hideMark/>
          </w:tcPr>
          <w:p w14:paraId="6AF3875F"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2.4</w:t>
            </w:r>
          </w:p>
        </w:tc>
        <w:tc>
          <w:tcPr>
            <w:tcW w:w="2268" w:type="dxa"/>
            <w:shd w:val="clear" w:color="000000" w:fill="D9D9D9"/>
            <w:vAlign w:val="center"/>
            <w:hideMark/>
          </w:tcPr>
          <w:p w14:paraId="1B9D36B5"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2025-2038 average</w:t>
            </w:r>
          </w:p>
        </w:tc>
      </w:tr>
      <w:tr w:rsidR="002E38AC" w:rsidRPr="002E38AC" w14:paraId="4DE61D50" w14:textId="77777777" w:rsidTr="00F259D5">
        <w:trPr>
          <w:trHeight w:val="300"/>
          <w:jc w:val="center"/>
        </w:trPr>
        <w:tc>
          <w:tcPr>
            <w:tcW w:w="5103" w:type="dxa"/>
            <w:shd w:val="clear" w:color="000000" w:fill="F2F2F2"/>
            <w:vAlign w:val="center"/>
            <w:hideMark/>
          </w:tcPr>
          <w:p w14:paraId="6E5D1160" w14:textId="77777777" w:rsidR="002E38AC" w:rsidRPr="002E38AC" w:rsidRDefault="002E38AC" w:rsidP="002E38AC">
            <w:pPr>
              <w:spacing w:after="0" w:line="240" w:lineRule="auto"/>
              <w:jc w:val="left"/>
              <w:rPr>
                <w:rFonts w:ascii="Calibri" w:eastAsia="Times New Roman" w:hAnsi="Calibri" w:cs="Calibri"/>
                <w:sz w:val="22"/>
              </w:rPr>
            </w:pPr>
            <w:r w:rsidRPr="002E38AC">
              <w:rPr>
                <w:rFonts w:ascii="Calibri" w:eastAsia="Times New Roman" w:hAnsi="Calibri" w:cs="Calibri"/>
                <w:sz w:val="22"/>
                <w:lang w:val="en-US"/>
              </w:rPr>
              <w:t>Nominal implicit interest rate (%)</w:t>
            </w:r>
          </w:p>
        </w:tc>
        <w:tc>
          <w:tcPr>
            <w:tcW w:w="1559" w:type="dxa"/>
            <w:shd w:val="clear" w:color="000000" w:fill="F2F2F2"/>
            <w:vAlign w:val="center"/>
            <w:hideMark/>
          </w:tcPr>
          <w:p w14:paraId="03707C4D"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3.0</w:t>
            </w:r>
          </w:p>
        </w:tc>
        <w:tc>
          <w:tcPr>
            <w:tcW w:w="2268" w:type="dxa"/>
            <w:shd w:val="clear" w:color="000000" w:fill="F2F2F2"/>
            <w:vAlign w:val="center"/>
            <w:hideMark/>
          </w:tcPr>
          <w:p w14:paraId="0D5D4328" w14:textId="77777777" w:rsidR="002E38AC" w:rsidRPr="002E38AC" w:rsidRDefault="002E38AC" w:rsidP="002E38AC">
            <w:pPr>
              <w:spacing w:after="0" w:line="240" w:lineRule="auto"/>
              <w:jc w:val="center"/>
              <w:rPr>
                <w:rFonts w:ascii="Calibri" w:eastAsia="Times New Roman" w:hAnsi="Calibri" w:cs="Calibri"/>
                <w:sz w:val="22"/>
              </w:rPr>
            </w:pPr>
            <w:r w:rsidRPr="002E38AC">
              <w:rPr>
                <w:rFonts w:ascii="Calibri" w:eastAsia="Times New Roman" w:hAnsi="Calibri" w:cs="Calibri"/>
                <w:sz w:val="22"/>
                <w:lang w:val="en-US"/>
              </w:rPr>
              <w:t>2025-2038 average</w:t>
            </w:r>
          </w:p>
        </w:tc>
      </w:tr>
    </w:tbl>
    <w:p w14:paraId="0FFF605B" w14:textId="77777777" w:rsidR="000424BD" w:rsidRDefault="000424BD" w:rsidP="000424BD">
      <w:pPr>
        <w:rPr>
          <w:lang w:val="en-US"/>
        </w:rPr>
      </w:pPr>
    </w:p>
    <w:p w14:paraId="532031D0" w14:textId="56BECAF6" w:rsidR="00801763" w:rsidRDefault="00801763" w:rsidP="000424BD">
      <w:pPr>
        <w:rPr>
          <w:rFonts w:eastAsiaTheme="minorHAnsi"/>
          <w:sz w:val="22"/>
          <w:lang w:val="en-US" w:eastAsia="en-US"/>
        </w:rPr>
      </w:pPr>
      <w:r w:rsidRPr="00BD442D">
        <w:rPr>
          <w:lang w:val="en-US"/>
        </w:rPr>
        <w:t>As</w:t>
      </w:r>
      <w:r w:rsidRPr="002E38AC">
        <w:rPr>
          <w:color w:val="000000" w:themeColor="text1"/>
          <w:lang w:val="en-US"/>
        </w:rPr>
        <w:t xml:space="preserve"> indicated </w:t>
      </w:r>
      <w:r w:rsidRPr="009C46EC">
        <w:rPr>
          <w:color w:val="000000" w:themeColor="text1"/>
          <w:lang w:val="en-US"/>
        </w:rPr>
        <w:t>i</w:t>
      </w:r>
      <w:r w:rsidRPr="0053218E">
        <w:rPr>
          <w:color w:val="000000" w:themeColor="text1"/>
          <w:lang w:val="en-US"/>
        </w:rPr>
        <w:t>n</w:t>
      </w:r>
      <w:r w:rsidR="00A826F1" w:rsidRPr="0053218E">
        <w:rPr>
          <w:color w:val="000000" w:themeColor="text1"/>
          <w:lang w:val="en-US"/>
        </w:rPr>
        <w:t xml:space="preserve"> </w:t>
      </w:r>
      <w:r w:rsidR="00A54B46" w:rsidRPr="0053218E">
        <w:rPr>
          <w:color w:val="000000" w:themeColor="text1"/>
          <w:lang w:val="en-US"/>
        </w:rPr>
        <w:fldChar w:fldCharType="begin"/>
      </w:r>
      <w:r w:rsidR="0053218E" w:rsidRPr="0053218E">
        <w:rPr>
          <w:color w:val="000000" w:themeColor="text1"/>
          <w:lang w:val="en-US"/>
        </w:rPr>
        <w:instrText xml:space="preserve"> REF _Ref177392334 \h </w:instrText>
      </w:r>
      <w:r w:rsidR="00A54B46" w:rsidRPr="0053218E">
        <w:rPr>
          <w:color w:val="000000" w:themeColor="text1"/>
          <w:lang w:val="en-US"/>
        </w:rPr>
      </w:r>
      <w:r w:rsidR="00A54B46" w:rsidRPr="0053218E">
        <w:rPr>
          <w:color w:val="000000" w:themeColor="text1"/>
          <w:lang w:val="en-US"/>
        </w:rPr>
        <w:fldChar w:fldCharType="separate"/>
      </w:r>
      <w:r w:rsidR="00824AAF" w:rsidRPr="00920844">
        <w:rPr>
          <w:lang w:val="en-US"/>
        </w:rPr>
        <w:t xml:space="preserve">Table </w:t>
      </w:r>
      <w:r w:rsidR="00824AAF" w:rsidRPr="00920844">
        <w:rPr>
          <w:noProof/>
          <w:lang w:val="en-US"/>
        </w:rPr>
        <w:t>14</w:t>
      </w:r>
      <w:r w:rsidR="00A54B46" w:rsidRPr="0053218E">
        <w:rPr>
          <w:color w:val="000000" w:themeColor="text1"/>
          <w:lang w:val="en-US"/>
        </w:rPr>
        <w:fldChar w:fldCharType="end"/>
      </w:r>
      <w:r w:rsidRPr="009C46EC">
        <w:rPr>
          <w:lang w:val="en-US"/>
        </w:rPr>
        <w:t>, at</w:t>
      </w:r>
      <w:r w:rsidRPr="00BD442D">
        <w:rPr>
          <w:lang w:val="en-US"/>
        </w:rPr>
        <w:t xml:space="preserve"> the time of the transmission of the RT, the </w:t>
      </w:r>
      <w:r w:rsidR="0031547E">
        <w:rPr>
          <w:lang w:val="en-US"/>
        </w:rPr>
        <w:t>s</w:t>
      </w:r>
      <w:r w:rsidRPr="00BD442D">
        <w:rPr>
          <w:lang w:val="en-US"/>
        </w:rPr>
        <w:t xml:space="preserve">tructural </w:t>
      </w:r>
      <w:r w:rsidR="0031547E">
        <w:rPr>
          <w:lang w:val="en-US"/>
        </w:rPr>
        <w:t>h</w:t>
      </w:r>
      <w:r w:rsidRPr="00BD442D">
        <w:rPr>
          <w:lang w:val="en-US"/>
        </w:rPr>
        <w:t xml:space="preserve">eadline </w:t>
      </w:r>
      <w:r w:rsidR="0031547E">
        <w:rPr>
          <w:lang w:val="en-US"/>
        </w:rPr>
        <w:t>b</w:t>
      </w:r>
      <w:r w:rsidRPr="00BD442D">
        <w:rPr>
          <w:lang w:val="en-US"/>
        </w:rPr>
        <w:t xml:space="preserve">alance for 2024 was estimated </w:t>
      </w:r>
      <w:r w:rsidR="00D57524">
        <w:rPr>
          <w:lang w:val="en-US"/>
        </w:rPr>
        <w:t>at</w:t>
      </w:r>
      <w:r w:rsidRPr="00BD442D">
        <w:rPr>
          <w:lang w:val="en-US"/>
        </w:rPr>
        <w:t xml:space="preserve"> -1.7% of GDP, whereas the deficit resilience safeguard threshold is set at -1.5% of GDP. As a result, the required annual adjustment for the Structural Primary Balance for 2025 was set equal to 0.4% and 0.16% for next years </w:t>
      </w:r>
      <w:r w:rsidRPr="0031547E">
        <w:rPr>
          <w:color w:val="000000" w:themeColor="text1"/>
          <w:lang w:val="en-US"/>
        </w:rPr>
        <w:t>(</w:t>
      </w:r>
      <w:r w:rsidRPr="0053218E">
        <w:rPr>
          <w:color w:val="000000" w:themeColor="text1"/>
          <w:lang w:val="en-US"/>
        </w:rPr>
        <w:t>see</w:t>
      </w:r>
      <w:r w:rsidR="0053218E" w:rsidRPr="0053218E">
        <w:rPr>
          <w:color w:val="000000" w:themeColor="text1"/>
          <w:lang w:val="en-US"/>
        </w:rPr>
        <w:t xml:space="preserve"> </w:t>
      </w:r>
      <w:r w:rsidR="00A54B46" w:rsidRPr="0053218E">
        <w:rPr>
          <w:color w:val="000000" w:themeColor="text1"/>
          <w:lang w:val="en-US"/>
        </w:rPr>
        <w:fldChar w:fldCharType="begin"/>
      </w:r>
      <w:r w:rsidR="0053218E" w:rsidRPr="0053218E">
        <w:rPr>
          <w:color w:val="000000" w:themeColor="text1"/>
          <w:lang w:val="en-US"/>
        </w:rPr>
        <w:instrText xml:space="preserve"> REF _Ref177393466 \h </w:instrText>
      </w:r>
      <w:r w:rsidR="00A54B46" w:rsidRPr="0053218E">
        <w:rPr>
          <w:color w:val="000000" w:themeColor="text1"/>
          <w:lang w:val="en-US"/>
        </w:rPr>
      </w:r>
      <w:r w:rsidR="00A54B46" w:rsidRPr="0053218E">
        <w:rPr>
          <w:color w:val="000000" w:themeColor="text1"/>
          <w:lang w:val="en-US"/>
        </w:rPr>
        <w:fldChar w:fldCharType="separate"/>
      </w:r>
      <w:r w:rsidR="00824AAF" w:rsidRPr="00920844">
        <w:rPr>
          <w:lang w:val="en-US"/>
        </w:rPr>
        <w:t xml:space="preserve">Table </w:t>
      </w:r>
      <w:r w:rsidR="00824AAF" w:rsidRPr="00920844">
        <w:rPr>
          <w:noProof/>
          <w:lang w:val="en-US"/>
        </w:rPr>
        <w:t>15</w:t>
      </w:r>
      <w:r w:rsidR="00A54B46" w:rsidRPr="0053218E">
        <w:rPr>
          <w:color w:val="000000" w:themeColor="text1"/>
          <w:lang w:val="en-US"/>
        </w:rPr>
        <w:fldChar w:fldCharType="end"/>
      </w:r>
      <w:r w:rsidRPr="0031547E">
        <w:rPr>
          <w:lang w:val="en-US"/>
        </w:rPr>
        <w:t>).</w:t>
      </w:r>
    </w:p>
    <w:p w14:paraId="1523DF98" w14:textId="77777777" w:rsidR="00A87586" w:rsidRDefault="00A87586" w:rsidP="00801763">
      <w:pPr>
        <w:rPr>
          <w:b/>
          <w:bCs/>
          <w:lang w:val="en-US"/>
        </w:rPr>
      </w:pPr>
    </w:p>
    <w:p w14:paraId="1C457455" w14:textId="72F239EA" w:rsidR="00A87586" w:rsidRPr="002D1A95" w:rsidRDefault="00241295" w:rsidP="002D1A95">
      <w:pPr>
        <w:pStyle w:val="Table"/>
      </w:pPr>
      <w:bookmarkStart w:id="42" w:name="_Ref177393466"/>
      <w:bookmarkStart w:id="43" w:name="_Toc177747045"/>
      <w:r w:rsidRPr="002D1A95">
        <w:lastRenderedPageBreak/>
        <w:t xml:space="preserve">Table </w:t>
      </w:r>
      <w:r w:rsidR="00337799" w:rsidRPr="002D1A95">
        <w:fldChar w:fldCharType="begin"/>
      </w:r>
      <w:r w:rsidR="00337799" w:rsidRPr="002D1A95">
        <w:instrText xml:space="preserve"> SEQ Table \* ARABIC </w:instrText>
      </w:r>
      <w:r w:rsidR="00337799" w:rsidRPr="002D1A95">
        <w:fldChar w:fldCharType="separate"/>
      </w:r>
      <w:r w:rsidR="00824AAF">
        <w:rPr>
          <w:noProof/>
        </w:rPr>
        <w:t>15</w:t>
      </w:r>
      <w:r w:rsidR="00337799" w:rsidRPr="002D1A95">
        <w:fldChar w:fldCharType="end"/>
      </w:r>
      <w:bookmarkEnd w:id="42"/>
      <w:r w:rsidRPr="002D1A95">
        <w:t xml:space="preserve"> </w:t>
      </w:r>
      <w:r w:rsidR="002D1A95">
        <w:t xml:space="preserve">| </w:t>
      </w:r>
      <w:r w:rsidRPr="002D1A95">
        <w:t>Main variables related to the Reference Trajectory</w:t>
      </w:r>
      <w:bookmarkEnd w:id="43"/>
    </w:p>
    <w:tbl>
      <w:tblPr>
        <w:tblW w:w="8892" w:type="dxa"/>
        <w:jc w:val="center"/>
        <w:tblLayout w:type="fixed"/>
        <w:tblLook w:val="04A0" w:firstRow="1" w:lastRow="0" w:firstColumn="1" w:lastColumn="0" w:noHBand="0" w:noVBand="1"/>
      </w:tblPr>
      <w:tblGrid>
        <w:gridCol w:w="4536"/>
        <w:gridCol w:w="704"/>
        <w:gridCol w:w="855"/>
        <w:gridCol w:w="671"/>
        <w:gridCol w:w="709"/>
        <w:gridCol w:w="709"/>
        <w:gridCol w:w="708"/>
      </w:tblGrid>
      <w:tr w:rsidR="00AC6C45" w:rsidRPr="00AC6C45" w14:paraId="71C3C939" w14:textId="77777777" w:rsidTr="00D73CBA">
        <w:trPr>
          <w:trHeight w:val="300"/>
          <w:jc w:val="center"/>
        </w:trPr>
        <w:tc>
          <w:tcPr>
            <w:tcW w:w="4536" w:type="dxa"/>
            <w:tcBorders>
              <w:top w:val="nil"/>
              <w:left w:val="nil"/>
              <w:bottom w:val="single" w:sz="4" w:space="0" w:color="FFFFFF"/>
              <w:right w:val="nil"/>
            </w:tcBorders>
            <w:shd w:val="clear" w:color="000000" w:fill="BFBFBF"/>
            <w:vAlign w:val="center"/>
            <w:hideMark/>
          </w:tcPr>
          <w:p w14:paraId="2F8C9781" w14:textId="77777777" w:rsidR="00AC6C45" w:rsidRPr="00AC6C45" w:rsidRDefault="00AC6C45" w:rsidP="00AC6C45">
            <w:pPr>
              <w:spacing w:after="0" w:line="240" w:lineRule="auto"/>
              <w:jc w:val="left"/>
              <w:rPr>
                <w:rFonts w:ascii="Arial" w:eastAsia="Times New Roman" w:hAnsi="Arial" w:cs="Arial"/>
                <w:b/>
                <w:bCs/>
                <w:color w:val="000000"/>
                <w:sz w:val="20"/>
                <w:szCs w:val="20"/>
                <w:lang w:val="en-US"/>
              </w:rPr>
            </w:pPr>
            <w:r w:rsidRPr="00AC6C45">
              <w:rPr>
                <w:rFonts w:ascii="Arial" w:eastAsia="Times New Roman" w:hAnsi="Arial" w:cs="Arial"/>
                <w:b/>
                <w:bCs/>
                <w:color w:val="000000"/>
                <w:sz w:val="20"/>
                <w:szCs w:val="20"/>
                <w:lang w:val="en-US"/>
              </w:rPr>
              <w:t>Main variables related to the trajectory</w:t>
            </w:r>
          </w:p>
        </w:tc>
        <w:tc>
          <w:tcPr>
            <w:tcW w:w="704" w:type="dxa"/>
            <w:tcBorders>
              <w:top w:val="nil"/>
              <w:left w:val="nil"/>
              <w:bottom w:val="single" w:sz="4" w:space="0" w:color="FFFFFF"/>
              <w:right w:val="nil"/>
            </w:tcBorders>
            <w:shd w:val="clear" w:color="000000" w:fill="BFBFBF"/>
            <w:vAlign w:val="center"/>
            <w:hideMark/>
          </w:tcPr>
          <w:p w14:paraId="3F9CF34D"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2023</w:t>
            </w:r>
          </w:p>
        </w:tc>
        <w:tc>
          <w:tcPr>
            <w:tcW w:w="855" w:type="dxa"/>
            <w:tcBorders>
              <w:top w:val="nil"/>
              <w:left w:val="nil"/>
              <w:bottom w:val="single" w:sz="4" w:space="0" w:color="FFFFFF"/>
              <w:right w:val="nil"/>
            </w:tcBorders>
            <w:shd w:val="clear" w:color="000000" w:fill="BFBFBF"/>
            <w:vAlign w:val="center"/>
            <w:hideMark/>
          </w:tcPr>
          <w:p w14:paraId="032E96BC"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2024</w:t>
            </w:r>
          </w:p>
        </w:tc>
        <w:tc>
          <w:tcPr>
            <w:tcW w:w="671" w:type="dxa"/>
            <w:tcBorders>
              <w:top w:val="nil"/>
              <w:left w:val="nil"/>
              <w:bottom w:val="single" w:sz="4" w:space="0" w:color="FFFFFF"/>
              <w:right w:val="nil"/>
            </w:tcBorders>
            <w:shd w:val="clear" w:color="000000" w:fill="BFBFBF"/>
            <w:vAlign w:val="center"/>
            <w:hideMark/>
          </w:tcPr>
          <w:p w14:paraId="2D5961E5"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2025</w:t>
            </w:r>
          </w:p>
        </w:tc>
        <w:tc>
          <w:tcPr>
            <w:tcW w:w="709" w:type="dxa"/>
            <w:tcBorders>
              <w:top w:val="nil"/>
              <w:left w:val="nil"/>
              <w:bottom w:val="single" w:sz="4" w:space="0" w:color="FFFFFF"/>
              <w:right w:val="nil"/>
            </w:tcBorders>
            <w:shd w:val="clear" w:color="000000" w:fill="BFBFBF"/>
            <w:vAlign w:val="center"/>
            <w:hideMark/>
          </w:tcPr>
          <w:p w14:paraId="590D5F7D"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2026</w:t>
            </w:r>
          </w:p>
        </w:tc>
        <w:tc>
          <w:tcPr>
            <w:tcW w:w="709" w:type="dxa"/>
            <w:tcBorders>
              <w:top w:val="nil"/>
              <w:left w:val="nil"/>
              <w:bottom w:val="single" w:sz="4" w:space="0" w:color="FFFFFF"/>
              <w:right w:val="nil"/>
            </w:tcBorders>
            <w:shd w:val="clear" w:color="000000" w:fill="BFBFBF"/>
            <w:vAlign w:val="center"/>
            <w:hideMark/>
          </w:tcPr>
          <w:p w14:paraId="71153252"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2027</w:t>
            </w:r>
          </w:p>
        </w:tc>
        <w:tc>
          <w:tcPr>
            <w:tcW w:w="708" w:type="dxa"/>
            <w:tcBorders>
              <w:top w:val="nil"/>
              <w:left w:val="nil"/>
              <w:bottom w:val="single" w:sz="4" w:space="0" w:color="FFFFFF"/>
              <w:right w:val="nil"/>
            </w:tcBorders>
            <w:shd w:val="clear" w:color="000000" w:fill="BFBFBF"/>
            <w:vAlign w:val="center"/>
            <w:hideMark/>
          </w:tcPr>
          <w:p w14:paraId="553873EA"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2028</w:t>
            </w:r>
          </w:p>
        </w:tc>
      </w:tr>
      <w:tr w:rsidR="00AC6C45" w:rsidRPr="00AC6C45" w14:paraId="2A066168" w14:textId="77777777" w:rsidTr="00D73CBA">
        <w:trPr>
          <w:trHeight w:val="300"/>
          <w:jc w:val="center"/>
        </w:trPr>
        <w:tc>
          <w:tcPr>
            <w:tcW w:w="4536" w:type="dxa"/>
            <w:tcBorders>
              <w:top w:val="nil"/>
              <w:left w:val="nil"/>
              <w:bottom w:val="single" w:sz="4" w:space="0" w:color="FFFFFF"/>
              <w:right w:val="nil"/>
            </w:tcBorders>
            <w:shd w:val="clear" w:color="000000" w:fill="F2F2F2"/>
            <w:vAlign w:val="center"/>
            <w:hideMark/>
          </w:tcPr>
          <w:p w14:paraId="7F0B7B27" w14:textId="77777777" w:rsidR="00AC6C45" w:rsidRPr="00AC6C45" w:rsidRDefault="00AC6C45" w:rsidP="00AC6C45">
            <w:pPr>
              <w:spacing w:after="0" w:line="240" w:lineRule="auto"/>
              <w:jc w:val="left"/>
              <w:rPr>
                <w:rFonts w:ascii="Calibri" w:eastAsia="Times New Roman" w:hAnsi="Calibri" w:cs="Calibri"/>
                <w:sz w:val="22"/>
              </w:rPr>
            </w:pPr>
            <w:r w:rsidRPr="00AC6C45">
              <w:rPr>
                <w:rFonts w:ascii="Calibri" w:eastAsia="Times New Roman" w:hAnsi="Calibri" w:cs="Calibri"/>
                <w:sz w:val="22"/>
              </w:rPr>
              <w:t>Potential GDP growth (%)</w:t>
            </w:r>
          </w:p>
        </w:tc>
        <w:tc>
          <w:tcPr>
            <w:tcW w:w="704" w:type="dxa"/>
            <w:tcBorders>
              <w:top w:val="nil"/>
              <w:left w:val="nil"/>
              <w:bottom w:val="single" w:sz="4" w:space="0" w:color="FFFFFF"/>
              <w:right w:val="nil"/>
            </w:tcBorders>
            <w:shd w:val="clear" w:color="000000" w:fill="F2F2F2"/>
            <w:vAlign w:val="center"/>
            <w:hideMark/>
          </w:tcPr>
          <w:p w14:paraId="76807349" w14:textId="77777777" w:rsidR="00AC6C45" w:rsidRPr="00AC6C45" w:rsidRDefault="00AC6C45" w:rsidP="00AC6C45">
            <w:pPr>
              <w:spacing w:after="0" w:line="240" w:lineRule="auto"/>
              <w:jc w:val="center"/>
              <w:rPr>
                <w:rFonts w:ascii="Calibri" w:eastAsia="Times New Roman" w:hAnsi="Calibri" w:cs="Calibri"/>
                <w:sz w:val="22"/>
              </w:rPr>
            </w:pPr>
            <w:r w:rsidRPr="004352DD">
              <w:t>0.6</w:t>
            </w:r>
          </w:p>
        </w:tc>
        <w:tc>
          <w:tcPr>
            <w:tcW w:w="855" w:type="dxa"/>
            <w:tcBorders>
              <w:top w:val="nil"/>
              <w:left w:val="nil"/>
              <w:bottom w:val="single" w:sz="4" w:space="0" w:color="FFFFFF"/>
              <w:right w:val="nil"/>
            </w:tcBorders>
            <w:shd w:val="clear" w:color="000000" w:fill="F2F2F2"/>
            <w:vAlign w:val="center"/>
            <w:hideMark/>
          </w:tcPr>
          <w:p w14:paraId="38D3BBEB" w14:textId="77777777" w:rsidR="00AC6C45" w:rsidRPr="00AC6C45" w:rsidRDefault="00AC6C45" w:rsidP="00AC6C45">
            <w:pPr>
              <w:spacing w:after="0" w:line="240" w:lineRule="auto"/>
              <w:jc w:val="center"/>
              <w:rPr>
                <w:rFonts w:ascii="Calibri" w:eastAsia="Times New Roman" w:hAnsi="Calibri" w:cs="Calibri"/>
                <w:sz w:val="22"/>
              </w:rPr>
            </w:pPr>
            <w:r w:rsidRPr="004352DD">
              <w:t>1.2</w:t>
            </w:r>
          </w:p>
        </w:tc>
        <w:tc>
          <w:tcPr>
            <w:tcW w:w="671" w:type="dxa"/>
            <w:tcBorders>
              <w:top w:val="nil"/>
              <w:left w:val="nil"/>
              <w:bottom w:val="single" w:sz="4" w:space="0" w:color="FFFFFF"/>
              <w:right w:val="nil"/>
            </w:tcBorders>
            <w:shd w:val="clear" w:color="000000" w:fill="F2F2F2"/>
            <w:vAlign w:val="center"/>
            <w:hideMark/>
          </w:tcPr>
          <w:p w14:paraId="2DDCFEB7" w14:textId="77777777" w:rsidR="00AC6C45" w:rsidRPr="00AC6C45" w:rsidRDefault="00AC6C45" w:rsidP="00AC6C45">
            <w:pPr>
              <w:spacing w:after="0" w:line="240" w:lineRule="auto"/>
              <w:jc w:val="center"/>
              <w:rPr>
                <w:rFonts w:ascii="Calibri" w:eastAsia="Times New Roman" w:hAnsi="Calibri" w:cs="Calibri"/>
                <w:sz w:val="22"/>
              </w:rPr>
            </w:pPr>
            <w:r w:rsidRPr="004352DD">
              <w:t>1.6</w:t>
            </w:r>
          </w:p>
        </w:tc>
        <w:tc>
          <w:tcPr>
            <w:tcW w:w="709" w:type="dxa"/>
            <w:tcBorders>
              <w:top w:val="nil"/>
              <w:left w:val="nil"/>
              <w:bottom w:val="single" w:sz="4" w:space="0" w:color="FFFFFF"/>
              <w:right w:val="nil"/>
            </w:tcBorders>
            <w:shd w:val="clear" w:color="000000" w:fill="F2F2F2"/>
            <w:vAlign w:val="center"/>
            <w:hideMark/>
          </w:tcPr>
          <w:p w14:paraId="12246BE1" w14:textId="77777777" w:rsidR="00AC6C45" w:rsidRPr="00AC6C45" w:rsidRDefault="00AC6C45" w:rsidP="00AC6C45">
            <w:pPr>
              <w:spacing w:after="0" w:line="240" w:lineRule="auto"/>
              <w:jc w:val="center"/>
              <w:rPr>
                <w:rFonts w:ascii="Calibri" w:eastAsia="Times New Roman" w:hAnsi="Calibri" w:cs="Calibri"/>
                <w:sz w:val="22"/>
              </w:rPr>
            </w:pPr>
            <w:r w:rsidRPr="004352DD">
              <w:t>1.3</w:t>
            </w:r>
          </w:p>
        </w:tc>
        <w:tc>
          <w:tcPr>
            <w:tcW w:w="709" w:type="dxa"/>
            <w:tcBorders>
              <w:top w:val="nil"/>
              <w:left w:val="nil"/>
              <w:bottom w:val="single" w:sz="4" w:space="0" w:color="FFFFFF"/>
              <w:right w:val="nil"/>
            </w:tcBorders>
            <w:shd w:val="clear" w:color="000000" w:fill="F2F2F2"/>
            <w:vAlign w:val="center"/>
            <w:hideMark/>
          </w:tcPr>
          <w:p w14:paraId="1A4B4F76" w14:textId="77777777" w:rsidR="00AC6C45" w:rsidRPr="00AC6C45" w:rsidRDefault="00AC6C45" w:rsidP="00AC6C45">
            <w:pPr>
              <w:spacing w:after="0" w:line="240" w:lineRule="auto"/>
              <w:jc w:val="center"/>
              <w:rPr>
                <w:rFonts w:ascii="Calibri" w:eastAsia="Times New Roman" w:hAnsi="Calibri" w:cs="Calibri"/>
                <w:sz w:val="22"/>
              </w:rPr>
            </w:pPr>
            <w:r w:rsidRPr="004352DD">
              <w:t>1.1</w:t>
            </w:r>
          </w:p>
        </w:tc>
        <w:tc>
          <w:tcPr>
            <w:tcW w:w="708" w:type="dxa"/>
            <w:tcBorders>
              <w:top w:val="nil"/>
              <w:left w:val="nil"/>
              <w:bottom w:val="single" w:sz="4" w:space="0" w:color="FFFFFF"/>
              <w:right w:val="nil"/>
            </w:tcBorders>
            <w:shd w:val="clear" w:color="000000" w:fill="F2F2F2"/>
            <w:vAlign w:val="center"/>
            <w:hideMark/>
          </w:tcPr>
          <w:p w14:paraId="56342899" w14:textId="77777777" w:rsidR="00AC6C45" w:rsidRPr="00AC6C45" w:rsidRDefault="00AC6C45" w:rsidP="00AC6C45">
            <w:pPr>
              <w:spacing w:after="0" w:line="240" w:lineRule="auto"/>
              <w:jc w:val="center"/>
              <w:rPr>
                <w:rFonts w:ascii="Calibri" w:eastAsia="Times New Roman" w:hAnsi="Calibri" w:cs="Calibri"/>
                <w:sz w:val="22"/>
              </w:rPr>
            </w:pPr>
            <w:r w:rsidRPr="004352DD">
              <w:t>1.0</w:t>
            </w:r>
          </w:p>
        </w:tc>
      </w:tr>
      <w:tr w:rsidR="00AC6C45" w:rsidRPr="00AC6C45" w14:paraId="13361A9C" w14:textId="77777777" w:rsidTr="00D73CBA">
        <w:trPr>
          <w:trHeight w:val="300"/>
          <w:jc w:val="center"/>
        </w:trPr>
        <w:tc>
          <w:tcPr>
            <w:tcW w:w="4536" w:type="dxa"/>
            <w:tcBorders>
              <w:top w:val="nil"/>
              <w:left w:val="nil"/>
              <w:bottom w:val="single" w:sz="4" w:space="0" w:color="FFFFFF"/>
              <w:right w:val="nil"/>
            </w:tcBorders>
            <w:shd w:val="clear" w:color="000000" w:fill="D9D9D9"/>
            <w:vAlign w:val="center"/>
            <w:hideMark/>
          </w:tcPr>
          <w:p w14:paraId="51D394DE" w14:textId="77777777" w:rsidR="00AC6C45" w:rsidRPr="00AC6C45" w:rsidRDefault="00AC6C45" w:rsidP="00AC6C45">
            <w:pPr>
              <w:spacing w:after="0" w:line="240" w:lineRule="auto"/>
              <w:jc w:val="left"/>
              <w:rPr>
                <w:rFonts w:ascii="Calibri" w:eastAsia="Times New Roman" w:hAnsi="Calibri" w:cs="Calibri"/>
                <w:sz w:val="22"/>
                <w:lang w:val="en-US"/>
              </w:rPr>
            </w:pPr>
            <w:r w:rsidRPr="00AC6C45">
              <w:rPr>
                <w:rFonts w:ascii="Calibri" w:eastAsia="Times New Roman" w:hAnsi="Calibri" w:cs="Calibri"/>
                <w:sz w:val="22"/>
                <w:lang w:val="en-US"/>
              </w:rPr>
              <w:t>Real GDP growth (%) (adjustment scenario)</w:t>
            </w:r>
          </w:p>
        </w:tc>
        <w:tc>
          <w:tcPr>
            <w:tcW w:w="704" w:type="dxa"/>
            <w:tcBorders>
              <w:top w:val="nil"/>
              <w:left w:val="nil"/>
              <w:bottom w:val="single" w:sz="4" w:space="0" w:color="FFFFFF"/>
              <w:right w:val="nil"/>
            </w:tcBorders>
            <w:shd w:val="clear" w:color="000000" w:fill="D9D9D9"/>
            <w:vAlign w:val="center"/>
            <w:hideMark/>
          </w:tcPr>
          <w:p w14:paraId="3D02EA6E" w14:textId="77777777" w:rsidR="00AC6C45" w:rsidRPr="00AC6C45" w:rsidRDefault="00AC6C45" w:rsidP="00AC6C45">
            <w:pPr>
              <w:spacing w:after="0" w:line="240" w:lineRule="auto"/>
              <w:jc w:val="center"/>
              <w:rPr>
                <w:rFonts w:ascii="Calibri" w:eastAsia="Times New Roman" w:hAnsi="Calibri" w:cs="Calibri"/>
                <w:sz w:val="22"/>
              </w:rPr>
            </w:pPr>
            <w:r w:rsidRPr="004352DD">
              <w:t>2.0</w:t>
            </w:r>
          </w:p>
        </w:tc>
        <w:tc>
          <w:tcPr>
            <w:tcW w:w="855" w:type="dxa"/>
            <w:tcBorders>
              <w:top w:val="nil"/>
              <w:left w:val="nil"/>
              <w:bottom w:val="single" w:sz="4" w:space="0" w:color="FFFFFF"/>
              <w:right w:val="nil"/>
            </w:tcBorders>
            <w:shd w:val="clear" w:color="000000" w:fill="D9D9D9"/>
            <w:vAlign w:val="center"/>
            <w:hideMark/>
          </w:tcPr>
          <w:p w14:paraId="33E85960" w14:textId="77777777" w:rsidR="00AC6C45" w:rsidRPr="00AC6C45" w:rsidRDefault="00AC6C45" w:rsidP="00AC6C45">
            <w:pPr>
              <w:spacing w:after="0" w:line="240" w:lineRule="auto"/>
              <w:jc w:val="center"/>
              <w:rPr>
                <w:rFonts w:ascii="Calibri" w:eastAsia="Times New Roman" w:hAnsi="Calibri" w:cs="Calibri"/>
                <w:sz w:val="22"/>
              </w:rPr>
            </w:pPr>
            <w:r w:rsidRPr="004352DD">
              <w:t>2.2</w:t>
            </w:r>
          </w:p>
        </w:tc>
        <w:tc>
          <w:tcPr>
            <w:tcW w:w="671" w:type="dxa"/>
            <w:tcBorders>
              <w:top w:val="nil"/>
              <w:left w:val="nil"/>
              <w:bottom w:val="single" w:sz="4" w:space="0" w:color="FFFFFF"/>
              <w:right w:val="nil"/>
            </w:tcBorders>
            <w:shd w:val="clear" w:color="000000" w:fill="D9D9D9"/>
            <w:vAlign w:val="center"/>
            <w:hideMark/>
          </w:tcPr>
          <w:p w14:paraId="73B9826D" w14:textId="77777777" w:rsidR="00AC6C45" w:rsidRPr="00AC6C45" w:rsidRDefault="00AC6C45" w:rsidP="00AC6C45">
            <w:pPr>
              <w:spacing w:after="0" w:line="240" w:lineRule="auto"/>
              <w:jc w:val="center"/>
              <w:rPr>
                <w:rFonts w:ascii="Calibri" w:eastAsia="Times New Roman" w:hAnsi="Calibri" w:cs="Calibri"/>
                <w:sz w:val="22"/>
              </w:rPr>
            </w:pPr>
            <w:r w:rsidRPr="004352DD">
              <w:t>1.8</w:t>
            </w:r>
          </w:p>
        </w:tc>
        <w:tc>
          <w:tcPr>
            <w:tcW w:w="709" w:type="dxa"/>
            <w:tcBorders>
              <w:top w:val="nil"/>
              <w:left w:val="nil"/>
              <w:bottom w:val="single" w:sz="4" w:space="0" w:color="FFFFFF"/>
              <w:right w:val="nil"/>
            </w:tcBorders>
            <w:shd w:val="clear" w:color="000000" w:fill="D9D9D9"/>
            <w:vAlign w:val="center"/>
            <w:hideMark/>
          </w:tcPr>
          <w:p w14:paraId="2ECD8589" w14:textId="77777777" w:rsidR="00AC6C45" w:rsidRPr="00AC6C45" w:rsidRDefault="00AC6C45" w:rsidP="00AC6C45">
            <w:pPr>
              <w:spacing w:after="0" w:line="240" w:lineRule="auto"/>
              <w:jc w:val="center"/>
              <w:rPr>
                <w:rFonts w:ascii="Calibri" w:eastAsia="Times New Roman" w:hAnsi="Calibri" w:cs="Calibri"/>
                <w:sz w:val="22"/>
              </w:rPr>
            </w:pPr>
            <w:r w:rsidRPr="004352DD">
              <w:t>0.7</w:t>
            </w:r>
          </w:p>
        </w:tc>
        <w:tc>
          <w:tcPr>
            <w:tcW w:w="709" w:type="dxa"/>
            <w:tcBorders>
              <w:top w:val="nil"/>
              <w:left w:val="nil"/>
              <w:bottom w:val="single" w:sz="4" w:space="0" w:color="FFFFFF"/>
              <w:right w:val="nil"/>
            </w:tcBorders>
            <w:shd w:val="clear" w:color="000000" w:fill="D9D9D9"/>
            <w:vAlign w:val="center"/>
            <w:hideMark/>
          </w:tcPr>
          <w:p w14:paraId="1D88AF04" w14:textId="77777777" w:rsidR="00AC6C45" w:rsidRPr="00AC6C45" w:rsidRDefault="00AC6C45" w:rsidP="00AC6C45">
            <w:pPr>
              <w:spacing w:after="0" w:line="240" w:lineRule="auto"/>
              <w:jc w:val="center"/>
              <w:rPr>
                <w:rFonts w:ascii="Calibri" w:eastAsia="Times New Roman" w:hAnsi="Calibri" w:cs="Calibri"/>
                <w:sz w:val="22"/>
              </w:rPr>
            </w:pPr>
            <w:r w:rsidRPr="004352DD">
              <w:t>0.7</w:t>
            </w:r>
          </w:p>
        </w:tc>
        <w:tc>
          <w:tcPr>
            <w:tcW w:w="708" w:type="dxa"/>
            <w:tcBorders>
              <w:top w:val="nil"/>
              <w:left w:val="nil"/>
              <w:bottom w:val="single" w:sz="4" w:space="0" w:color="FFFFFF"/>
              <w:right w:val="nil"/>
            </w:tcBorders>
            <w:shd w:val="clear" w:color="000000" w:fill="D9D9D9"/>
            <w:vAlign w:val="center"/>
            <w:hideMark/>
          </w:tcPr>
          <w:p w14:paraId="1FAEE28E" w14:textId="77777777" w:rsidR="00AC6C45" w:rsidRPr="00AC6C45" w:rsidRDefault="00AC6C45" w:rsidP="00AC6C45">
            <w:pPr>
              <w:spacing w:after="0" w:line="240" w:lineRule="auto"/>
              <w:jc w:val="center"/>
              <w:rPr>
                <w:rFonts w:ascii="Calibri" w:eastAsia="Times New Roman" w:hAnsi="Calibri" w:cs="Calibri"/>
                <w:sz w:val="22"/>
              </w:rPr>
            </w:pPr>
            <w:r w:rsidRPr="004352DD">
              <w:t>0.8</w:t>
            </w:r>
          </w:p>
        </w:tc>
      </w:tr>
      <w:tr w:rsidR="00AC6C45" w:rsidRPr="00AC6C45" w14:paraId="723DF086" w14:textId="77777777" w:rsidTr="00D73CBA">
        <w:trPr>
          <w:trHeight w:val="300"/>
          <w:jc w:val="center"/>
        </w:trPr>
        <w:tc>
          <w:tcPr>
            <w:tcW w:w="4536" w:type="dxa"/>
            <w:tcBorders>
              <w:top w:val="nil"/>
              <w:left w:val="nil"/>
              <w:bottom w:val="single" w:sz="4" w:space="0" w:color="FFFFFF"/>
              <w:right w:val="nil"/>
            </w:tcBorders>
            <w:shd w:val="clear" w:color="000000" w:fill="F2F2F2"/>
            <w:vAlign w:val="center"/>
            <w:hideMark/>
          </w:tcPr>
          <w:p w14:paraId="1DA78EEB" w14:textId="77777777" w:rsidR="00AC6C45" w:rsidRPr="00AC6C45" w:rsidRDefault="00AC6C45" w:rsidP="00AC6C45">
            <w:pPr>
              <w:spacing w:after="0" w:line="240" w:lineRule="auto"/>
              <w:jc w:val="left"/>
              <w:rPr>
                <w:rFonts w:ascii="Calibri" w:eastAsia="Times New Roman" w:hAnsi="Calibri" w:cs="Calibri"/>
                <w:sz w:val="22"/>
              </w:rPr>
            </w:pPr>
            <w:r w:rsidRPr="00AC6C45">
              <w:rPr>
                <w:rFonts w:ascii="Calibri" w:eastAsia="Times New Roman" w:hAnsi="Calibri" w:cs="Calibri"/>
                <w:sz w:val="22"/>
              </w:rPr>
              <w:t xml:space="preserve">GDP deflator </w:t>
            </w:r>
          </w:p>
        </w:tc>
        <w:tc>
          <w:tcPr>
            <w:tcW w:w="704" w:type="dxa"/>
            <w:tcBorders>
              <w:top w:val="nil"/>
              <w:left w:val="nil"/>
              <w:bottom w:val="single" w:sz="4" w:space="0" w:color="FFFFFF"/>
              <w:right w:val="nil"/>
            </w:tcBorders>
            <w:shd w:val="clear" w:color="000000" w:fill="F2F2F2"/>
            <w:vAlign w:val="center"/>
            <w:hideMark/>
          </w:tcPr>
          <w:p w14:paraId="40228259" w14:textId="77777777" w:rsidR="00AC6C45" w:rsidRPr="00AC6C45" w:rsidRDefault="00AC6C45" w:rsidP="00AC6C45">
            <w:pPr>
              <w:spacing w:after="0" w:line="240" w:lineRule="auto"/>
              <w:jc w:val="center"/>
              <w:rPr>
                <w:rFonts w:ascii="Calibri" w:eastAsia="Times New Roman" w:hAnsi="Calibri" w:cs="Calibri"/>
                <w:sz w:val="22"/>
              </w:rPr>
            </w:pPr>
            <w:r w:rsidRPr="004352DD">
              <w:t>4.5</w:t>
            </w:r>
          </w:p>
        </w:tc>
        <w:tc>
          <w:tcPr>
            <w:tcW w:w="855" w:type="dxa"/>
            <w:tcBorders>
              <w:top w:val="nil"/>
              <w:left w:val="nil"/>
              <w:bottom w:val="single" w:sz="4" w:space="0" w:color="FFFFFF"/>
              <w:right w:val="nil"/>
            </w:tcBorders>
            <w:shd w:val="clear" w:color="000000" w:fill="F2F2F2"/>
            <w:vAlign w:val="center"/>
            <w:hideMark/>
          </w:tcPr>
          <w:p w14:paraId="06EF53EC" w14:textId="77777777" w:rsidR="00AC6C45" w:rsidRPr="00AC6C45" w:rsidRDefault="00AC6C45" w:rsidP="00AC6C45">
            <w:pPr>
              <w:spacing w:after="0" w:line="240" w:lineRule="auto"/>
              <w:jc w:val="center"/>
              <w:rPr>
                <w:rFonts w:ascii="Calibri" w:eastAsia="Times New Roman" w:hAnsi="Calibri" w:cs="Calibri"/>
                <w:sz w:val="22"/>
              </w:rPr>
            </w:pPr>
            <w:r w:rsidRPr="004352DD">
              <w:t>3.0</w:t>
            </w:r>
          </w:p>
        </w:tc>
        <w:tc>
          <w:tcPr>
            <w:tcW w:w="671" w:type="dxa"/>
            <w:tcBorders>
              <w:top w:val="nil"/>
              <w:left w:val="nil"/>
              <w:bottom w:val="single" w:sz="4" w:space="0" w:color="FFFFFF"/>
              <w:right w:val="nil"/>
            </w:tcBorders>
            <w:shd w:val="clear" w:color="000000" w:fill="F2F2F2"/>
            <w:vAlign w:val="center"/>
            <w:hideMark/>
          </w:tcPr>
          <w:p w14:paraId="26733211" w14:textId="77777777" w:rsidR="00AC6C45" w:rsidRPr="00AC6C45" w:rsidRDefault="00AC6C45" w:rsidP="00AC6C45">
            <w:pPr>
              <w:spacing w:after="0" w:line="240" w:lineRule="auto"/>
              <w:jc w:val="center"/>
              <w:rPr>
                <w:rFonts w:ascii="Calibri" w:eastAsia="Times New Roman" w:hAnsi="Calibri" w:cs="Calibri"/>
                <w:sz w:val="22"/>
              </w:rPr>
            </w:pPr>
            <w:r w:rsidRPr="004352DD">
              <w:t>2.2</w:t>
            </w:r>
          </w:p>
        </w:tc>
        <w:tc>
          <w:tcPr>
            <w:tcW w:w="709" w:type="dxa"/>
            <w:tcBorders>
              <w:top w:val="nil"/>
              <w:left w:val="nil"/>
              <w:bottom w:val="single" w:sz="4" w:space="0" w:color="FFFFFF"/>
              <w:right w:val="nil"/>
            </w:tcBorders>
            <w:shd w:val="clear" w:color="000000" w:fill="F2F2F2"/>
            <w:vAlign w:val="center"/>
            <w:hideMark/>
          </w:tcPr>
          <w:p w14:paraId="2C548BE5" w14:textId="77777777" w:rsidR="00AC6C45" w:rsidRPr="00AC6C45" w:rsidRDefault="00AC6C45" w:rsidP="00AC6C45">
            <w:pPr>
              <w:spacing w:after="0" w:line="240" w:lineRule="auto"/>
              <w:jc w:val="center"/>
              <w:rPr>
                <w:rFonts w:ascii="Calibri" w:eastAsia="Times New Roman" w:hAnsi="Calibri" w:cs="Calibri"/>
                <w:sz w:val="22"/>
              </w:rPr>
            </w:pPr>
            <w:r w:rsidRPr="004352DD">
              <w:t>2.3</w:t>
            </w:r>
          </w:p>
        </w:tc>
        <w:tc>
          <w:tcPr>
            <w:tcW w:w="709" w:type="dxa"/>
            <w:tcBorders>
              <w:top w:val="nil"/>
              <w:left w:val="nil"/>
              <w:bottom w:val="single" w:sz="4" w:space="0" w:color="FFFFFF"/>
              <w:right w:val="nil"/>
            </w:tcBorders>
            <w:shd w:val="clear" w:color="000000" w:fill="F2F2F2"/>
            <w:vAlign w:val="center"/>
            <w:hideMark/>
          </w:tcPr>
          <w:p w14:paraId="4287A23D" w14:textId="77777777" w:rsidR="00AC6C45" w:rsidRPr="00AC6C45" w:rsidRDefault="00AC6C45" w:rsidP="00AC6C45">
            <w:pPr>
              <w:spacing w:after="0" w:line="240" w:lineRule="auto"/>
              <w:jc w:val="center"/>
              <w:rPr>
                <w:rFonts w:ascii="Calibri" w:eastAsia="Times New Roman" w:hAnsi="Calibri" w:cs="Calibri"/>
                <w:sz w:val="22"/>
              </w:rPr>
            </w:pPr>
            <w:r w:rsidRPr="004352DD">
              <w:t>2.3</w:t>
            </w:r>
          </w:p>
        </w:tc>
        <w:tc>
          <w:tcPr>
            <w:tcW w:w="708" w:type="dxa"/>
            <w:tcBorders>
              <w:top w:val="nil"/>
              <w:left w:val="nil"/>
              <w:bottom w:val="single" w:sz="4" w:space="0" w:color="FFFFFF"/>
              <w:right w:val="nil"/>
            </w:tcBorders>
            <w:shd w:val="clear" w:color="000000" w:fill="F2F2F2"/>
            <w:vAlign w:val="center"/>
            <w:hideMark/>
          </w:tcPr>
          <w:p w14:paraId="6867D407" w14:textId="77777777" w:rsidR="00AC6C45" w:rsidRPr="00AC6C45" w:rsidRDefault="00AC6C45" w:rsidP="00AC6C45">
            <w:pPr>
              <w:spacing w:after="0" w:line="240" w:lineRule="auto"/>
              <w:jc w:val="center"/>
              <w:rPr>
                <w:rFonts w:ascii="Calibri" w:eastAsia="Times New Roman" w:hAnsi="Calibri" w:cs="Calibri"/>
                <w:sz w:val="22"/>
              </w:rPr>
            </w:pPr>
            <w:r w:rsidRPr="004352DD">
              <w:t>2.4</w:t>
            </w:r>
          </w:p>
        </w:tc>
      </w:tr>
      <w:tr w:rsidR="00AC6C45" w:rsidRPr="00AC6C45" w14:paraId="2C94576D" w14:textId="77777777" w:rsidTr="00D73CBA">
        <w:trPr>
          <w:trHeight w:val="300"/>
          <w:jc w:val="center"/>
        </w:trPr>
        <w:tc>
          <w:tcPr>
            <w:tcW w:w="4536" w:type="dxa"/>
            <w:tcBorders>
              <w:top w:val="nil"/>
              <w:left w:val="nil"/>
              <w:bottom w:val="single" w:sz="4" w:space="0" w:color="FFFFFF"/>
              <w:right w:val="nil"/>
            </w:tcBorders>
            <w:shd w:val="clear" w:color="000000" w:fill="D9D9D9"/>
            <w:vAlign w:val="center"/>
            <w:hideMark/>
          </w:tcPr>
          <w:p w14:paraId="4D4138AB" w14:textId="77777777" w:rsidR="00AC6C45" w:rsidRPr="00AC6C45" w:rsidRDefault="00AC6C45" w:rsidP="00AC6C45">
            <w:pPr>
              <w:spacing w:after="0" w:line="240" w:lineRule="auto"/>
              <w:jc w:val="left"/>
              <w:rPr>
                <w:rFonts w:ascii="Calibri" w:eastAsia="Times New Roman" w:hAnsi="Calibri" w:cs="Calibri"/>
                <w:sz w:val="22"/>
              </w:rPr>
            </w:pPr>
            <w:r w:rsidRPr="00AC6C45">
              <w:rPr>
                <w:rFonts w:ascii="Calibri" w:eastAsia="Times New Roman" w:hAnsi="Calibri" w:cs="Calibri"/>
                <w:sz w:val="22"/>
              </w:rPr>
              <w:t>Output gap (baseline scenario)</w:t>
            </w:r>
          </w:p>
        </w:tc>
        <w:tc>
          <w:tcPr>
            <w:tcW w:w="704" w:type="dxa"/>
            <w:tcBorders>
              <w:top w:val="nil"/>
              <w:left w:val="nil"/>
              <w:bottom w:val="single" w:sz="4" w:space="0" w:color="FFFFFF"/>
              <w:right w:val="nil"/>
            </w:tcBorders>
            <w:shd w:val="clear" w:color="000000" w:fill="D9D9D9"/>
            <w:vAlign w:val="center"/>
            <w:hideMark/>
          </w:tcPr>
          <w:p w14:paraId="5A27D8DA" w14:textId="77777777" w:rsidR="00AC6C45" w:rsidRPr="00AC6C45" w:rsidRDefault="00AC6C45" w:rsidP="00AC6C45">
            <w:pPr>
              <w:spacing w:after="0" w:line="240" w:lineRule="auto"/>
              <w:jc w:val="center"/>
              <w:rPr>
                <w:rFonts w:ascii="Calibri" w:eastAsia="Times New Roman" w:hAnsi="Calibri" w:cs="Calibri"/>
                <w:sz w:val="22"/>
              </w:rPr>
            </w:pPr>
            <w:r w:rsidRPr="004352DD">
              <w:t>0.3</w:t>
            </w:r>
          </w:p>
        </w:tc>
        <w:tc>
          <w:tcPr>
            <w:tcW w:w="855" w:type="dxa"/>
            <w:tcBorders>
              <w:top w:val="nil"/>
              <w:left w:val="nil"/>
              <w:bottom w:val="single" w:sz="4" w:space="0" w:color="FFFFFF"/>
              <w:right w:val="nil"/>
            </w:tcBorders>
            <w:shd w:val="clear" w:color="000000" w:fill="D9D9D9"/>
            <w:vAlign w:val="center"/>
            <w:hideMark/>
          </w:tcPr>
          <w:p w14:paraId="45B71024" w14:textId="77777777" w:rsidR="00AC6C45" w:rsidRPr="00AC6C45" w:rsidRDefault="00AC6C45" w:rsidP="00AC6C45">
            <w:pPr>
              <w:spacing w:after="0" w:line="240" w:lineRule="auto"/>
              <w:jc w:val="center"/>
              <w:rPr>
                <w:rFonts w:ascii="Calibri" w:eastAsia="Times New Roman" w:hAnsi="Calibri" w:cs="Calibri"/>
                <w:sz w:val="22"/>
              </w:rPr>
            </w:pPr>
            <w:r w:rsidRPr="004352DD">
              <w:t>1.2</w:t>
            </w:r>
          </w:p>
        </w:tc>
        <w:tc>
          <w:tcPr>
            <w:tcW w:w="671" w:type="dxa"/>
            <w:tcBorders>
              <w:top w:val="nil"/>
              <w:left w:val="nil"/>
              <w:bottom w:val="single" w:sz="4" w:space="0" w:color="FFFFFF"/>
              <w:right w:val="nil"/>
            </w:tcBorders>
            <w:shd w:val="clear" w:color="000000" w:fill="D9D9D9"/>
            <w:vAlign w:val="center"/>
            <w:hideMark/>
          </w:tcPr>
          <w:p w14:paraId="1AF312F7" w14:textId="77777777" w:rsidR="00AC6C45" w:rsidRPr="00AC6C45" w:rsidRDefault="00AC6C45" w:rsidP="00AC6C45">
            <w:pPr>
              <w:spacing w:after="0" w:line="240" w:lineRule="auto"/>
              <w:jc w:val="center"/>
              <w:rPr>
                <w:rFonts w:ascii="Calibri" w:eastAsia="Times New Roman" w:hAnsi="Calibri" w:cs="Calibri"/>
                <w:sz w:val="22"/>
              </w:rPr>
            </w:pPr>
            <w:r w:rsidRPr="004352DD">
              <w:t>1.7</w:t>
            </w:r>
          </w:p>
        </w:tc>
        <w:tc>
          <w:tcPr>
            <w:tcW w:w="709" w:type="dxa"/>
            <w:tcBorders>
              <w:top w:val="nil"/>
              <w:left w:val="nil"/>
              <w:bottom w:val="single" w:sz="4" w:space="0" w:color="FFFFFF"/>
              <w:right w:val="nil"/>
            </w:tcBorders>
            <w:shd w:val="clear" w:color="000000" w:fill="D9D9D9"/>
            <w:vAlign w:val="center"/>
            <w:hideMark/>
          </w:tcPr>
          <w:p w14:paraId="7A2B580E" w14:textId="77777777" w:rsidR="00AC6C45" w:rsidRPr="00AC6C45" w:rsidRDefault="00AC6C45" w:rsidP="00AC6C45">
            <w:pPr>
              <w:spacing w:after="0" w:line="240" w:lineRule="auto"/>
              <w:jc w:val="center"/>
              <w:rPr>
                <w:rFonts w:ascii="Calibri" w:eastAsia="Times New Roman" w:hAnsi="Calibri" w:cs="Calibri"/>
                <w:sz w:val="22"/>
              </w:rPr>
            </w:pPr>
            <w:r w:rsidRPr="004352DD">
              <w:t>1.1</w:t>
            </w:r>
          </w:p>
        </w:tc>
        <w:tc>
          <w:tcPr>
            <w:tcW w:w="709" w:type="dxa"/>
            <w:tcBorders>
              <w:top w:val="nil"/>
              <w:left w:val="nil"/>
              <w:bottom w:val="single" w:sz="4" w:space="0" w:color="FFFFFF"/>
              <w:right w:val="nil"/>
            </w:tcBorders>
            <w:shd w:val="clear" w:color="000000" w:fill="D9D9D9"/>
            <w:vAlign w:val="center"/>
            <w:hideMark/>
          </w:tcPr>
          <w:p w14:paraId="6BDE187B" w14:textId="77777777" w:rsidR="00AC6C45" w:rsidRPr="00AC6C45" w:rsidRDefault="00AC6C45" w:rsidP="00AC6C45">
            <w:pPr>
              <w:spacing w:after="0" w:line="240" w:lineRule="auto"/>
              <w:jc w:val="center"/>
              <w:rPr>
                <w:rFonts w:ascii="Calibri" w:eastAsia="Times New Roman" w:hAnsi="Calibri" w:cs="Calibri"/>
                <w:sz w:val="22"/>
              </w:rPr>
            </w:pPr>
            <w:r w:rsidRPr="004352DD">
              <w:t>0.4</w:t>
            </w:r>
          </w:p>
        </w:tc>
        <w:tc>
          <w:tcPr>
            <w:tcW w:w="708" w:type="dxa"/>
            <w:tcBorders>
              <w:top w:val="nil"/>
              <w:left w:val="nil"/>
              <w:bottom w:val="single" w:sz="4" w:space="0" w:color="FFFFFF"/>
              <w:right w:val="nil"/>
            </w:tcBorders>
            <w:shd w:val="clear" w:color="000000" w:fill="D9D9D9"/>
            <w:vAlign w:val="center"/>
            <w:hideMark/>
          </w:tcPr>
          <w:p w14:paraId="425E0937" w14:textId="77777777" w:rsidR="00AC6C45" w:rsidRPr="00AC6C45" w:rsidRDefault="00AC6C45" w:rsidP="00AC6C45">
            <w:pPr>
              <w:spacing w:after="0" w:line="240" w:lineRule="auto"/>
              <w:jc w:val="center"/>
              <w:rPr>
                <w:rFonts w:ascii="Calibri" w:eastAsia="Times New Roman" w:hAnsi="Calibri" w:cs="Calibri"/>
                <w:sz w:val="22"/>
              </w:rPr>
            </w:pPr>
            <w:r w:rsidRPr="004352DD">
              <w:t>0.0</w:t>
            </w:r>
          </w:p>
        </w:tc>
      </w:tr>
      <w:tr w:rsidR="00AC6C45" w:rsidRPr="00AC6C45" w14:paraId="7E8BB30C" w14:textId="77777777" w:rsidTr="00D73CBA">
        <w:trPr>
          <w:trHeight w:val="300"/>
          <w:jc w:val="center"/>
        </w:trPr>
        <w:tc>
          <w:tcPr>
            <w:tcW w:w="4536" w:type="dxa"/>
            <w:tcBorders>
              <w:top w:val="nil"/>
              <w:left w:val="nil"/>
              <w:bottom w:val="single" w:sz="4" w:space="0" w:color="FFFFFF"/>
              <w:right w:val="nil"/>
            </w:tcBorders>
            <w:shd w:val="clear" w:color="000000" w:fill="F2F2F2"/>
            <w:vAlign w:val="center"/>
            <w:hideMark/>
          </w:tcPr>
          <w:p w14:paraId="51EABF46" w14:textId="77777777" w:rsidR="00AC6C45" w:rsidRPr="00AC6C45" w:rsidRDefault="00AC6C45" w:rsidP="00AC6C45">
            <w:pPr>
              <w:spacing w:after="0" w:line="240" w:lineRule="auto"/>
              <w:jc w:val="left"/>
              <w:rPr>
                <w:rFonts w:ascii="Calibri" w:eastAsia="Times New Roman" w:hAnsi="Calibri" w:cs="Calibri"/>
                <w:sz w:val="22"/>
              </w:rPr>
            </w:pPr>
            <w:r w:rsidRPr="00AC6C45">
              <w:rPr>
                <w:rFonts w:ascii="Calibri" w:eastAsia="Times New Roman" w:hAnsi="Calibri" w:cs="Calibri"/>
                <w:sz w:val="22"/>
              </w:rPr>
              <w:t>Output gap (adjustment scenario)</w:t>
            </w:r>
          </w:p>
        </w:tc>
        <w:tc>
          <w:tcPr>
            <w:tcW w:w="704" w:type="dxa"/>
            <w:tcBorders>
              <w:top w:val="nil"/>
              <w:left w:val="nil"/>
              <w:bottom w:val="single" w:sz="4" w:space="0" w:color="FFFFFF"/>
              <w:right w:val="nil"/>
            </w:tcBorders>
            <w:shd w:val="clear" w:color="000000" w:fill="F2F2F2"/>
            <w:vAlign w:val="center"/>
            <w:hideMark/>
          </w:tcPr>
          <w:p w14:paraId="35B8AFA1" w14:textId="77777777" w:rsidR="00AC6C45" w:rsidRPr="00AC6C45" w:rsidRDefault="00AC6C45" w:rsidP="00AC6C45">
            <w:pPr>
              <w:spacing w:after="0" w:line="240" w:lineRule="auto"/>
              <w:jc w:val="center"/>
              <w:rPr>
                <w:rFonts w:ascii="Calibri" w:eastAsia="Times New Roman" w:hAnsi="Calibri" w:cs="Calibri"/>
                <w:sz w:val="22"/>
              </w:rPr>
            </w:pPr>
            <w:r w:rsidRPr="004352DD">
              <w:t>0.3</w:t>
            </w:r>
          </w:p>
        </w:tc>
        <w:tc>
          <w:tcPr>
            <w:tcW w:w="855" w:type="dxa"/>
            <w:tcBorders>
              <w:top w:val="nil"/>
              <w:left w:val="nil"/>
              <w:bottom w:val="single" w:sz="4" w:space="0" w:color="FFFFFF"/>
              <w:right w:val="nil"/>
            </w:tcBorders>
            <w:shd w:val="clear" w:color="000000" w:fill="F2F2F2"/>
            <w:vAlign w:val="center"/>
            <w:hideMark/>
          </w:tcPr>
          <w:p w14:paraId="09368D1B" w14:textId="77777777" w:rsidR="00AC6C45" w:rsidRPr="00AC6C45" w:rsidRDefault="00AC6C45" w:rsidP="00AC6C45">
            <w:pPr>
              <w:spacing w:after="0" w:line="240" w:lineRule="auto"/>
              <w:jc w:val="center"/>
              <w:rPr>
                <w:rFonts w:ascii="Calibri" w:eastAsia="Times New Roman" w:hAnsi="Calibri" w:cs="Calibri"/>
                <w:sz w:val="22"/>
              </w:rPr>
            </w:pPr>
            <w:r w:rsidRPr="004352DD">
              <w:t>1.2</w:t>
            </w:r>
          </w:p>
        </w:tc>
        <w:tc>
          <w:tcPr>
            <w:tcW w:w="671" w:type="dxa"/>
            <w:tcBorders>
              <w:top w:val="nil"/>
              <w:left w:val="nil"/>
              <w:bottom w:val="single" w:sz="4" w:space="0" w:color="FFFFFF"/>
              <w:right w:val="nil"/>
            </w:tcBorders>
            <w:shd w:val="clear" w:color="000000" w:fill="F2F2F2"/>
            <w:vAlign w:val="center"/>
            <w:hideMark/>
          </w:tcPr>
          <w:p w14:paraId="0CD00194" w14:textId="77777777" w:rsidR="00AC6C45" w:rsidRPr="00AC6C45" w:rsidRDefault="00AC6C45" w:rsidP="00AC6C45">
            <w:pPr>
              <w:spacing w:after="0" w:line="240" w:lineRule="auto"/>
              <w:jc w:val="center"/>
              <w:rPr>
                <w:rFonts w:ascii="Calibri" w:eastAsia="Times New Roman" w:hAnsi="Calibri" w:cs="Calibri"/>
                <w:sz w:val="22"/>
              </w:rPr>
            </w:pPr>
            <w:r w:rsidRPr="004352DD">
              <w:t>1.4</w:t>
            </w:r>
          </w:p>
        </w:tc>
        <w:tc>
          <w:tcPr>
            <w:tcW w:w="709" w:type="dxa"/>
            <w:tcBorders>
              <w:top w:val="nil"/>
              <w:left w:val="nil"/>
              <w:bottom w:val="single" w:sz="4" w:space="0" w:color="FFFFFF"/>
              <w:right w:val="nil"/>
            </w:tcBorders>
            <w:shd w:val="clear" w:color="000000" w:fill="F2F2F2"/>
            <w:vAlign w:val="center"/>
            <w:hideMark/>
          </w:tcPr>
          <w:p w14:paraId="22D94A28" w14:textId="77777777" w:rsidR="00AC6C45" w:rsidRPr="00AC6C45" w:rsidRDefault="00AC6C45" w:rsidP="00AC6C45">
            <w:pPr>
              <w:spacing w:after="0" w:line="240" w:lineRule="auto"/>
              <w:jc w:val="center"/>
              <w:rPr>
                <w:rFonts w:ascii="Calibri" w:eastAsia="Times New Roman" w:hAnsi="Calibri" w:cs="Calibri"/>
                <w:sz w:val="22"/>
              </w:rPr>
            </w:pPr>
            <w:r w:rsidRPr="004352DD">
              <w:t>0.8</w:t>
            </w:r>
          </w:p>
        </w:tc>
        <w:tc>
          <w:tcPr>
            <w:tcW w:w="709" w:type="dxa"/>
            <w:tcBorders>
              <w:top w:val="nil"/>
              <w:left w:val="nil"/>
              <w:bottom w:val="single" w:sz="4" w:space="0" w:color="FFFFFF"/>
              <w:right w:val="nil"/>
            </w:tcBorders>
            <w:shd w:val="clear" w:color="000000" w:fill="F2F2F2"/>
            <w:vAlign w:val="center"/>
            <w:hideMark/>
          </w:tcPr>
          <w:p w14:paraId="04FEADA3" w14:textId="77777777" w:rsidR="00AC6C45" w:rsidRPr="00AC6C45" w:rsidRDefault="00AC6C45" w:rsidP="00AC6C45">
            <w:pPr>
              <w:spacing w:after="0" w:line="240" w:lineRule="auto"/>
              <w:jc w:val="center"/>
              <w:rPr>
                <w:rFonts w:ascii="Calibri" w:eastAsia="Times New Roman" w:hAnsi="Calibri" w:cs="Calibri"/>
                <w:sz w:val="22"/>
              </w:rPr>
            </w:pPr>
            <w:r w:rsidRPr="004352DD">
              <w:t>0.4</w:t>
            </w:r>
          </w:p>
        </w:tc>
        <w:tc>
          <w:tcPr>
            <w:tcW w:w="708" w:type="dxa"/>
            <w:tcBorders>
              <w:top w:val="nil"/>
              <w:left w:val="nil"/>
              <w:bottom w:val="single" w:sz="4" w:space="0" w:color="FFFFFF"/>
              <w:right w:val="nil"/>
            </w:tcBorders>
            <w:shd w:val="clear" w:color="000000" w:fill="F2F2F2"/>
            <w:vAlign w:val="center"/>
            <w:hideMark/>
          </w:tcPr>
          <w:p w14:paraId="3957F62B" w14:textId="77777777" w:rsidR="00AC6C45" w:rsidRPr="00AC6C45" w:rsidRDefault="00AC6C45" w:rsidP="00AC6C45">
            <w:pPr>
              <w:spacing w:after="0" w:line="240" w:lineRule="auto"/>
              <w:jc w:val="center"/>
              <w:rPr>
                <w:rFonts w:ascii="Calibri" w:eastAsia="Times New Roman" w:hAnsi="Calibri" w:cs="Calibri"/>
                <w:sz w:val="22"/>
              </w:rPr>
            </w:pPr>
            <w:r w:rsidRPr="004352DD">
              <w:t>0.2</w:t>
            </w:r>
          </w:p>
        </w:tc>
      </w:tr>
      <w:tr w:rsidR="00AC6C45" w:rsidRPr="00AC6C45" w14:paraId="33812DF0" w14:textId="77777777" w:rsidTr="00D73CBA">
        <w:trPr>
          <w:trHeight w:val="300"/>
          <w:jc w:val="center"/>
        </w:trPr>
        <w:tc>
          <w:tcPr>
            <w:tcW w:w="4536" w:type="dxa"/>
            <w:tcBorders>
              <w:top w:val="nil"/>
              <w:left w:val="nil"/>
              <w:bottom w:val="single" w:sz="4" w:space="0" w:color="FFFFFF"/>
              <w:right w:val="nil"/>
            </w:tcBorders>
            <w:shd w:val="clear" w:color="000000" w:fill="D9D9D9"/>
            <w:vAlign w:val="center"/>
            <w:hideMark/>
          </w:tcPr>
          <w:p w14:paraId="5060D4FC" w14:textId="7A3A50E7" w:rsidR="00AC6C45" w:rsidRPr="00A16514" w:rsidRDefault="00AC6C45" w:rsidP="00AC6C45">
            <w:pPr>
              <w:spacing w:after="0" w:line="240" w:lineRule="auto"/>
              <w:jc w:val="left"/>
              <w:rPr>
                <w:rFonts w:ascii="Calibri" w:eastAsia="Times New Roman" w:hAnsi="Calibri" w:cs="Calibri"/>
                <w:sz w:val="22"/>
                <w:lang w:val="en-US"/>
              </w:rPr>
            </w:pPr>
            <w:r w:rsidRPr="00A16514">
              <w:rPr>
                <w:rFonts w:ascii="Calibri" w:eastAsia="Times New Roman" w:hAnsi="Calibri" w:cs="Calibri"/>
                <w:sz w:val="22"/>
                <w:lang w:val="en-US"/>
              </w:rPr>
              <w:t>Structural primary balance</w:t>
            </w:r>
            <w:r w:rsidR="00A16514">
              <w:rPr>
                <w:rFonts w:ascii="Calibri" w:eastAsia="Times New Roman" w:hAnsi="Calibri" w:cs="Calibri"/>
                <w:sz w:val="22"/>
                <w:lang w:val="en-US"/>
              </w:rPr>
              <w:t xml:space="preserve"> (adjust</w:t>
            </w:r>
            <w:r w:rsidR="00915016">
              <w:rPr>
                <w:rFonts w:ascii="Calibri" w:eastAsia="Times New Roman" w:hAnsi="Calibri" w:cs="Calibri"/>
                <w:sz w:val="22"/>
                <w:lang w:val="en-US"/>
              </w:rPr>
              <w:t>.</w:t>
            </w:r>
            <w:r w:rsidR="00A16514">
              <w:rPr>
                <w:rFonts w:ascii="Calibri" w:eastAsia="Times New Roman" w:hAnsi="Calibri" w:cs="Calibri"/>
                <w:sz w:val="22"/>
                <w:lang w:val="en-US"/>
              </w:rPr>
              <w:t xml:space="preserve"> scenario)</w:t>
            </w:r>
          </w:p>
        </w:tc>
        <w:tc>
          <w:tcPr>
            <w:tcW w:w="704" w:type="dxa"/>
            <w:tcBorders>
              <w:top w:val="nil"/>
              <w:left w:val="nil"/>
              <w:bottom w:val="single" w:sz="4" w:space="0" w:color="FFFFFF"/>
              <w:right w:val="nil"/>
            </w:tcBorders>
            <w:shd w:val="clear" w:color="000000" w:fill="D9D9D9"/>
            <w:vAlign w:val="center"/>
            <w:hideMark/>
          </w:tcPr>
          <w:p w14:paraId="2DD7AAAE" w14:textId="77777777" w:rsidR="00AC6C45" w:rsidRPr="00AC6C45" w:rsidRDefault="00AC6C45" w:rsidP="00AC6C45">
            <w:pPr>
              <w:spacing w:after="0" w:line="240" w:lineRule="auto"/>
              <w:jc w:val="center"/>
              <w:rPr>
                <w:rFonts w:ascii="Calibri" w:eastAsia="Times New Roman" w:hAnsi="Calibri" w:cs="Calibri"/>
                <w:sz w:val="22"/>
              </w:rPr>
            </w:pPr>
            <w:r w:rsidRPr="004352DD">
              <w:t>1.9</w:t>
            </w:r>
          </w:p>
        </w:tc>
        <w:tc>
          <w:tcPr>
            <w:tcW w:w="855" w:type="dxa"/>
            <w:tcBorders>
              <w:top w:val="nil"/>
              <w:left w:val="nil"/>
              <w:bottom w:val="single" w:sz="4" w:space="0" w:color="FFFFFF"/>
              <w:right w:val="nil"/>
            </w:tcBorders>
            <w:shd w:val="clear" w:color="000000" w:fill="D9D9D9"/>
            <w:vAlign w:val="center"/>
            <w:hideMark/>
          </w:tcPr>
          <w:p w14:paraId="45BB949A" w14:textId="77777777" w:rsidR="00AC6C45" w:rsidRPr="0031547E" w:rsidRDefault="00AC6C45" w:rsidP="00AC6C45">
            <w:pPr>
              <w:spacing w:after="0" w:line="240" w:lineRule="auto"/>
              <w:jc w:val="center"/>
              <w:rPr>
                <w:rFonts w:ascii="Calibri" w:eastAsia="Times New Roman" w:hAnsi="Calibri" w:cs="Calibri"/>
                <w:b/>
                <w:sz w:val="22"/>
              </w:rPr>
            </w:pPr>
            <w:r w:rsidRPr="0031547E">
              <w:rPr>
                <w:b/>
                <w:color w:val="548DD4" w:themeColor="text2" w:themeTint="99"/>
              </w:rPr>
              <w:t>1.7</w:t>
            </w:r>
          </w:p>
        </w:tc>
        <w:tc>
          <w:tcPr>
            <w:tcW w:w="671" w:type="dxa"/>
            <w:tcBorders>
              <w:top w:val="nil"/>
              <w:left w:val="nil"/>
              <w:bottom w:val="single" w:sz="4" w:space="0" w:color="FFFFFF"/>
              <w:right w:val="nil"/>
            </w:tcBorders>
            <w:shd w:val="clear" w:color="000000" w:fill="D9D9D9"/>
            <w:vAlign w:val="center"/>
            <w:hideMark/>
          </w:tcPr>
          <w:p w14:paraId="4840A50C" w14:textId="77777777" w:rsidR="00AC6C45" w:rsidRPr="00AC6C45" w:rsidRDefault="00AC6C45" w:rsidP="00AC6C45">
            <w:pPr>
              <w:spacing w:after="0" w:line="240" w:lineRule="auto"/>
              <w:jc w:val="center"/>
              <w:rPr>
                <w:rFonts w:ascii="Calibri" w:eastAsia="Times New Roman" w:hAnsi="Calibri" w:cs="Calibri"/>
                <w:sz w:val="22"/>
              </w:rPr>
            </w:pPr>
            <w:r w:rsidRPr="004352DD">
              <w:t>2.1</w:t>
            </w:r>
          </w:p>
        </w:tc>
        <w:tc>
          <w:tcPr>
            <w:tcW w:w="709" w:type="dxa"/>
            <w:tcBorders>
              <w:top w:val="nil"/>
              <w:left w:val="nil"/>
              <w:bottom w:val="single" w:sz="4" w:space="0" w:color="FFFFFF"/>
              <w:right w:val="nil"/>
            </w:tcBorders>
            <w:shd w:val="clear" w:color="000000" w:fill="D9D9D9"/>
            <w:vAlign w:val="center"/>
            <w:hideMark/>
          </w:tcPr>
          <w:p w14:paraId="730893AD" w14:textId="77777777" w:rsidR="00AC6C45" w:rsidRPr="00AC6C45" w:rsidRDefault="00AC6C45" w:rsidP="00AC6C45">
            <w:pPr>
              <w:spacing w:after="0" w:line="240" w:lineRule="auto"/>
              <w:jc w:val="center"/>
              <w:rPr>
                <w:rFonts w:ascii="Calibri" w:eastAsia="Times New Roman" w:hAnsi="Calibri" w:cs="Calibri"/>
                <w:sz w:val="22"/>
              </w:rPr>
            </w:pPr>
            <w:r w:rsidRPr="004352DD">
              <w:t>2.3</w:t>
            </w:r>
          </w:p>
        </w:tc>
        <w:tc>
          <w:tcPr>
            <w:tcW w:w="709" w:type="dxa"/>
            <w:tcBorders>
              <w:top w:val="nil"/>
              <w:left w:val="nil"/>
              <w:bottom w:val="single" w:sz="4" w:space="0" w:color="FFFFFF"/>
              <w:right w:val="nil"/>
            </w:tcBorders>
            <w:shd w:val="clear" w:color="000000" w:fill="D9D9D9"/>
            <w:vAlign w:val="center"/>
            <w:hideMark/>
          </w:tcPr>
          <w:p w14:paraId="2B163747" w14:textId="77777777" w:rsidR="00AC6C45" w:rsidRPr="00AC6C45" w:rsidRDefault="00AC6C45" w:rsidP="00AC6C45">
            <w:pPr>
              <w:spacing w:after="0" w:line="240" w:lineRule="auto"/>
              <w:jc w:val="center"/>
              <w:rPr>
                <w:rFonts w:ascii="Calibri" w:eastAsia="Times New Roman" w:hAnsi="Calibri" w:cs="Calibri"/>
                <w:sz w:val="22"/>
              </w:rPr>
            </w:pPr>
            <w:r w:rsidRPr="004352DD">
              <w:t>2.4</w:t>
            </w:r>
          </w:p>
        </w:tc>
        <w:tc>
          <w:tcPr>
            <w:tcW w:w="708" w:type="dxa"/>
            <w:tcBorders>
              <w:top w:val="nil"/>
              <w:left w:val="nil"/>
              <w:bottom w:val="single" w:sz="4" w:space="0" w:color="FFFFFF"/>
              <w:right w:val="nil"/>
            </w:tcBorders>
            <w:shd w:val="clear" w:color="000000" w:fill="D9D9D9"/>
            <w:vAlign w:val="center"/>
            <w:hideMark/>
          </w:tcPr>
          <w:p w14:paraId="0E537A22" w14:textId="77777777" w:rsidR="00AC6C45" w:rsidRPr="00AC6C45" w:rsidRDefault="00AC6C45" w:rsidP="00AC6C45">
            <w:pPr>
              <w:spacing w:after="0" w:line="240" w:lineRule="auto"/>
              <w:jc w:val="center"/>
              <w:rPr>
                <w:rFonts w:ascii="Calibri" w:eastAsia="Times New Roman" w:hAnsi="Calibri" w:cs="Calibri"/>
                <w:sz w:val="22"/>
              </w:rPr>
            </w:pPr>
            <w:r w:rsidRPr="004352DD">
              <w:t>2.6</w:t>
            </w:r>
          </w:p>
        </w:tc>
      </w:tr>
      <w:tr w:rsidR="00AC6C45" w:rsidRPr="00AC6C45" w14:paraId="029361B9" w14:textId="77777777" w:rsidTr="00D73CBA">
        <w:trPr>
          <w:trHeight w:val="603"/>
          <w:jc w:val="center"/>
        </w:trPr>
        <w:tc>
          <w:tcPr>
            <w:tcW w:w="4536" w:type="dxa"/>
            <w:tcBorders>
              <w:top w:val="single" w:sz="4" w:space="0" w:color="FFFFFF"/>
              <w:left w:val="nil"/>
              <w:bottom w:val="single" w:sz="4" w:space="0" w:color="4F81BD" w:themeColor="accent1"/>
              <w:right w:val="nil"/>
            </w:tcBorders>
            <w:shd w:val="clear" w:color="000000" w:fill="F2F2F2"/>
            <w:vAlign w:val="center"/>
            <w:hideMark/>
          </w:tcPr>
          <w:p w14:paraId="7DCC23E1" w14:textId="77777777" w:rsidR="00AC6C45" w:rsidRPr="00AC6C45" w:rsidRDefault="00AC6C45" w:rsidP="00AC6C45">
            <w:pPr>
              <w:spacing w:after="0" w:line="240" w:lineRule="auto"/>
              <w:jc w:val="left"/>
              <w:rPr>
                <w:rFonts w:ascii="Calibri" w:eastAsia="Times New Roman" w:hAnsi="Calibri" w:cs="Calibri"/>
                <w:sz w:val="22"/>
                <w:lang w:val="en-US"/>
              </w:rPr>
            </w:pPr>
            <w:r w:rsidRPr="00AC6C45">
              <w:rPr>
                <w:rFonts w:ascii="Calibri" w:eastAsia="Times New Roman" w:hAnsi="Calibri" w:cs="Calibri"/>
                <w:sz w:val="22"/>
                <w:lang w:val="en-US"/>
              </w:rPr>
              <w:t>Annual change in the structural primary balance (pp. of GDP)</w:t>
            </w:r>
          </w:p>
        </w:tc>
        <w:tc>
          <w:tcPr>
            <w:tcW w:w="704" w:type="dxa"/>
            <w:tcBorders>
              <w:top w:val="single" w:sz="4" w:space="0" w:color="FFFFFF"/>
              <w:left w:val="nil"/>
              <w:bottom w:val="single" w:sz="4" w:space="0" w:color="4F81BD" w:themeColor="accent1"/>
              <w:right w:val="nil"/>
            </w:tcBorders>
            <w:shd w:val="clear" w:color="000000" w:fill="F2F2F2"/>
            <w:vAlign w:val="center"/>
            <w:hideMark/>
          </w:tcPr>
          <w:p w14:paraId="1B896AD2" w14:textId="77777777" w:rsidR="00AC6C45" w:rsidRPr="00BA28E9" w:rsidRDefault="00AC6C45" w:rsidP="00AC6C45">
            <w:pPr>
              <w:spacing w:after="0" w:line="240" w:lineRule="auto"/>
              <w:jc w:val="center"/>
              <w:rPr>
                <w:lang w:val="en-US"/>
              </w:rPr>
            </w:pPr>
          </w:p>
        </w:tc>
        <w:tc>
          <w:tcPr>
            <w:tcW w:w="855" w:type="dxa"/>
            <w:tcBorders>
              <w:top w:val="single" w:sz="4" w:space="0" w:color="FFFFFF"/>
              <w:left w:val="nil"/>
              <w:bottom w:val="single" w:sz="4" w:space="0" w:color="4F81BD" w:themeColor="accent1"/>
              <w:right w:val="nil"/>
            </w:tcBorders>
            <w:shd w:val="clear" w:color="000000" w:fill="F2F2F2"/>
            <w:vAlign w:val="center"/>
            <w:hideMark/>
          </w:tcPr>
          <w:p w14:paraId="01D3CC57" w14:textId="77777777" w:rsidR="00AC6C45" w:rsidRPr="00AC6C45" w:rsidRDefault="00AC6C45" w:rsidP="00AC6C45">
            <w:pPr>
              <w:spacing w:after="0" w:line="240" w:lineRule="auto"/>
              <w:jc w:val="center"/>
            </w:pPr>
            <w:r w:rsidRPr="004352DD">
              <w:t>-0.20</w:t>
            </w:r>
          </w:p>
        </w:tc>
        <w:tc>
          <w:tcPr>
            <w:tcW w:w="671" w:type="dxa"/>
            <w:tcBorders>
              <w:top w:val="single" w:sz="4" w:space="0" w:color="FFFFFF"/>
              <w:left w:val="nil"/>
              <w:bottom w:val="single" w:sz="4" w:space="0" w:color="4F81BD" w:themeColor="accent1"/>
              <w:right w:val="nil"/>
            </w:tcBorders>
            <w:shd w:val="clear" w:color="000000" w:fill="F2F2F2"/>
            <w:vAlign w:val="center"/>
            <w:hideMark/>
          </w:tcPr>
          <w:p w14:paraId="3552D51C" w14:textId="77777777" w:rsidR="00AC6C45" w:rsidRPr="00D67310" w:rsidRDefault="00AC6C45" w:rsidP="00AC6C45">
            <w:pPr>
              <w:spacing w:after="0" w:line="240" w:lineRule="auto"/>
              <w:jc w:val="center"/>
              <w:rPr>
                <w:b/>
              </w:rPr>
            </w:pPr>
            <w:r w:rsidRPr="00D67310">
              <w:rPr>
                <w:b/>
                <w:color w:val="548DD4" w:themeColor="text2" w:themeTint="99"/>
              </w:rPr>
              <w:t>0.4</w:t>
            </w:r>
            <w:r w:rsidR="00D67310" w:rsidRPr="00D67310">
              <w:rPr>
                <w:b/>
                <w:color w:val="548DD4" w:themeColor="text2" w:themeTint="99"/>
                <w:lang w:val="en-US"/>
              </w:rPr>
              <w:t>0</w:t>
            </w:r>
          </w:p>
        </w:tc>
        <w:tc>
          <w:tcPr>
            <w:tcW w:w="709" w:type="dxa"/>
            <w:tcBorders>
              <w:top w:val="single" w:sz="4" w:space="0" w:color="FFFFFF"/>
              <w:left w:val="nil"/>
              <w:bottom w:val="single" w:sz="4" w:space="0" w:color="4F81BD" w:themeColor="accent1"/>
              <w:right w:val="nil"/>
            </w:tcBorders>
            <w:shd w:val="clear" w:color="000000" w:fill="F2F2F2"/>
            <w:vAlign w:val="center"/>
            <w:hideMark/>
          </w:tcPr>
          <w:p w14:paraId="45C67328" w14:textId="77777777" w:rsidR="00AC6C45" w:rsidRPr="00AC6C45" w:rsidRDefault="00AC6C45" w:rsidP="00AC6C45">
            <w:pPr>
              <w:spacing w:after="0" w:line="240" w:lineRule="auto"/>
              <w:jc w:val="center"/>
            </w:pPr>
            <w:r w:rsidRPr="004352DD">
              <w:t>0.16</w:t>
            </w:r>
          </w:p>
        </w:tc>
        <w:tc>
          <w:tcPr>
            <w:tcW w:w="709" w:type="dxa"/>
            <w:tcBorders>
              <w:top w:val="single" w:sz="4" w:space="0" w:color="FFFFFF"/>
              <w:left w:val="nil"/>
              <w:bottom w:val="single" w:sz="4" w:space="0" w:color="4F81BD" w:themeColor="accent1"/>
              <w:right w:val="nil"/>
            </w:tcBorders>
            <w:shd w:val="clear" w:color="000000" w:fill="F2F2F2"/>
            <w:vAlign w:val="center"/>
            <w:hideMark/>
          </w:tcPr>
          <w:p w14:paraId="693CAA28" w14:textId="77777777" w:rsidR="00AC6C45" w:rsidRPr="00AC6C45" w:rsidRDefault="00AC6C45" w:rsidP="00AC6C45">
            <w:pPr>
              <w:spacing w:after="0" w:line="240" w:lineRule="auto"/>
              <w:jc w:val="center"/>
            </w:pPr>
            <w:r w:rsidRPr="004352DD">
              <w:t>0.16</w:t>
            </w:r>
          </w:p>
        </w:tc>
        <w:tc>
          <w:tcPr>
            <w:tcW w:w="708" w:type="dxa"/>
            <w:tcBorders>
              <w:top w:val="single" w:sz="4" w:space="0" w:color="FFFFFF"/>
              <w:left w:val="nil"/>
              <w:bottom w:val="single" w:sz="4" w:space="0" w:color="4F81BD" w:themeColor="accent1"/>
              <w:right w:val="nil"/>
            </w:tcBorders>
            <w:shd w:val="clear" w:color="000000" w:fill="F2F2F2"/>
            <w:vAlign w:val="center"/>
            <w:hideMark/>
          </w:tcPr>
          <w:p w14:paraId="5758BE8F" w14:textId="77777777" w:rsidR="00AC6C45" w:rsidRPr="00AC6C45" w:rsidRDefault="00AC6C45" w:rsidP="00AC6C45">
            <w:pPr>
              <w:spacing w:after="0" w:line="240" w:lineRule="auto"/>
              <w:jc w:val="center"/>
            </w:pPr>
            <w:r w:rsidRPr="004352DD">
              <w:t>0.16</w:t>
            </w:r>
          </w:p>
        </w:tc>
      </w:tr>
      <w:tr w:rsidR="00AC6C45" w:rsidRPr="00AC6C45" w14:paraId="73B5570F" w14:textId="77777777" w:rsidTr="00D73CBA">
        <w:trPr>
          <w:trHeight w:val="300"/>
          <w:jc w:val="center"/>
        </w:trPr>
        <w:tc>
          <w:tcPr>
            <w:tcW w:w="4536" w:type="dxa"/>
            <w:tcBorders>
              <w:top w:val="single" w:sz="4" w:space="0" w:color="4F81BD" w:themeColor="accent1"/>
              <w:left w:val="nil"/>
              <w:bottom w:val="single" w:sz="4" w:space="0" w:color="FFFFFF"/>
              <w:right w:val="nil"/>
            </w:tcBorders>
            <w:shd w:val="clear" w:color="000000" w:fill="BFBFBF"/>
            <w:vAlign w:val="center"/>
            <w:hideMark/>
          </w:tcPr>
          <w:p w14:paraId="6B18ADA7" w14:textId="77777777" w:rsidR="00AC6C45" w:rsidRPr="00AC6C45" w:rsidRDefault="00AC6C45" w:rsidP="00AC6C45">
            <w:pPr>
              <w:spacing w:after="0" w:line="240" w:lineRule="auto"/>
              <w:jc w:val="left"/>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 </w:t>
            </w:r>
          </w:p>
        </w:tc>
        <w:tc>
          <w:tcPr>
            <w:tcW w:w="1559" w:type="dxa"/>
            <w:gridSpan w:val="2"/>
            <w:tcBorders>
              <w:top w:val="single" w:sz="4" w:space="0" w:color="4F81BD" w:themeColor="accent1"/>
              <w:left w:val="nil"/>
              <w:bottom w:val="single" w:sz="4" w:space="0" w:color="FFFFFF"/>
              <w:right w:val="nil"/>
            </w:tcBorders>
            <w:shd w:val="clear" w:color="000000" w:fill="BFBFBF"/>
            <w:vAlign w:val="center"/>
            <w:hideMark/>
          </w:tcPr>
          <w:p w14:paraId="2CCAC965" w14:textId="72703821" w:rsidR="00AC6C45" w:rsidRPr="00AC6C45" w:rsidRDefault="0081198F" w:rsidP="00AC6C45">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lang w:val="en-US"/>
              </w:rPr>
              <w:t>Estimate</w:t>
            </w:r>
          </w:p>
        </w:tc>
        <w:tc>
          <w:tcPr>
            <w:tcW w:w="2797" w:type="dxa"/>
            <w:gridSpan w:val="4"/>
            <w:tcBorders>
              <w:top w:val="single" w:sz="4" w:space="0" w:color="4F81BD" w:themeColor="accent1"/>
              <w:left w:val="nil"/>
              <w:bottom w:val="single" w:sz="4" w:space="0" w:color="FFFFFF"/>
              <w:right w:val="nil"/>
            </w:tcBorders>
            <w:shd w:val="clear" w:color="000000" w:fill="BFBFBF"/>
            <w:vAlign w:val="center"/>
            <w:hideMark/>
          </w:tcPr>
          <w:p w14:paraId="7A9CFD7B" w14:textId="77777777" w:rsidR="00AC6C45" w:rsidRPr="00AC6C45" w:rsidRDefault="00AC6C45" w:rsidP="00AC6C45">
            <w:pPr>
              <w:spacing w:after="0" w:line="240" w:lineRule="auto"/>
              <w:jc w:val="center"/>
              <w:rPr>
                <w:rFonts w:ascii="Arial" w:eastAsia="Times New Roman" w:hAnsi="Arial" w:cs="Arial"/>
                <w:b/>
                <w:bCs/>
                <w:color w:val="000000"/>
                <w:sz w:val="20"/>
                <w:szCs w:val="20"/>
              </w:rPr>
            </w:pPr>
            <w:r w:rsidRPr="00AC6C45">
              <w:rPr>
                <w:rFonts w:ascii="Arial" w:eastAsia="Times New Roman" w:hAnsi="Arial" w:cs="Arial"/>
                <w:b/>
                <w:bCs/>
                <w:color w:val="000000"/>
                <w:sz w:val="20"/>
                <w:szCs w:val="20"/>
              </w:rPr>
              <w:t>Period </w:t>
            </w:r>
          </w:p>
        </w:tc>
      </w:tr>
      <w:tr w:rsidR="00AC6C45" w:rsidRPr="00AC6C45" w14:paraId="68FA8CDA" w14:textId="77777777" w:rsidTr="00D73CBA">
        <w:trPr>
          <w:trHeight w:val="300"/>
          <w:jc w:val="center"/>
        </w:trPr>
        <w:tc>
          <w:tcPr>
            <w:tcW w:w="4536" w:type="dxa"/>
            <w:tcBorders>
              <w:top w:val="nil"/>
              <w:left w:val="nil"/>
              <w:bottom w:val="single" w:sz="4" w:space="0" w:color="FFFFFF"/>
              <w:right w:val="nil"/>
            </w:tcBorders>
            <w:shd w:val="clear" w:color="000000" w:fill="F2F2F2"/>
            <w:vAlign w:val="center"/>
            <w:hideMark/>
          </w:tcPr>
          <w:p w14:paraId="0ED9D290" w14:textId="77777777" w:rsidR="00AC6C45" w:rsidRPr="00AC6C45" w:rsidRDefault="00AC6C45" w:rsidP="00AC6C45">
            <w:pPr>
              <w:spacing w:after="0" w:line="240" w:lineRule="auto"/>
              <w:jc w:val="left"/>
              <w:rPr>
                <w:rFonts w:ascii="Calibri" w:eastAsia="Times New Roman" w:hAnsi="Calibri" w:cs="Calibri"/>
                <w:sz w:val="22"/>
              </w:rPr>
            </w:pPr>
            <w:r w:rsidRPr="00AC6C45">
              <w:rPr>
                <w:rFonts w:ascii="Calibri" w:eastAsia="Times New Roman" w:hAnsi="Calibri" w:cs="Calibri"/>
                <w:sz w:val="22"/>
              </w:rPr>
              <w:t xml:space="preserve">Net expenditure growth (%) </w:t>
            </w:r>
          </w:p>
        </w:tc>
        <w:tc>
          <w:tcPr>
            <w:tcW w:w="1559" w:type="dxa"/>
            <w:gridSpan w:val="2"/>
            <w:tcBorders>
              <w:top w:val="nil"/>
              <w:left w:val="nil"/>
              <w:bottom w:val="single" w:sz="4" w:space="0" w:color="FFFFFF"/>
              <w:right w:val="nil"/>
            </w:tcBorders>
            <w:shd w:val="clear" w:color="000000" w:fill="F2F2F2"/>
            <w:vAlign w:val="center"/>
            <w:hideMark/>
          </w:tcPr>
          <w:p w14:paraId="556F9862" w14:textId="77777777" w:rsidR="00AC6C45" w:rsidRPr="0031547E" w:rsidRDefault="00AC6C45" w:rsidP="00AC6C45">
            <w:pPr>
              <w:spacing w:after="0" w:line="240" w:lineRule="auto"/>
              <w:jc w:val="center"/>
              <w:rPr>
                <w:rFonts w:ascii="Calibri" w:eastAsia="Times New Roman" w:hAnsi="Calibri" w:cs="Calibri"/>
                <w:b/>
                <w:sz w:val="22"/>
                <w:lang w:val="en-US"/>
              </w:rPr>
            </w:pPr>
            <w:r w:rsidRPr="0031547E">
              <w:rPr>
                <w:rFonts w:ascii="Calibri" w:eastAsia="Times New Roman" w:hAnsi="Calibri" w:cs="Calibri"/>
                <w:b/>
                <w:color w:val="548DD4" w:themeColor="text2" w:themeTint="99"/>
                <w:sz w:val="22"/>
              </w:rPr>
              <w:t>3.1</w:t>
            </w:r>
          </w:p>
        </w:tc>
        <w:tc>
          <w:tcPr>
            <w:tcW w:w="2797" w:type="dxa"/>
            <w:gridSpan w:val="4"/>
            <w:tcBorders>
              <w:top w:val="nil"/>
              <w:left w:val="nil"/>
              <w:bottom w:val="single" w:sz="4" w:space="0" w:color="FFFFFF"/>
              <w:right w:val="nil"/>
            </w:tcBorders>
            <w:shd w:val="clear" w:color="000000" w:fill="F2F2F2"/>
            <w:vAlign w:val="center"/>
            <w:hideMark/>
          </w:tcPr>
          <w:p w14:paraId="3535B8AD" w14:textId="77777777" w:rsidR="00AC6C45" w:rsidRPr="00AC6C45" w:rsidRDefault="00AC6C45" w:rsidP="00AC6C45">
            <w:pPr>
              <w:spacing w:after="0" w:line="240" w:lineRule="auto"/>
              <w:jc w:val="center"/>
              <w:rPr>
                <w:rFonts w:ascii="Calibri" w:eastAsia="Times New Roman" w:hAnsi="Calibri" w:cs="Calibri"/>
                <w:sz w:val="22"/>
              </w:rPr>
            </w:pPr>
            <w:r w:rsidRPr="00AC6C45">
              <w:rPr>
                <w:rFonts w:ascii="Calibri" w:eastAsia="Times New Roman" w:hAnsi="Calibri" w:cs="Calibri"/>
                <w:sz w:val="22"/>
              </w:rPr>
              <w:t>2025-2028 average</w:t>
            </w:r>
          </w:p>
        </w:tc>
      </w:tr>
      <w:tr w:rsidR="00AC6C45" w:rsidRPr="00AC6C45" w14:paraId="2F435270" w14:textId="77777777" w:rsidTr="00D73CBA">
        <w:trPr>
          <w:trHeight w:val="300"/>
          <w:jc w:val="center"/>
        </w:trPr>
        <w:tc>
          <w:tcPr>
            <w:tcW w:w="4536" w:type="dxa"/>
            <w:tcBorders>
              <w:top w:val="nil"/>
              <w:left w:val="nil"/>
              <w:bottom w:val="single" w:sz="18" w:space="0" w:color="4F81BD" w:themeColor="accent1"/>
              <w:right w:val="nil"/>
            </w:tcBorders>
            <w:shd w:val="clear" w:color="000000" w:fill="D9D9D9"/>
            <w:vAlign w:val="center"/>
            <w:hideMark/>
          </w:tcPr>
          <w:p w14:paraId="6EFA7663" w14:textId="77777777" w:rsidR="00AC6C45" w:rsidRPr="00AC6C45" w:rsidRDefault="00AC6C45" w:rsidP="00AC6C45">
            <w:pPr>
              <w:spacing w:after="0" w:line="240" w:lineRule="auto"/>
              <w:jc w:val="left"/>
              <w:rPr>
                <w:rFonts w:ascii="Calibri" w:eastAsia="Times New Roman" w:hAnsi="Calibri" w:cs="Calibri"/>
                <w:sz w:val="22"/>
              </w:rPr>
            </w:pPr>
            <w:r w:rsidRPr="00AC6C45">
              <w:rPr>
                <w:rFonts w:ascii="Calibri" w:eastAsia="Times New Roman" w:hAnsi="Calibri" w:cs="Calibri"/>
                <w:sz w:val="22"/>
              </w:rPr>
              <w:t xml:space="preserve">Potential GDP growth (%) </w:t>
            </w:r>
          </w:p>
        </w:tc>
        <w:tc>
          <w:tcPr>
            <w:tcW w:w="1559" w:type="dxa"/>
            <w:gridSpan w:val="2"/>
            <w:tcBorders>
              <w:top w:val="nil"/>
              <w:left w:val="nil"/>
              <w:bottom w:val="single" w:sz="18" w:space="0" w:color="4F81BD" w:themeColor="accent1"/>
              <w:right w:val="nil"/>
            </w:tcBorders>
            <w:shd w:val="clear" w:color="000000" w:fill="D9D9D9"/>
            <w:vAlign w:val="center"/>
            <w:hideMark/>
          </w:tcPr>
          <w:p w14:paraId="199CA316" w14:textId="77777777" w:rsidR="00AC6C45" w:rsidRPr="00AC6C45" w:rsidRDefault="00AC6C45" w:rsidP="00AC6C45">
            <w:pPr>
              <w:spacing w:after="0" w:line="240" w:lineRule="auto"/>
              <w:jc w:val="center"/>
              <w:rPr>
                <w:rFonts w:ascii="Calibri" w:eastAsia="Times New Roman" w:hAnsi="Calibri" w:cs="Calibri"/>
                <w:sz w:val="22"/>
              </w:rPr>
            </w:pPr>
            <w:r w:rsidRPr="00AC6C45">
              <w:rPr>
                <w:rFonts w:ascii="Calibri" w:eastAsia="Times New Roman" w:hAnsi="Calibri" w:cs="Calibri"/>
                <w:sz w:val="22"/>
              </w:rPr>
              <w:t>1.0</w:t>
            </w:r>
          </w:p>
        </w:tc>
        <w:tc>
          <w:tcPr>
            <w:tcW w:w="2797" w:type="dxa"/>
            <w:gridSpan w:val="4"/>
            <w:tcBorders>
              <w:top w:val="nil"/>
              <w:left w:val="nil"/>
              <w:bottom w:val="single" w:sz="18" w:space="0" w:color="4F81BD" w:themeColor="accent1"/>
              <w:right w:val="nil"/>
            </w:tcBorders>
            <w:shd w:val="clear" w:color="000000" w:fill="D9D9D9"/>
            <w:vAlign w:val="center"/>
            <w:hideMark/>
          </w:tcPr>
          <w:p w14:paraId="292944DB" w14:textId="77777777" w:rsidR="00AC6C45" w:rsidRPr="00AC6C45" w:rsidRDefault="00AC6C45" w:rsidP="00AC6C45">
            <w:pPr>
              <w:spacing w:after="0" w:line="240" w:lineRule="auto"/>
              <w:jc w:val="center"/>
              <w:rPr>
                <w:rFonts w:ascii="Calibri" w:eastAsia="Times New Roman" w:hAnsi="Calibri" w:cs="Calibri"/>
                <w:sz w:val="22"/>
              </w:rPr>
            </w:pPr>
            <w:r w:rsidRPr="00AC6C45">
              <w:rPr>
                <w:rFonts w:ascii="Calibri" w:eastAsia="Times New Roman" w:hAnsi="Calibri" w:cs="Calibri"/>
                <w:sz w:val="22"/>
              </w:rPr>
              <w:t>2025-2038 average </w:t>
            </w:r>
          </w:p>
        </w:tc>
      </w:tr>
    </w:tbl>
    <w:p w14:paraId="44BE541A" w14:textId="0DFFCC9B" w:rsidR="00801763" w:rsidRPr="000424BD" w:rsidRDefault="00801763" w:rsidP="000424BD">
      <w:pPr>
        <w:pStyle w:val="Heading2"/>
        <w:numPr>
          <w:ilvl w:val="1"/>
          <w:numId w:val="2"/>
        </w:numPr>
        <w:ind w:left="709" w:hanging="709"/>
        <w:rPr>
          <w:lang w:val="en-US"/>
        </w:rPr>
      </w:pPr>
      <w:bookmarkStart w:id="44" w:name="_Toc178070098"/>
      <w:r w:rsidRPr="000424BD">
        <w:rPr>
          <w:lang w:val="en-US"/>
        </w:rPr>
        <w:t>Updated fiscal data for 2024</w:t>
      </w:r>
      <w:r w:rsidR="00C940E3" w:rsidRPr="00920844">
        <w:rPr>
          <w:lang w:val="en-US"/>
        </w:rPr>
        <w:t xml:space="preserve"> </w:t>
      </w:r>
      <w:r w:rsidRPr="000424BD">
        <w:rPr>
          <w:lang w:val="en-US"/>
        </w:rPr>
        <w:t xml:space="preserve">that affect the average </w:t>
      </w:r>
      <w:r w:rsidR="00C940E3">
        <w:rPr>
          <w:lang w:val="en-US"/>
        </w:rPr>
        <w:br/>
      </w:r>
      <w:r w:rsidRPr="000424BD">
        <w:rPr>
          <w:lang w:val="en-US"/>
        </w:rPr>
        <w:t>net expenditure growth</w:t>
      </w:r>
      <w:bookmarkEnd w:id="44"/>
      <w:r w:rsidRPr="000424BD">
        <w:rPr>
          <w:lang w:val="en-US"/>
        </w:rPr>
        <w:t xml:space="preserve"> </w:t>
      </w:r>
    </w:p>
    <w:p w14:paraId="54AD32E0" w14:textId="4E2B1230" w:rsidR="00801763" w:rsidRPr="00BD442D" w:rsidRDefault="00801763" w:rsidP="00801763">
      <w:pPr>
        <w:rPr>
          <w:rFonts w:eastAsiaTheme="minorHAnsi"/>
          <w:lang w:val="en-US"/>
        </w:rPr>
      </w:pPr>
      <w:r w:rsidRPr="00BD442D">
        <w:rPr>
          <w:lang w:val="en-US"/>
        </w:rPr>
        <w:t xml:space="preserve">Both in the Stability Programme (SP) submitted in April 2024 as well as in the Budget 2024, the estimated primary budget balance for 2024 was estimated </w:t>
      </w:r>
      <w:r w:rsidR="00D57524">
        <w:rPr>
          <w:lang w:val="en-US"/>
        </w:rPr>
        <w:t>at</w:t>
      </w:r>
      <w:r w:rsidRPr="00BD442D">
        <w:rPr>
          <w:lang w:val="en-US"/>
        </w:rPr>
        <w:t xml:space="preserve"> 2.1% of GDP, whereas the EC in the Spring forecasts 2024 projected a primary balance of 2.3% of GDP.</w:t>
      </w:r>
    </w:p>
    <w:p w14:paraId="13859584" w14:textId="77777777" w:rsidR="00801763" w:rsidRPr="00BD442D" w:rsidRDefault="00801763" w:rsidP="00801763">
      <w:pPr>
        <w:rPr>
          <w:lang w:val="en-US"/>
        </w:rPr>
      </w:pPr>
      <w:r w:rsidRPr="00BD442D">
        <w:rPr>
          <w:lang w:val="en-US"/>
        </w:rPr>
        <w:t>Updated fiscal data up to August 2024, including also the yearly submitted income tax statements, indicate a significant overperfo</w:t>
      </w:r>
      <w:r w:rsidR="00D57524">
        <w:rPr>
          <w:lang w:val="en-US"/>
        </w:rPr>
        <w:t>r</w:t>
      </w:r>
      <w:r w:rsidRPr="00BD442D">
        <w:rPr>
          <w:lang w:val="en-US"/>
        </w:rPr>
        <w:t xml:space="preserve">mance of revenues compared to the previous projections, resulting to an estimated primary budget balance for 2024 equal to 2.4% of GDP, </w:t>
      </w:r>
      <w:r w:rsidR="00643501">
        <w:rPr>
          <w:lang w:val="en-US"/>
        </w:rPr>
        <w:t xml:space="preserve">that will be </w:t>
      </w:r>
      <w:r w:rsidRPr="00BD442D">
        <w:rPr>
          <w:lang w:val="en-US"/>
        </w:rPr>
        <w:t xml:space="preserve">depicted also in the Draft Budgetary Plan (DBP) </w:t>
      </w:r>
      <w:r w:rsidR="00643501">
        <w:rPr>
          <w:lang w:val="en-US"/>
        </w:rPr>
        <w:t xml:space="preserve">to be </w:t>
      </w:r>
      <w:r w:rsidRPr="00BD442D">
        <w:rPr>
          <w:lang w:val="en-US"/>
        </w:rPr>
        <w:t>submitted in October 2024.</w:t>
      </w:r>
    </w:p>
    <w:p w14:paraId="06C5B024" w14:textId="45905436" w:rsidR="00801763" w:rsidRPr="00BD442D" w:rsidRDefault="00801763" w:rsidP="00801763">
      <w:pPr>
        <w:rPr>
          <w:lang w:val="en-US"/>
        </w:rPr>
      </w:pPr>
      <w:r w:rsidRPr="00BD442D">
        <w:rPr>
          <w:lang w:val="en-US"/>
        </w:rPr>
        <w:t xml:space="preserve">Compared to the Stability Programme of April 2024, the overperformance of tax revenues for 2024 is estimated </w:t>
      </w:r>
      <w:r w:rsidR="00D57524">
        <w:rPr>
          <w:lang w:val="en-US"/>
        </w:rPr>
        <w:t>at</w:t>
      </w:r>
      <w:r w:rsidRPr="00BD442D">
        <w:rPr>
          <w:lang w:val="en-US"/>
        </w:rPr>
        <w:t xml:space="preserve"> about </w:t>
      </w:r>
      <w:r w:rsidR="00531922">
        <w:rPr>
          <w:lang w:val="en-US"/>
        </w:rPr>
        <w:t>€</w:t>
      </w:r>
      <w:r w:rsidRPr="00BD442D">
        <w:rPr>
          <w:lang w:val="en-US"/>
        </w:rPr>
        <w:t>2 billion stemming mainly from the following categories:</w:t>
      </w:r>
    </w:p>
    <w:p w14:paraId="6902F79E" w14:textId="5EFACC37" w:rsidR="00801763" w:rsidRDefault="00801763" w:rsidP="00801763">
      <w:pPr>
        <w:pStyle w:val="ListParagraph"/>
        <w:numPr>
          <w:ilvl w:val="0"/>
          <w:numId w:val="3"/>
        </w:numPr>
        <w:spacing w:after="200" w:line="276" w:lineRule="auto"/>
        <w:rPr>
          <w:lang w:val="en-US"/>
        </w:rPr>
      </w:pPr>
      <w:r>
        <w:rPr>
          <w:lang w:val="en-US"/>
        </w:rPr>
        <w:t xml:space="preserve">Corporate Income tax: Increased revenues by </w:t>
      </w:r>
      <w:r w:rsidR="00531922">
        <w:rPr>
          <w:lang w:val="en-US"/>
        </w:rPr>
        <w:t>€</w:t>
      </w:r>
      <w:r>
        <w:rPr>
          <w:lang w:val="en-US"/>
        </w:rPr>
        <w:t>857 million compared to the SP</w:t>
      </w:r>
      <w:r w:rsidR="00854ADF">
        <w:rPr>
          <w:lang w:val="en-US"/>
        </w:rPr>
        <w:t>, including also a solidarity contribution in the fossil fuel sector</w:t>
      </w:r>
      <w:r>
        <w:rPr>
          <w:lang w:val="en-US"/>
        </w:rPr>
        <w:t>;</w:t>
      </w:r>
    </w:p>
    <w:p w14:paraId="31E25E7D" w14:textId="7FA8D209" w:rsidR="00801763" w:rsidRDefault="00801763" w:rsidP="00801763">
      <w:pPr>
        <w:pStyle w:val="ListParagraph"/>
        <w:numPr>
          <w:ilvl w:val="0"/>
          <w:numId w:val="3"/>
        </w:numPr>
        <w:spacing w:after="200" w:line="276" w:lineRule="auto"/>
        <w:rPr>
          <w:lang w:val="en-US"/>
        </w:rPr>
      </w:pPr>
      <w:r>
        <w:rPr>
          <w:lang w:val="en-US"/>
        </w:rPr>
        <w:t xml:space="preserve">VAT: Increased revenues by </w:t>
      </w:r>
      <w:r w:rsidR="00531922">
        <w:rPr>
          <w:lang w:val="en-US"/>
        </w:rPr>
        <w:t>€</w:t>
      </w:r>
      <w:r>
        <w:rPr>
          <w:lang w:val="en-US"/>
        </w:rPr>
        <w:t>687 million compared to the SP;</w:t>
      </w:r>
    </w:p>
    <w:p w14:paraId="544F9F13" w14:textId="1C72D2AC" w:rsidR="00801763" w:rsidRDefault="00801763" w:rsidP="00801763">
      <w:pPr>
        <w:pStyle w:val="ListParagraph"/>
        <w:numPr>
          <w:ilvl w:val="0"/>
          <w:numId w:val="3"/>
        </w:numPr>
        <w:spacing w:after="200" w:line="276" w:lineRule="auto"/>
        <w:rPr>
          <w:lang w:val="en-US"/>
        </w:rPr>
      </w:pPr>
      <w:r>
        <w:rPr>
          <w:lang w:val="en-US"/>
        </w:rPr>
        <w:t xml:space="preserve">Personal Income tax: Increased revenues by </w:t>
      </w:r>
      <w:r w:rsidR="00531922">
        <w:rPr>
          <w:lang w:val="en-US"/>
        </w:rPr>
        <w:t>€</w:t>
      </w:r>
      <w:r>
        <w:rPr>
          <w:lang w:val="en-US"/>
        </w:rPr>
        <w:t>399 million compared to the SP.</w:t>
      </w:r>
    </w:p>
    <w:p w14:paraId="0D96888D" w14:textId="5E95F36C" w:rsidR="00801763" w:rsidRDefault="00801763" w:rsidP="00801763">
      <w:pPr>
        <w:rPr>
          <w:lang w:val="en-US"/>
        </w:rPr>
      </w:pPr>
      <w:r w:rsidRPr="00BD442D">
        <w:rPr>
          <w:lang w:val="en-US"/>
        </w:rPr>
        <w:t xml:space="preserve">The overall primary budget result is improved by </w:t>
      </w:r>
      <w:r w:rsidR="00531922">
        <w:rPr>
          <w:lang w:val="en-US"/>
        </w:rPr>
        <w:t>€</w:t>
      </w:r>
      <w:r w:rsidRPr="00BD442D">
        <w:rPr>
          <w:lang w:val="en-US"/>
        </w:rPr>
        <w:t xml:space="preserve">0.9 billion (from </w:t>
      </w:r>
      <w:r w:rsidR="00531922">
        <w:rPr>
          <w:lang w:val="en-US"/>
        </w:rPr>
        <w:t>€</w:t>
      </w:r>
      <w:r w:rsidRPr="00BD442D">
        <w:rPr>
          <w:lang w:val="en-US"/>
        </w:rPr>
        <w:t xml:space="preserve">4.78 billion to </w:t>
      </w:r>
      <w:r w:rsidR="00531922">
        <w:rPr>
          <w:lang w:val="en-US"/>
        </w:rPr>
        <w:t>€</w:t>
      </w:r>
      <w:r w:rsidRPr="00BD442D">
        <w:rPr>
          <w:lang w:val="en-US"/>
        </w:rPr>
        <w:t>5.68 billion), taking into account increased expenses mainly related to the Public Investment Budget and the expenses related to the flood (Daniel storm) hitting Thessaly Prefecture in September 2023.</w:t>
      </w:r>
    </w:p>
    <w:p w14:paraId="63014B3C" w14:textId="77777777" w:rsidR="00801763" w:rsidRPr="00BD442D" w:rsidRDefault="00801763" w:rsidP="00801763">
      <w:pPr>
        <w:rPr>
          <w:lang w:val="en-US"/>
        </w:rPr>
      </w:pPr>
      <w:r w:rsidRPr="00BD442D">
        <w:rPr>
          <w:lang w:val="en-US"/>
        </w:rPr>
        <w:t>In this respect the one-off expenditure including only compensations (i.e. without infrastructure related costs) to civilians, farmers and enterprises is estimated equal to 0.2% of GDP for 2024 versus 0.1% of GDP estimated in the RT.</w:t>
      </w:r>
    </w:p>
    <w:p w14:paraId="43B0179C" w14:textId="77777777" w:rsidR="00801763" w:rsidRPr="00BD442D" w:rsidRDefault="00801763" w:rsidP="00801763">
      <w:pPr>
        <w:rPr>
          <w:lang w:val="en-US"/>
        </w:rPr>
      </w:pPr>
      <w:r w:rsidRPr="00BD442D">
        <w:rPr>
          <w:lang w:val="en-US"/>
        </w:rPr>
        <w:t xml:space="preserve">Taking into account the above budgetary updates, the structural primary balance for 2024 is improved </w:t>
      </w:r>
      <w:r w:rsidRPr="00076A5C">
        <w:rPr>
          <w:lang w:val="en-US"/>
        </w:rPr>
        <w:t>from 1.73%</w:t>
      </w:r>
      <w:r w:rsidR="00076A5C" w:rsidRPr="00076A5C">
        <w:rPr>
          <w:lang w:val="en-US"/>
        </w:rPr>
        <w:t xml:space="preserve">, according to the </w:t>
      </w:r>
      <w:r w:rsidR="00076A5C">
        <w:rPr>
          <w:lang w:val="en-US"/>
        </w:rPr>
        <w:t>r</w:t>
      </w:r>
      <w:r w:rsidR="00076A5C" w:rsidRPr="00076A5C">
        <w:rPr>
          <w:lang w:val="en-US"/>
        </w:rPr>
        <w:t>eference trajectory,</w:t>
      </w:r>
      <w:r w:rsidRPr="00BD442D">
        <w:rPr>
          <w:lang w:val="en-US"/>
        </w:rPr>
        <w:t xml:space="preserve"> to 1.94% of GDP and the headline </w:t>
      </w:r>
      <w:r w:rsidRPr="00BD442D">
        <w:rPr>
          <w:lang w:val="en-US"/>
        </w:rPr>
        <w:lastRenderedPageBreak/>
        <w:t>structure balance is expected to lie up to -1.48%, therefore without surpassing the deficit resilience safeguard threshold.</w:t>
      </w:r>
    </w:p>
    <w:p w14:paraId="55869B34" w14:textId="323A0EE3" w:rsidR="00801763" w:rsidRPr="00BD442D" w:rsidRDefault="00801763" w:rsidP="00801763">
      <w:pPr>
        <w:rPr>
          <w:lang w:val="en-US"/>
        </w:rPr>
      </w:pPr>
      <w:r w:rsidRPr="00BD442D">
        <w:rPr>
          <w:lang w:val="en-US"/>
        </w:rPr>
        <w:t>On basis of this fiscal update, the main variables related to the Reference Trajectory are prese</w:t>
      </w:r>
      <w:r w:rsidRPr="00AE61BB">
        <w:rPr>
          <w:color w:val="000000" w:themeColor="text1"/>
          <w:lang w:val="en-US"/>
        </w:rPr>
        <w:t>nted</w:t>
      </w:r>
      <w:r w:rsidRPr="00C9460D">
        <w:rPr>
          <w:color w:val="000000" w:themeColor="text1"/>
          <w:lang w:val="en-US"/>
        </w:rPr>
        <w:t xml:space="preserve"> in</w:t>
      </w:r>
      <w:r w:rsidR="00C9460D" w:rsidRPr="00C9460D">
        <w:rPr>
          <w:color w:val="000000" w:themeColor="text1"/>
          <w:lang w:val="en-US"/>
        </w:rPr>
        <w:t xml:space="preserve"> </w:t>
      </w:r>
      <w:r w:rsidR="00A54B46" w:rsidRPr="00C9460D">
        <w:rPr>
          <w:color w:val="000000" w:themeColor="text1"/>
          <w:lang w:val="en-US"/>
        </w:rPr>
        <w:fldChar w:fldCharType="begin"/>
      </w:r>
      <w:r w:rsidR="00C9460D" w:rsidRPr="00C9460D">
        <w:rPr>
          <w:color w:val="000000" w:themeColor="text1"/>
          <w:lang w:val="en-US"/>
        </w:rPr>
        <w:instrText xml:space="preserve"> REF _Ref177397232 \h </w:instrText>
      </w:r>
      <w:r w:rsidR="00A54B46" w:rsidRPr="00C9460D">
        <w:rPr>
          <w:color w:val="000000" w:themeColor="text1"/>
          <w:lang w:val="en-US"/>
        </w:rPr>
      </w:r>
      <w:r w:rsidR="00A54B46" w:rsidRPr="00C9460D">
        <w:rPr>
          <w:color w:val="000000" w:themeColor="text1"/>
          <w:lang w:val="en-US"/>
        </w:rPr>
        <w:fldChar w:fldCharType="separate"/>
      </w:r>
      <w:r w:rsidR="00824AAF" w:rsidRPr="00920844">
        <w:rPr>
          <w:lang w:val="en-US"/>
        </w:rPr>
        <w:t xml:space="preserve">Table </w:t>
      </w:r>
      <w:r w:rsidR="00824AAF" w:rsidRPr="00920844">
        <w:rPr>
          <w:noProof/>
          <w:lang w:val="en-US"/>
        </w:rPr>
        <w:t>16</w:t>
      </w:r>
      <w:r w:rsidR="00A54B46" w:rsidRPr="00C9460D">
        <w:rPr>
          <w:color w:val="000000" w:themeColor="text1"/>
          <w:lang w:val="en-US"/>
        </w:rPr>
        <w:fldChar w:fldCharType="end"/>
      </w:r>
      <w:r w:rsidRPr="00BD442D">
        <w:rPr>
          <w:lang w:val="en-US"/>
        </w:rPr>
        <w:t>. Because of the improved budgetary result of 2024 and without any other changes in the RT assumptions, the required annual change in the structural primary balance reduces to 0.1 pp. of GDP for the period 2025-2028 and the average net expenditure growth increases from 3.1% to 3.3%, which is consistent to the commitment set in the MTP.</w:t>
      </w:r>
    </w:p>
    <w:p w14:paraId="27FD0A6F" w14:textId="5592842D" w:rsidR="00D73CBA" w:rsidRPr="003C6D7E" w:rsidRDefault="00D73CBA" w:rsidP="003C6D7E">
      <w:pPr>
        <w:pStyle w:val="Table"/>
      </w:pPr>
      <w:bookmarkStart w:id="45" w:name="_Ref177397232"/>
      <w:bookmarkStart w:id="46" w:name="_Toc177747046"/>
      <w:r w:rsidRPr="003C6D7E">
        <w:t xml:space="preserve">Table </w:t>
      </w:r>
      <w:r w:rsidR="00337799" w:rsidRPr="003C6D7E">
        <w:fldChar w:fldCharType="begin"/>
      </w:r>
      <w:r w:rsidR="00337799" w:rsidRPr="003C6D7E">
        <w:instrText xml:space="preserve"> SEQ Table \* ARABIC </w:instrText>
      </w:r>
      <w:r w:rsidR="00337799" w:rsidRPr="003C6D7E">
        <w:fldChar w:fldCharType="separate"/>
      </w:r>
      <w:r w:rsidR="00824AAF">
        <w:rPr>
          <w:noProof/>
        </w:rPr>
        <w:t>16</w:t>
      </w:r>
      <w:r w:rsidR="00337799" w:rsidRPr="003C6D7E">
        <w:fldChar w:fldCharType="end"/>
      </w:r>
      <w:bookmarkEnd w:id="45"/>
      <w:r w:rsidRPr="003C6D7E">
        <w:t xml:space="preserve"> </w:t>
      </w:r>
      <w:r w:rsidR="003C6D7E">
        <w:t xml:space="preserve">| </w:t>
      </w:r>
      <w:r w:rsidRPr="003C6D7E">
        <w:t>Main variables related to the trajectory after updating only budget data of 2024</w:t>
      </w:r>
      <w:bookmarkEnd w:id="46"/>
    </w:p>
    <w:tbl>
      <w:tblPr>
        <w:tblW w:w="8992" w:type="dxa"/>
        <w:tblLook w:val="04A0" w:firstRow="1" w:lastRow="0" w:firstColumn="1" w:lastColumn="0" w:noHBand="0" w:noVBand="1"/>
      </w:tblPr>
      <w:tblGrid>
        <w:gridCol w:w="4111"/>
        <w:gridCol w:w="1029"/>
        <w:gridCol w:w="661"/>
        <w:gridCol w:w="1108"/>
        <w:gridCol w:w="741"/>
        <w:gridCol w:w="676"/>
        <w:gridCol w:w="666"/>
      </w:tblGrid>
      <w:tr w:rsidR="00D73CBA" w:rsidRPr="00D73CBA" w14:paraId="31F8F8C7" w14:textId="77777777" w:rsidTr="00D73CBA">
        <w:trPr>
          <w:trHeight w:val="300"/>
        </w:trPr>
        <w:tc>
          <w:tcPr>
            <w:tcW w:w="4111" w:type="dxa"/>
            <w:tcBorders>
              <w:top w:val="nil"/>
              <w:left w:val="nil"/>
              <w:bottom w:val="single" w:sz="4" w:space="0" w:color="FFFFFF"/>
              <w:right w:val="nil"/>
            </w:tcBorders>
            <w:shd w:val="clear" w:color="000000" w:fill="BFBFBF"/>
            <w:vAlign w:val="center"/>
            <w:hideMark/>
          </w:tcPr>
          <w:p w14:paraId="3186176C" w14:textId="77777777" w:rsidR="00D73CBA" w:rsidRPr="00D73CBA" w:rsidRDefault="00D73CBA" w:rsidP="00D73CBA">
            <w:pPr>
              <w:spacing w:after="0" w:line="240" w:lineRule="auto"/>
              <w:jc w:val="left"/>
              <w:rPr>
                <w:rFonts w:ascii="Arial" w:eastAsia="Times New Roman" w:hAnsi="Arial" w:cs="Arial"/>
                <w:b/>
                <w:bCs/>
                <w:color w:val="000000"/>
                <w:sz w:val="20"/>
                <w:szCs w:val="20"/>
                <w:lang w:val="en-US"/>
              </w:rPr>
            </w:pPr>
            <w:r w:rsidRPr="00D73CBA">
              <w:rPr>
                <w:rFonts w:ascii="Arial" w:eastAsia="Times New Roman" w:hAnsi="Arial" w:cs="Arial"/>
                <w:b/>
                <w:bCs/>
                <w:color w:val="000000"/>
                <w:sz w:val="20"/>
                <w:szCs w:val="20"/>
                <w:lang w:val="en-US"/>
              </w:rPr>
              <w:t>Main variables related to the trajectory</w:t>
            </w:r>
          </w:p>
        </w:tc>
        <w:tc>
          <w:tcPr>
            <w:tcW w:w="1029" w:type="dxa"/>
            <w:tcBorders>
              <w:top w:val="nil"/>
              <w:left w:val="nil"/>
              <w:bottom w:val="single" w:sz="4" w:space="0" w:color="FFFFFF"/>
              <w:right w:val="nil"/>
            </w:tcBorders>
            <w:shd w:val="clear" w:color="000000" w:fill="BFBFBF"/>
            <w:vAlign w:val="center"/>
            <w:hideMark/>
          </w:tcPr>
          <w:p w14:paraId="003D4E93"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2023</w:t>
            </w:r>
          </w:p>
        </w:tc>
        <w:tc>
          <w:tcPr>
            <w:tcW w:w="661" w:type="dxa"/>
            <w:tcBorders>
              <w:top w:val="nil"/>
              <w:left w:val="nil"/>
              <w:bottom w:val="single" w:sz="4" w:space="0" w:color="FFFFFF"/>
              <w:right w:val="nil"/>
            </w:tcBorders>
            <w:shd w:val="clear" w:color="000000" w:fill="BFBFBF"/>
            <w:vAlign w:val="center"/>
            <w:hideMark/>
          </w:tcPr>
          <w:p w14:paraId="4AFC03B1"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2024</w:t>
            </w:r>
          </w:p>
        </w:tc>
        <w:tc>
          <w:tcPr>
            <w:tcW w:w="1108" w:type="dxa"/>
            <w:tcBorders>
              <w:top w:val="nil"/>
              <w:left w:val="nil"/>
              <w:bottom w:val="single" w:sz="4" w:space="0" w:color="FFFFFF"/>
              <w:right w:val="nil"/>
            </w:tcBorders>
            <w:shd w:val="clear" w:color="000000" w:fill="BFBFBF"/>
            <w:vAlign w:val="center"/>
            <w:hideMark/>
          </w:tcPr>
          <w:p w14:paraId="4126702C"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2025</w:t>
            </w:r>
          </w:p>
        </w:tc>
        <w:tc>
          <w:tcPr>
            <w:tcW w:w="741" w:type="dxa"/>
            <w:tcBorders>
              <w:top w:val="nil"/>
              <w:left w:val="nil"/>
              <w:bottom w:val="single" w:sz="4" w:space="0" w:color="FFFFFF"/>
              <w:right w:val="nil"/>
            </w:tcBorders>
            <w:shd w:val="clear" w:color="000000" w:fill="BFBFBF"/>
            <w:vAlign w:val="center"/>
            <w:hideMark/>
          </w:tcPr>
          <w:p w14:paraId="7AAA2C29"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2026</w:t>
            </w:r>
          </w:p>
        </w:tc>
        <w:tc>
          <w:tcPr>
            <w:tcW w:w="676" w:type="dxa"/>
            <w:tcBorders>
              <w:top w:val="nil"/>
              <w:left w:val="nil"/>
              <w:bottom w:val="single" w:sz="4" w:space="0" w:color="FFFFFF"/>
              <w:right w:val="nil"/>
            </w:tcBorders>
            <w:shd w:val="clear" w:color="000000" w:fill="BFBFBF"/>
            <w:vAlign w:val="center"/>
            <w:hideMark/>
          </w:tcPr>
          <w:p w14:paraId="6D6D1B7A"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2027</w:t>
            </w:r>
          </w:p>
        </w:tc>
        <w:tc>
          <w:tcPr>
            <w:tcW w:w="666" w:type="dxa"/>
            <w:tcBorders>
              <w:top w:val="nil"/>
              <w:left w:val="nil"/>
              <w:bottom w:val="single" w:sz="4" w:space="0" w:color="FFFFFF"/>
              <w:right w:val="nil"/>
            </w:tcBorders>
            <w:shd w:val="clear" w:color="000000" w:fill="BFBFBF"/>
            <w:vAlign w:val="center"/>
            <w:hideMark/>
          </w:tcPr>
          <w:p w14:paraId="0DC3F775"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2028</w:t>
            </w:r>
          </w:p>
        </w:tc>
      </w:tr>
      <w:tr w:rsidR="00D73CBA" w:rsidRPr="00D73CBA" w14:paraId="7A46BBA1" w14:textId="77777777" w:rsidTr="00D73CBA">
        <w:trPr>
          <w:trHeight w:val="300"/>
        </w:trPr>
        <w:tc>
          <w:tcPr>
            <w:tcW w:w="4111" w:type="dxa"/>
            <w:tcBorders>
              <w:top w:val="nil"/>
              <w:left w:val="nil"/>
              <w:bottom w:val="single" w:sz="4" w:space="0" w:color="FFFFFF"/>
              <w:right w:val="nil"/>
            </w:tcBorders>
            <w:shd w:val="clear" w:color="000000" w:fill="F2F2F2"/>
            <w:vAlign w:val="center"/>
            <w:hideMark/>
          </w:tcPr>
          <w:p w14:paraId="376CC9C1" w14:textId="77777777" w:rsidR="00D73CBA" w:rsidRPr="00D73CBA" w:rsidRDefault="00D73CBA" w:rsidP="00D73CBA">
            <w:pPr>
              <w:spacing w:after="0" w:line="240" w:lineRule="auto"/>
              <w:jc w:val="left"/>
              <w:rPr>
                <w:rFonts w:ascii="Calibri" w:eastAsia="Times New Roman" w:hAnsi="Calibri" w:cs="Calibri"/>
                <w:sz w:val="22"/>
              </w:rPr>
            </w:pPr>
            <w:r w:rsidRPr="00D73CBA">
              <w:rPr>
                <w:rFonts w:ascii="Calibri" w:eastAsia="Times New Roman" w:hAnsi="Calibri" w:cs="Calibri"/>
                <w:sz w:val="22"/>
              </w:rPr>
              <w:t>Potential GDP growth (%)</w:t>
            </w:r>
          </w:p>
        </w:tc>
        <w:tc>
          <w:tcPr>
            <w:tcW w:w="1029" w:type="dxa"/>
            <w:tcBorders>
              <w:top w:val="nil"/>
              <w:left w:val="nil"/>
              <w:bottom w:val="single" w:sz="4" w:space="0" w:color="FFFFFF"/>
              <w:right w:val="nil"/>
            </w:tcBorders>
            <w:shd w:val="clear" w:color="000000" w:fill="F2F2F2"/>
            <w:vAlign w:val="center"/>
            <w:hideMark/>
          </w:tcPr>
          <w:p w14:paraId="6384B452"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0.6</w:t>
            </w:r>
          </w:p>
        </w:tc>
        <w:tc>
          <w:tcPr>
            <w:tcW w:w="661" w:type="dxa"/>
            <w:tcBorders>
              <w:top w:val="nil"/>
              <w:left w:val="nil"/>
              <w:bottom w:val="single" w:sz="4" w:space="0" w:color="FFFFFF"/>
              <w:right w:val="nil"/>
            </w:tcBorders>
            <w:shd w:val="clear" w:color="000000" w:fill="F2F2F2"/>
            <w:vAlign w:val="center"/>
            <w:hideMark/>
          </w:tcPr>
          <w:p w14:paraId="7506AB5E"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1.2</w:t>
            </w:r>
          </w:p>
        </w:tc>
        <w:tc>
          <w:tcPr>
            <w:tcW w:w="1108" w:type="dxa"/>
            <w:tcBorders>
              <w:top w:val="nil"/>
              <w:left w:val="nil"/>
              <w:bottom w:val="single" w:sz="4" w:space="0" w:color="FFFFFF"/>
              <w:right w:val="nil"/>
            </w:tcBorders>
            <w:shd w:val="clear" w:color="000000" w:fill="F2F2F2"/>
            <w:vAlign w:val="center"/>
            <w:hideMark/>
          </w:tcPr>
          <w:p w14:paraId="1BE91F79"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1.6</w:t>
            </w:r>
          </w:p>
        </w:tc>
        <w:tc>
          <w:tcPr>
            <w:tcW w:w="741" w:type="dxa"/>
            <w:tcBorders>
              <w:top w:val="nil"/>
              <w:left w:val="nil"/>
              <w:bottom w:val="single" w:sz="4" w:space="0" w:color="FFFFFF"/>
              <w:right w:val="nil"/>
            </w:tcBorders>
            <w:shd w:val="clear" w:color="000000" w:fill="F2F2F2"/>
            <w:vAlign w:val="center"/>
            <w:hideMark/>
          </w:tcPr>
          <w:p w14:paraId="59693534"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1.3</w:t>
            </w:r>
          </w:p>
        </w:tc>
        <w:tc>
          <w:tcPr>
            <w:tcW w:w="676" w:type="dxa"/>
            <w:tcBorders>
              <w:top w:val="nil"/>
              <w:left w:val="nil"/>
              <w:bottom w:val="single" w:sz="4" w:space="0" w:color="FFFFFF"/>
              <w:right w:val="nil"/>
            </w:tcBorders>
            <w:shd w:val="clear" w:color="000000" w:fill="F2F2F2"/>
            <w:vAlign w:val="center"/>
            <w:hideMark/>
          </w:tcPr>
          <w:p w14:paraId="342AFA56"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1.1</w:t>
            </w:r>
          </w:p>
        </w:tc>
        <w:tc>
          <w:tcPr>
            <w:tcW w:w="666" w:type="dxa"/>
            <w:tcBorders>
              <w:top w:val="nil"/>
              <w:left w:val="nil"/>
              <w:bottom w:val="single" w:sz="4" w:space="0" w:color="FFFFFF"/>
              <w:right w:val="nil"/>
            </w:tcBorders>
            <w:shd w:val="clear" w:color="000000" w:fill="F2F2F2"/>
            <w:vAlign w:val="center"/>
            <w:hideMark/>
          </w:tcPr>
          <w:p w14:paraId="6FD2850A"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1.0</w:t>
            </w:r>
          </w:p>
        </w:tc>
      </w:tr>
      <w:tr w:rsidR="00D73CBA" w:rsidRPr="00D73CBA" w14:paraId="25916262" w14:textId="77777777" w:rsidTr="00D73CBA">
        <w:trPr>
          <w:trHeight w:val="300"/>
        </w:trPr>
        <w:tc>
          <w:tcPr>
            <w:tcW w:w="4111" w:type="dxa"/>
            <w:tcBorders>
              <w:top w:val="nil"/>
              <w:left w:val="nil"/>
              <w:bottom w:val="single" w:sz="4" w:space="0" w:color="FFFFFF"/>
              <w:right w:val="nil"/>
            </w:tcBorders>
            <w:shd w:val="clear" w:color="000000" w:fill="D9D9D9"/>
            <w:vAlign w:val="center"/>
            <w:hideMark/>
          </w:tcPr>
          <w:p w14:paraId="0698F804" w14:textId="77777777" w:rsidR="00D73CBA" w:rsidRPr="00D73CBA" w:rsidRDefault="00D73CBA" w:rsidP="00D73CBA">
            <w:pPr>
              <w:spacing w:after="0" w:line="240" w:lineRule="auto"/>
              <w:jc w:val="left"/>
              <w:rPr>
                <w:rFonts w:ascii="Calibri" w:eastAsia="Times New Roman" w:hAnsi="Calibri" w:cs="Calibri"/>
                <w:sz w:val="22"/>
                <w:lang w:val="en-US"/>
              </w:rPr>
            </w:pPr>
            <w:r w:rsidRPr="00D73CBA">
              <w:rPr>
                <w:rFonts w:ascii="Calibri" w:eastAsia="Times New Roman" w:hAnsi="Calibri" w:cs="Calibri"/>
                <w:sz w:val="22"/>
                <w:lang w:val="en-US"/>
              </w:rPr>
              <w:t>Real GDP growth (%) (adjustment scenario)</w:t>
            </w:r>
          </w:p>
        </w:tc>
        <w:tc>
          <w:tcPr>
            <w:tcW w:w="1029" w:type="dxa"/>
            <w:tcBorders>
              <w:top w:val="nil"/>
              <w:left w:val="nil"/>
              <w:bottom w:val="single" w:sz="4" w:space="0" w:color="FFFFFF"/>
              <w:right w:val="nil"/>
            </w:tcBorders>
            <w:shd w:val="clear" w:color="000000" w:fill="D9D9D9"/>
            <w:vAlign w:val="center"/>
            <w:hideMark/>
          </w:tcPr>
          <w:p w14:paraId="356F73EA"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2.0</w:t>
            </w:r>
          </w:p>
        </w:tc>
        <w:tc>
          <w:tcPr>
            <w:tcW w:w="661" w:type="dxa"/>
            <w:tcBorders>
              <w:top w:val="nil"/>
              <w:left w:val="nil"/>
              <w:bottom w:val="single" w:sz="4" w:space="0" w:color="FFFFFF"/>
              <w:right w:val="nil"/>
            </w:tcBorders>
            <w:shd w:val="clear" w:color="000000" w:fill="D9D9D9"/>
            <w:vAlign w:val="center"/>
            <w:hideMark/>
          </w:tcPr>
          <w:p w14:paraId="0FBEB645"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2.2</w:t>
            </w:r>
          </w:p>
        </w:tc>
        <w:tc>
          <w:tcPr>
            <w:tcW w:w="1108" w:type="dxa"/>
            <w:tcBorders>
              <w:top w:val="nil"/>
              <w:left w:val="nil"/>
              <w:bottom w:val="single" w:sz="4" w:space="0" w:color="FFFFFF"/>
              <w:right w:val="nil"/>
            </w:tcBorders>
            <w:shd w:val="clear" w:color="000000" w:fill="D9D9D9"/>
            <w:vAlign w:val="center"/>
            <w:hideMark/>
          </w:tcPr>
          <w:p w14:paraId="22633BE0"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2.0</w:t>
            </w:r>
          </w:p>
        </w:tc>
        <w:tc>
          <w:tcPr>
            <w:tcW w:w="741" w:type="dxa"/>
            <w:tcBorders>
              <w:top w:val="nil"/>
              <w:left w:val="nil"/>
              <w:bottom w:val="single" w:sz="4" w:space="0" w:color="FFFFFF"/>
              <w:right w:val="nil"/>
            </w:tcBorders>
            <w:shd w:val="clear" w:color="000000" w:fill="D9D9D9"/>
            <w:vAlign w:val="center"/>
            <w:hideMark/>
          </w:tcPr>
          <w:p w14:paraId="53FCCCCD"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0.7</w:t>
            </w:r>
          </w:p>
        </w:tc>
        <w:tc>
          <w:tcPr>
            <w:tcW w:w="676" w:type="dxa"/>
            <w:tcBorders>
              <w:top w:val="nil"/>
              <w:left w:val="nil"/>
              <w:bottom w:val="single" w:sz="4" w:space="0" w:color="FFFFFF"/>
              <w:right w:val="nil"/>
            </w:tcBorders>
            <w:shd w:val="clear" w:color="000000" w:fill="D9D9D9"/>
            <w:vAlign w:val="center"/>
            <w:hideMark/>
          </w:tcPr>
          <w:p w14:paraId="2449B8CE"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0.7</w:t>
            </w:r>
          </w:p>
        </w:tc>
        <w:tc>
          <w:tcPr>
            <w:tcW w:w="666" w:type="dxa"/>
            <w:tcBorders>
              <w:top w:val="nil"/>
              <w:left w:val="nil"/>
              <w:bottom w:val="single" w:sz="4" w:space="0" w:color="FFFFFF"/>
              <w:right w:val="nil"/>
            </w:tcBorders>
            <w:shd w:val="clear" w:color="000000" w:fill="D9D9D9"/>
            <w:vAlign w:val="center"/>
            <w:hideMark/>
          </w:tcPr>
          <w:p w14:paraId="3B4372A1"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0.8</w:t>
            </w:r>
          </w:p>
        </w:tc>
      </w:tr>
      <w:tr w:rsidR="00D73CBA" w:rsidRPr="00D73CBA" w14:paraId="5F746573" w14:textId="77777777" w:rsidTr="00D73CBA">
        <w:trPr>
          <w:trHeight w:val="300"/>
        </w:trPr>
        <w:tc>
          <w:tcPr>
            <w:tcW w:w="4111" w:type="dxa"/>
            <w:tcBorders>
              <w:top w:val="nil"/>
              <w:left w:val="nil"/>
              <w:bottom w:val="single" w:sz="4" w:space="0" w:color="FFFFFF"/>
              <w:right w:val="nil"/>
            </w:tcBorders>
            <w:shd w:val="clear" w:color="000000" w:fill="F2F2F2"/>
            <w:vAlign w:val="center"/>
            <w:hideMark/>
          </w:tcPr>
          <w:p w14:paraId="5577FF8D" w14:textId="77777777" w:rsidR="00D73CBA" w:rsidRPr="00D73CBA" w:rsidRDefault="00D73CBA" w:rsidP="00D73CBA">
            <w:pPr>
              <w:spacing w:after="0" w:line="240" w:lineRule="auto"/>
              <w:jc w:val="left"/>
              <w:rPr>
                <w:rFonts w:ascii="Calibri" w:eastAsia="Times New Roman" w:hAnsi="Calibri" w:cs="Calibri"/>
                <w:sz w:val="22"/>
              </w:rPr>
            </w:pPr>
            <w:r w:rsidRPr="00D73CBA">
              <w:rPr>
                <w:rFonts w:ascii="Calibri" w:eastAsia="Times New Roman" w:hAnsi="Calibri" w:cs="Calibri"/>
                <w:sz w:val="22"/>
              </w:rPr>
              <w:t>GDP deflator</w:t>
            </w:r>
          </w:p>
        </w:tc>
        <w:tc>
          <w:tcPr>
            <w:tcW w:w="1029" w:type="dxa"/>
            <w:tcBorders>
              <w:top w:val="nil"/>
              <w:left w:val="nil"/>
              <w:bottom w:val="single" w:sz="4" w:space="0" w:color="FFFFFF"/>
              <w:right w:val="nil"/>
            </w:tcBorders>
            <w:shd w:val="clear" w:color="000000" w:fill="F2F2F2"/>
            <w:vAlign w:val="center"/>
            <w:hideMark/>
          </w:tcPr>
          <w:p w14:paraId="779395AB"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4.5</w:t>
            </w:r>
          </w:p>
        </w:tc>
        <w:tc>
          <w:tcPr>
            <w:tcW w:w="661" w:type="dxa"/>
            <w:tcBorders>
              <w:top w:val="nil"/>
              <w:left w:val="nil"/>
              <w:bottom w:val="single" w:sz="4" w:space="0" w:color="FFFFFF"/>
              <w:right w:val="nil"/>
            </w:tcBorders>
            <w:shd w:val="clear" w:color="000000" w:fill="F2F2F2"/>
            <w:vAlign w:val="center"/>
            <w:hideMark/>
          </w:tcPr>
          <w:p w14:paraId="73E1ABF7"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3.0</w:t>
            </w:r>
          </w:p>
        </w:tc>
        <w:tc>
          <w:tcPr>
            <w:tcW w:w="1108" w:type="dxa"/>
            <w:tcBorders>
              <w:top w:val="nil"/>
              <w:left w:val="nil"/>
              <w:bottom w:val="single" w:sz="4" w:space="0" w:color="FFFFFF"/>
              <w:right w:val="nil"/>
            </w:tcBorders>
            <w:shd w:val="clear" w:color="000000" w:fill="F2F2F2"/>
            <w:vAlign w:val="center"/>
            <w:hideMark/>
          </w:tcPr>
          <w:p w14:paraId="338F23D5"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2.2</w:t>
            </w:r>
          </w:p>
        </w:tc>
        <w:tc>
          <w:tcPr>
            <w:tcW w:w="741" w:type="dxa"/>
            <w:tcBorders>
              <w:top w:val="nil"/>
              <w:left w:val="nil"/>
              <w:bottom w:val="single" w:sz="4" w:space="0" w:color="FFFFFF"/>
              <w:right w:val="nil"/>
            </w:tcBorders>
            <w:shd w:val="clear" w:color="000000" w:fill="F2F2F2"/>
            <w:vAlign w:val="center"/>
            <w:hideMark/>
          </w:tcPr>
          <w:p w14:paraId="155E7B06"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2.3</w:t>
            </w:r>
          </w:p>
        </w:tc>
        <w:tc>
          <w:tcPr>
            <w:tcW w:w="676" w:type="dxa"/>
            <w:tcBorders>
              <w:top w:val="nil"/>
              <w:left w:val="nil"/>
              <w:bottom w:val="single" w:sz="4" w:space="0" w:color="FFFFFF"/>
              <w:right w:val="nil"/>
            </w:tcBorders>
            <w:shd w:val="clear" w:color="000000" w:fill="F2F2F2"/>
            <w:vAlign w:val="center"/>
            <w:hideMark/>
          </w:tcPr>
          <w:p w14:paraId="64A24415"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2.3</w:t>
            </w:r>
          </w:p>
        </w:tc>
        <w:tc>
          <w:tcPr>
            <w:tcW w:w="666" w:type="dxa"/>
            <w:tcBorders>
              <w:top w:val="nil"/>
              <w:left w:val="nil"/>
              <w:bottom w:val="single" w:sz="4" w:space="0" w:color="FFFFFF"/>
              <w:right w:val="nil"/>
            </w:tcBorders>
            <w:shd w:val="clear" w:color="000000" w:fill="F2F2F2"/>
            <w:vAlign w:val="center"/>
            <w:hideMark/>
          </w:tcPr>
          <w:p w14:paraId="401ACE98"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2.4</w:t>
            </w:r>
          </w:p>
        </w:tc>
      </w:tr>
      <w:tr w:rsidR="00D73CBA" w:rsidRPr="00D73CBA" w14:paraId="12AE5A72" w14:textId="77777777" w:rsidTr="00D73CBA">
        <w:trPr>
          <w:trHeight w:val="300"/>
        </w:trPr>
        <w:tc>
          <w:tcPr>
            <w:tcW w:w="4111" w:type="dxa"/>
            <w:tcBorders>
              <w:top w:val="nil"/>
              <w:left w:val="nil"/>
              <w:bottom w:val="single" w:sz="4" w:space="0" w:color="FFFFFF"/>
              <w:right w:val="nil"/>
            </w:tcBorders>
            <w:shd w:val="clear" w:color="000000" w:fill="D9D9D9"/>
            <w:vAlign w:val="center"/>
            <w:hideMark/>
          </w:tcPr>
          <w:p w14:paraId="0F64CA84" w14:textId="77777777" w:rsidR="00D73CBA" w:rsidRPr="00D73CBA" w:rsidRDefault="00D73CBA" w:rsidP="00D73CBA">
            <w:pPr>
              <w:spacing w:after="0" w:line="240" w:lineRule="auto"/>
              <w:jc w:val="left"/>
              <w:rPr>
                <w:rFonts w:ascii="Calibri" w:eastAsia="Times New Roman" w:hAnsi="Calibri" w:cs="Calibri"/>
                <w:sz w:val="22"/>
              </w:rPr>
            </w:pPr>
            <w:r w:rsidRPr="00D73CBA">
              <w:rPr>
                <w:rFonts w:ascii="Calibri" w:eastAsia="Times New Roman" w:hAnsi="Calibri" w:cs="Calibri"/>
                <w:sz w:val="22"/>
              </w:rPr>
              <w:t>Output gap (baseline scenario)</w:t>
            </w:r>
          </w:p>
        </w:tc>
        <w:tc>
          <w:tcPr>
            <w:tcW w:w="1029" w:type="dxa"/>
            <w:tcBorders>
              <w:top w:val="nil"/>
              <w:left w:val="nil"/>
              <w:bottom w:val="single" w:sz="4" w:space="0" w:color="FFFFFF"/>
              <w:right w:val="nil"/>
            </w:tcBorders>
            <w:shd w:val="clear" w:color="000000" w:fill="D9D9D9"/>
            <w:vAlign w:val="center"/>
            <w:hideMark/>
          </w:tcPr>
          <w:p w14:paraId="28B9E659"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0.3</w:t>
            </w:r>
          </w:p>
        </w:tc>
        <w:tc>
          <w:tcPr>
            <w:tcW w:w="661" w:type="dxa"/>
            <w:tcBorders>
              <w:top w:val="nil"/>
              <w:left w:val="nil"/>
              <w:bottom w:val="single" w:sz="4" w:space="0" w:color="FFFFFF"/>
              <w:right w:val="nil"/>
            </w:tcBorders>
            <w:shd w:val="clear" w:color="000000" w:fill="D9D9D9"/>
            <w:vAlign w:val="center"/>
            <w:hideMark/>
          </w:tcPr>
          <w:p w14:paraId="7EC6A73D"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1.2</w:t>
            </w:r>
          </w:p>
        </w:tc>
        <w:tc>
          <w:tcPr>
            <w:tcW w:w="1108" w:type="dxa"/>
            <w:tcBorders>
              <w:top w:val="nil"/>
              <w:left w:val="nil"/>
              <w:bottom w:val="single" w:sz="4" w:space="0" w:color="FFFFFF"/>
              <w:right w:val="nil"/>
            </w:tcBorders>
            <w:shd w:val="clear" w:color="000000" w:fill="D9D9D9"/>
            <w:vAlign w:val="center"/>
            <w:hideMark/>
          </w:tcPr>
          <w:p w14:paraId="260AD73B"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1.7</w:t>
            </w:r>
          </w:p>
        </w:tc>
        <w:tc>
          <w:tcPr>
            <w:tcW w:w="741" w:type="dxa"/>
            <w:tcBorders>
              <w:top w:val="nil"/>
              <w:left w:val="nil"/>
              <w:bottom w:val="single" w:sz="4" w:space="0" w:color="FFFFFF"/>
              <w:right w:val="nil"/>
            </w:tcBorders>
            <w:shd w:val="clear" w:color="000000" w:fill="D9D9D9"/>
            <w:vAlign w:val="center"/>
            <w:hideMark/>
          </w:tcPr>
          <w:p w14:paraId="08EFC6E2"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1.1</w:t>
            </w:r>
          </w:p>
        </w:tc>
        <w:tc>
          <w:tcPr>
            <w:tcW w:w="676" w:type="dxa"/>
            <w:tcBorders>
              <w:top w:val="nil"/>
              <w:left w:val="nil"/>
              <w:bottom w:val="single" w:sz="4" w:space="0" w:color="FFFFFF"/>
              <w:right w:val="nil"/>
            </w:tcBorders>
            <w:shd w:val="clear" w:color="000000" w:fill="D9D9D9"/>
            <w:vAlign w:val="center"/>
            <w:hideMark/>
          </w:tcPr>
          <w:p w14:paraId="71AD7469"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0.4</w:t>
            </w:r>
          </w:p>
        </w:tc>
        <w:tc>
          <w:tcPr>
            <w:tcW w:w="666" w:type="dxa"/>
            <w:tcBorders>
              <w:top w:val="nil"/>
              <w:left w:val="nil"/>
              <w:bottom w:val="single" w:sz="4" w:space="0" w:color="FFFFFF"/>
              <w:right w:val="nil"/>
            </w:tcBorders>
            <w:shd w:val="clear" w:color="000000" w:fill="D9D9D9"/>
            <w:vAlign w:val="center"/>
            <w:hideMark/>
          </w:tcPr>
          <w:p w14:paraId="2657D5B5"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0.0</w:t>
            </w:r>
          </w:p>
        </w:tc>
      </w:tr>
      <w:tr w:rsidR="00D73CBA" w:rsidRPr="00D73CBA" w14:paraId="0D81E12A" w14:textId="77777777" w:rsidTr="00D73CBA">
        <w:trPr>
          <w:trHeight w:val="300"/>
        </w:trPr>
        <w:tc>
          <w:tcPr>
            <w:tcW w:w="4111" w:type="dxa"/>
            <w:tcBorders>
              <w:top w:val="nil"/>
              <w:left w:val="nil"/>
              <w:bottom w:val="single" w:sz="4" w:space="0" w:color="FFFFFF"/>
              <w:right w:val="nil"/>
            </w:tcBorders>
            <w:shd w:val="clear" w:color="000000" w:fill="F2F2F2"/>
            <w:vAlign w:val="center"/>
            <w:hideMark/>
          </w:tcPr>
          <w:p w14:paraId="45D08B26" w14:textId="77777777" w:rsidR="00D73CBA" w:rsidRPr="00D73CBA" w:rsidRDefault="00D73CBA" w:rsidP="00D73CBA">
            <w:pPr>
              <w:spacing w:after="0" w:line="240" w:lineRule="auto"/>
              <w:jc w:val="left"/>
              <w:rPr>
                <w:rFonts w:ascii="Calibri" w:eastAsia="Times New Roman" w:hAnsi="Calibri" w:cs="Calibri"/>
                <w:sz w:val="22"/>
              </w:rPr>
            </w:pPr>
            <w:r w:rsidRPr="00D73CBA">
              <w:rPr>
                <w:rFonts w:ascii="Calibri" w:eastAsia="Times New Roman" w:hAnsi="Calibri" w:cs="Calibri"/>
                <w:sz w:val="22"/>
              </w:rPr>
              <w:t>Output gap (adjustment scenario)</w:t>
            </w:r>
          </w:p>
        </w:tc>
        <w:tc>
          <w:tcPr>
            <w:tcW w:w="1029" w:type="dxa"/>
            <w:tcBorders>
              <w:top w:val="nil"/>
              <w:left w:val="nil"/>
              <w:bottom w:val="single" w:sz="4" w:space="0" w:color="FFFFFF"/>
              <w:right w:val="nil"/>
            </w:tcBorders>
            <w:shd w:val="clear" w:color="000000" w:fill="F2F2F2"/>
            <w:vAlign w:val="center"/>
            <w:hideMark/>
          </w:tcPr>
          <w:p w14:paraId="6C77126F"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0.3</w:t>
            </w:r>
          </w:p>
        </w:tc>
        <w:tc>
          <w:tcPr>
            <w:tcW w:w="661" w:type="dxa"/>
            <w:tcBorders>
              <w:top w:val="nil"/>
              <w:left w:val="nil"/>
              <w:bottom w:val="single" w:sz="4" w:space="0" w:color="FFFFFF"/>
              <w:right w:val="nil"/>
            </w:tcBorders>
            <w:shd w:val="clear" w:color="000000" w:fill="F2F2F2"/>
            <w:vAlign w:val="center"/>
            <w:hideMark/>
          </w:tcPr>
          <w:p w14:paraId="2F0B202A"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1.2</w:t>
            </w:r>
          </w:p>
        </w:tc>
        <w:tc>
          <w:tcPr>
            <w:tcW w:w="1108" w:type="dxa"/>
            <w:tcBorders>
              <w:top w:val="nil"/>
              <w:left w:val="nil"/>
              <w:bottom w:val="single" w:sz="4" w:space="0" w:color="FFFFFF"/>
              <w:right w:val="nil"/>
            </w:tcBorders>
            <w:shd w:val="clear" w:color="000000" w:fill="F2F2F2"/>
            <w:vAlign w:val="center"/>
            <w:hideMark/>
          </w:tcPr>
          <w:p w14:paraId="58DDBE34"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1.6</w:t>
            </w:r>
          </w:p>
        </w:tc>
        <w:tc>
          <w:tcPr>
            <w:tcW w:w="741" w:type="dxa"/>
            <w:tcBorders>
              <w:top w:val="nil"/>
              <w:left w:val="nil"/>
              <w:bottom w:val="single" w:sz="4" w:space="0" w:color="FFFFFF"/>
              <w:right w:val="nil"/>
            </w:tcBorders>
            <w:shd w:val="clear" w:color="000000" w:fill="F2F2F2"/>
            <w:vAlign w:val="center"/>
            <w:hideMark/>
          </w:tcPr>
          <w:p w14:paraId="4DD6ADA7"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1.0</w:t>
            </w:r>
          </w:p>
        </w:tc>
        <w:tc>
          <w:tcPr>
            <w:tcW w:w="676" w:type="dxa"/>
            <w:tcBorders>
              <w:top w:val="nil"/>
              <w:left w:val="nil"/>
              <w:bottom w:val="single" w:sz="4" w:space="0" w:color="FFFFFF"/>
              <w:right w:val="nil"/>
            </w:tcBorders>
            <w:shd w:val="clear" w:color="000000" w:fill="F2F2F2"/>
            <w:vAlign w:val="center"/>
            <w:hideMark/>
          </w:tcPr>
          <w:p w14:paraId="3FD0B490"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0.6</w:t>
            </w:r>
          </w:p>
        </w:tc>
        <w:tc>
          <w:tcPr>
            <w:tcW w:w="666" w:type="dxa"/>
            <w:tcBorders>
              <w:top w:val="nil"/>
              <w:left w:val="nil"/>
              <w:bottom w:val="single" w:sz="4" w:space="0" w:color="FFFFFF"/>
              <w:right w:val="nil"/>
            </w:tcBorders>
            <w:shd w:val="clear" w:color="000000" w:fill="F2F2F2"/>
            <w:vAlign w:val="center"/>
            <w:hideMark/>
          </w:tcPr>
          <w:p w14:paraId="44ABCA6F"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0.3</w:t>
            </w:r>
          </w:p>
        </w:tc>
      </w:tr>
      <w:tr w:rsidR="00D73CBA" w:rsidRPr="00D73CBA" w14:paraId="2148D4C1" w14:textId="77777777" w:rsidTr="00D73CBA">
        <w:trPr>
          <w:trHeight w:val="300"/>
        </w:trPr>
        <w:tc>
          <w:tcPr>
            <w:tcW w:w="4111" w:type="dxa"/>
            <w:tcBorders>
              <w:top w:val="nil"/>
              <w:left w:val="nil"/>
              <w:bottom w:val="single" w:sz="4" w:space="0" w:color="FFFFFF"/>
              <w:right w:val="nil"/>
            </w:tcBorders>
            <w:shd w:val="clear" w:color="000000" w:fill="D9D9D9"/>
            <w:vAlign w:val="center"/>
            <w:hideMark/>
          </w:tcPr>
          <w:p w14:paraId="4AA7BDC2" w14:textId="50BC0435" w:rsidR="00D73CBA" w:rsidRPr="006D0232" w:rsidRDefault="00D73CBA" w:rsidP="00D73CBA">
            <w:pPr>
              <w:spacing w:after="0" w:line="240" w:lineRule="auto"/>
              <w:jc w:val="left"/>
              <w:rPr>
                <w:rFonts w:ascii="Calibri" w:eastAsia="Times New Roman" w:hAnsi="Calibri" w:cs="Calibri"/>
                <w:sz w:val="22"/>
                <w:lang w:val="en-US"/>
              </w:rPr>
            </w:pPr>
            <w:r w:rsidRPr="006D0232">
              <w:rPr>
                <w:rFonts w:ascii="Calibri" w:eastAsia="Times New Roman" w:hAnsi="Calibri" w:cs="Calibri"/>
                <w:sz w:val="22"/>
                <w:lang w:val="en-US"/>
              </w:rPr>
              <w:t>Structural primary balance</w:t>
            </w:r>
            <w:r w:rsidR="00915016">
              <w:rPr>
                <w:rFonts w:ascii="Calibri" w:eastAsia="Times New Roman" w:hAnsi="Calibri" w:cs="Calibri"/>
                <w:sz w:val="22"/>
                <w:lang w:val="en-US"/>
              </w:rPr>
              <w:t xml:space="preserve"> </w:t>
            </w:r>
            <w:r w:rsidR="006D0232">
              <w:rPr>
                <w:rFonts w:ascii="Calibri" w:eastAsia="Times New Roman" w:hAnsi="Calibri" w:cs="Calibri"/>
                <w:sz w:val="22"/>
                <w:lang w:val="en-US"/>
              </w:rPr>
              <w:t>(adj</w:t>
            </w:r>
            <w:r w:rsidR="00915016">
              <w:rPr>
                <w:rFonts w:ascii="Calibri" w:eastAsia="Times New Roman" w:hAnsi="Calibri" w:cs="Calibri"/>
                <w:sz w:val="22"/>
                <w:lang w:val="en-US"/>
              </w:rPr>
              <w:t xml:space="preserve">. </w:t>
            </w:r>
            <w:r w:rsidR="006D0232">
              <w:rPr>
                <w:rFonts w:ascii="Calibri" w:eastAsia="Times New Roman" w:hAnsi="Calibri" w:cs="Calibri"/>
                <w:sz w:val="22"/>
                <w:lang w:val="en-US"/>
              </w:rPr>
              <w:t>scenario)</w:t>
            </w:r>
          </w:p>
        </w:tc>
        <w:tc>
          <w:tcPr>
            <w:tcW w:w="1029" w:type="dxa"/>
            <w:tcBorders>
              <w:top w:val="nil"/>
              <w:left w:val="nil"/>
              <w:bottom w:val="single" w:sz="4" w:space="0" w:color="FFFFFF"/>
              <w:right w:val="nil"/>
            </w:tcBorders>
            <w:shd w:val="clear" w:color="000000" w:fill="D9D9D9"/>
            <w:vAlign w:val="center"/>
            <w:hideMark/>
          </w:tcPr>
          <w:p w14:paraId="2027897B"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1.9</w:t>
            </w:r>
          </w:p>
        </w:tc>
        <w:tc>
          <w:tcPr>
            <w:tcW w:w="661" w:type="dxa"/>
            <w:tcBorders>
              <w:top w:val="nil"/>
              <w:left w:val="nil"/>
              <w:bottom w:val="single" w:sz="4" w:space="0" w:color="FFFFFF"/>
              <w:right w:val="nil"/>
            </w:tcBorders>
            <w:shd w:val="clear" w:color="000000" w:fill="D9D9D9"/>
            <w:vAlign w:val="center"/>
            <w:hideMark/>
          </w:tcPr>
          <w:p w14:paraId="27D1EA88" w14:textId="77777777" w:rsidR="00D73CBA" w:rsidRPr="0031739D" w:rsidRDefault="00D73CBA" w:rsidP="00D73CBA">
            <w:pPr>
              <w:spacing w:after="0" w:line="240" w:lineRule="auto"/>
              <w:jc w:val="center"/>
              <w:rPr>
                <w:rFonts w:ascii="Calibri" w:eastAsia="Times New Roman" w:hAnsi="Calibri" w:cs="Calibri"/>
                <w:b/>
                <w:sz w:val="22"/>
                <w:lang w:val="en-US"/>
              </w:rPr>
            </w:pPr>
            <w:r w:rsidRPr="0031739D">
              <w:rPr>
                <w:rFonts w:ascii="Calibri" w:eastAsia="Times New Roman" w:hAnsi="Calibri" w:cs="Calibri"/>
                <w:b/>
                <w:color w:val="548DD4" w:themeColor="text2" w:themeTint="99"/>
                <w:sz w:val="22"/>
              </w:rPr>
              <w:t>1.9</w:t>
            </w:r>
          </w:p>
        </w:tc>
        <w:tc>
          <w:tcPr>
            <w:tcW w:w="1108" w:type="dxa"/>
            <w:tcBorders>
              <w:top w:val="nil"/>
              <w:left w:val="nil"/>
              <w:bottom w:val="single" w:sz="4" w:space="0" w:color="FFFFFF"/>
              <w:right w:val="nil"/>
            </w:tcBorders>
            <w:shd w:val="clear" w:color="000000" w:fill="D9D9D9"/>
            <w:vAlign w:val="center"/>
            <w:hideMark/>
          </w:tcPr>
          <w:p w14:paraId="3B1F3BBF"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2.0</w:t>
            </w:r>
          </w:p>
        </w:tc>
        <w:tc>
          <w:tcPr>
            <w:tcW w:w="741" w:type="dxa"/>
            <w:tcBorders>
              <w:top w:val="nil"/>
              <w:left w:val="nil"/>
              <w:bottom w:val="single" w:sz="4" w:space="0" w:color="FFFFFF"/>
              <w:right w:val="nil"/>
            </w:tcBorders>
            <w:shd w:val="clear" w:color="000000" w:fill="D9D9D9"/>
            <w:vAlign w:val="center"/>
            <w:hideMark/>
          </w:tcPr>
          <w:p w14:paraId="3843EE25"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2.1</w:t>
            </w:r>
          </w:p>
        </w:tc>
        <w:tc>
          <w:tcPr>
            <w:tcW w:w="676" w:type="dxa"/>
            <w:tcBorders>
              <w:top w:val="nil"/>
              <w:left w:val="nil"/>
              <w:bottom w:val="single" w:sz="4" w:space="0" w:color="FFFFFF"/>
              <w:right w:val="nil"/>
            </w:tcBorders>
            <w:shd w:val="clear" w:color="000000" w:fill="D9D9D9"/>
            <w:vAlign w:val="center"/>
            <w:hideMark/>
          </w:tcPr>
          <w:p w14:paraId="2113E087"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2.2</w:t>
            </w:r>
          </w:p>
        </w:tc>
        <w:tc>
          <w:tcPr>
            <w:tcW w:w="666" w:type="dxa"/>
            <w:tcBorders>
              <w:top w:val="nil"/>
              <w:left w:val="nil"/>
              <w:bottom w:val="single" w:sz="4" w:space="0" w:color="FFFFFF"/>
              <w:right w:val="nil"/>
            </w:tcBorders>
            <w:shd w:val="clear" w:color="000000" w:fill="D9D9D9"/>
            <w:vAlign w:val="center"/>
            <w:hideMark/>
          </w:tcPr>
          <w:p w14:paraId="129961C7"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2.3</w:t>
            </w:r>
          </w:p>
        </w:tc>
      </w:tr>
      <w:tr w:rsidR="00D73CBA" w:rsidRPr="00D73CBA" w14:paraId="0AE099F9" w14:textId="77777777" w:rsidTr="00D73CBA">
        <w:trPr>
          <w:trHeight w:val="600"/>
        </w:trPr>
        <w:tc>
          <w:tcPr>
            <w:tcW w:w="4111" w:type="dxa"/>
            <w:tcBorders>
              <w:top w:val="single" w:sz="4" w:space="0" w:color="FFFFFF"/>
              <w:left w:val="nil"/>
              <w:bottom w:val="single" w:sz="4" w:space="0" w:color="4F81BD" w:themeColor="accent1"/>
              <w:right w:val="nil"/>
            </w:tcBorders>
            <w:shd w:val="clear" w:color="000000" w:fill="F2F2F2"/>
            <w:vAlign w:val="center"/>
            <w:hideMark/>
          </w:tcPr>
          <w:p w14:paraId="0216B234" w14:textId="77777777" w:rsidR="00D73CBA" w:rsidRPr="00D73CBA" w:rsidRDefault="00D73CBA" w:rsidP="00D73CBA">
            <w:pPr>
              <w:spacing w:after="0" w:line="240" w:lineRule="auto"/>
              <w:jc w:val="left"/>
              <w:rPr>
                <w:rFonts w:ascii="Calibri" w:eastAsia="Times New Roman" w:hAnsi="Calibri" w:cs="Calibri"/>
                <w:sz w:val="22"/>
                <w:lang w:val="en-US"/>
              </w:rPr>
            </w:pPr>
            <w:r w:rsidRPr="00D73CBA">
              <w:rPr>
                <w:rFonts w:ascii="Calibri" w:eastAsia="Times New Roman" w:hAnsi="Calibri" w:cs="Calibri"/>
                <w:sz w:val="22"/>
                <w:lang w:val="en-US"/>
              </w:rPr>
              <w:t>Annual change in the structural primary balance (pp. of GDP)</w:t>
            </w:r>
          </w:p>
        </w:tc>
        <w:tc>
          <w:tcPr>
            <w:tcW w:w="1029" w:type="dxa"/>
            <w:tcBorders>
              <w:top w:val="single" w:sz="4" w:space="0" w:color="FFFFFF"/>
              <w:left w:val="nil"/>
              <w:bottom w:val="single" w:sz="4" w:space="0" w:color="4F81BD" w:themeColor="accent1"/>
              <w:right w:val="nil"/>
            </w:tcBorders>
            <w:shd w:val="clear" w:color="000000" w:fill="F2F2F2"/>
            <w:vAlign w:val="center"/>
            <w:hideMark/>
          </w:tcPr>
          <w:p w14:paraId="3BBF304F" w14:textId="77777777" w:rsidR="00D73CBA" w:rsidRPr="00D73CBA" w:rsidRDefault="00D73CBA" w:rsidP="00D73CBA">
            <w:pPr>
              <w:spacing w:after="0" w:line="240" w:lineRule="auto"/>
              <w:jc w:val="center"/>
              <w:rPr>
                <w:rFonts w:ascii="Calibri" w:eastAsia="Times New Roman" w:hAnsi="Calibri" w:cs="Calibri"/>
                <w:sz w:val="22"/>
                <w:lang w:val="en-US"/>
              </w:rPr>
            </w:pPr>
            <w:r w:rsidRPr="00D73CBA">
              <w:rPr>
                <w:rFonts w:ascii="Calibri" w:eastAsia="Times New Roman" w:hAnsi="Calibri" w:cs="Calibri"/>
                <w:sz w:val="22"/>
                <w:lang w:val="en-US"/>
              </w:rPr>
              <w:t> </w:t>
            </w:r>
          </w:p>
        </w:tc>
        <w:tc>
          <w:tcPr>
            <w:tcW w:w="661" w:type="dxa"/>
            <w:tcBorders>
              <w:top w:val="single" w:sz="4" w:space="0" w:color="FFFFFF"/>
              <w:left w:val="nil"/>
              <w:bottom w:val="single" w:sz="4" w:space="0" w:color="4F81BD" w:themeColor="accent1"/>
              <w:right w:val="nil"/>
            </w:tcBorders>
            <w:shd w:val="clear" w:color="000000" w:fill="F2F2F2"/>
            <w:vAlign w:val="center"/>
            <w:hideMark/>
          </w:tcPr>
          <w:p w14:paraId="30AD221E"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0.02</w:t>
            </w:r>
          </w:p>
        </w:tc>
        <w:tc>
          <w:tcPr>
            <w:tcW w:w="1108" w:type="dxa"/>
            <w:tcBorders>
              <w:top w:val="single" w:sz="4" w:space="0" w:color="FFFFFF"/>
              <w:left w:val="nil"/>
              <w:bottom w:val="single" w:sz="4" w:space="0" w:color="4F81BD" w:themeColor="accent1"/>
              <w:right w:val="nil"/>
            </w:tcBorders>
            <w:shd w:val="clear" w:color="000000" w:fill="F2F2F2"/>
            <w:vAlign w:val="center"/>
            <w:hideMark/>
          </w:tcPr>
          <w:p w14:paraId="7D029417" w14:textId="77777777" w:rsidR="00D73CBA" w:rsidRPr="0031739D" w:rsidRDefault="00D73CBA" w:rsidP="00D73CBA">
            <w:pPr>
              <w:spacing w:after="0" w:line="240" w:lineRule="auto"/>
              <w:jc w:val="center"/>
              <w:rPr>
                <w:rFonts w:ascii="Calibri" w:eastAsia="Times New Roman" w:hAnsi="Calibri" w:cs="Calibri"/>
                <w:b/>
                <w:sz w:val="22"/>
                <w:lang w:val="en-US"/>
              </w:rPr>
            </w:pPr>
            <w:r w:rsidRPr="0031739D">
              <w:rPr>
                <w:rFonts w:ascii="Calibri" w:eastAsia="Times New Roman" w:hAnsi="Calibri" w:cs="Calibri"/>
                <w:b/>
                <w:color w:val="548DD4" w:themeColor="text2" w:themeTint="99"/>
                <w:sz w:val="22"/>
              </w:rPr>
              <w:t>0.10</w:t>
            </w:r>
          </w:p>
        </w:tc>
        <w:tc>
          <w:tcPr>
            <w:tcW w:w="741" w:type="dxa"/>
            <w:tcBorders>
              <w:top w:val="single" w:sz="4" w:space="0" w:color="FFFFFF"/>
              <w:left w:val="nil"/>
              <w:bottom w:val="single" w:sz="4" w:space="0" w:color="4F81BD" w:themeColor="accent1"/>
              <w:right w:val="nil"/>
            </w:tcBorders>
            <w:shd w:val="clear" w:color="000000" w:fill="F2F2F2"/>
            <w:vAlign w:val="center"/>
            <w:hideMark/>
          </w:tcPr>
          <w:p w14:paraId="66F82339"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0.10</w:t>
            </w:r>
          </w:p>
        </w:tc>
        <w:tc>
          <w:tcPr>
            <w:tcW w:w="676" w:type="dxa"/>
            <w:tcBorders>
              <w:top w:val="single" w:sz="4" w:space="0" w:color="FFFFFF"/>
              <w:left w:val="nil"/>
              <w:bottom w:val="single" w:sz="4" w:space="0" w:color="4F81BD" w:themeColor="accent1"/>
              <w:right w:val="nil"/>
            </w:tcBorders>
            <w:shd w:val="clear" w:color="000000" w:fill="F2F2F2"/>
            <w:vAlign w:val="center"/>
            <w:hideMark/>
          </w:tcPr>
          <w:p w14:paraId="586C3F10"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0.10</w:t>
            </w:r>
          </w:p>
        </w:tc>
        <w:tc>
          <w:tcPr>
            <w:tcW w:w="666" w:type="dxa"/>
            <w:tcBorders>
              <w:top w:val="single" w:sz="4" w:space="0" w:color="FFFFFF"/>
              <w:left w:val="nil"/>
              <w:bottom w:val="single" w:sz="4" w:space="0" w:color="4F81BD" w:themeColor="accent1"/>
              <w:right w:val="nil"/>
            </w:tcBorders>
            <w:shd w:val="clear" w:color="000000" w:fill="F2F2F2"/>
            <w:vAlign w:val="center"/>
            <w:hideMark/>
          </w:tcPr>
          <w:p w14:paraId="4BBC1E3B"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0.10</w:t>
            </w:r>
          </w:p>
        </w:tc>
      </w:tr>
      <w:tr w:rsidR="00D73CBA" w:rsidRPr="00D73CBA" w14:paraId="68EB4221" w14:textId="77777777" w:rsidTr="00D73CBA">
        <w:trPr>
          <w:trHeight w:val="300"/>
        </w:trPr>
        <w:tc>
          <w:tcPr>
            <w:tcW w:w="4111" w:type="dxa"/>
            <w:tcBorders>
              <w:top w:val="single" w:sz="4" w:space="0" w:color="4F81BD" w:themeColor="accent1"/>
              <w:left w:val="nil"/>
              <w:bottom w:val="single" w:sz="4" w:space="0" w:color="FFFFFF"/>
              <w:right w:val="nil"/>
            </w:tcBorders>
            <w:shd w:val="clear" w:color="000000" w:fill="BFBFBF"/>
            <w:vAlign w:val="center"/>
            <w:hideMark/>
          </w:tcPr>
          <w:p w14:paraId="657FA572" w14:textId="77777777" w:rsidR="00D73CBA" w:rsidRPr="00D73CBA" w:rsidRDefault="00D73CBA" w:rsidP="00D73CBA">
            <w:pPr>
              <w:spacing w:after="0" w:line="240" w:lineRule="auto"/>
              <w:jc w:val="left"/>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 </w:t>
            </w:r>
          </w:p>
        </w:tc>
        <w:tc>
          <w:tcPr>
            <w:tcW w:w="1690" w:type="dxa"/>
            <w:gridSpan w:val="2"/>
            <w:tcBorders>
              <w:top w:val="single" w:sz="4" w:space="0" w:color="4F81BD" w:themeColor="accent1"/>
              <w:left w:val="nil"/>
              <w:bottom w:val="single" w:sz="4" w:space="0" w:color="FFFFFF"/>
              <w:right w:val="nil"/>
            </w:tcBorders>
            <w:shd w:val="clear" w:color="000000" w:fill="BFBFBF"/>
            <w:vAlign w:val="center"/>
            <w:hideMark/>
          </w:tcPr>
          <w:p w14:paraId="6CFAE4E5" w14:textId="56263E0D" w:rsidR="00D73CBA" w:rsidRPr="00133F7A" w:rsidRDefault="00C113EF" w:rsidP="00D73CBA">
            <w:pPr>
              <w:spacing w:after="0" w:line="240" w:lineRule="auto"/>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Estimate</w:t>
            </w:r>
          </w:p>
        </w:tc>
        <w:tc>
          <w:tcPr>
            <w:tcW w:w="3191" w:type="dxa"/>
            <w:gridSpan w:val="4"/>
            <w:tcBorders>
              <w:top w:val="single" w:sz="4" w:space="0" w:color="4F81BD" w:themeColor="accent1"/>
              <w:left w:val="nil"/>
              <w:bottom w:val="single" w:sz="4" w:space="0" w:color="FFFFFF"/>
              <w:right w:val="nil"/>
            </w:tcBorders>
            <w:shd w:val="clear" w:color="000000" w:fill="BFBFBF"/>
            <w:vAlign w:val="center"/>
            <w:hideMark/>
          </w:tcPr>
          <w:p w14:paraId="702C2744" w14:textId="77777777" w:rsidR="00D73CBA" w:rsidRPr="00D73CBA" w:rsidRDefault="00D73CBA" w:rsidP="00D73CBA">
            <w:pPr>
              <w:spacing w:after="0" w:line="240" w:lineRule="auto"/>
              <w:jc w:val="center"/>
              <w:rPr>
                <w:rFonts w:ascii="Arial" w:eastAsia="Times New Roman" w:hAnsi="Arial" w:cs="Arial"/>
                <w:b/>
                <w:bCs/>
                <w:color w:val="000000"/>
                <w:sz w:val="20"/>
                <w:szCs w:val="20"/>
              </w:rPr>
            </w:pPr>
            <w:r w:rsidRPr="00D73CBA">
              <w:rPr>
                <w:rFonts w:ascii="Arial" w:eastAsia="Times New Roman" w:hAnsi="Arial" w:cs="Arial"/>
                <w:b/>
                <w:bCs/>
                <w:color w:val="000000"/>
                <w:sz w:val="20"/>
                <w:szCs w:val="20"/>
              </w:rPr>
              <w:t>Period</w:t>
            </w:r>
          </w:p>
        </w:tc>
      </w:tr>
      <w:tr w:rsidR="00D73CBA" w:rsidRPr="00D73CBA" w14:paraId="469F985F" w14:textId="77777777" w:rsidTr="00D73CBA">
        <w:trPr>
          <w:trHeight w:val="300"/>
        </w:trPr>
        <w:tc>
          <w:tcPr>
            <w:tcW w:w="4111" w:type="dxa"/>
            <w:tcBorders>
              <w:top w:val="nil"/>
              <w:left w:val="nil"/>
              <w:bottom w:val="single" w:sz="4" w:space="0" w:color="FFFFFF"/>
              <w:right w:val="nil"/>
            </w:tcBorders>
            <w:shd w:val="clear" w:color="000000" w:fill="F2F2F2"/>
            <w:vAlign w:val="center"/>
            <w:hideMark/>
          </w:tcPr>
          <w:p w14:paraId="2454D185" w14:textId="77777777" w:rsidR="00D73CBA" w:rsidRPr="00D73CBA" w:rsidRDefault="00D73CBA" w:rsidP="00D73CBA">
            <w:pPr>
              <w:spacing w:after="0" w:line="240" w:lineRule="auto"/>
              <w:jc w:val="left"/>
              <w:rPr>
                <w:rFonts w:ascii="Calibri" w:eastAsia="Times New Roman" w:hAnsi="Calibri" w:cs="Calibri"/>
                <w:sz w:val="22"/>
              </w:rPr>
            </w:pPr>
            <w:r w:rsidRPr="00D73CBA">
              <w:rPr>
                <w:rFonts w:ascii="Calibri" w:eastAsia="Times New Roman" w:hAnsi="Calibri" w:cs="Calibri"/>
                <w:sz w:val="22"/>
              </w:rPr>
              <w:t xml:space="preserve">Net expenditure growth (%) </w:t>
            </w:r>
          </w:p>
        </w:tc>
        <w:tc>
          <w:tcPr>
            <w:tcW w:w="1690" w:type="dxa"/>
            <w:gridSpan w:val="2"/>
            <w:tcBorders>
              <w:top w:val="single" w:sz="4" w:space="0" w:color="FFFFFF"/>
              <w:left w:val="nil"/>
              <w:bottom w:val="single" w:sz="4" w:space="0" w:color="FFFFFF"/>
              <w:right w:val="nil"/>
            </w:tcBorders>
            <w:shd w:val="clear" w:color="000000" w:fill="F2F2F2"/>
            <w:vAlign w:val="center"/>
            <w:hideMark/>
          </w:tcPr>
          <w:p w14:paraId="64F69383" w14:textId="77777777" w:rsidR="00D73CBA" w:rsidRPr="0031739D" w:rsidRDefault="00D73CBA" w:rsidP="00D73CBA">
            <w:pPr>
              <w:spacing w:after="0" w:line="240" w:lineRule="auto"/>
              <w:jc w:val="center"/>
              <w:rPr>
                <w:rFonts w:ascii="Calibri" w:eastAsia="Times New Roman" w:hAnsi="Calibri" w:cs="Calibri"/>
                <w:b/>
                <w:sz w:val="22"/>
                <w:lang w:val="en-US"/>
              </w:rPr>
            </w:pPr>
            <w:r w:rsidRPr="0031739D">
              <w:rPr>
                <w:rFonts w:ascii="Calibri" w:eastAsia="Times New Roman" w:hAnsi="Calibri" w:cs="Calibri"/>
                <w:b/>
                <w:color w:val="548DD4" w:themeColor="text2" w:themeTint="99"/>
                <w:sz w:val="22"/>
              </w:rPr>
              <w:t>3.3</w:t>
            </w:r>
          </w:p>
        </w:tc>
        <w:tc>
          <w:tcPr>
            <w:tcW w:w="3191" w:type="dxa"/>
            <w:gridSpan w:val="4"/>
            <w:tcBorders>
              <w:top w:val="single" w:sz="4" w:space="0" w:color="FFFFFF"/>
              <w:left w:val="nil"/>
              <w:bottom w:val="single" w:sz="4" w:space="0" w:color="FFFFFF"/>
              <w:right w:val="nil"/>
            </w:tcBorders>
            <w:shd w:val="clear" w:color="000000" w:fill="F2F2F2"/>
            <w:vAlign w:val="center"/>
            <w:hideMark/>
          </w:tcPr>
          <w:p w14:paraId="6285EB45"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2025-2028 average</w:t>
            </w:r>
          </w:p>
        </w:tc>
      </w:tr>
      <w:tr w:rsidR="00D73CBA" w:rsidRPr="00D73CBA" w14:paraId="1983F38B" w14:textId="77777777" w:rsidTr="00D73CBA">
        <w:trPr>
          <w:trHeight w:val="315"/>
        </w:trPr>
        <w:tc>
          <w:tcPr>
            <w:tcW w:w="4111" w:type="dxa"/>
            <w:tcBorders>
              <w:top w:val="nil"/>
              <w:left w:val="nil"/>
              <w:bottom w:val="single" w:sz="18" w:space="0" w:color="4F81BD" w:themeColor="accent1"/>
              <w:right w:val="nil"/>
            </w:tcBorders>
            <w:shd w:val="clear" w:color="000000" w:fill="D9D9D9"/>
            <w:vAlign w:val="center"/>
            <w:hideMark/>
          </w:tcPr>
          <w:p w14:paraId="73A55A56" w14:textId="77777777" w:rsidR="00D73CBA" w:rsidRPr="00D73CBA" w:rsidRDefault="00D73CBA" w:rsidP="00D73CBA">
            <w:pPr>
              <w:spacing w:after="0" w:line="240" w:lineRule="auto"/>
              <w:jc w:val="left"/>
              <w:rPr>
                <w:rFonts w:ascii="Calibri" w:eastAsia="Times New Roman" w:hAnsi="Calibri" w:cs="Calibri"/>
                <w:sz w:val="22"/>
              </w:rPr>
            </w:pPr>
            <w:r w:rsidRPr="00D73CBA">
              <w:rPr>
                <w:rFonts w:ascii="Calibri" w:eastAsia="Times New Roman" w:hAnsi="Calibri" w:cs="Calibri"/>
                <w:sz w:val="22"/>
              </w:rPr>
              <w:t xml:space="preserve">Potential GDP growth (%) </w:t>
            </w:r>
          </w:p>
        </w:tc>
        <w:tc>
          <w:tcPr>
            <w:tcW w:w="1690" w:type="dxa"/>
            <w:gridSpan w:val="2"/>
            <w:tcBorders>
              <w:top w:val="single" w:sz="4" w:space="0" w:color="FFFFFF"/>
              <w:left w:val="nil"/>
              <w:bottom w:val="single" w:sz="18" w:space="0" w:color="4F81BD" w:themeColor="accent1"/>
              <w:right w:val="nil"/>
            </w:tcBorders>
            <w:shd w:val="clear" w:color="000000" w:fill="D9D9D9"/>
            <w:vAlign w:val="center"/>
            <w:hideMark/>
          </w:tcPr>
          <w:p w14:paraId="29878FAD"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1.0</w:t>
            </w:r>
          </w:p>
        </w:tc>
        <w:tc>
          <w:tcPr>
            <w:tcW w:w="3191" w:type="dxa"/>
            <w:gridSpan w:val="4"/>
            <w:tcBorders>
              <w:top w:val="single" w:sz="4" w:space="0" w:color="FFFFFF"/>
              <w:left w:val="nil"/>
              <w:bottom w:val="single" w:sz="18" w:space="0" w:color="4F81BD" w:themeColor="accent1"/>
              <w:right w:val="nil"/>
            </w:tcBorders>
            <w:shd w:val="clear" w:color="000000" w:fill="D9D9D9"/>
            <w:vAlign w:val="center"/>
            <w:hideMark/>
          </w:tcPr>
          <w:p w14:paraId="509FB231" w14:textId="77777777" w:rsidR="00D73CBA" w:rsidRPr="00D73CBA" w:rsidRDefault="00D73CBA" w:rsidP="00D73CBA">
            <w:pPr>
              <w:spacing w:after="0" w:line="240" w:lineRule="auto"/>
              <w:jc w:val="center"/>
              <w:rPr>
                <w:rFonts w:ascii="Calibri" w:eastAsia="Times New Roman" w:hAnsi="Calibri" w:cs="Calibri"/>
                <w:sz w:val="22"/>
              </w:rPr>
            </w:pPr>
            <w:r w:rsidRPr="00D73CBA">
              <w:rPr>
                <w:rFonts w:ascii="Calibri" w:eastAsia="Times New Roman" w:hAnsi="Calibri" w:cs="Calibri"/>
                <w:sz w:val="22"/>
              </w:rPr>
              <w:t>2025-2038 average</w:t>
            </w:r>
          </w:p>
        </w:tc>
      </w:tr>
    </w:tbl>
    <w:p w14:paraId="7622EAFE" w14:textId="2AC52B20" w:rsidR="00801763" w:rsidRPr="000424BD" w:rsidRDefault="00801763" w:rsidP="000424BD">
      <w:pPr>
        <w:pStyle w:val="Heading2"/>
        <w:numPr>
          <w:ilvl w:val="1"/>
          <w:numId w:val="2"/>
        </w:numPr>
        <w:ind w:left="709" w:hanging="709"/>
        <w:rPr>
          <w:lang w:val="en-US"/>
        </w:rPr>
      </w:pPr>
      <w:bookmarkStart w:id="47" w:name="_Toc178070099"/>
      <w:r w:rsidRPr="000424BD">
        <w:rPr>
          <w:lang w:val="en-US"/>
        </w:rPr>
        <w:t>Differences to the estimated potential GDP and</w:t>
      </w:r>
      <w:r w:rsidR="00C940E3" w:rsidRPr="00920844">
        <w:rPr>
          <w:lang w:val="en-US"/>
        </w:rPr>
        <w:t xml:space="preserve"> </w:t>
      </w:r>
      <w:r w:rsidRPr="000424BD">
        <w:rPr>
          <w:lang w:val="en-US"/>
        </w:rPr>
        <w:t xml:space="preserve">revenue elasticity </w:t>
      </w:r>
      <w:r w:rsidR="00C940E3">
        <w:rPr>
          <w:lang w:val="en-US"/>
        </w:rPr>
        <w:br/>
      </w:r>
      <w:r w:rsidRPr="000424BD">
        <w:rPr>
          <w:lang w:val="en-US"/>
        </w:rPr>
        <w:t>that do not affect the average net expenditure growth</w:t>
      </w:r>
      <w:bookmarkEnd w:id="47"/>
    </w:p>
    <w:p w14:paraId="349E07C3" w14:textId="3E004F4C" w:rsidR="00801763" w:rsidRPr="00BD442D" w:rsidRDefault="00801763" w:rsidP="00801763">
      <w:pPr>
        <w:rPr>
          <w:rFonts w:ascii="Calibri" w:eastAsia="Calibri" w:hAnsi="Calibri"/>
          <w:bCs/>
          <w:lang w:val="en-US"/>
        </w:rPr>
      </w:pPr>
      <w:r w:rsidRPr="00BD442D">
        <w:rPr>
          <w:rFonts w:ascii="Calibri" w:eastAsia="Calibri" w:hAnsi="Calibri"/>
          <w:bCs/>
          <w:lang w:val="en-US"/>
        </w:rPr>
        <w:t>As</w:t>
      </w:r>
      <w:r w:rsidRPr="00C9460D">
        <w:rPr>
          <w:rFonts w:ascii="Calibri" w:eastAsia="Calibri" w:hAnsi="Calibri"/>
          <w:bCs/>
          <w:color w:val="000000" w:themeColor="text1"/>
          <w:lang w:val="en-US"/>
        </w:rPr>
        <w:t xml:space="preserve"> depicted in</w:t>
      </w:r>
      <w:r w:rsidR="00C9460D" w:rsidRPr="00C9460D">
        <w:rPr>
          <w:rFonts w:ascii="Calibri" w:eastAsia="Calibri" w:hAnsi="Calibri"/>
          <w:bCs/>
          <w:color w:val="000000" w:themeColor="text1"/>
          <w:lang w:val="en-US"/>
        </w:rPr>
        <w:t xml:space="preserve"> </w:t>
      </w:r>
      <w:r w:rsidR="00A54B46" w:rsidRPr="00C9460D">
        <w:rPr>
          <w:rFonts w:ascii="Calibri" w:eastAsia="Calibri" w:hAnsi="Calibri"/>
          <w:bCs/>
          <w:color w:val="000000" w:themeColor="text1"/>
          <w:lang w:val="en-US"/>
        </w:rPr>
        <w:fldChar w:fldCharType="begin"/>
      </w:r>
      <w:r w:rsidR="00C9460D" w:rsidRPr="00C9460D">
        <w:rPr>
          <w:rFonts w:ascii="Calibri" w:eastAsia="Calibri" w:hAnsi="Calibri"/>
          <w:bCs/>
          <w:color w:val="000000" w:themeColor="text1"/>
          <w:lang w:val="en-US"/>
        </w:rPr>
        <w:instrText xml:space="preserve"> REF _Ref177393466 \h </w:instrText>
      </w:r>
      <w:r w:rsidR="00A54B46" w:rsidRPr="00C9460D">
        <w:rPr>
          <w:rFonts w:ascii="Calibri" w:eastAsia="Calibri" w:hAnsi="Calibri"/>
          <w:bCs/>
          <w:color w:val="000000" w:themeColor="text1"/>
          <w:lang w:val="en-US"/>
        </w:rPr>
      </w:r>
      <w:r w:rsidR="00A54B46" w:rsidRPr="00C9460D">
        <w:rPr>
          <w:rFonts w:ascii="Calibri" w:eastAsia="Calibri" w:hAnsi="Calibri"/>
          <w:bCs/>
          <w:color w:val="000000" w:themeColor="text1"/>
          <w:lang w:val="en-US"/>
        </w:rPr>
        <w:fldChar w:fldCharType="separate"/>
      </w:r>
      <w:r w:rsidR="00824AAF" w:rsidRPr="00C2631D">
        <w:rPr>
          <w:lang w:val="en-US"/>
        </w:rPr>
        <w:t xml:space="preserve">Table </w:t>
      </w:r>
      <w:r w:rsidR="00824AAF" w:rsidRPr="00C2631D">
        <w:rPr>
          <w:noProof/>
          <w:lang w:val="en-US"/>
        </w:rPr>
        <w:t>15</w:t>
      </w:r>
      <w:r w:rsidR="00A54B46" w:rsidRPr="00C9460D">
        <w:rPr>
          <w:rFonts w:ascii="Calibri" w:eastAsia="Calibri" w:hAnsi="Calibri"/>
          <w:bCs/>
          <w:color w:val="000000" w:themeColor="text1"/>
          <w:lang w:val="en-US"/>
        </w:rPr>
        <w:fldChar w:fldCharType="end"/>
      </w:r>
      <w:r w:rsidR="00D778F2">
        <w:rPr>
          <w:rFonts w:ascii="Calibri" w:eastAsia="Calibri" w:hAnsi="Calibri"/>
          <w:bCs/>
          <w:color w:val="000000" w:themeColor="text1"/>
          <w:lang w:val="en-US"/>
        </w:rPr>
        <w:t>,</w:t>
      </w:r>
      <w:r w:rsidRPr="00BD442D">
        <w:rPr>
          <w:rFonts w:ascii="Calibri" w:eastAsia="Calibri" w:hAnsi="Calibri"/>
          <w:bCs/>
          <w:lang w:val="en-US"/>
        </w:rPr>
        <w:t xml:space="preserve"> the RT assumes a real GDP growth of 2.2% for 2024, 1.8% for 2025, followed by a steep decline to 0.7% in 2026 and about equal growth for the following years. This results from the </w:t>
      </w:r>
      <w:r w:rsidR="00A2339A">
        <w:rPr>
          <w:rFonts w:ascii="Calibri" w:eastAsia="Calibri" w:hAnsi="Calibri"/>
          <w:bCs/>
          <w:lang w:val="en-US"/>
        </w:rPr>
        <w:t xml:space="preserve">application </w:t>
      </w:r>
      <w:r w:rsidRPr="00BD442D">
        <w:rPr>
          <w:rFonts w:ascii="Calibri" w:eastAsia="Calibri" w:hAnsi="Calibri"/>
          <w:bCs/>
          <w:lang w:val="en-US"/>
        </w:rPr>
        <w:t>of the output gap closing rule up to 2028 and is not coherent with typical macroeco</w:t>
      </w:r>
      <w:r w:rsidR="00B968E5">
        <w:rPr>
          <w:rFonts w:ascii="Calibri" w:eastAsia="Calibri" w:hAnsi="Calibri"/>
          <w:bCs/>
          <w:lang w:val="en-US"/>
        </w:rPr>
        <w:t>no</w:t>
      </w:r>
      <w:r w:rsidRPr="00BD442D">
        <w:rPr>
          <w:rFonts w:ascii="Calibri" w:eastAsia="Calibri" w:hAnsi="Calibri"/>
          <w:bCs/>
          <w:lang w:val="en-US"/>
        </w:rPr>
        <w:t>mic forecasts.</w:t>
      </w:r>
    </w:p>
    <w:p w14:paraId="2D9C967D" w14:textId="6776C755" w:rsidR="00801763" w:rsidRPr="00BD442D" w:rsidRDefault="00801763" w:rsidP="00801763">
      <w:pPr>
        <w:rPr>
          <w:rFonts w:ascii="Calibri" w:eastAsia="Calibri" w:hAnsi="Calibri"/>
          <w:bCs/>
          <w:lang w:val="en-US"/>
        </w:rPr>
      </w:pPr>
      <w:r w:rsidRPr="00BD442D">
        <w:rPr>
          <w:rFonts w:ascii="Calibri" w:eastAsia="Calibri" w:hAnsi="Calibri"/>
          <w:bCs/>
          <w:lang w:val="en-US"/>
        </w:rPr>
        <w:t>However, GDP growth for years 2025 and 2026 is significantly affected, among implemented policies and others, by the RRF grants (s</w:t>
      </w:r>
      <w:r w:rsidRPr="00C24673">
        <w:rPr>
          <w:rFonts w:ascii="Calibri" w:eastAsia="Calibri" w:hAnsi="Calibri"/>
          <w:bCs/>
          <w:lang w:val="en-US"/>
        </w:rPr>
        <w:t>ee</w:t>
      </w:r>
      <w:r w:rsidR="0081448C">
        <w:rPr>
          <w:rFonts w:ascii="Calibri" w:eastAsia="Calibri" w:hAnsi="Calibri"/>
          <w:bCs/>
          <w:lang w:val="en-US"/>
        </w:rPr>
        <w:t xml:space="preserve"> </w:t>
      </w:r>
      <w:r w:rsidR="00A54B46" w:rsidRPr="0081448C">
        <w:rPr>
          <w:rFonts w:ascii="Calibri" w:eastAsia="Calibri" w:hAnsi="Calibri"/>
          <w:bCs/>
          <w:color w:val="000000" w:themeColor="text1"/>
          <w:lang w:val="en-US"/>
        </w:rPr>
        <w:fldChar w:fldCharType="begin"/>
      </w:r>
      <w:r w:rsidR="0081448C" w:rsidRPr="0081448C">
        <w:rPr>
          <w:rFonts w:ascii="Calibri" w:eastAsia="Calibri" w:hAnsi="Calibri"/>
          <w:bCs/>
          <w:color w:val="000000" w:themeColor="text1"/>
          <w:lang w:val="en-US"/>
        </w:rPr>
        <w:instrText xml:space="preserve"> REF _Ref177547296 \h </w:instrText>
      </w:r>
      <w:r w:rsidR="00A54B46" w:rsidRPr="0081448C">
        <w:rPr>
          <w:rFonts w:ascii="Calibri" w:eastAsia="Calibri" w:hAnsi="Calibri"/>
          <w:bCs/>
          <w:color w:val="000000" w:themeColor="text1"/>
          <w:lang w:val="en-US"/>
        </w:rPr>
      </w:r>
      <w:r w:rsidR="00A54B46" w:rsidRPr="0081448C">
        <w:rPr>
          <w:rFonts w:ascii="Calibri" w:eastAsia="Calibri" w:hAnsi="Calibri"/>
          <w:bCs/>
          <w:color w:val="000000" w:themeColor="text1"/>
          <w:lang w:val="en-US"/>
        </w:rPr>
        <w:fldChar w:fldCharType="separate"/>
      </w:r>
      <w:r w:rsidR="00824AAF" w:rsidRPr="00C2631D">
        <w:rPr>
          <w:lang w:val="en-US"/>
        </w:rPr>
        <w:t xml:space="preserve">Table </w:t>
      </w:r>
      <w:r w:rsidR="00824AAF" w:rsidRPr="00C2631D">
        <w:rPr>
          <w:noProof/>
          <w:lang w:val="en-US"/>
        </w:rPr>
        <w:t>6</w:t>
      </w:r>
      <w:r w:rsidR="00A54B46" w:rsidRPr="0081448C">
        <w:rPr>
          <w:rFonts w:ascii="Calibri" w:eastAsia="Calibri" w:hAnsi="Calibri"/>
          <w:bCs/>
          <w:color w:val="000000" w:themeColor="text1"/>
          <w:lang w:val="en-US"/>
        </w:rPr>
        <w:fldChar w:fldCharType="end"/>
      </w:r>
      <w:r w:rsidR="002B59BA">
        <w:rPr>
          <w:rFonts w:ascii="Calibri" w:eastAsia="Calibri" w:hAnsi="Calibri"/>
          <w:bCs/>
          <w:color w:val="000000" w:themeColor="text1"/>
          <w:lang w:val="en-US"/>
        </w:rPr>
        <w:t xml:space="preserve"> in section 4</w:t>
      </w:r>
      <w:r w:rsidRPr="00C24673">
        <w:rPr>
          <w:rFonts w:ascii="Calibri" w:eastAsia="Calibri" w:hAnsi="Calibri"/>
          <w:bCs/>
          <w:lang w:val="en-US"/>
        </w:rPr>
        <w:t>).</w:t>
      </w:r>
      <w:r w:rsidRPr="00BD442D">
        <w:rPr>
          <w:rFonts w:ascii="Calibri" w:eastAsia="Calibri" w:hAnsi="Calibri"/>
          <w:bCs/>
          <w:lang w:val="en-US"/>
        </w:rPr>
        <w:t xml:space="preserve"> For example, in 2026 which is the last year of implementation of RRF, more than </w:t>
      </w:r>
      <w:r w:rsidR="00531922">
        <w:rPr>
          <w:lang w:val="en-US"/>
        </w:rPr>
        <w:t>€</w:t>
      </w:r>
      <w:r w:rsidRPr="00BD442D">
        <w:rPr>
          <w:rFonts w:ascii="Calibri" w:eastAsia="Calibri" w:hAnsi="Calibri"/>
          <w:bCs/>
          <w:lang w:val="en-US"/>
        </w:rPr>
        <w:t xml:space="preserve">6 billion of grants and more than </w:t>
      </w:r>
      <w:r w:rsidR="00531922">
        <w:rPr>
          <w:lang w:val="en-US"/>
        </w:rPr>
        <w:t>€</w:t>
      </w:r>
      <w:r w:rsidRPr="00BD442D">
        <w:rPr>
          <w:rFonts w:ascii="Calibri" w:eastAsia="Calibri" w:hAnsi="Calibri"/>
          <w:bCs/>
          <w:lang w:val="en-US"/>
        </w:rPr>
        <w:t xml:space="preserve">4 billion of loans are to be disbursed. Therefore, growth is set to remain solid, with also lagged effects in the following years, accompanied with cash disbursements of loans approved under the loan facility </w:t>
      </w:r>
      <w:r w:rsidR="00E96B4C" w:rsidRPr="00BD442D">
        <w:rPr>
          <w:rFonts w:ascii="Calibri" w:eastAsia="Calibri" w:hAnsi="Calibri"/>
          <w:bCs/>
          <w:lang w:val="en-US"/>
        </w:rPr>
        <w:t xml:space="preserve">also </w:t>
      </w:r>
      <w:r w:rsidRPr="00BD442D">
        <w:rPr>
          <w:rFonts w:ascii="Calibri" w:eastAsia="Calibri" w:hAnsi="Calibri"/>
          <w:bCs/>
          <w:lang w:val="en-US"/>
        </w:rPr>
        <w:t>during 2027 and 2028.</w:t>
      </w:r>
    </w:p>
    <w:p w14:paraId="76A01AFC" w14:textId="29745885" w:rsidR="00801763" w:rsidRDefault="00801763" w:rsidP="00801763">
      <w:pPr>
        <w:rPr>
          <w:rFonts w:ascii="Calibri" w:eastAsia="Calibri" w:hAnsi="Calibri" w:cs="Calibri"/>
          <w:kern w:val="3"/>
          <w:lang w:val="en-US" w:eastAsia="ar-SA"/>
        </w:rPr>
      </w:pPr>
      <w:r w:rsidRPr="00BD442D">
        <w:rPr>
          <w:rFonts w:ascii="Calibri" w:eastAsia="Calibri" w:hAnsi="Calibri" w:cs="Calibri"/>
          <w:kern w:val="3"/>
          <w:lang w:val="en-US" w:eastAsia="ar-SA"/>
        </w:rPr>
        <w:t xml:space="preserve">According to the Hellenic Ministry of Economy and Finance (MoEF) estimates, medium-term growth rate of the potential </w:t>
      </w:r>
      <w:r w:rsidR="00A2339A">
        <w:rPr>
          <w:rFonts w:ascii="Calibri" w:eastAsia="Calibri" w:hAnsi="Calibri" w:cs="Calibri"/>
          <w:kern w:val="3"/>
          <w:lang w:val="en-US" w:eastAsia="ar-SA"/>
        </w:rPr>
        <w:t>output</w:t>
      </w:r>
      <w:r w:rsidR="00A2339A" w:rsidRPr="00BD442D">
        <w:rPr>
          <w:rFonts w:ascii="Calibri" w:eastAsia="Calibri" w:hAnsi="Calibri" w:cs="Calibri"/>
          <w:kern w:val="3"/>
          <w:lang w:val="en-US" w:eastAsia="ar-SA"/>
        </w:rPr>
        <w:t xml:space="preserve"> </w:t>
      </w:r>
      <w:r w:rsidRPr="00BD442D">
        <w:rPr>
          <w:rFonts w:ascii="Calibri" w:eastAsia="Calibri" w:hAnsi="Calibri" w:cs="Calibri"/>
          <w:kern w:val="3"/>
          <w:lang w:val="en-US" w:eastAsia="ar-SA"/>
        </w:rPr>
        <w:t xml:space="preserve">of the Greek economy for the period 2025-2028 is projected at 2.0% </w:t>
      </w:r>
      <w:r w:rsidR="00365940">
        <w:rPr>
          <w:rFonts w:ascii="Calibri" w:eastAsia="Calibri" w:hAnsi="Calibri" w:cs="Calibri"/>
          <w:kern w:val="3"/>
          <w:lang w:val="en-US" w:eastAsia="ar-SA"/>
        </w:rPr>
        <w:t xml:space="preserve">on average </w:t>
      </w:r>
      <w:r w:rsidRPr="003F103D">
        <w:rPr>
          <w:rFonts w:ascii="Calibri" w:eastAsia="Calibri" w:hAnsi="Calibri" w:cs="Calibri"/>
          <w:color w:val="000000" w:themeColor="text1"/>
          <w:kern w:val="3"/>
          <w:lang w:val="en-US" w:eastAsia="ar-SA"/>
        </w:rPr>
        <w:t>(</w:t>
      </w:r>
      <w:r w:rsidRPr="0081448C">
        <w:rPr>
          <w:rFonts w:ascii="Calibri" w:eastAsia="Calibri" w:hAnsi="Calibri" w:cs="Calibri"/>
          <w:color w:val="000000" w:themeColor="text1"/>
          <w:kern w:val="3"/>
          <w:lang w:val="en-US" w:eastAsia="ar-SA"/>
        </w:rPr>
        <w:t>see</w:t>
      </w:r>
      <w:r w:rsidR="0081448C" w:rsidRPr="0081448C">
        <w:rPr>
          <w:rFonts w:ascii="Calibri" w:eastAsia="Calibri" w:hAnsi="Calibri" w:cs="Calibri"/>
          <w:color w:val="000000" w:themeColor="text1"/>
          <w:kern w:val="3"/>
          <w:lang w:val="en-US" w:eastAsia="ar-SA"/>
        </w:rPr>
        <w:t xml:space="preserve"> </w:t>
      </w:r>
      <w:r w:rsidR="00A54B46" w:rsidRPr="0081448C">
        <w:rPr>
          <w:rFonts w:ascii="Calibri" w:eastAsia="Calibri" w:hAnsi="Calibri" w:cs="Calibri"/>
          <w:color w:val="000000" w:themeColor="text1"/>
          <w:kern w:val="3"/>
          <w:lang w:val="en-US" w:eastAsia="ar-SA"/>
        </w:rPr>
        <w:fldChar w:fldCharType="begin"/>
      </w:r>
      <w:r w:rsidR="0081448C" w:rsidRPr="0081448C">
        <w:rPr>
          <w:rFonts w:ascii="Calibri" w:eastAsia="Calibri" w:hAnsi="Calibri" w:cs="Calibri"/>
          <w:color w:val="000000" w:themeColor="text1"/>
          <w:kern w:val="3"/>
          <w:lang w:val="en-US" w:eastAsia="ar-SA"/>
        </w:rPr>
        <w:instrText xml:space="preserve"> REF _Ref177395088 \h </w:instrText>
      </w:r>
      <w:r w:rsidR="00A54B46" w:rsidRPr="0081448C">
        <w:rPr>
          <w:rFonts w:ascii="Calibri" w:eastAsia="Calibri" w:hAnsi="Calibri" w:cs="Calibri"/>
          <w:color w:val="000000" w:themeColor="text1"/>
          <w:kern w:val="3"/>
          <w:lang w:val="en-US" w:eastAsia="ar-SA"/>
        </w:rPr>
      </w:r>
      <w:r w:rsidR="00A54B46" w:rsidRPr="0081448C">
        <w:rPr>
          <w:rFonts w:ascii="Calibri" w:eastAsia="Calibri" w:hAnsi="Calibri" w:cs="Calibri"/>
          <w:color w:val="000000" w:themeColor="text1"/>
          <w:kern w:val="3"/>
          <w:lang w:val="en-US" w:eastAsia="ar-SA"/>
        </w:rPr>
        <w:fldChar w:fldCharType="separate"/>
      </w:r>
      <w:r w:rsidR="00824AAF" w:rsidRPr="00C2631D">
        <w:rPr>
          <w:lang w:val="en-US"/>
        </w:rPr>
        <w:t xml:space="preserve">Table </w:t>
      </w:r>
      <w:r w:rsidR="00824AAF" w:rsidRPr="00C2631D">
        <w:rPr>
          <w:noProof/>
          <w:lang w:val="en-US"/>
        </w:rPr>
        <w:t>17</w:t>
      </w:r>
      <w:r w:rsidR="00A54B46" w:rsidRPr="0081448C">
        <w:rPr>
          <w:rFonts w:ascii="Calibri" w:eastAsia="Calibri" w:hAnsi="Calibri" w:cs="Calibri"/>
          <w:color w:val="000000" w:themeColor="text1"/>
          <w:kern w:val="3"/>
          <w:lang w:val="en-US" w:eastAsia="ar-SA"/>
        </w:rPr>
        <w:fldChar w:fldCharType="end"/>
      </w:r>
      <w:r w:rsidRPr="00BD442D">
        <w:rPr>
          <w:rFonts w:ascii="Calibri" w:eastAsia="Calibri" w:hAnsi="Calibri" w:cs="Calibri"/>
          <w:kern w:val="3"/>
          <w:lang w:val="en-US" w:eastAsia="ar-SA"/>
        </w:rPr>
        <w:t xml:space="preserve">), which is consistent with the macroeconomic projections presented in </w:t>
      </w:r>
      <w:r w:rsidRPr="00877836">
        <w:rPr>
          <w:rFonts w:ascii="Calibri" w:eastAsia="Calibri" w:hAnsi="Calibri" w:cs="Calibri"/>
          <w:kern w:val="3"/>
          <w:lang w:val="en-US" w:eastAsia="ar-SA"/>
        </w:rPr>
        <w:t>Section 3.</w:t>
      </w:r>
    </w:p>
    <w:p w14:paraId="77382C9B" w14:textId="0B5D53D5" w:rsidR="00FA27AD" w:rsidRPr="0069685C" w:rsidRDefault="00FA27AD" w:rsidP="0069685C">
      <w:pPr>
        <w:pStyle w:val="Table"/>
      </w:pPr>
      <w:bookmarkStart w:id="48" w:name="_Ref177395088"/>
      <w:bookmarkStart w:id="49" w:name="_Toc177747047"/>
      <w:r w:rsidRPr="0069685C">
        <w:lastRenderedPageBreak/>
        <w:t xml:space="preserve">Table </w:t>
      </w:r>
      <w:r w:rsidR="00337799" w:rsidRPr="0069685C">
        <w:fldChar w:fldCharType="begin"/>
      </w:r>
      <w:r w:rsidR="00337799" w:rsidRPr="0069685C">
        <w:instrText xml:space="preserve"> SEQ Table \* ARABIC </w:instrText>
      </w:r>
      <w:r w:rsidR="00337799" w:rsidRPr="0069685C">
        <w:fldChar w:fldCharType="separate"/>
      </w:r>
      <w:r w:rsidR="00824AAF">
        <w:rPr>
          <w:noProof/>
        </w:rPr>
        <w:t>17</w:t>
      </w:r>
      <w:r w:rsidR="00337799" w:rsidRPr="0069685C">
        <w:fldChar w:fldCharType="end"/>
      </w:r>
      <w:bookmarkEnd w:id="48"/>
      <w:r w:rsidRPr="0069685C">
        <w:t xml:space="preserve"> </w:t>
      </w:r>
      <w:r w:rsidR="0069685C">
        <w:t xml:space="preserve">| </w:t>
      </w:r>
      <w:r w:rsidRPr="0069685C">
        <w:t>Main variables related to the trajectory after updating budget data of 2024 as well as potential GDP and revenue elasticity</w:t>
      </w:r>
      <w:bookmarkEnd w:id="49"/>
    </w:p>
    <w:tbl>
      <w:tblPr>
        <w:tblW w:w="8974" w:type="dxa"/>
        <w:jc w:val="center"/>
        <w:tblLook w:val="04A0" w:firstRow="1" w:lastRow="0" w:firstColumn="1" w:lastColumn="0" w:noHBand="0" w:noVBand="1"/>
      </w:tblPr>
      <w:tblGrid>
        <w:gridCol w:w="4111"/>
        <w:gridCol w:w="404"/>
        <w:gridCol w:w="994"/>
        <w:gridCol w:w="661"/>
        <w:gridCol w:w="67"/>
        <w:gridCol w:w="608"/>
        <w:gridCol w:w="734"/>
        <w:gridCol w:w="734"/>
        <w:gridCol w:w="661"/>
      </w:tblGrid>
      <w:tr w:rsidR="003F103D" w:rsidRPr="003F103D" w14:paraId="4BEA4FB3" w14:textId="77777777" w:rsidTr="003F103D">
        <w:trPr>
          <w:trHeight w:val="300"/>
          <w:jc w:val="center"/>
        </w:trPr>
        <w:tc>
          <w:tcPr>
            <w:tcW w:w="4515" w:type="dxa"/>
            <w:gridSpan w:val="2"/>
            <w:tcBorders>
              <w:top w:val="nil"/>
              <w:left w:val="nil"/>
              <w:bottom w:val="single" w:sz="4" w:space="0" w:color="FFFFFF"/>
              <w:right w:val="nil"/>
            </w:tcBorders>
            <w:shd w:val="clear" w:color="000000" w:fill="BFBFBF"/>
            <w:vAlign w:val="center"/>
            <w:hideMark/>
          </w:tcPr>
          <w:p w14:paraId="41142846" w14:textId="77777777" w:rsidR="003F103D" w:rsidRPr="003F103D" w:rsidRDefault="003F103D" w:rsidP="00E77D7E">
            <w:pPr>
              <w:spacing w:after="0" w:line="220" w:lineRule="exact"/>
              <w:jc w:val="left"/>
              <w:rPr>
                <w:rFonts w:ascii="Arial" w:eastAsia="Times New Roman" w:hAnsi="Arial" w:cs="Arial"/>
                <w:b/>
                <w:bCs/>
                <w:color w:val="000000"/>
                <w:sz w:val="20"/>
                <w:szCs w:val="20"/>
                <w:lang w:val="en-US"/>
              </w:rPr>
            </w:pPr>
            <w:r w:rsidRPr="003F103D">
              <w:rPr>
                <w:rFonts w:ascii="Arial" w:eastAsia="Times New Roman" w:hAnsi="Arial" w:cs="Arial"/>
                <w:b/>
                <w:bCs/>
                <w:color w:val="000000"/>
                <w:sz w:val="20"/>
                <w:szCs w:val="20"/>
                <w:lang w:val="en-US"/>
              </w:rPr>
              <w:t>Main variables related to the trajectory</w:t>
            </w:r>
          </w:p>
        </w:tc>
        <w:tc>
          <w:tcPr>
            <w:tcW w:w="994" w:type="dxa"/>
            <w:tcBorders>
              <w:top w:val="nil"/>
              <w:left w:val="nil"/>
              <w:bottom w:val="single" w:sz="4" w:space="0" w:color="FFFFFF"/>
              <w:right w:val="nil"/>
            </w:tcBorders>
            <w:shd w:val="clear" w:color="000000" w:fill="BFBFBF"/>
            <w:vAlign w:val="center"/>
            <w:hideMark/>
          </w:tcPr>
          <w:p w14:paraId="3D59E9E9"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2023</w:t>
            </w:r>
          </w:p>
        </w:tc>
        <w:tc>
          <w:tcPr>
            <w:tcW w:w="661" w:type="dxa"/>
            <w:tcBorders>
              <w:top w:val="nil"/>
              <w:left w:val="nil"/>
              <w:bottom w:val="single" w:sz="4" w:space="0" w:color="FFFFFF"/>
              <w:right w:val="nil"/>
            </w:tcBorders>
            <w:shd w:val="clear" w:color="000000" w:fill="BFBFBF"/>
            <w:vAlign w:val="center"/>
            <w:hideMark/>
          </w:tcPr>
          <w:p w14:paraId="3D6F5960"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2024</w:t>
            </w:r>
          </w:p>
        </w:tc>
        <w:tc>
          <w:tcPr>
            <w:tcW w:w="675" w:type="dxa"/>
            <w:gridSpan w:val="2"/>
            <w:tcBorders>
              <w:top w:val="nil"/>
              <w:left w:val="nil"/>
              <w:bottom w:val="single" w:sz="4" w:space="0" w:color="FFFFFF"/>
              <w:right w:val="nil"/>
            </w:tcBorders>
            <w:shd w:val="clear" w:color="000000" w:fill="BFBFBF"/>
            <w:vAlign w:val="center"/>
            <w:hideMark/>
          </w:tcPr>
          <w:p w14:paraId="73C48785"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2025</w:t>
            </w:r>
          </w:p>
        </w:tc>
        <w:tc>
          <w:tcPr>
            <w:tcW w:w="734" w:type="dxa"/>
            <w:tcBorders>
              <w:top w:val="nil"/>
              <w:left w:val="nil"/>
              <w:bottom w:val="single" w:sz="4" w:space="0" w:color="FFFFFF"/>
              <w:right w:val="nil"/>
            </w:tcBorders>
            <w:shd w:val="clear" w:color="000000" w:fill="BFBFBF"/>
            <w:vAlign w:val="center"/>
            <w:hideMark/>
          </w:tcPr>
          <w:p w14:paraId="558FFCBD"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2026</w:t>
            </w:r>
          </w:p>
        </w:tc>
        <w:tc>
          <w:tcPr>
            <w:tcW w:w="734" w:type="dxa"/>
            <w:tcBorders>
              <w:top w:val="nil"/>
              <w:left w:val="nil"/>
              <w:bottom w:val="single" w:sz="4" w:space="0" w:color="FFFFFF"/>
              <w:right w:val="nil"/>
            </w:tcBorders>
            <w:shd w:val="clear" w:color="000000" w:fill="BFBFBF"/>
            <w:vAlign w:val="center"/>
            <w:hideMark/>
          </w:tcPr>
          <w:p w14:paraId="0FDFCF95"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2027</w:t>
            </w:r>
          </w:p>
        </w:tc>
        <w:tc>
          <w:tcPr>
            <w:tcW w:w="661" w:type="dxa"/>
            <w:tcBorders>
              <w:top w:val="nil"/>
              <w:left w:val="nil"/>
              <w:bottom w:val="single" w:sz="4" w:space="0" w:color="FFFFFF"/>
              <w:right w:val="nil"/>
            </w:tcBorders>
            <w:shd w:val="clear" w:color="000000" w:fill="BFBFBF"/>
            <w:vAlign w:val="center"/>
            <w:hideMark/>
          </w:tcPr>
          <w:p w14:paraId="182B3058"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2028</w:t>
            </w:r>
          </w:p>
        </w:tc>
      </w:tr>
      <w:tr w:rsidR="003F103D" w:rsidRPr="003F103D" w14:paraId="27FB3A07" w14:textId="77777777" w:rsidTr="003F103D">
        <w:trPr>
          <w:trHeight w:val="300"/>
          <w:jc w:val="center"/>
        </w:trPr>
        <w:tc>
          <w:tcPr>
            <w:tcW w:w="4515" w:type="dxa"/>
            <w:gridSpan w:val="2"/>
            <w:tcBorders>
              <w:top w:val="nil"/>
              <w:left w:val="nil"/>
              <w:bottom w:val="single" w:sz="4" w:space="0" w:color="FFFFFF"/>
              <w:right w:val="nil"/>
            </w:tcBorders>
            <w:shd w:val="clear" w:color="000000" w:fill="F2F2F2"/>
            <w:vAlign w:val="center"/>
            <w:hideMark/>
          </w:tcPr>
          <w:p w14:paraId="7700548D" w14:textId="77777777" w:rsidR="003F103D" w:rsidRPr="003F103D" w:rsidRDefault="003F103D" w:rsidP="00E77D7E">
            <w:pPr>
              <w:spacing w:after="0" w:line="220" w:lineRule="exact"/>
              <w:jc w:val="left"/>
              <w:rPr>
                <w:rFonts w:ascii="Calibri" w:eastAsia="Times New Roman" w:hAnsi="Calibri" w:cs="Calibri"/>
                <w:sz w:val="22"/>
              </w:rPr>
            </w:pPr>
            <w:r w:rsidRPr="003F103D">
              <w:rPr>
                <w:rFonts w:ascii="Calibri" w:eastAsia="Times New Roman" w:hAnsi="Calibri" w:cs="Calibri"/>
                <w:sz w:val="22"/>
              </w:rPr>
              <w:t>Potential GDP growth (%)</w:t>
            </w:r>
          </w:p>
        </w:tc>
        <w:tc>
          <w:tcPr>
            <w:tcW w:w="994" w:type="dxa"/>
            <w:tcBorders>
              <w:top w:val="nil"/>
              <w:left w:val="nil"/>
              <w:bottom w:val="single" w:sz="4" w:space="0" w:color="FFFFFF"/>
              <w:right w:val="nil"/>
            </w:tcBorders>
            <w:shd w:val="clear" w:color="000000" w:fill="F2F2F2"/>
            <w:vAlign w:val="center"/>
            <w:hideMark/>
          </w:tcPr>
          <w:p w14:paraId="62B88CD9"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0.6</w:t>
            </w:r>
          </w:p>
        </w:tc>
        <w:tc>
          <w:tcPr>
            <w:tcW w:w="661" w:type="dxa"/>
            <w:tcBorders>
              <w:top w:val="nil"/>
              <w:left w:val="nil"/>
              <w:bottom w:val="single" w:sz="4" w:space="0" w:color="FFFFFF"/>
              <w:right w:val="nil"/>
            </w:tcBorders>
            <w:shd w:val="clear" w:color="000000" w:fill="F2F2F2"/>
            <w:vAlign w:val="center"/>
            <w:hideMark/>
          </w:tcPr>
          <w:p w14:paraId="5D0042C3"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1.2</w:t>
            </w:r>
          </w:p>
        </w:tc>
        <w:tc>
          <w:tcPr>
            <w:tcW w:w="675" w:type="dxa"/>
            <w:gridSpan w:val="2"/>
            <w:tcBorders>
              <w:top w:val="nil"/>
              <w:left w:val="nil"/>
              <w:bottom w:val="single" w:sz="4" w:space="0" w:color="FFFFFF"/>
              <w:right w:val="nil"/>
            </w:tcBorders>
            <w:shd w:val="clear" w:color="000000" w:fill="F2F2F2"/>
            <w:vAlign w:val="center"/>
            <w:hideMark/>
          </w:tcPr>
          <w:p w14:paraId="6E0E1C30"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2.5</w:t>
            </w:r>
          </w:p>
        </w:tc>
        <w:tc>
          <w:tcPr>
            <w:tcW w:w="734" w:type="dxa"/>
            <w:tcBorders>
              <w:top w:val="nil"/>
              <w:left w:val="nil"/>
              <w:bottom w:val="single" w:sz="4" w:space="0" w:color="FFFFFF"/>
              <w:right w:val="nil"/>
            </w:tcBorders>
            <w:shd w:val="clear" w:color="000000" w:fill="F2F2F2"/>
            <w:vAlign w:val="center"/>
            <w:hideMark/>
          </w:tcPr>
          <w:p w14:paraId="2E5C461D"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2.4</w:t>
            </w:r>
          </w:p>
        </w:tc>
        <w:tc>
          <w:tcPr>
            <w:tcW w:w="734" w:type="dxa"/>
            <w:tcBorders>
              <w:top w:val="nil"/>
              <w:left w:val="nil"/>
              <w:bottom w:val="single" w:sz="4" w:space="0" w:color="FFFFFF"/>
              <w:right w:val="nil"/>
            </w:tcBorders>
            <w:shd w:val="clear" w:color="000000" w:fill="F2F2F2"/>
            <w:vAlign w:val="center"/>
            <w:hideMark/>
          </w:tcPr>
          <w:p w14:paraId="24FA96EF"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1.7</w:t>
            </w:r>
          </w:p>
        </w:tc>
        <w:tc>
          <w:tcPr>
            <w:tcW w:w="661" w:type="dxa"/>
            <w:tcBorders>
              <w:top w:val="nil"/>
              <w:left w:val="nil"/>
              <w:bottom w:val="single" w:sz="4" w:space="0" w:color="FFFFFF"/>
              <w:right w:val="nil"/>
            </w:tcBorders>
            <w:shd w:val="clear" w:color="000000" w:fill="F2F2F2"/>
            <w:vAlign w:val="center"/>
            <w:hideMark/>
          </w:tcPr>
          <w:p w14:paraId="3C7D24D8"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1.5</w:t>
            </w:r>
          </w:p>
        </w:tc>
      </w:tr>
      <w:tr w:rsidR="003F103D" w:rsidRPr="003F103D" w14:paraId="43CAA658" w14:textId="77777777" w:rsidTr="003F103D">
        <w:trPr>
          <w:trHeight w:val="300"/>
          <w:jc w:val="center"/>
        </w:trPr>
        <w:tc>
          <w:tcPr>
            <w:tcW w:w="4515" w:type="dxa"/>
            <w:gridSpan w:val="2"/>
            <w:tcBorders>
              <w:top w:val="nil"/>
              <w:left w:val="nil"/>
              <w:bottom w:val="single" w:sz="4" w:space="0" w:color="FFFFFF"/>
              <w:right w:val="nil"/>
            </w:tcBorders>
            <w:shd w:val="clear" w:color="000000" w:fill="D9D9D9"/>
            <w:vAlign w:val="center"/>
            <w:hideMark/>
          </w:tcPr>
          <w:p w14:paraId="6BEDE3ED" w14:textId="77777777" w:rsidR="003F103D" w:rsidRPr="003F103D" w:rsidRDefault="003F103D" w:rsidP="00E77D7E">
            <w:pPr>
              <w:spacing w:after="0" w:line="220" w:lineRule="exact"/>
              <w:jc w:val="left"/>
              <w:rPr>
                <w:rFonts w:ascii="Calibri" w:eastAsia="Times New Roman" w:hAnsi="Calibri" w:cs="Calibri"/>
                <w:sz w:val="22"/>
                <w:lang w:val="en-US"/>
              </w:rPr>
            </w:pPr>
            <w:r w:rsidRPr="003F103D">
              <w:rPr>
                <w:rFonts w:ascii="Calibri" w:eastAsia="Times New Roman" w:hAnsi="Calibri" w:cs="Calibri"/>
                <w:sz w:val="22"/>
                <w:lang w:val="en-US"/>
              </w:rPr>
              <w:t>Real GDP growth (%) (adjustment scenario)</w:t>
            </w:r>
          </w:p>
        </w:tc>
        <w:tc>
          <w:tcPr>
            <w:tcW w:w="994" w:type="dxa"/>
            <w:tcBorders>
              <w:top w:val="nil"/>
              <w:left w:val="nil"/>
              <w:bottom w:val="single" w:sz="4" w:space="0" w:color="FFFFFF"/>
              <w:right w:val="nil"/>
            </w:tcBorders>
            <w:shd w:val="clear" w:color="000000" w:fill="D9D9D9"/>
            <w:vAlign w:val="center"/>
            <w:hideMark/>
          </w:tcPr>
          <w:p w14:paraId="204DDC95"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2.0</w:t>
            </w:r>
          </w:p>
        </w:tc>
        <w:tc>
          <w:tcPr>
            <w:tcW w:w="661" w:type="dxa"/>
            <w:tcBorders>
              <w:top w:val="nil"/>
              <w:left w:val="nil"/>
              <w:bottom w:val="single" w:sz="4" w:space="0" w:color="FFFFFF"/>
              <w:right w:val="nil"/>
            </w:tcBorders>
            <w:shd w:val="clear" w:color="000000" w:fill="D9D9D9"/>
            <w:vAlign w:val="center"/>
            <w:hideMark/>
          </w:tcPr>
          <w:p w14:paraId="6613FFBE"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2.2</w:t>
            </w:r>
          </w:p>
        </w:tc>
        <w:tc>
          <w:tcPr>
            <w:tcW w:w="675" w:type="dxa"/>
            <w:gridSpan w:val="2"/>
            <w:tcBorders>
              <w:top w:val="nil"/>
              <w:left w:val="nil"/>
              <w:bottom w:val="single" w:sz="4" w:space="0" w:color="FFFFFF"/>
              <w:right w:val="nil"/>
            </w:tcBorders>
            <w:shd w:val="clear" w:color="000000" w:fill="D9D9D9"/>
            <w:vAlign w:val="center"/>
            <w:hideMark/>
          </w:tcPr>
          <w:p w14:paraId="2846FE08"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2.3</w:t>
            </w:r>
          </w:p>
        </w:tc>
        <w:tc>
          <w:tcPr>
            <w:tcW w:w="734" w:type="dxa"/>
            <w:tcBorders>
              <w:top w:val="nil"/>
              <w:left w:val="nil"/>
              <w:bottom w:val="single" w:sz="4" w:space="0" w:color="FFFFFF"/>
              <w:right w:val="nil"/>
            </w:tcBorders>
            <w:shd w:val="clear" w:color="000000" w:fill="D9D9D9"/>
            <w:vAlign w:val="center"/>
            <w:hideMark/>
          </w:tcPr>
          <w:p w14:paraId="468C42DC"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2</w:t>
            </w:r>
            <w:r w:rsidR="00877836" w:rsidRPr="00C8474A">
              <w:rPr>
                <w:rFonts w:ascii="Calibri" w:eastAsia="Times New Roman" w:hAnsi="Calibri" w:cs="Calibri"/>
                <w:b/>
                <w:color w:val="548DD4" w:themeColor="text2" w:themeTint="99"/>
                <w:sz w:val="22"/>
                <w:lang w:val="en-US"/>
              </w:rPr>
              <w:t>.0</w:t>
            </w:r>
          </w:p>
        </w:tc>
        <w:tc>
          <w:tcPr>
            <w:tcW w:w="734" w:type="dxa"/>
            <w:tcBorders>
              <w:top w:val="nil"/>
              <w:left w:val="nil"/>
              <w:bottom w:val="single" w:sz="4" w:space="0" w:color="FFFFFF"/>
              <w:right w:val="nil"/>
            </w:tcBorders>
            <w:shd w:val="clear" w:color="000000" w:fill="D9D9D9"/>
            <w:vAlign w:val="center"/>
            <w:hideMark/>
          </w:tcPr>
          <w:p w14:paraId="0DEDD67B"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1.5</w:t>
            </w:r>
          </w:p>
        </w:tc>
        <w:tc>
          <w:tcPr>
            <w:tcW w:w="661" w:type="dxa"/>
            <w:tcBorders>
              <w:top w:val="nil"/>
              <w:left w:val="nil"/>
              <w:bottom w:val="single" w:sz="4" w:space="0" w:color="FFFFFF"/>
              <w:right w:val="nil"/>
            </w:tcBorders>
            <w:shd w:val="clear" w:color="000000" w:fill="D9D9D9"/>
            <w:vAlign w:val="center"/>
            <w:hideMark/>
          </w:tcPr>
          <w:p w14:paraId="7849D704" w14:textId="77777777" w:rsidR="003F103D" w:rsidRPr="00C8474A" w:rsidRDefault="003F103D" w:rsidP="00E77D7E">
            <w:pPr>
              <w:spacing w:after="0" w:line="220" w:lineRule="exact"/>
              <w:jc w:val="center"/>
              <w:rPr>
                <w:rFonts w:ascii="Calibri" w:eastAsia="Times New Roman" w:hAnsi="Calibri" w:cs="Calibri"/>
                <w:b/>
                <w:sz w:val="22"/>
              </w:rPr>
            </w:pPr>
            <w:r w:rsidRPr="00C8474A">
              <w:rPr>
                <w:rFonts w:ascii="Calibri" w:eastAsia="Times New Roman" w:hAnsi="Calibri" w:cs="Calibri"/>
                <w:b/>
                <w:color w:val="548DD4" w:themeColor="text2" w:themeTint="99"/>
                <w:sz w:val="22"/>
              </w:rPr>
              <w:t>1.3</w:t>
            </w:r>
          </w:p>
        </w:tc>
      </w:tr>
      <w:tr w:rsidR="003F103D" w:rsidRPr="003F103D" w14:paraId="0690DCF3" w14:textId="77777777" w:rsidTr="003F103D">
        <w:trPr>
          <w:trHeight w:val="300"/>
          <w:jc w:val="center"/>
        </w:trPr>
        <w:tc>
          <w:tcPr>
            <w:tcW w:w="4515" w:type="dxa"/>
            <w:gridSpan w:val="2"/>
            <w:tcBorders>
              <w:top w:val="nil"/>
              <w:left w:val="nil"/>
              <w:bottom w:val="single" w:sz="4" w:space="0" w:color="FFFFFF"/>
              <w:right w:val="nil"/>
            </w:tcBorders>
            <w:shd w:val="clear" w:color="000000" w:fill="F2F2F2"/>
            <w:vAlign w:val="center"/>
            <w:hideMark/>
          </w:tcPr>
          <w:p w14:paraId="505C5B67" w14:textId="77777777" w:rsidR="003F103D" w:rsidRPr="003F103D" w:rsidRDefault="003F103D" w:rsidP="00E77D7E">
            <w:pPr>
              <w:spacing w:after="0" w:line="220" w:lineRule="exact"/>
              <w:jc w:val="left"/>
              <w:rPr>
                <w:rFonts w:ascii="Calibri" w:eastAsia="Times New Roman" w:hAnsi="Calibri" w:cs="Calibri"/>
                <w:sz w:val="22"/>
              </w:rPr>
            </w:pPr>
            <w:r w:rsidRPr="003F103D">
              <w:rPr>
                <w:rFonts w:ascii="Calibri" w:eastAsia="Times New Roman" w:hAnsi="Calibri" w:cs="Calibri"/>
                <w:sz w:val="22"/>
              </w:rPr>
              <w:t>GDP deflator</w:t>
            </w:r>
          </w:p>
        </w:tc>
        <w:tc>
          <w:tcPr>
            <w:tcW w:w="994" w:type="dxa"/>
            <w:tcBorders>
              <w:top w:val="nil"/>
              <w:left w:val="nil"/>
              <w:bottom w:val="single" w:sz="4" w:space="0" w:color="FFFFFF"/>
              <w:right w:val="nil"/>
            </w:tcBorders>
            <w:shd w:val="clear" w:color="000000" w:fill="F2F2F2"/>
            <w:vAlign w:val="center"/>
            <w:hideMark/>
          </w:tcPr>
          <w:p w14:paraId="022B6BAB"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4.5</w:t>
            </w:r>
          </w:p>
        </w:tc>
        <w:tc>
          <w:tcPr>
            <w:tcW w:w="661" w:type="dxa"/>
            <w:tcBorders>
              <w:top w:val="nil"/>
              <w:left w:val="nil"/>
              <w:bottom w:val="single" w:sz="4" w:space="0" w:color="FFFFFF"/>
              <w:right w:val="nil"/>
            </w:tcBorders>
            <w:shd w:val="clear" w:color="000000" w:fill="F2F2F2"/>
            <w:vAlign w:val="center"/>
            <w:hideMark/>
          </w:tcPr>
          <w:p w14:paraId="56CE2C27"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3.0</w:t>
            </w:r>
          </w:p>
        </w:tc>
        <w:tc>
          <w:tcPr>
            <w:tcW w:w="675" w:type="dxa"/>
            <w:gridSpan w:val="2"/>
            <w:tcBorders>
              <w:top w:val="nil"/>
              <w:left w:val="nil"/>
              <w:bottom w:val="single" w:sz="4" w:space="0" w:color="FFFFFF"/>
              <w:right w:val="nil"/>
            </w:tcBorders>
            <w:shd w:val="clear" w:color="000000" w:fill="F2F2F2"/>
            <w:vAlign w:val="center"/>
            <w:hideMark/>
          </w:tcPr>
          <w:p w14:paraId="3E80B461"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2.2</w:t>
            </w:r>
          </w:p>
        </w:tc>
        <w:tc>
          <w:tcPr>
            <w:tcW w:w="734" w:type="dxa"/>
            <w:tcBorders>
              <w:top w:val="nil"/>
              <w:left w:val="nil"/>
              <w:bottom w:val="single" w:sz="4" w:space="0" w:color="FFFFFF"/>
              <w:right w:val="nil"/>
            </w:tcBorders>
            <w:shd w:val="clear" w:color="000000" w:fill="F2F2F2"/>
            <w:vAlign w:val="center"/>
            <w:hideMark/>
          </w:tcPr>
          <w:p w14:paraId="6A94C068"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2.3</w:t>
            </w:r>
          </w:p>
        </w:tc>
        <w:tc>
          <w:tcPr>
            <w:tcW w:w="734" w:type="dxa"/>
            <w:tcBorders>
              <w:top w:val="nil"/>
              <w:left w:val="nil"/>
              <w:bottom w:val="single" w:sz="4" w:space="0" w:color="FFFFFF"/>
              <w:right w:val="nil"/>
            </w:tcBorders>
            <w:shd w:val="clear" w:color="000000" w:fill="F2F2F2"/>
            <w:vAlign w:val="center"/>
            <w:hideMark/>
          </w:tcPr>
          <w:p w14:paraId="67A64772"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2.3</w:t>
            </w:r>
          </w:p>
        </w:tc>
        <w:tc>
          <w:tcPr>
            <w:tcW w:w="661" w:type="dxa"/>
            <w:tcBorders>
              <w:top w:val="nil"/>
              <w:left w:val="nil"/>
              <w:bottom w:val="single" w:sz="4" w:space="0" w:color="FFFFFF"/>
              <w:right w:val="nil"/>
            </w:tcBorders>
            <w:shd w:val="clear" w:color="000000" w:fill="F2F2F2"/>
            <w:vAlign w:val="center"/>
            <w:hideMark/>
          </w:tcPr>
          <w:p w14:paraId="710FCF4E"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2.4</w:t>
            </w:r>
          </w:p>
        </w:tc>
      </w:tr>
      <w:tr w:rsidR="003F103D" w:rsidRPr="003F103D" w14:paraId="22A62326" w14:textId="77777777" w:rsidTr="003F103D">
        <w:trPr>
          <w:trHeight w:val="300"/>
          <w:jc w:val="center"/>
        </w:trPr>
        <w:tc>
          <w:tcPr>
            <w:tcW w:w="4515" w:type="dxa"/>
            <w:gridSpan w:val="2"/>
            <w:tcBorders>
              <w:top w:val="nil"/>
              <w:left w:val="nil"/>
              <w:bottom w:val="single" w:sz="4" w:space="0" w:color="FFFFFF"/>
              <w:right w:val="nil"/>
            </w:tcBorders>
            <w:shd w:val="clear" w:color="000000" w:fill="D9D9D9"/>
            <w:vAlign w:val="center"/>
            <w:hideMark/>
          </w:tcPr>
          <w:p w14:paraId="7E790242" w14:textId="77777777" w:rsidR="003F103D" w:rsidRPr="003F103D" w:rsidRDefault="003F103D" w:rsidP="00E77D7E">
            <w:pPr>
              <w:spacing w:after="0" w:line="220" w:lineRule="exact"/>
              <w:jc w:val="left"/>
              <w:rPr>
                <w:rFonts w:ascii="Calibri" w:eastAsia="Times New Roman" w:hAnsi="Calibri" w:cs="Calibri"/>
                <w:sz w:val="22"/>
              </w:rPr>
            </w:pPr>
            <w:r w:rsidRPr="003F103D">
              <w:rPr>
                <w:rFonts w:ascii="Calibri" w:eastAsia="Times New Roman" w:hAnsi="Calibri" w:cs="Calibri"/>
                <w:sz w:val="22"/>
              </w:rPr>
              <w:t>Output gap (baseline scenario)</w:t>
            </w:r>
          </w:p>
        </w:tc>
        <w:tc>
          <w:tcPr>
            <w:tcW w:w="994" w:type="dxa"/>
            <w:tcBorders>
              <w:top w:val="nil"/>
              <w:left w:val="nil"/>
              <w:bottom w:val="single" w:sz="4" w:space="0" w:color="FFFFFF"/>
              <w:right w:val="nil"/>
            </w:tcBorders>
            <w:shd w:val="clear" w:color="000000" w:fill="D9D9D9"/>
            <w:vAlign w:val="center"/>
            <w:hideMark/>
          </w:tcPr>
          <w:p w14:paraId="03588FB9"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0.3</w:t>
            </w:r>
          </w:p>
        </w:tc>
        <w:tc>
          <w:tcPr>
            <w:tcW w:w="661" w:type="dxa"/>
            <w:tcBorders>
              <w:top w:val="nil"/>
              <w:left w:val="nil"/>
              <w:bottom w:val="single" w:sz="4" w:space="0" w:color="FFFFFF"/>
              <w:right w:val="nil"/>
            </w:tcBorders>
            <w:shd w:val="clear" w:color="000000" w:fill="D9D9D9"/>
            <w:vAlign w:val="center"/>
            <w:hideMark/>
          </w:tcPr>
          <w:p w14:paraId="778E557D"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1.2</w:t>
            </w:r>
          </w:p>
        </w:tc>
        <w:tc>
          <w:tcPr>
            <w:tcW w:w="675" w:type="dxa"/>
            <w:gridSpan w:val="2"/>
            <w:tcBorders>
              <w:top w:val="nil"/>
              <w:left w:val="nil"/>
              <w:bottom w:val="single" w:sz="4" w:space="0" w:color="FFFFFF"/>
              <w:right w:val="nil"/>
            </w:tcBorders>
            <w:shd w:val="clear" w:color="000000" w:fill="D9D9D9"/>
            <w:vAlign w:val="center"/>
            <w:hideMark/>
          </w:tcPr>
          <w:p w14:paraId="2A729FD6"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1.0</w:t>
            </w:r>
          </w:p>
        </w:tc>
        <w:tc>
          <w:tcPr>
            <w:tcW w:w="734" w:type="dxa"/>
            <w:tcBorders>
              <w:top w:val="nil"/>
              <w:left w:val="nil"/>
              <w:bottom w:val="single" w:sz="4" w:space="0" w:color="FFFFFF"/>
              <w:right w:val="nil"/>
            </w:tcBorders>
            <w:shd w:val="clear" w:color="000000" w:fill="D9D9D9"/>
            <w:vAlign w:val="center"/>
            <w:hideMark/>
          </w:tcPr>
          <w:p w14:paraId="0A6A9F4D"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0.7</w:t>
            </w:r>
          </w:p>
        </w:tc>
        <w:tc>
          <w:tcPr>
            <w:tcW w:w="734" w:type="dxa"/>
            <w:tcBorders>
              <w:top w:val="nil"/>
              <w:left w:val="nil"/>
              <w:bottom w:val="single" w:sz="4" w:space="0" w:color="FFFFFF"/>
              <w:right w:val="nil"/>
            </w:tcBorders>
            <w:shd w:val="clear" w:color="000000" w:fill="D9D9D9"/>
            <w:vAlign w:val="center"/>
            <w:hideMark/>
          </w:tcPr>
          <w:p w14:paraId="376DF62F"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0.3</w:t>
            </w:r>
          </w:p>
        </w:tc>
        <w:tc>
          <w:tcPr>
            <w:tcW w:w="661" w:type="dxa"/>
            <w:tcBorders>
              <w:top w:val="nil"/>
              <w:left w:val="nil"/>
              <w:bottom w:val="single" w:sz="4" w:space="0" w:color="FFFFFF"/>
              <w:right w:val="nil"/>
            </w:tcBorders>
            <w:shd w:val="clear" w:color="000000" w:fill="D9D9D9"/>
            <w:vAlign w:val="center"/>
            <w:hideMark/>
          </w:tcPr>
          <w:p w14:paraId="108A3F2C"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0.0</w:t>
            </w:r>
          </w:p>
        </w:tc>
      </w:tr>
      <w:tr w:rsidR="003F103D" w:rsidRPr="003F103D" w14:paraId="70426B0D" w14:textId="77777777" w:rsidTr="003F103D">
        <w:trPr>
          <w:trHeight w:val="300"/>
          <w:jc w:val="center"/>
        </w:trPr>
        <w:tc>
          <w:tcPr>
            <w:tcW w:w="4515" w:type="dxa"/>
            <w:gridSpan w:val="2"/>
            <w:tcBorders>
              <w:top w:val="nil"/>
              <w:left w:val="nil"/>
              <w:bottom w:val="single" w:sz="4" w:space="0" w:color="FFFFFF"/>
              <w:right w:val="nil"/>
            </w:tcBorders>
            <w:shd w:val="clear" w:color="000000" w:fill="F2F2F2"/>
            <w:vAlign w:val="center"/>
            <w:hideMark/>
          </w:tcPr>
          <w:p w14:paraId="5A9F2A11" w14:textId="77777777" w:rsidR="003F103D" w:rsidRPr="003F103D" w:rsidRDefault="003F103D" w:rsidP="00E77D7E">
            <w:pPr>
              <w:spacing w:after="0" w:line="220" w:lineRule="exact"/>
              <w:jc w:val="left"/>
              <w:rPr>
                <w:rFonts w:ascii="Calibri" w:eastAsia="Times New Roman" w:hAnsi="Calibri" w:cs="Calibri"/>
                <w:sz w:val="22"/>
              </w:rPr>
            </w:pPr>
            <w:r w:rsidRPr="003F103D">
              <w:rPr>
                <w:rFonts w:ascii="Calibri" w:eastAsia="Times New Roman" w:hAnsi="Calibri" w:cs="Calibri"/>
                <w:sz w:val="22"/>
              </w:rPr>
              <w:t>Output gap (adjustment scenario)</w:t>
            </w:r>
          </w:p>
        </w:tc>
        <w:tc>
          <w:tcPr>
            <w:tcW w:w="994" w:type="dxa"/>
            <w:tcBorders>
              <w:top w:val="nil"/>
              <w:left w:val="nil"/>
              <w:bottom w:val="single" w:sz="4" w:space="0" w:color="FFFFFF"/>
              <w:right w:val="nil"/>
            </w:tcBorders>
            <w:shd w:val="clear" w:color="000000" w:fill="F2F2F2"/>
            <w:vAlign w:val="center"/>
            <w:hideMark/>
          </w:tcPr>
          <w:p w14:paraId="271DB009"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0.3</w:t>
            </w:r>
          </w:p>
        </w:tc>
        <w:tc>
          <w:tcPr>
            <w:tcW w:w="661" w:type="dxa"/>
            <w:tcBorders>
              <w:top w:val="nil"/>
              <w:left w:val="nil"/>
              <w:bottom w:val="single" w:sz="4" w:space="0" w:color="FFFFFF"/>
              <w:right w:val="nil"/>
            </w:tcBorders>
            <w:shd w:val="clear" w:color="000000" w:fill="F2F2F2"/>
            <w:vAlign w:val="center"/>
            <w:hideMark/>
          </w:tcPr>
          <w:p w14:paraId="38F7054A"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1.2</w:t>
            </w:r>
          </w:p>
        </w:tc>
        <w:tc>
          <w:tcPr>
            <w:tcW w:w="675" w:type="dxa"/>
            <w:gridSpan w:val="2"/>
            <w:tcBorders>
              <w:top w:val="nil"/>
              <w:left w:val="nil"/>
              <w:bottom w:val="single" w:sz="4" w:space="0" w:color="FFFFFF"/>
              <w:right w:val="nil"/>
            </w:tcBorders>
            <w:shd w:val="clear" w:color="000000" w:fill="F2F2F2"/>
            <w:vAlign w:val="center"/>
            <w:hideMark/>
          </w:tcPr>
          <w:p w14:paraId="7792AE50"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1.0</w:t>
            </w:r>
          </w:p>
        </w:tc>
        <w:tc>
          <w:tcPr>
            <w:tcW w:w="734" w:type="dxa"/>
            <w:tcBorders>
              <w:top w:val="nil"/>
              <w:left w:val="nil"/>
              <w:bottom w:val="single" w:sz="4" w:space="0" w:color="FFFFFF"/>
              <w:right w:val="nil"/>
            </w:tcBorders>
            <w:shd w:val="clear" w:color="000000" w:fill="F2F2F2"/>
            <w:vAlign w:val="center"/>
            <w:hideMark/>
          </w:tcPr>
          <w:p w14:paraId="51362960"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0.6</w:t>
            </w:r>
          </w:p>
        </w:tc>
        <w:tc>
          <w:tcPr>
            <w:tcW w:w="734" w:type="dxa"/>
            <w:tcBorders>
              <w:top w:val="nil"/>
              <w:left w:val="nil"/>
              <w:bottom w:val="single" w:sz="4" w:space="0" w:color="FFFFFF"/>
              <w:right w:val="nil"/>
            </w:tcBorders>
            <w:shd w:val="clear" w:color="000000" w:fill="F2F2F2"/>
            <w:vAlign w:val="center"/>
            <w:hideMark/>
          </w:tcPr>
          <w:p w14:paraId="25DE1A86"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0.3</w:t>
            </w:r>
          </w:p>
        </w:tc>
        <w:tc>
          <w:tcPr>
            <w:tcW w:w="661" w:type="dxa"/>
            <w:tcBorders>
              <w:top w:val="nil"/>
              <w:left w:val="nil"/>
              <w:bottom w:val="single" w:sz="4" w:space="0" w:color="FFFFFF"/>
              <w:right w:val="nil"/>
            </w:tcBorders>
            <w:shd w:val="clear" w:color="000000" w:fill="F2F2F2"/>
            <w:vAlign w:val="center"/>
            <w:hideMark/>
          </w:tcPr>
          <w:p w14:paraId="54AC4791"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0.1</w:t>
            </w:r>
          </w:p>
        </w:tc>
      </w:tr>
      <w:tr w:rsidR="003F103D" w:rsidRPr="003F103D" w14:paraId="6126734E" w14:textId="77777777" w:rsidTr="003F103D">
        <w:trPr>
          <w:trHeight w:val="300"/>
          <w:jc w:val="center"/>
        </w:trPr>
        <w:tc>
          <w:tcPr>
            <w:tcW w:w="4515" w:type="dxa"/>
            <w:gridSpan w:val="2"/>
            <w:tcBorders>
              <w:top w:val="nil"/>
              <w:left w:val="nil"/>
              <w:bottom w:val="single" w:sz="4" w:space="0" w:color="FFFFFF"/>
              <w:right w:val="nil"/>
            </w:tcBorders>
            <w:shd w:val="clear" w:color="000000" w:fill="D9D9D9"/>
            <w:vAlign w:val="center"/>
            <w:hideMark/>
          </w:tcPr>
          <w:p w14:paraId="3F11C8B6" w14:textId="60C23335" w:rsidR="003F103D" w:rsidRPr="006D0232" w:rsidRDefault="003F103D" w:rsidP="00E77D7E">
            <w:pPr>
              <w:spacing w:after="0" w:line="220" w:lineRule="exact"/>
              <w:jc w:val="left"/>
              <w:rPr>
                <w:rFonts w:ascii="Calibri" w:eastAsia="Times New Roman" w:hAnsi="Calibri" w:cs="Calibri"/>
                <w:sz w:val="22"/>
                <w:lang w:val="en-US"/>
              </w:rPr>
            </w:pPr>
            <w:r w:rsidRPr="006D0232">
              <w:rPr>
                <w:rFonts w:ascii="Calibri" w:eastAsia="Times New Roman" w:hAnsi="Calibri" w:cs="Calibri"/>
                <w:sz w:val="22"/>
                <w:lang w:val="en-US"/>
              </w:rPr>
              <w:t>Structural primary balance</w:t>
            </w:r>
            <w:r w:rsidR="006D0232">
              <w:rPr>
                <w:rFonts w:ascii="Calibri" w:eastAsia="Times New Roman" w:hAnsi="Calibri" w:cs="Calibri"/>
                <w:sz w:val="22"/>
                <w:lang w:val="en-US"/>
              </w:rPr>
              <w:t xml:space="preserve"> (adj</w:t>
            </w:r>
            <w:r w:rsidR="00915016">
              <w:rPr>
                <w:rFonts w:ascii="Calibri" w:eastAsia="Times New Roman" w:hAnsi="Calibri" w:cs="Calibri"/>
                <w:sz w:val="22"/>
                <w:lang w:val="en-US"/>
              </w:rPr>
              <w:t>ust.</w:t>
            </w:r>
            <w:r w:rsidR="006D0232">
              <w:rPr>
                <w:rFonts w:ascii="Calibri" w:eastAsia="Times New Roman" w:hAnsi="Calibri" w:cs="Calibri"/>
                <w:sz w:val="22"/>
                <w:lang w:val="en-US"/>
              </w:rPr>
              <w:t xml:space="preserve"> scenario)</w:t>
            </w:r>
          </w:p>
        </w:tc>
        <w:tc>
          <w:tcPr>
            <w:tcW w:w="994" w:type="dxa"/>
            <w:tcBorders>
              <w:top w:val="nil"/>
              <w:left w:val="nil"/>
              <w:bottom w:val="single" w:sz="4" w:space="0" w:color="FFFFFF"/>
              <w:right w:val="nil"/>
            </w:tcBorders>
            <w:shd w:val="clear" w:color="000000" w:fill="D9D9D9"/>
            <w:vAlign w:val="center"/>
            <w:hideMark/>
          </w:tcPr>
          <w:p w14:paraId="284DB2AE"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1.9</w:t>
            </w:r>
          </w:p>
        </w:tc>
        <w:tc>
          <w:tcPr>
            <w:tcW w:w="661" w:type="dxa"/>
            <w:tcBorders>
              <w:top w:val="nil"/>
              <w:left w:val="nil"/>
              <w:bottom w:val="single" w:sz="4" w:space="0" w:color="FFFFFF"/>
              <w:right w:val="nil"/>
            </w:tcBorders>
            <w:shd w:val="clear" w:color="000000" w:fill="D9D9D9"/>
            <w:vAlign w:val="center"/>
            <w:hideMark/>
          </w:tcPr>
          <w:p w14:paraId="47CC7867"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1.9</w:t>
            </w:r>
          </w:p>
        </w:tc>
        <w:tc>
          <w:tcPr>
            <w:tcW w:w="675" w:type="dxa"/>
            <w:gridSpan w:val="2"/>
            <w:tcBorders>
              <w:top w:val="nil"/>
              <w:left w:val="nil"/>
              <w:bottom w:val="single" w:sz="4" w:space="0" w:color="FFFFFF"/>
              <w:right w:val="nil"/>
            </w:tcBorders>
            <w:shd w:val="clear" w:color="000000" w:fill="D9D9D9"/>
            <w:vAlign w:val="center"/>
            <w:hideMark/>
          </w:tcPr>
          <w:p w14:paraId="0A33F44B"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2.0</w:t>
            </w:r>
          </w:p>
        </w:tc>
        <w:tc>
          <w:tcPr>
            <w:tcW w:w="734" w:type="dxa"/>
            <w:tcBorders>
              <w:top w:val="nil"/>
              <w:left w:val="nil"/>
              <w:bottom w:val="single" w:sz="4" w:space="0" w:color="FFFFFF"/>
              <w:right w:val="nil"/>
            </w:tcBorders>
            <w:shd w:val="clear" w:color="000000" w:fill="D9D9D9"/>
            <w:vAlign w:val="center"/>
            <w:hideMark/>
          </w:tcPr>
          <w:p w14:paraId="062F91CE"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2.1</w:t>
            </w:r>
          </w:p>
        </w:tc>
        <w:tc>
          <w:tcPr>
            <w:tcW w:w="734" w:type="dxa"/>
            <w:tcBorders>
              <w:top w:val="nil"/>
              <w:left w:val="nil"/>
              <w:bottom w:val="single" w:sz="4" w:space="0" w:color="FFFFFF"/>
              <w:right w:val="nil"/>
            </w:tcBorders>
            <w:shd w:val="clear" w:color="000000" w:fill="D9D9D9"/>
            <w:vAlign w:val="center"/>
            <w:hideMark/>
          </w:tcPr>
          <w:p w14:paraId="69F933EC"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2.2</w:t>
            </w:r>
          </w:p>
        </w:tc>
        <w:tc>
          <w:tcPr>
            <w:tcW w:w="661" w:type="dxa"/>
            <w:tcBorders>
              <w:top w:val="nil"/>
              <w:left w:val="nil"/>
              <w:bottom w:val="single" w:sz="4" w:space="0" w:color="FFFFFF"/>
              <w:right w:val="nil"/>
            </w:tcBorders>
            <w:shd w:val="clear" w:color="000000" w:fill="D9D9D9"/>
            <w:vAlign w:val="center"/>
            <w:hideMark/>
          </w:tcPr>
          <w:p w14:paraId="1849C565"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2.3</w:t>
            </w:r>
          </w:p>
        </w:tc>
      </w:tr>
      <w:tr w:rsidR="003F103D" w:rsidRPr="003F103D" w14:paraId="6BFA59B7" w14:textId="77777777" w:rsidTr="003F103D">
        <w:trPr>
          <w:trHeight w:val="300"/>
          <w:jc w:val="center"/>
        </w:trPr>
        <w:tc>
          <w:tcPr>
            <w:tcW w:w="4515" w:type="dxa"/>
            <w:gridSpan w:val="2"/>
            <w:tcBorders>
              <w:top w:val="single" w:sz="4" w:space="0" w:color="FFFFFF"/>
              <w:left w:val="nil"/>
              <w:bottom w:val="single" w:sz="4" w:space="0" w:color="4F81BD" w:themeColor="accent1"/>
              <w:right w:val="nil"/>
            </w:tcBorders>
            <w:shd w:val="clear" w:color="000000" w:fill="F2F2F2"/>
            <w:vAlign w:val="center"/>
            <w:hideMark/>
          </w:tcPr>
          <w:p w14:paraId="1B225958" w14:textId="77777777" w:rsidR="003F103D" w:rsidRPr="003F103D" w:rsidRDefault="003F103D" w:rsidP="00E77D7E">
            <w:pPr>
              <w:spacing w:after="0" w:line="220" w:lineRule="exact"/>
              <w:jc w:val="left"/>
              <w:rPr>
                <w:rFonts w:ascii="Calibri" w:eastAsia="Times New Roman" w:hAnsi="Calibri" w:cs="Calibri"/>
                <w:sz w:val="22"/>
                <w:lang w:val="en-US"/>
              </w:rPr>
            </w:pPr>
            <w:r w:rsidRPr="003F103D">
              <w:rPr>
                <w:rFonts w:ascii="Calibri" w:eastAsia="Times New Roman" w:hAnsi="Calibri" w:cs="Calibri"/>
                <w:sz w:val="22"/>
                <w:lang w:val="en-US"/>
              </w:rPr>
              <w:t>Annual change in the structural primary balance (pp. of GDP)</w:t>
            </w:r>
          </w:p>
        </w:tc>
        <w:tc>
          <w:tcPr>
            <w:tcW w:w="994" w:type="dxa"/>
            <w:tcBorders>
              <w:top w:val="single" w:sz="4" w:space="0" w:color="FFFFFF"/>
              <w:left w:val="nil"/>
              <w:bottom w:val="single" w:sz="4" w:space="0" w:color="4F81BD" w:themeColor="accent1"/>
              <w:right w:val="nil"/>
            </w:tcBorders>
            <w:shd w:val="clear" w:color="000000" w:fill="F2F2F2"/>
            <w:vAlign w:val="center"/>
            <w:hideMark/>
          </w:tcPr>
          <w:p w14:paraId="0FCA4EED" w14:textId="77777777" w:rsidR="003F103D" w:rsidRPr="003F103D" w:rsidRDefault="003F103D" w:rsidP="00E77D7E">
            <w:pPr>
              <w:spacing w:after="0" w:line="220" w:lineRule="exact"/>
              <w:jc w:val="center"/>
              <w:rPr>
                <w:rFonts w:ascii="Calibri" w:eastAsia="Times New Roman" w:hAnsi="Calibri" w:cs="Calibri"/>
                <w:sz w:val="22"/>
                <w:lang w:val="en-US"/>
              </w:rPr>
            </w:pPr>
            <w:r w:rsidRPr="003F103D">
              <w:rPr>
                <w:rFonts w:ascii="Calibri" w:eastAsia="Times New Roman" w:hAnsi="Calibri" w:cs="Calibri"/>
                <w:sz w:val="22"/>
                <w:lang w:val="en-US"/>
              </w:rPr>
              <w:t> </w:t>
            </w:r>
          </w:p>
        </w:tc>
        <w:tc>
          <w:tcPr>
            <w:tcW w:w="661" w:type="dxa"/>
            <w:tcBorders>
              <w:top w:val="single" w:sz="4" w:space="0" w:color="FFFFFF"/>
              <w:left w:val="nil"/>
              <w:bottom w:val="single" w:sz="4" w:space="0" w:color="4F81BD" w:themeColor="accent1"/>
              <w:right w:val="nil"/>
            </w:tcBorders>
            <w:shd w:val="clear" w:color="000000" w:fill="F2F2F2"/>
            <w:vAlign w:val="center"/>
            <w:hideMark/>
          </w:tcPr>
          <w:p w14:paraId="5F429849"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0.02</w:t>
            </w:r>
          </w:p>
        </w:tc>
        <w:tc>
          <w:tcPr>
            <w:tcW w:w="675" w:type="dxa"/>
            <w:gridSpan w:val="2"/>
            <w:tcBorders>
              <w:top w:val="single" w:sz="4" w:space="0" w:color="FFFFFF"/>
              <w:left w:val="nil"/>
              <w:bottom w:val="single" w:sz="4" w:space="0" w:color="4F81BD" w:themeColor="accent1"/>
              <w:right w:val="nil"/>
            </w:tcBorders>
            <w:shd w:val="clear" w:color="000000" w:fill="F2F2F2"/>
            <w:vAlign w:val="center"/>
            <w:hideMark/>
          </w:tcPr>
          <w:p w14:paraId="18D91F95"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0.10</w:t>
            </w:r>
          </w:p>
        </w:tc>
        <w:tc>
          <w:tcPr>
            <w:tcW w:w="734" w:type="dxa"/>
            <w:tcBorders>
              <w:top w:val="single" w:sz="4" w:space="0" w:color="FFFFFF"/>
              <w:left w:val="nil"/>
              <w:bottom w:val="single" w:sz="4" w:space="0" w:color="4F81BD" w:themeColor="accent1"/>
              <w:right w:val="nil"/>
            </w:tcBorders>
            <w:shd w:val="clear" w:color="000000" w:fill="F2F2F2"/>
            <w:vAlign w:val="center"/>
            <w:hideMark/>
          </w:tcPr>
          <w:p w14:paraId="5C9D62A8"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0.10</w:t>
            </w:r>
          </w:p>
        </w:tc>
        <w:tc>
          <w:tcPr>
            <w:tcW w:w="734" w:type="dxa"/>
            <w:tcBorders>
              <w:top w:val="single" w:sz="4" w:space="0" w:color="FFFFFF"/>
              <w:left w:val="nil"/>
              <w:bottom w:val="single" w:sz="4" w:space="0" w:color="4F81BD" w:themeColor="accent1"/>
              <w:right w:val="nil"/>
            </w:tcBorders>
            <w:shd w:val="clear" w:color="000000" w:fill="F2F2F2"/>
            <w:vAlign w:val="center"/>
            <w:hideMark/>
          </w:tcPr>
          <w:p w14:paraId="1CDEA478"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0.10</w:t>
            </w:r>
          </w:p>
        </w:tc>
        <w:tc>
          <w:tcPr>
            <w:tcW w:w="661" w:type="dxa"/>
            <w:tcBorders>
              <w:top w:val="single" w:sz="4" w:space="0" w:color="FFFFFF"/>
              <w:left w:val="nil"/>
              <w:bottom w:val="single" w:sz="4" w:space="0" w:color="4F81BD" w:themeColor="accent1"/>
              <w:right w:val="nil"/>
            </w:tcBorders>
            <w:shd w:val="clear" w:color="000000" w:fill="F2F2F2"/>
            <w:vAlign w:val="center"/>
            <w:hideMark/>
          </w:tcPr>
          <w:p w14:paraId="2458567A"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0.10</w:t>
            </w:r>
          </w:p>
        </w:tc>
      </w:tr>
      <w:tr w:rsidR="003F103D" w:rsidRPr="003F103D" w14:paraId="3C07D562" w14:textId="77777777" w:rsidTr="003F103D">
        <w:trPr>
          <w:trHeight w:val="300"/>
          <w:jc w:val="center"/>
        </w:trPr>
        <w:tc>
          <w:tcPr>
            <w:tcW w:w="4111" w:type="dxa"/>
            <w:tcBorders>
              <w:top w:val="single" w:sz="4" w:space="0" w:color="4F81BD" w:themeColor="accent1"/>
              <w:left w:val="nil"/>
              <w:bottom w:val="single" w:sz="4" w:space="0" w:color="FFFFFF"/>
              <w:right w:val="nil"/>
            </w:tcBorders>
            <w:shd w:val="clear" w:color="000000" w:fill="BFBFBF"/>
            <w:vAlign w:val="center"/>
            <w:hideMark/>
          </w:tcPr>
          <w:p w14:paraId="7E50A1AF" w14:textId="77777777" w:rsidR="003F103D" w:rsidRPr="003F103D" w:rsidRDefault="003F103D" w:rsidP="00E77D7E">
            <w:pPr>
              <w:spacing w:after="0" w:line="220" w:lineRule="exact"/>
              <w:jc w:val="left"/>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 </w:t>
            </w:r>
          </w:p>
        </w:tc>
        <w:tc>
          <w:tcPr>
            <w:tcW w:w="2126" w:type="dxa"/>
            <w:gridSpan w:val="4"/>
            <w:tcBorders>
              <w:top w:val="single" w:sz="4" w:space="0" w:color="4F81BD" w:themeColor="accent1"/>
              <w:left w:val="nil"/>
              <w:bottom w:val="single" w:sz="4" w:space="0" w:color="FFFFFF"/>
              <w:right w:val="nil"/>
            </w:tcBorders>
            <w:shd w:val="clear" w:color="000000" w:fill="BFBFBF"/>
            <w:vAlign w:val="center"/>
            <w:hideMark/>
          </w:tcPr>
          <w:p w14:paraId="7657BF77" w14:textId="25949E21" w:rsidR="003F103D" w:rsidRPr="00133F7A" w:rsidRDefault="00C113EF" w:rsidP="00E77D7E">
            <w:pPr>
              <w:spacing w:after="0" w:line="220" w:lineRule="exact"/>
              <w:jc w:val="center"/>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Estimate</w:t>
            </w:r>
          </w:p>
        </w:tc>
        <w:tc>
          <w:tcPr>
            <w:tcW w:w="2737" w:type="dxa"/>
            <w:gridSpan w:val="4"/>
            <w:tcBorders>
              <w:top w:val="single" w:sz="4" w:space="0" w:color="4F81BD" w:themeColor="accent1"/>
              <w:left w:val="nil"/>
              <w:bottom w:val="single" w:sz="4" w:space="0" w:color="FFFFFF"/>
              <w:right w:val="nil"/>
            </w:tcBorders>
            <w:shd w:val="clear" w:color="000000" w:fill="BFBFBF"/>
            <w:vAlign w:val="center"/>
            <w:hideMark/>
          </w:tcPr>
          <w:p w14:paraId="1F59330A" w14:textId="77777777" w:rsidR="003F103D" w:rsidRPr="003F103D" w:rsidRDefault="003F103D" w:rsidP="00E77D7E">
            <w:pPr>
              <w:spacing w:after="0" w:line="220" w:lineRule="exact"/>
              <w:jc w:val="center"/>
              <w:rPr>
                <w:rFonts w:ascii="Arial" w:eastAsia="Times New Roman" w:hAnsi="Arial" w:cs="Arial"/>
                <w:b/>
                <w:bCs/>
                <w:color w:val="000000"/>
                <w:sz w:val="20"/>
                <w:szCs w:val="20"/>
              </w:rPr>
            </w:pPr>
            <w:r w:rsidRPr="003F103D">
              <w:rPr>
                <w:rFonts w:ascii="Arial" w:eastAsia="Times New Roman" w:hAnsi="Arial" w:cs="Arial"/>
                <w:b/>
                <w:bCs/>
                <w:color w:val="000000"/>
                <w:sz w:val="20"/>
                <w:szCs w:val="20"/>
              </w:rPr>
              <w:t>Period</w:t>
            </w:r>
          </w:p>
        </w:tc>
      </w:tr>
      <w:tr w:rsidR="003F103D" w:rsidRPr="003F103D" w14:paraId="1CB6BDE0" w14:textId="77777777" w:rsidTr="003F103D">
        <w:trPr>
          <w:trHeight w:val="300"/>
          <w:jc w:val="center"/>
        </w:trPr>
        <w:tc>
          <w:tcPr>
            <w:tcW w:w="4111" w:type="dxa"/>
            <w:tcBorders>
              <w:top w:val="nil"/>
              <w:left w:val="nil"/>
              <w:bottom w:val="single" w:sz="4" w:space="0" w:color="FFFFFF"/>
              <w:right w:val="nil"/>
            </w:tcBorders>
            <w:shd w:val="clear" w:color="000000" w:fill="F2F2F2"/>
            <w:vAlign w:val="center"/>
            <w:hideMark/>
          </w:tcPr>
          <w:p w14:paraId="1391E6C6" w14:textId="77777777" w:rsidR="003F103D" w:rsidRPr="003F103D" w:rsidRDefault="003F103D" w:rsidP="00E77D7E">
            <w:pPr>
              <w:spacing w:after="0" w:line="220" w:lineRule="exact"/>
              <w:jc w:val="left"/>
              <w:rPr>
                <w:rFonts w:ascii="Calibri" w:eastAsia="Times New Roman" w:hAnsi="Calibri" w:cs="Calibri"/>
                <w:sz w:val="22"/>
              </w:rPr>
            </w:pPr>
            <w:r w:rsidRPr="003F103D">
              <w:rPr>
                <w:rFonts w:ascii="Calibri" w:eastAsia="Times New Roman" w:hAnsi="Calibri" w:cs="Calibri"/>
                <w:sz w:val="22"/>
              </w:rPr>
              <w:t xml:space="preserve">Net expenditure growth (%) </w:t>
            </w:r>
          </w:p>
        </w:tc>
        <w:tc>
          <w:tcPr>
            <w:tcW w:w="2126" w:type="dxa"/>
            <w:gridSpan w:val="4"/>
            <w:tcBorders>
              <w:top w:val="single" w:sz="4" w:space="0" w:color="FFFFFF"/>
              <w:left w:val="nil"/>
              <w:bottom w:val="single" w:sz="4" w:space="0" w:color="FFFFFF"/>
              <w:right w:val="nil"/>
            </w:tcBorders>
            <w:shd w:val="clear" w:color="000000" w:fill="F2F2F2"/>
            <w:vAlign w:val="center"/>
            <w:hideMark/>
          </w:tcPr>
          <w:p w14:paraId="5F4EE90F"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3.3</w:t>
            </w:r>
          </w:p>
        </w:tc>
        <w:tc>
          <w:tcPr>
            <w:tcW w:w="2737" w:type="dxa"/>
            <w:gridSpan w:val="4"/>
            <w:tcBorders>
              <w:top w:val="single" w:sz="4" w:space="0" w:color="FFFFFF"/>
              <w:left w:val="nil"/>
              <w:bottom w:val="single" w:sz="4" w:space="0" w:color="FFFFFF"/>
              <w:right w:val="nil"/>
            </w:tcBorders>
            <w:shd w:val="clear" w:color="000000" w:fill="F2F2F2"/>
            <w:vAlign w:val="center"/>
            <w:hideMark/>
          </w:tcPr>
          <w:p w14:paraId="714FC7F4"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2025-2028 average</w:t>
            </w:r>
          </w:p>
        </w:tc>
      </w:tr>
      <w:tr w:rsidR="003F103D" w:rsidRPr="003F103D" w14:paraId="730D7EA5" w14:textId="77777777" w:rsidTr="003F103D">
        <w:trPr>
          <w:trHeight w:val="315"/>
          <w:jc w:val="center"/>
        </w:trPr>
        <w:tc>
          <w:tcPr>
            <w:tcW w:w="4111" w:type="dxa"/>
            <w:tcBorders>
              <w:top w:val="single" w:sz="4" w:space="0" w:color="FFFFFF"/>
              <w:left w:val="nil"/>
              <w:bottom w:val="single" w:sz="18" w:space="0" w:color="4F81BD" w:themeColor="accent1"/>
              <w:right w:val="nil"/>
            </w:tcBorders>
            <w:shd w:val="clear" w:color="000000" w:fill="D9D9D9"/>
            <w:vAlign w:val="center"/>
            <w:hideMark/>
          </w:tcPr>
          <w:p w14:paraId="299EF2F3" w14:textId="77777777" w:rsidR="003F103D" w:rsidRPr="003F103D" w:rsidRDefault="003F103D" w:rsidP="00E77D7E">
            <w:pPr>
              <w:spacing w:after="0" w:line="220" w:lineRule="exact"/>
              <w:jc w:val="left"/>
              <w:rPr>
                <w:rFonts w:ascii="Calibri" w:eastAsia="Times New Roman" w:hAnsi="Calibri" w:cs="Calibri"/>
                <w:sz w:val="22"/>
              </w:rPr>
            </w:pPr>
            <w:r w:rsidRPr="003F103D">
              <w:rPr>
                <w:rFonts w:ascii="Calibri" w:eastAsia="Times New Roman" w:hAnsi="Calibri" w:cs="Calibri"/>
                <w:sz w:val="22"/>
              </w:rPr>
              <w:t xml:space="preserve">Potential GDP growth (%) </w:t>
            </w:r>
          </w:p>
        </w:tc>
        <w:tc>
          <w:tcPr>
            <w:tcW w:w="2126" w:type="dxa"/>
            <w:gridSpan w:val="4"/>
            <w:tcBorders>
              <w:top w:val="single" w:sz="4" w:space="0" w:color="FFFFFF"/>
              <w:left w:val="nil"/>
              <w:bottom w:val="single" w:sz="18" w:space="0" w:color="4F81BD" w:themeColor="accent1"/>
              <w:right w:val="nil"/>
            </w:tcBorders>
            <w:shd w:val="clear" w:color="000000" w:fill="D9D9D9"/>
            <w:vAlign w:val="center"/>
            <w:hideMark/>
          </w:tcPr>
          <w:p w14:paraId="51DB0D12"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1.0</w:t>
            </w:r>
          </w:p>
        </w:tc>
        <w:tc>
          <w:tcPr>
            <w:tcW w:w="2737" w:type="dxa"/>
            <w:gridSpan w:val="4"/>
            <w:tcBorders>
              <w:top w:val="single" w:sz="4" w:space="0" w:color="FFFFFF"/>
              <w:left w:val="nil"/>
              <w:bottom w:val="single" w:sz="18" w:space="0" w:color="4F81BD" w:themeColor="accent1"/>
              <w:right w:val="nil"/>
            </w:tcBorders>
            <w:shd w:val="clear" w:color="000000" w:fill="D9D9D9"/>
            <w:vAlign w:val="center"/>
            <w:hideMark/>
          </w:tcPr>
          <w:p w14:paraId="5B915F9A" w14:textId="77777777" w:rsidR="003F103D" w:rsidRPr="003F103D" w:rsidRDefault="003F103D" w:rsidP="00E77D7E">
            <w:pPr>
              <w:spacing w:after="0" w:line="220" w:lineRule="exact"/>
              <w:jc w:val="center"/>
              <w:rPr>
                <w:rFonts w:ascii="Calibri" w:eastAsia="Times New Roman" w:hAnsi="Calibri" w:cs="Calibri"/>
                <w:sz w:val="22"/>
              </w:rPr>
            </w:pPr>
            <w:r w:rsidRPr="003F103D">
              <w:rPr>
                <w:rFonts w:ascii="Calibri" w:eastAsia="Times New Roman" w:hAnsi="Calibri" w:cs="Calibri"/>
                <w:sz w:val="22"/>
              </w:rPr>
              <w:t>2025-2038 average</w:t>
            </w:r>
          </w:p>
        </w:tc>
      </w:tr>
    </w:tbl>
    <w:p w14:paraId="5B800589" w14:textId="79214DF6" w:rsidR="00801763" w:rsidRPr="00BD442D" w:rsidRDefault="00801763" w:rsidP="00801763">
      <w:pPr>
        <w:suppressAutoHyphens/>
        <w:autoSpaceDN w:val="0"/>
        <w:spacing w:after="100"/>
        <w:textAlignment w:val="baseline"/>
        <w:rPr>
          <w:rFonts w:ascii="Calibri" w:eastAsia="Calibri" w:hAnsi="Calibri" w:cs="Calibri"/>
          <w:kern w:val="3"/>
          <w:lang w:val="en-US" w:eastAsia="ar-SA"/>
        </w:rPr>
      </w:pPr>
      <w:r w:rsidRPr="00BD442D">
        <w:rPr>
          <w:rFonts w:ascii="Calibri" w:eastAsia="Calibri" w:hAnsi="Calibri" w:cs="Calibri"/>
          <w:kern w:val="3"/>
          <w:lang w:val="en-US" w:eastAsia="ar-SA"/>
        </w:rPr>
        <w:t>The long-run model used by the MoEF to estimate potential GDP is a Cobb-Douglas production function with the same exponents as the ones in the E</w:t>
      </w:r>
      <w:r w:rsidR="00915016">
        <w:rPr>
          <w:rFonts w:ascii="Calibri" w:eastAsia="Calibri" w:hAnsi="Calibri" w:cs="Calibri"/>
          <w:kern w:val="3"/>
          <w:lang w:val="en-US" w:eastAsia="ar-SA"/>
        </w:rPr>
        <w:t>U</w:t>
      </w:r>
      <w:r w:rsidRPr="00BD442D">
        <w:rPr>
          <w:rFonts w:ascii="Calibri" w:eastAsia="Calibri" w:hAnsi="Calibri" w:cs="Calibri"/>
          <w:kern w:val="3"/>
          <w:lang w:val="en-US" w:eastAsia="ar-SA"/>
        </w:rPr>
        <w:t xml:space="preserve"> common</w:t>
      </w:r>
      <w:r w:rsidR="002025E6">
        <w:rPr>
          <w:rFonts w:ascii="Calibri" w:eastAsia="Calibri" w:hAnsi="Calibri" w:cs="Calibri"/>
          <w:kern w:val="3"/>
          <w:lang w:val="en-US" w:eastAsia="ar-SA"/>
        </w:rPr>
        <w:t>ly agreed</w:t>
      </w:r>
      <w:r w:rsidRPr="00BD442D">
        <w:rPr>
          <w:rFonts w:ascii="Calibri" w:eastAsia="Calibri" w:hAnsi="Calibri" w:cs="Calibri"/>
          <w:kern w:val="3"/>
          <w:lang w:val="en-US" w:eastAsia="ar-SA"/>
        </w:rPr>
        <w:t xml:space="preserve"> methodology. In order to forecast the unobservable variables, the E</w:t>
      </w:r>
      <w:r w:rsidR="00915016">
        <w:rPr>
          <w:rFonts w:ascii="Calibri" w:eastAsia="Calibri" w:hAnsi="Calibri" w:cs="Calibri"/>
          <w:kern w:val="3"/>
          <w:lang w:val="en-US" w:eastAsia="ar-SA"/>
        </w:rPr>
        <w:t>U CAM</w:t>
      </w:r>
      <w:r w:rsidRPr="00BD442D">
        <w:rPr>
          <w:rFonts w:ascii="Calibri" w:eastAsia="Calibri" w:hAnsi="Calibri" w:cs="Calibri"/>
          <w:kern w:val="3"/>
          <w:lang w:val="en-US" w:eastAsia="ar-SA"/>
        </w:rPr>
        <w:t xml:space="preserve"> estimates for 2024 are employed as starting point, but a different path for the components during 2025-2028 is projected, which is also consistent with the macroeconomic estimates. It is noted that both OECD and Bank of Greece (June 2024 BMPE projections) estimate average potential GDP growth for the years 2024-2025 equal to 2.0% </w:t>
      </w:r>
      <w:r w:rsidRPr="00F21E15">
        <w:rPr>
          <w:rFonts w:ascii="Calibri" w:eastAsia="Calibri" w:hAnsi="Calibri" w:cs="Calibri"/>
          <w:kern w:val="3"/>
          <w:lang w:val="en-US" w:eastAsia="ar-SA"/>
        </w:rPr>
        <w:t>(versus 1.9%</w:t>
      </w:r>
      <w:r w:rsidRPr="00F21E15">
        <w:rPr>
          <w:rFonts w:ascii="Calibri" w:eastAsia="Calibri" w:hAnsi="Calibri" w:cs="Calibri"/>
          <w:color w:val="000000" w:themeColor="text1"/>
          <w:kern w:val="3"/>
          <w:lang w:val="en-US" w:eastAsia="ar-SA"/>
        </w:rPr>
        <w:t xml:space="preserve"> in</w:t>
      </w:r>
      <w:r w:rsidR="003F103D" w:rsidRPr="00F21E15">
        <w:rPr>
          <w:rFonts w:ascii="Calibri" w:eastAsia="Calibri" w:hAnsi="Calibri" w:cs="Calibri"/>
          <w:color w:val="000000" w:themeColor="text1"/>
          <w:kern w:val="3"/>
          <w:lang w:val="en-US" w:eastAsia="ar-SA"/>
        </w:rPr>
        <w:t xml:space="preserve"> </w:t>
      </w:r>
      <w:r w:rsidR="00436F02" w:rsidRPr="00F21E15">
        <w:rPr>
          <w:rFonts w:ascii="Calibri" w:eastAsia="Calibri" w:hAnsi="Calibri" w:cs="Calibri"/>
          <w:color w:val="000000" w:themeColor="text1"/>
          <w:kern w:val="3"/>
          <w:lang w:val="en-US" w:eastAsia="ar-SA"/>
        </w:rPr>
        <w:fldChar w:fldCharType="begin"/>
      </w:r>
      <w:r w:rsidR="00436F02" w:rsidRPr="00F21E15">
        <w:rPr>
          <w:rFonts w:ascii="Calibri" w:eastAsia="Calibri" w:hAnsi="Calibri" w:cs="Calibri"/>
          <w:color w:val="000000" w:themeColor="text1"/>
          <w:kern w:val="3"/>
          <w:lang w:val="en-US" w:eastAsia="ar-SA"/>
        </w:rPr>
        <w:instrText xml:space="preserve"> REF _Ref177395088 \h  \* MERGEFORMAT </w:instrText>
      </w:r>
      <w:r w:rsidR="00436F02" w:rsidRPr="00F21E15">
        <w:rPr>
          <w:rFonts w:ascii="Calibri" w:eastAsia="Calibri" w:hAnsi="Calibri" w:cs="Calibri"/>
          <w:color w:val="000000" w:themeColor="text1"/>
          <w:kern w:val="3"/>
          <w:lang w:val="en-US" w:eastAsia="ar-SA"/>
        </w:rPr>
      </w:r>
      <w:r w:rsidR="00436F02" w:rsidRPr="00F21E15">
        <w:rPr>
          <w:rFonts w:ascii="Calibri" w:eastAsia="Calibri" w:hAnsi="Calibri" w:cs="Calibri"/>
          <w:color w:val="000000" w:themeColor="text1"/>
          <w:kern w:val="3"/>
          <w:lang w:val="en-US" w:eastAsia="ar-SA"/>
        </w:rPr>
        <w:fldChar w:fldCharType="separate"/>
      </w:r>
      <w:r w:rsidR="00824AAF" w:rsidRPr="00920844">
        <w:rPr>
          <w:lang w:val="en-US"/>
        </w:rPr>
        <w:t xml:space="preserve">Table </w:t>
      </w:r>
      <w:r w:rsidR="00824AAF" w:rsidRPr="00920844">
        <w:rPr>
          <w:noProof/>
          <w:lang w:val="en-US"/>
        </w:rPr>
        <w:t>17</w:t>
      </w:r>
      <w:r w:rsidR="00436F02" w:rsidRPr="00F21E15">
        <w:rPr>
          <w:rFonts w:ascii="Calibri" w:eastAsia="Calibri" w:hAnsi="Calibri" w:cs="Calibri"/>
          <w:color w:val="000000" w:themeColor="text1"/>
          <w:kern w:val="3"/>
          <w:lang w:val="en-US" w:eastAsia="ar-SA"/>
        </w:rPr>
        <w:fldChar w:fldCharType="end"/>
      </w:r>
      <w:r w:rsidR="00F13747" w:rsidRPr="00F21E15">
        <w:rPr>
          <w:rFonts w:ascii="Calibri" w:eastAsia="Calibri" w:hAnsi="Calibri" w:cs="Calibri"/>
          <w:color w:val="000000" w:themeColor="text1"/>
          <w:kern w:val="3"/>
          <w:lang w:val="en-US" w:eastAsia="ar-SA"/>
        </w:rPr>
        <w:t xml:space="preserve"> </w:t>
      </w:r>
      <w:r w:rsidRPr="00F21E15">
        <w:rPr>
          <w:rFonts w:ascii="Calibri" w:eastAsia="Calibri" w:hAnsi="Calibri" w:cs="Calibri"/>
          <w:color w:val="000000" w:themeColor="text1"/>
          <w:kern w:val="3"/>
          <w:lang w:val="en-US" w:eastAsia="ar-SA"/>
        </w:rPr>
        <w:t>and 1.4% in</w:t>
      </w:r>
      <w:r w:rsidR="0081448C" w:rsidRPr="00F21E15">
        <w:rPr>
          <w:rFonts w:ascii="Calibri" w:eastAsia="Calibri" w:hAnsi="Calibri" w:cs="Calibri"/>
          <w:color w:val="000000" w:themeColor="text1"/>
          <w:kern w:val="3"/>
          <w:lang w:val="en-US" w:eastAsia="ar-SA"/>
        </w:rPr>
        <w:t xml:space="preserve"> </w:t>
      </w:r>
      <w:r w:rsidR="00A54B46" w:rsidRPr="00F21E15">
        <w:rPr>
          <w:rFonts w:ascii="Calibri" w:eastAsia="Calibri" w:hAnsi="Calibri" w:cs="Calibri"/>
          <w:color w:val="000000" w:themeColor="text1"/>
          <w:kern w:val="3"/>
          <w:lang w:val="en-US" w:eastAsia="ar-SA"/>
        </w:rPr>
        <w:fldChar w:fldCharType="begin"/>
      </w:r>
      <w:r w:rsidR="0081448C" w:rsidRPr="00F21E15">
        <w:rPr>
          <w:rFonts w:ascii="Calibri" w:eastAsia="Calibri" w:hAnsi="Calibri" w:cs="Calibri"/>
          <w:color w:val="000000" w:themeColor="text1"/>
          <w:kern w:val="3"/>
          <w:lang w:val="en-US" w:eastAsia="ar-SA"/>
        </w:rPr>
        <w:instrText xml:space="preserve"> REF _Ref177393466 \h </w:instrText>
      </w:r>
      <w:r w:rsidR="004D5F88" w:rsidRPr="00F21E15">
        <w:rPr>
          <w:rFonts w:ascii="Calibri" w:eastAsia="Calibri" w:hAnsi="Calibri" w:cs="Calibri"/>
          <w:color w:val="000000" w:themeColor="text1"/>
          <w:kern w:val="3"/>
          <w:lang w:val="en-US" w:eastAsia="ar-SA"/>
        </w:rPr>
        <w:instrText xml:space="preserve"> \* MERGEFORMAT </w:instrText>
      </w:r>
      <w:r w:rsidR="00A54B46" w:rsidRPr="00F21E15">
        <w:rPr>
          <w:rFonts w:ascii="Calibri" w:eastAsia="Calibri" w:hAnsi="Calibri" w:cs="Calibri"/>
          <w:color w:val="000000" w:themeColor="text1"/>
          <w:kern w:val="3"/>
          <w:lang w:val="en-US" w:eastAsia="ar-SA"/>
        </w:rPr>
      </w:r>
      <w:r w:rsidR="00A54B46" w:rsidRPr="00F21E15">
        <w:rPr>
          <w:rFonts w:ascii="Calibri" w:eastAsia="Calibri" w:hAnsi="Calibri" w:cs="Calibri"/>
          <w:color w:val="000000" w:themeColor="text1"/>
          <w:kern w:val="3"/>
          <w:lang w:val="en-US" w:eastAsia="ar-SA"/>
        </w:rPr>
        <w:fldChar w:fldCharType="separate"/>
      </w:r>
      <w:r w:rsidR="00824AAF" w:rsidRPr="00920844">
        <w:rPr>
          <w:lang w:val="en-US"/>
        </w:rPr>
        <w:t>Table 15</w:t>
      </w:r>
      <w:r w:rsidR="00A54B46" w:rsidRPr="00F21E15">
        <w:rPr>
          <w:rFonts w:ascii="Calibri" w:eastAsia="Calibri" w:hAnsi="Calibri" w:cs="Calibri"/>
          <w:color w:val="000000" w:themeColor="text1"/>
          <w:kern w:val="3"/>
          <w:lang w:val="en-US" w:eastAsia="ar-SA"/>
        </w:rPr>
        <w:fldChar w:fldCharType="end"/>
      </w:r>
      <w:r w:rsidRPr="00F21E15">
        <w:rPr>
          <w:rFonts w:ascii="Calibri" w:eastAsia="Calibri" w:hAnsi="Calibri" w:cs="Calibri"/>
          <w:kern w:val="3"/>
          <w:lang w:val="en-US" w:eastAsia="ar-SA"/>
        </w:rPr>
        <w:t>).</w:t>
      </w:r>
      <w:r w:rsidRPr="00BD442D">
        <w:rPr>
          <w:rFonts w:ascii="Calibri" w:eastAsia="Calibri" w:hAnsi="Calibri" w:cs="Calibri"/>
          <w:kern w:val="3"/>
          <w:lang w:val="en-US" w:eastAsia="ar-SA"/>
        </w:rPr>
        <w:t xml:space="preserve"> </w:t>
      </w:r>
    </w:p>
    <w:p w14:paraId="59614CE8" w14:textId="0482CE04" w:rsidR="00801763" w:rsidRPr="00801763" w:rsidRDefault="00801763" w:rsidP="00801763">
      <w:pPr>
        <w:suppressAutoHyphens/>
        <w:autoSpaceDN w:val="0"/>
        <w:spacing w:after="100"/>
        <w:textAlignment w:val="baseline"/>
        <w:rPr>
          <w:rFonts w:ascii="Calibri" w:eastAsia="Calibri" w:hAnsi="Calibri" w:cs="Calibri"/>
          <w:kern w:val="3"/>
          <w:lang w:val="en-US" w:eastAsia="ar-SA"/>
        </w:rPr>
      </w:pPr>
      <w:r w:rsidRPr="00801763">
        <w:rPr>
          <w:rFonts w:ascii="Calibri" w:eastAsia="Calibri" w:hAnsi="Calibri" w:cs="Calibri"/>
          <w:kern w:val="3"/>
          <w:lang w:val="en-US" w:eastAsia="ar-SA"/>
        </w:rPr>
        <w:t>The model is consistent with the common</w:t>
      </w:r>
      <w:r w:rsidR="00314BFC">
        <w:rPr>
          <w:rFonts w:ascii="Calibri" w:eastAsia="Calibri" w:hAnsi="Calibri" w:cs="Calibri"/>
          <w:kern w:val="3"/>
          <w:lang w:val="en-US" w:eastAsia="ar-SA"/>
        </w:rPr>
        <w:t>ly agreed</w:t>
      </w:r>
      <w:r w:rsidRPr="00801763">
        <w:rPr>
          <w:rFonts w:ascii="Calibri" w:eastAsia="Calibri" w:hAnsi="Calibri" w:cs="Calibri"/>
          <w:kern w:val="3"/>
          <w:lang w:val="en-US" w:eastAsia="ar-SA"/>
        </w:rPr>
        <w:t xml:space="preserve"> methodology, in that output gap is set so as to close by 2028 (</w:t>
      </w:r>
      <w:r w:rsidRPr="0081448C">
        <w:rPr>
          <w:rFonts w:ascii="Calibri" w:eastAsia="Calibri" w:hAnsi="Calibri" w:cs="Calibri"/>
          <w:color w:val="000000" w:themeColor="text1"/>
          <w:kern w:val="3"/>
          <w:lang w:val="en-US" w:eastAsia="ar-SA"/>
        </w:rPr>
        <w:t>see</w:t>
      </w:r>
      <w:r w:rsidR="0081448C" w:rsidRPr="0081448C">
        <w:rPr>
          <w:rFonts w:ascii="Calibri" w:eastAsia="Calibri" w:hAnsi="Calibri" w:cs="Calibri"/>
          <w:color w:val="000000" w:themeColor="text1"/>
          <w:kern w:val="3"/>
          <w:lang w:val="en-US" w:eastAsia="ar-SA"/>
        </w:rPr>
        <w:t xml:space="preserve"> </w:t>
      </w:r>
      <w:r w:rsidR="00A54B46" w:rsidRPr="0081448C">
        <w:rPr>
          <w:rFonts w:ascii="Calibri" w:eastAsia="Calibri" w:hAnsi="Calibri" w:cs="Calibri"/>
          <w:color w:val="000000" w:themeColor="text1"/>
          <w:kern w:val="3"/>
          <w:lang w:val="en-US" w:eastAsia="ar-SA"/>
        </w:rPr>
        <w:fldChar w:fldCharType="begin"/>
      </w:r>
      <w:r w:rsidR="0081448C" w:rsidRPr="0081448C">
        <w:rPr>
          <w:rFonts w:ascii="Calibri" w:eastAsia="Calibri" w:hAnsi="Calibri" w:cs="Calibri"/>
          <w:color w:val="000000" w:themeColor="text1"/>
          <w:kern w:val="3"/>
          <w:lang w:val="en-US" w:eastAsia="ar-SA"/>
        </w:rPr>
        <w:instrText xml:space="preserve"> REF _Ref177395088 \h </w:instrText>
      </w:r>
      <w:r w:rsidR="00A54B46" w:rsidRPr="0081448C">
        <w:rPr>
          <w:rFonts w:ascii="Calibri" w:eastAsia="Calibri" w:hAnsi="Calibri" w:cs="Calibri"/>
          <w:color w:val="000000" w:themeColor="text1"/>
          <w:kern w:val="3"/>
          <w:lang w:val="en-US" w:eastAsia="ar-SA"/>
        </w:rPr>
      </w:r>
      <w:r w:rsidR="00A54B46" w:rsidRPr="0081448C">
        <w:rPr>
          <w:rFonts w:ascii="Calibri" w:eastAsia="Calibri" w:hAnsi="Calibri" w:cs="Calibri"/>
          <w:color w:val="000000" w:themeColor="text1"/>
          <w:kern w:val="3"/>
          <w:lang w:val="en-US" w:eastAsia="ar-SA"/>
        </w:rPr>
        <w:fldChar w:fldCharType="separate"/>
      </w:r>
      <w:r w:rsidR="00824AAF" w:rsidRPr="00C2631D">
        <w:rPr>
          <w:lang w:val="en-US"/>
        </w:rPr>
        <w:t xml:space="preserve">Table </w:t>
      </w:r>
      <w:r w:rsidR="00824AAF" w:rsidRPr="00C2631D">
        <w:rPr>
          <w:noProof/>
          <w:lang w:val="en-US"/>
        </w:rPr>
        <w:t>17</w:t>
      </w:r>
      <w:r w:rsidR="00A54B46" w:rsidRPr="0081448C">
        <w:rPr>
          <w:rFonts w:ascii="Calibri" w:eastAsia="Calibri" w:hAnsi="Calibri" w:cs="Calibri"/>
          <w:color w:val="000000" w:themeColor="text1"/>
          <w:kern w:val="3"/>
          <w:lang w:val="en-US" w:eastAsia="ar-SA"/>
        </w:rPr>
        <w:fldChar w:fldCharType="end"/>
      </w:r>
      <w:r w:rsidRPr="00801763">
        <w:rPr>
          <w:rFonts w:ascii="Calibri" w:eastAsia="Calibri" w:hAnsi="Calibri" w:cs="Calibri"/>
          <w:kern w:val="3"/>
          <w:lang w:val="en-US" w:eastAsia="ar-SA"/>
        </w:rPr>
        <w:t>), whereas average estimated potential GDP for the following years (i.e. 2029-2038) has been adjusted so as to maintain the same long-term average growth (i.e. equal to 1.0% under the RT).</w:t>
      </w:r>
    </w:p>
    <w:p w14:paraId="04D04EF4" w14:textId="39A91885" w:rsidR="00801763" w:rsidRPr="00801763" w:rsidRDefault="00801763" w:rsidP="00801763">
      <w:pPr>
        <w:suppressAutoHyphens/>
        <w:autoSpaceDN w:val="0"/>
        <w:spacing w:after="100"/>
        <w:textAlignment w:val="baseline"/>
        <w:rPr>
          <w:rFonts w:ascii="Calibri" w:eastAsia="Calibri" w:hAnsi="Calibri" w:cs="Calibri"/>
          <w:kern w:val="3"/>
          <w:lang w:val="en-US" w:eastAsia="ar-SA"/>
        </w:rPr>
      </w:pPr>
      <w:r w:rsidRPr="00801763">
        <w:rPr>
          <w:rFonts w:ascii="Calibri" w:eastAsia="Calibri" w:hAnsi="Calibri" w:cs="Calibri"/>
          <w:kern w:val="3"/>
          <w:lang w:val="en-US" w:eastAsia="ar-SA"/>
        </w:rPr>
        <w:t xml:space="preserve">With regards to potential GDP components, as depicted in </w:t>
      </w:r>
      <w:r w:rsidR="004D5F88">
        <w:rPr>
          <w:rFonts w:ascii="Calibri" w:eastAsia="Calibri" w:hAnsi="Calibri" w:cs="Calibri"/>
          <w:kern w:val="3"/>
          <w:lang w:val="en-US" w:eastAsia="ar-SA"/>
        </w:rPr>
        <w:fldChar w:fldCharType="begin"/>
      </w:r>
      <w:r w:rsidR="004D5F88">
        <w:rPr>
          <w:rFonts w:ascii="Calibri" w:eastAsia="Calibri" w:hAnsi="Calibri" w:cs="Calibri"/>
          <w:kern w:val="3"/>
          <w:lang w:val="en-US" w:eastAsia="ar-SA"/>
        </w:rPr>
        <w:instrText xml:space="preserve"> REF _Ref177641440 \h </w:instrText>
      </w:r>
      <w:r w:rsidR="004D5F88">
        <w:rPr>
          <w:rFonts w:ascii="Calibri" w:eastAsia="Calibri" w:hAnsi="Calibri" w:cs="Calibri"/>
          <w:kern w:val="3"/>
          <w:lang w:val="en-US" w:eastAsia="ar-SA"/>
        </w:rPr>
      </w:r>
      <w:r w:rsidR="004D5F88">
        <w:rPr>
          <w:rFonts w:ascii="Calibri" w:eastAsia="Calibri" w:hAnsi="Calibri" w:cs="Calibri"/>
          <w:kern w:val="3"/>
          <w:lang w:val="en-US" w:eastAsia="ar-SA"/>
        </w:rPr>
        <w:fldChar w:fldCharType="separate"/>
      </w:r>
      <w:r w:rsidR="00824AAF" w:rsidRPr="00920844">
        <w:rPr>
          <w:lang w:val="en-US"/>
        </w:rPr>
        <w:t xml:space="preserve">Table </w:t>
      </w:r>
      <w:r w:rsidR="00824AAF" w:rsidRPr="00920844">
        <w:rPr>
          <w:noProof/>
          <w:lang w:val="en-US"/>
        </w:rPr>
        <w:t>3</w:t>
      </w:r>
      <w:r w:rsidR="004D5F88">
        <w:rPr>
          <w:rFonts w:ascii="Calibri" w:eastAsia="Calibri" w:hAnsi="Calibri" w:cs="Calibri"/>
          <w:kern w:val="3"/>
          <w:lang w:val="en-US" w:eastAsia="ar-SA"/>
        </w:rPr>
        <w:fldChar w:fldCharType="end"/>
      </w:r>
      <w:r w:rsidR="004D5F88">
        <w:rPr>
          <w:rFonts w:ascii="Calibri" w:eastAsia="Calibri" w:hAnsi="Calibri" w:cs="Calibri"/>
          <w:kern w:val="3"/>
          <w:lang w:val="en-US" w:eastAsia="ar-SA"/>
        </w:rPr>
        <w:t xml:space="preserve"> </w:t>
      </w:r>
      <w:r w:rsidRPr="000E41B0">
        <w:rPr>
          <w:rFonts w:ascii="Calibri" w:eastAsia="Calibri" w:hAnsi="Calibri" w:cs="Calibri"/>
          <w:kern w:val="3"/>
          <w:lang w:val="en-US" w:eastAsia="ar-SA"/>
        </w:rPr>
        <w:t>of Section 3 (lines 26-29),</w:t>
      </w:r>
      <w:r w:rsidRPr="00801763">
        <w:rPr>
          <w:rFonts w:ascii="Calibri" w:eastAsia="Calibri" w:hAnsi="Calibri" w:cs="Calibri"/>
          <w:kern w:val="3"/>
          <w:lang w:val="en-US" w:eastAsia="ar-SA"/>
        </w:rPr>
        <w:t xml:space="preserve"> the largest contribution comes from total factor productivity (TFP), with an annual contribution of 1.5 percentage points on average during 2025-2028, reflecting the protracted recovery of the TFP after the decade-long crisis, the impact of the extensive structural reforms adopted over the past years and those under implementation, including those in the context of the NGEU. The contribution of capital is estimated to gain pace over time and is expected to increase over the projection horizon on the back of the NGEU funds, with an annual contribution of 0.4 percentage points on average. The labo</w:t>
      </w:r>
      <w:r w:rsidR="00AE4C1D">
        <w:rPr>
          <w:rFonts w:ascii="Calibri" w:eastAsia="Calibri" w:hAnsi="Calibri" w:cs="Calibri"/>
          <w:kern w:val="3"/>
          <w:lang w:val="en-US" w:eastAsia="ar-SA"/>
        </w:rPr>
        <w:t>u</w:t>
      </w:r>
      <w:r w:rsidRPr="00801763">
        <w:rPr>
          <w:rFonts w:ascii="Calibri" w:eastAsia="Calibri" w:hAnsi="Calibri" w:cs="Calibri"/>
          <w:kern w:val="3"/>
          <w:lang w:val="en-US" w:eastAsia="ar-SA"/>
        </w:rPr>
        <w:t>r contribution is also expected to be on an increasing path (0.2 percentage points on average), reflecting the rise of the participation rate and the fall of non-accelerating wage rate of unemployment (NAWRU</w:t>
      </w:r>
      <w:r w:rsidR="005B40F6">
        <w:rPr>
          <w:rFonts w:ascii="Calibri" w:eastAsia="Calibri" w:hAnsi="Calibri" w:cs="Calibri"/>
          <w:kern w:val="3"/>
          <w:lang w:val="en-US" w:eastAsia="ar-SA"/>
        </w:rPr>
        <w:t>)</w:t>
      </w:r>
      <w:r w:rsidRPr="00801763">
        <w:rPr>
          <w:rFonts w:ascii="Calibri" w:eastAsia="Calibri" w:hAnsi="Calibri" w:cs="Calibri"/>
          <w:kern w:val="3"/>
          <w:lang w:val="en-US" w:eastAsia="ar-SA"/>
        </w:rPr>
        <w:t>. Higher wages and reforms incentivizing labo</w:t>
      </w:r>
      <w:r w:rsidR="00AE4C1D">
        <w:rPr>
          <w:rFonts w:ascii="Calibri" w:eastAsia="Calibri" w:hAnsi="Calibri" w:cs="Calibri"/>
          <w:kern w:val="3"/>
          <w:lang w:val="en-US" w:eastAsia="ar-SA"/>
        </w:rPr>
        <w:t>u</w:t>
      </w:r>
      <w:r w:rsidRPr="00801763">
        <w:rPr>
          <w:rFonts w:ascii="Calibri" w:eastAsia="Calibri" w:hAnsi="Calibri" w:cs="Calibri"/>
          <w:kern w:val="3"/>
          <w:lang w:val="en-US" w:eastAsia="ar-SA"/>
        </w:rPr>
        <w:t xml:space="preserve">r market participation are also expected to increase employment. </w:t>
      </w:r>
    </w:p>
    <w:p w14:paraId="4671A4FB" w14:textId="77777777" w:rsidR="00801763" w:rsidRPr="00801763" w:rsidRDefault="00801763" w:rsidP="00801763">
      <w:pPr>
        <w:spacing w:before="60" w:after="60"/>
        <w:rPr>
          <w:rFonts w:ascii="Calibri" w:eastAsia="Times New Roman" w:hAnsi="Calibri" w:cs="Calibri"/>
          <w:lang w:val="en-US" w:eastAsia="en-GB"/>
        </w:rPr>
      </w:pPr>
      <w:r w:rsidRPr="00801763">
        <w:rPr>
          <w:rFonts w:ascii="Calibri" w:eastAsia="Times New Roman" w:hAnsi="Calibri" w:cs="Calibri"/>
          <w:lang w:val="en-US" w:eastAsia="en-GB"/>
        </w:rPr>
        <w:t xml:space="preserve">In more detail, the underlying assumptions for the medium-term </w:t>
      </w:r>
      <w:r w:rsidRPr="00801763">
        <w:rPr>
          <w:rFonts w:ascii="Calibri" w:eastAsia="Times New Roman" w:hAnsi="Calibri" w:cs="Calibri"/>
          <w:bCs/>
          <w:lang w:val="en-US" w:eastAsia="en-GB"/>
        </w:rPr>
        <w:t>anchors</w:t>
      </w:r>
      <w:r w:rsidRPr="00801763">
        <w:rPr>
          <w:rFonts w:ascii="Calibri" w:eastAsia="Times New Roman" w:hAnsi="Calibri" w:cs="Calibri"/>
          <w:lang w:val="en-US" w:eastAsia="en-GB"/>
        </w:rPr>
        <w:t xml:space="preserve"> are:</w:t>
      </w:r>
    </w:p>
    <w:p w14:paraId="10D30FD2" w14:textId="77777777" w:rsidR="00801763" w:rsidRPr="00801763" w:rsidRDefault="00801763" w:rsidP="00801763">
      <w:pPr>
        <w:autoSpaceDE w:val="0"/>
        <w:adjustRightInd w:val="0"/>
        <w:spacing w:after="100"/>
        <w:rPr>
          <w:rFonts w:ascii="Calibri" w:eastAsia="Calibri" w:hAnsi="Calibri" w:cs="Calibri"/>
          <w:lang w:val="en-US" w:eastAsia="en-US"/>
        </w:rPr>
      </w:pPr>
      <w:r>
        <w:rPr>
          <w:rFonts w:ascii="Calibri" w:eastAsia="Calibri" w:hAnsi="Calibri" w:cs="Calibri"/>
          <w:bCs/>
          <w:lang w:val="en-GB"/>
        </w:rPr>
        <w:t>Capital growth:</w:t>
      </w:r>
      <w:r>
        <w:rPr>
          <w:rFonts w:ascii="Calibri" w:eastAsia="Calibri" w:hAnsi="Calibri" w:cs="Calibri"/>
          <w:lang w:val="en-GB"/>
        </w:rPr>
        <w:t xml:space="preserve"> the total investment/GDP ratio in constant prices is estimated to converge to levels close to 17% by 2028, from 14.3% in 2023, approaching the historical average of Greece of 19% for the period 1980-2008. This reflects a recovery of both investments in construction </w:t>
      </w:r>
      <w:r>
        <w:rPr>
          <w:rFonts w:ascii="Calibri" w:eastAsia="Calibri" w:hAnsi="Calibri" w:cs="Calibri"/>
          <w:lang w:val="en-GB"/>
        </w:rPr>
        <w:lastRenderedPageBreak/>
        <w:t xml:space="preserve">and equipment investment. </w:t>
      </w:r>
      <w:r w:rsidRPr="00801763">
        <w:rPr>
          <w:rFonts w:ascii="Calibri" w:eastAsia="Calibri" w:hAnsi="Calibri" w:cs="Calibri"/>
          <w:lang w:val="en-US"/>
        </w:rPr>
        <w:t>Investment is expected to continue to increase on average by 4.9% over the period 2025-2028, largely supported by available European resources. These resources, combined with high liquidity in the banking sector, are expected to attract additional private capital. The high growth rates of investment also reflect an improvement in the economic climate, particularly after receiving of the investment grade, the significant underinvestment of the last decade and the better overall cyclical stance of the economy.</w:t>
      </w:r>
    </w:p>
    <w:p w14:paraId="0C12AE94" w14:textId="2CF76C56" w:rsidR="00801763" w:rsidRPr="00801763" w:rsidRDefault="00801763" w:rsidP="00801763">
      <w:pPr>
        <w:spacing w:after="100"/>
        <w:rPr>
          <w:rFonts w:ascii="Calibri" w:eastAsia="Calibri" w:hAnsi="Calibri" w:cs="Calibri"/>
          <w:lang w:val="en-US"/>
        </w:rPr>
      </w:pPr>
      <w:r>
        <w:rPr>
          <w:rFonts w:ascii="Calibri" w:eastAsia="Calibri" w:hAnsi="Calibri" w:cs="Calibri"/>
          <w:bCs/>
          <w:lang w:val="en-GB"/>
        </w:rPr>
        <w:t>Labour force growth:</w:t>
      </w:r>
      <w:r>
        <w:rPr>
          <w:rFonts w:ascii="Calibri" w:eastAsia="Calibri" w:hAnsi="Calibri" w:cs="Calibri"/>
          <w:lang w:val="en-GB"/>
        </w:rPr>
        <w:t xml:space="preserve"> </w:t>
      </w:r>
      <w:r w:rsidR="00AE4C1D">
        <w:rPr>
          <w:rFonts w:ascii="Calibri" w:eastAsia="Calibri" w:hAnsi="Calibri" w:cs="Calibri"/>
          <w:lang w:val="en-US"/>
        </w:rPr>
        <w:t>A</w:t>
      </w:r>
      <w:r w:rsidRPr="00801763">
        <w:rPr>
          <w:rFonts w:ascii="Calibri" w:eastAsia="Calibri" w:hAnsi="Calibri" w:cs="Calibri"/>
          <w:lang w:val="en-US"/>
        </w:rPr>
        <w:t xml:space="preserve"> continuation in the upward trend currently observed in labo</w:t>
      </w:r>
      <w:r w:rsidR="00AE4C1D">
        <w:rPr>
          <w:rFonts w:ascii="Calibri" w:eastAsia="Calibri" w:hAnsi="Calibri" w:cs="Calibri"/>
          <w:lang w:val="en-US"/>
        </w:rPr>
        <w:t>u</w:t>
      </w:r>
      <w:r w:rsidRPr="00801763">
        <w:rPr>
          <w:rFonts w:ascii="Calibri" w:eastAsia="Calibri" w:hAnsi="Calibri" w:cs="Calibri"/>
          <w:lang w:val="en-US"/>
        </w:rPr>
        <w:t>r market participation</w:t>
      </w:r>
      <w:r w:rsidR="00AE4C1D" w:rsidRPr="00AE4C1D">
        <w:rPr>
          <w:rFonts w:ascii="Calibri" w:eastAsia="Calibri" w:hAnsi="Calibri" w:cs="Calibri"/>
          <w:lang w:val="en-GB"/>
        </w:rPr>
        <w:t xml:space="preserve"> </w:t>
      </w:r>
      <w:r w:rsidR="00AE4C1D">
        <w:rPr>
          <w:rFonts w:ascii="Calibri" w:eastAsia="Calibri" w:hAnsi="Calibri" w:cs="Calibri"/>
          <w:lang w:val="en-GB"/>
        </w:rPr>
        <w:t>is expected</w:t>
      </w:r>
      <w:r w:rsidRPr="00801763">
        <w:rPr>
          <w:rFonts w:ascii="Calibri" w:eastAsia="Calibri" w:hAnsi="Calibri" w:cs="Calibri"/>
          <w:lang w:val="en-US"/>
        </w:rPr>
        <w:t>, driven by real wages, but also reforms under preparation in areas such as benefits, the combination of which incentivize increased labo</w:t>
      </w:r>
      <w:r w:rsidR="00AE4C1D">
        <w:rPr>
          <w:rFonts w:ascii="Calibri" w:eastAsia="Calibri" w:hAnsi="Calibri" w:cs="Calibri"/>
          <w:lang w:val="en-US"/>
        </w:rPr>
        <w:t>u</w:t>
      </w:r>
      <w:r w:rsidRPr="00801763">
        <w:rPr>
          <w:rFonts w:ascii="Calibri" w:eastAsia="Calibri" w:hAnsi="Calibri" w:cs="Calibri"/>
          <w:lang w:val="en-US"/>
        </w:rPr>
        <w:t>r market participation</w:t>
      </w:r>
      <w:r w:rsidR="00C32373">
        <w:rPr>
          <w:rFonts w:ascii="Calibri" w:eastAsia="Calibri" w:hAnsi="Calibri" w:cs="Calibri"/>
          <w:lang w:val="en-US"/>
        </w:rPr>
        <w:t xml:space="preserve"> (see Section</w:t>
      </w:r>
      <w:r w:rsidR="00B638F0">
        <w:rPr>
          <w:rFonts w:ascii="Calibri" w:eastAsia="Calibri" w:hAnsi="Calibri" w:cs="Calibri"/>
          <w:lang w:val="en-US"/>
        </w:rPr>
        <w:t xml:space="preserve"> 4</w:t>
      </w:r>
      <w:r w:rsidR="00D510C3">
        <w:rPr>
          <w:rFonts w:ascii="Calibri" w:eastAsia="Calibri" w:hAnsi="Calibri" w:cs="Calibri"/>
          <w:lang w:val="en-US"/>
        </w:rPr>
        <w:t xml:space="preserve"> and Annex I</w:t>
      </w:r>
      <w:r w:rsidR="00B638F0">
        <w:rPr>
          <w:rFonts w:ascii="Calibri" w:eastAsia="Calibri" w:hAnsi="Calibri" w:cs="Calibri"/>
          <w:lang w:val="en-US"/>
        </w:rPr>
        <w:t>)</w:t>
      </w:r>
      <w:r w:rsidRPr="00801763">
        <w:rPr>
          <w:rFonts w:ascii="Calibri" w:eastAsia="Calibri" w:hAnsi="Calibri" w:cs="Calibri"/>
          <w:lang w:val="en-US"/>
        </w:rPr>
        <w:t>. In other words, there is still some margin to increase labo</w:t>
      </w:r>
      <w:r w:rsidR="00AE4C1D">
        <w:rPr>
          <w:rFonts w:ascii="Calibri" w:eastAsia="Calibri" w:hAnsi="Calibri" w:cs="Calibri"/>
          <w:lang w:val="en-US"/>
        </w:rPr>
        <w:t>u</w:t>
      </w:r>
      <w:r w:rsidRPr="00801763">
        <w:rPr>
          <w:rFonts w:ascii="Calibri" w:eastAsia="Calibri" w:hAnsi="Calibri" w:cs="Calibri"/>
          <w:lang w:val="en-US"/>
        </w:rPr>
        <w:t xml:space="preserve">r supply in the next years due to (a) the </w:t>
      </w:r>
      <w:r w:rsidR="008837EB">
        <w:rPr>
          <w:rFonts w:ascii="Calibri" w:eastAsia="Calibri" w:hAnsi="Calibri" w:cs="Calibri"/>
          <w:lang w:val="en-US"/>
        </w:rPr>
        <w:t>positive phase in the economic cycle</w:t>
      </w:r>
      <w:r w:rsidR="008837EB" w:rsidRPr="00801763">
        <w:rPr>
          <w:rFonts w:ascii="Calibri" w:eastAsia="Calibri" w:hAnsi="Calibri" w:cs="Calibri"/>
          <w:lang w:val="en-US"/>
        </w:rPr>
        <w:t xml:space="preserve"> </w:t>
      </w:r>
      <w:r w:rsidRPr="00801763">
        <w:rPr>
          <w:rFonts w:ascii="Calibri" w:eastAsia="Calibri" w:hAnsi="Calibri" w:cs="Calibri"/>
          <w:lang w:val="en-US"/>
        </w:rPr>
        <w:t xml:space="preserve">that will help to raise the estimates of the participation rate and </w:t>
      </w:r>
      <w:r w:rsidR="008837EB">
        <w:rPr>
          <w:rFonts w:ascii="Calibri" w:eastAsia="Calibri" w:hAnsi="Calibri" w:cs="Calibri"/>
          <w:lang w:val="en-US"/>
        </w:rPr>
        <w:t xml:space="preserve">affect </w:t>
      </w:r>
      <w:r w:rsidRPr="00801763">
        <w:rPr>
          <w:rFonts w:ascii="Calibri" w:eastAsia="Calibri" w:hAnsi="Calibri" w:cs="Calibri"/>
          <w:lang w:val="en-US"/>
        </w:rPr>
        <w:t xml:space="preserve">the NAWRU, thus raising potential employment and (b) the higher minimum wage (noting that minimum wage will reach </w:t>
      </w:r>
      <w:r w:rsidR="00531922">
        <w:rPr>
          <w:lang w:val="en-US"/>
        </w:rPr>
        <w:t>€</w:t>
      </w:r>
      <w:r w:rsidRPr="00801763">
        <w:rPr>
          <w:rFonts w:ascii="Calibri" w:eastAsia="Calibri" w:hAnsi="Calibri" w:cs="Calibri"/>
          <w:lang w:val="en-US"/>
        </w:rPr>
        <w:t xml:space="preserve">950 by 2027) and higher overall average wages, especially in the left tail of the distribution, that are going to work in the extensive margin and increase employment. </w:t>
      </w:r>
    </w:p>
    <w:p w14:paraId="43C01B96" w14:textId="35FBB6F3" w:rsidR="00801763" w:rsidRPr="00BD442D" w:rsidRDefault="00801763" w:rsidP="00801763">
      <w:pPr>
        <w:suppressAutoHyphens/>
        <w:autoSpaceDN w:val="0"/>
        <w:spacing w:after="100"/>
        <w:textAlignment w:val="baseline"/>
        <w:rPr>
          <w:rFonts w:ascii="Calibri" w:eastAsia="Calibri" w:hAnsi="Calibri" w:cs="Calibri"/>
          <w:kern w:val="3"/>
          <w:lang w:val="en-US" w:eastAsia="ar-SA"/>
        </w:rPr>
      </w:pPr>
      <w:r>
        <w:rPr>
          <w:rFonts w:ascii="Calibri" w:eastAsia="Calibri" w:hAnsi="Calibri" w:cs="Calibri"/>
          <w:bCs/>
          <w:kern w:val="3"/>
          <w:lang w:val="en-GB" w:eastAsia="ar-SA"/>
        </w:rPr>
        <w:t>TFP growth</w:t>
      </w:r>
      <w:r>
        <w:rPr>
          <w:rFonts w:ascii="Calibri" w:eastAsia="Calibri" w:hAnsi="Calibri" w:cs="Calibri"/>
          <w:kern w:val="3"/>
          <w:lang w:val="en-GB" w:eastAsia="ar-SA"/>
        </w:rPr>
        <w:t>: T</w:t>
      </w:r>
      <w:r w:rsidRPr="00801763">
        <w:rPr>
          <w:rFonts w:ascii="Calibri" w:eastAsia="Calibri" w:hAnsi="Calibri" w:cs="Calibri"/>
          <w:kern w:val="3"/>
          <w:lang w:val="en-US" w:eastAsia="ar-SA"/>
        </w:rPr>
        <w:t xml:space="preserve">he TFP is currently estimated at 1.0% for 2024, close to its historical average over the period 1980-2008 and is estimated, on average, at 1.5% for the period 2025-2028. That is, the reforms already enacted, those that are planned to be implemented, and the RRP-related investment spending are bound to increase total factor productivity (TFP) and consequently potential output. </w:t>
      </w:r>
      <w:r w:rsidRPr="00BD442D">
        <w:rPr>
          <w:rFonts w:ascii="Calibri" w:eastAsia="Calibri" w:hAnsi="Calibri" w:cs="Calibri"/>
          <w:kern w:val="3"/>
          <w:lang w:val="en-US" w:eastAsia="ar-SA"/>
        </w:rPr>
        <w:t>The high TFP growth is consistent with the level of potential output and the contributions of labo</w:t>
      </w:r>
      <w:r w:rsidR="00F31EDA">
        <w:rPr>
          <w:rFonts w:ascii="Calibri" w:eastAsia="Calibri" w:hAnsi="Calibri" w:cs="Calibri"/>
          <w:kern w:val="3"/>
          <w:lang w:val="en-US" w:eastAsia="ar-SA"/>
        </w:rPr>
        <w:t>u</w:t>
      </w:r>
      <w:r w:rsidRPr="00BD442D">
        <w:rPr>
          <w:rFonts w:ascii="Calibri" w:eastAsia="Calibri" w:hAnsi="Calibri" w:cs="Calibri"/>
          <w:kern w:val="3"/>
          <w:lang w:val="en-US" w:eastAsia="ar-SA"/>
        </w:rPr>
        <w:t xml:space="preserve">r and capital. </w:t>
      </w:r>
    </w:p>
    <w:p w14:paraId="3BEF2FB2" w14:textId="2BDDAD2E" w:rsidR="00801763" w:rsidRPr="00BD442D" w:rsidRDefault="00801763" w:rsidP="00801763">
      <w:pPr>
        <w:rPr>
          <w:rFonts w:eastAsiaTheme="minorHAnsi"/>
          <w:lang w:val="en-US" w:eastAsia="en-US"/>
        </w:rPr>
      </w:pPr>
      <w:r w:rsidRPr="00BD442D">
        <w:rPr>
          <w:lang w:val="en-US"/>
        </w:rPr>
        <w:t xml:space="preserve">In the RT a </w:t>
      </w:r>
      <w:r w:rsidR="00F31EDA">
        <w:rPr>
          <w:lang w:val="en-US"/>
        </w:rPr>
        <w:t>un</w:t>
      </w:r>
      <w:r w:rsidR="00395912">
        <w:rPr>
          <w:lang w:val="en-US"/>
        </w:rPr>
        <w:t>it</w:t>
      </w:r>
      <w:r w:rsidR="00915016">
        <w:rPr>
          <w:lang w:val="en-US"/>
        </w:rPr>
        <w:t>ar</w:t>
      </w:r>
      <w:r w:rsidR="00395912">
        <w:rPr>
          <w:lang w:val="en-US"/>
        </w:rPr>
        <w:t>y</w:t>
      </w:r>
      <w:r w:rsidR="00F31EDA">
        <w:rPr>
          <w:lang w:val="en-US"/>
        </w:rPr>
        <w:t xml:space="preserve"> </w:t>
      </w:r>
      <w:r w:rsidRPr="00BD442D">
        <w:rPr>
          <w:lang w:val="en-US"/>
        </w:rPr>
        <w:t xml:space="preserve">revenue elasticity </w:t>
      </w:r>
      <w:r w:rsidR="00F31EDA" w:rsidRPr="00BD442D">
        <w:rPr>
          <w:lang w:val="en-US"/>
        </w:rPr>
        <w:t xml:space="preserve">is assumed </w:t>
      </w:r>
      <w:r w:rsidRPr="00BD442D">
        <w:rPr>
          <w:lang w:val="en-US"/>
        </w:rPr>
        <w:t>with respect to GDP for the long-term (i.e. analogue to potential GDP) in nominal terms. Empirical literature indicates that over the past years in Greece revenue elasticity is relatively lower compared to the EU-average; see EC Discussion Paper No. 098</w:t>
      </w:r>
      <w:r>
        <w:rPr>
          <w:rStyle w:val="FootnoteReference"/>
        </w:rPr>
        <w:footnoteReference w:id="2"/>
      </w:r>
      <w:r w:rsidRPr="00BD442D">
        <w:rPr>
          <w:lang w:val="en-US"/>
        </w:rPr>
        <w:t xml:space="preserve"> and ECB Working Paper Series No. 1989</w:t>
      </w:r>
      <w:r>
        <w:rPr>
          <w:rStyle w:val="FootnoteReference"/>
        </w:rPr>
        <w:footnoteReference w:id="3"/>
      </w:r>
      <w:r w:rsidRPr="00BD442D">
        <w:rPr>
          <w:lang w:val="en-US"/>
        </w:rPr>
        <w:t>. Also, empirical data for the General Government revenues net of EU funds and discretionary revenues measures point to an average revenue elasticity of about 0.825 for the years 2023-2024. Therefore, in the MT</w:t>
      </w:r>
      <w:r w:rsidR="00717EA2">
        <w:rPr>
          <w:lang w:val="en-US"/>
        </w:rPr>
        <w:t>P</w:t>
      </w:r>
      <w:r w:rsidRPr="00BD442D">
        <w:rPr>
          <w:lang w:val="en-US"/>
        </w:rPr>
        <w:t xml:space="preserve"> a more prudent revenue elasticity</w:t>
      </w:r>
      <w:r w:rsidR="00717EA2" w:rsidRPr="00717EA2">
        <w:rPr>
          <w:lang w:val="en-US"/>
        </w:rPr>
        <w:t xml:space="preserve"> </w:t>
      </w:r>
      <w:r w:rsidR="00717EA2" w:rsidRPr="00BD442D">
        <w:rPr>
          <w:lang w:val="en-US"/>
        </w:rPr>
        <w:t>is employed</w:t>
      </w:r>
      <w:r w:rsidRPr="00BD442D">
        <w:rPr>
          <w:lang w:val="en-US"/>
        </w:rPr>
        <w:t xml:space="preserve">, as indicated by recent empirical data and </w:t>
      </w:r>
      <w:r w:rsidR="00717EA2">
        <w:rPr>
          <w:lang w:val="en-US"/>
        </w:rPr>
        <w:t xml:space="preserve">relevant </w:t>
      </w:r>
      <w:r w:rsidRPr="00BD442D">
        <w:rPr>
          <w:lang w:val="en-US"/>
        </w:rPr>
        <w:t>literature.</w:t>
      </w:r>
    </w:p>
    <w:p w14:paraId="62059036" w14:textId="77777777" w:rsidR="00801763" w:rsidRPr="00BD442D" w:rsidRDefault="00801763" w:rsidP="00E77D7E">
      <w:pPr>
        <w:spacing w:after="0"/>
        <w:rPr>
          <w:lang w:val="en-US"/>
        </w:rPr>
      </w:pPr>
      <w:r w:rsidRPr="00BD442D">
        <w:rPr>
          <w:lang w:val="en-US"/>
        </w:rPr>
        <w:t>The above two changes (i.e. higher potential GDP and lower revenue elasticity) result to the same average net expenditure growth of 3.3% and the same structural primary balance annual adjustment (i.e. 0.1), thus not affecting the fiscal commitments. However, they are consistent to more realistic growth rates for real GDP over the medium term, as indicated above.</w:t>
      </w:r>
    </w:p>
    <w:p w14:paraId="189229FB" w14:textId="77777777" w:rsidR="00B20130" w:rsidRPr="00B20130" w:rsidRDefault="00987A40" w:rsidP="00E77D7E">
      <w:pPr>
        <w:pStyle w:val="Heading1"/>
        <w:rPr>
          <w:lang w:val="en-US"/>
        </w:rPr>
      </w:pPr>
      <w:bookmarkStart w:id="50" w:name="_Toc178070100"/>
      <w:r>
        <w:rPr>
          <w:lang w:val="en-US"/>
        </w:rPr>
        <w:lastRenderedPageBreak/>
        <w:t xml:space="preserve">Annex I: </w:t>
      </w:r>
      <w:r w:rsidR="00B20130" w:rsidRPr="00B20130">
        <w:rPr>
          <w:lang w:val="en-US"/>
        </w:rPr>
        <w:t>Reforms &amp; investments</w:t>
      </w:r>
      <w:bookmarkEnd w:id="50"/>
    </w:p>
    <w:p w14:paraId="0A1A2FC8" w14:textId="77777777" w:rsidR="00A03678" w:rsidRPr="00B07456" w:rsidRDefault="00A03678">
      <w:pPr>
        <w:rPr>
          <w:rFonts w:eastAsia="Times New Roman"/>
          <w:lang w:val="en-US"/>
        </w:rPr>
      </w:pPr>
      <w:bookmarkStart w:id="51" w:name="_ct2u4wkhtmc3" w:colFirst="0" w:colLast="0"/>
      <w:bookmarkStart w:id="52" w:name="_y7vcb4ieb5on" w:colFirst="0" w:colLast="0"/>
      <w:bookmarkStart w:id="53" w:name="_Toc177496799"/>
      <w:bookmarkEnd w:id="51"/>
      <w:bookmarkEnd w:id="52"/>
      <w:r w:rsidRPr="00B07456">
        <w:rPr>
          <w:rFonts w:eastAsia="Times New Roman"/>
          <w:lang w:val="en-US"/>
        </w:rPr>
        <w:t xml:space="preserve">Since 2019 Greece has made a strong recovery from the crisis it experienced in the previous decade. It has also shown remarkable resilience in the face of two unprecedented exogenous shocks, namely the pandemic and the Russian war of aggression against Ukraine, which triggered a major global energy and inflation crisis. Despite these extraordinary challenges, over the past five years Greece has achieved high growth rates substantially exceeding the Union’s average; the highest among EU member-states reduction in unemployment; a substantial increase in the volume of investment and exports; rapid fiscal consolidation and the fastest ever-recorded reduction in the public debt to GDP debt ratio; substantial progress in restoring the health of its banking system; a significant reduction in private debt and progress in addressing associated legacy issues; as well as a notable reduction in poverty and risk of economic and social exclusion. This progress is reflected in the decision of the European Commission to terminate the process of Enhanced Surveillance in 2022; the substantial reduction in Greek government bond yields and spreads within an environment of rising global interest rates; and the recovery of investment grade in 2023, an event signaling the full return of Greece to conditions of economic normality. </w:t>
      </w:r>
    </w:p>
    <w:p w14:paraId="29A7C7C0" w14:textId="77777777" w:rsidR="00A03678" w:rsidRPr="00B07456" w:rsidRDefault="00A03678">
      <w:pPr>
        <w:rPr>
          <w:rFonts w:eastAsia="Times New Roman"/>
          <w:lang w:val="en-US"/>
        </w:rPr>
      </w:pPr>
      <w:r w:rsidRPr="00B07456">
        <w:rPr>
          <w:rFonts w:eastAsia="Times New Roman"/>
          <w:lang w:val="en-US"/>
        </w:rPr>
        <w:t xml:space="preserve">The progress described above was underpinned by three main pillars. First, a sound and prudent fiscal policy. Second, a credible and effective strategy restoring conditions of financial normality. And third, a programme of extensive structural reforms improving the business environment and incentivizing higher investment and labour market participation. Since 2019 Greece has significantly improved its ranking as an investment-friendly destination; increased competition through removing entry barriers and reducing state intervention in markets and economic life; and incentivized labour and capital supply through appropriate tax and regulatory reforms. As a result, employment, labour market participation and investment (including foreign direct investment) have all increased, making the Greek economy more competitive, more extrovert and more diversified: Potential output has been rebounding; Greece has gained market shares in global export markets; and the industrial sector has been increasing its contribution to GDP and total employment. The share of R&amp;D expenditure in GDP has increased significantly; Greece produces and exports a rising volume of goods classified as high-tech and the country has made important progress in the areas of digital and green transition, particularly in electricity production through renewable resources. </w:t>
      </w:r>
    </w:p>
    <w:p w14:paraId="24A6DE27" w14:textId="77777777" w:rsidR="00A03678" w:rsidRPr="00B07456" w:rsidRDefault="00A03678">
      <w:pPr>
        <w:rPr>
          <w:rFonts w:eastAsia="Times New Roman"/>
          <w:lang w:val="en-US"/>
        </w:rPr>
      </w:pPr>
      <w:r w:rsidRPr="00B07456">
        <w:rPr>
          <w:rFonts w:eastAsia="Times New Roman"/>
          <w:lang w:val="en-US"/>
        </w:rPr>
        <w:t xml:space="preserve">Overall, the process of convergence is back on track. Yet, it is not complete and can be accelerated. Greece can make further progress in terms of increasing its natural output through higher levels of productivity, employment, and investment, including in the areas of </w:t>
      </w:r>
      <w:r w:rsidRPr="00B07456">
        <w:rPr>
          <w:rFonts w:eastAsia="Times New Roman"/>
          <w:lang w:val="en-US"/>
        </w:rPr>
        <w:lastRenderedPageBreak/>
        <w:t xml:space="preserve">digitalization and green transition. Human capital can be further enhanced through improvements in education and upskilling/reskilling, and the same applies to public administration and key social services such as health, justice, and defense/security. </w:t>
      </w:r>
    </w:p>
    <w:p w14:paraId="30A549FF" w14:textId="77777777" w:rsidR="00A03678" w:rsidRPr="00B07456" w:rsidRDefault="00A03678">
      <w:pPr>
        <w:rPr>
          <w:rFonts w:eastAsia="Times New Roman"/>
          <w:lang w:val="en-US"/>
        </w:rPr>
      </w:pPr>
      <w:r w:rsidRPr="00B07456">
        <w:rPr>
          <w:rFonts w:eastAsia="Times New Roman"/>
          <w:lang w:val="en-US"/>
        </w:rPr>
        <w:t xml:space="preserve">To that end, over the course of the fiscal-structural plan the Greek authorities will continue implementing policies based on the three pillars that have served the country well over the past five years namely: fiscal prudence, financial stability and growth-enhancing reforms geared towards innovation, digitalization and higher productivity coupled with environmental sustainability. The main policy objective is to accelerate the improvement of living standards and welfare of all citizens, across all Greece’s geographical regions, through faster convergence with the EU average for the whole spectrum of economic and social outcomes. This is perfectly aligned with the ultimate objective of the Greek National Recovery and Resilience Plan Greece 2.0, Greece’s Partnership Agreement with the European Commission 2021-2027, and the National Public Investment Programme over the next four years. </w:t>
      </w:r>
    </w:p>
    <w:p w14:paraId="50148E95" w14:textId="77777777" w:rsidR="00A03678" w:rsidRPr="00B07456" w:rsidRDefault="00A03678">
      <w:pPr>
        <w:rPr>
          <w:rFonts w:eastAsia="Times New Roman"/>
          <w:lang w:val="en-US"/>
        </w:rPr>
      </w:pPr>
      <w:r w:rsidRPr="00B07456">
        <w:rPr>
          <w:rFonts w:eastAsia="Times New Roman"/>
          <w:lang w:val="en-US"/>
        </w:rPr>
        <w:t xml:space="preserve">In this context, and for the duration of the present fiscal-structural plan, Greece will implement reforms and investments focusing on the following policy priorities: </w:t>
      </w:r>
    </w:p>
    <w:p w14:paraId="3FAEC6E4"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First, and of the highest importance, increase citizens’ income. Raising purchasing power is a top priority for the Greek authorities. This is to be achieved through the resources produced as a result of higher economic growth, but also through further increases in the level of competition, reducing price mark-ups and increasing consumer’s surplus. </w:t>
      </w:r>
    </w:p>
    <w:p w14:paraId="2F10EDB9"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Second, further increases in employment, particularly among the women, the young, and other groups that are vulnerable in the labour market. </w:t>
      </w:r>
    </w:p>
    <w:p w14:paraId="377CA454"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Third, improve the production and technological capacity of the Greek economy across all sectors, i.e., agriculture, the industrial sector, and services. Such improvement is key for increasing the extroversion and the innovation capacity of Greek enterprises. </w:t>
      </w:r>
    </w:p>
    <w:p w14:paraId="43B9075A"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Fourth, achieve an even faster and just green transition. </w:t>
      </w:r>
    </w:p>
    <w:p w14:paraId="2C5BE38F"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Fifth, limit any negative externalities arising from accelerated growth. To ensure meeting this priority, the Greek authorities will increase their monitoring capacities and ensure the enforcement of all relevant rules. </w:t>
      </w:r>
    </w:p>
    <w:p w14:paraId="5C35B2F3"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Sixth, and in direct conjunction with the fifth priority, ensure a balanced organization and productive use of public spaces and property. </w:t>
      </w:r>
    </w:p>
    <w:p w14:paraId="131EF17E"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Seventh, achieve a more effective management of demographic developments. Demographic trends are a highly complex, multidimensional question. Yet, they are of key importance for long-term economic growth and sustainability. To address demographic challenges, among an array of measures, the Greek authorities will pursue stronger support for new families, including through addressing housing shortages and enhancement of key public services; a better balance between family/personal and professional life; and a higher quality of life for senior citizens. </w:t>
      </w:r>
    </w:p>
    <w:p w14:paraId="252320C1"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lastRenderedPageBreak/>
        <w:t xml:space="preserve">Eight, address the unprecedent challenges posed by the climate crisis on public infrastructure, private properties, and public finances. </w:t>
      </w:r>
    </w:p>
    <w:p w14:paraId="4FAC4582"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Ninth, and as a necessary prerequisite for meeting all previous priorities, meet the fiscal targets set by the new European governance framework, thus maintaining the strong downward path of the public-debt to GDP ratio and further reduction in the cost of servicing Greek public. Sound public finances are a foundation for high and inclusive economic growth, as well as for providing public services of high quality. The latter include investment in defence and security that is necessary to mitigate sufficiently elevated geopolitical risks, as well as the enhancement of the capacity and performance of the National Health System, which is a key government priority. </w:t>
      </w:r>
    </w:p>
    <w:p w14:paraId="1EF36B50" w14:textId="77777777" w:rsidR="00A03678" w:rsidRPr="00920844" w:rsidRDefault="00A03678" w:rsidP="00920844">
      <w:pPr>
        <w:pStyle w:val="ListParagraph"/>
        <w:numPr>
          <w:ilvl w:val="0"/>
          <w:numId w:val="42"/>
        </w:numPr>
        <w:rPr>
          <w:rFonts w:eastAsia="Calibri"/>
          <w:lang w:val="en-US"/>
        </w:rPr>
      </w:pPr>
      <w:r w:rsidRPr="00920844">
        <w:rPr>
          <w:rFonts w:eastAsia="Calibri"/>
          <w:lang w:val="en-US"/>
        </w:rPr>
        <w:t xml:space="preserve">Tenth, ensuring the maintenance of conditions of financial stability, through the preservation of a strong banking system financing the economy’s medium-term sustainable growth, and the further development of Greek capital markets, a key prerequisite for mobilizing investment in innovative projects, delivering advances in productivity and competitiveness. </w:t>
      </w:r>
    </w:p>
    <w:p w14:paraId="7B68A2CB" w14:textId="77777777" w:rsidR="00A03678" w:rsidRPr="00920844" w:rsidRDefault="00A03678" w:rsidP="00920844">
      <w:pPr>
        <w:pStyle w:val="ListParagraph"/>
        <w:numPr>
          <w:ilvl w:val="0"/>
          <w:numId w:val="42"/>
        </w:numPr>
        <w:rPr>
          <w:rFonts w:eastAsia="Calibri" w:cs="Calibri"/>
          <w:lang w:val="en-US"/>
        </w:rPr>
      </w:pPr>
      <w:r w:rsidRPr="00920844">
        <w:rPr>
          <w:rFonts w:eastAsia="Calibri"/>
          <w:lang w:val="en-US"/>
        </w:rPr>
        <w:t>L</w:t>
      </w:r>
      <w:r w:rsidRPr="00920844">
        <w:rPr>
          <w:rFonts w:eastAsia="Calibri" w:cs="Calibri"/>
          <w:lang w:val="en-US"/>
        </w:rPr>
        <w:t xml:space="preserve">ast, but not least, implement an ambitious programme of improving business regulations and achieving process simplification. The target is to reduce the administrative burden red tape imposes on firms, thereby increasing business efficiency and supporting export orientation. </w:t>
      </w:r>
    </w:p>
    <w:p w14:paraId="783A3191" w14:textId="77777777" w:rsidR="00A03678" w:rsidRPr="00B07456" w:rsidRDefault="00A03678">
      <w:pPr>
        <w:rPr>
          <w:rFonts w:eastAsia="Times New Roman" w:cs="Calibri"/>
          <w:lang w:val="en-US"/>
        </w:rPr>
      </w:pPr>
      <w:r w:rsidRPr="00B07456">
        <w:rPr>
          <w:rFonts w:eastAsia="Times New Roman" w:cs="Calibri"/>
          <w:lang w:val="en-US"/>
        </w:rPr>
        <w:t>The remainder of this section presents reforms and measures, categorized by the responsible Ministry, aiming to deliver upon the priorities set above, as well the priorities set in the RRP, the country specific recommendations and in the common priorities of the Union.</w:t>
      </w:r>
      <w:r w:rsidRPr="00B07456">
        <w:rPr>
          <w:rFonts w:eastAsia="Times New Roman" w:cs="Calibri"/>
          <w:sz w:val="24"/>
          <w:szCs w:val="24"/>
          <w:vertAlign w:val="superscript"/>
        </w:rPr>
        <w:footnoteReference w:id="4"/>
      </w:r>
      <w:r w:rsidRPr="00B07456">
        <w:rPr>
          <w:rFonts w:eastAsia="Times New Roman" w:cs="Calibri"/>
          <w:lang w:val="en-US"/>
        </w:rPr>
        <w:t xml:space="preserve"> </w:t>
      </w:r>
    </w:p>
    <w:p w14:paraId="64D8FD31" w14:textId="7EEA30B3" w:rsidR="0050427D" w:rsidRDefault="0050427D" w:rsidP="002B7F1A">
      <w:pPr>
        <w:rPr>
          <w:rFonts w:cstheme="minorHAnsi"/>
          <w:lang w:val="en-US"/>
        </w:rPr>
      </w:pPr>
    </w:p>
    <w:p w14:paraId="191E0B6D" w14:textId="77777777" w:rsidR="00135F3B" w:rsidRDefault="00135F3B">
      <w:pPr>
        <w:spacing w:after="200" w:line="276" w:lineRule="auto"/>
        <w:jc w:val="left"/>
        <w:rPr>
          <w:rFonts w:ascii="Calibri Light" w:eastAsiaTheme="majorEastAsia" w:hAnsi="Calibri Light" w:cstheme="majorBidi"/>
          <w:b/>
          <w:color w:val="4F81BD" w:themeColor="accent1"/>
          <w:sz w:val="28"/>
          <w:szCs w:val="26"/>
          <w:lang w:val="en-US"/>
        </w:rPr>
      </w:pPr>
      <w:r>
        <w:rPr>
          <w:lang w:val="en-US"/>
        </w:rPr>
        <w:br w:type="page"/>
      </w:r>
    </w:p>
    <w:p w14:paraId="0E364816" w14:textId="4803B3D9" w:rsidR="00135F3B" w:rsidRDefault="00135F3B" w:rsidP="00920844">
      <w:pPr>
        <w:pStyle w:val="Heading2"/>
        <w:pBdr>
          <w:bottom w:val="single" w:sz="18" w:space="1" w:color="FF3300"/>
        </w:pBdr>
        <w:spacing w:after="480"/>
        <w:rPr>
          <w:lang w:val="en-US"/>
        </w:rPr>
      </w:pPr>
      <w:bookmarkStart w:id="54" w:name="_Toc178070101"/>
      <w:r w:rsidRPr="00135F3B">
        <w:rPr>
          <w:lang w:val="en-US"/>
        </w:rPr>
        <w:lastRenderedPageBreak/>
        <w:t>Ministry of National Economy and Finance</w:t>
      </w:r>
      <w:bookmarkEnd w:id="54"/>
    </w:p>
    <w:tbl>
      <w:tblPr>
        <w:tblW w:w="90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604"/>
        <w:gridCol w:w="1420"/>
        <w:gridCol w:w="1274"/>
        <w:gridCol w:w="2774"/>
      </w:tblGrid>
      <w:tr w:rsidR="007F3C29" w:rsidRPr="007F3C29" w14:paraId="05FA47C5" w14:textId="77777777" w:rsidTr="00C2631D">
        <w:trPr>
          <w:trHeight w:val="113"/>
        </w:trPr>
        <w:tc>
          <w:tcPr>
            <w:tcW w:w="3705" w:type="dxa"/>
            <w:shd w:val="clear" w:color="auto" w:fill="CFE2F3"/>
          </w:tcPr>
          <w:p w14:paraId="52964C96" w14:textId="77777777" w:rsidR="007F3C29" w:rsidRPr="00920844" w:rsidRDefault="007F3C29" w:rsidP="00C2631D">
            <w:pPr>
              <w:pStyle w:val="Tabletext"/>
              <w:spacing w:line="220" w:lineRule="exact"/>
              <w:rPr>
                <w:rFonts w:eastAsia="Calibri"/>
                <w:b/>
              </w:rPr>
            </w:pPr>
            <w:r w:rsidRPr="00920844">
              <w:rPr>
                <w:rFonts w:eastAsia="Calibri"/>
                <w:b/>
              </w:rPr>
              <w:t>REFORM / INVESTMENT</w:t>
            </w:r>
          </w:p>
        </w:tc>
        <w:tc>
          <w:tcPr>
            <w:tcW w:w="1455" w:type="dxa"/>
            <w:shd w:val="clear" w:color="auto" w:fill="CFE2F3"/>
          </w:tcPr>
          <w:p w14:paraId="6B04F14E" w14:textId="77777777" w:rsidR="007F3C29" w:rsidRPr="00920844" w:rsidRDefault="007F3C29" w:rsidP="00C2631D">
            <w:pPr>
              <w:pStyle w:val="Tabletext"/>
              <w:spacing w:line="220" w:lineRule="exact"/>
              <w:rPr>
                <w:rFonts w:eastAsia="Calibri"/>
                <w:b/>
              </w:rPr>
            </w:pPr>
            <w:r w:rsidRPr="00920844">
              <w:rPr>
                <w:rFonts w:eastAsia="Calibri"/>
                <w:b/>
              </w:rPr>
              <w:t xml:space="preserve">RRF / MFF </w:t>
            </w:r>
          </w:p>
        </w:tc>
        <w:tc>
          <w:tcPr>
            <w:tcW w:w="1305" w:type="dxa"/>
            <w:shd w:val="clear" w:color="auto" w:fill="CFE2F3"/>
          </w:tcPr>
          <w:p w14:paraId="37AA1CDF" w14:textId="77777777" w:rsidR="007F3C29" w:rsidRPr="00920844" w:rsidRDefault="007F3C29" w:rsidP="00C2631D">
            <w:pPr>
              <w:pStyle w:val="Tabletext"/>
              <w:spacing w:line="220" w:lineRule="exact"/>
              <w:rPr>
                <w:rFonts w:eastAsia="Calibri"/>
                <w:b/>
              </w:rPr>
            </w:pPr>
            <w:r w:rsidRPr="00920844">
              <w:rPr>
                <w:rFonts w:eastAsia="Calibri"/>
                <w:b/>
              </w:rPr>
              <w:t xml:space="preserve">CSR </w:t>
            </w:r>
          </w:p>
        </w:tc>
        <w:tc>
          <w:tcPr>
            <w:tcW w:w="2850" w:type="dxa"/>
            <w:shd w:val="clear" w:color="auto" w:fill="CFE2F3"/>
          </w:tcPr>
          <w:p w14:paraId="14226145" w14:textId="77777777" w:rsidR="007F3C29" w:rsidRPr="00920844" w:rsidRDefault="007F3C29" w:rsidP="00C2631D">
            <w:pPr>
              <w:pStyle w:val="Tabletext"/>
              <w:spacing w:line="220" w:lineRule="exact"/>
              <w:rPr>
                <w:rFonts w:eastAsia="Calibri"/>
                <w:b/>
              </w:rPr>
            </w:pPr>
            <w:r w:rsidRPr="00920844">
              <w:rPr>
                <w:rFonts w:eastAsia="Calibri"/>
                <w:b/>
              </w:rPr>
              <w:t>COMMON PRIORITIES</w:t>
            </w:r>
          </w:p>
        </w:tc>
      </w:tr>
      <w:tr w:rsidR="007F3C29" w:rsidRPr="00E204B7" w14:paraId="7EF433C3" w14:textId="77777777" w:rsidTr="00C2631D">
        <w:trPr>
          <w:trHeight w:val="113"/>
        </w:trPr>
        <w:tc>
          <w:tcPr>
            <w:tcW w:w="3705" w:type="dxa"/>
            <w:tcMar>
              <w:left w:w="45" w:type="dxa"/>
              <w:right w:w="45" w:type="dxa"/>
            </w:tcMar>
          </w:tcPr>
          <w:p w14:paraId="6DA010C7" w14:textId="50DBFF54" w:rsidR="007F3C29" w:rsidRPr="00920844" w:rsidRDefault="00BA03C0" w:rsidP="00C2631D">
            <w:pPr>
              <w:pStyle w:val="Tabletext"/>
              <w:spacing w:line="220" w:lineRule="exact"/>
              <w:rPr>
                <w:rFonts w:eastAsia="Calibri"/>
              </w:rPr>
            </w:pPr>
            <w:r w:rsidRPr="00BA03C0">
              <w:rPr>
                <w:rFonts w:eastAsia="Calibri"/>
                <w:b/>
              </w:rPr>
              <w:t>REFORM 1:</w:t>
            </w:r>
            <w:r w:rsidR="007F3C29" w:rsidRPr="00920844">
              <w:rPr>
                <w:rFonts w:eastAsia="Calibri"/>
              </w:rPr>
              <w:t xml:space="preserve"> Online cash registers &amp; POS</w:t>
            </w:r>
          </w:p>
        </w:tc>
        <w:tc>
          <w:tcPr>
            <w:tcW w:w="1455" w:type="dxa"/>
            <w:tcMar>
              <w:left w:w="45" w:type="dxa"/>
              <w:right w:w="45" w:type="dxa"/>
            </w:tcMar>
          </w:tcPr>
          <w:p w14:paraId="30B095AF" w14:textId="77777777" w:rsidR="007F3C29" w:rsidRDefault="007F3C29" w:rsidP="00C2631D">
            <w:pPr>
              <w:pStyle w:val="Tabletext"/>
              <w:spacing w:line="220" w:lineRule="exact"/>
              <w:rPr>
                <w:rFonts w:eastAsia="Calibri"/>
                <w:sz w:val="20"/>
                <w:szCs w:val="20"/>
              </w:rPr>
            </w:pPr>
            <w:r>
              <w:rPr>
                <w:rFonts w:eastAsia="Calibri"/>
                <w:sz w:val="20"/>
                <w:szCs w:val="20"/>
              </w:rPr>
              <w:t>RRF 16614</w:t>
            </w:r>
          </w:p>
        </w:tc>
        <w:tc>
          <w:tcPr>
            <w:tcW w:w="1305" w:type="dxa"/>
            <w:tcMar>
              <w:left w:w="45" w:type="dxa"/>
              <w:right w:w="45" w:type="dxa"/>
            </w:tcMar>
          </w:tcPr>
          <w:p w14:paraId="016B29ED"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2024 CSR 2.1</w:t>
            </w:r>
            <w:r w:rsidRPr="00920844">
              <w:rPr>
                <w:rFonts w:eastAsia="Calibri"/>
                <w:sz w:val="20"/>
                <w:szCs w:val="20"/>
              </w:rPr>
              <w:br/>
              <w:t>2023 CSR 1.6 2023 CSR 1.7 2023 CSR 1.8 2022 CSR 1.5</w:t>
            </w:r>
          </w:p>
          <w:p w14:paraId="07342A4A" w14:textId="77777777" w:rsidR="007F3C29" w:rsidRDefault="007F3C29" w:rsidP="00C2631D">
            <w:pPr>
              <w:pStyle w:val="Tabletext"/>
              <w:spacing w:line="220" w:lineRule="exact"/>
              <w:rPr>
                <w:rFonts w:eastAsia="Calibri"/>
                <w:sz w:val="20"/>
                <w:szCs w:val="20"/>
              </w:rPr>
            </w:pPr>
            <w:r>
              <w:rPr>
                <w:rFonts w:eastAsia="Calibri"/>
                <w:sz w:val="20"/>
                <w:szCs w:val="20"/>
              </w:rPr>
              <w:t>2020 CSR 3.10</w:t>
            </w:r>
          </w:p>
          <w:p w14:paraId="77470D68" w14:textId="77777777" w:rsidR="007F3C29" w:rsidRDefault="007F3C29" w:rsidP="00C2631D">
            <w:pPr>
              <w:pStyle w:val="Tabletext"/>
              <w:spacing w:line="220" w:lineRule="exact"/>
              <w:rPr>
                <w:rFonts w:eastAsia="Calibri"/>
                <w:sz w:val="20"/>
                <w:szCs w:val="20"/>
              </w:rPr>
            </w:pPr>
            <w:r>
              <w:rPr>
                <w:rFonts w:eastAsia="Calibri"/>
                <w:sz w:val="20"/>
                <w:szCs w:val="20"/>
              </w:rPr>
              <w:t>2020 CSR 3.9 2019 CSR 2.3</w:t>
            </w:r>
          </w:p>
        </w:tc>
        <w:tc>
          <w:tcPr>
            <w:tcW w:w="2850" w:type="dxa"/>
            <w:tcMar>
              <w:left w:w="45" w:type="dxa"/>
              <w:right w:w="45" w:type="dxa"/>
            </w:tcMar>
          </w:tcPr>
          <w:p w14:paraId="7BDA40C8"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14:paraId="7DC7F47F" w14:textId="77777777" w:rsidTr="00C2631D">
        <w:trPr>
          <w:trHeight w:val="113"/>
        </w:trPr>
        <w:tc>
          <w:tcPr>
            <w:tcW w:w="3705" w:type="dxa"/>
            <w:tcMar>
              <w:left w:w="45" w:type="dxa"/>
              <w:right w:w="45" w:type="dxa"/>
            </w:tcMar>
          </w:tcPr>
          <w:p w14:paraId="7972AA76" w14:textId="4033CAAA" w:rsidR="007F3C29" w:rsidRPr="00920844" w:rsidRDefault="00BA03C0" w:rsidP="00C2631D">
            <w:pPr>
              <w:pStyle w:val="Tabletext"/>
              <w:spacing w:line="220" w:lineRule="exact"/>
              <w:rPr>
                <w:rFonts w:eastAsia="Calibri"/>
              </w:rPr>
            </w:pPr>
            <w:r w:rsidRPr="00BA03C0">
              <w:rPr>
                <w:rFonts w:eastAsia="Calibri"/>
                <w:b/>
              </w:rPr>
              <w:t>REFORM 2:</w:t>
            </w:r>
            <w:r w:rsidR="007F3C29" w:rsidRPr="00920844">
              <w:rPr>
                <w:rFonts w:eastAsia="Calibri"/>
              </w:rPr>
              <w:t xml:space="preserve"> Codification and simplification of tax legislation</w:t>
            </w:r>
          </w:p>
        </w:tc>
        <w:tc>
          <w:tcPr>
            <w:tcW w:w="1455" w:type="dxa"/>
            <w:tcMar>
              <w:left w:w="45" w:type="dxa"/>
              <w:right w:w="45" w:type="dxa"/>
            </w:tcMar>
          </w:tcPr>
          <w:p w14:paraId="3F025CFD" w14:textId="77777777" w:rsidR="007F3C29" w:rsidRDefault="007F3C29" w:rsidP="00C2631D">
            <w:pPr>
              <w:pStyle w:val="Tabletext"/>
              <w:spacing w:line="220" w:lineRule="exact"/>
              <w:rPr>
                <w:rFonts w:eastAsia="Calibri"/>
                <w:sz w:val="20"/>
                <w:szCs w:val="20"/>
              </w:rPr>
            </w:pPr>
            <w:r>
              <w:rPr>
                <w:rFonts w:eastAsia="Calibri"/>
                <w:sz w:val="20"/>
                <w:szCs w:val="20"/>
              </w:rPr>
              <w:t>RRF 16643</w:t>
            </w:r>
          </w:p>
        </w:tc>
        <w:tc>
          <w:tcPr>
            <w:tcW w:w="1305" w:type="dxa"/>
            <w:tcMar>
              <w:left w:w="45" w:type="dxa"/>
              <w:right w:w="45" w:type="dxa"/>
            </w:tcMar>
          </w:tcPr>
          <w:p w14:paraId="58B633F2"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2024 CSR 1.2 2024 CSR 2.1 2023.CSR 1.7 2020 CSR 3.9 2019 CSR 2.3</w:t>
            </w:r>
          </w:p>
        </w:tc>
        <w:tc>
          <w:tcPr>
            <w:tcW w:w="2850" w:type="dxa"/>
            <w:tcMar>
              <w:left w:w="45" w:type="dxa"/>
              <w:right w:w="45" w:type="dxa"/>
            </w:tcMar>
          </w:tcPr>
          <w:p w14:paraId="60F3A32E"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14:paraId="535295BD" w14:textId="77777777" w:rsidTr="00C2631D">
        <w:trPr>
          <w:trHeight w:val="113"/>
        </w:trPr>
        <w:tc>
          <w:tcPr>
            <w:tcW w:w="3705" w:type="dxa"/>
            <w:tcMar>
              <w:left w:w="45" w:type="dxa"/>
              <w:right w:w="45" w:type="dxa"/>
            </w:tcMar>
          </w:tcPr>
          <w:p w14:paraId="7AFBB5B4" w14:textId="341A23A2" w:rsidR="007F3C29" w:rsidRDefault="00BA03C0" w:rsidP="00C2631D">
            <w:pPr>
              <w:pStyle w:val="Tabletext"/>
              <w:spacing w:line="220" w:lineRule="exact"/>
              <w:rPr>
                <w:rFonts w:eastAsia="Calibri"/>
              </w:rPr>
            </w:pPr>
            <w:r w:rsidRPr="00BA03C0">
              <w:rPr>
                <w:rFonts w:eastAsia="Calibri"/>
                <w:b/>
              </w:rPr>
              <w:t>REFORM 3:</w:t>
            </w:r>
            <w:r w:rsidR="007F3C29">
              <w:rPr>
                <w:rFonts w:eastAsia="Calibri"/>
              </w:rPr>
              <w:t xml:space="preserve"> Accounting reform </w:t>
            </w:r>
          </w:p>
        </w:tc>
        <w:tc>
          <w:tcPr>
            <w:tcW w:w="1455" w:type="dxa"/>
            <w:tcMar>
              <w:left w:w="45" w:type="dxa"/>
              <w:right w:w="45" w:type="dxa"/>
            </w:tcMar>
          </w:tcPr>
          <w:p w14:paraId="2576A71D" w14:textId="77777777" w:rsidR="007F3C29" w:rsidRDefault="007F3C29" w:rsidP="00C2631D">
            <w:pPr>
              <w:pStyle w:val="Tabletext"/>
              <w:spacing w:line="220" w:lineRule="exact"/>
              <w:rPr>
                <w:rFonts w:eastAsia="Calibri"/>
                <w:sz w:val="20"/>
                <w:szCs w:val="20"/>
              </w:rPr>
            </w:pPr>
            <w:r>
              <w:rPr>
                <w:rFonts w:eastAsia="Calibri"/>
                <w:sz w:val="20"/>
                <w:szCs w:val="20"/>
              </w:rPr>
              <w:t>RRF 16974</w:t>
            </w:r>
          </w:p>
        </w:tc>
        <w:tc>
          <w:tcPr>
            <w:tcW w:w="1305" w:type="dxa"/>
            <w:tcMar>
              <w:left w:w="45" w:type="dxa"/>
              <w:right w:w="45" w:type="dxa"/>
            </w:tcMar>
          </w:tcPr>
          <w:p w14:paraId="53F5CC97"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2024 CSR 2.1 2020 CSR 3.9 2020 CSR 3.8 2019 CSR 2.3 2019 CSR 2.6</w:t>
            </w:r>
          </w:p>
        </w:tc>
        <w:tc>
          <w:tcPr>
            <w:tcW w:w="2850" w:type="dxa"/>
            <w:tcMar>
              <w:left w:w="45" w:type="dxa"/>
              <w:right w:w="45" w:type="dxa"/>
            </w:tcMar>
          </w:tcPr>
          <w:p w14:paraId="17B69A85"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rsidRPr="00E204B7" w14:paraId="738AEB15" w14:textId="77777777" w:rsidTr="00C2631D">
        <w:trPr>
          <w:trHeight w:val="113"/>
        </w:trPr>
        <w:tc>
          <w:tcPr>
            <w:tcW w:w="3705" w:type="dxa"/>
            <w:tcMar>
              <w:left w:w="45" w:type="dxa"/>
              <w:right w:w="45" w:type="dxa"/>
            </w:tcMar>
          </w:tcPr>
          <w:p w14:paraId="2247610F" w14:textId="50277AE6" w:rsidR="007F3C29" w:rsidRPr="00920844" w:rsidRDefault="00BA03C0" w:rsidP="00C2631D">
            <w:pPr>
              <w:pStyle w:val="Tabletext"/>
              <w:spacing w:line="220" w:lineRule="exact"/>
              <w:rPr>
                <w:rFonts w:eastAsia="Calibri"/>
                <w:i/>
                <w:iCs/>
              </w:rPr>
            </w:pPr>
            <w:r w:rsidRPr="00BA03C0">
              <w:rPr>
                <w:rFonts w:eastAsia="Calibri"/>
                <w:b/>
                <w:i/>
                <w:iCs/>
              </w:rPr>
              <w:t>REFORM 4:</w:t>
            </w:r>
            <w:r w:rsidR="007F3C29" w:rsidRPr="00920844">
              <w:rPr>
                <w:rFonts w:eastAsia="Calibri"/>
                <w:i/>
                <w:iCs/>
              </w:rPr>
              <w:t xml:space="preserve"> Modifications to Greece’s tax policy framework</w:t>
            </w:r>
            <w:r w:rsidR="007F3C29">
              <w:rPr>
                <w:rStyle w:val="FootnoteReference"/>
                <w:rFonts w:eastAsia="Calibri" w:cs="Calibri"/>
                <w:i/>
                <w:iCs/>
              </w:rPr>
              <w:footnoteReference w:id="5"/>
            </w:r>
          </w:p>
        </w:tc>
        <w:tc>
          <w:tcPr>
            <w:tcW w:w="1455" w:type="dxa"/>
            <w:tcMar>
              <w:left w:w="45" w:type="dxa"/>
              <w:right w:w="45" w:type="dxa"/>
            </w:tcMar>
          </w:tcPr>
          <w:p w14:paraId="2763376B"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RRF 16985</w:t>
            </w:r>
          </w:p>
        </w:tc>
        <w:tc>
          <w:tcPr>
            <w:tcW w:w="1305" w:type="dxa"/>
            <w:tcMar>
              <w:left w:w="45" w:type="dxa"/>
              <w:right w:w="45" w:type="dxa"/>
            </w:tcMar>
          </w:tcPr>
          <w:p w14:paraId="2451DBD7" w14:textId="77777777" w:rsidR="007F3C29" w:rsidRPr="00920844" w:rsidRDefault="007F3C29" w:rsidP="00C2631D">
            <w:pPr>
              <w:pStyle w:val="Tabletext"/>
              <w:spacing w:line="220" w:lineRule="exact"/>
              <w:rPr>
                <w:rFonts w:eastAsia="Calibri"/>
                <w:i/>
                <w:iCs/>
                <w:sz w:val="20"/>
                <w:szCs w:val="20"/>
              </w:rPr>
            </w:pPr>
            <w:r w:rsidRPr="00920844">
              <w:rPr>
                <w:rFonts w:eastAsia="Calibri"/>
                <w:i/>
                <w:iCs/>
                <w:sz w:val="20"/>
                <w:szCs w:val="20"/>
              </w:rPr>
              <w:t>2024 CSR 1.2 2024 CSR 2.1 2023.CSR 1.6 2023 CSR 1.8 2023 CSR 1.7 2022 CSR 1.5 2020 CSR 3.9</w:t>
            </w:r>
          </w:p>
          <w:p w14:paraId="736B8405"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2019 CSR 2.3</w:t>
            </w:r>
          </w:p>
        </w:tc>
        <w:tc>
          <w:tcPr>
            <w:tcW w:w="2850" w:type="dxa"/>
            <w:tcMar>
              <w:left w:w="45" w:type="dxa"/>
              <w:right w:w="45" w:type="dxa"/>
            </w:tcMar>
          </w:tcPr>
          <w:p w14:paraId="7EB4A781" w14:textId="77777777" w:rsidR="007F3C29" w:rsidRPr="00920844" w:rsidRDefault="007F3C29" w:rsidP="00C2631D">
            <w:pPr>
              <w:pStyle w:val="Tabletext"/>
              <w:spacing w:line="220" w:lineRule="exact"/>
              <w:rPr>
                <w:rFonts w:eastAsia="Calibri"/>
                <w:i/>
                <w:iCs/>
                <w:sz w:val="20"/>
                <w:szCs w:val="20"/>
              </w:rPr>
            </w:pPr>
            <w:r w:rsidRPr="00920844">
              <w:rPr>
                <w:rFonts w:eastAsia="Calibri"/>
                <w:i/>
                <w:iCs/>
                <w:sz w:val="20"/>
                <w:szCs w:val="20"/>
              </w:rPr>
              <w:t>Social and Economic resilience &amp; Fair green and digital transition</w:t>
            </w:r>
          </w:p>
        </w:tc>
      </w:tr>
      <w:tr w:rsidR="007F3C29" w14:paraId="062A9CB8" w14:textId="77777777" w:rsidTr="00C2631D">
        <w:trPr>
          <w:trHeight w:val="113"/>
        </w:trPr>
        <w:tc>
          <w:tcPr>
            <w:tcW w:w="3705" w:type="dxa"/>
            <w:tcMar>
              <w:left w:w="45" w:type="dxa"/>
              <w:right w:w="45" w:type="dxa"/>
            </w:tcMar>
          </w:tcPr>
          <w:p w14:paraId="33698223" w14:textId="7BB63671" w:rsidR="007F3C29" w:rsidRPr="00920844" w:rsidRDefault="00BA03C0" w:rsidP="00C2631D">
            <w:pPr>
              <w:pStyle w:val="Tabletext"/>
              <w:spacing w:line="220" w:lineRule="exact"/>
              <w:rPr>
                <w:rFonts w:eastAsia="Calibri"/>
              </w:rPr>
            </w:pPr>
            <w:r w:rsidRPr="00BA03C0">
              <w:rPr>
                <w:rFonts w:eastAsia="Calibri"/>
                <w:b/>
              </w:rPr>
              <w:t>REFORM 5:</w:t>
            </w:r>
            <w:r w:rsidR="007F3C29" w:rsidRPr="00920844">
              <w:rPr>
                <w:rFonts w:eastAsia="Calibri"/>
              </w:rPr>
              <w:t xml:space="preserve"> New incentives for business transformations and innovation</w:t>
            </w:r>
          </w:p>
        </w:tc>
        <w:tc>
          <w:tcPr>
            <w:tcW w:w="1455" w:type="dxa"/>
            <w:tcMar>
              <w:left w:w="45" w:type="dxa"/>
              <w:right w:w="45" w:type="dxa"/>
            </w:tcMar>
          </w:tcPr>
          <w:p w14:paraId="71B235C7" w14:textId="77777777" w:rsidR="007F3C29" w:rsidRDefault="007F3C29" w:rsidP="00C2631D">
            <w:pPr>
              <w:pStyle w:val="Tabletext"/>
              <w:spacing w:line="220" w:lineRule="exact"/>
              <w:rPr>
                <w:rFonts w:eastAsia="Calibri"/>
                <w:sz w:val="20"/>
                <w:szCs w:val="20"/>
              </w:rPr>
            </w:pPr>
            <w:r>
              <w:rPr>
                <w:rFonts w:eastAsia="Calibri"/>
                <w:sz w:val="20"/>
                <w:szCs w:val="20"/>
              </w:rPr>
              <w:t>RRF 16598</w:t>
            </w:r>
          </w:p>
        </w:tc>
        <w:tc>
          <w:tcPr>
            <w:tcW w:w="1305" w:type="dxa"/>
            <w:tcMar>
              <w:left w:w="45" w:type="dxa"/>
              <w:right w:w="45" w:type="dxa"/>
            </w:tcMar>
          </w:tcPr>
          <w:p w14:paraId="5CC614EB" w14:textId="77777777" w:rsidR="007F3C29" w:rsidRDefault="007F3C29" w:rsidP="00C2631D">
            <w:pPr>
              <w:pStyle w:val="Tabletext"/>
              <w:spacing w:line="220" w:lineRule="exact"/>
              <w:rPr>
                <w:rFonts w:eastAsia="Calibri"/>
                <w:sz w:val="20"/>
                <w:szCs w:val="20"/>
              </w:rPr>
            </w:pPr>
            <w:r>
              <w:rPr>
                <w:rFonts w:eastAsia="Calibri"/>
                <w:sz w:val="20"/>
                <w:szCs w:val="20"/>
              </w:rPr>
              <w:t>2024 CSR 2.1 2020 CSR 3.3</w:t>
            </w:r>
          </w:p>
          <w:p w14:paraId="361D5E81" w14:textId="77777777" w:rsidR="007F3C29" w:rsidRDefault="007F3C29" w:rsidP="00C2631D">
            <w:pPr>
              <w:pStyle w:val="Tabletext"/>
              <w:spacing w:line="220" w:lineRule="exact"/>
              <w:rPr>
                <w:rFonts w:eastAsia="Calibri"/>
                <w:sz w:val="20"/>
                <w:szCs w:val="20"/>
              </w:rPr>
            </w:pPr>
            <w:r>
              <w:rPr>
                <w:rFonts w:eastAsia="Calibri"/>
                <w:sz w:val="20"/>
                <w:szCs w:val="20"/>
              </w:rPr>
              <w:t xml:space="preserve">2019 CSR 2.4 </w:t>
            </w:r>
          </w:p>
        </w:tc>
        <w:tc>
          <w:tcPr>
            <w:tcW w:w="2850" w:type="dxa"/>
            <w:tcMar>
              <w:left w:w="45" w:type="dxa"/>
              <w:right w:w="45" w:type="dxa"/>
            </w:tcMar>
          </w:tcPr>
          <w:p w14:paraId="1FBF3A41"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rsidRPr="00673CB6" w14:paraId="743B974C" w14:textId="77777777" w:rsidTr="00C2631D">
        <w:trPr>
          <w:trHeight w:val="113"/>
        </w:trPr>
        <w:tc>
          <w:tcPr>
            <w:tcW w:w="3705" w:type="dxa"/>
            <w:tcMar>
              <w:left w:w="45" w:type="dxa"/>
              <w:right w:w="45" w:type="dxa"/>
            </w:tcMar>
          </w:tcPr>
          <w:p w14:paraId="2BCAEECD" w14:textId="649C3B5A" w:rsidR="007F3C29" w:rsidRPr="00920844" w:rsidRDefault="00BA03C0" w:rsidP="00C2631D">
            <w:pPr>
              <w:pStyle w:val="Tabletext"/>
              <w:spacing w:line="220" w:lineRule="exact"/>
              <w:rPr>
                <w:rFonts w:eastAsia="Calibri"/>
                <w:i/>
                <w:iCs/>
              </w:rPr>
            </w:pPr>
            <w:r w:rsidRPr="00BA03C0">
              <w:rPr>
                <w:rFonts w:eastAsia="Calibri"/>
                <w:b/>
                <w:i/>
                <w:iCs/>
              </w:rPr>
              <w:t>REFORM 6:</w:t>
            </w:r>
            <w:r w:rsidR="007F3C29" w:rsidRPr="00920844">
              <w:rPr>
                <w:rFonts w:eastAsia="Calibri"/>
                <w:i/>
                <w:iCs/>
              </w:rPr>
              <w:t xml:space="preserve"> Strengthening the capacity of the financial system to overcome legacy challenges and finance the real economy</w:t>
            </w:r>
          </w:p>
        </w:tc>
        <w:tc>
          <w:tcPr>
            <w:tcW w:w="1455" w:type="dxa"/>
            <w:tcMar>
              <w:left w:w="45" w:type="dxa"/>
              <w:right w:w="45" w:type="dxa"/>
            </w:tcMar>
          </w:tcPr>
          <w:p w14:paraId="2337EB8B"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RRF 16957</w:t>
            </w:r>
          </w:p>
        </w:tc>
        <w:tc>
          <w:tcPr>
            <w:tcW w:w="1305" w:type="dxa"/>
            <w:tcMar>
              <w:left w:w="45" w:type="dxa"/>
              <w:right w:w="45" w:type="dxa"/>
            </w:tcMar>
          </w:tcPr>
          <w:p w14:paraId="3353E866" w14:textId="77777777" w:rsidR="007F3C29" w:rsidRPr="00920844" w:rsidRDefault="007F3C29" w:rsidP="00C2631D">
            <w:pPr>
              <w:pStyle w:val="Tabletext"/>
              <w:spacing w:line="220" w:lineRule="exact"/>
              <w:rPr>
                <w:rFonts w:eastAsia="Calibri"/>
                <w:i/>
                <w:iCs/>
                <w:sz w:val="20"/>
                <w:szCs w:val="20"/>
              </w:rPr>
            </w:pPr>
            <w:r w:rsidRPr="00920844">
              <w:rPr>
                <w:rFonts w:eastAsia="Calibri"/>
                <w:i/>
                <w:iCs/>
                <w:sz w:val="20"/>
                <w:szCs w:val="20"/>
              </w:rPr>
              <w:t>2024 CSR 1.5 2024 CSR 2.1 2023 CSR 1.10 2020 CSR 3.9 2019 CSR 2.3</w:t>
            </w:r>
          </w:p>
        </w:tc>
        <w:tc>
          <w:tcPr>
            <w:tcW w:w="2850" w:type="dxa"/>
            <w:tcMar>
              <w:left w:w="45" w:type="dxa"/>
              <w:right w:w="45" w:type="dxa"/>
            </w:tcMar>
          </w:tcPr>
          <w:p w14:paraId="35074DAC"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Social and Economic resilience</w:t>
            </w:r>
          </w:p>
        </w:tc>
      </w:tr>
      <w:tr w:rsidR="007F3C29" w14:paraId="2654D855" w14:textId="77777777" w:rsidTr="00C2631D">
        <w:trPr>
          <w:trHeight w:val="113"/>
        </w:trPr>
        <w:tc>
          <w:tcPr>
            <w:tcW w:w="3705" w:type="dxa"/>
            <w:tcMar>
              <w:left w:w="45" w:type="dxa"/>
              <w:right w:w="45" w:type="dxa"/>
            </w:tcMar>
          </w:tcPr>
          <w:p w14:paraId="2D283A51" w14:textId="168DCFF5" w:rsidR="007F3C29" w:rsidRPr="00920844" w:rsidRDefault="00BA03C0" w:rsidP="00C2631D">
            <w:pPr>
              <w:pStyle w:val="Tabletext"/>
              <w:spacing w:line="220" w:lineRule="exact"/>
              <w:rPr>
                <w:rFonts w:eastAsia="Calibri"/>
              </w:rPr>
            </w:pPr>
            <w:r w:rsidRPr="00BA03C0">
              <w:rPr>
                <w:rFonts w:eastAsia="Calibri"/>
                <w:b/>
              </w:rPr>
              <w:t>REFORM 7:</w:t>
            </w:r>
            <w:r w:rsidR="007F3C29" w:rsidRPr="00920844">
              <w:rPr>
                <w:rFonts w:eastAsia="Calibri"/>
              </w:rPr>
              <w:t xml:space="preserve"> Enhanced capital market supervision and trustworthiness</w:t>
            </w:r>
          </w:p>
        </w:tc>
        <w:tc>
          <w:tcPr>
            <w:tcW w:w="1455" w:type="dxa"/>
            <w:tcMar>
              <w:left w:w="45" w:type="dxa"/>
              <w:right w:w="45" w:type="dxa"/>
            </w:tcMar>
          </w:tcPr>
          <w:p w14:paraId="7B520B11" w14:textId="77777777" w:rsidR="007F3C29" w:rsidRDefault="007F3C29" w:rsidP="00C2631D">
            <w:pPr>
              <w:pStyle w:val="Tabletext"/>
              <w:spacing w:line="220" w:lineRule="exact"/>
              <w:rPr>
                <w:rFonts w:eastAsia="Calibri"/>
                <w:sz w:val="20"/>
                <w:szCs w:val="20"/>
              </w:rPr>
            </w:pPr>
            <w:r>
              <w:rPr>
                <w:rFonts w:eastAsia="Calibri"/>
                <w:sz w:val="20"/>
                <w:szCs w:val="20"/>
              </w:rPr>
              <w:t>RRF 16581</w:t>
            </w:r>
          </w:p>
        </w:tc>
        <w:tc>
          <w:tcPr>
            <w:tcW w:w="1305" w:type="dxa"/>
            <w:tcMar>
              <w:left w:w="45" w:type="dxa"/>
              <w:right w:w="45" w:type="dxa"/>
            </w:tcMar>
          </w:tcPr>
          <w:p w14:paraId="157F7C9F"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2024 CSR 2.1 2020 CSR 3.1 2020 CSR 3.3 2020 CSR 3.9</w:t>
            </w:r>
          </w:p>
          <w:p w14:paraId="56DC9389"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2019 CSR 2.3</w:t>
            </w:r>
          </w:p>
        </w:tc>
        <w:tc>
          <w:tcPr>
            <w:tcW w:w="2850" w:type="dxa"/>
            <w:tcMar>
              <w:left w:w="45" w:type="dxa"/>
              <w:right w:w="45" w:type="dxa"/>
            </w:tcMar>
          </w:tcPr>
          <w:p w14:paraId="6714DC50"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rsidRPr="00E204B7" w14:paraId="1B36C82E" w14:textId="77777777" w:rsidTr="00C2631D">
        <w:trPr>
          <w:trHeight w:val="113"/>
        </w:trPr>
        <w:tc>
          <w:tcPr>
            <w:tcW w:w="3705" w:type="dxa"/>
            <w:tcMar>
              <w:left w:w="45" w:type="dxa"/>
              <w:right w:w="45" w:type="dxa"/>
            </w:tcMar>
          </w:tcPr>
          <w:p w14:paraId="1FFC049B" w14:textId="6EEC4413" w:rsidR="007F3C29" w:rsidRPr="00920844" w:rsidRDefault="00BA03C0" w:rsidP="00C2631D">
            <w:pPr>
              <w:pStyle w:val="Tabletext"/>
              <w:spacing w:line="220" w:lineRule="exact"/>
              <w:rPr>
                <w:rFonts w:eastAsia="Calibri"/>
              </w:rPr>
            </w:pPr>
            <w:r w:rsidRPr="00BA03C0">
              <w:rPr>
                <w:rFonts w:eastAsia="Calibri"/>
                <w:b/>
              </w:rPr>
              <w:t>REFORM 8:</w:t>
            </w:r>
            <w:r w:rsidR="007F3C29" w:rsidRPr="00920844">
              <w:rPr>
                <w:rFonts w:eastAsia="Calibri"/>
              </w:rPr>
              <w:t xml:space="preserve"> Unified insolvency framework (OCW - Debtor guidance mechanism - Early Warning Mechanism)</w:t>
            </w:r>
          </w:p>
        </w:tc>
        <w:tc>
          <w:tcPr>
            <w:tcW w:w="1455" w:type="dxa"/>
            <w:tcMar>
              <w:left w:w="45" w:type="dxa"/>
              <w:right w:w="45" w:type="dxa"/>
            </w:tcMar>
          </w:tcPr>
          <w:p w14:paraId="22496BFA" w14:textId="77777777" w:rsidR="007F3C29" w:rsidRDefault="007F3C29" w:rsidP="00C2631D">
            <w:pPr>
              <w:pStyle w:val="Tabletext"/>
              <w:spacing w:line="220" w:lineRule="exact"/>
              <w:rPr>
                <w:rFonts w:eastAsia="Calibri"/>
                <w:sz w:val="20"/>
                <w:szCs w:val="20"/>
              </w:rPr>
            </w:pPr>
            <w:r>
              <w:rPr>
                <w:rFonts w:eastAsia="Calibri"/>
                <w:sz w:val="20"/>
                <w:szCs w:val="20"/>
              </w:rPr>
              <w:t>RRF 16580</w:t>
            </w:r>
          </w:p>
        </w:tc>
        <w:tc>
          <w:tcPr>
            <w:tcW w:w="1305" w:type="dxa"/>
            <w:tcMar>
              <w:left w:w="45" w:type="dxa"/>
              <w:right w:w="45" w:type="dxa"/>
            </w:tcMar>
          </w:tcPr>
          <w:p w14:paraId="75C01C1A" w14:textId="77777777" w:rsidR="007F3C29" w:rsidRDefault="007F3C29" w:rsidP="00C2631D">
            <w:pPr>
              <w:pStyle w:val="Tabletext"/>
              <w:spacing w:line="220" w:lineRule="exact"/>
              <w:rPr>
                <w:rFonts w:eastAsia="Calibri"/>
                <w:sz w:val="20"/>
                <w:szCs w:val="20"/>
              </w:rPr>
            </w:pPr>
            <w:r>
              <w:rPr>
                <w:rFonts w:eastAsia="Calibri"/>
                <w:sz w:val="20"/>
                <w:szCs w:val="20"/>
              </w:rPr>
              <w:t xml:space="preserve">2024 CSR 1.5 2023 CSR 1.10 2020 CSR 3.9 2019 CSR 2.3 </w:t>
            </w:r>
          </w:p>
        </w:tc>
        <w:tc>
          <w:tcPr>
            <w:tcW w:w="2850" w:type="dxa"/>
            <w:tcMar>
              <w:left w:w="45" w:type="dxa"/>
              <w:right w:w="45" w:type="dxa"/>
            </w:tcMar>
          </w:tcPr>
          <w:p w14:paraId="6602F9D2"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14:paraId="7854333E" w14:textId="77777777" w:rsidTr="00C2631D">
        <w:trPr>
          <w:trHeight w:val="113"/>
        </w:trPr>
        <w:tc>
          <w:tcPr>
            <w:tcW w:w="3705" w:type="dxa"/>
            <w:tcMar>
              <w:left w:w="45" w:type="dxa"/>
              <w:right w:w="45" w:type="dxa"/>
            </w:tcMar>
          </w:tcPr>
          <w:p w14:paraId="1FAA4CDA" w14:textId="45B04682" w:rsidR="007F3C29" w:rsidRDefault="00BA03C0" w:rsidP="00C2631D">
            <w:pPr>
              <w:pStyle w:val="Tabletext"/>
              <w:spacing w:line="220" w:lineRule="exact"/>
              <w:rPr>
                <w:rFonts w:eastAsia="Calibri"/>
              </w:rPr>
            </w:pPr>
            <w:r w:rsidRPr="00BA03C0">
              <w:rPr>
                <w:rFonts w:eastAsia="Calibri"/>
                <w:b/>
              </w:rPr>
              <w:t>REFORM 9:</w:t>
            </w:r>
            <w:r w:rsidR="007F3C29">
              <w:rPr>
                <w:rFonts w:eastAsia="Calibri"/>
              </w:rPr>
              <w:t xml:space="preserve"> Green Budgeting</w:t>
            </w:r>
          </w:p>
        </w:tc>
        <w:tc>
          <w:tcPr>
            <w:tcW w:w="1455" w:type="dxa"/>
            <w:tcMar>
              <w:left w:w="45" w:type="dxa"/>
              <w:right w:w="45" w:type="dxa"/>
            </w:tcMar>
          </w:tcPr>
          <w:p w14:paraId="63530D40"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04304A16" w14:textId="77777777" w:rsidR="007F3C29" w:rsidRDefault="007F3C29" w:rsidP="00C2631D">
            <w:pPr>
              <w:pStyle w:val="Tabletext"/>
              <w:spacing w:line="220" w:lineRule="exact"/>
              <w:rPr>
                <w:rFonts w:eastAsia="Calibri"/>
                <w:sz w:val="20"/>
                <w:szCs w:val="20"/>
              </w:rPr>
            </w:pPr>
            <w:r>
              <w:rPr>
                <w:rFonts w:eastAsia="Calibri"/>
                <w:sz w:val="20"/>
                <w:szCs w:val="20"/>
              </w:rPr>
              <w:t xml:space="preserve">2023 CSR 4.1 2023 CSR 1.3 2022 CSR 4.5 2020 CSR 3.4 </w:t>
            </w:r>
          </w:p>
        </w:tc>
        <w:tc>
          <w:tcPr>
            <w:tcW w:w="2850" w:type="dxa"/>
            <w:tcMar>
              <w:left w:w="45" w:type="dxa"/>
              <w:right w:w="45" w:type="dxa"/>
            </w:tcMar>
          </w:tcPr>
          <w:p w14:paraId="4B96EECE" w14:textId="77777777" w:rsidR="007F3C29" w:rsidRDefault="007F3C29" w:rsidP="00C2631D">
            <w:pPr>
              <w:pStyle w:val="Tabletext"/>
              <w:spacing w:line="220" w:lineRule="exact"/>
              <w:rPr>
                <w:rFonts w:eastAsia="Calibri"/>
                <w:sz w:val="20"/>
                <w:szCs w:val="20"/>
              </w:rPr>
            </w:pPr>
            <w:r>
              <w:rPr>
                <w:rFonts w:eastAsia="Calibri"/>
                <w:sz w:val="20"/>
                <w:szCs w:val="20"/>
              </w:rPr>
              <w:t>Fair green &amp; digital transition</w:t>
            </w:r>
          </w:p>
        </w:tc>
      </w:tr>
      <w:tr w:rsidR="007F3C29" w14:paraId="707A7C4A" w14:textId="77777777" w:rsidTr="00C2631D">
        <w:trPr>
          <w:trHeight w:val="113"/>
        </w:trPr>
        <w:tc>
          <w:tcPr>
            <w:tcW w:w="3705" w:type="dxa"/>
            <w:tcMar>
              <w:left w:w="45" w:type="dxa"/>
              <w:right w:w="45" w:type="dxa"/>
            </w:tcMar>
          </w:tcPr>
          <w:p w14:paraId="513ECCA1" w14:textId="59D812FB" w:rsidR="007F3C29" w:rsidRDefault="00BA03C0" w:rsidP="00C2631D">
            <w:pPr>
              <w:pStyle w:val="Tabletext"/>
              <w:spacing w:line="220" w:lineRule="exact"/>
              <w:rPr>
                <w:rFonts w:eastAsia="Calibri"/>
              </w:rPr>
            </w:pPr>
            <w:r w:rsidRPr="00BA03C0">
              <w:rPr>
                <w:rFonts w:eastAsia="Calibri"/>
                <w:b/>
              </w:rPr>
              <w:t>REFORM 10:</w:t>
            </w:r>
            <w:r w:rsidR="007F3C29">
              <w:rPr>
                <w:rFonts w:eastAsia="Calibri"/>
              </w:rPr>
              <w:t xml:space="preserve"> Greening Taxes</w:t>
            </w:r>
          </w:p>
        </w:tc>
        <w:tc>
          <w:tcPr>
            <w:tcW w:w="1455" w:type="dxa"/>
            <w:tcMar>
              <w:left w:w="45" w:type="dxa"/>
              <w:right w:w="45" w:type="dxa"/>
            </w:tcMar>
          </w:tcPr>
          <w:p w14:paraId="713D271C"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52124938"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 xml:space="preserve">2024 CSR 4.1 </w:t>
            </w:r>
          </w:p>
          <w:p w14:paraId="228FC07D"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2023 CSR 1.3</w:t>
            </w:r>
          </w:p>
          <w:p w14:paraId="7FD83866"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 xml:space="preserve">2023 CSR 4.1 2022 CSR 4.5 2022 CSR 4.6 2020 CSR 3.4 </w:t>
            </w:r>
          </w:p>
        </w:tc>
        <w:tc>
          <w:tcPr>
            <w:tcW w:w="2850" w:type="dxa"/>
            <w:tcMar>
              <w:left w:w="45" w:type="dxa"/>
              <w:right w:w="45" w:type="dxa"/>
            </w:tcMar>
          </w:tcPr>
          <w:p w14:paraId="24F89BB7" w14:textId="77777777" w:rsidR="007F3C29" w:rsidRDefault="007F3C29" w:rsidP="00C2631D">
            <w:pPr>
              <w:pStyle w:val="Tabletext"/>
              <w:spacing w:line="220" w:lineRule="exact"/>
              <w:rPr>
                <w:rFonts w:eastAsia="Calibri"/>
                <w:sz w:val="20"/>
                <w:szCs w:val="20"/>
              </w:rPr>
            </w:pPr>
            <w:r>
              <w:rPr>
                <w:rFonts w:eastAsia="Calibri"/>
                <w:sz w:val="20"/>
                <w:szCs w:val="20"/>
              </w:rPr>
              <w:t>Fair green &amp; digital transition</w:t>
            </w:r>
          </w:p>
        </w:tc>
      </w:tr>
      <w:tr w:rsidR="007F3C29" w14:paraId="5ED11F2A" w14:textId="77777777" w:rsidTr="00C2631D">
        <w:trPr>
          <w:trHeight w:val="113"/>
        </w:trPr>
        <w:tc>
          <w:tcPr>
            <w:tcW w:w="3705" w:type="dxa"/>
            <w:tcMar>
              <w:left w:w="45" w:type="dxa"/>
              <w:right w:w="45" w:type="dxa"/>
            </w:tcMar>
          </w:tcPr>
          <w:p w14:paraId="25FF27A8" w14:textId="1678E704" w:rsidR="007F3C29" w:rsidRPr="00920844" w:rsidRDefault="00BA03C0" w:rsidP="00C2631D">
            <w:pPr>
              <w:pStyle w:val="Tabletext"/>
              <w:spacing w:line="220" w:lineRule="exact"/>
              <w:rPr>
                <w:rFonts w:eastAsia="Calibri"/>
              </w:rPr>
            </w:pPr>
            <w:r w:rsidRPr="00BA03C0">
              <w:rPr>
                <w:rFonts w:eastAsia="Calibri"/>
                <w:b/>
              </w:rPr>
              <w:t>REFORM 11:</w:t>
            </w:r>
            <w:r w:rsidR="007F3C29" w:rsidRPr="00920844">
              <w:rPr>
                <w:rFonts w:eastAsia="Calibri"/>
              </w:rPr>
              <w:t xml:space="preserve"> Sale and Lease Back Organization (SLBO)</w:t>
            </w:r>
          </w:p>
        </w:tc>
        <w:tc>
          <w:tcPr>
            <w:tcW w:w="1455" w:type="dxa"/>
            <w:tcMar>
              <w:left w:w="45" w:type="dxa"/>
              <w:right w:w="45" w:type="dxa"/>
            </w:tcMar>
          </w:tcPr>
          <w:p w14:paraId="48A12CC6"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6A3F927A"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2850" w:type="dxa"/>
            <w:tcMar>
              <w:left w:w="45" w:type="dxa"/>
              <w:right w:w="45" w:type="dxa"/>
            </w:tcMar>
          </w:tcPr>
          <w:p w14:paraId="23E33767"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14:paraId="7C593F6A" w14:textId="77777777" w:rsidTr="00C2631D">
        <w:trPr>
          <w:trHeight w:val="113"/>
        </w:trPr>
        <w:tc>
          <w:tcPr>
            <w:tcW w:w="3705" w:type="dxa"/>
            <w:tcMar>
              <w:left w:w="45" w:type="dxa"/>
              <w:right w:w="45" w:type="dxa"/>
            </w:tcMar>
          </w:tcPr>
          <w:p w14:paraId="17A589AB" w14:textId="23640BEA" w:rsidR="007F3C29" w:rsidRPr="00920844" w:rsidRDefault="00BA03C0" w:rsidP="00C2631D">
            <w:pPr>
              <w:pStyle w:val="Tabletext"/>
              <w:spacing w:line="220" w:lineRule="exact"/>
              <w:rPr>
                <w:rFonts w:eastAsia="Calibri"/>
              </w:rPr>
            </w:pPr>
            <w:r w:rsidRPr="00BA03C0">
              <w:rPr>
                <w:rFonts w:eastAsia="Calibri"/>
                <w:b/>
              </w:rPr>
              <w:lastRenderedPageBreak/>
              <w:t>REFORM 12:</w:t>
            </w:r>
            <w:r w:rsidR="007F3C29" w:rsidRPr="00920844">
              <w:rPr>
                <w:rFonts w:eastAsia="Calibri"/>
              </w:rPr>
              <w:t xml:space="preserve"> Targeted interventions (with fiscal dimensions) that help in mitigating or adapting to the effects of climate change</w:t>
            </w:r>
          </w:p>
        </w:tc>
        <w:tc>
          <w:tcPr>
            <w:tcW w:w="1455" w:type="dxa"/>
            <w:tcMar>
              <w:left w:w="45" w:type="dxa"/>
              <w:right w:w="45" w:type="dxa"/>
            </w:tcMar>
          </w:tcPr>
          <w:p w14:paraId="449F1ED1"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276E0C86" w14:textId="77777777" w:rsidR="007F3C29" w:rsidRDefault="007F3C29" w:rsidP="00C2631D">
            <w:pPr>
              <w:pStyle w:val="Tabletext"/>
              <w:spacing w:line="220" w:lineRule="exact"/>
              <w:rPr>
                <w:rFonts w:eastAsia="Calibri"/>
                <w:sz w:val="20"/>
                <w:szCs w:val="20"/>
              </w:rPr>
            </w:pPr>
            <w:r>
              <w:rPr>
                <w:rFonts w:eastAsia="Calibri"/>
                <w:sz w:val="20"/>
                <w:szCs w:val="20"/>
              </w:rPr>
              <w:t>2024 CSR 4.2</w:t>
            </w:r>
          </w:p>
        </w:tc>
        <w:tc>
          <w:tcPr>
            <w:tcW w:w="2850" w:type="dxa"/>
            <w:tcMar>
              <w:left w:w="45" w:type="dxa"/>
              <w:right w:w="45" w:type="dxa"/>
            </w:tcMar>
          </w:tcPr>
          <w:p w14:paraId="43E326EE" w14:textId="77777777" w:rsidR="007F3C29" w:rsidRDefault="007F3C29" w:rsidP="00C2631D">
            <w:pPr>
              <w:pStyle w:val="Tabletext"/>
              <w:spacing w:line="220" w:lineRule="exact"/>
              <w:rPr>
                <w:rFonts w:eastAsia="Calibri"/>
                <w:sz w:val="20"/>
                <w:szCs w:val="20"/>
              </w:rPr>
            </w:pPr>
            <w:r>
              <w:rPr>
                <w:rFonts w:eastAsia="Calibri"/>
                <w:sz w:val="20"/>
                <w:szCs w:val="20"/>
              </w:rPr>
              <w:t>Fair green &amp; digital transition</w:t>
            </w:r>
          </w:p>
        </w:tc>
      </w:tr>
      <w:tr w:rsidR="007F3C29" w14:paraId="53C27645" w14:textId="77777777" w:rsidTr="00C2631D">
        <w:trPr>
          <w:trHeight w:val="113"/>
        </w:trPr>
        <w:tc>
          <w:tcPr>
            <w:tcW w:w="3705" w:type="dxa"/>
            <w:tcMar>
              <w:left w:w="45" w:type="dxa"/>
              <w:right w:w="45" w:type="dxa"/>
            </w:tcMar>
          </w:tcPr>
          <w:p w14:paraId="06E2C63D" w14:textId="7497D263" w:rsidR="007F3C29" w:rsidRPr="00920844" w:rsidRDefault="00BA03C0" w:rsidP="00C2631D">
            <w:pPr>
              <w:pStyle w:val="Tabletext"/>
              <w:spacing w:line="220" w:lineRule="exact"/>
              <w:rPr>
                <w:rFonts w:eastAsia="Calibri"/>
              </w:rPr>
            </w:pPr>
            <w:r w:rsidRPr="00BA03C0">
              <w:rPr>
                <w:rFonts w:eastAsia="Calibri"/>
                <w:b/>
              </w:rPr>
              <w:t>REFORM 13:</w:t>
            </w:r>
            <w:r w:rsidR="007F3C29" w:rsidRPr="00920844">
              <w:rPr>
                <w:rFonts w:eastAsia="Calibri"/>
              </w:rPr>
              <w:t xml:space="preserve"> National strategy for financial literacy</w:t>
            </w:r>
          </w:p>
        </w:tc>
        <w:tc>
          <w:tcPr>
            <w:tcW w:w="1455" w:type="dxa"/>
            <w:tcMar>
              <w:left w:w="45" w:type="dxa"/>
              <w:right w:w="45" w:type="dxa"/>
            </w:tcMar>
          </w:tcPr>
          <w:p w14:paraId="44DBC809"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3E95CBC0" w14:textId="77777777" w:rsidR="007F3C29" w:rsidRDefault="007F3C29" w:rsidP="00C2631D">
            <w:pPr>
              <w:pStyle w:val="Tabletext"/>
              <w:spacing w:line="220" w:lineRule="exact"/>
              <w:rPr>
                <w:rFonts w:eastAsia="Calibri"/>
                <w:sz w:val="20"/>
                <w:szCs w:val="20"/>
              </w:rPr>
            </w:pPr>
            <w:r>
              <w:rPr>
                <w:rFonts w:eastAsia="Calibri"/>
                <w:sz w:val="20"/>
                <w:szCs w:val="20"/>
              </w:rPr>
              <w:t>2024 CSR 1.5 2023 CSR 1.10</w:t>
            </w:r>
          </w:p>
        </w:tc>
        <w:tc>
          <w:tcPr>
            <w:tcW w:w="2850" w:type="dxa"/>
            <w:tcMar>
              <w:left w:w="45" w:type="dxa"/>
              <w:right w:w="45" w:type="dxa"/>
            </w:tcMar>
          </w:tcPr>
          <w:p w14:paraId="13B64D5C"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rsidRPr="00E204B7" w14:paraId="294B5178" w14:textId="77777777" w:rsidTr="00C2631D">
        <w:trPr>
          <w:trHeight w:val="113"/>
        </w:trPr>
        <w:tc>
          <w:tcPr>
            <w:tcW w:w="3705" w:type="dxa"/>
            <w:tcMar>
              <w:left w:w="45" w:type="dxa"/>
              <w:right w:w="45" w:type="dxa"/>
            </w:tcMar>
          </w:tcPr>
          <w:p w14:paraId="66402994" w14:textId="4D9C554B" w:rsidR="007F3C29" w:rsidRPr="00920844" w:rsidRDefault="00BA03C0" w:rsidP="00C2631D">
            <w:pPr>
              <w:pStyle w:val="Tabletext"/>
              <w:spacing w:line="220" w:lineRule="exact"/>
              <w:rPr>
                <w:rFonts w:eastAsia="Calibri"/>
              </w:rPr>
            </w:pPr>
            <w:r w:rsidRPr="00BA03C0">
              <w:rPr>
                <w:rFonts w:eastAsia="Calibri"/>
                <w:b/>
              </w:rPr>
              <w:t>REFORM 14:</w:t>
            </w:r>
            <w:r w:rsidR="007F3C29" w:rsidRPr="00920844">
              <w:rPr>
                <w:rFonts w:eastAsia="Calibri"/>
              </w:rPr>
              <w:t xml:space="preserve"> Project Preparation Facility (PPF) and Strategic Project Pipeline</w:t>
            </w:r>
          </w:p>
        </w:tc>
        <w:tc>
          <w:tcPr>
            <w:tcW w:w="1455" w:type="dxa"/>
            <w:tcMar>
              <w:left w:w="45" w:type="dxa"/>
              <w:right w:w="45" w:type="dxa"/>
            </w:tcMar>
          </w:tcPr>
          <w:p w14:paraId="4687FDEA"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6A24CA1B" w14:textId="77777777" w:rsidR="007F3C29" w:rsidRDefault="007F3C29" w:rsidP="00C2631D">
            <w:pPr>
              <w:pStyle w:val="Tabletext"/>
              <w:spacing w:line="220" w:lineRule="exact"/>
              <w:rPr>
                <w:rFonts w:eastAsia="Calibri"/>
                <w:sz w:val="20"/>
                <w:szCs w:val="20"/>
              </w:rPr>
            </w:pPr>
            <w:r>
              <w:rPr>
                <w:rFonts w:eastAsia="Calibri"/>
                <w:sz w:val="20"/>
                <w:szCs w:val="20"/>
              </w:rPr>
              <w:t>2024 CSR 1.4 2024 CSR 2.1 2020 CSR 3.3</w:t>
            </w:r>
          </w:p>
        </w:tc>
        <w:tc>
          <w:tcPr>
            <w:tcW w:w="2850" w:type="dxa"/>
            <w:tcMar>
              <w:left w:w="45" w:type="dxa"/>
              <w:right w:w="45" w:type="dxa"/>
            </w:tcMar>
          </w:tcPr>
          <w:p w14:paraId="206A4E52"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rsidRPr="00E204B7" w14:paraId="7BDFB546" w14:textId="77777777" w:rsidTr="00C2631D">
        <w:trPr>
          <w:trHeight w:val="113"/>
        </w:trPr>
        <w:tc>
          <w:tcPr>
            <w:tcW w:w="3705" w:type="dxa"/>
            <w:tcMar>
              <w:left w:w="45" w:type="dxa"/>
              <w:right w:w="45" w:type="dxa"/>
            </w:tcMar>
          </w:tcPr>
          <w:p w14:paraId="49812C7B" w14:textId="4A3EC6BC" w:rsidR="007F3C29" w:rsidRPr="00920844" w:rsidRDefault="00BA03C0" w:rsidP="00C2631D">
            <w:pPr>
              <w:pStyle w:val="Tabletext"/>
              <w:spacing w:line="220" w:lineRule="exact"/>
              <w:rPr>
                <w:rFonts w:eastAsia="Calibri"/>
              </w:rPr>
            </w:pPr>
            <w:r w:rsidRPr="00BA03C0">
              <w:rPr>
                <w:rFonts w:eastAsia="Calibri"/>
                <w:b/>
              </w:rPr>
              <w:t>REFORM 15:</w:t>
            </w:r>
            <w:r w:rsidR="007F3C29" w:rsidRPr="00920844">
              <w:rPr>
                <w:rFonts w:eastAsia="Calibri"/>
              </w:rPr>
              <w:t xml:space="preserve">  New public investment development programme</w:t>
            </w:r>
          </w:p>
        </w:tc>
        <w:tc>
          <w:tcPr>
            <w:tcW w:w="1455" w:type="dxa"/>
            <w:tcMar>
              <w:left w:w="45" w:type="dxa"/>
              <w:right w:w="45" w:type="dxa"/>
            </w:tcMar>
          </w:tcPr>
          <w:p w14:paraId="7B9433E3"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7F97770F" w14:textId="77777777" w:rsidR="007F3C29" w:rsidRDefault="007F3C29" w:rsidP="00C2631D">
            <w:pPr>
              <w:pStyle w:val="Tabletext"/>
              <w:spacing w:line="220" w:lineRule="exact"/>
              <w:rPr>
                <w:rFonts w:eastAsia="Calibri"/>
                <w:sz w:val="20"/>
                <w:szCs w:val="20"/>
              </w:rPr>
            </w:pPr>
            <w:r>
              <w:rPr>
                <w:rFonts w:eastAsia="Calibri"/>
                <w:sz w:val="20"/>
                <w:szCs w:val="20"/>
              </w:rPr>
              <w:t xml:space="preserve">2024 2.1 </w:t>
            </w:r>
            <w:r>
              <w:rPr>
                <w:rFonts w:eastAsia="Calibri"/>
                <w:sz w:val="20"/>
                <w:szCs w:val="20"/>
              </w:rPr>
              <w:br/>
              <w:t>2024 2.2</w:t>
            </w:r>
            <w:r>
              <w:rPr>
                <w:rFonts w:eastAsia="Calibri"/>
                <w:sz w:val="20"/>
                <w:szCs w:val="20"/>
              </w:rPr>
              <w:br/>
              <w:t>2020 CSR 3.3</w:t>
            </w:r>
          </w:p>
        </w:tc>
        <w:tc>
          <w:tcPr>
            <w:tcW w:w="2850" w:type="dxa"/>
            <w:tcMar>
              <w:left w:w="45" w:type="dxa"/>
              <w:right w:w="45" w:type="dxa"/>
            </w:tcMar>
          </w:tcPr>
          <w:p w14:paraId="70BF745B"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14:paraId="6BF5E2FE" w14:textId="77777777" w:rsidTr="00C2631D">
        <w:trPr>
          <w:trHeight w:val="113"/>
        </w:trPr>
        <w:tc>
          <w:tcPr>
            <w:tcW w:w="3705" w:type="dxa"/>
            <w:tcMar>
              <w:left w:w="45" w:type="dxa"/>
              <w:right w:w="45" w:type="dxa"/>
            </w:tcMar>
          </w:tcPr>
          <w:p w14:paraId="503A4620" w14:textId="6E4BF4BA" w:rsidR="007F3C29" w:rsidRPr="00920844" w:rsidRDefault="00BA03C0" w:rsidP="00C2631D">
            <w:pPr>
              <w:pStyle w:val="Tabletext"/>
              <w:spacing w:line="220" w:lineRule="exact"/>
              <w:rPr>
                <w:rFonts w:eastAsia="Calibri"/>
              </w:rPr>
            </w:pPr>
            <w:r w:rsidRPr="00BA03C0">
              <w:rPr>
                <w:rFonts w:eastAsia="Calibri"/>
                <w:b/>
              </w:rPr>
              <w:t>REFORM 16:</w:t>
            </w:r>
            <w:r w:rsidR="007F3C29" w:rsidRPr="00920844">
              <w:rPr>
                <w:rFonts w:eastAsia="Calibri"/>
              </w:rPr>
              <w:t xml:space="preserve"> Restructuring of the Hellenic Corporation of Assets and Participations (HCAP)) and its subsidiaries</w:t>
            </w:r>
          </w:p>
        </w:tc>
        <w:tc>
          <w:tcPr>
            <w:tcW w:w="1455" w:type="dxa"/>
            <w:tcMar>
              <w:left w:w="45" w:type="dxa"/>
              <w:right w:w="45" w:type="dxa"/>
            </w:tcMar>
          </w:tcPr>
          <w:p w14:paraId="66A111AA"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4C2F9101" w14:textId="77777777" w:rsidR="007F3C29" w:rsidRDefault="007F3C29" w:rsidP="00C2631D">
            <w:pPr>
              <w:pStyle w:val="Tabletext"/>
              <w:spacing w:line="220" w:lineRule="exact"/>
              <w:rPr>
                <w:rFonts w:eastAsia="Calibri"/>
                <w:sz w:val="20"/>
                <w:szCs w:val="20"/>
              </w:rPr>
            </w:pPr>
            <w:r>
              <w:rPr>
                <w:rFonts w:eastAsia="Calibri"/>
                <w:sz w:val="20"/>
                <w:szCs w:val="20"/>
              </w:rPr>
              <w:t>2024 CSR 3.2</w:t>
            </w:r>
          </w:p>
          <w:p w14:paraId="57DAC2EE" w14:textId="77777777" w:rsidR="007F3C29" w:rsidRDefault="007F3C29" w:rsidP="00C2631D">
            <w:pPr>
              <w:pStyle w:val="Tabletext"/>
              <w:spacing w:line="220" w:lineRule="exact"/>
              <w:rPr>
                <w:rFonts w:eastAsia="Calibri"/>
                <w:sz w:val="20"/>
                <w:szCs w:val="20"/>
              </w:rPr>
            </w:pPr>
            <w:r>
              <w:rPr>
                <w:rFonts w:eastAsia="Calibri"/>
                <w:sz w:val="20"/>
                <w:szCs w:val="20"/>
              </w:rPr>
              <w:t xml:space="preserve">2024 CSR 1.3 </w:t>
            </w:r>
            <w:r>
              <w:rPr>
                <w:rFonts w:eastAsia="Calibri"/>
                <w:sz w:val="20"/>
                <w:szCs w:val="20"/>
              </w:rPr>
              <w:br/>
              <w:t>2024 CSR 1.3</w:t>
            </w:r>
            <w:r>
              <w:rPr>
                <w:rFonts w:eastAsia="Calibri"/>
                <w:sz w:val="20"/>
                <w:szCs w:val="20"/>
              </w:rPr>
              <w:br/>
              <w:t>2020 CSR 3.4</w:t>
            </w:r>
          </w:p>
        </w:tc>
        <w:tc>
          <w:tcPr>
            <w:tcW w:w="2850" w:type="dxa"/>
            <w:tcMar>
              <w:left w:w="45" w:type="dxa"/>
              <w:right w:w="45" w:type="dxa"/>
            </w:tcMar>
          </w:tcPr>
          <w:p w14:paraId="7E75100E"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14:paraId="0A0839B0" w14:textId="77777777" w:rsidTr="00C2631D">
        <w:trPr>
          <w:trHeight w:val="113"/>
        </w:trPr>
        <w:tc>
          <w:tcPr>
            <w:tcW w:w="3705" w:type="dxa"/>
            <w:tcMar>
              <w:left w:w="45" w:type="dxa"/>
              <w:right w:w="45" w:type="dxa"/>
            </w:tcMar>
          </w:tcPr>
          <w:p w14:paraId="5312187E" w14:textId="404092FE" w:rsidR="007F3C29" w:rsidRPr="00920844" w:rsidRDefault="00BA03C0" w:rsidP="00C2631D">
            <w:pPr>
              <w:pStyle w:val="Tabletext"/>
              <w:spacing w:line="220" w:lineRule="exact"/>
              <w:rPr>
                <w:rFonts w:eastAsia="Calibri"/>
              </w:rPr>
            </w:pPr>
            <w:r w:rsidRPr="00BA03C0">
              <w:rPr>
                <w:rFonts w:eastAsia="Calibri"/>
                <w:b/>
              </w:rPr>
              <w:t>REFORM 17:</w:t>
            </w:r>
            <w:r w:rsidR="007F3C29" w:rsidRPr="00920844">
              <w:rPr>
                <w:rFonts w:eastAsia="Calibri"/>
              </w:rPr>
              <w:t xml:space="preserve"> Measures to address the housing crisis</w:t>
            </w:r>
          </w:p>
        </w:tc>
        <w:tc>
          <w:tcPr>
            <w:tcW w:w="1455" w:type="dxa"/>
            <w:tcMar>
              <w:left w:w="45" w:type="dxa"/>
              <w:right w:w="45" w:type="dxa"/>
            </w:tcMar>
          </w:tcPr>
          <w:p w14:paraId="78427B1A"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297992C7"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2850" w:type="dxa"/>
            <w:tcMar>
              <w:left w:w="45" w:type="dxa"/>
              <w:right w:w="45" w:type="dxa"/>
            </w:tcMar>
          </w:tcPr>
          <w:p w14:paraId="3800995C"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r w:rsidR="007F3C29" w14:paraId="506A3641" w14:textId="77777777" w:rsidTr="00C2631D">
        <w:trPr>
          <w:trHeight w:val="113"/>
        </w:trPr>
        <w:tc>
          <w:tcPr>
            <w:tcW w:w="3705" w:type="dxa"/>
            <w:tcMar>
              <w:left w:w="45" w:type="dxa"/>
              <w:right w:w="45" w:type="dxa"/>
            </w:tcMar>
          </w:tcPr>
          <w:p w14:paraId="7899D18D" w14:textId="199B39A8" w:rsidR="007F3C29" w:rsidRPr="00920844" w:rsidRDefault="00BA03C0" w:rsidP="00C2631D">
            <w:pPr>
              <w:pStyle w:val="Tabletext"/>
              <w:spacing w:line="220" w:lineRule="exact"/>
              <w:rPr>
                <w:rFonts w:eastAsia="Calibri"/>
              </w:rPr>
            </w:pPr>
            <w:r w:rsidRPr="00BA03C0">
              <w:rPr>
                <w:rFonts w:eastAsia="Calibri"/>
                <w:b/>
              </w:rPr>
              <w:t>INVESTMENT 1:</w:t>
            </w:r>
            <w:r w:rsidR="007F3C29" w:rsidRPr="00920844">
              <w:rPr>
                <w:rFonts w:eastAsia="Calibri"/>
              </w:rPr>
              <w:t xml:space="preserve"> Digital Transformation of the Tax and Customs Administration</w:t>
            </w:r>
          </w:p>
        </w:tc>
        <w:tc>
          <w:tcPr>
            <w:tcW w:w="1455" w:type="dxa"/>
            <w:tcMar>
              <w:left w:w="45" w:type="dxa"/>
              <w:right w:w="45" w:type="dxa"/>
            </w:tcMar>
          </w:tcPr>
          <w:p w14:paraId="40090C67" w14:textId="77777777" w:rsidR="007F3C29" w:rsidRDefault="007F3C29" w:rsidP="00C2631D">
            <w:pPr>
              <w:pStyle w:val="Tabletext"/>
              <w:spacing w:line="220" w:lineRule="exact"/>
              <w:rPr>
                <w:rFonts w:eastAsia="Calibri"/>
                <w:sz w:val="20"/>
                <w:szCs w:val="20"/>
              </w:rPr>
            </w:pPr>
            <w:r>
              <w:rPr>
                <w:rFonts w:eastAsia="Calibri"/>
                <w:sz w:val="20"/>
                <w:szCs w:val="20"/>
              </w:rPr>
              <w:t>RRF 16291</w:t>
            </w:r>
          </w:p>
        </w:tc>
        <w:tc>
          <w:tcPr>
            <w:tcW w:w="1305" w:type="dxa"/>
            <w:tcMar>
              <w:left w:w="45" w:type="dxa"/>
              <w:right w:w="45" w:type="dxa"/>
            </w:tcMar>
          </w:tcPr>
          <w:p w14:paraId="362DA0C3"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2024 CSR 1.2 2024 CSR 2.1 2023 CSR 1.7 2023 CSR 1.8 2020 CSR 3.9 2019 CSR 2.3</w:t>
            </w:r>
          </w:p>
        </w:tc>
        <w:tc>
          <w:tcPr>
            <w:tcW w:w="2850" w:type="dxa"/>
            <w:tcMar>
              <w:left w:w="45" w:type="dxa"/>
              <w:right w:w="45" w:type="dxa"/>
            </w:tcMar>
          </w:tcPr>
          <w:p w14:paraId="0F7D2E69" w14:textId="77777777" w:rsidR="007F3C29" w:rsidRDefault="007F3C29" w:rsidP="00C2631D">
            <w:pPr>
              <w:pStyle w:val="Tabletext"/>
              <w:spacing w:line="220" w:lineRule="exact"/>
              <w:rPr>
                <w:rFonts w:eastAsia="Calibri"/>
                <w:sz w:val="20"/>
                <w:szCs w:val="20"/>
              </w:rPr>
            </w:pPr>
            <w:r>
              <w:rPr>
                <w:rFonts w:eastAsia="Calibri"/>
                <w:sz w:val="20"/>
                <w:szCs w:val="20"/>
              </w:rPr>
              <w:t>Fair green &amp; digital transition</w:t>
            </w:r>
          </w:p>
        </w:tc>
      </w:tr>
      <w:tr w:rsidR="007F3C29" w:rsidRPr="00E204B7" w14:paraId="7D01926E" w14:textId="77777777" w:rsidTr="00C2631D">
        <w:trPr>
          <w:trHeight w:val="113"/>
        </w:trPr>
        <w:tc>
          <w:tcPr>
            <w:tcW w:w="3705" w:type="dxa"/>
            <w:tcMar>
              <w:left w:w="45" w:type="dxa"/>
              <w:right w:w="45" w:type="dxa"/>
            </w:tcMar>
          </w:tcPr>
          <w:p w14:paraId="15B039BA" w14:textId="450F573F" w:rsidR="007F3C29" w:rsidRPr="00920844" w:rsidRDefault="00BA03C0" w:rsidP="00C2631D">
            <w:pPr>
              <w:pStyle w:val="Tabletext"/>
              <w:spacing w:line="220" w:lineRule="exact"/>
              <w:rPr>
                <w:rFonts w:eastAsia="Calibri"/>
              </w:rPr>
            </w:pPr>
            <w:r w:rsidRPr="00BA03C0">
              <w:rPr>
                <w:rFonts w:eastAsia="Calibri"/>
                <w:b/>
              </w:rPr>
              <w:t>INVESTMENT 2:</w:t>
            </w:r>
            <w:r w:rsidR="007F3C29" w:rsidRPr="00920844">
              <w:rPr>
                <w:rFonts w:eastAsia="Calibri"/>
              </w:rPr>
              <w:t xml:space="preserve"> Transformation of Fiscal Management and Supervision in Governance &amp; Electronic Invoicing</w:t>
            </w:r>
          </w:p>
        </w:tc>
        <w:tc>
          <w:tcPr>
            <w:tcW w:w="1455" w:type="dxa"/>
            <w:tcMar>
              <w:left w:w="45" w:type="dxa"/>
              <w:right w:w="45" w:type="dxa"/>
            </w:tcMar>
          </w:tcPr>
          <w:p w14:paraId="24A34D71" w14:textId="77777777" w:rsidR="007F3C29" w:rsidRDefault="007F3C29" w:rsidP="00C2631D">
            <w:pPr>
              <w:pStyle w:val="Tabletext"/>
              <w:spacing w:line="220" w:lineRule="exact"/>
              <w:rPr>
                <w:rFonts w:eastAsia="Calibri"/>
                <w:sz w:val="20"/>
                <w:szCs w:val="20"/>
              </w:rPr>
            </w:pPr>
            <w:r>
              <w:rPr>
                <w:rFonts w:eastAsia="Calibri"/>
                <w:sz w:val="20"/>
                <w:szCs w:val="20"/>
              </w:rPr>
              <w:t>RRF 16705</w:t>
            </w:r>
          </w:p>
        </w:tc>
        <w:tc>
          <w:tcPr>
            <w:tcW w:w="1305" w:type="dxa"/>
            <w:tcMar>
              <w:left w:w="45" w:type="dxa"/>
              <w:right w:w="45" w:type="dxa"/>
            </w:tcMar>
          </w:tcPr>
          <w:p w14:paraId="27DEBCB9" w14:textId="77777777" w:rsidR="007F3C29" w:rsidRDefault="007F3C29" w:rsidP="00C2631D">
            <w:pPr>
              <w:pStyle w:val="Tabletext"/>
              <w:spacing w:line="220" w:lineRule="exact"/>
              <w:rPr>
                <w:rFonts w:eastAsia="Calibri"/>
                <w:sz w:val="20"/>
                <w:szCs w:val="20"/>
              </w:rPr>
            </w:pPr>
            <w:r>
              <w:rPr>
                <w:rFonts w:eastAsia="Calibri"/>
                <w:sz w:val="20"/>
                <w:szCs w:val="20"/>
              </w:rPr>
              <w:t>2024 CSR 2.1 2020 CSR 3.9 2019 CSR 2.3</w:t>
            </w:r>
          </w:p>
        </w:tc>
        <w:tc>
          <w:tcPr>
            <w:tcW w:w="2850" w:type="dxa"/>
            <w:tcMar>
              <w:left w:w="45" w:type="dxa"/>
              <w:right w:w="45" w:type="dxa"/>
            </w:tcMar>
          </w:tcPr>
          <w:p w14:paraId="26FAC26D"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rsidRPr="00E204B7" w14:paraId="0AF6871C" w14:textId="77777777" w:rsidTr="00C2631D">
        <w:trPr>
          <w:trHeight w:val="113"/>
        </w:trPr>
        <w:tc>
          <w:tcPr>
            <w:tcW w:w="3705" w:type="dxa"/>
            <w:tcMar>
              <w:left w:w="45" w:type="dxa"/>
              <w:right w:w="45" w:type="dxa"/>
            </w:tcMar>
          </w:tcPr>
          <w:p w14:paraId="405B8710" w14:textId="2D7A5927" w:rsidR="007F3C29" w:rsidRPr="00920844" w:rsidRDefault="00BA03C0" w:rsidP="00C2631D">
            <w:pPr>
              <w:pStyle w:val="Tabletext"/>
              <w:spacing w:line="220" w:lineRule="exact"/>
              <w:rPr>
                <w:rFonts w:eastAsia="Calibri"/>
              </w:rPr>
            </w:pPr>
            <w:r w:rsidRPr="00BA03C0">
              <w:rPr>
                <w:rFonts w:eastAsia="Calibri"/>
                <w:b/>
              </w:rPr>
              <w:t>INVESTMENT 3:</w:t>
            </w:r>
            <w:r w:rsidR="007F3C29" w:rsidRPr="00920844">
              <w:rPr>
                <w:rFonts w:eastAsia="Calibri"/>
              </w:rPr>
              <w:t xml:space="preserve"> Digital transformation of tax audits</w:t>
            </w:r>
          </w:p>
          <w:p w14:paraId="12594975" w14:textId="77777777" w:rsidR="007F3C29" w:rsidRPr="00920844" w:rsidRDefault="007F3C29" w:rsidP="00C2631D">
            <w:pPr>
              <w:pStyle w:val="Tabletext"/>
              <w:spacing w:line="220" w:lineRule="exact"/>
              <w:rPr>
                <w:rFonts w:eastAsia="Calibri"/>
              </w:rPr>
            </w:pPr>
          </w:p>
        </w:tc>
        <w:tc>
          <w:tcPr>
            <w:tcW w:w="1455" w:type="dxa"/>
            <w:tcMar>
              <w:left w:w="45" w:type="dxa"/>
              <w:right w:w="45" w:type="dxa"/>
            </w:tcMar>
          </w:tcPr>
          <w:p w14:paraId="0663BC6A" w14:textId="77777777" w:rsidR="007F3C29" w:rsidRDefault="007F3C29" w:rsidP="00C2631D">
            <w:pPr>
              <w:pStyle w:val="Tabletext"/>
              <w:spacing w:line="220" w:lineRule="exact"/>
              <w:rPr>
                <w:rFonts w:eastAsia="Calibri"/>
                <w:sz w:val="20"/>
                <w:szCs w:val="20"/>
              </w:rPr>
            </w:pPr>
            <w:r>
              <w:rPr>
                <w:rFonts w:eastAsia="Calibri"/>
                <w:sz w:val="20"/>
                <w:szCs w:val="20"/>
              </w:rPr>
              <w:t>RRF 16611</w:t>
            </w:r>
          </w:p>
        </w:tc>
        <w:tc>
          <w:tcPr>
            <w:tcW w:w="1305" w:type="dxa"/>
            <w:tcMar>
              <w:left w:w="45" w:type="dxa"/>
              <w:right w:w="45" w:type="dxa"/>
            </w:tcMar>
          </w:tcPr>
          <w:p w14:paraId="3B3FD6BF"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2024 CSR 1.2 2024 CSR 2.1 2023 CSR 1.7 2023 CSR 1.8</w:t>
            </w:r>
          </w:p>
          <w:p w14:paraId="1B1E259F"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2022 CSR 1.5 2020 CSR 3.9 2019 CSR 2.3</w:t>
            </w:r>
          </w:p>
        </w:tc>
        <w:tc>
          <w:tcPr>
            <w:tcW w:w="2850" w:type="dxa"/>
            <w:tcMar>
              <w:left w:w="45" w:type="dxa"/>
              <w:right w:w="45" w:type="dxa"/>
            </w:tcMar>
          </w:tcPr>
          <w:p w14:paraId="6E95FC22"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rsidRPr="00E204B7" w14:paraId="73538CF8" w14:textId="77777777" w:rsidTr="00C2631D">
        <w:trPr>
          <w:trHeight w:val="113"/>
        </w:trPr>
        <w:tc>
          <w:tcPr>
            <w:tcW w:w="3705" w:type="dxa"/>
            <w:tcMar>
              <w:top w:w="0" w:type="dxa"/>
              <w:left w:w="45" w:type="dxa"/>
              <w:bottom w:w="0" w:type="dxa"/>
              <w:right w:w="45" w:type="dxa"/>
            </w:tcMar>
          </w:tcPr>
          <w:p w14:paraId="2EAA003C" w14:textId="14193CD9" w:rsidR="007F3C29" w:rsidRDefault="00BA03C0" w:rsidP="00C2631D">
            <w:pPr>
              <w:pStyle w:val="Tabletext"/>
              <w:spacing w:line="220" w:lineRule="exact"/>
              <w:rPr>
                <w:rFonts w:eastAsia="Calibri"/>
              </w:rPr>
            </w:pPr>
            <w:r w:rsidRPr="00BA03C0">
              <w:rPr>
                <w:rFonts w:eastAsia="Calibri"/>
                <w:b/>
              </w:rPr>
              <w:t>INVESTMENT 4:</w:t>
            </w:r>
            <w:r w:rsidR="007F3C29">
              <w:rPr>
                <w:rFonts w:eastAsia="Calibri"/>
              </w:rPr>
              <w:t xml:space="preserve"> RRP Loan Facility </w:t>
            </w:r>
          </w:p>
        </w:tc>
        <w:tc>
          <w:tcPr>
            <w:tcW w:w="1455" w:type="dxa"/>
            <w:tcMar>
              <w:top w:w="0" w:type="dxa"/>
              <w:left w:w="45" w:type="dxa"/>
              <w:bottom w:w="0" w:type="dxa"/>
              <w:right w:w="45" w:type="dxa"/>
            </w:tcMar>
          </w:tcPr>
          <w:p w14:paraId="4AD7C714" w14:textId="77777777" w:rsidR="007F3C29" w:rsidRDefault="007F3C29" w:rsidP="00C2631D">
            <w:pPr>
              <w:pStyle w:val="Tabletext"/>
              <w:spacing w:line="220" w:lineRule="exact"/>
              <w:rPr>
                <w:rFonts w:eastAsia="Calibri"/>
                <w:sz w:val="20"/>
                <w:szCs w:val="20"/>
              </w:rPr>
            </w:pPr>
            <w:r>
              <w:rPr>
                <w:rFonts w:eastAsia="Calibri"/>
                <w:sz w:val="20"/>
                <w:szCs w:val="20"/>
              </w:rPr>
              <w:t>RRF 16980</w:t>
            </w:r>
          </w:p>
        </w:tc>
        <w:tc>
          <w:tcPr>
            <w:tcW w:w="1305" w:type="dxa"/>
            <w:tcMar>
              <w:top w:w="0" w:type="dxa"/>
              <w:left w:w="45" w:type="dxa"/>
              <w:bottom w:w="0" w:type="dxa"/>
              <w:right w:w="45" w:type="dxa"/>
            </w:tcMar>
          </w:tcPr>
          <w:p w14:paraId="52FD1678" w14:textId="77777777" w:rsidR="007F3C29" w:rsidRDefault="007F3C29" w:rsidP="00C2631D">
            <w:pPr>
              <w:pStyle w:val="Tabletext"/>
              <w:spacing w:line="220" w:lineRule="exact"/>
              <w:rPr>
                <w:rFonts w:eastAsia="Calibri"/>
                <w:sz w:val="20"/>
                <w:szCs w:val="20"/>
              </w:rPr>
            </w:pPr>
            <w:r>
              <w:rPr>
                <w:rFonts w:eastAsia="Calibri"/>
                <w:sz w:val="20"/>
                <w:szCs w:val="20"/>
              </w:rPr>
              <w:t>2024 CSR 1.4 2024 CSR 2.1 2024 CSR 4.1 2023 CSR 4.1 2023 CSR 4.3 2023 CSR 4.4 2022 CSR 4.1 2022 CSR 4.2 2022 CSR 4.5 2020 CSR 3.3 2020 CSR 3.10 2019.CSR2.2 2019.CSR2.3 2019.CSR2.4</w:t>
            </w:r>
          </w:p>
        </w:tc>
        <w:tc>
          <w:tcPr>
            <w:tcW w:w="2850" w:type="dxa"/>
            <w:tcMar>
              <w:top w:w="0" w:type="dxa"/>
              <w:left w:w="45" w:type="dxa"/>
              <w:bottom w:w="0" w:type="dxa"/>
              <w:right w:w="45" w:type="dxa"/>
            </w:tcMar>
          </w:tcPr>
          <w:p w14:paraId="5253C904"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rsidRPr="00E204B7" w14:paraId="50CC2905" w14:textId="77777777" w:rsidTr="00C2631D">
        <w:trPr>
          <w:trHeight w:val="113"/>
        </w:trPr>
        <w:tc>
          <w:tcPr>
            <w:tcW w:w="3705" w:type="dxa"/>
            <w:shd w:val="clear" w:color="auto" w:fill="FFFFFF"/>
            <w:tcMar>
              <w:left w:w="45" w:type="dxa"/>
              <w:right w:w="45" w:type="dxa"/>
            </w:tcMar>
          </w:tcPr>
          <w:p w14:paraId="67540339" w14:textId="792B1F9C" w:rsidR="007F3C29" w:rsidRPr="00920844" w:rsidRDefault="00BA03C0" w:rsidP="00C2631D">
            <w:pPr>
              <w:pStyle w:val="Tabletext"/>
              <w:spacing w:line="220" w:lineRule="exact"/>
              <w:rPr>
                <w:rFonts w:eastAsia="Calibri"/>
              </w:rPr>
            </w:pPr>
            <w:r w:rsidRPr="00BA03C0">
              <w:rPr>
                <w:rFonts w:eastAsia="Calibri"/>
                <w:b/>
              </w:rPr>
              <w:t>INVESTMENT 5:</w:t>
            </w:r>
            <w:r w:rsidR="007F3C29" w:rsidRPr="00920844">
              <w:rPr>
                <w:rFonts w:eastAsia="Calibri"/>
              </w:rPr>
              <w:t xml:space="preserve"> Revitalization actions of the most affected territories (Just transition territories) &amp; Just Transition Programme</w:t>
            </w:r>
          </w:p>
        </w:tc>
        <w:tc>
          <w:tcPr>
            <w:tcW w:w="1455" w:type="dxa"/>
            <w:tcMar>
              <w:left w:w="45" w:type="dxa"/>
              <w:right w:w="45" w:type="dxa"/>
            </w:tcMar>
          </w:tcPr>
          <w:p w14:paraId="1D0C88BC" w14:textId="77777777" w:rsidR="007F3C29" w:rsidRDefault="007F3C29" w:rsidP="00C2631D">
            <w:pPr>
              <w:pStyle w:val="Tabletext"/>
              <w:spacing w:line="220" w:lineRule="exact"/>
              <w:rPr>
                <w:rFonts w:eastAsia="Calibri"/>
                <w:sz w:val="20"/>
                <w:szCs w:val="20"/>
              </w:rPr>
            </w:pPr>
            <w:r>
              <w:rPr>
                <w:rFonts w:eastAsia="Calibri"/>
                <w:sz w:val="20"/>
                <w:szCs w:val="20"/>
              </w:rPr>
              <w:t>RRF 16871 /</w:t>
            </w:r>
            <w:r>
              <w:rPr>
                <w:rFonts w:eastAsia="Calibri"/>
                <w:sz w:val="20"/>
                <w:szCs w:val="20"/>
              </w:rPr>
              <w:br/>
              <w:t>MFF</w:t>
            </w:r>
          </w:p>
        </w:tc>
        <w:tc>
          <w:tcPr>
            <w:tcW w:w="1305" w:type="dxa"/>
            <w:tcMar>
              <w:left w:w="45" w:type="dxa"/>
              <w:right w:w="45" w:type="dxa"/>
            </w:tcMar>
          </w:tcPr>
          <w:p w14:paraId="04E664C6" w14:textId="77777777" w:rsidR="007F3C29" w:rsidRDefault="007F3C29" w:rsidP="00C2631D">
            <w:pPr>
              <w:pStyle w:val="Tabletext"/>
              <w:spacing w:line="220" w:lineRule="exact"/>
              <w:rPr>
                <w:rFonts w:eastAsia="Calibri"/>
                <w:sz w:val="20"/>
                <w:szCs w:val="20"/>
              </w:rPr>
            </w:pPr>
            <w:r>
              <w:rPr>
                <w:rFonts w:eastAsia="Calibri"/>
                <w:sz w:val="20"/>
                <w:szCs w:val="20"/>
              </w:rPr>
              <w:t>2024 CSR 2.1</w:t>
            </w:r>
            <w:r>
              <w:rPr>
                <w:rFonts w:eastAsia="Calibri"/>
                <w:sz w:val="20"/>
                <w:szCs w:val="20"/>
              </w:rPr>
              <w:br/>
              <w:t>2024 CSR 4.1</w:t>
            </w:r>
            <w:r>
              <w:rPr>
                <w:rFonts w:eastAsia="Calibri"/>
                <w:sz w:val="20"/>
                <w:szCs w:val="20"/>
              </w:rPr>
              <w:br/>
              <w:t xml:space="preserve">2023 CSR 4.1 </w:t>
            </w:r>
            <w:r>
              <w:rPr>
                <w:rFonts w:eastAsia="Calibri"/>
                <w:sz w:val="20"/>
                <w:szCs w:val="20"/>
              </w:rPr>
              <w:br/>
              <w:t>2023 CSR 4.3 2023 CSR 4.5</w:t>
            </w:r>
            <w:r>
              <w:rPr>
                <w:rFonts w:eastAsia="Calibri"/>
                <w:sz w:val="20"/>
                <w:szCs w:val="20"/>
              </w:rPr>
              <w:br/>
              <w:t>2022 CSR 4.1 2022 CSR 4.2 2020 CSR 3.2 2020 CSR 3.3 2020 CSR 3.5 2020 CSR 3.6 2020 CSR 3.8 2019 CSR 2.2 2019 CSR 2.5 2019 CSR 2.9</w:t>
            </w:r>
          </w:p>
        </w:tc>
        <w:tc>
          <w:tcPr>
            <w:tcW w:w="2850" w:type="dxa"/>
            <w:tcMar>
              <w:left w:w="45" w:type="dxa"/>
              <w:right w:w="45" w:type="dxa"/>
            </w:tcMar>
          </w:tcPr>
          <w:p w14:paraId="15B4B68E" w14:textId="77777777" w:rsidR="007F3C29" w:rsidRPr="00920844" w:rsidRDefault="007F3C29" w:rsidP="00C2631D">
            <w:pPr>
              <w:pStyle w:val="Tabletext"/>
              <w:spacing w:line="220" w:lineRule="exact"/>
              <w:rPr>
                <w:rFonts w:eastAsia="Calibri"/>
                <w:sz w:val="20"/>
                <w:szCs w:val="20"/>
              </w:rPr>
            </w:pPr>
            <w:r w:rsidRPr="00920844">
              <w:rPr>
                <w:rFonts w:eastAsia="Calibri"/>
                <w:sz w:val="20"/>
                <w:szCs w:val="20"/>
              </w:rPr>
              <w:t>Social and Economic resilience &amp; Fair green and digital transition</w:t>
            </w:r>
          </w:p>
        </w:tc>
      </w:tr>
      <w:tr w:rsidR="007F3C29" w14:paraId="62AC93E3" w14:textId="77777777" w:rsidTr="00C2631D">
        <w:trPr>
          <w:trHeight w:val="113"/>
        </w:trPr>
        <w:tc>
          <w:tcPr>
            <w:tcW w:w="3705" w:type="dxa"/>
            <w:tcMar>
              <w:left w:w="45" w:type="dxa"/>
              <w:right w:w="45" w:type="dxa"/>
            </w:tcMar>
          </w:tcPr>
          <w:p w14:paraId="434E90F0" w14:textId="355613F0" w:rsidR="007F3C29" w:rsidRPr="00920844" w:rsidRDefault="00BA03C0" w:rsidP="00C2631D">
            <w:pPr>
              <w:pStyle w:val="Tabletext"/>
              <w:spacing w:line="220" w:lineRule="exact"/>
              <w:rPr>
                <w:rFonts w:eastAsia="Calibri"/>
              </w:rPr>
            </w:pPr>
            <w:r w:rsidRPr="00BA03C0">
              <w:rPr>
                <w:rFonts w:eastAsia="Calibri"/>
                <w:b/>
              </w:rPr>
              <w:lastRenderedPageBreak/>
              <w:t>INVESTMENT 6:</w:t>
            </w:r>
            <w:r w:rsidR="007F3C29" w:rsidRPr="00920844">
              <w:rPr>
                <w:rFonts w:eastAsia="Calibri"/>
              </w:rPr>
              <w:t xml:space="preserve"> Implementation of the Partnership Agreement 2021-2027 - efficient management of ESPA funds</w:t>
            </w:r>
          </w:p>
        </w:tc>
        <w:tc>
          <w:tcPr>
            <w:tcW w:w="1455" w:type="dxa"/>
            <w:tcMar>
              <w:left w:w="45" w:type="dxa"/>
              <w:right w:w="45" w:type="dxa"/>
            </w:tcMar>
          </w:tcPr>
          <w:p w14:paraId="381B2526" w14:textId="77777777" w:rsidR="007F3C29" w:rsidRDefault="007F3C29" w:rsidP="00C2631D">
            <w:pPr>
              <w:pStyle w:val="Tabletext"/>
              <w:spacing w:line="220" w:lineRule="exact"/>
              <w:rPr>
                <w:rFonts w:eastAsia="Calibri"/>
                <w:sz w:val="20"/>
                <w:szCs w:val="20"/>
              </w:rPr>
            </w:pPr>
            <w:r>
              <w:rPr>
                <w:rFonts w:eastAsia="Calibri"/>
                <w:sz w:val="20"/>
                <w:szCs w:val="20"/>
              </w:rPr>
              <w:t>MFF</w:t>
            </w:r>
          </w:p>
        </w:tc>
        <w:tc>
          <w:tcPr>
            <w:tcW w:w="1305" w:type="dxa"/>
            <w:tcMar>
              <w:left w:w="45" w:type="dxa"/>
              <w:right w:w="45" w:type="dxa"/>
            </w:tcMar>
          </w:tcPr>
          <w:p w14:paraId="046CF41B" w14:textId="77777777" w:rsidR="007F3C29" w:rsidRDefault="007F3C29" w:rsidP="00C2631D">
            <w:pPr>
              <w:pStyle w:val="Tabletext"/>
              <w:spacing w:line="220" w:lineRule="exact"/>
              <w:rPr>
                <w:rFonts w:eastAsia="Calibri"/>
                <w:sz w:val="20"/>
                <w:szCs w:val="20"/>
              </w:rPr>
            </w:pPr>
            <w:r>
              <w:rPr>
                <w:rFonts w:eastAsia="Calibri"/>
                <w:sz w:val="20"/>
                <w:szCs w:val="20"/>
              </w:rPr>
              <w:t>2024 CSR 2.2 2020 CSR 3.3</w:t>
            </w:r>
          </w:p>
        </w:tc>
        <w:tc>
          <w:tcPr>
            <w:tcW w:w="2850" w:type="dxa"/>
            <w:tcMar>
              <w:left w:w="45" w:type="dxa"/>
              <w:right w:w="45" w:type="dxa"/>
            </w:tcMar>
          </w:tcPr>
          <w:p w14:paraId="62DD665B" w14:textId="77777777" w:rsidR="007F3C29" w:rsidRDefault="007F3C29" w:rsidP="00C2631D">
            <w:pPr>
              <w:pStyle w:val="Tabletext"/>
              <w:spacing w:line="220" w:lineRule="exact"/>
              <w:rPr>
                <w:rFonts w:eastAsia="Calibri"/>
                <w:sz w:val="20"/>
                <w:szCs w:val="20"/>
              </w:rPr>
            </w:pPr>
            <w:r>
              <w:rPr>
                <w:rFonts w:eastAsia="Calibri"/>
                <w:sz w:val="20"/>
                <w:szCs w:val="20"/>
              </w:rPr>
              <w:t>All priorities</w:t>
            </w:r>
          </w:p>
        </w:tc>
      </w:tr>
      <w:tr w:rsidR="007F3C29" w14:paraId="2B5CE7B6" w14:textId="77777777" w:rsidTr="00C2631D">
        <w:trPr>
          <w:trHeight w:val="113"/>
        </w:trPr>
        <w:tc>
          <w:tcPr>
            <w:tcW w:w="3705" w:type="dxa"/>
            <w:tcMar>
              <w:left w:w="45" w:type="dxa"/>
              <w:right w:w="45" w:type="dxa"/>
            </w:tcMar>
          </w:tcPr>
          <w:p w14:paraId="11B25BB6" w14:textId="027341DD" w:rsidR="007F3C29" w:rsidRDefault="00BA03C0" w:rsidP="00C2631D">
            <w:pPr>
              <w:pStyle w:val="Tabletext"/>
              <w:spacing w:line="220" w:lineRule="exact"/>
              <w:rPr>
                <w:rFonts w:eastAsia="Calibri"/>
              </w:rPr>
            </w:pPr>
            <w:r w:rsidRPr="00BA03C0">
              <w:rPr>
                <w:rFonts w:eastAsia="Calibri"/>
                <w:b/>
              </w:rPr>
              <w:t>INVESTMENT 7:</w:t>
            </w:r>
            <w:r w:rsidR="007F3C29">
              <w:rPr>
                <w:rFonts w:eastAsia="Calibri"/>
              </w:rPr>
              <w:t xml:space="preserve"> e-PDE system</w:t>
            </w:r>
          </w:p>
        </w:tc>
        <w:tc>
          <w:tcPr>
            <w:tcW w:w="1455" w:type="dxa"/>
            <w:tcMar>
              <w:left w:w="45" w:type="dxa"/>
              <w:right w:w="45" w:type="dxa"/>
            </w:tcMar>
          </w:tcPr>
          <w:p w14:paraId="02750C58" w14:textId="77777777" w:rsidR="007F3C29" w:rsidRDefault="007F3C29" w:rsidP="00C2631D">
            <w:pPr>
              <w:pStyle w:val="Tabletext"/>
              <w:spacing w:line="220" w:lineRule="exact"/>
              <w:rPr>
                <w:rFonts w:eastAsia="Calibri"/>
                <w:sz w:val="20"/>
                <w:szCs w:val="20"/>
              </w:rPr>
            </w:pPr>
            <w:r>
              <w:rPr>
                <w:rFonts w:eastAsia="Calibri"/>
                <w:sz w:val="20"/>
                <w:szCs w:val="20"/>
              </w:rPr>
              <w:t>MFF</w:t>
            </w:r>
          </w:p>
        </w:tc>
        <w:tc>
          <w:tcPr>
            <w:tcW w:w="1305" w:type="dxa"/>
            <w:tcMar>
              <w:left w:w="45" w:type="dxa"/>
              <w:right w:w="45" w:type="dxa"/>
            </w:tcMar>
          </w:tcPr>
          <w:p w14:paraId="5F673A6C" w14:textId="77777777" w:rsidR="007F3C29" w:rsidRDefault="007F3C29" w:rsidP="00C2631D">
            <w:pPr>
              <w:pStyle w:val="Tabletext"/>
              <w:spacing w:line="220" w:lineRule="exact"/>
              <w:rPr>
                <w:rFonts w:eastAsia="Calibri"/>
                <w:sz w:val="20"/>
                <w:szCs w:val="20"/>
              </w:rPr>
            </w:pPr>
            <w:r>
              <w:rPr>
                <w:rFonts w:eastAsia="Calibri"/>
                <w:sz w:val="20"/>
                <w:szCs w:val="20"/>
              </w:rPr>
              <w:t>2020 CSR 3.9 2019 CSR 2.3</w:t>
            </w:r>
          </w:p>
        </w:tc>
        <w:tc>
          <w:tcPr>
            <w:tcW w:w="2850" w:type="dxa"/>
            <w:tcMar>
              <w:left w:w="45" w:type="dxa"/>
              <w:right w:w="45" w:type="dxa"/>
            </w:tcMar>
          </w:tcPr>
          <w:p w14:paraId="163932C2" w14:textId="77777777" w:rsidR="007F3C29" w:rsidRDefault="007F3C29" w:rsidP="00C2631D">
            <w:pPr>
              <w:pStyle w:val="Tabletext"/>
              <w:spacing w:line="220" w:lineRule="exact"/>
              <w:rPr>
                <w:rFonts w:eastAsia="Calibri"/>
                <w:sz w:val="20"/>
                <w:szCs w:val="20"/>
              </w:rPr>
            </w:pPr>
            <w:r>
              <w:rPr>
                <w:rFonts w:eastAsia="Calibri"/>
                <w:sz w:val="20"/>
                <w:szCs w:val="20"/>
              </w:rPr>
              <w:t>Fair green &amp; digital transition</w:t>
            </w:r>
          </w:p>
        </w:tc>
      </w:tr>
      <w:tr w:rsidR="007F3C29" w:rsidRPr="00673CB6" w14:paraId="32848A30" w14:textId="77777777" w:rsidTr="00C2631D">
        <w:trPr>
          <w:trHeight w:val="113"/>
        </w:trPr>
        <w:tc>
          <w:tcPr>
            <w:tcW w:w="3705" w:type="dxa"/>
            <w:tcMar>
              <w:left w:w="45" w:type="dxa"/>
              <w:right w:w="45" w:type="dxa"/>
            </w:tcMar>
          </w:tcPr>
          <w:p w14:paraId="2632038A" w14:textId="2B73E729" w:rsidR="007F3C29" w:rsidRPr="00920844" w:rsidRDefault="00BA03C0" w:rsidP="00C2631D">
            <w:pPr>
              <w:pStyle w:val="Tabletext"/>
              <w:spacing w:line="220" w:lineRule="exact"/>
              <w:rPr>
                <w:rFonts w:eastAsia="Calibri"/>
                <w:i/>
                <w:iCs/>
              </w:rPr>
            </w:pPr>
            <w:r w:rsidRPr="00BA03C0">
              <w:rPr>
                <w:rFonts w:eastAsia="Calibri"/>
                <w:b/>
                <w:i/>
                <w:iCs/>
              </w:rPr>
              <w:t>INVESTMENT 8:</w:t>
            </w:r>
            <w:r w:rsidR="007F3C29" w:rsidRPr="00920844">
              <w:rPr>
                <w:rFonts w:eastAsia="Calibri"/>
                <w:i/>
                <w:iCs/>
              </w:rPr>
              <w:t xml:space="preserve"> National Investment Fund under HCAP </w:t>
            </w:r>
          </w:p>
        </w:tc>
        <w:tc>
          <w:tcPr>
            <w:tcW w:w="1455" w:type="dxa"/>
            <w:tcMar>
              <w:left w:w="45" w:type="dxa"/>
              <w:right w:w="45" w:type="dxa"/>
            </w:tcMar>
          </w:tcPr>
          <w:p w14:paraId="67BE977A"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w:t>
            </w:r>
          </w:p>
        </w:tc>
        <w:tc>
          <w:tcPr>
            <w:tcW w:w="1305" w:type="dxa"/>
            <w:tcMar>
              <w:left w:w="45" w:type="dxa"/>
              <w:right w:w="45" w:type="dxa"/>
            </w:tcMar>
          </w:tcPr>
          <w:p w14:paraId="15C61510"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2024 CSR 1.4 2020 CSR 3.3</w:t>
            </w:r>
          </w:p>
        </w:tc>
        <w:tc>
          <w:tcPr>
            <w:tcW w:w="2850" w:type="dxa"/>
            <w:tcMar>
              <w:left w:w="45" w:type="dxa"/>
              <w:right w:w="45" w:type="dxa"/>
            </w:tcMar>
          </w:tcPr>
          <w:p w14:paraId="6B22D64F" w14:textId="77777777" w:rsidR="007F3C29" w:rsidRPr="00673CB6" w:rsidRDefault="007F3C29" w:rsidP="00C2631D">
            <w:pPr>
              <w:pStyle w:val="Tabletext"/>
              <w:spacing w:line="220" w:lineRule="exact"/>
              <w:rPr>
                <w:rFonts w:eastAsia="Calibri"/>
                <w:i/>
                <w:iCs/>
                <w:sz w:val="20"/>
                <w:szCs w:val="20"/>
              </w:rPr>
            </w:pPr>
            <w:r w:rsidRPr="00673CB6">
              <w:rPr>
                <w:rFonts w:eastAsia="Calibri"/>
                <w:i/>
                <w:iCs/>
                <w:sz w:val="20"/>
                <w:szCs w:val="20"/>
              </w:rPr>
              <w:t>Social and Economic resilience</w:t>
            </w:r>
          </w:p>
        </w:tc>
      </w:tr>
      <w:tr w:rsidR="007F3C29" w14:paraId="6A56133D" w14:textId="77777777" w:rsidTr="00C2631D">
        <w:trPr>
          <w:trHeight w:val="113"/>
        </w:trPr>
        <w:tc>
          <w:tcPr>
            <w:tcW w:w="3705" w:type="dxa"/>
            <w:tcMar>
              <w:left w:w="45" w:type="dxa"/>
              <w:right w:w="45" w:type="dxa"/>
            </w:tcMar>
          </w:tcPr>
          <w:p w14:paraId="21B62616" w14:textId="63266EC3" w:rsidR="007F3C29" w:rsidRPr="00920844" w:rsidRDefault="00BA03C0" w:rsidP="00C2631D">
            <w:pPr>
              <w:pStyle w:val="Tabletext"/>
              <w:spacing w:line="220" w:lineRule="exact"/>
              <w:rPr>
                <w:rFonts w:eastAsia="Calibri"/>
              </w:rPr>
            </w:pPr>
            <w:r w:rsidRPr="00BA03C0">
              <w:rPr>
                <w:rFonts w:eastAsia="Calibri"/>
                <w:b/>
              </w:rPr>
              <w:t>INVESTMENT 9:</w:t>
            </w:r>
            <w:r w:rsidR="007F3C29" w:rsidRPr="00920844">
              <w:rPr>
                <w:rFonts w:eastAsia="Calibri"/>
              </w:rPr>
              <w:t xml:space="preserve"> Promotion of privatizations (by HRADF) and public property utilization (by HCAP) </w:t>
            </w:r>
          </w:p>
        </w:tc>
        <w:tc>
          <w:tcPr>
            <w:tcW w:w="1455" w:type="dxa"/>
            <w:tcMar>
              <w:left w:w="45" w:type="dxa"/>
              <w:right w:w="45" w:type="dxa"/>
            </w:tcMar>
          </w:tcPr>
          <w:p w14:paraId="63DFDAE1" w14:textId="77777777" w:rsidR="007F3C29" w:rsidRDefault="007F3C29" w:rsidP="00C2631D">
            <w:pPr>
              <w:pStyle w:val="Tabletext"/>
              <w:spacing w:line="220" w:lineRule="exact"/>
              <w:rPr>
                <w:rFonts w:eastAsia="Calibri"/>
                <w:sz w:val="20"/>
                <w:szCs w:val="20"/>
              </w:rPr>
            </w:pPr>
            <w:r>
              <w:rPr>
                <w:rFonts w:eastAsia="Calibri"/>
                <w:sz w:val="20"/>
                <w:szCs w:val="20"/>
              </w:rPr>
              <w:t>-</w:t>
            </w:r>
          </w:p>
        </w:tc>
        <w:tc>
          <w:tcPr>
            <w:tcW w:w="1305" w:type="dxa"/>
            <w:tcMar>
              <w:left w:w="45" w:type="dxa"/>
              <w:right w:w="45" w:type="dxa"/>
            </w:tcMar>
          </w:tcPr>
          <w:p w14:paraId="1DDCCF1E" w14:textId="77777777" w:rsidR="007F3C29" w:rsidRDefault="007F3C29" w:rsidP="00C2631D">
            <w:pPr>
              <w:pStyle w:val="Tabletext"/>
              <w:spacing w:line="220" w:lineRule="exact"/>
              <w:rPr>
                <w:rFonts w:eastAsia="Calibri"/>
                <w:sz w:val="20"/>
                <w:szCs w:val="20"/>
              </w:rPr>
            </w:pPr>
            <w:r>
              <w:rPr>
                <w:rFonts w:eastAsia="Calibri"/>
                <w:sz w:val="20"/>
                <w:szCs w:val="20"/>
              </w:rPr>
              <w:t>2024 CSR 3.2 2020 CSR 3.3</w:t>
            </w:r>
          </w:p>
        </w:tc>
        <w:tc>
          <w:tcPr>
            <w:tcW w:w="2850" w:type="dxa"/>
            <w:tcMar>
              <w:left w:w="45" w:type="dxa"/>
              <w:right w:w="45" w:type="dxa"/>
            </w:tcMar>
          </w:tcPr>
          <w:p w14:paraId="3B028286" w14:textId="77777777" w:rsidR="007F3C29" w:rsidRDefault="007F3C29" w:rsidP="00C2631D">
            <w:pPr>
              <w:pStyle w:val="Tabletext"/>
              <w:spacing w:line="220" w:lineRule="exact"/>
              <w:rPr>
                <w:rFonts w:eastAsia="Calibri"/>
                <w:sz w:val="20"/>
                <w:szCs w:val="20"/>
              </w:rPr>
            </w:pPr>
            <w:r>
              <w:rPr>
                <w:rFonts w:eastAsia="Calibri"/>
                <w:sz w:val="20"/>
                <w:szCs w:val="20"/>
              </w:rPr>
              <w:t>Social and Economic resilience</w:t>
            </w:r>
          </w:p>
        </w:tc>
      </w:tr>
    </w:tbl>
    <w:p w14:paraId="51175B8E" w14:textId="08203A9E" w:rsidR="007F3C29" w:rsidRDefault="007F3C29" w:rsidP="007F3C29">
      <w:pPr>
        <w:rPr>
          <w:lang w:val="en-US"/>
        </w:rPr>
      </w:pPr>
    </w:p>
    <w:bookmarkEnd w:id="53"/>
    <w:p w14:paraId="7E28C91D" w14:textId="77777777" w:rsidR="00A1394D" w:rsidRPr="00920844" w:rsidRDefault="00A1394D" w:rsidP="00920844">
      <w:pPr>
        <w:rPr>
          <w:rFonts w:eastAsia="Calibri"/>
          <w:lang w:val="en-US"/>
        </w:rPr>
      </w:pPr>
      <w:r w:rsidRPr="00920844">
        <w:rPr>
          <w:rFonts w:eastAsia="Calibri"/>
          <w:lang w:val="en-US"/>
        </w:rPr>
        <w:t>The</w:t>
      </w:r>
      <w:r w:rsidRPr="00920844">
        <w:rPr>
          <w:rFonts w:eastAsia="Calibri"/>
          <w:b/>
          <w:lang w:val="en-US"/>
        </w:rPr>
        <w:t xml:space="preserve"> RRF reform for</w:t>
      </w:r>
      <w:r w:rsidRPr="00920844">
        <w:rPr>
          <w:rFonts w:eastAsia="Calibri"/>
          <w:lang w:val="en-US"/>
        </w:rPr>
        <w:t xml:space="preserve"> </w:t>
      </w:r>
      <w:r w:rsidRPr="00920844">
        <w:rPr>
          <w:rFonts w:eastAsia="Calibri"/>
          <w:b/>
          <w:lang w:val="en-US"/>
        </w:rPr>
        <w:t xml:space="preserve">cash registers and Point-of-Sale (POS) systems </w:t>
      </w:r>
      <w:r w:rsidRPr="00920844">
        <w:rPr>
          <w:rFonts w:eastAsia="Calibri"/>
          <w:lang w:val="en-US"/>
        </w:rPr>
        <w:t xml:space="preserve">represents a significant modernization effort led by the Independent Authority for Public Revenue (IAPR). This initiative aims to integrate 400,000 cash registers with advanced POS terminals and IT systems, ensuring that every transaction is recorded in real-time and transmitted directly to the IAPR. By establishing rigorous specifications and developing robust infrastructure and applications, the project will enhance monitoring and control mechanisms as well as tax compliance, significantly curbing tax evasion and reducing the VAT gap. After completion of the interconnection in 2024, the anticipated outcome is an increase in tax revenues, with a consequent positive fiscal impact. Moreover, it directly supports the EU’s common priorities, as it bolsters economic resilience by enhancing the accuracy and efficiency of tax collection. </w:t>
      </w:r>
    </w:p>
    <w:p w14:paraId="7DB8636E" w14:textId="77777777" w:rsidR="00A1394D" w:rsidRPr="00920844" w:rsidRDefault="00A1394D" w:rsidP="00920844">
      <w:pPr>
        <w:rPr>
          <w:rFonts w:eastAsia="Calibri"/>
          <w:shd w:val="clear" w:color="auto" w:fill="F4CCCC"/>
          <w:lang w:val="en-US"/>
        </w:rPr>
      </w:pPr>
      <w:r w:rsidRPr="00920844">
        <w:rPr>
          <w:rFonts w:eastAsia="Calibri"/>
          <w:lang w:val="en-US"/>
        </w:rPr>
        <w:t xml:space="preserve">The </w:t>
      </w:r>
      <w:r w:rsidRPr="00920844">
        <w:rPr>
          <w:rFonts w:eastAsia="Calibri"/>
          <w:b/>
          <w:lang w:val="en-US"/>
        </w:rPr>
        <w:t xml:space="preserve">RRF reform </w:t>
      </w:r>
      <w:r w:rsidRPr="00920844">
        <w:rPr>
          <w:rFonts w:eastAsia="Calibri"/>
          <w:lang w:val="en-US"/>
        </w:rPr>
        <w:t>“</w:t>
      </w:r>
      <w:r w:rsidRPr="00920844">
        <w:rPr>
          <w:rFonts w:eastAsia="Calibri"/>
          <w:b/>
          <w:lang w:val="en-US"/>
        </w:rPr>
        <w:t>codification and simplification of tax legislation”</w:t>
      </w:r>
      <w:r w:rsidRPr="00920844">
        <w:rPr>
          <w:rFonts w:eastAsia="Calibri"/>
          <w:lang w:val="en-US"/>
        </w:rPr>
        <w:t xml:space="preserve"> in the areas of income and property taxation, VAT, stamp duty, tax procedures, collection, and customs includes the consolidation of legal provisions, but also aims to simplify legislation and make it more accessible, thereby improving transparency, legal certainty, and tax compliance, while also contributing to the digitalization of tax administration. To that end, the codification of the legislation is underway and a knowledge-management system is being developed, which will provide free public access through a dedicated website, offering enriched, interconnected, and standardized content. This system will store, integrate, re-use, and externalize existing content while generating new content, further supporting Greece’s commitment to modernizing its tax administration and fostering a more competitive and transparent economic environment. The reform is expected to be concluded in 2025.</w:t>
      </w:r>
    </w:p>
    <w:p w14:paraId="25CB6395" w14:textId="77777777" w:rsidR="00A1394D" w:rsidRPr="00920844" w:rsidRDefault="00A1394D" w:rsidP="00920844">
      <w:pPr>
        <w:rPr>
          <w:rFonts w:eastAsia="Calibri"/>
          <w:shd w:val="clear" w:color="auto" w:fill="F4CCCC"/>
          <w:lang w:val="en-US"/>
        </w:rPr>
      </w:pPr>
      <w:r w:rsidRPr="00920844">
        <w:rPr>
          <w:rFonts w:eastAsia="Calibri"/>
          <w:lang w:val="en-US"/>
        </w:rPr>
        <w:t xml:space="preserve">The </w:t>
      </w:r>
      <w:r w:rsidRPr="00920844">
        <w:rPr>
          <w:rFonts w:eastAsia="Calibri"/>
          <w:b/>
          <w:lang w:val="en-US"/>
        </w:rPr>
        <w:t>RRF “Accounting Reform”,</w:t>
      </w:r>
      <w:r w:rsidRPr="00920844">
        <w:rPr>
          <w:rFonts w:eastAsia="Calibri"/>
          <w:lang w:val="en-US"/>
        </w:rPr>
        <w:t xml:space="preserve"> in conjunction with the</w:t>
      </w:r>
      <w:r w:rsidRPr="00920844">
        <w:rPr>
          <w:rFonts w:eastAsia="Calibri"/>
          <w:b/>
          <w:lang w:val="en-US"/>
        </w:rPr>
        <w:t xml:space="preserve"> Gov-ERP investment,</w:t>
      </w:r>
      <w:r w:rsidRPr="00920844">
        <w:rPr>
          <w:rFonts w:eastAsia="Calibri"/>
          <w:lang w:val="en-US"/>
        </w:rPr>
        <w:t xml:space="preserve"> is a major initiative, focused on modernizing financial management by transitioning from modified cash to accrual accounting and consolidated financial reporting. This includes the adoption of new accounting policies, as well as the implementation of a cutting-edge Government Enterprise Resource Planning (GOV-ERP) system to enhance the current Integrated Information System of Fiscal Policy, with the aim to expand it to General Government entities, and establish e-invoicing in public procurement. Both initiatives, set for completion by 2026, are expected to lead to significant cost-savings in financial management in terms of acceleration and simplification of procedures, to improve transparency and accountability in government budgeting and </w:t>
      </w:r>
      <w:r w:rsidRPr="00920844">
        <w:rPr>
          <w:rFonts w:eastAsia="Calibri"/>
          <w:lang w:val="en-US"/>
        </w:rPr>
        <w:lastRenderedPageBreak/>
        <w:t xml:space="preserve">accounting and to ensure the provision of accurate financial information, hence contributing to informed decision making, supporting the EU’s priorities of socioeconomic resilience and digital transition. </w:t>
      </w:r>
    </w:p>
    <w:p w14:paraId="06B7FEE8"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RRF reform for</w:t>
      </w:r>
      <w:r w:rsidRPr="00920844">
        <w:rPr>
          <w:rFonts w:eastAsia="Calibri"/>
          <w:lang w:val="en-US"/>
        </w:rPr>
        <w:t xml:space="preserve"> </w:t>
      </w:r>
      <w:r w:rsidRPr="00920844">
        <w:rPr>
          <w:rFonts w:eastAsia="Calibri"/>
          <w:b/>
          <w:lang w:val="en-US"/>
        </w:rPr>
        <w:t xml:space="preserve">Modification of Greece's Tax Policy Framework </w:t>
      </w:r>
      <w:r w:rsidRPr="00920844">
        <w:rPr>
          <w:rFonts w:eastAsia="Calibri"/>
          <w:b/>
          <w:i/>
          <w:iCs/>
          <w:lang w:val="en-US"/>
        </w:rPr>
        <w:t>(a new action compared to NRP submitted in Spring 2024)</w:t>
      </w:r>
      <w:r w:rsidRPr="00920844">
        <w:rPr>
          <w:rFonts w:eastAsia="Calibri"/>
          <w:b/>
          <w:lang w:val="en-US"/>
        </w:rPr>
        <w:t xml:space="preserve"> </w:t>
      </w:r>
      <w:r w:rsidRPr="00920844">
        <w:rPr>
          <w:rFonts w:eastAsia="Calibri"/>
          <w:lang w:val="en-US"/>
        </w:rPr>
        <w:t>aims to combat tax evasion and improve incentives within the tax system, focusing on promoting electronic payments and widening the tax base. Key elements include the revision of the taxation structure for the self-employed, the reform of the stamp duty, the gradual reduction of overhead taxes, the expansion of the mandatory acceptance of electronic payments, and the introduction of new reporting requirements for data submitted to the tax administration for use in VAT and income tax assessments. Additionally, the reform aims to enhance the operational autonomy and customer service levels of the Independent Authority for Public Revenue (IAPR). Set for completion by 2026, this reform supports the EU's priority of socio-economic resilience, as well as digital transition.</w:t>
      </w:r>
    </w:p>
    <w:p w14:paraId="5BBAD176" w14:textId="77777777" w:rsidR="00A1394D" w:rsidRPr="00920844" w:rsidRDefault="00A1394D" w:rsidP="00920844">
      <w:pPr>
        <w:rPr>
          <w:rFonts w:eastAsia="Calibri"/>
          <w:lang w:val="en-US"/>
        </w:rPr>
      </w:pPr>
      <w:r w:rsidRPr="00920844">
        <w:rPr>
          <w:rFonts w:eastAsia="Calibri"/>
          <w:lang w:val="en-US"/>
        </w:rPr>
        <w:t xml:space="preserve">New legislation, which is expected to be adopted by the end of 2024, is set to establish a unified institutional </w:t>
      </w:r>
      <w:r w:rsidRPr="00920844">
        <w:rPr>
          <w:rFonts w:eastAsia="Calibri"/>
          <w:b/>
          <w:lang w:val="en-US"/>
        </w:rPr>
        <w:t>framework for business transformations and innovation</w:t>
      </w:r>
      <w:r w:rsidRPr="00920844">
        <w:rPr>
          <w:rFonts w:eastAsia="Calibri"/>
          <w:lang w:val="en-US"/>
        </w:rPr>
        <w:t xml:space="preserve">. The new legislative framework, which will be compatible with the Union’s law, will be simplified to enhance legal certainty, while also making it more attractive to potential beneficiaries and to foreign investors. Regarding </w:t>
      </w:r>
      <w:r w:rsidRPr="00920844">
        <w:rPr>
          <w:rFonts w:eastAsia="Calibri"/>
          <w:b/>
          <w:lang w:val="en-US"/>
        </w:rPr>
        <w:t>innovation</w:t>
      </w:r>
      <w:r w:rsidRPr="00920844">
        <w:rPr>
          <w:rFonts w:eastAsia="Calibri"/>
          <w:lang w:val="en-US"/>
        </w:rPr>
        <w:t xml:space="preserve">, the new legislative framework aims to increase R&amp;D investment in the Greek economy relative to the European average, through a series of targeted measures. Key changes include increased tax incentives, building on the existing 200% deduction for research and technology expenses, with new measures potentially increasing deductions for specific cases such as collaborative projects with start-ups, collaborative projects with research institutions, and small and medium-sized enterprises with high knowledge intensity. In addition, the law aims to strengthen collaboration by promoting links between the labor market and the academic community, as well as by encouraging cooperation between group companies and start-ups. The framework will also expand incentives for the commercial exploitation of patents and expand tax incentives for angel investors who support startups. It also aims to rationalize and harmonize the tax regime for investment funds with European practices, thereby encouraging the creation of fully Greek-based investment schemes. </w:t>
      </w:r>
    </w:p>
    <w:p w14:paraId="29028B23"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RRF reform concerning the capacity of the financial system to overcome legacy challenges and finance the real economy</w:t>
      </w:r>
      <w:r w:rsidRPr="00920844">
        <w:rPr>
          <w:rFonts w:eastAsia="Calibri"/>
          <w:sz w:val="25"/>
          <w:szCs w:val="25"/>
          <w:lang w:val="en-US"/>
        </w:rPr>
        <w:t xml:space="preserve"> </w:t>
      </w:r>
      <w:r w:rsidRPr="00920844">
        <w:rPr>
          <w:rFonts w:eastAsia="Calibri"/>
          <w:b/>
          <w:i/>
          <w:iCs/>
          <w:lang w:val="en-US"/>
        </w:rPr>
        <w:t>(a new action compared to NRP submitted in Spring 2024)</w:t>
      </w:r>
      <w:r w:rsidRPr="00920844">
        <w:rPr>
          <w:rFonts w:eastAsia="Calibri"/>
          <w:b/>
          <w:lang w:val="en-US"/>
        </w:rPr>
        <w:t xml:space="preserve"> </w:t>
      </w:r>
      <w:r w:rsidRPr="00920844">
        <w:rPr>
          <w:rFonts w:eastAsia="Calibri"/>
          <w:lang w:val="en-US"/>
        </w:rPr>
        <w:t xml:space="preserve">aims to reduce private debt levels by improving the insolvency process, strengthening the non-performing loans (NPLs) market, and mitigating future debt accumulation by eliminating information asymmetries. The reform’s policy measures include the completion of actions outlined in the National Strategy for Private Debt Management, such as expanding the NPL secondary market, developing a private debt monitoring registry, establishing a Public Credit Bureau, creating a solvency assessment IT system, setting up a Central Credit Registry and </w:t>
      </w:r>
      <w:r w:rsidRPr="00920844">
        <w:rPr>
          <w:rFonts w:eastAsia="Calibri"/>
          <w:lang w:val="en-US"/>
        </w:rPr>
        <w:lastRenderedPageBreak/>
        <w:t xml:space="preserve">improving the e-auction process. The </w:t>
      </w:r>
      <w:r w:rsidRPr="00920844">
        <w:rPr>
          <w:rFonts w:eastAsia="Calibri"/>
          <w:b/>
          <w:lang w:val="en-US"/>
        </w:rPr>
        <w:t>facilitation of NPL transactions</w:t>
      </w:r>
      <w:r w:rsidRPr="00920844">
        <w:rPr>
          <w:rFonts w:eastAsia="Calibri"/>
          <w:lang w:val="en-US"/>
        </w:rPr>
        <w:t xml:space="preserve"> includes the promotion of a common data template for NPL transactions, the establishment of a standard template for portfolio screening and evaluation and the launch of a transaction platform to enable sellers and buyers to efficiently and confidentially exchange information and submit bids, considering existing market solutions. The creation of a </w:t>
      </w:r>
      <w:r w:rsidRPr="00920844">
        <w:rPr>
          <w:rFonts w:eastAsia="Calibri"/>
          <w:b/>
          <w:lang w:val="en-US"/>
        </w:rPr>
        <w:t>Public Credit Bureau and an IT system for solvency assessment</w:t>
      </w:r>
      <w:r w:rsidRPr="00920844">
        <w:rPr>
          <w:rFonts w:eastAsia="Calibri"/>
          <w:lang w:val="en-US"/>
        </w:rPr>
        <w:t xml:space="preserve"> aims to tackle asymmetric information between the public sector and private entities regarding creditworthiness. This includes credit scoring for debts to the State and facilitates the exchange of credit information with rating agencies, forming a unified rating system. A central database and credit rating system for individuals and entities will be developed. </w:t>
      </w:r>
      <w:r w:rsidRPr="00920844">
        <w:rPr>
          <w:rFonts w:eastAsia="Calibri"/>
          <w:b/>
          <w:lang w:val="en-US"/>
        </w:rPr>
        <w:t>The Central Credit Registry (CCR)</w:t>
      </w:r>
      <w:r w:rsidRPr="00920844">
        <w:rPr>
          <w:rFonts w:eastAsia="Calibri"/>
          <w:lang w:val="en-US"/>
        </w:rPr>
        <w:t xml:space="preserve"> is an information system developed by the Bank of Greece to record detailed payment histories of individual loans, covering all bank and financial institution customers and their provided collateral. The BoG will serve as the data controller, ensuring strict security and data protection. The </w:t>
      </w:r>
      <w:r w:rsidRPr="00920844">
        <w:rPr>
          <w:rFonts w:eastAsia="Calibri"/>
          <w:b/>
          <w:lang w:val="en-US"/>
        </w:rPr>
        <w:t xml:space="preserve">Private Debt Monitoring Registry </w:t>
      </w:r>
      <w:r w:rsidRPr="00920844">
        <w:rPr>
          <w:rFonts w:eastAsia="Calibri"/>
          <w:lang w:val="en-US"/>
        </w:rPr>
        <w:t xml:space="preserve">is designed as a central electronic database that will collect data from public and private creditors, as well as other reliable sources, to clarify underreported debt and record as much private debt as possible. All projects are expected to be completed by 2026. In addition, the </w:t>
      </w:r>
      <w:r w:rsidRPr="00920844">
        <w:rPr>
          <w:rFonts w:eastAsia="Calibri"/>
          <w:b/>
          <w:lang w:val="en-US"/>
        </w:rPr>
        <w:t>project “E-auctions for Debt Enforcement”</w:t>
      </w:r>
      <w:r w:rsidRPr="00920844">
        <w:rPr>
          <w:rFonts w:eastAsia="Calibri"/>
          <w:lang w:val="en-US"/>
        </w:rPr>
        <w:t xml:space="preserve"> focuses on enhancing the e-auction process and expanding the information available about auctioned assets on the platform. It aims to address information asymmetries through improvements to the legal framework, which are expected to be adopted by 2025.</w:t>
      </w:r>
    </w:p>
    <w:p w14:paraId="61A08D70"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 xml:space="preserve">RRF “enhanced capital market supervision and trustworthiness” reform </w:t>
      </w:r>
      <w:r w:rsidRPr="00920844">
        <w:rPr>
          <w:rFonts w:eastAsia="Calibri"/>
          <w:lang w:val="en-US"/>
        </w:rPr>
        <w:t>focuses on the digital transformation of the Hellenic Capital Market Commission (HCMC)'s, digitizing its internal processes and organization, as well as modernizing the regulatory framework for capital markets. More specifically, it includes: a) the implementation of a transaction surveillance and monitoring system, in accordance with the requirements established by the Directorate of Markets Supervision of the HCMC, b) the development of a large-scale data collection, processing, analysis and monitoring system, that will permit the collection, authentication, validation, verification, processing, analysis and monitoring of the collected data using Big Data norms, allowing dissemination and use of all available information by all interested parties in HCMC and c) ensuring cyber security, cyber defense and cyber resilience of the above mentioned systems. The reform is expected to be completed by 2026.</w:t>
      </w:r>
    </w:p>
    <w:p w14:paraId="675EE5B7" w14:textId="77777777" w:rsidR="00A1394D" w:rsidRPr="00920844" w:rsidRDefault="00A1394D" w:rsidP="00920844">
      <w:pPr>
        <w:rPr>
          <w:rFonts w:eastAsia="Calibri"/>
          <w:sz w:val="26"/>
          <w:szCs w:val="26"/>
          <w:shd w:val="clear" w:color="auto" w:fill="EA9999"/>
          <w:lang w:val="en-US"/>
        </w:rPr>
      </w:pPr>
      <w:r w:rsidRPr="00920844">
        <w:rPr>
          <w:rFonts w:eastAsia="Calibri"/>
          <w:lang w:val="en-US"/>
        </w:rPr>
        <w:t xml:space="preserve">The </w:t>
      </w:r>
      <w:r w:rsidRPr="00920844">
        <w:rPr>
          <w:rFonts w:eastAsia="Calibri"/>
          <w:b/>
          <w:lang w:val="en-US"/>
        </w:rPr>
        <w:t xml:space="preserve">RRF reform for unified insolvency framework </w:t>
      </w:r>
      <w:r w:rsidRPr="00920844">
        <w:rPr>
          <w:rFonts w:eastAsia="Calibri"/>
          <w:lang w:val="en-US"/>
        </w:rPr>
        <w:t xml:space="preserve">which became fully operational in 2021, signified an important advancement in Greece's approach to managing pre-bankruptcy proceedings, including the introduction of an automated out-of-court process and a second chance for debtors. At present, several projects are in progress to enhance the framework’s operation. One of the key initiatives is the upgrade of the electronic platform to support an early warning mechanism for individuals and legal entities. The tool is designed to give debtors access to clear and transparent early warning indicators that can identify potential insolvency risks, </w:t>
      </w:r>
      <w:r w:rsidRPr="00920844">
        <w:rPr>
          <w:rFonts w:eastAsia="Calibri"/>
          <w:lang w:val="en-US"/>
        </w:rPr>
        <w:lastRenderedPageBreak/>
        <w:t>encouraging timely intervention and is expected to be completed by 2026. Additionally, the framework includes the establishment of a debtor guidance mechanism during the early stages of financial distress. This initiative involves the training of professional advisors and employees from the General Secretariat for Financial Sector and Private Debt Management, as well as mentoring services by advisors to entrepreneurs and legal entities, which are expected to begin in 2025. Finally, the upgrade of the electronic platform for the out-of-court workout settlement of debts is aimed at enhancing the digital infrastructure necessary to support debt restructuring and settlement processes and is expected to be completed by 2026. These improvements are expected to significantly enhance the efficiency and management of debt settlements for individuals and legal entities and contribute to the efficient management of private debt in Greece.</w:t>
      </w:r>
    </w:p>
    <w:p w14:paraId="3E9F8A20"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Green Budgeting</w:t>
      </w:r>
      <w:r w:rsidRPr="00920844">
        <w:rPr>
          <w:rFonts w:eastAsia="Calibri"/>
          <w:lang w:val="en-US"/>
        </w:rPr>
        <w:t xml:space="preserve"> initiative has been developed with the objective of incorporating the environmental impact of public policies into the State Budget. This entails classifying government programs carried out by Central Administration entities based on their environmental impact for the 2025 State Budget and onward. Further plans include listing and tagging revenue and tax expenditures to further integrate environmental considerations into fiscal policy. The methodology and standards for Green Budgeting are still being developed, indicating a long-term commitment to refining these processes in collaboration with the European Commission and the OECD. Overall, the reform is expected to promote sustainable spending practices and help mitigate the costs associated with climate change. In relation to this, options for designing a ‘green’ tax reform in Greece are investigated through the project "</w:t>
      </w:r>
      <w:r w:rsidRPr="00920844">
        <w:rPr>
          <w:rFonts w:eastAsia="Calibri"/>
          <w:b/>
          <w:lang w:val="en-US"/>
        </w:rPr>
        <w:t>Greening of Taxes – Development of a New Green Tax Reform,</w:t>
      </w:r>
      <w:r w:rsidRPr="00920844">
        <w:rPr>
          <w:rFonts w:eastAsia="Calibri"/>
          <w:lang w:val="en-US"/>
        </w:rPr>
        <w:t>" funded by the EU Technical Support Instrument (TSI) and in collaboration with the Foundations for Economic and Industrial Research (IOBE). This project aims to develop an economic model for evaluating and applying a green tax reform, seeking to enhance public administration capacities for creating and overseeing green economic policies. The project is expected to be completed in 2025.</w:t>
      </w:r>
    </w:p>
    <w:p w14:paraId="0982D601" w14:textId="77777777" w:rsidR="00A1394D" w:rsidRPr="00920844" w:rsidRDefault="00A1394D" w:rsidP="00920844">
      <w:pPr>
        <w:rPr>
          <w:rFonts w:eastAsia="Calibri"/>
          <w:lang w:val="en-US"/>
        </w:rPr>
      </w:pPr>
      <w:r w:rsidRPr="00920844">
        <w:rPr>
          <w:rFonts w:eastAsia="Calibri"/>
          <w:lang w:val="en-US"/>
        </w:rPr>
        <w:t>The Insolvency Code includes specific measures designed to protect Greece's most vulnerable debtors. Central to this effort is the</w:t>
      </w:r>
      <w:r w:rsidRPr="00920844">
        <w:rPr>
          <w:rFonts w:eastAsia="Calibri"/>
          <w:b/>
          <w:lang w:val="en-US"/>
        </w:rPr>
        <w:t xml:space="preserve"> Sale and Lease Back Organization (SLBO)</w:t>
      </w:r>
      <w:r w:rsidRPr="00920844">
        <w:rPr>
          <w:rFonts w:eastAsia="Calibri"/>
          <w:lang w:val="en-US"/>
        </w:rPr>
        <w:t xml:space="preserve">, a key initiative that facilitates the transfer of primary residences owned by vulnerable debtors to a designated entity, with the option for these debtors to lease the properties back. This scheme primarily assists individuals and small enterprises that have been declared bankrupt or are undergoing enforcement procedures, especially those with loans secured by their primary residence. Eligible debtors can transfer their homes to the SLBO and lease them for up to 12 years, with the option to buy back their property at any point during this period. The SLBO will be operated by a private entity appointed by the State through the ongoing international tender process. During the interim period until the establishment and implementation of the SLBO, eligible borrowers make pre-determined monthly payments to their lenders, with a portion subsidized by the State, and </w:t>
      </w:r>
      <w:r w:rsidRPr="00920844">
        <w:rPr>
          <w:rFonts w:eastAsia="Calibri"/>
          <w:lang w:val="en-US"/>
        </w:rPr>
        <w:lastRenderedPageBreak/>
        <w:t>all enforcement or liquidation proceedings are suspended. The SLBO is expected to become operational in 2025.</w:t>
      </w:r>
    </w:p>
    <w:p w14:paraId="7B5898CF" w14:textId="2AA95974" w:rsidR="00A1394D" w:rsidRPr="00920844" w:rsidRDefault="00A1394D" w:rsidP="00920844">
      <w:pPr>
        <w:rPr>
          <w:rFonts w:eastAsia="Calibri"/>
          <w:lang w:val="en-US"/>
        </w:rPr>
      </w:pPr>
      <w:r w:rsidRPr="00920844">
        <w:rPr>
          <w:rFonts w:eastAsia="Calibri"/>
          <w:lang w:val="en-US"/>
        </w:rPr>
        <w:t xml:space="preserve">The recurrence of extreme weather events and natural disasters has highlighted the </w:t>
      </w:r>
      <w:r w:rsidRPr="00920844">
        <w:rPr>
          <w:rFonts w:eastAsia="Calibri"/>
          <w:b/>
          <w:lang w:val="en-US"/>
        </w:rPr>
        <w:t>need for targeted interventions in the areas of climate adaptation and mitigation</w:t>
      </w:r>
      <w:r w:rsidRPr="00920844">
        <w:rPr>
          <w:rFonts w:eastAsia="Calibri"/>
          <w:lang w:val="en-US"/>
        </w:rPr>
        <w:t xml:space="preserve">. For this reason, alongside compensation schemes that relieve the affected population, an increase in the envelope of the National Development Programme 2021-2025 has been enacted to cover for infrastructure repair and improvements. In addition, proposed legislation </w:t>
      </w:r>
      <w:r w:rsidRPr="00920844">
        <w:rPr>
          <w:rFonts w:eastAsia="Calibri"/>
          <w:highlight w:val="white"/>
          <w:lang w:val="en-US"/>
        </w:rPr>
        <w:t xml:space="preserve">introduces new project management systems, including for natural disaster prevention, with a view to manage and monitor these projects more quickly and effectively. Moreover, </w:t>
      </w:r>
      <w:r w:rsidRPr="00920844">
        <w:rPr>
          <w:rFonts w:eastAsia="Calibri"/>
          <w:lang w:val="en-US"/>
        </w:rPr>
        <w:t>the</w:t>
      </w:r>
      <w:r w:rsidRPr="00920844">
        <w:rPr>
          <w:rFonts w:eastAsia="Calibri"/>
          <w:b/>
          <w:lang w:val="en-US"/>
        </w:rPr>
        <w:t xml:space="preserve"> recurrent property tax (ENFIA) for natural persons was reduced by 10% </w:t>
      </w:r>
      <w:r w:rsidRPr="00920844">
        <w:rPr>
          <w:rFonts w:eastAsia="Calibri"/>
          <w:lang w:val="en-US"/>
        </w:rPr>
        <w:t>for 2024,</w:t>
      </w:r>
      <w:r w:rsidRPr="00920844">
        <w:rPr>
          <w:rFonts w:eastAsia="Calibri"/>
          <w:b/>
          <w:lang w:val="en-US"/>
        </w:rPr>
        <w:t xml:space="preserve"> </w:t>
      </w:r>
      <w:r w:rsidRPr="00920844">
        <w:rPr>
          <w:rFonts w:eastAsia="Calibri"/>
          <w:lang w:val="en-US"/>
        </w:rPr>
        <w:t xml:space="preserve">and by </w:t>
      </w:r>
      <w:r w:rsidRPr="00920844">
        <w:rPr>
          <w:rFonts w:eastAsia="Calibri"/>
          <w:b/>
          <w:lang w:val="en-US"/>
        </w:rPr>
        <w:t xml:space="preserve">20% </w:t>
      </w:r>
      <w:r w:rsidRPr="00920844">
        <w:rPr>
          <w:rFonts w:eastAsia="Calibri"/>
          <w:lang w:val="en-US"/>
        </w:rPr>
        <w:t>from 2025,</w:t>
      </w:r>
      <w:r w:rsidRPr="00920844">
        <w:rPr>
          <w:rFonts w:eastAsia="Calibri"/>
          <w:b/>
          <w:lang w:val="en-US"/>
        </w:rPr>
        <w:t xml:space="preserve"> </w:t>
      </w:r>
      <w:r w:rsidRPr="00920844">
        <w:rPr>
          <w:rFonts w:eastAsia="Calibri"/>
          <w:lang w:val="en-US"/>
        </w:rPr>
        <w:t xml:space="preserve">for residences insured against earthquakes, fire, and floods. This reduction is part of the government's broader commitments to promote insurance awareness and improve the economy's resilience against climate change. </w:t>
      </w:r>
    </w:p>
    <w:p w14:paraId="10EB4319" w14:textId="77777777" w:rsidR="00A1394D" w:rsidRPr="00920844" w:rsidRDefault="00A1394D" w:rsidP="00920844">
      <w:pPr>
        <w:rPr>
          <w:rFonts w:eastAsia="Calibri"/>
          <w:lang w:val="en-US"/>
        </w:rPr>
      </w:pPr>
      <w:r w:rsidRPr="00920844">
        <w:rPr>
          <w:rFonts w:eastAsia="Calibri"/>
          <w:lang w:val="en-US"/>
        </w:rPr>
        <w:t>The</w:t>
      </w:r>
      <w:r w:rsidRPr="00920844">
        <w:rPr>
          <w:rFonts w:eastAsia="Calibri"/>
          <w:b/>
          <w:lang w:val="en-US"/>
        </w:rPr>
        <w:t xml:space="preserve"> National Strategy for financial literacy in Greece, </w:t>
      </w:r>
      <w:r w:rsidRPr="00920844">
        <w:rPr>
          <w:rFonts w:eastAsia="Calibri"/>
          <w:lang w:val="en-US"/>
        </w:rPr>
        <w:t>which was finalized in January 2024,</w:t>
      </w:r>
      <w:r w:rsidRPr="00920844">
        <w:rPr>
          <w:rFonts w:eastAsia="Calibri"/>
          <w:b/>
          <w:lang w:val="en-US"/>
        </w:rPr>
        <w:t xml:space="preserve"> </w:t>
      </w:r>
      <w:r w:rsidRPr="00920844">
        <w:rPr>
          <w:rFonts w:eastAsia="Calibri"/>
          <w:lang w:val="en-US"/>
        </w:rPr>
        <w:t>aims to enhance financial literacy by promoting prudent money management and a savings culture, particularly among vulnerable groups. Key actions include initiatives to encourage responsible credit use, saving habits, and understanding financial risks. The Strategy also focuses on improving financial literacy related to retirement, insurance, and digital financial tools, emphasizing the importance of informed participation in capital markets and awareness of risks. The implementation roadmap for the National Strategy covers a five-year period, during which strategic and comprehensive actions will be carried out to meet the established objectives. By promoting financial literacy, the strategy seeks to create a more informed, resilient, and economically stable society, providing significant benefits for both individuals and the state.</w:t>
      </w:r>
    </w:p>
    <w:p w14:paraId="2C79E056" w14:textId="77777777" w:rsidR="00A1394D" w:rsidRPr="00920844" w:rsidRDefault="00A1394D" w:rsidP="00920844">
      <w:pPr>
        <w:rPr>
          <w:rFonts w:eastAsia="Calibri"/>
          <w:sz w:val="2"/>
          <w:szCs w:val="2"/>
          <w:lang w:val="en-US"/>
        </w:rPr>
      </w:pPr>
      <w:r w:rsidRPr="00920844">
        <w:rPr>
          <w:rFonts w:eastAsia="Calibri"/>
          <w:lang w:val="en-US"/>
        </w:rPr>
        <w:t xml:space="preserve">With a view to create a strong mechanism to further enhance the capacity of Greek authorities to structure, procure and deliver complex projects, the Greek state established the </w:t>
      </w:r>
      <w:r w:rsidRPr="00920844">
        <w:rPr>
          <w:rFonts w:eastAsia="Calibri"/>
          <w:b/>
          <w:lang w:val="en-US"/>
        </w:rPr>
        <w:t>Project Preparation Facility (PPF)</w:t>
      </w:r>
      <w:r w:rsidRPr="00920844">
        <w:rPr>
          <w:rFonts w:eastAsia="Calibri"/>
          <w:lang w:val="en-US"/>
        </w:rPr>
        <w:t xml:space="preserve">, as an independent operational unit in the Hellenic Republic Asset Development Fund (HRADF). The purpose of this unit is to carry out the tender process and supervise the implementation stage for projects of strategic importance. Additionally, the PPF plays a critical role in ensuring the timely absorption of Recovery and Resilience Facility (RRF) funds by facilitating the swift preparation and execution of projects that are eligible for RRF financing. The competent Governmental Committee assigned new projects worth €4.3 billion to PPF in August 2024. These projects include, inter alia, the development of an Integrated Forest Management System, the AQUA MONTIS Program, the establishment of the Modernization Fund which will support Greece's efforts to meet EU climate goals, the Decarbonization Fund which targets carbon emission reductions on Greek islands, Municipal Emission and Energy Efficiency Plans, as well as the modernization of the port infrastructure on several islands. Overall, these projects contribute to a broader €7 billion investment plan managed by PPF. </w:t>
      </w:r>
    </w:p>
    <w:p w14:paraId="5AA01D4E" w14:textId="3DD98657" w:rsidR="00A1394D" w:rsidRPr="00920844" w:rsidRDefault="00A1394D" w:rsidP="00920844">
      <w:pPr>
        <w:rPr>
          <w:rFonts w:eastAsia="Calibri"/>
          <w:highlight w:val="white"/>
          <w:lang w:val="en-US"/>
        </w:rPr>
      </w:pPr>
      <w:r w:rsidRPr="00920844">
        <w:rPr>
          <w:rFonts w:eastAsia="Calibri"/>
          <w:highlight w:val="white"/>
          <w:lang w:val="en-US"/>
        </w:rPr>
        <w:lastRenderedPageBreak/>
        <w:t xml:space="preserve">The </w:t>
      </w:r>
      <w:r w:rsidRPr="00920844">
        <w:rPr>
          <w:rFonts w:eastAsia="Calibri"/>
          <w:b/>
          <w:highlight w:val="white"/>
          <w:lang w:val="en-US"/>
        </w:rPr>
        <w:t>Public Investment Programme (PIP)</w:t>
      </w:r>
      <w:r w:rsidRPr="00920844">
        <w:rPr>
          <w:rFonts w:eastAsia="Calibri"/>
          <w:highlight w:val="white"/>
          <w:lang w:val="en-US"/>
        </w:rPr>
        <w:t xml:space="preserve">, </w:t>
      </w:r>
      <w:r w:rsidRPr="00920844">
        <w:rPr>
          <w:rFonts w:eastAsia="Calibri"/>
          <w:lang w:val="en-US"/>
        </w:rPr>
        <w:t>funded from the Public Investment Budget, finances the country's development policy, through investments, actions and projects implemented under the co-financed and nationally funded Programmes.</w:t>
      </w:r>
      <w:r w:rsidRPr="00920844">
        <w:rPr>
          <w:rFonts w:eastAsia="Calibri"/>
          <w:highlight w:val="white"/>
          <w:lang w:val="en-US"/>
        </w:rPr>
        <w:t xml:space="preserve"> New legislation is anticipated </w:t>
      </w:r>
      <w:r w:rsidR="008455BC">
        <w:rPr>
          <w:rFonts w:eastAsia="Calibri"/>
          <w:highlight w:val="white"/>
          <w:lang w:val="en-US"/>
        </w:rPr>
        <w:t>within</w:t>
      </w:r>
      <w:r w:rsidRPr="00920844">
        <w:rPr>
          <w:rFonts w:eastAsia="Calibri"/>
          <w:highlight w:val="white"/>
          <w:lang w:val="en-US"/>
        </w:rPr>
        <w:t xml:space="preserve"> 2024, which will introduce significant changes to the PIP, including its restructuring into the Development Program of Public Investments, with a split between co-financed and nationally funded projects. Long-term planning, enhanced monitoring of project costs and streamlined funding mechanisms are established to improve efficiency, while new project management systems are introduced, and procedures are simplified. The aim is to accelerate the implementation of projects, thereby facilitating faster and more effective absorption of funds, better project planning, timely securing of their financing, and further reduction of bureaucracy. In addition, an investment related to the</w:t>
      </w:r>
      <w:r w:rsidRPr="00920844">
        <w:rPr>
          <w:rFonts w:eastAsia="Calibri"/>
          <w:b/>
          <w:highlight w:val="white"/>
          <w:lang w:val="en-US"/>
        </w:rPr>
        <w:t xml:space="preserve"> upgrade of the IT system of the PIP (</w:t>
      </w:r>
      <w:r w:rsidRPr="00920844">
        <w:rPr>
          <w:rFonts w:eastAsia="Calibri"/>
          <w:b/>
          <w:lang w:val="en-US"/>
        </w:rPr>
        <w:t>ePDE)</w:t>
      </w:r>
      <w:r w:rsidRPr="00920844">
        <w:rPr>
          <w:rFonts w:eastAsia="Calibri"/>
          <w:lang w:val="en-US"/>
        </w:rPr>
        <w:t>,</w:t>
      </w:r>
      <w:r w:rsidRPr="00920844">
        <w:rPr>
          <w:rFonts w:eastAsia="Calibri"/>
          <w:b/>
          <w:lang w:val="en-US"/>
        </w:rPr>
        <w:t xml:space="preserve"> </w:t>
      </w:r>
      <w:r w:rsidRPr="00920844">
        <w:rPr>
          <w:rFonts w:eastAsia="Calibri"/>
          <w:lang w:val="en-US"/>
        </w:rPr>
        <w:t>which supports the whole lifecycle of PIP projects, is currently</w:t>
      </w:r>
      <w:r w:rsidRPr="00920844">
        <w:rPr>
          <w:rFonts w:eastAsia="Calibri"/>
          <w:highlight w:val="white"/>
          <w:lang w:val="en-US"/>
        </w:rPr>
        <w:t xml:space="preserve"> in the tender process and is scheduled for completion by the end of 2027. The upgrade </w:t>
      </w:r>
      <w:r w:rsidRPr="00920844">
        <w:rPr>
          <w:rFonts w:eastAsia="Calibri"/>
          <w:lang w:val="en-US"/>
        </w:rPr>
        <w:t xml:space="preserve">will ensure the successful implementation of the above-mentioned changes and will cover the needs of the PIP at least for the next decade.  Specifically, it </w:t>
      </w:r>
      <w:r w:rsidRPr="00920844">
        <w:rPr>
          <w:rFonts w:eastAsia="Calibri"/>
          <w:highlight w:val="white"/>
          <w:lang w:val="en-US"/>
        </w:rPr>
        <w:t xml:space="preserve">aims, inter alia, to provide new enhanced functionalities to users, address interoperability needs with third-party systems, approach new user groups, and implement any interventions required within the revised institutional framework. </w:t>
      </w:r>
      <w:r w:rsidRPr="00920844">
        <w:rPr>
          <w:rFonts w:eastAsia="Calibri"/>
          <w:lang w:val="en-US"/>
        </w:rPr>
        <w:t xml:space="preserve">Clearer and simpler procedures will speed up the implementation of projects and programmes, while upgraded monitoring will enhance the efficiency and transparency of the use of Public Investment Budget resources. </w:t>
      </w:r>
    </w:p>
    <w:p w14:paraId="4B911FEA" w14:textId="77777777" w:rsidR="00A1394D" w:rsidRPr="00920844" w:rsidRDefault="00A1394D" w:rsidP="00920844">
      <w:pPr>
        <w:rPr>
          <w:rFonts w:eastAsia="Calibri"/>
          <w:lang w:val="en-US"/>
        </w:rPr>
      </w:pPr>
      <w:r w:rsidRPr="00920844">
        <w:rPr>
          <w:rFonts w:eastAsia="Calibri"/>
          <w:lang w:val="en-US"/>
        </w:rPr>
        <w:t>The reforms and investments introduced by recent legislation on the restructuring of the</w:t>
      </w:r>
      <w:r w:rsidRPr="00920844">
        <w:rPr>
          <w:rFonts w:eastAsia="Calibri"/>
          <w:b/>
          <w:lang w:val="en-US"/>
        </w:rPr>
        <w:t xml:space="preserve"> Hellenic Corporation of Assets and Participations (HCAP - Growthfund)</w:t>
      </w:r>
      <w:r w:rsidRPr="00920844">
        <w:rPr>
          <w:rFonts w:eastAsia="Calibri"/>
          <w:lang w:val="en-US"/>
        </w:rPr>
        <w:t xml:space="preserve"> reflect a strategic effort to improve economic performance, modernize state-owned enterprises, streamline and safeguard public sector efficiency and address structural weaknesses. A central feature of these reforms is the</w:t>
      </w:r>
      <w:r w:rsidRPr="00920844">
        <w:rPr>
          <w:rFonts w:eastAsia="Calibri"/>
          <w:b/>
          <w:lang w:val="en-US"/>
        </w:rPr>
        <w:t xml:space="preserve"> restructuring of eight state-owned enterprises, subsidiaries of HCAP, </w:t>
      </w:r>
      <w:r w:rsidRPr="00920844">
        <w:rPr>
          <w:rFonts w:eastAsia="Calibri"/>
          <w:lang w:val="en-US"/>
        </w:rPr>
        <w:t xml:space="preserve">to improve operational efficiency and service delivery, modeled after the successful remodeling of the Public Power Corporation (PPC) within 2025. The changes will allow for the hiring of private sector executives, streamline hiring processes and improve daily operations. Additionally, the modernization of HCAP, through the </w:t>
      </w:r>
      <w:r w:rsidRPr="00920844">
        <w:rPr>
          <w:rFonts w:eastAsia="Calibri"/>
          <w:b/>
          <w:lang w:val="en-US"/>
        </w:rPr>
        <w:t>merger with the Hellenic Financial Stability Fund (HFSF)</w:t>
      </w:r>
      <w:r w:rsidRPr="00920844">
        <w:rPr>
          <w:rFonts w:eastAsia="Calibri"/>
          <w:lang w:val="en-US"/>
        </w:rPr>
        <w:t xml:space="preserve"> </w:t>
      </w:r>
      <w:r w:rsidRPr="00920844">
        <w:rPr>
          <w:rFonts w:eastAsia="Calibri"/>
          <w:b/>
          <w:lang w:val="en-US"/>
        </w:rPr>
        <w:t xml:space="preserve">and the Hellenic Republic Asset Development Fund (HRADF) </w:t>
      </w:r>
      <w:r w:rsidRPr="00920844">
        <w:rPr>
          <w:rFonts w:eastAsia="Calibri"/>
          <w:lang w:val="en-US"/>
        </w:rPr>
        <w:t>by the end of 2024</w:t>
      </w:r>
      <w:r w:rsidRPr="00920844">
        <w:rPr>
          <w:rFonts w:eastAsia="Calibri"/>
          <w:b/>
          <w:lang w:val="en-US"/>
        </w:rPr>
        <w:t xml:space="preserve">, </w:t>
      </w:r>
      <w:r w:rsidRPr="00920844">
        <w:rPr>
          <w:rFonts w:eastAsia="Calibri"/>
          <w:lang w:val="en-US"/>
        </w:rPr>
        <w:t xml:space="preserve">reflects a consolidation of resources aimed at reducing administrative overhead and enhancing organizational flexibility. This move is coupled with a governance overhaul, as well as with the establishment of the </w:t>
      </w:r>
      <w:r w:rsidRPr="00920844">
        <w:rPr>
          <w:rFonts w:eastAsia="Calibri"/>
          <w:b/>
          <w:lang w:val="en-US"/>
        </w:rPr>
        <w:t>new National Investment Fund under HCAP</w:t>
      </w:r>
      <w:r w:rsidRPr="00920844">
        <w:rPr>
          <w:rFonts w:eastAsia="Calibri"/>
          <w:lang w:val="en-US"/>
        </w:rPr>
        <w:t xml:space="preserve">, </w:t>
      </w:r>
      <w:r w:rsidRPr="00920844">
        <w:rPr>
          <w:rFonts w:eastAsia="Calibri"/>
          <w:b/>
          <w:i/>
          <w:iCs/>
          <w:lang w:val="en-US"/>
        </w:rPr>
        <w:t>(a new action compared to NRP submitted in Spring 2024)</w:t>
      </w:r>
      <w:r w:rsidRPr="00920844">
        <w:rPr>
          <w:rFonts w:eastAsia="Calibri"/>
          <w:b/>
          <w:lang w:val="en-US"/>
        </w:rPr>
        <w:t xml:space="preserve"> </w:t>
      </w:r>
      <w:r w:rsidRPr="00920844">
        <w:rPr>
          <w:rFonts w:eastAsia="Calibri"/>
          <w:lang w:val="en-US"/>
        </w:rPr>
        <w:t xml:space="preserve">which will focus on sectors that are underserved by current investors in order to bridge critical investment gaps, particularly in areas like the green transition, the digital transformation, and strategic infrastructure. The Fund's design, which includes collaboration with other financial institutions and a focus on minority investments and hybrid financial tools, is intended to stimulate innovation and economic diversification and </w:t>
      </w:r>
      <w:r w:rsidRPr="00920844">
        <w:rPr>
          <w:rFonts w:eastAsia="Calibri"/>
          <w:lang w:val="en-US"/>
        </w:rPr>
        <w:lastRenderedPageBreak/>
        <w:t xml:space="preserve">accelerate investments. Under the provisions of Law 5131/2024 the </w:t>
      </w:r>
      <w:r w:rsidRPr="00920844">
        <w:rPr>
          <w:rFonts w:eastAsia="Calibri"/>
          <w:b/>
          <w:lang w:val="en-US"/>
        </w:rPr>
        <w:t xml:space="preserve">National Investment Fund </w:t>
      </w:r>
      <w:r w:rsidRPr="00920844">
        <w:rPr>
          <w:rFonts w:eastAsia="Calibri"/>
          <w:lang w:val="en-US"/>
        </w:rPr>
        <w:t xml:space="preserve">will be established following the decision of the Shareholders meeting of HCAP which is expected by the first quarter of 2025. </w:t>
      </w:r>
    </w:p>
    <w:p w14:paraId="19822109"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 xml:space="preserve">RRF investment for Digital Transformation of the Tax and Customs Administration, </w:t>
      </w:r>
      <w:r w:rsidRPr="00920844">
        <w:rPr>
          <w:rFonts w:eastAsia="Calibri"/>
          <w:lang w:val="en-US"/>
        </w:rPr>
        <w:t>is aimed at modernizing revenue administration and services to enhance the capacity and performance of the Independent Authority for Public Revenue (IAPR). This initiative focuses on improving the quality of services for individuals and businesses, as well as on making the tax system more growth-friendly and efficient. The investment consolidates 14 digital infrastructure sub-projects, including the replacement of core digital systems, automation of office processes, digitization of audits and controls, and upgrading taxpayer services. The subprojects are set for completion by 2026, except for the development of a new integrated Taxation Information System for the IAPR, which is co-funded by the structural funds and which will be finalized by the end of the programming period. This effort aligns with the EU's goals of enhancing public sector efficiency and fostering economic growth through digital transformation.</w:t>
      </w:r>
    </w:p>
    <w:p w14:paraId="303A259F"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 xml:space="preserve">"Digital Transformation of Tax Audits", </w:t>
      </w:r>
      <w:r w:rsidRPr="00920844">
        <w:rPr>
          <w:rFonts w:eastAsia="Calibri"/>
          <w:lang w:val="en-US"/>
        </w:rPr>
        <w:t>aims to enhance the efficiency and effectiveness of tax audits, improve public revenue collection, and combat smuggling through advanced digital solutions, with a significant positive fiscal impact. Key components include the automatic filling of tax declarations, leveraging the myDATA facility for electronic bookkeeping and invoicing, as well as connecting all tax cash registers to IAPR's IT systems. Additionally, the investment involves upgrading in-house data utilization and introducing artificial intelligence tools. This includes adopting a robust data architecture, developing a common metadata repository, providing advanced software solutions and applying artificial intelligence and machine learning techniques to analyze big data. The resulting improvements in tax compliance and enforcement are expected to lead to increased tax revenues. Set for completion by 2026, this investment supports the EU’s Green and Digital Transition priorities by modernizing tax administration through cutting-edge technology, while also generating a potentially substantial fiscal benefit.</w:t>
      </w:r>
    </w:p>
    <w:p w14:paraId="41C205F3" w14:textId="77777777" w:rsidR="00A1394D" w:rsidRPr="00920844" w:rsidRDefault="00A1394D" w:rsidP="00920844">
      <w:pPr>
        <w:rPr>
          <w:rFonts w:eastAsia="Calibri"/>
          <w:highlight w:val="white"/>
          <w:lang w:val="en-US"/>
        </w:rPr>
      </w:pPr>
      <w:r w:rsidRPr="00920844">
        <w:rPr>
          <w:rFonts w:eastAsia="Calibri"/>
          <w:highlight w:val="white"/>
          <w:lang w:val="en-US"/>
        </w:rPr>
        <w:t xml:space="preserve">The </w:t>
      </w:r>
      <w:r w:rsidRPr="00920844">
        <w:rPr>
          <w:rFonts w:eastAsia="Calibri"/>
          <w:b/>
          <w:highlight w:val="white"/>
          <w:lang w:val="en-US"/>
        </w:rPr>
        <w:t xml:space="preserve">RRF investment “Loan Facility” </w:t>
      </w:r>
      <w:r w:rsidRPr="00920844">
        <w:rPr>
          <w:rFonts w:eastAsia="Calibri"/>
          <w:highlight w:val="white"/>
          <w:lang w:val="en-US"/>
        </w:rPr>
        <w:t xml:space="preserve">concerning the use of loan support under the Recovery and Resilience Facility aims at facilitating the provision of financial incentives to the private sector and promoting private investment in long-term projects (with a duration of 6 to 12 years). This investment makes use of different distribution channels, namely financial institutions (through corporate bond purchases or syndicated loans, 16,728 million euros), an equity platform (500 million euros), and the Member State compartment of the InvestEU Programme (500 million euros). The loans provided by the State cover a maximum of 50% of the investment costs, with the financial institutions’ participation at a minimum of 30%, and debtor participation amounting to at least 20%. By the end of June 2024, the total budget of loans contracted had reached EUR 11.71 billion, of which EUR 5 billion are RRF loans, EUR 3.97 billion are commercial </w:t>
      </w:r>
      <w:r w:rsidRPr="00920844">
        <w:rPr>
          <w:rFonts w:eastAsia="Calibri"/>
          <w:highlight w:val="white"/>
          <w:lang w:val="en-US"/>
        </w:rPr>
        <w:lastRenderedPageBreak/>
        <w:t xml:space="preserve">loans, and EUR 2.74 billion are from companies' own funds. The implementation of the investment is expected to be completed in 2026. </w:t>
      </w:r>
    </w:p>
    <w:p w14:paraId="4B6B162A"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 xml:space="preserve">Just Transition Program (JTP) </w:t>
      </w:r>
      <w:r w:rsidRPr="00920844">
        <w:rPr>
          <w:rFonts w:eastAsia="Calibri"/>
          <w:lang w:val="en-US"/>
        </w:rPr>
        <w:t xml:space="preserve">of Greece is using the Just Transition Mechanism to address the wider social, economic, and environmental impacts in regions, where employment and income are heavily dependent on fossil fuels or emission intensive industries (W. Macedonia, North and South Aegean, Crete, municipalities in the Peloponnese region). The JTP Greece (2021- 2027) has been activated, with priority 1 focusing on creating a favorable business environment, promoting innovation, and attracting new investments. Priority 2 concerns the energy transition and climate neutrality with actions aiming to improve energy efficiency in affordable clean energy systems and infrastructure, including storage technologies. Priority 3 is focused on the regeneration and reuse of degraded land and facilities, implementing green infrastructure, and promoting circular economy practices through technical land repurposing. Priority 4 aims to address the socio-economic consequences of transition through interventions to adapt human resources to skills and occupations related to new productive activities.  Priority 5 is designed to enhance residents' quality of life and diversify local economies through targeted community-based measures. All the respective measures and investments will be concluded by the end of the programming period. Complementing these efforts, the Greek Recovery and Resilience Plan supplements the JTP by targeting specific reforms and investments that further support the economic and social transition of coal-dependent areas. The measure </w:t>
      </w:r>
      <w:r w:rsidRPr="00920844">
        <w:rPr>
          <w:rFonts w:eastAsia="Calibri"/>
          <w:b/>
          <w:lang w:val="en-US"/>
        </w:rPr>
        <w:t>‘Revitalization actions of the most affected territories (Just transition territories)’,</w:t>
      </w:r>
      <w:r w:rsidRPr="00920844">
        <w:rPr>
          <w:rFonts w:eastAsia="Calibri"/>
          <w:lang w:val="en-US"/>
        </w:rPr>
        <w:t xml:space="preserve"> which will be concluded by 2026, finances the rehabilitation of old mining areas in Western Macedonia and Megalopolis, promoting environmental sustainability and economic cohesion, as it directly mitigates the negative impacts of the phasing-out of the use of lignite in electricity production and supports the green transition, while preparing these areas for future economic activities. Additionally, it contributes to job preservation and the creation of new employment opportunities. </w:t>
      </w:r>
    </w:p>
    <w:p w14:paraId="663E2FC2" w14:textId="77777777" w:rsidR="00A1394D" w:rsidRPr="00920844" w:rsidRDefault="00A1394D" w:rsidP="00920844">
      <w:pPr>
        <w:rPr>
          <w:rFonts w:eastAsia="Calibri"/>
          <w:lang w:val="en-US"/>
        </w:rPr>
      </w:pPr>
      <w:r w:rsidRPr="00920844">
        <w:rPr>
          <w:rFonts w:eastAsia="Calibri"/>
          <w:lang w:val="en-US"/>
        </w:rPr>
        <w:t xml:space="preserve">The </w:t>
      </w:r>
      <w:r w:rsidRPr="00920844">
        <w:rPr>
          <w:rFonts w:eastAsia="Calibri"/>
          <w:b/>
          <w:lang w:val="en-US"/>
        </w:rPr>
        <w:t>Partnership Agreement for the 2021-2027</w:t>
      </w:r>
      <w:r w:rsidRPr="00920844">
        <w:rPr>
          <w:rFonts w:eastAsia="Calibri"/>
          <w:lang w:val="en-US"/>
        </w:rPr>
        <w:t xml:space="preserve"> programming period for Greece, is a key basic strategic plan aiming to enhance growth and development. It was approved by the European Commission on July 29, 2021, with resources of a total amount of 26.2 billion euros to be allocated to the country for the period 2021-2027, of which 20.9 billion euros concern the Union Support and an amount of 5.3 billion euros refers to the National Contribution. The new "NSRF 2021-2027" sets priorities for strengthening the productive potential of the economy, developing infrastructure, human skills and strengthening social protection. The NSRF 2021-2027 is structured around several key Programs, each designed to target specific areas of development:</w:t>
      </w:r>
    </w:p>
    <w:p w14:paraId="7ABB11E5" w14:textId="77777777" w:rsidR="00A1394D" w:rsidRPr="00920844" w:rsidRDefault="00A1394D" w:rsidP="00920844">
      <w:pPr>
        <w:rPr>
          <w:rFonts w:eastAsia="Calibri"/>
          <w:lang w:val="en-US"/>
        </w:rPr>
      </w:pPr>
      <w:r w:rsidRPr="00920844">
        <w:rPr>
          <w:rFonts w:eastAsia="Calibri"/>
          <w:lang w:val="en-US"/>
        </w:rPr>
        <w:lastRenderedPageBreak/>
        <w:t xml:space="preserve">1.  </w:t>
      </w:r>
      <w:r w:rsidRPr="00920844">
        <w:rPr>
          <w:rFonts w:eastAsia="Calibri"/>
          <w:b/>
          <w:lang w:val="en-US"/>
        </w:rPr>
        <w:t>Competitiveness</w:t>
      </w:r>
      <w:r w:rsidRPr="00920844">
        <w:rPr>
          <w:rFonts w:eastAsia="Calibri"/>
          <w:lang w:val="en-US"/>
        </w:rPr>
        <w:t xml:space="preserve"> (€3.9 billion): This program is focused on the economic transformation of Greece by enhancing the digital and innovative capacities of small and medium-sized enterprises (SMEs), improving research infrastructures, and promoting Industry 4.0. </w:t>
      </w:r>
    </w:p>
    <w:p w14:paraId="75AA7806" w14:textId="77777777" w:rsidR="00A1394D" w:rsidRPr="00920844" w:rsidRDefault="00A1394D" w:rsidP="00920844">
      <w:pPr>
        <w:rPr>
          <w:rFonts w:eastAsia="Calibri"/>
          <w:lang w:val="en-US"/>
        </w:rPr>
      </w:pPr>
      <w:r w:rsidRPr="00920844">
        <w:rPr>
          <w:rFonts w:eastAsia="Calibri"/>
          <w:lang w:val="en-US"/>
        </w:rPr>
        <w:t xml:space="preserve">2.  </w:t>
      </w:r>
      <w:r w:rsidRPr="00920844">
        <w:rPr>
          <w:rFonts w:eastAsia="Calibri"/>
          <w:b/>
          <w:lang w:val="en-US"/>
        </w:rPr>
        <w:t>Human Resources and Social Cohesion</w:t>
      </w:r>
      <w:r w:rsidRPr="00920844">
        <w:rPr>
          <w:rFonts w:eastAsia="Calibri"/>
          <w:lang w:val="en-US"/>
        </w:rPr>
        <w:t xml:space="preserve"> (€4.2 billion): This program aims to improve access to employment and enhance the skills of the workforce. It emphasizes supporting young people, promoting equal opportunities in education, lifelong learning, and social inclusion. It also aims to tackle material deprivation and ensure equal access to quality healthcare services.</w:t>
      </w:r>
    </w:p>
    <w:p w14:paraId="27CB6582" w14:textId="77777777" w:rsidR="00A1394D" w:rsidRPr="00920844" w:rsidRDefault="00A1394D" w:rsidP="00920844">
      <w:pPr>
        <w:rPr>
          <w:rFonts w:eastAsia="Calibri"/>
          <w:lang w:val="en-US"/>
        </w:rPr>
      </w:pPr>
      <w:r w:rsidRPr="00920844">
        <w:rPr>
          <w:rFonts w:eastAsia="Calibri"/>
          <w:lang w:val="en-US"/>
        </w:rPr>
        <w:t xml:space="preserve">3.  </w:t>
      </w:r>
      <w:r w:rsidRPr="00920844">
        <w:rPr>
          <w:rFonts w:eastAsia="Calibri"/>
          <w:b/>
          <w:lang w:val="en-US"/>
        </w:rPr>
        <w:t>Digital Transformation</w:t>
      </w:r>
      <w:r w:rsidRPr="00920844">
        <w:rPr>
          <w:rFonts w:eastAsia="Calibri"/>
          <w:lang w:val="en-US"/>
        </w:rPr>
        <w:t xml:space="preserve"> (€0.9 billion): The goal of this program is to upgrade Greece’s public digital services and applications, ensuring that businesses and citizens have access to modern, efficient digital tools. It also seeks to enhance digital connectivity and address the digital skills gap, thereby supporting the broader digital transformation of the country.</w:t>
      </w:r>
    </w:p>
    <w:p w14:paraId="4101F249" w14:textId="77777777" w:rsidR="00A1394D" w:rsidRPr="00920844" w:rsidRDefault="00A1394D" w:rsidP="00920844">
      <w:pPr>
        <w:rPr>
          <w:rFonts w:eastAsia="Calibri"/>
          <w:lang w:val="en-US"/>
        </w:rPr>
      </w:pPr>
      <w:r w:rsidRPr="00920844">
        <w:rPr>
          <w:rFonts w:eastAsia="Calibri"/>
          <w:lang w:val="en-US"/>
        </w:rPr>
        <w:t xml:space="preserve">4. </w:t>
      </w:r>
      <w:r w:rsidRPr="00920844">
        <w:rPr>
          <w:rFonts w:eastAsia="Calibri"/>
          <w:b/>
          <w:lang w:val="en-US"/>
        </w:rPr>
        <w:t>Environment and Climate Change</w:t>
      </w:r>
      <w:r w:rsidRPr="00920844">
        <w:rPr>
          <w:rFonts w:eastAsia="Calibri"/>
          <w:lang w:val="en-US"/>
        </w:rPr>
        <w:t xml:space="preserve"> (€3.6 billion): This program is dedicated to promoting a green economy through investments in clean energy, climate change mitigation and adaptation, and the circular economy. It also focuses on sustainable urban mobility, flood protection, and energy efficiency, aligning with the National Energy and Climate Plan.</w:t>
      </w:r>
    </w:p>
    <w:p w14:paraId="02B8ADFE" w14:textId="77777777" w:rsidR="00A1394D" w:rsidRPr="00920844" w:rsidRDefault="00A1394D" w:rsidP="00920844">
      <w:pPr>
        <w:rPr>
          <w:rFonts w:eastAsia="Calibri"/>
          <w:lang w:val="en-US"/>
        </w:rPr>
      </w:pPr>
      <w:r w:rsidRPr="00920844">
        <w:rPr>
          <w:rFonts w:eastAsia="Calibri"/>
          <w:lang w:val="en-US"/>
        </w:rPr>
        <w:t xml:space="preserve">5. </w:t>
      </w:r>
      <w:r w:rsidRPr="00920844">
        <w:rPr>
          <w:rFonts w:eastAsia="Calibri"/>
          <w:b/>
          <w:lang w:val="en-US"/>
        </w:rPr>
        <w:t>Transport</w:t>
      </w:r>
      <w:r w:rsidRPr="00920844">
        <w:rPr>
          <w:rFonts w:eastAsia="Calibri"/>
          <w:lang w:val="en-US"/>
        </w:rPr>
        <w:t xml:space="preserve"> (€2.2 billion): The transport program aims to develop and upgrade Greece’s transport infrastructure. This includes promoting sustainable urban transportation, enhancing connectivity between islands, and completing key projects within the Trans-European Transport Network (TEN-T). It also emphasizes improving transport safety and efficiency, particularly in major urban centers like Athens and Thessaloniki.</w:t>
      </w:r>
    </w:p>
    <w:p w14:paraId="01F7AA17" w14:textId="77777777" w:rsidR="00A1394D" w:rsidRPr="00920844" w:rsidRDefault="00A1394D" w:rsidP="00920844">
      <w:pPr>
        <w:rPr>
          <w:rFonts w:eastAsia="Calibri"/>
          <w:lang w:val="en-US"/>
        </w:rPr>
      </w:pPr>
      <w:r w:rsidRPr="00920844">
        <w:rPr>
          <w:rFonts w:eastAsia="Calibri"/>
          <w:lang w:val="en-US"/>
        </w:rPr>
        <w:t xml:space="preserve">6.  </w:t>
      </w:r>
      <w:r w:rsidRPr="00920844">
        <w:rPr>
          <w:rFonts w:eastAsia="Calibri"/>
          <w:b/>
          <w:lang w:val="en-US"/>
        </w:rPr>
        <w:t>Civil Protection</w:t>
      </w:r>
      <w:r w:rsidRPr="00920844">
        <w:rPr>
          <w:rFonts w:eastAsia="Calibri"/>
          <w:lang w:val="en-US"/>
        </w:rPr>
        <w:t xml:space="preserve"> (€0.7 billion): This program seeks to establish a modern and effective civil protection mechanism. It focuses on disaster prevention, preparedness, and response, ensuring that Greece can protect its citizens, environment, and infrastructure from natural and technological hazards.</w:t>
      </w:r>
    </w:p>
    <w:p w14:paraId="1544EC68" w14:textId="77777777" w:rsidR="00A1394D" w:rsidRPr="00920844" w:rsidRDefault="00A1394D" w:rsidP="00920844">
      <w:pPr>
        <w:rPr>
          <w:rFonts w:eastAsia="Calibri"/>
          <w:lang w:val="en-US"/>
        </w:rPr>
      </w:pPr>
      <w:r w:rsidRPr="00920844">
        <w:rPr>
          <w:rFonts w:eastAsia="Calibri"/>
          <w:lang w:val="en-US"/>
        </w:rPr>
        <w:t xml:space="preserve">7.  </w:t>
      </w:r>
      <w:r w:rsidRPr="00920844">
        <w:rPr>
          <w:rFonts w:eastAsia="Calibri"/>
          <w:b/>
          <w:lang w:val="en-US"/>
        </w:rPr>
        <w:t>Just Development Transition</w:t>
      </w:r>
      <w:r w:rsidRPr="00920844">
        <w:rPr>
          <w:rFonts w:eastAsia="Calibri"/>
          <w:lang w:val="en-US"/>
        </w:rPr>
        <w:t xml:space="preserve"> (€1.6 billion): This program addresses the economic and social challenges posed by Greece's transition away from lignite production. </w:t>
      </w:r>
    </w:p>
    <w:p w14:paraId="102E172A" w14:textId="77777777" w:rsidR="00A1394D" w:rsidRPr="00920844" w:rsidRDefault="00A1394D" w:rsidP="00920844">
      <w:pPr>
        <w:rPr>
          <w:rFonts w:eastAsia="Calibri"/>
          <w:lang w:val="en-US"/>
        </w:rPr>
      </w:pPr>
      <w:r w:rsidRPr="00920844">
        <w:rPr>
          <w:rFonts w:eastAsia="Calibri"/>
          <w:lang w:val="en-US"/>
        </w:rPr>
        <w:t xml:space="preserve">8. </w:t>
      </w:r>
      <w:r w:rsidRPr="00920844">
        <w:rPr>
          <w:rFonts w:eastAsia="Calibri"/>
          <w:b/>
          <w:lang w:val="en-US"/>
        </w:rPr>
        <w:t>Fisheries, Aquaculture, and the Sea</w:t>
      </w:r>
      <w:r w:rsidRPr="00920844">
        <w:rPr>
          <w:rFonts w:eastAsia="Calibri"/>
          <w:lang w:val="en-US"/>
        </w:rPr>
        <w:t xml:space="preserve"> (€0.5 billion): This program promotes sustainable practices in Greece's fishing and aquaculture sectors, ensuring that these industries can thrive while preserving marine ecosystems.</w:t>
      </w:r>
    </w:p>
    <w:p w14:paraId="533B59C0" w14:textId="77777777" w:rsidR="00A1394D" w:rsidRPr="00920844" w:rsidRDefault="00A1394D" w:rsidP="00920844">
      <w:pPr>
        <w:rPr>
          <w:rFonts w:eastAsia="Calibri"/>
          <w:lang w:val="en-US"/>
        </w:rPr>
      </w:pPr>
      <w:r w:rsidRPr="00920844">
        <w:rPr>
          <w:rFonts w:eastAsia="Calibri"/>
          <w:lang w:val="en-US"/>
        </w:rPr>
        <w:t xml:space="preserve">9.  </w:t>
      </w:r>
      <w:r w:rsidRPr="00920844">
        <w:rPr>
          <w:rFonts w:eastAsia="Calibri"/>
          <w:b/>
          <w:lang w:val="en-US"/>
        </w:rPr>
        <w:t xml:space="preserve">Regional Programs ((€8.1 billion): </w:t>
      </w:r>
      <w:r w:rsidRPr="00920844">
        <w:rPr>
          <w:rFonts w:eastAsia="Calibri"/>
          <w:lang w:val="en-US"/>
        </w:rPr>
        <w:t>There are 13 regional programs that correspond to each administrative region in Greece that address specific regional needs.</w:t>
      </w:r>
    </w:p>
    <w:p w14:paraId="26EF0AF0" w14:textId="77777777" w:rsidR="00A1394D" w:rsidRPr="00920844" w:rsidRDefault="00A1394D" w:rsidP="00920844">
      <w:pPr>
        <w:rPr>
          <w:rFonts w:eastAsia="Calibri"/>
          <w:color w:val="FF0000"/>
          <w:lang w:val="en-US"/>
        </w:rPr>
      </w:pPr>
      <w:r w:rsidRPr="00920844">
        <w:rPr>
          <w:rFonts w:eastAsia="Calibri"/>
          <w:lang w:val="en-US"/>
        </w:rPr>
        <w:t xml:space="preserve">Sustaining high absorption rates for the EU funds is essential for Greece to maintain its strong track record from the previous programming period. The implementation of effective monitoring and management systems, which are periodically refined to meet evolving needs, enables funds to be allocated and spent efficiently, transparently and on schedule. </w:t>
      </w:r>
    </w:p>
    <w:p w14:paraId="3B8367F0" w14:textId="77777777" w:rsidR="00A1394D" w:rsidRPr="00920844" w:rsidRDefault="00A1394D" w:rsidP="00920844">
      <w:pPr>
        <w:rPr>
          <w:rFonts w:eastAsia="Calibri"/>
          <w:b/>
          <w:color w:val="FF0000"/>
          <w:lang w:val="en-US"/>
        </w:rPr>
      </w:pPr>
      <w:r w:rsidRPr="00920844">
        <w:rPr>
          <w:rFonts w:eastAsia="Calibri"/>
          <w:lang w:val="en-US"/>
        </w:rPr>
        <w:lastRenderedPageBreak/>
        <w:t xml:space="preserve">The </w:t>
      </w:r>
      <w:r w:rsidRPr="00920844">
        <w:rPr>
          <w:rFonts w:eastAsia="Calibri"/>
          <w:b/>
          <w:lang w:val="en-US"/>
        </w:rPr>
        <w:t xml:space="preserve">Hellenic Republic Asset Development Fund (HRADF) </w:t>
      </w:r>
      <w:r w:rsidRPr="00920844">
        <w:rPr>
          <w:rFonts w:eastAsia="Calibri"/>
          <w:lang w:val="en-US"/>
        </w:rPr>
        <w:t xml:space="preserve">acts as a strategic partner to the Greek State, its mission including the expedition of strategic projects through the Project Preparation Facility (PPF) and the acceleration of maritime infrastructure investments through its role as a Ports Planning Authority. Looking ahead, HRADF and the Growthfund, which are expected to merge by the end of 2024, plan to finalize contracts and financial closings for key privatization projects, while continuing to develop a pipeline of new projects for tender in the following years, such as the development / exploitation of the Kalamata airport and 22 regional airports, privatization of ports and marinas throughout the country and the renovation of TIF-Helexpo. </w:t>
      </w:r>
    </w:p>
    <w:p w14:paraId="3B37385B" w14:textId="77777777" w:rsidR="00A1394D" w:rsidRPr="00920844" w:rsidRDefault="00A1394D" w:rsidP="00920844">
      <w:pPr>
        <w:rPr>
          <w:rFonts w:eastAsia="Calibri"/>
          <w:lang w:val="en-US"/>
        </w:rPr>
      </w:pPr>
      <w:r w:rsidRPr="00920844">
        <w:rPr>
          <w:rFonts w:eastAsia="Calibri"/>
          <w:lang w:val="en-US"/>
        </w:rPr>
        <w:t xml:space="preserve">The Ministry of National Economy and Finance, in its contribution to the national effort to address the housing crisis, has announced two key measures: a) </w:t>
      </w:r>
      <w:r w:rsidRPr="00920844">
        <w:rPr>
          <w:rFonts w:eastAsia="Calibri"/>
          <w:b/>
          <w:lang w:val="en-US"/>
        </w:rPr>
        <w:t>a</w:t>
      </w:r>
      <w:r w:rsidRPr="00920844">
        <w:rPr>
          <w:rFonts w:eastAsia="Calibri"/>
          <w:lang w:val="en-US"/>
        </w:rPr>
        <w:t xml:space="preserve"> </w:t>
      </w:r>
      <w:r w:rsidRPr="00920844">
        <w:rPr>
          <w:rFonts w:eastAsia="Calibri"/>
          <w:b/>
          <w:lang w:val="en-US"/>
        </w:rPr>
        <w:t xml:space="preserve">pause in the issuing of new licences for short-term rentals in specific areas of central Athens for one year, </w:t>
      </w:r>
      <w:r w:rsidRPr="00920844">
        <w:rPr>
          <w:rFonts w:eastAsia="Calibri"/>
          <w:lang w:val="en-US"/>
        </w:rPr>
        <w:t>with the possibility of extending the duration of the pause</w:t>
      </w:r>
      <w:r w:rsidRPr="00920844">
        <w:rPr>
          <w:rFonts w:eastAsia="Calibri"/>
          <w:b/>
          <w:lang w:val="en-US"/>
        </w:rPr>
        <w:t xml:space="preserve">, and b) a three-year exemption from rental income tax for property owners who either rent out apartments that have been vacant for three years, </w:t>
      </w:r>
      <w:r w:rsidRPr="00920844">
        <w:rPr>
          <w:rFonts w:eastAsia="Calibri"/>
          <w:lang w:val="en-US"/>
        </w:rPr>
        <w:t>or convert short-term leases into long-term agreements. Specifically, owners who make their vacant properties available for rent between September 8, 2024, and December 31, 2025, will qualify for a three-year tax exemption on rental income. This exemption is subject to two conditions: first, and as mentioned above, the property must have remained either vacant or used exclusively for short-term rentals over the past three years; second, the property must not exceed 120 square meters in size. Moreover, the tax relief will apply solely to properties owned by individuals, excluding those owned by businesses. The government anticipates a revenue shortfall of approximately €3 million in 2025 and €13 million annually for 2026-2028 as a result of this measure. Nevertheless, it expects that the tax exemption will incentivize more properties to return to the rental market, addressing the significant number of vacant homes.</w:t>
      </w:r>
    </w:p>
    <w:p w14:paraId="534CB332" w14:textId="64B1AF52" w:rsidR="00987A40" w:rsidRPr="00920844" w:rsidRDefault="00843E46" w:rsidP="00920844">
      <w:pPr>
        <w:pStyle w:val="Heading2"/>
        <w:pBdr>
          <w:bottom w:val="single" w:sz="18" w:space="1" w:color="FF3300"/>
        </w:pBdr>
        <w:spacing w:after="720"/>
        <w:rPr>
          <w:lang w:val="en-US"/>
        </w:rPr>
      </w:pPr>
      <w:bookmarkStart w:id="55" w:name="_Toc177496800"/>
      <w:bookmarkStart w:id="56" w:name="_Toc178070102"/>
      <w:r>
        <w:rPr>
          <w:lang w:val="en-US"/>
        </w:rPr>
        <w:t>M</w:t>
      </w:r>
      <w:r w:rsidR="00856E18" w:rsidRPr="00920844">
        <w:rPr>
          <w:lang w:val="en-US"/>
        </w:rPr>
        <w:t>inistry</w:t>
      </w:r>
      <w:r w:rsidRPr="00920844">
        <w:rPr>
          <w:lang w:val="en-US"/>
        </w:rPr>
        <w:t xml:space="preserve"> of </w:t>
      </w:r>
      <w:r>
        <w:rPr>
          <w:lang w:val="en-US"/>
        </w:rPr>
        <w:t>F</w:t>
      </w:r>
      <w:r w:rsidRPr="00920844">
        <w:rPr>
          <w:lang w:val="en-US"/>
        </w:rPr>
        <w:t xml:space="preserve">oreign </w:t>
      </w:r>
      <w:bookmarkEnd w:id="55"/>
      <w:r>
        <w:rPr>
          <w:lang w:val="en-US"/>
        </w:rPr>
        <w:t>A</w:t>
      </w:r>
      <w:r w:rsidRPr="00920844">
        <w:rPr>
          <w:lang w:val="en-US"/>
        </w:rPr>
        <w:t>ffairs</w:t>
      </w:r>
      <w:bookmarkEnd w:id="56"/>
    </w:p>
    <w:tbl>
      <w:tblPr>
        <w:tblW w:w="906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335"/>
        <w:gridCol w:w="1472"/>
        <w:gridCol w:w="1350"/>
        <w:gridCol w:w="1905"/>
      </w:tblGrid>
      <w:tr w:rsidR="00A1394D" w:rsidRPr="002A3E5B" w14:paraId="3463D19E" w14:textId="77777777" w:rsidTr="002A3E5B">
        <w:trPr>
          <w:trHeight w:val="113"/>
          <w:jc w:val="center"/>
        </w:trPr>
        <w:tc>
          <w:tcPr>
            <w:tcW w:w="4335" w:type="dxa"/>
            <w:shd w:val="clear" w:color="auto" w:fill="CFE2F3"/>
          </w:tcPr>
          <w:p w14:paraId="057B6052" w14:textId="77777777" w:rsidR="00A1394D" w:rsidRPr="002A3E5B" w:rsidRDefault="00A1394D" w:rsidP="002A3E5B">
            <w:pPr>
              <w:pStyle w:val="Tabletext"/>
              <w:rPr>
                <w:rFonts w:eastAsia="Calibri"/>
                <w:b/>
              </w:rPr>
            </w:pPr>
            <w:r w:rsidRPr="002A3E5B">
              <w:rPr>
                <w:rFonts w:eastAsia="Calibri"/>
                <w:b/>
              </w:rPr>
              <w:t>REFORM / INVESTMENT</w:t>
            </w:r>
          </w:p>
        </w:tc>
        <w:tc>
          <w:tcPr>
            <w:tcW w:w="1472" w:type="dxa"/>
            <w:shd w:val="clear" w:color="auto" w:fill="CFE2F3"/>
          </w:tcPr>
          <w:p w14:paraId="692AEA73" w14:textId="77777777" w:rsidR="00A1394D" w:rsidRPr="002A3E5B" w:rsidRDefault="00A1394D" w:rsidP="002A3E5B">
            <w:pPr>
              <w:pStyle w:val="Tabletext"/>
              <w:rPr>
                <w:rFonts w:eastAsia="Calibri"/>
                <w:b/>
              </w:rPr>
            </w:pPr>
            <w:r w:rsidRPr="002A3E5B">
              <w:rPr>
                <w:rFonts w:eastAsia="Calibri"/>
                <w:b/>
              </w:rPr>
              <w:t>RRF / MFF</w:t>
            </w:r>
          </w:p>
        </w:tc>
        <w:tc>
          <w:tcPr>
            <w:tcW w:w="1350" w:type="dxa"/>
            <w:shd w:val="clear" w:color="auto" w:fill="CFE2F3"/>
          </w:tcPr>
          <w:p w14:paraId="2E71349D" w14:textId="77777777" w:rsidR="00A1394D" w:rsidRPr="002A3E5B" w:rsidRDefault="00A1394D" w:rsidP="002A3E5B">
            <w:pPr>
              <w:pStyle w:val="Tabletext"/>
              <w:rPr>
                <w:rFonts w:eastAsia="Calibri"/>
                <w:b/>
              </w:rPr>
            </w:pPr>
            <w:r w:rsidRPr="002A3E5B">
              <w:rPr>
                <w:rFonts w:eastAsia="Calibri"/>
                <w:b/>
              </w:rPr>
              <w:t>CSR</w:t>
            </w:r>
          </w:p>
        </w:tc>
        <w:tc>
          <w:tcPr>
            <w:tcW w:w="1905" w:type="dxa"/>
            <w:shd w:val="clear" w:color="auto" w:fill="CFE2F3"/>
          </w:tcPr>
          <w:p w14:paraId="47FC4805" w14:textId="77777777" w:rsidR="00A1394D" w:rsidRPr="002A3E5B" w:rsidRDefault="00A1394D" w:rsidP="002A3E5B">
            <w:pPr>
              <w:pStyle w:val="Tabletext"/>
              <w:rPr>
                <w:rFonts w:eastAsia="Calibri"/>
                <w:b/>
              </w:rPr>
            </w:pPr>
            <w:r w:rsidRPr="002A3E5B">
              <w:rPr>
                <w:rFonts w:eastAsia="Calibri"/>
                <w:b/>
              </w:rPr>
              <w:t>COMMON PRIORITIES</w:t>
            </w:r>
          </w:p>
        </w:tc>
      </w:tr>
      <w:tr w:rsidR="00A1394D" w:rsidRPr="002A3E5B" w14:paraId="4584BD93" w14:textId="77777777" w:rsidTr="002A3E5B">
        <w:trPr>
          <w:trHeight w:val="113"/>
          <w:jc w:val="center"/>
        </w:trPr>
        <w:tc>
          <w:tcPr>
            <w:tcW w:w="4335" w:type="dxa"/>
            <w:shd w:val="clear" w:color="auto" w:fill="auto"/>
          </w:tcPr>
          <w:p w14:paraId="746D6027" w14:textId="1EFC35BA" w:rsidR="00A1394D" w:rsidRPr="002A3E5B" w:rsidRDefault="00BA03C0" w:rsidP="002A3E5B">
            <w:pPr>
              <w:pStyle w:val="Tabletext"/>
              <w:rPr>
                <w:rFonts w:eastAsia="Calibri"/>
              </w:rPr>
            </w:pPr>
            <w:r w:rsidRPr="00BA03C0">
              <w:rPr>
                <w:rFonts w:eastAsia="Calibri"/>
                <w:b/>
              </w:rPr>
              <w:t>REFORM 1:</w:t>
            </w:r>
            <w:r w:rsidR="00A1394D" w:rsidRPr="002A3E5B">
              <w:rPr>
                <w:rFonts w:eastAsia="Calibri"/>
              </w:rPr>
              <w:t xml:space="preserve"> Digitilization of Economic Diplomacy Network &amp; Exporters Training Program</w:t>
            </w:r>
          </w:p>
        </w:tc>
        <w:tc>
          <w:tcPr>
            <w:tcW w:w="1472" w:type="dxa"/>
            <w:shd w:val="clear" w:color="auto" w:fill="auto"/>
          </w:tcPr>
          <w:p w14:paraId="230EBC7E" w14:textId="77777777" w:rsidR="00A1394D" w:rsidRPr="002A3E5B" w:rsidRDefault="00A1394D" w:rsidP="002A3E5B">
            <w:pPr>
              <w:pStyle w:val="Tabletext"/>
              <w:rPr>
                <w:rFonts w:eastAsia="Calibri"/>
              </w:rPr>
            </w:pPr>
            <w:r w:rsidRPr="002A3E5B">
              <w:rPr>
                <w:rFonts w:eastAsia="Calibri"/>
              </w:rPr>
              <w:t>RRF 16599</w:t>
            </w:r>
          </w:p>
          <w:p w14:paraId="0761FF39" w14:textId="77777777" w:rsidR="00A1394D" w:rsidRPr="002A3E5B" w:rsidRDefault="00A1394D" w:rsidP="002A3E5B">
            <w:pPr>
              <w:pStyle w:val="Tabletext"/>
              <w:rPr>
                <w:rFonts w:eastAsia="Calibri"/>
              </w:rPr>
            </w:pPr>
            <w:r w:rsidRPr="002A3E5B">
              <w:rPr>
                <w:rFonts w:eastAsia="Calibri"/>
              </w:rPr>
              <w:t xml:space="preserve"> </w:t>
            </w:r>
          </w:p>
        </w:tc>
        <w:tc>
          <w:tcPr>
            <w:tcW w:w="1350" w:type="dxa"/>
            <w:shd w:val="clear" w:color="auto" w:fill="auto"/>
          </w:tcPr>
          <w:p w14:paraId="5588F231" w14:textId="77777777" w:rsidR="00A1394D" w:rsidRPr="002A3E5B" w:rsidRDefault="00A1394D" w:rsidP="002A3E5B">
            <w:pPr>
              <w:pStyle w:val="Tabletext"/>
              <w:rPr>
                <w:rFonts w:eastAsia="Calibri"/>
              </w:rPr>
            </w:pPr>
            <w:r w:rsidRPr="002A3E5B">
              <w:rPr>
                <w:rFonts w:eastAsia="Calibri"/>
              </w:rPr>
              <w:t>2024 CSR2.1</w:t>
            </w:r>
          </w:p>
          <w:p w14:paraId="01C01C65" w14:textId="77777777" w:rsidR="00A1394D" w:rsidRPr="002A3E5B" w:rsidRDefault="00A1394D" w:rsidP="002A3E5B">
            <w:pPr>
              <w:pStyle w:val="Tabletext"/>
              <w:rPr>
                <w:rFonts w:eastAsia="Calibri"/>
              </w:rPr>
            </w:pPr>
            <w:r w:rsidRPr="002A3E5B">
              <w:rPr>
                <w:rFonts w:eastAsia="Calibri"/>
              </w:rPr>
              <w:t>2020 CSR3.9</w:t>
            </w:r>
          </w:p>
          <w:p w14:paraId="420DF2F5" w14:textId="77777777" w:rsidR="00A1394D" w:rsidRPr="002A3E5B" w:rsidRDefault="00A1394D" w:rsidP="002A3E5B">
            <w:pPr>
              <w:pStyle w:val="Tabletext"/>
              <w:rPr>
                <w:rFonts w:eastAsia="Calibri"/>
              </w:rPr>
            </w:pPr>
            <w:r w:rsidRPr="002A3E5B">
              <w:rPr>
                <w:rFonts w:eastAsia="Calibri"/>
              </w:rPr>
              <w:t>2019 CSR2.3</w:t>
            </w:r>
          </w:p>
        </w:tc>
        <w:tc>
          <w:tcPr>
            <w:tcW w:w="1905" w:type="dxa"/>
            <w:shd w:val="clear" w:color="auto" w:fill="auto"/>
          </w:tcPr>
          <w:p w14:paraId="2C2E778D" w14:textId="77777777" w:rsidR="00A1394D" w:rsidRPr="002A3E5B" w:rsidRDefault="00A1394D" w:rsidP="002A3E5B">
            <w:pPr>
              <w:pStyle w:val="Tabletext"/>
              <w:rPr>
                <w:rFonts w:eastAsia="Calibri"/>
              </w:rPr>
            </w:pPr>
            <w:r w:rsidRPr="002A3E5B">
              <w:rPr>
                <w:rFonts w:eastAsia="Calibri"/>
              </w:rPr>
              <w:t>Social and Economic resilience</w:t>
            </w:r>
          </w:p>
          <w:p w14:paraId="0DAD1ED6" w14:textId="77777777" w:rsidR="00A1394D" w:rsidRPr="002A3E5B" w:rsidRDefault="00A1394D" w:rsidP="002A3E5B">
            <w:pPr>
              <w:pStyle w:val="Tabletext"/>
              <w:rPr>
                <w:rFonts w:eastAsia="Calibri"/>
              </w:rPr>
            </w:pPr>
          </w:p>
        </w:tc>
      </w:tr>
      <w:tr w:rsidR="00A1394D" w:rsidRPr="002A3E5B" w14:paraId="56A2EE9A" w14:textId="77777777" w:rsidTr="002A3E5B">
        <w:trPr>
          <w:trHeight w:val="113"/>
          <w:jc w:val="center"/>
        </w:trPr>
        <w:tc>
          <w:tcPr>
            <w:tcW w:w="4335" w:type="dxa"/>
            <w:shd w:val="clear" w:color="auto" w:fill="auto"/>
          </w:tcPr>
          <w:p w14:paraId="10699555" w14:textId="0CE7369E" w:rsidR="00A1394D" w:rsidRPr="002A3E5B" w:rsidRDefault="00BA03C0" w:rsidP="002A3E5B">
            <w:pPr>
              <w:pStyle w:val="Tabletext"/>
              <w:rPr>
                <w:rFonts w:eastAsia="Calibri"/>
              </w:rPr>
            </w:pPr>
            <w:r w:rsidRPr="00BA03C0">
              <w:rPr>
                <w:rFonts w:eastAsia="Calibri"/>
                <w:b/>
              </w:rPr>
              <w:t>REFORM 2:</w:t>
            </w:r>
            <w:r w:rsidR="00A1394D" w:rsidRPr="002A3E5B">
              <w:rPr>
                <w:rFonts w:eastAsia="Calibri"/>
              </w:rPr>
              <w:t xml:space="preserve"> The National Strategy for Trade Facilitation</w:t>
            </w:r>
          </w:p>
          <w:p w14:paraId="3D92AB0E" w14:textId="77777777" w:rsidR="00A1394D" w:rsidRPr="002A3E5B" w:rsidRDefault="00A1394D" w:rsidP="002A3E5B">
            <w:pPr>
              <w:pStyle w:val="Tabletext"/>
              <w:rPr>
                <w:rFonts w:eastAsia="Calibri"/>
              </w:rPr>
            </w:pPr>
            <w:r w:rsidRPr="002A3E5B">
              <w:rPr>
                <w:rFonts w:eastAsia="Calibri"/>
              </w:rPr>
              <w:t xml:space="preserve"> </w:t>
            </w:r>
          </w:p>
        </w:tc>
        <w:tc>
          <w:tcPr>
            <w:tcW w:w="1472" w:type="dxa"/>
            <w:shd w:val="clear" w:color="auto" w:fill="auto"/>
          </w:tcPr>
          <w:p w14:paraId="3EB9155F" w14:textId="77777777" w:rsidR="00A1394D" w:rsidRPr="002A3E5B" w:rsidRDefault="00A1394D" w:rsidP="002A3E5B">
            <w:pPr>
              <w:pStyle w:val="Tabletext"/>
              <w:rPr>
                <w:rFonts w:eastAsia="Calibri"/>
              </w:rPr>
            </w:pPr>
            <w:r w:rsidRPr="002A3E5B">
              <w:rPr>
                <w:rFonts w:eastAsia="Calibri"/>
              </w:rPr>
              <w:t>-</w:t>
            </w:r>
          </w:p>
          <w:p w14:paraId="5D75BCD2" w14:textId="77777777" w:rsidR="00A1394D" w:rsidRPr="002A3E5B" w:rsidRDefault="00A1394D" w:rsidP="002A3E5B">
            <w:pPr>
              <w:pStyle w:val="Tabletext"/>
              <w:rPr>
                <w:rFonts w:eastAsia="Calibri"/>
              </w:rPr>
            </w:pPr>
            <w:r w:rsidRPr="002A3E5B">
              <w:rPr>
                <w:rFonts w:eastAsia="Calibri"/>
              </w:rPr>
              <w:t xml:space="preserve"> </w:t>
            </w:r>
          </w:p>
          <w:p w14:paraId="08D99FEE" w14:textId="77777777" w:rsidR="00A1394D" w:rsidRPr="002A3E5B" w:rsidRDefault="00A1394D" w:rsidP="002A3E5B">
            <w:pPr>
              <w:pStyle w:val="Tabletext"/>
              <w:rPr>
                <w:rFonts w:eastAsia="Calibri"/>
              </w:rPr>
            </w:pPr>
            <w:r w:rsidRPr="002A3E5B">
              <w:rPr>
                <w:rFonts w:eastAsia="Calibri"/>
              </w:rPr>
              <w:t xml:space="preserve"> </w:t>
            </w:r>
          </w:p>
        </w:tc>
        <w:tc>
          <w:tcPr>
            <w:tcW w:w="1350" w:type="dxa"/>
            <w:shd w:val="clear" w:color="auto" w:fill="auto"/>
          </w:tcPr>
          <w:p w14:paraId="1FD9268F" w14:textId="77777777" w:rsidR="00A1394D" w:rsidRPr="002A3E5B" w:rsidRDefault="00A1394D" w:rsidP="002A3E5B">
            <w:pPr>
              <w:pStyle w:val="Tabletext"/>
              <w:rPr>
                <w:rFonts w:eastAsia="Calibri"/>
              </w:rPr>
            </w:pPr>
            <w:r w:rsidRPr="002A3E5B">
              <w:rPr>
                <w:rFonts w:eastAsia="Calibri"/>
              </w:rPr>
              <w:t>2024 CSR1.4</w:t>
            </w:r>
          </w:p>
          <w:p w14:paraId="68A8FF28" w14:textId="77777777" w:rsidR="00A1394D" w:rsidRPr="002A3E5B" w:rsidRDefault="00A1394D" w:rsidP="002A3E5B">
            <w:pPr>
              <w:pStyle w:val="Tabletext"/>
              <w:rPr>
                <w:rFonts w:eastAsia="Calibri"/>
              </w:rPr>
            </w:pPr>
            <w:r w:rsidRPr="002A3E5B">
              <w:rPr>
                <w:rFonts w:eastAsia="Calibri"/>
              </w:rPr>
              <w:t>2020 CSR3.3</w:t>
            </w:r>
          </w:p>
          <w:p w14:paraId="36519F1D" w14:textId="77777777" w:rsidR="00A1394D" w:rsidRPr="002A3E5B" w:rsidRDefault="00A1394D" w:rsidP="002A3E5B">
            <w:pPr>
              <w:pStyle w:val="Tabletext"/>
              <w:rPr>
                <w:rFonts w:eastAsia="Calibri"/>
              </w:rPr>
            </w:pPr>
            <w:r w:rsidRPr="002A3E5B">
              <w:rPr>
                <w:rFonts w:eastAsia="Calibri"/>
              </w:rPr>
              <w:t>2020 CSR3.4</w:t>
            </w:r>
          </w:p>
          <w:p w14:paraId="7451DF7E" w14:textId="77777777" w:rsidR="00A1394D" w:rsidRPr="002A3E5B" w:rsidRDefault="00A1394D" w:rsidP="002A3E5B">
            <w:pPr>
              <w:pStyle w:val="Tabletext"/>
              <w:rPr>
                <w:rFonts w:eastAsia="Calibri"/>
              </w:rPr>
            </w:pPr>
            <w:r w:rsidRPr="002A3E5B">
              <w:rPr>
                <w:rFonts w:eastAsia="Calibri"/>
              </w:rPr>
              <w:t>2020 CSR3.9</w:t>
            </w:r>
          </w:p>
          <w:p w14:paraId="03F7DB50" w14:textId="77777777" w:rsidR="00A1394D" w:rsidRPr="002A3E5B" w:rsidRDefault="00A1394D" w:rsidP="002A3E5B">
            <w:pPr>
              <w:pStyle w:val="Tabletext"/>
              <w:rPr>
                <w:rFonts w:eastAsia="Calibri"/>
              </w:rPr>
            </w:pPr>
            <w:r w:rsidRPr="002A3E5B">
              <w:rPr>
                <w:rFonts w:eastAsia="Calibri"/>
              </w:rPr>
              <w:t>2019 CSR2.1</w:t>
            </w:r>
          </w:p>
          <w:p w14:paraId="56A54D53" w14:textId="77777777" w:rsidR="00A1394D" w:rsidRPr="002A3E5B" w:rsidRDefault="00A1394D" w:rsidP="002A3E5B">
            <w:pPr>
              <w:pStyle w:val="Tabletext"/>
              <w:rPr>
                <w:rFonts w:eastAsia="Calibri"/>
              </w:rPr>
            </w:pPr>
            <w:r w:rsidRPr="002A3E5B">
              <w:rPr>
                <w:rFonts w:eastAsia="Calibri"/>
              </w:rPr>
              <w:t>2019 CSR2.3</w:t>
            </w:r>
          </w:p>
        </w:tc>
        <w:tc>
          <w:tcPr>
            <w:tcW w:w="1905" w:type="dxa"/>
            <w:shd w:val="clear" w:color="auto" w:fill="auto"/>
          </w:tcPr>
          <w:p w14:paraId="1E944B03" w14:textId="77777777" w:rsidR="00A1394D" w:rsidRPr="002A3E5B" w:rsidRDefault="00A1394D" w:rsidP="002A3E5B">
            <w:pPr>
              <w:pStyle w:val="Tabletext"/>
              <w:rPr>
                <w:rFonts w:eastAsia="Calibri"/>
              </w:rPr>
            </w:pPr>
            <w:r w:rsidRPr="002A3E5B">
              <w:rPr>
                <w:rFonts w:eastAsia="Calibri"/>
              </w:rPr>
              <w:t>Social and Economic resilience</w:t>
            </w:r>
          </w:p>
          <w:p w14:paraId="3A0E6E1C" w14:textId="77777777" w:rsidR="00A1394D" w:rsidRPr="002A3E5B" w:rsidRDefault="00A1394D" w:rsidP="002A3E5B">
            <w:pPr>
              <w:pStyle w:val="Tabletext"/>
              <w:rPr>
                <w:rFonts w:eastAsia="Calibri"/>
              </w:rPr>
            </w:pPr>
            <w:r w:rsidRPr="002A3E5B">
              <w:rPr>
                <w:rFonts w:eastAsia="Calibri"/>
              </w:rPr>
              <w:t xml:space="preserve"> </w:t>
            </w:r>
          </w:p>
        </w:tc>
      </w:tr>
      <w:tr w:rsidR="00A1394D" w:rsidRPr="002A3E5B" w14:paraId="7CF14288" w14:textId="77777777" w:rsidTr="002A3E5B">
        <w:trPr>
          <w:trHeight w:val="113"/>
          <w:jc w:val="center"/>
        </w:trPr>
        <w:tc>
          <w:tcPr>
            <w:tcW w:w="4335" w:type="dxa"/>
            <w:shd w:val="clear" w:color="auto" w:fill="auto"/>
          </w:tcPr>
          <w:p w14:paraId="43A88042" w14:textId="399797C9" w:rsidR="00A1394D" w:rsidRPr="002A3E5B" w:rsidRDefault="00BA03C0" w:rsidP="002A3E5B">
            <w:pPr>
              <w:pStyle w:val="Tabletext"/>
              <w:rPr>
                <w:rFonts w:eastAsia="Calibri"/>
              </w:rPr>
            </w:pPr>
            <w:r w:rsidRPr="00BA03C0">
              <w:rPr>
                <w:rFonts w:eastAsia="Calibri"/>
                <w:b/>
              </w:rPr>
              <w:t>REFORM 3:</w:t>
            </w:r>
            <w:r w:rsidR="00A1394D" w:rsidRPr="002A3E5B">
              <w:rPr>
                <w:rFonts w:eastAsia="Calibri"/>
              </w:rPr>
              <w:t xml:space="preserve"> The National Strategy for Extroversion</w:t>
            </w:r>
          </w:p>
        </w:tc>
        <w:tc>
          <w:tcPr>
            <w:tcW w:w="1472" w:type="dxa"/>
            <w:shd w:val="clear" w:color="auto" w:fill="auto"/>
          </w:tcPr>
          <w:p w14:paraId="324D368C" w14:textId="77777777" w:rsidR="00A1394D" w:rsidRPr="002A3E5B" w:rsidRDefault="00A1394D" w:rsidP="002A3E5B">
            <w:pPr>
              <w:pStyle w:val="Tabletext"/>
              <w:rPr>
                <w:rFonts w:eastAsia="Calibri"/>
              </w:rPr>
            </w:pPr>
            <w:r w:rsidRPr="002A3E5B">
              <w:rPr>
                <w:rFonts w:eastAsia="Calibri"/>
              </w:rPr>
              <w:t>-</w:t>
            </w:r>
          </w:p>
        </w:tc>
        <w:tc>
          <w:tcPr>
            <w:tcW w:w="1350" w:type="dxa"/>
            <w:shd w:val="clear" w:color="auto" w:fill="auto"/>
          </w:tcPr>
          <w:p w14:paraId="57327924" w14:textId="77777777" w:rsidR="00A1394D" w:rsidRPr="002A3E5B" w:rsidRDefault="00A1394D" w:rsidP="002A3E5B">
            <w:pPr>
              <w:pStyle w:val="Tabletext"/>
              <w:rPr>
                <w:rFonts w:eastAsia="Calibri"/>
              </w:rPr>
            </w:pPr>
            <w:r w:rsidRPr="002A3E5B">
              <w:rPr>
                <w:rFonts w:eastAsia="Calibri"/>
              </w:rPr>
              <w:t>2024 CSR1.4</w:t>
            </w:r>
          </w:p>
          <w:p w14:paraId="465E4394" w14:textId="77777777" w:rsidR="00A1394D" w:rsidRPr="002A3E5B" w:rsidRDefault="00A1394D" w:rsidP="002A3E5B">
            <w:pPr>
              <w:pStyle w:val="Tabletext"/>
              <w:rPr>
                <w:rFonts w:eastAsia="Calibri"/>
              </w:rPr>
            </w:pPr>
            <w:r w:rsidRPr="002A3E5B">
              <w:rPr>
                <w:rFonts w:eastAsia="Calibri"/>
              </w:rPr>
              <w:t>2020 CSR3.3</w:t>
            </w:r>
          </w:p>
        </w:tc>
        <w:tc>
          <w:tcPr>
            <w:tcW w:w="1905" w:type="dxa"/>
            <w:shd w:val="clear" w:color="auto" w:fill="auto"/>
          </w:tcPr>
          <w:p w14:paraId="29535504" w14:textId="77777777" w:rsidR="00A1394D" w:rsidRPr="002A3E5B" w:rsidRDefault="00A1394D" w:rsidP="002A3E5B">
            <w:pPr>
              <w:pStyle w:val="Tabletext"/>
              <w:rPr>
                <w:rFonts w:eastAsia="Calibri"/>
              </w:rPr>
            </w:pPr>
            <w:r w:rsidRPr="002A3E5B">
              <w:rPr>
                <w:rFonts w:eastAsia="Calibri"/>
              </w:rPr>
              <w:t>Social and Economic resilience</w:t>
            </w:r>
          </w:p>
        </w:tc>
      </w:tr>
      <w:tr w:rsidR="00A1394D" w:rsidRPr="002A3E5B" w14:paraId="1D0D658D" w14:textId="77777777" w:rsidTr="002A3E5B">
        <w:trPr>
          <w:trHeight w:val="113"/>
          <w:jc w:val="center"/>
        </w:trPr>
        <w:tc>
          <w:tcPr>
            <w:tcW w:w="4335" w:type="dxa"/>
            <w:shd w:val="clear" w:color="auto" w:fill="auto"/>
          </w:tcPr>
          <w:p w14:paraId="4E925191" w14:textId="2A24676B" w:rsidR="00A1394D" w:rsidRPr="002A3E5B" w:rsidRDefault="00A1394D" w:rsidP="002A3E5B">
            <w:pPr>
              <w:pStyle w:val="Tabletext"/>
              <w:rPr>
                <w:rFonts w:eastAsia="Calibri"/>
              </w:rPr>
            </w:pPr>
            <w:r w:rsidRPr="00996F8A">
              <w:rPr>
                <w:rFonts w:eastAsia="Calibri"/>
                <w:b/>
              </w:rPr>
              <w:t>IΝVESTMENT</w:t>
            </w:r>
            <w:r w:rsidR="00996F8A" w:rsidRPr="00996F8A">
              <w:rPr>
                <w:rFonts w:eastAsia="Calibri"/>
                <w:b/>
              </w:rPr>
              <w:t xml:space="preserve"> </w:t>
            </w:r>
            <w:r w:rsidRPr="00996F8A">
              <w:rPr>
                <w:rFonts w:eastAsia="Calibri"/>
                <w:b/>
              </w:rPr>
              <w:t>1:</w:t>
            </w:r>
            <w:r w:rsidRPr="002A3E5B">
              <w:rPr>
                <w:rFonts w:eastAsia="Calibri"/>
              </w:rPr>
              <w:t xml:space="preserve"> Digital transformation of the Ministry of Foreign Affairs</w:t>
            </w:r>
          </w:p>
          <w:p w14:paraId="5E5012BF" w14:textId="77777777" w:rsidR="00A1394D" w:rsidRPr="002A3E5B" w:rsidRDefault="00A1394D" w:rsidP="002A3E5B">
            <w:pPr>
              <w:pStyle w:val="Tabletext"/>
              <w:rPr>
                <w:rFonts w:eastAsia="Calibri"/>
              </w:rPr>
            </w:pPr>
            <w:r w:rsidRPr="002A3E5B">
              <w:rPr>
                <w:rFonts w:eastAsia="Calibri"/>
              </w:rPr>
              <w:t xml:space="preserve"> </w:t>
            </w:r>
          </w:p>
        </w:tc>
        <w:tc>
          <w:tcPr>
            <w:tcW w:w="1472" w:type="dxa"/>
            <w:shd w:val="clear" w:color="auto" w:fill="auto"/>
          </w:tcPr>
          <w:p w14:paraId="40EC18E1" w14:textId="77777777" w:rsidR="00A1394D" w:rsidRPr="002A3E5B" w:rsidRDefault="00A1394D" w:rsidP="002A3E5B">
            <w:pPr>
              <w:pStyle w:val="Tabletext"/>
              <w:rPr>
                <w:rFonts w:eastAsia="Calibri"/>
              </w:rPr>
            </w:pPr>
            <w:r w:rsidRPr="002A3E5B">
              <w:rPr>
                <w:rFonts w:eastAsia="Calibri"/>
              </w:rPr>
              <w:t>RRF 16742</w:t>
            </w:r>
          </w:p>
          <w:p w14:paraId="3C83545E" w14:textId="77777777" w:rsidR="00A1394D" w:rsidRPr="002A3E5B" w:rsidRDefault="00A1394D" w:rsidP="002A3E5B">
            <w:pPr>
              <w:pStyle w:val="Tabletext"/>
              <w:rPr>
                <w:rFonts w:eastAsia="Calibri"/>
              </w:rPr>
            </w:pPr>
            <w:r w:rsidRPr="002A3E5B">
              <w:rPr>
                <w:rFonts w:eastAsia="Calibri"/>
              </w:rPr>
              <w:t xml:space="preserve"> </w:t>
            </w:r>
          </w:p>
        </w:tc>
        <w:tc>
          <w:tcPr>
            <w:tcW w:w="1350" w:type="dxa"/>
            <w:shd w:val="clear" w:color="auto" w:fill="auto"/>
          </w:tcPr>
          <w:p w14:paraId="154871D1" w14:textId="77777777" w:rsidR="00A1394D" w:rsidRPr="002A3E5B" w:rsidRDefault="00A1394D" w:rsidP="002A3E5B">
            <w:pPr>
              <w:pStyle w:val="Tabletext"/>
              <w:rPr>
                <w:rFonts w:eastAsia="Calibri"/>
              </w:rPr>
            </w:pPr>
            <w:r w:rsidRPr="002A3E5B">
              <w:rPr>
                <w:rFonts w:eastAsia="Calibri"/>
              </w:rPr>
              <w:t>2024 CSR2.1</w:t>
            </w:r>
          </w:p>
          <w:p w14:paraId="17432656" w14:textId="77777777" w:rsidR="00A1394D" w:rsidRPr="002A3E5B" w:rsidRDefault="00A1394D" w:rsidP="002A3E5B">
            <w:pPr>
              <w:pStyle w:val="Tabletext"/>
              <w:rPr>
                <w:rFonts w:eastAsia="Calibri"/>
              </w:rPr>
            </w:pPr>
            <w:r w:rsidRPr="002A3E5B">
              <w:rPr>
                <w:rFonts w:eastAsia="Calibri"/>
              </w:rPr>
              <w:t>2020 CSR3.9</w:t>
            </w:r>
          </w:p>
          <w:p w14:paraId="062268B1" w14:textId="77777777" w:rsidR="00A1394D" w:rsidRPr="002A3E5B" w:rsidRDefault="00A1394D" w:rsidP="002A3E5B">
            <w:pPr>
              <w:pStyle w:val="Tabletext"/>
              <w:rPr>
                <w:rFonts w:eastAsia="Calibri"/>
              </w:rPr>
            </w:pPr>
            <w:r w:rsidRPr="002A3E5B">
              <w:rPr>
                <w:rFonts w:eastAsia="Calibri"/>
              </w:rPr>
              <w:t>2019 CSR2.3</w:t>
            </w:r>
          </w:p>
        </w:tc>
        <w:tc>
          <w:tcPr>
            <w:tcW w:w="1905" w:type="dxa"/>
            <w:shd w:val="clear" w:color="auto" w:fill="auto"/>
          </w:tcPr>
          <w:p w14:paraId="711711A9" w14:textId="77777777" w:rsidR="00A1394D" w:rsidRPr="002A3E5B" w:rsidRDefault="00A1394D" w:rsidP="002A3E5B">
            <w:pPr>
              <w:pStyle w:val="Tabletext"/>
              <w:rPr>
                <w:rFonts w:eastAsia="Calibri"/>
              </w:rPr>
            </w:pPr>
            <w:r w:rsidRPr="002A3E5B">
              <w:rPr>
                <w:rFonts w:eastAsia="Calibri"/>
              </w:rPr>
              <w:t>Fair green &amp; digital transition</w:t>
            </w:r>
          </w:p>
        </w:tc>
      </w:tr>
      <w:tr w:rsidR="00A1394D" w:rsidRPr="002A3E5B" w14:paraId="36A7753E" w14:textId="77777777" w:rsidTr="002A3E5B">
        <w:trPr>
          <w:trHeight w:val="113"/>
          <w:jc w:val="center"/>
        </w:trPr>
        <w:tc>
          <w:tcPr>
            <w:tcW w:w="4335" w:type="dxa"/>
            <w:shd w:val="clear" w:color="auto" w:fill="auto"/>
          </w:tcPr>
          <w:p w14:paraId="25FD8E18" w14:textId="77777777" w:rsidR="00A1394D" w:rsidRPr="002A3E5B" w:rsidRDefault="00A1394D" w:rsidP="002A3E5B">
            <w:pPr>
              <w:pStyle w:val="Tabletext"/>
              <w:rPr>
                <w:rFonts w:eastAsia="Calibri"/>
              </w:rPr>
            </w:pPr>
            <w:r w:rsidRPr="006D3A73">
              <w:rPr>
                <w:rFonts w:eastAsia="Calibri"/>
                <w:b/>
              </w:rPr>
              <w:lastRenderedPageBreak/>
              <w:t>IΝVESTMENT 2:</w:t>
            </w:r>
            <w:r w:rsidRPr="002A3E5B">
              <w:rPr>
                <w:rFonts w:eastAsia="Calibri"/>
              </w:rPr>
              <w:t xml:space="preserve"> Development of large-scale IT systems in accordance with Schengen acquis in the area of border management</w:t>
            </w:r>
          </w:p>
        </w:tc>
        <w:tc>
          <w:tcPr>
            <w:tcW w:w="1472" w:type="dxa"/>
            <w:shd w:val="clear" w:color="auto" w:fill="auto"/>
          </w:tcPr>
          <w:p w14:paraId="0B40E738" w14:textId="77777777" w:rsidR="00A1394D" w:rsidRPr="002A3E5B" w:rsidRDefault="00A1394D" w:rsidP="002A3E5B">
            <w:pPr>
              <w:pStyle w:val="Tabletext"/>
              <w:rPr>
                <w:rFonts w:eastAsia="Calibri"/>
              </w:rPr>
            </w:pPr>
            <w:r w:rsidRPr="002A3E5B">
              <w:rPr>
                <w:rFonts w:eastAsia="Calibri"/>
              </w:rPr>
              <w:t>MFF</w:t>
            </w:r>
          </w:p>
        </w:tc>
        <w:tc>
          <w:tcPr>
            <w:tcW w:w="1350" w:type="dxa"/>
            <w:shd w:val="clear" w:color="auto" w:fill="auto"/>
          </w:tcPr>
          <w:p w14:paraId="53F3012C" w14:textId="77777777" w:rsidR="00A1394D" w:rsidRPr="002A3E5B" w:rsidRDefault="00A1394D" w:rsidP="002A3E5B">
            <w:pPr>
              <w:pStyle w:val="Tabletext"/>
              <w:rPr>
                <w:rFonts w:eastAsia="Calibri"/>
              </w:rPr>
            </w:pPr>
            <w:r w:rsidRPr="002A3E5B">
              <w:rPr>
                <w:rFonts w:eastAsia="Calibri"/>
              </w:rPr>
              <w:t>2020 CSR3.9</w:t>
            </w:r>
          </w:p>
          <w:p w14:paraId="2C80C6CF" w14:textId="77777777" w:rsidR="00A1394D" w:rsidRPr="002A3E5B" w:rsidRDefault="00A1394D" w:rsidP="002A3E5B">
            <w:pPr>
              <w:pStyle w:val="Tabletext"/>
              <w:rPr>
                <w:rFonts w:eastAsia="Calibri"/>
              </w:rPr>
            </w:pPr>
            <w:r w:rsidRPr="002A3E5B">
              <w:rPr>
                <w:rFonts w:eastAsia="Calibri"/>
              </w:rPr>
              <w:t>2019 CSR2.3</w:t>
            </w:r>
          </w:p>
        </w:tc>
        <w:tc>
          <w:tcPr>
            <w:tcW w:w="1905" w:type="dxa"/>
            <w:shd w:val="clear" w:color="auto" w:fill="auto"/>
          </w:tcPr>
          <w:p w14:paraId="6357B429" w14:textId="77777777" w:rsidR="00A1394D" w:rsidRPr="002A3E5B" w:rsidRDefault="00A1394D" w:rsidP="002A3E5B">
            <w:pPr>
              <w:pStyle w:val="Tabletext"/>
              <w:rPr>
                <w:rFonts w:eastAsia="Calibri"/>
              </w:rPr>
            </w:pPr>
            <w:r w:rsidRPr="002A3E5B">
              <w:rPr>
                <w:rFonts w:eastAsia="Calibri"/>
              </w:rPr>
              <w:t>Fair green &amp; digital transition</w:t>
            </w:r>
          </w:p>
        </w:tc>
      </w:tr>
    </w:tbl>
    <w:p w14:paraId="55AB2973" w14:textId="20C534F5" w:rsidR="00987A40" w:rsidRDefault="00987A40" w:rsidP="00A1394D">
      <w:pPr>
        <w:pStyle w:val="Tabletext"/>
        <w:rPr>
          <w:rFonts w:eastAsia="Calibri" w:cs="Calibri"/>
        </w:rPr>
      </w:pPr>
    </w:p>
    <w:p w14:paraId="4C4FB2C9" w14:textId="77777777" w:rsidR="00A1394D" w:rsidRPr="00920844" w:rsidRDefault="00A1394D" w:rsidP="00920844">
      <w:pPr>
        <w:rPr>
          <w:rFonts w:eastAsia="Calibri"/>
          <w:lang w:val="en-US"/>
        </w:rPr>
      </w:pPr>
      <w:r w:rsidRPr="00920844">
        <w:rPr>
          <w:rFonts w:eastAsia="Calibri"/>
          <w:b/>
          <w:lang w:val="en-US"/>
        </w:rPr>
        <w:t>The Digitalization of the Economic Diplomacy Network</w:t>
      </w:r>
      <w:r w:rsidRPr="00920844">
        <w:rPr>
          <w:rFonts w:eastAsia="Calibri"/>
          <w:lang w:val="en-US"/>
        </w:rPr>
        <w:t xml:space="preserve"> RRF reform refers to a set of policy reforms, which aim to enhance extroverted economic activity with top-notch digital tools and enablers to be spilled-over to existing and potential exporters. The primary objective of this project is to offer exporting companies with opportunities and means in the form of digital services for advancing their businesses’ outreach to global markets. This reform will provide businesses with digital tools, such as a single digital gateway for exporters, where multiple services will be provided, “Helpdesk” services for specialized information, guidance, consulting and access to databases on international target markets and export procedures, Ombudsman service to assist exporters in overcoming obstacles during the exports’ process, new digital channels of communication etc. </w:t>
      </w:r>
      <w:r w:rsidRPr="00920844">
        <w:rPr>
          <w:rFonts w:eastAsia="Calibri"/>
          <w:highlight w:val="white"/>
          <w:lang w:val="en-US"/>
        </w:rPr>
        <w:t>The</w:t>
      </w:r>
      <w:r w:rsidRPr="00920844">
        <w:rPr>
          <w:rFonts w:eastAsia="Calibri"/>
          <w:lang w:val="en-US"/>
        </w:rPr>
        <w:t xml:space="preserve"> reform’s content is directly connected with the development of digital technologies and the digitalization of public administration. This significant initiative will boost the competitiveness of exporters. </w:t>
      </w:r>
      <w:r w:rsidRPr="00920844">
        <w:rPr>
          <w:rFonts w:eastAsia="Calibri"/>
          <w:highlight w:val="white"/>
          <w:lang w:val="en-US"/>
        </w:rPr>
        <w:t>Finally,</w:t>
      </w:r>
      <w:r w:rsidRPr="00920844">
        <w:rPr>
          <w:rFonts w:eastAsia="Calibri"/>
          <w:lang w:val="en-US"/>
        </w:rPr>
        <w:t xml:space="preserve"> it is expected to bolster trade and investment activity as the above digital services will foster trade relations and expand private investments, thus contributing to the common priority on economic resilience. The completion of the reform is expected by the end of 2026.</w:t>
      </w:r>
    </w:p>
    <w:p w14:paraId="288AA9B7" w14:textId="77777777" w:rsidR="00A1394D" w:rsidRPr="00920844" w:rsidRDefault="00A1394D" w:rsidP="00920844">
      <w:pPr>
        <w:rPr>
          <w:rFonts w:eastAsia="Calibri"/>
          <w:lang w:val="en-US"/>
        </w:rPr>
      </w:pPr>
      <w:r w:rsidRPr="00920844">
        <w:rPr>
          <w:rFonts w:eastAsia="Calibri"/>
          <w:b/>
          <w:color w:val="212121"/>
          <w:lang w:val="en-US"/>
        </w:rPr>
        <w:t xml:space="preserve">The National Strategy for Trade Facilitation </w:t>
      </w:r>
      <w:r w:rsidRPr="00920844">
        <w:rPr>
          <w:rFonts w:eastAsia="Calibri"/>
          <w:color w:val="212121"/>
          <w:lang w:val="en-US"/>
        </w:rPr>
        <w:t xml:space="preserve">is a reform which aims at fostering trade by streamlining administrative procedures and developing digital tools that </w:t>
      </w:r>
      <w:r w:rsidRPr="00920844">
        <w:rPr>
          <w:rFonts w:eastAsia="Calibri"/>
          <w:lang w:val="en-US"/>
        </w:rPr>
        <w:t>rationalize services through better access for companies operating in Greece to digital services.</w:t>
      </w:r>
      <w:r w:rsidRPr="00920844">
        <w:rPr>
          <w:rFonts w:eastAsia="Calibri"/>
          <w:color w:val="212121"/>
          <w:lang w:val="en-US"/>
        </w:rPr>
        <w:t xml:space="preserve"> </w:t>
      </w:r>
      <w:r w:rsidRPr="00920844">
        <w:rPr>
          <w:rFonts w:eastAsia="Calibri"/>
          <w:lang w:val="en-US"/>
        </w:rPr>
        <w:t>Its implementation includes a series of actions for reviewing and simplifying existing pre-customs and customs procedures, identifying unnecessary administrative burdens and/or costs for companies, allowing for the establishment of a Single and Integrated IT system (Single Window) in line with international best practices. By incorporating digital technologies and services in the endeavor to facilitate trade, this investment-driven reform not only promotes digital transition and the digitalization and effectiveness of public administration in particular, but also enhances growth and promotes productive domestic investments. The relevance of this reform to the common priority on economic resilience is direct. The completion of the reform is expected by the end of 2027.</w:t>
      </w:r>
    </w:p>
    <w:p w14:paraId="6A9DA7CC" w14:textId="77777777" w:rsidR="00A1394D" w:rsidRPr="00920844" w:rsidRDefault="00A1394D" w:rsidP="00920844">
      <w:pPr>
        <w:rPr>
          <w:rFonts w:eastAsia="Calibri"/>
          <w:lang w:val="en-US"/>
        </w:rPr>
      </w:pPr>
      <w:r w:rsidRPr="00920844">
        <w:rPr>
          <w:rFonts w:eastAsia="Calibri"/>
          <w:b/>
          <w:color w:val="212121"/>
          <w:lang w:val="en-US"/>
        </w:rPr>
        <w:t xml:space="preserve">The National Strategy for Extroversion </w:t>
      </w:r>
      <w:r w:rsidRPr="00920844">
        <w:rPr>
          <w:rFonts w:eastAsia="Calibri"/>
          <w:color w:val="212121"/>
          <w:lang w:val="en-US"/>
        </w:rPr>
        <w:t xml:space="preserve">is a reform, designed as a key tool for the MFA in setting tangible and measurable objectives, tailored to the needs of a flexible economic diplomacy policy. Apart from being actively involved in multilateral economic organizations, the venture of implementing an integrated economic diplomacy by the MFA rests on enhancing the economic and commercial position and interests of Greece regionally and internationally, evaluating and reinforcing extroversion structures and attracting foreign investments in targeted sectors of the Greek economy. In the framework of this Strategy, all State and private bodies in Greece collaborate towards the setting of goals, the implementation of actions and the identification of </w:t>
      </w:r>
      <w:r w:rsidRPr="00920844">
        <w:rPr>
          <w:rFonts w:eastAsia="Calibri"/>
          <w:color w:val="212121"/>
          <w:lang w:val="en-US"/>
        </w:rPr>
        <w:lastRenderedPageBreak/>
        <w:t xml:space="preserve">sectors of interest in foreign priority countries. Greece’s Strategy for Extroversion contributes to the steady improvement of external trade balances and composes a powerful tool for promoting productive private and domestic investments, thus strengthening economic recovery, while it supports and sustains the common priority of social and economic resilience. Based on the updated annual timeframe of this strategic tool, its completion is envisaged by the end of every subsequent year, </w:t>
      </w:r>
      <w:r w:rsidRPr="00920844">
        <w:rPr>
          <w:rFonts w:eastAsia="Calibri"/>
          <w:lang w:val="en-US"/>
        </w:rPr>
        <w:t>including 2028.</w:t>
      </w:r>
    </w:p>
    <w:p w14:paraId="3D3B208A" w14:textId="77777777" w:rsidR="00A1394D" w:rsidRPr="00920844" w:rsidRDefault="00A1394D" w:rsidP="00920844">
      <w:pPr>
        <w:rPr>
          <w:rFonts w:eastAsia="Calibri"/>
          <w:lang w:val="en-US"/>
        </w:rPr>
      </w:pPr>
      <w:r w:rsidRPr="00920844">
        <w:rPr>
          <w:rFonts w:eastAsia="Calibri"/>
          <w:b/>
          <w:lang w:val="en-US"/>
        </w:rPr>
        <w:t>The digital transformation of the Ministry of Foreign Affairs</w:t>
      </w:r>
      <w:r w:rsidRPr="00920844">
        <w:rPr>
          <w:rFonts w:eastAsia="Calibri"/>
          <w:lang w:val="en-US"/>
        </w:rPr>
        <w:t xml:space="preserve"> is an RRF investment aiming at the modernization of the MFA through extended digitalization of its operations and IT infrastructures. The main goal of this investment is to elevate the digital profile of the MFA and to render it more accessible, user-friendly and interactive with a wider public. The project includes (a) the digitization of MFA's Strategic and Operational Planning support system and (b) of the entire contents of the Diplomatic and Historical Archives, (c) the creation of a Global Digital Information Center Platform for exercising more efficiently public and economic diplomacy and (d) the upgrade of Crypto IT &amp; Telecom security infrastructure. The incorporation of digital technologies will improve the effectiveness of public administration and its digital transformation. Moreover, this investment will promote MFA’s scope of work and reinforce its global outreach by optimizing the use of its resources such as the direct access to the archival database. Lastly, this state-of-the-art investment fully aligns with the common priority of digital transition. The completion of all four subprojects of this investment is expected by the end of February of 2026.</w:t>
      </w:r>
    </w:p>
    <w:p w14:paraId="205C2966" w14:textId="77777777" w:rsidR="00A1394D" w:rsidRPr="00920844" w:rsidRDefault="00A1394D" w:rsidP="00920844">
      <w:pPr>
        <w:rPr>
          <w:rFonts w:eastAsia="Calibri"/>
          <w:lang w:val="en-US"/>
        </w:rPr>
      </w:pPr>
      <w:r w:rsidRPr="00920844">
        <w:rPr>
          <w:rFonts w:eastAsia="Calibri"/>
          <w:b/>
          <w:lang w:val="en-US"/>
        </w:rPr>
        <w:t>The</w:t>
      </w:r>
      <w:r w:rsidRPr="00920844">
        <w:rPr>
          <w:rFonts w:eastAsia="Calibri"/>
          <w:lang w:val="en-US"/>
        </w:rPr>
        <w:t xml:space="preserve"> </w:t>
      </w:r>
      <w:r w:rsidRPr="00920844">
        <w:rPr>
          <w:rFonts w:eastAsia="Calibri"/>
          <w:b/>
          <w:lang w:val="en-US"/>
        </w:rPr>
        <w:t>development of large-scale IT systems in accordance with Schengen acquis in the area of border management</w:t>
      </w:r>
      <w:r w:rsidRPr="00920844">
        <w:rPr>
          <w:rFonts w:eastAsia="Calibri"/>
          <w:lang w:val="en-US"/>
        </w:rPr>
        <w:t xml:space="preserve"> is an essential investment in facilitating legitimate travel and implementing the new common visa policy. This action contains four integral components, which aim at aligning and upgrading key information systems in order to achieve higher interoperability and security standards. </w:t>
      </w:r>
      <w:r w:rsidRPr="00920844">
        <w:rPr>
          <w:rFonts w:eastAsia="Calibri"/>
          <w:b/>
          <w:lang w:val="en-US"/>
        </w:rPr>
        <w:t>The Entry Exit System (EES)</w:t>
      </w:r>
      <w:r w:rsidRPr="00920844">
        <w:rPr>
          <w:rFonts w:eastAsia="Calibri"/>
          <w:lang w:val="en-US"/>
        </w:rPr>
        <w:t xml:space="preserve"> relates to the implementation of the network infrastructure for connecting the National competent Authorities to National Uniform Interfaces (NUIs) as well as the interoperability of an upgraded</w:t>
      </w:r>
      <w:r w:rsidRPr="00920844">
        <w:rPr>
          <w:rFonts w:eastAsia="Calibri"/>
          <w:b/>
          <w:lang w:val="en-US"/>
        </w:rPr>
        <w:t xml:space="preserve"> national Visa Information System (VIS)</w:t>
      </w:r>
      <w:r w:rsidRPr="00920844">
        <w:rPr>
          <w:rFonts w:eastAsia="Calibri"/>
          <w:lang w:val="en-US"/>
        </w:rPr>
        <w:t xml:space="preserve"> with EES in order to receive automated information on the entry/exit records of third-country nationals, towards digitalizing the Schengen area. Upgrading the national VIS will render it compliant with the new EU VIS and visa Regulations as well as new business processes and features. Furthermore, </w:t>
      </w:r>
      <w:r w:rsidRPr="00920844">
        <w:rPr>
          <w:rFonts w:eastAsia="Calibri"/>
          <w:b/>
          <w:lang w:val="en-US"/>
        </w:rPr>
        <w:t>the European Travel Information and Authorization System (ETIAS)</w:t>
      </w:r>
      <w:r w:rsidRPr="00920844">
        <w:rPr>
          <w:rFonts w:eastAsia="Calibri"/>
          <w:lang w:val="en-US"/>
        </w:rPr>
        <w:t xml:space="preserve"> will be organized as a National ETIAS Unit set-up by MFA, which will also transform the ETIAS national system as a pre-travel authorization system for visa exempt travelers, in accordance with Schengen Area relevant regulation. Finally, </w:t>
      </w:r>
      <w:r w:rsidRPr="00920844">
        <w:rPr>
          <w:rFonts w:eastAsia="Calibri"/>
          <w:b/>
          <w:lang w:val="en-US"/>
        </w:rPr>
        <w:t>the implementation of a state-of-the-art Data Centre</w:t>
      </w:r>
      <w:r w:rsidRPr="00920844">
        <w:rPr>
          <w:rFonts w:eastAsia="Calibri"/>
          <w:lang w:val="en-US"/>
        </w:rPr>
        <w:t xml:space="preserve"> inside the premises of MFA will host the ICT infrastructure of the new and current national Schengen information systems for VIS, ETIAS and interoperability. This quadrate investment scheme promotes directly the use of digital technologies and the digitalization of public administration, expecting to greatly improve MFA’s effectiveness in the EU’s area of </w:t>
      </w:r>
      <w:r w:rsidRPr="00920844">
        <w:rPr>
          <w:rFonts w:eastAsia="Calibri"/>
          <w:lang w:val="en-US"/>
        </w:rPr>
        <w:lastRenderedPageBreak/>
        <w:t>freedom, security and justice. This investment project fully aligns with the common priority of digital transition. The investment is expected to be completed by the end 2027.</w:t>
      </w:r>
    </w:p>
    <w:p w14:paraId="488D681B" w14:textId="77777777" w:rsidR="00A1394D" w:rsidRDefault="00A1394D" w:rsidP="00920844">
      <w:pPr>
        <w:pStyle w:val="Tabletext"/>
        <w:rPr>
          <w:rFonts w:eastAsia="Calibri" w:cs="Calibri"/>
        </w:rPr>
      </w:pPr>
    </w:p>
    <w:p w14:paraId="2AF1264E" w14:textId="35E98173" w:rsidR="00987A40" w:rsidRPr="00B656B8" w:rsidRDefault="00843E46" w:rsidP="00B656B8">
      <w:pPr>
        <w:pStyle w:val="Heading2"/>
        <w:pBdr>
          <w:bottom w:val="single" w:sz="18" w:space="1" w:color="FF3300"/>
        </w:pBdr>
      </w:pPr>
      <w:bookmarkStart w:id="57" w:name="_Toc177496801"/>
      <w:bookmarkStart w:id="58" w:name="_Toc178070103"/>
      <w:r>
        <w:rPr>
          <w:lang w:val="en-US"/>
        </w:rPr>
        <w:t>M</w:t>
      </w:r>
      <w:r w:rsidRPr="00B656B8">
        <w:t xml:space="preserve">inistry of </w:t>
      </w:r>
      <w:r>
        <w:rPr>
          <w:lang w:val="en-US"/>
        </w:rPr>
        <w:t>N</w:t>
      </w:r>
      <w:r w:rsidRPr="00B656B8">
        <w:t xml:space="preserve">ational </w:t>
      </w:r>
      <w:bookmarkEnd w:id="57"/>
      <w:r>
        <w:rPr>
          <w:lang w:val="en-US"/>
        </w:rPr>
        <w:t>D</w:t>
      </w:r>
      <w:r w:rsidRPr="00B656B8">
        <w:t>efence</w:t>
      </w:r>
      <w:bookmarkEnd w:id="58"/>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4328"/>
        <w:gridCol w:w="1332"/>
        <w:gridCol w:w="1552"/>
        <w:gridCol w:w="1860"/>
      </w:tblGrid>
      <w:tr w:rsidR="00815375" w:rsidRPr="002A3E5B" w14:paraId="651723C2" w14:textId="77777777" w:rsidTr="002A3E5B">
        <w:trPr>
          <w:trHeight w:val="113"/>
          <w:jc w:val="center"/>
        </w:trPr>
        <w:tc>
          <w:tcPr>
            <w:tcW w:w="4224" w:type="dxa"/>
            <w:shd w:val="clear" w:color="auto" w:fill="CFE2F3"/>
            <w:tcMar>
              <w:top w:w="0" w:type="dxa"/>
              <w:left w:w="100" w:type="dxa"/>
              <w:bottom w:w="0" w:type="dxa"/>
              <w:right w:w="100" w:type="dxa"/>
            </w:tcMar>
          </w:tcPr>
          <w:p w14:paraId="41B55FC7" w14:textId="77777777" w:rsidR="00815375" w:rsidRPr="002A3E5B" w:rsidRDefault="00815375" w:rsidP="002A3E5B">
            <w:pPr>
              <w:pStyle w:val="Tabletext"/>
              <w:rPr>
                <w:rFonts w:eastAsia="Calibri"/>
                <w:b/>
              </w:rPr>
            </w:pPr>
            <w:r w:rsidRPr="002A3E5B">
              <w:rPr>
                <w:rFonts w:eastAsia="Calibri"/>
                <w:b/>
              </w:rPr>
              <w:t>REFORM / INVESTMENT</w:t>
            </w:r>
          </w:p>
        </w:tc>
        <w:tc>
          <w:tcPr>
            <w:tcW w:w="1300" w:type="dxa"/>
            <w:shd w:val="clear" w:color="auto" w:fill="CFE2F3"/>
            <w:tcMar>
              <w:top w:w="0" w:type="dxa"/>
              <w:left w:w="100" w:type="dxa"/>
              <w:bottom w:w="0" w:type="dxa"/>
              <w:right w:w="100" w:type="dxa"/>
            </w:tcMar>
          </w:tcPr>
          <w:p w14:paraId="66281C19" w14:textId="77777777" w:rsidR="00815375" w:rsidRPr="002A3E5B" w:rsidRDefault="00815375" w:rsidP="002A3E5B">
            <w:pPr>
              <w:pStyle w:val="Tabletext"/>
              <w:rPr>
                <w:rFonts w:eastAsia="Calibri"/>
                <w:b/>
              </w:rPr>
            </w:pPr>
            <w:r w:rsidRPr="002A3E5B">
              <w:rPr>
                <w:rFonts w:eastAsia="Calibri"/>
                <w:b/>
              </w:rPr>
              <w:t xml:space="preserve">RRF / MFF </w:t>
            </w:r>
          </w:p>
        </w:tc>
        <w:tc>
          <w:tcPr>
            <w:tcW w:w="1515" w:type="dxa"/>
            <w:shd w:val="clear" w:color="auto" w:fill="CFE2F3"/>
            <w:tcMar>
              <w:top w:w="0" w:type="dxa"/>
              <w:left w:w="100" w:type="dxa"/>
              <w:bottom w:w="0" w:type="dxa"/>
              <w:right w:w="100" w:type="dxa"/>
            </w:tcMar>
          </w:tcPr>
          <w:p w14:paraId="2BCADDE0" w14:textId="77777777" w:rsidR="00815375" w:rsidRPr="002A3E5B" w:rsidRDefault="00815375" w:rsidP="002A3E5B">
            <w:pPr>
              <w:pStyle w:val="Tabletext"/>
              <w:rPr>
                <w:rFonts w:eastAsia="Calibri"/>
                <w:b/>
              </w:rPr>
            </w:pPr>
            <w:r w:rsidRPr="002A3E5B">
              <w:rPr>
                <w:rFonts w:eastAsia="Calibri"/>
                <w:b/>
              </w:rPr>
              <w:t xml:space="preserve">CSR </w:t>
            </w:r>
          </w:p>
        </w:tc>
        <w:tc>
          <w:tcPr>
            <w:tcW w:w="1815" w:type="dxa"/>
            <w:shd w:val="clear" w:color="auto" w:fill="CFE2F3"/>
            <w:tcMar>
              <w:top w:w="0" w:type="dxa"/>
              <w:left w:w="100" w:type="dxa"/>
              <w:bottom w:w="0" w:type="dxa"/>
              <w:right w:w="100" w:type="dxa"/>
            </w:tcMar>
          </w:tcPr>
          <w:p w14:paraId="20AE9858" w14:textId="77777777" w:rsidR="00815375" w:rsidRPr="002A3E5B" w:rsidRDefault="00815375" w:rsidP="002A3E5B">
            <w:pPr>
              <w:pStyle w:val="Tabletext"/>
              <w:rPr>
                <w:rFonts w:eastAsia="Calibri"/>
                <w:b/>
              </w:rPr>
            </w:pPr>
            <w:r w:rsidRPr="002A3E5B">
              <w:rPr>
                <w:rFonts w:eastAsia="Calibri"/>
                <w:b/>
              </w:rPr>
              <w:t>COMMON PRIORITIES</w:t>
            </w:r>
          </w:p>
        </w:tc>
      </w:tr>
      <w:tr w:rsidR="00815375" w:rsidRPr="002A3E5B" w14:paraId="69BB1828" w14:textId="77777777" w:rsidTr="002A3E5B">
        <w:trPr>
          <w:trHeight w:val="113"/>
          <w:jc w:val="center"/>
        </w:trPr>
        <w:tc>
          <w:tcPr>
            <w:tcW w:w="4224" w:type="dxa"/>
            <w:tcMar>
              <w:top w:w="0" w:type="dxa"/>
              <w:left w:w="100" w:type="dxa"/>
              <w:bottom w:w="0" w:type="dxa"/>
              <w:right w:w="100" w:type="dxa"/>
            </w:tcMar>
          </w:tcPr>
          <w:p w14:paraId="43C3C7BB" w14:textId="106E65EA" w:rsidR="00815375" w:rsidRPr="002A3E5B" w:rsidRDefault="00BA03C0" w:rsidP="002A3E5B">
            <w:pPr>
              <w:pStyle w:val="Tabletext"/>
              <w:rPr>
                <w:rFonts w:eastAsia="Calibri"/>
              </w:rPr>
            </w:pPr>
            <w:r w:rsidRPr="00BA03C0">
              <w:rPr>
                <w:rFonts w:eastAsia="Calibri"/>
                <w:b/>
              </w:rPr>
              <w:t>REFORM 1:</w:t>
            </w:r>
            <w:r w:rsidR="00815375" w:rsidRPr="002A3E5B">
              <w:rPr>
                <w:rFonts w:eastAsia="Calibri"/>
              </w:rPr>
              <w:t xml:space="preserve"> Enhancing Domestic National Defense Industry with the contribution of the Hellenic Centre for Defense Innovation (HCDI) - (ELKAK)</w:t>
            </w:r>
          </w:p>
        </w:tc>
        <w:tc>
          <w:tcPr>
            <w:tcW w:w="1300" w:type="dxa"/>
            <w:tcMar>
              <w:top w:w="0" w:type="dxa"/>
              <w:left w:w="100" w:type="dxa"/>
              <w:bottom w:w="0" w:type="dxa"/>
              <w:right w:w="100" w:type="dxa"/>
            </w:tcMar>
          </w:tcPr>
          <w:p w14:paraId="48D22D3F" w14:textId="77777777" w:rsidR="00815375" w:rsidRPr="002A3E5B" w:rsidRDefault="00815375" w:rsidP="002A3E5B">
            <w:pPr>
              <w:pStyle w:val="Tabletext"/>
              <w:rPr>
                <w:rFonts w:eastAsia="Calibri"/>
              </w:rPr>
            </w:pPr>
            <w:r w:rsidRPr="002A3E5B">
              <w:rPr>
                <w:rFonts w:eastAsia="Calibri"/>
              </w:rPr>
              <w:t>-</w:t>
            </w:r>
          </w:p>
        </w:tc>
        <w:tc>
          <w:tcPr>
            <w:tcW w:w="1515" w:type="dxa"/>
            <w:tcMar>
              <w:top w:w="0" w:type="dxa"/>
              <w:left w:w="100" w:type="dxa"/>
              <w:bottom w:w="0" w:type="dxa"/>
              <w:right w:w="100" w:type="dxa"/>
            </w:tcMar>
          </w:tcPr>
          <w:p w14:paraId="421E9B55" w14:textId="77777777" w:rsidR="00815375" w:rsidRPr="002A3E5B" w:rsidRDefault="00815375" w:rsidP="002A3E5B">
            <w:pPr>
              <w:pStyle w:val="Tabletext"/>
              <w:rPr>
                <w:rFonts w:eastAsia="Calibri"/>
              </w:rPr>
            </w:pPr>
            <w:r w:rsidRPr="002A3E5B">
              <w:rPr>
                <w:rFonts w:eastAsia="Calibri"/>
              </w:rPr>
              <w:t>2020 CSR 3.3</w:t>
            </w:r>
            <w:r w:rsidRPr="002A3E5B">
              <w:rPr>
                <w:rFonts w:eastAsia="Calibri"/>
              </w:rPr>
              <w:br/>
              <w:t>2019 CSR 2.4</w:t>
            </w:r>
          </w:p>
        </w:tc>
        <w:tc>
          <w:tcPr>
            <w:tcW w:w="1815" w:type="dxa"/>
            <w:tcMar>
              <w:top w:w="0" w:type="dxa"/>
              <w:left w:w="100" w:type="dxa"/>
              <w:bottom w:w="0" w:type="dxa"/>
              <w:right w:w="100" w:type="dxa"/>
            </w:tcMar>
          </w:tcPr>
          <w:p w14:paraId="2B39F6BA"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0B1E5A48" w14:textId="77777777" w:rsidTr="002A3E5B">
        <w:trPr>
          <w:trHeight w:val="113"/>
          <w:jc w:val="center"/>
        </w:trPr>
        <w:tc>
          <w:tcPr>
            <w:tcW w:w="4224" w:type="dxa"/>
            <w:tcMar>
              <w:top w:w="0" w:type="dxa"/>
              <w:left w:w="100" w:type="dxa"/>
              <w:bottom w:w="0" w:type="dxa"/>
              <w:right w:w="100" w:type="dxa"/>
            </w:tcMar>
          </w:tcPr>
          <w:p w14:paraId="499AA786" w14:textId="7F3184D5" w:rsidR="00815375" w:rsidRPr="002A3E5B" w:rsidRDefault="00BA03C0" w:rsidP="002A3E5B">
            <w:pPr>
              <w:pStyle w:val="Tabletext"/>
              <w:rPr>
                <w:rFonts w:eastAsia="Calibri"/>
              </w:rPr>
            </w:pPr>
            <w:r w:rsidRPr="00BA03C0">
              <w:rPr>
                <w:rFonts w:eastAsia="Calibri"/>
                <w:b/>
              </w:rPr>
              <w:t>REFORM 2:</w:t>
            </w:r>
            <w:r w:rsidR="00815375" w:rsidRPr="002A3E5B">
              <w:rPr>
                <w:rFonts w:eastAsia="Calibri"/>
              </w:rPr>
              <w:t xml:space="preserve"> Increase training capacity provided to Military Personnel reserve force and conscripts </w:t>
            </w:r>
          </w:p>
        </w:tc>
        <w:tc>
          <w:tcPr>
            <w:tcW w:w="1300" w:type="dxa"/>
            <w:tcMar>
              <w:top w:w="0" w:type="dxa"/>
              <w:left w:w="100" w:type="dxa"/>
              <w:bottom w:w="0" w:type="dxa"/>
              <w:right w:w="100" w:type="dxa"/>
            </w:tcMar>
          </w:tcPr>
          <w:p w14:paraId="4D199639" w14:textId="77777777" w:rsidR="00815375" w:rsidRPr="002A3E5B" w:rsidRDefault="00815375" w:rsidP="002A3E5B">
            <w:pPr>
              <w:pStyle w:val="Tabletext"/>
              <w:rPr>
                <w:rFonts w:eastAsia="Calibri"/>
              </w:rPr>
            </w:pPr>
          </w:p>
        </w:tc>
        <w:tc>
          <w:tcPr>
            <w:tcW w:w="1515" w:type="dxa"/>
            <w:tcMar>
              <w:top w:w="0" w:type="dxa"/>
              <w:left w:w="100" w:type="dxa"/>
              <w:bottom w:w="0" w:type="dxa"/>
              <w:right w:w="100" w:type="dxa"/>
            </w:tcMar>
          </w:tcPr>
          <w:p w14:paraId="69A4DAAD" w14:textId="77777777" w:rsidR="00815375" w:rsidRPr="002A3E5B" w:rsidRDefault="00815375" w:rsidP="002A3E5B">
            <w:pPr>
              <w:pStyle w:val="Tabletext"/>
              <w:rPr>
                <w:rFonts w:eastAsia="Calibri"/>
              </w:rPr>
            </w:pPr>
            <w:r w:rsidRPr="002A3E5B">
              <w:rPr>
                <w:rFonts w:eastAsia="Calibri"/>
              </w:rPr>
              <w:t>2020 CSR 3.8</w:t>
            </w:r>
            <w:r w:rsidRPr="002A3E5B">
              <w:rPr>
                <w:rFonts w:eastAsia="Calibri"/>
              </w:rPr>
              <w:br/>
              <w:t>2019 CSR 2.6</w:t>
            </w:r>
          </w:p>
        </w:tc>
        <w:tc>
          <w:tcPr>
            <w:tcW w:w="1815" w:type="dxa"/>
            <w:tcMar>
              <w:top w:w="0" w:type="dxa"/>
              <w:left w:w="100" w:type="dxa"/>
              <w:bottom w:w="0" w:type="dxa"/>
              <w:right w:w="100" w:type="dxa"/>
            </w:tcMar>
          </w:tcPr>
          <w:p w14:paraId="7466141C"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4EF209F7" w14:textId="77777777" w:rsidTr="002A3E5B">
        <w:trPr>
          <w:trHeight w:val="113"/>
          <w:jc w:val="center"/>
        </w:trPr>
        <w:tc>
          <w:tcPr>
            <w:tcW w:w="4224" w:type="dxa"/>
            <w:tcMar>
              <w:top w:w="0" w:type="dxa"/>
              <w:left w:w="100" w:type="dxa"/>
              <w:bottom w:w="0" w:type="dxa"/>
              <w:right w:w="100" w:type="dxa"/>
            </w:tcMar>
          </w:tcPr>
          <w:p w14:paraId="267A230C" w14:textId="277EE08F" w:rsidR="00815375" w:rsidRPr="002A3E5B" w:rsidRDefault="00BA03C0" w:rsidP="002A3E5B">
            <w:pPr>
              <w:pStyle w:val="Tabletext"/>
              <w:rPr>
                <w:rFonts w:eastAsia="Calibri"/>
              </w:rPr>
            </w:pPr>
            <w:r w:rsidRPr="00BA03C0">
              <w:rPr>
                <w:rFonts w:eastAsia="Calibri"/>
                <w:b/>
              </w:rPr>
              <w:t>REFORM 3:</w:t>
            </w:r>
            <w:r w:rsidR="00815375" w:rsidRPr="002A3E5B">
              <w:rPr>
                <w:rFonts w:eastAsia="Calibri"/>
              </w:rPr>
              <w:t xml:space="preserve"> Adjustment of Civilian Sector's Operational Planning and Emergency Procedures</w:t>
            </w:r>
          </w:p>
        </w:tc>
        <w:tc>
          <w:tcPr>
            <w:tcW w:w="1300" w:type="dxa"/>
            <w:tcMar>
              <w:top w:w="0" w:type="dxa"/>
              <w:left w:w="100" w:type="dxa"/>
              <w:bottom w:w="0" w:type="dxa"/>
              <w:right w:w="100" w:type="dxa"/>
            </w:tcMar>
          </w:tcPr>
          <w:p w14:paraId="369F4140" w14:textId="77777777" w:rsidR="00815375" w:rsidRPr="002A3E5B" w:rsidRDefault="00815375" w:rsidP="002A3E5B">
            <w:pPr>
              <w:pStyle w:val="Tabletext"/>
              <w:rPr>
                <w:rFonts w:eastAsia="Calibri"/>
              </w:rPr>
            </w:pPr>
            <w:r w:rsidRPr="002A3E5B">
              <w:rPr>
                <w:rFonts w:eastAsia="Calibri"/>
              </w:rPr>
              <w:t>-</w:t>
            </w:r>
          </w:p>
        </w:tc>
        <w:tc>
          <w:tcPr>
            <w:tcW w:w="1515" w:type="dxa"/>
            <w:tcMar>
              <w:top w:w="0" w:type="dxa"/>
              <w:left w:w="100" w:type="dxa"/>
              <w:bottom w:w="0" w:type="dxa"/>
              <w:right w:w="100" w:type="dxa"/>
            </w:tcMar>
          </w:tcPr>
          <w:p w14:paraId="16970F71"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3C3817B3"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534796E8" w14:textId="77777777" w:rsidTr="002A3E5B">
        <w:trPr>
          <w:trHeight w:val="113"/>
          <w:jc w:val="center"/>
        </w:trPr>
        <w:tc>
          <w:tcPr>
            <w:tcW w:w="4224" w:type="dxa"/>
            <w:tcMar>
              <w:top w:w="0" w:type="dxa"/>
              <w:left w:w="100" w:type="dxa"/>
              <w:bottom w:w="0" w:type="dxa"/>
              <w:right w:w="100" w:type="dxa"/>
            </w:tcMar>
          </w:tcPr>
          <w:p w14:paraId="36751DB3" w14:textId="59109C00" w:rsidR="00815375" w:rsidRPr="002A3E5B" w:rsidRDefault="00BA03C0" w:rsidP="002A3E5B">
            <w:pPr>
              <w:pStyle w:val="Tabletext"/>
              <w:rPr>
                <w:rFonts w:eastAsia="Calibri"/>
              </w:rPr>
            </w:pPr>
            <w:r w:rsidRPr="00BA03C0">
              <w:rPr>
                <w:rFonts w:eastAsia="Calibri"/>
                <w:b/>
              </w:rPr>
              <w:t>REFORM 4:</w:t>
            </w:r>
            <w:r w:rsidR="00815375" w:rsidRPr="002A3E5B">
              <w:rPr>
                <w:rFonts w:eastAsia="Calibri"/>
              </w:rPr>
              <w:t xml:space="preserve"> International defense and military cooperation through Bilateral Defense Cooperation Agreements and Programs</w:t>
            </w:r>
          </w:p>
        </w:tc>
        <w:tc>
          <w:tcPr>
            <w:tcW w:w="1300" w:type="dxa"/>
            <w:tcMar>
              <w:top w:w="0" w:type="dxa"/>
              <w:left w:w="100" w:type="dxa"/>
              <w:bottom w:w="0" w:type="dxa"/>
              <w:right w:w="100" w:type="dxa"/>
            </w:tcMar>
          </w:tcPr>
          <w:p w14:paraId="4601351E" w14:textId="77777777" w:rsidR="00815375" w:rsidRPr="002A3E5B" w:rsidRDefault="00815375" w:rsidP="002A3E5B">
            <w:pPr>
              <w:pStyle w:val="Tabletext"/>
              <w:rPr>
                <w:rFonts w:eastAsia="Calibri"/>
              </w:rPr>
            </w:pPr>
            <w:r w:rsidRPr="002A3E5B">
              <w:rPr>
                <w:rFonts w:eastAsia="Calibri"/>
              </w:rPr>
              <w:t>-</w:t>
            </w:r>
          </w:p>
        </w:tc>
        <w:tc>
          <w:tcPr>
            <w:tcW w:w="1515" w:type="dxa"/>
            <w:tcMar>
              <w:top w:w="0" w:type="dxa"/>
              <w:left w:w="100" w:type="dxa"/>
              <w:bottom w:w="0" w:type="dxa"/>
              <w:right w:w="100" w:type="dxa"/>
            </w:tcMar>
          </w:tcPr>
          <w:p w14:paraId="375F989D"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696E9B45"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22CDFB11" w14:textId="77777777" w:rsidTr="002A3E5B">
        <w:trPr>
          <w:trHeight w:val="113"/>
          <w:jc w:val="center"/>
        </w:trPr>
        <w:tc>
          <w:tcPr>
            <w:tcW w:w="4224" w:type="dxa"/>
            <w:tcMar>
              <w:top w:w="0" w:type="dxa"/>
              <w:left w:w="100" w:type="dxa"/>
              <w:bottom w:w="0" w:type="dxa"/>
              <w:right w:w="100" w:type="dxa"/>
            </w:tcMar>
          </w:tcPr>
          <w:p w14:paraId="7C75313F" w14:textId="77777777" w:rsidR="00815375" w:rsidRPr="002A3E5B" w:rsidRDefault="00815375" w:rsidP="002A3E5B">
            <w:pPr>
              <w:pStyle w:val="Tabletext"/>
              <w:rPr>
                <w:rFonts w:eastAsia="Calibri"/>
              </w:rPr>
            </w:pPr>
            <w:r w:rsidRPr="00996F8A">
              <w:rPr>
                <w:rFonts w:eastAsia="Calibri"/>
                <w:b/>
              </w:rPr>
              <w:t>IΝVESTMENT 1:</w:t>
            </w:r>
            <w:r w:rsidRPr="002A3E5B">
              <w:rPr>
                <w:rFonts w:eastAsia="Calibri"/>
              </w:rPr>
              <w:t xml:space="preserve"> Implementation of the Medium Term Defense Equipment Plan in terms of upgrading capability, armament and planning</w:t>
            </w:r>
          </w:p>
        </w:tc>
        <w:tc>
          <w:tcPr>
            <w:tcW w:w="1300" w:type="dxa"/>
            <w:tcMar>
              <w:top w:w="0" w:type="dxa"/>
              <w:left w:w="100" w:type="dxa"/>
              <w:bottom w:w="0" w:type="dxa"/>
              <w:right w:w="100" w:type="dxa"/>
            </w:tcMar>
          </w:tcPr>
          <w:p w14:paraId="36EF3E77" w14:textId="77777777" w:rsidR="00815375" w:rsidRPr="002A3E5B" w:rsidRDefault="00815375" w:rsidP="002A3E5B">
            <w:pPr>
              <w:pStyle w:val="Tabletext"/>
              <w:rPr>
                <w:rFonts w:eastAsia="Calibri"/>
              </w:rPr>
            </w:pPr>
            <w:r w:rsidRPr="002A3E5B">
              <w:rPr>
                <w:rFonts w:eastAsia="Calibri"/>
              </w:rPr>
              <w:t>-</w:t>
            </w:r>
          </w:p>
        </w:tc>
        <w:tc>
          <w:tcPr>
            <w:tcW w:w="1515" w:type="dxa"/>
            <w:tcMar>
              <w:top w:w="0" w:type="dxa"/>
              <w:left w:w="100" w:type="dxa"/>
              <w:bottom w:w="0" w:type="dxa"/>
              <w:right w:w="100" w:type="dxa"/>
            </w:tcMar>
          </w:tcPr>
          <w:p w14:paraId="133C2962"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060C5964"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2FB3B5E1" w14:textId="77777777" w:rsidTr="002A3E5B">
        <w:trPr>
          <w:trHeight w:val="113"/>
          <w:jc w:val="center"/>
        </w:trPr>
        <w:tc>
          <w:tcPr>
            <w:tcW w:w="4224" w:type="dxa"/>
            <w:tcMar>
              <w:top w:w="0" w:type="dxa"/>
              <w:left w:w="100" w:type="dxa"/>
              <w:bottom w:w="0" w:type="dxa"/>
              <w:right w:w="100" w:type="dxa"/>
            </w:tcMar>
          </w:tcPr>
          <w:p w14:paraId="53257552" w14:textId="77777777" w:rsidR="00815375" w:rsidRPr="002A3E5B" w:rsidRDefault="00815375" w:rsidP="002A3E5B">
            <w:pPr>
              <w:pStyle w:val="Tabletext"/>
              <w:rPr>
                <w:rFonts w:eastAsia="Calibri"/>
              </w:rPr>
            </w:pPr>
            <w:r w:rsidRPr="00996F8A">
              <w:rPr>
                <w:rFonts w:eastAsia="Calibri"/>
                <w:b/>
              </w:rPr>
              <w:t>IΝVESTMENT 2:</w:t>
            </w:r>
            <w:r w:rsidRPr="002A3E5B">
              <w:rPr>
                <w:rFonts w:eastAsia="Calibri"/>
              </w:rPr>
              <w:t xml:space="preserve"> Provision of all-terrain surveillance vehicles by the Armed Forces to address the needs of border management</w:t>
            </w:r>
          </w:p>
        </w:tc>
        <w:tc>
          <w:tcPr>
            <w:tcW w:w="1300" w:type="dxa"/>
            <w:tcMar>
              <w:top w:w="0" w:type="dxa"/>
              <w:left w:w="100" w:type="dxa"/>
              <w:bottom w:w="0" w:type="dxa"/>
              <w:right w:w="100" w:type="dxa"/>
            </w:tcMar>
          </w:tcPr>
          <w:p w14:paraId="5F12A2D4" w14:textId="77777777" w:rsidR="00815375" w:rsidRPr="002A3E5B" w:rsidRDefault="00815375" w:rsidP="002A3E5B">
            <w:pPr>
              <w:pStyle w:val="Tabletext"/>
              <w:rPr>
                <w:rFonts w:eastAsia="Calibri"/>
              </w:rPr>
            </w:pPr>
            <w:r w:rsidRPr="002A3E5B">
              <w:rPr>
                <w:rFonts w:eastAsia="Calibri"/>
              </w:rPr>
              <w:t>MFF</w:t>
            </w:r>
          </w:p>
        </w:tc>
        <w:tc>
          <w:tcPr>
            <w:tcW w:w="1515" w:type="dxa"/>
            <w:tcMar>
              <w:top w:w="0" w:type="dxa"/>
              <w:left w:w="100" w:type="dxa"/>
              <w:bottom w:w="0" w:type="dxa"/>
              <w:right w:w="100" w:type="dxa"/>
            </w:tcMar>
          </w:tcPr>
          <w:p w14:paraId="68FD8943"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6187BEE8"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65EF9A87" w14:textId="77777777" w:rsidTr="002A3E5B">
        <w:trPr>
          <w:trHeight w:val="113"/>
          <w:jc w:val="center"/>
        </w:trPr>
        <w:tc>
          <w:tcPr>
            <w:tcW w:w="4224" w:type="dxa"/>
            <w:tcMar>
              <w:top w:w="0" w:type="dxa"/>
              <w:left w:w="100" w:type="dxa"/>
              <w:bottom w:w="0" w:type="dxa"/>
              <w:right w:w="100" w:type="dxa"/>
            </w:tcMar>
          </w:tcPr>
          <w:p w14:paraId="1C554C49" w14:textId="77777777" w:rsidR="00815375" w:rsidRPr="002A3E5B" w:rsidRDefault="00815375" w:rsidP="002A3E5B">
            <w:pPr>
              <w:pStyle w:val="Tabletext"/>
              <w:rPr>
                <w:rFonts w:eastAsia="Calibri"/>
              </w:rPr>
            </w:pPr>
            <w:r w:rsidRPr="00996F8A">
              <w:rPr>
                <w:rFonts w:eastAsia="Calibri"/>
                <w:b/>
              </w:rPr>
              <w:t>IΝVESTMENT 3:</w:t>
            </w:r>
            <w:r w:rsidRPr="002A3E5B">
              <w:rPr>
                <w:rFonts w:eastAsia="Calibri"/>
              </w:rPr>
              <w:t xml:space="preserve"> Provision of Maritime Border Surveillance Systems by the Armed Forces</w:t>
            </w:r>
          </w:p>
        </w:tc>
        <w:tc>
          <w:tcPr>
            <w:tcW w:w="1300" w:type="dxa"/>
            <w:tcMar>
              <w:top w:w="0" w:type="dxa"/>
              <w:left w:w="100" w:type="dxa"/>
              <w:bottom w:w="0" w:type="dxa"/>
              <w:right w:w="100" w:type="dxa"/>
            </w:tcMar>
          </w:tcPr>
          <w:p w14:paraId="0F5C544E" w14:textId="77777777" w:rsidR="00815375" w:rsidRPr="002A3E5B" w:rsidRDefault="00815375" w:rsidP="002A3E5B">
            <w:pPr>
              <w:pStyle w:val="Tabletext"/>
              <w:rPr>
                <w:rFonts w:eastAsia="Calibri"/>
              </w:rPr>
            </w:pPr>
            <w:r w:rsidRPr="002A3E5B">
              <w:rPr>
                <w:rFonts w:eastAsia="Calibri"/>
              </w:rPr>
              <w:t>MFF</w:t>
            </w:r>
          </w:p>
        </w:tc>
        <w:tc>
          <w:tcPr>
            <w:tcW w:w="1515" w:type="dxa"/>
            <w:tcMar>
              <w:top w:w="0" w:type="dxa"/>
              <w:left w:w="100" w:type="dxa"/>
              <w:bottom w:w="0" w:type="dxa"/>
              <w:right w:w="100" w:type="dxa"/>
            </w:tcMar>
          </w:tcPr>
          <w:p w14:paraId="641AE842"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774D2775"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5EAD4660" w14:textId="77777777" w:rsidTr="002A3E5B">
        <w:trPr>
          <w:trHeight w:val="113"/>
          <w:jc w:val="center"/>
        </w:trPr>
        <w:tc>
          <w:tcPr>
            <w:tcW w:w="4224" w:type="dxa"/>
            <w:tcMar>
              <w:top w:w="0" w:type="dxa"/>
              <w:left w:w="100" w:type="dxa"/>
              <w:bottom w:w="0" w:type="dxa"/>
              <w:right w:w="100" w:type="dxa"/>
            </w:tcMar>
          </w:tcPr>
          <w:p w14:paraId="340823F5" w14:textId="77777777" w:rsidR="00815375" w:rsidRPr="002A3E5B" w:rsidRDefault="00815375" w:rsidP="002A3E5B">
            <w:pPr>
              <w:pStyle w:val="Tabletext"/>
              <w:rPr>
                <w:rFonts w:eastAsia="Calibri"/>
              </w:rPr>
            </w:pPr>
            <w:r w:rsidRPr="00996F8A">
              <w:rPr>
                <w:rFonts w:eastAsia="Calibri"/>
                <w:b/>
              </w:rPr>
              <w:t>IΝVESTMENT 4:</w:t>
            </w:r>
            <w:r w:rsidRPr="002A3E5B">
              <w:rPr>
                <w:rFonts w:eastAsia="Calibri"/>
              </w:rPr>
              <w:t xml:space="preserve"> Provision of Unmanned Aerial Systems for border surveillance by the Armed Forces</w:t>
            </w:r>
          </w:p>
        </w:tc>
        <w:tc>
          <w:tcPr>
            <w:tcW w:w="1300" w:type="dxa"/>
            <w:tcMar>
              <w:top w:w="0" w:type="dxa"/>
              <w:left w:w="100" w:type="dxa"/>
              <w:bottom w:w="0" w:type="dxa"/>
              <w:right w:w="100" w:type="dxa"/>
            </w:tcMar>
          </w:tcPr>
          <w:p w14:paraId="37582B99" w14:textId="77777777" w:rsidR="00815375" w:rsidRPr="002A3E5B" w:rsidRDefault="00815375" w:rsidP="002A3E5B">
            <w:pPr>
              <w:pStyle w:val="Tabletext"/>
              <w:rPr>
                <w:rFonts w:eastAsia="Calibri"/>
              </w:rPr>
            </w:pPr>
            <w:r w:rsidRPr="002A3E5B">
              <w:rPr>
                <w:rFonts w:eastAsia="Calibri"/>
              </w:rPr>
              <w:t>MFF</w:t>
            </w:r>
          </w:p>
        </w:tc>
        <w:tc>
          <w:tcPr>
            <w:tcW w:w="1515" w:type="dxa"/>
            <w:tcMar>
              <w:top w:w="0" w:type="dxa"/>
              <w:left w:w="100" w:type="dxa"/>
              <w:bottom w:w="0" w:type="dxa"/>
              <w:right w:w="100" w:type="dxa"/>
            </w:tcMar>
          </w:tcPr>
          <w:p w14:paraId="4C8D4BE5"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63A57CB0"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7A77C98F" w14:textId="77777777" w:rsidTr="002A3E5B">
        <w:trPr>
          <w:trHeight w:val="113"/>
          <w:jc w:val="center"/>
        </w:trPr>
        <w:tc>
          <w:tcPr>
            <w:tcW w:w="4224" w:type="dxa"/>
            <w:tcMar>
              <w:top w:w="0" w:type="dxa"/>
              <w:left w:w="100" w:type="dxa"/>
              <w:bottom w:w="0" w:type="dxa"/>
              <w:right w:w="100" w:type="dxa"/>
            </w:tcMar>
          </w:tcPr>
          <w:p w14:paraId="3871B3EE" w14:textId="77777777" w:rsidR="00815375" w:rsidRPr="002A3E5B" w:rsidRDefault="00815375" w:rsidP="002A3E5B">
            <w:pPr>
              <w:pStyle w:val="Tabletext"/>
              <w:rPr>
                <w:rFonts w:eastAsia="Calibri"/>
              </w:rPr>
            </w:pPr>
            <w:r w:rsidRPr="00996F8A">
              <w:rPr>
                <w:rFonts w:eastAsia="Calibri"/>
                <w:b/>
              </w:rPr>
              <w:t>IΝVESTMENT 5:</w:t>
            </w:r>
            <w:r w:rsidRPr="002A3E5B">
              <w:rPr>
                <w:rFonts w:eastAsia="Calibri"/>
              </w:rPr>
              <w:t xml:space="preserve"> Provision of Search and Rescue (SAR) equipment to enhance the effectiveness of search and rescue operations by the Armed Forces</w:t>
            </w:r>
          </w:p>
        </w:tc>
        <w:tc>
          <w:tcPr>
            <w:tcW w:w="1300" w:type="dxa"/>
            <w:tcMar>
              <w:top w:w="0" w:type="dxa"/>
              <w:left w:w="100" w:type="dxa"/>
              <w:bottom w:w="0" w:type="dxa"/>
              <w:right w:w="100" w:type="dxa"/>
            </w:tcMar>
          </w:tcPr>
          <w:p w14:paraId="7D10903E" w14:textId="77777777" w:rsidR="00815375" w:rsidRPr="002A3E5B" w:rsidRDefault="00815375" w:rsidP="002A3E5B">
            <w:pPr>
              <w:pStyle w:val="Tabletext"/>
              <w:rPr>
                <w:rFonts w:eastAsia="Calibri"/>
              </w:rPr>
            </w:pPr>
            <w:r w:rsidRPr="002A3E5B">
              <w:rPr>
                <w:rFonts w:eastAsia="Calibri"/>
              </w:rPr>
              <w:t>MFF</w:t>
            </w:r>
          </w:p>
        </w:tc>
        <w:tc>
          <w:tcPr>
            <w:tcW w:w="1515" w:type="dxa"/>
            <w:tcMar>
              <w:top w:w="0" w:type="dxa"/>
              <w:left w:w="100" w:type="dxa"/>
              <w:bottom w:w="0" w:type="dxa"/>
              <w:right w:w="100" w:type="dxa"/>
            </w:tcMar>
          </w:tcPr>
          <w:p w14:paraId="7F7A921B"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1C44121E" w14:textId="77777777" w:rsidR="00815375" w:rsidRPr="002A3E5B" w:rsidRDefault="00815375" w:rsidP="002A3E5B">
            <w:pPr>
              <w:pStyle w:val="Tabletext"/>
              <w:rPr>
                <w:rFonts w:eastAsia="Calibri"/>
              </w:rPr>
            </w:pPr>
            <w:r w:rsidRPr="002A3E5B">
              <w:rPr>
                <w:rFonts w:eastAsia="Calibri"/>
              </w:rPr>
              <w:t>Defense Capabilities</w:t>
            </w:r>
          </w:p>
        </w:tc>
      </w:tr>
      <w:tr w:rsidR="00815375" w:rsidRPr="002A3E5B" w14:paraId="62B279D1" w14:textId="77777777" w:rsidTr="002A3E5B">
        <w:trPr>
          <w:trHeight w:val="113"/>
          <w:jc w:val="center"/>
        </w:trPr>
        <w:tc>
          <w:tcPr>
            <w:tcW w:w="4224" w:type="dxa"/>
            <w:tcMar>
              <w:top w:w="0" w:type="dxa"/>
              <w:left w:w="100" w:type="dxa"/>
              <w:bottom w:w="0" w:type="dxa"/>
              <w:right w:w="100" w:type="dxa"/>
            </w:tcMar>
          </w:tcPr>
          <w:p w14:paraId="607C69C9" w14:textId="77777777" w:rsidR="00815375" w:rsidRPr="002A3E5B" w:rsidRDefault="00815375" w:rsidP="002A3E5B">
            <w:pPr>
              <w:pStyle w:val="Tabletext"/>
              <w:rPr>
                <w:rFonts w:eastAsia="Calibri"/>
              </w:rPr>
            </w:pPr>
            <w:r w:rsidRPr="00996F8A">
              <w:rPr>
                <w:rFonts w:eastAsia="Calibri"/>
                <w:b/>
              </w:rPr>
              <w:t>IΝVESTMENT 6:</w:t>
            </w:r>
            <w:r w:rsidRPr="002A3E5B">
              <w:rPr>
                <w:rFonts w:eastAsia="Calibri"/>
              </w:rPr>
              <w:t xml:space="preserve"> Construction of a new Operational Center for the Cybersecurity Division of the Armed Forces</w:t>
            </w:r>
          </w:p>
        </w:tc>
        <w:tc>
          <w:tcPr>
            <w:tcW w:w="1300" w:type="dxa"/>
            <w:tcMar>
              <w:top w:w="0" w:type="dxa"/>
              <w:left w:w="100" w:type="dxa"/>
              <w:bottom w:w="0" w:type="dxa"/>
              <w:right w:w="100" w:type="dxa"/>
            </w:tcMar>
          </w:tcPr>
          <w:p w14:paraId="1FF32128" w14:textId="77777777" w:rsidR="00815375" w:rsidRPr="002A3E5B" w:rsidRDefault="00815375" w:rsidP="002A3E5B">
            <w:pPr>
              <w:pStyle w:val="Tabletext"/>
              <w:rPr>
                <w:rFonts w:eastAsia="Calibri"/>
              </w:rPr>
            </w:pPr>
            <w:r w:rsidRPr="002A3E5B">
              <w:rPr>
                <w:rFonts w:eastAsia="Calibri"/>
              </w:rPr>
              <w:t>-</w:t>
            </w:r>
          </w:p>
        </w:tc>
        <w:tc>
          <w:tcPr>
            <w:tcW w:w="1515" w:type="dxa"/>
            <w:tcMar>
              <w:top w:w="0" w:type="dxa"/>
              <w:left w:w="100" w:type="dxa"/>
              <w:bottom w:w="0" w:type="dxa"/>
              <w:right w:w="100" w:type="dxa"/>
            </w:tcMar>
          </w:tcPr>
          <w:p w14:paraId="4D4BCCE7" w14:textId="77777777" w:rsidR="00815375" w:rsidRPr="002A3E5B" w:rsidRDefault="00815375" w:rsidP="002A3E5B">
            <w:pPr>
              <w:pStyle w:val="Tabletext"/>
              <w:rPr>
                <w:rFonts w:eastAsia="Calibri"/>
              </w:rPr>
            </w:pPr>
            <w:r w:rsidRPr="002A3E5B">
              <w:rPr>
                <w:rFonts w:eastAsia="Calibri"/>
              </w:rPr>
              <w:t>-</w:t>
            </w:r>
          </w:p>
        </w:tc>
        <w:tc>
          <w:tcPr>
            <w:tcW w:w="1815" w:type="dxa"/>
            <w:tcMar>
              <w:top w:w="0" w:type="dxa"/>
              <w:left w:w="100" w:type="dxa"/>
              <w:bottom w:w="0" w:type="dxa"/>
              <w:right w:w="100" w:type="dxa"/>
            </w:tcMar>
          </w:tcPr>
          <w:p w14:paraId="70009DCB" w14:textId="77777777" w:rsidR="00815375" w:rsidRPr="002A3E5B" w:rsidRDefault="00815375" w:rsidP="002A3E5B">
            <w:pPr>
              <w:pStyle w:val="Tabletext"/>
              <w:rPr>
                <w:rFonts w:eastAsia="Calibri"/>
              </w:rPr>
            </w:pPr>
            <w:r w:rsidRPr="002A3E5B">
              <w:rPr>
                <w:rFonts w:eastAsia="Calibri"/>
              </w:rPr>
              <w:t>Defense Capabilities</w:t>
            </w:r>
          </w:p>
        </w:tc>
      </w:tr>
    </w:tbl>
    <w:p w14:paraId="5269B047" w14:textId="0AACEAAD" w:rsidR="00A14481" w:rsidRDefault="00A14481" w:rsidP="00DC712B">
      <w:pPr>
        <w:rPr>
          <w:rFonts w:eastAsia="Calibri"/>
          <w:lang w:val="en-US"/>
        </w:rPr>
      </w:pPr>
    </w:p>
    <w:p w14:paraId="6ACC4FCF" w14:textId="77777777" w:rsidR="00873D51" w:rsidRPr="00920844" w:rsidRDefault="00873D51">
      <w:pPr>
        <w:rPr>
          <w:rFonts w:eastAsia="Calibri"/>
          <w:lang w:val="en-US"/>
        </w:rPr>
      </w:pPr>
      <w:r w:rsidRPr="00920844">
        <w:rPr>
          <w:rFonts w:eastAsia="Calibri"/>
          <w:lang w:val="en-US"/>
        </w:rPr>
        <w:t>Greece has introduced a fundamental reform by enhancing the Domestic</w:t>
      </w:r>
      <w:r w:rsidRPr="00920844">
        <w:rPr>
          <w:rFonts w:eastAsia="Calibri"/>
          <w:b/>
          <w:lang w:val="en-US"/>
        </w:rPr>
        <w:t xml:space="preserve"> National Defense Industry with the contribution of the Hellenic Centre for Defense Innovation (HCDI) - (ELKAK)</w:t>
      </w:r>
      <w:r w:rsidRPr="00920844">
        <w:rPr>
          <w:rFonts w:eastAsia="Calibri"/>
          <w:lang w:val="en-US"/>
        </w:rPr>
        <w:t xml:space="preserve">. The ultimate goal of the reform is the implementation of selected actions geared towards systematically strengthening and promoting the National Defense Industrial Base, while creating a domestic defense innovation system, with the support of the Hellenic Center for Defense Innovation  (HCDI) – (ELKAK). This effective policy implementation is expected to significantly contribute to enhancing the country's defense capabilities, by enhancing self-sufficiency in defense armaments. Through the enactment of Law 5110/2024, the "Hellenic Center for Defense Innovation" was established as a public limited company, with the purpose of </w:t>
      </w:r>
      <w:r w:rsidRPr="00920844">
        <w:rPr>
          <w:rFonts w:eastAsia="Calibri"/>
          <w:lang w:val="en-US"/>
        </w:rPr>
        <w:lastRenderedPageBreak/>
        <w:t>implementing initiatives in an effort to build a domestic defense industrial ecosystem, through the active involvement of the private sector that will develop innovative products and applications in the field of defense and security. As part of the reform, a revision plan for the National Defense Industrial Strategy will be drafted, which is expected to define the general principles and directions towards establishing and maintaining a domestic defense technological industrial base, including measures contributing to promote research and development as well as private investments, in the critical strategic sectors of defense and security. Additionally, a high-profile international defense exhibition DEFEA, is organized under the auspices of the Hellenic Ministry of National Defense, with the cooperation of the SEKPY - Hellenic Manufacturers of Defense Material Association with the goal of showcasing the domestic defense industry. The DEFEA International Defense Industry Exhibition will take place in May 2025.</w:t>
      </w:r>
    </w:p>
    <w:p w14:paraId="3B1EB0AF" w14:textId="77777777" w:rsidR="00873D51" w:rsidRPr="00920844" w:rsidRDefault="00873D51">
      <w:pPr>
        <w:rPr>
          <w:rFonts w:eastAsia="Calibri"/>
          <w:lang w:val="en-US"/>
        </w:rPr>
      </w:pPr>
      <w:r w:rsidRPr="00920844">
        <w:rPr>
          <w:rFonts w:eastAsia="Calibri"/>
          <w:lang w:val="en-US"/>
        </w:rPr>
        <w:t>Added to the aforementioned reform, the enhancement</w:t>
      </w:r>
      <w:r w:rsidRPr="00920844">
        <w:rPr>
          <w:rFonts w:eastAsia="Calibri"/>
          <w:b/>
          <w:lang w:val="en-US"/>
        </w:rPr>
        <w:t xml:space="preserve"> of military training</w:t>
      </w:r>
      <w:r w:rsidRPr="00920844">
        <w:rPr>
          <w:rFonts w:eastAsia="Calibri"/>
          <w:lang w:val="en-US"/>
        </w:rPr>
        <w:t xml:space="preserve"> reform represents an investment in human capital, which contributes to Greece’s efforts to build defense capacity. In this context, a continuous training program for reservists is being organized to increase the operational readiness of the Armed Forces units. Simultaneously, an innovative project is underway to provide training and certification in digital and other skills using Information and Communication Technologies (ICT) for conscripts. </w:t>
      </w:r>
    </w:p>
    <w:p w14:paraId="236D066A" w14:textId="77777777" w:rsidR="00873D51" w:rsidRPr="00920844" w:rsidRDefault="00873D51">
      <w:pPr>
        <w:rPr>
          <w:rFonts w:eastAsia="Calibri"/>
          <w:lang w:val="en-US"/>
        </w:rPr>
      </w:pPr>
      <w:r w:rsidRPr="00920844">
        <w:rPr>
          <w:rFonts w:eastAsia="Calibri"/>
          <w:lang w:val="en-US"/>
        </w:rPr>
        <w:t xml:space="preserve">Likewise the Ministry of Defense has introduced a significant reform that covers the </w:t>
      </w:r>
      <w:r w:rsidRPr="00920844">
        <w:rPr>
          <w:rFonts w:eastAsia="Calibri"/>
          <w:b/>
          <w:lang w:val="en-US"/>
        </w:rPr>
        <w:t>adjustment of Civilian Sector's Operational Planning and Emergency Procedures in the changing geopolitical environment</w:t>
      </w:r>
      <w:r w:rsidRPr="00920844">
        <w:rPr>
          <w:rFonts w:eastAsia="Calibri"/>
          <w:lang w:val="en-US"/>
        </w:rPr>
        <w:t xml:space="preserve">, while enhancing the country’s defensive response capability against potential asymmetric threats and various types of hostile actions. The reform includes prevention and control strategies, including crisis and emergency management. In this context, the reform also includes the revision and update of the Emergency Operations Plans across all administrative structures in the public sector, as well as the review of the relative legislative framework. </w:t>
      </w:r>
    </w:p>
    <w:p w14:paraId="289BC602" w14:textId="77777777" w:rsidR="00873D51" w:rsidRPr="00920844" w:rsidRDefault="00873D51">
      <w:pPr>
        <w:rPr>
          <w:rFonts w:eastAsia="Calibri"/>
          <w:lang w:val="en-US"/>
        </w:rPr>
      </w:pPr>
      <w:r w:rsidRPr="00920844">
        <w:rPr>
          <w:rFonts w:eastAsia="Calibri"/>
          <w:lang w:val="en-US"/>
        </w:rPr>
        <w:t xml:space="preserve">Moreover, Greece aims to elevate its defense capabilities through military alliances and partnerships and respectively through </w:t>
      </w:r>
      <w:r w:rsidRPr="00920844">
        <w:rPr>
          <w:rFonts w:eastAsia="Calibri"/>
          <w:b/>
          <w:lang w:val="en-US"/>
        </w:rPr>
        <w:t>Bilateral Defense Cooperation Agreements and Programs.</w:t>
      </w:r>
      <w:r w:rsidRPr="00920844">
        <w:rPr>
          <w:rFonts w:eastAsia="Calibri"/>
          <w:lang w:val="en-US"/>
        </w:rPr>
        <w:t xml:space="preserve"> The reform represents an ongoing initiative, coordinated by the Ministry of National Defense and the Hellenic National Defense General Staff that involves negotiating and signing Bilateral and Trilateral Military Cooperation Agreements (contracting process), as well as the implementation of Military Cooperation Programs. The abovementioned initiative, as regards the defense cooperation programs, enhances Military Cooperation and the role of Greece as pillar of stability and security, while improving the operational readiness, interoperability and resilience The abovementioned continuous action, is carried out annually, with an increasingly broad number of new partnerships.</w:t>
      </w:r>
    </w:p>
    <w:p w14:paraId="7B0808B9" w14:textId="77777777" w:rsidR="00873D51" w:rsidRPr="00920844" w:rsidRDefault="00873D51">
      <w:pPr>
        <w:rPr>
          <w:rFonts w:eastAsia="Calibri"/>
          <w:lang w:val="en-US"/>
        </w:rPr>
      </w:pPr>
      <w:r w:rsidRPr="00920844">
        <w:rPr>
          <w:rFonts w:eastAsia="Calibri"/>
          <w:lang w:val="en-US"/>
        </w:rPr>
        <w:lastRenderedPageBreak/>
        <w:t xml:space="preserve">Furthermore, the implementation of the </w:t>
      </w:r>
      <w:r w:rsidRPr="00920844">
        <w:rPr>
          <w:rFonts w:eastAsia="Calibri"/>
          <w:b/>
          <w:lang w:val="en-US"/>
        </w:rPr>
        <w:t>Medium Term Defense Equipment Plan</w:t>
      </w:r>
      <w:r w:rsidRPr="00920844">
        <w:rPr>
          <w:rFonts w:eastAsia="Calibri"/>
          <w:lang w:val="en-US"/>
        </w:rPr>
        <w:t xml:space="preserve">, in terms of upgrading capability, armament and planning targets at ensuring, maintaining, and gradually enhancing the defense capacity and readiness of the Armed Forces. The implementation of the country's medium-term Armament Program focuses on acquiring Defense Systems that will upgrade Greece's defense capabilities both at sea and in the air. The initiative includes the acquisition of new vessels covering the needs of the Hellenic Navy, while the Hellenic Air Force is expected to be significantly reinforced by the completion of the program to acquire new aircrafts, as well as the partial upgrade of the existing air fleet. </w:t>
      </w:r>
    </w:p>
    <w:p w14:paraId="7E43A4C7" w14:textId="77777777" w:rsidR="00873D51" w:rsidRPr="00920844" w:rsidRDefault="00873D51">
      <w:pPr>
        <w:rPr>
          <w:rFonts w:eastAsia="Calibri"/>
          <w:lang w:val="en-US"/>
        </w:rPr>
      </w:pPr>
      <w:r w:rsidRPr="00920844">
        <w:rPr>
          <w:rFonts w:eastAsia="Calibri"/>
          <w:lang w:val="en-US"/>
        </w:rPr>
        <w:t xml:space="preserve">In order to enhance maritime borders and land border security along with the country's defensive capabilities, major innovative projects regarding the supply of </w:t>
      </w:r>
      <w:r w:rsidRPr="00920844">
        <w:rPr>
          <w:rFonts w:eastAsia="Calibri"/>
          <w:b/>
          <w:lang w:val="en-US"/>
        </w:rPr>
        <w:t>all-terrain surveillance vehicles,</w:t>
      </w:r>
      <w:r w:rsidRPr="00920844">
        <w:rPr>
          <w:rFonts w:eastAsia="Calibri"/>
          <w:lang w:val="en-US"/>
        </w:rPr>
        <w:t xml:space="preserve"> </w:t>
      </w:r>
      <w:r w:rsidRPr="00920844">
        <w:rPr>
          <w:rFonts w:eastAsia="Calibri"/>
          <w:b/>
          <w:lang w:val="en-US"/>
        </w:rPr>
        <w:t>Search and Rescue (SAR) equipment, Maritime Border Surveillance Systems</w:t>
      </w:r>
      <w:r w:rsidRPr="00920844">
        <w:rPr>
          <w:rFonts w:eastAsia="Calibri"/>
          <w:lang w:val="en-US"/>
        </w:rPr>
        <w:t xml:space="preserve"> and </w:t>
      </w:r>
      <w:r w:rsidRPr="00920844">
        <w:rPr>
          <w:rFonts w:eastAsia="Calibri"/>
          <w:b/>
          <w:lang w:val="en-US"/>
        </w:rPr>
        <w:t>Unmanned Aerial Systems for border surveillance,</w:t>
      </w:r>
      <w:r w:rsidRPr="00920844">
        <w:rPr>
          <w:rFonts w:eastAsia="Calibri"/>
          <w:lang w:val="en-US"/>
        </w:rPr>
        <w:t xml:space="preserve"> are being planned by the armed forces. The acquisition and development of these specific assets is expected to address immediate and urgent needs related to border surveillance and the effective management of migratory flows. </w:t>
      </w:r>
    </w:p>
    <w:p w14:paraId="04156500" w14:textId="77777777" w:rsidR="00873D51" w:rsidRPr="00920844" w:rsidRDefault="00873D51">
      <w:pPr>
        <w:rPr>
          <w:rFonts w:eastAsia="Calibri"/>
          <w:lang w:val="en-US"/>
        </w:rPr>
      </w:pPr>
      <w:r w:rsidRPr="00920844">
        <w:rPr>
          <w:rFonts w:eastAsia="Calibri"/>
          <w:lang w:val="en-US"/>
        </w:rPr>
        <w:t xml:space="preserve">Finally, in an effort to expand the Hellenic Ministry of National Defense's (HMoD) capabilities in the field of cybersecurity, the establishment of a new </w:t>
      </w:r>
      <w:r w:rsidRPr="00920844">
        <w:rPr>
          <w:rFonts w:eastAsia="Calibri"/>
          <w:b/>
          <w:lang w:val="en-US"/>
        </w:rPr>
        <w:t>security operations center, tailored to meet the needs of the Cybersecurity Division</w:t>
      </w:r>
      <w:r w:rsidRPr="00920844">
        <w:rPr>
          <w:rFonts w:eastAsia="Calibri"/>
          <w:lang w:val="en-US"/>
        </w:rPr>
        <w:t xml:space="preserve"> of the Armed Forces, is in a construction planning process. The center will be primarily entrusted with the task of coordination, for the purpose of preventing cyber threats and will also incorporate departments for artificial intelligence (AI) and data analytics (Big Data). </w:t>
      </w:r>
    </w:p>
    <w:p w14:paraId="26B3A04D" w14:textId="54197F51" w:rsidR="00A1394D" w:rsidRDefault="00A1394D" w:rsidP="00DC712B">
      <w:pPr>
        <w:rPr>
          <w:rFonts w:eastAsia="Calibri"/>
          <w:lang w:val="en-US"/>
        </w:rPr>
      </w:pPr>
    </w:p>
    <w:p w14:paraId="62238A6A" w14:textId="33B6DE33" w:rsidR="00987A40" w:rsidRPr="00B656B8" w:rsidRDefault="00E84931" w:rsidP="00B656B8">
      <w:pPr>
        <w:pStyle w:val="Heading2"/>
        <w:pBdr>
          <w:bottom w:val="single" w:sz="18" w:space="1" w:color="FF3300"/>
        </w:pBdr>
      </w:pPr>
      <w:bookmarkStart w:id="59" w:name="_Toc177496802"/>
      <w:bookmarkStart w:id="60" w:name="_Toc178070104"/>
      <w:r>
        <w:rPr>
          <w:lang w:val="en-US"/>
        </w:rPr>
        <w:t>M</w:t>
      </w:r>
      <w:r w:rsidRPr="00B656B8">
        <w:t xml:space="preserve">inistry of </w:t>
      </w:r>
      <w:bookmarkEnd w:id="59"/>
      <w:r>
        <w:rPr>
          <w:lang w:val="en-US"/>
        </w:rPr>
        <w:t>I</w:t>
      </w:r>
      <w:r w:rsidRPr="00B656B8">
        <w:t>nterior</w:t>
      </w:r>
      <w:bookmarkEnd w:id="60"/>
    </w:p>
    <w:p w14:paraId="318149BE" w14:textId="43D06A78" w:rsidR="00987A40" w:rsidRDefault="00987A40" w:rsidP="00987A40">
      <w:pPr>
        <w:rPr>
          <w:rFonts w:ascii="Calibri" w:eastAsia="Calibri" w:hAnsi="Calibri" w:cs="Calibri"/>
          <w:sz w:val="24"/>
          <w:szCs w:val="24"/>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989"/>
        <w:gridCol w:w="1988"/>
        <w:gridCol w:w="2137"/>
        <w:gridCol w:w="1958"/>
      </w:tblGrid>
      <w:tr w:rsidR="00873D51" w:rsidRPr="002A3E5B" w14:paraId="6B95556B" w14:textId="77777777" w:rsidTr="002A3E5B">
        <w:trPr>
          <w:trHeight w:val="113"/>
          <w:jc w:val="center"/>
        </w:trPr>
        <w:tc>
          <w:tcPr>
            <w:tcW w:w="3000" w:type="dxa"/>
            <w:shd w:val="clear" w:color="auto" w:fill="CFE2F3"/>
            <w:tcMar>
              <w:top w:w="0" w:type="dxa"/>
              <w:left w:w="40" w:type="dxa"/>
              <w:bottom w:w="0" w:type="dxa"/>
              <w:right w:w="40" w:type="dxa"/>
            </w:tcMar>
          </w:tcPr>
          <w:p w14:paraId="0726FA1F" w14:textId="77777777" w:rsidR="00873D51" w:rsidRPr="002A3E5B" w:rsidRDefault="00873D51" w:rsidP="002A3E5B">
            <w:pPr>
              <w:pStyle w:val="Tabletext"/>
              <w:rPr>
                <w:rFonts w:eastAsia="Calibri"/>
                <w:b/>
              </w:rPr>
            </w:pPr>
            <w:r w:rsidRPr="002A3E5B">
              <w:rPr>
                <w:rFonts w:eastAsia="Calibri"/>
                <w:b/>
              </w:rPr>
              <w:t>REFORM / INVESTMENT</w:t>
            </w:r>
          </w:p>
        </w:tc>
        <w:tc>
          <w:tcPr>
            <w:tcW w:w="1995" w:type="dxa"/>
            <w:shd w:val="clear" w:color="auto" w:fill="CFE2F3"/>
            <w:tcMar>
              <w:top w:w="0" w:type="dxa"/>
              <w:left w:w="40" w:type="dxa"/>
              <w:bottom w:w="0" w:type="dxa"/>
              <w:right w:w="40" w:type="dxa"/>
            </w:tcMar>
          </w:tcPr>
          <w:p w14:paraId="7D561D8C" w14:textId="77777777" w:rsidR="00873D51" w:rsidRPr="002A3E5B" w:rsidRDefault="00873D51" w:rsidP="002A3E5B">
            <w:pPr>
              <w:pStyle w:val="Tabletext"/>
              <w:rPr>
                <w:rFonts w:eastAsia="Calibri"/>
                <w:b/>
              </w:rPr>
            </w:pPr>
            <w:r w:rsidRPr="002A3E5B">
              <w:rPr>
                <w:rFonts w:eastAsia="Calibri"/>
                <w:b/>
              </w:rPr>
              <w:t>RRF / MFF</w:t>
            </w:r>
          </w:p>
        </w:tc>
        <w:tc>
          <w:tcPr>
            <w:tcW w:w="2145" w:type="dxa"/>
            <w:shd w:val="clear" w:color="auto" w:fill="CFE2F3"/>
            <w:tcMar>
              <w:top w:w="0" w:type="dxa"/>
              <w:left w:w="40" w:type="dxa"/>
              <w:bottom w:w="0" w:type="dxa"/>
              <w:right w:w="40" w:type="dxa"/>
            </w:tcMar>
          </w:tcPr>
          <w:p w14:paraId="6BB87D17" w14:textId="77777777" w:rsidR="00873D51" w:rsidRPr="002A3E5B" w:rsidRDefault="00873D51" w:rsidP="002A3E5B">
            <w:pPr>
              <w:pStyle w:val="Tabletext"/>
              <w:rPr>
                <w:rFonts w:eastAsia="Calibri"/>
                <w:b/>
              </w:rPr>
            </w:pPr>
            <w:r w:rsidRPr="002A3E5B">
              <w:rPr>
                <w:rFonts w:eastAsia="Calibri"/>
                <w:b/>
              </w:rPr>
              <w:t>CSR</w:t>
            </w:r>
          </w:p>
        </w:tc>
        <w:tc>
          <w:tcPr>
            <w:tcW w:w="1965" w:type="dxa"/>
            <w:shd w:val="clear" w:color="auto" w:fill="CFE2F3"/>
            <w:tcMar>
              <w:top w:w="0" w:type="dxa"/>
              <w:left w:w="40" w:type="dxa"/>
              <w:bottom w:w="0" w:type="dxa"/>
              <w:right w:w="40" w:type="dxa"/>
            </w:tcMar>
          </w:tcPr>
          <w:p w14:paraId="1FA3D7AA" w14:textId="77777777" w:rsidR="00873D51" w:rsidRPr="002A3E5B" w:rsidRDefault="00873D51" w:rsidP="002A3E5B">
            <w:pPr>
              <w:pStyle w:val="Tabletext"/>
              <w:rPr>
                <w:rFonts w:eastAsia="Calibri"/>
                <w:b/>
              </w:rPr>
            </w:pPr>
            <w:r w:rsidRPr="002A3E5B">
              <w:rPr>
                <w:rFonts w:eastAsia="Calibri"/>
                <w:b/>
              </w:rPr>
              <w:t>COMMON PRIORITIES</w:t>
            </w:r>
          </w:p>
        </w:tc>
      </w:tr>
      <w:tr w:rsidR="00873D51" w:rsidRPr="002A3E5B" w14:paraId="7AC9A006" w14:textId="77777777" w:rsidTr="002A3E5B">
        <w:trPr>
          <w:trHeight w:val="113"/>
          <w:jc w:val="center"/>
        </w:trPr>
        <w:tc>
          <w:tcPr>
            <w:tcW w:w="3000" w:type="dxa"/>
            <w:tcMar>
              <w:top w:w="0" w:type="dxa"/>
              <w:left w:w="40" w:type="dxa"/>
              <w:bottom w:w="0" w:type="dxa"/>
              <w:right w:w="40" w:type="dxa"/>
            </w:tcMar>
          </w:tcPr>
          <w:p w14:paraId="5AFAE0B5" w14:textId="560659C0" w:rsidR="00873D51" w:rsidRPr="002A3E5B" w:rsidRDefault="00BA03C0" w:rsidP="002A3E5B">
            <w:pPr>
              <w:pStyle w:val="Tabletext"/>
              <w:rPr>
                <w:rFonts w:eastAsia="Calibri"/>
              </w:rPr>
            </w:pPr>
            <w:r w:rsidRPr="00BA03C0">
              <w:rPr>
                <w:rFonts w:eastAsia="Calibri"/>
                <w:b/>
              </w:rPr>
              <w:t>REFORM 1:</w:t>
            </w:r>
            <w:r w:rsidR="00873D51" w:rsidRPr="002A3E5B">
              <w:rPr>
                <w:rFonts w:eastAsia="Calibri"/>
              </w:rPr>
              <w:t xml:space="preserve"> The implementation of the National Multilevel Governance System</w:t>
            </w:r>
          </w:p>
        </w:tc>
        <w:tc>
          <w:tcPr>
            <w:tcW w:w="1995" w:type="dxa"/>
            <w:tcMar>
              <w:top w:w="0" w:type="dxa"/>
              <w:left w:w="40" w:type="dxa"/>
              <w:bottom w:w="0" w:type="dxa"/>
              <w:right w:w="40" w:type="dxa"/>
            </w:tcMar>
          </w:tcPr>
          <w:p w14:paraId="658B5CE3" w14:textId="77777777" w:rsidR="00873D51" w:rsidRPr="002A3E5B" w:rsidRDefault="00873D51" w:rsidP="002A3E5B">
            <w:pPr>
              <w:pStyle w:val="Tabletext"/>
              <w:rPr>
                <w:rFonts w:eastAsia="Calibri"/>
              </w:rPr>
            </w:pPr>
            <w:r w:rsidRPr="002A3E5B">
              <w:rPr>
                <w:rFonts w:eastAsia="Calibri"/>
              </w:rPr>
              <w:t>RRF 16972</w:t>
            </w:r>
          </w:p>
        </w:tc>
        <w:tc>
          <w:tcPr>
            <w:tcW w:w="2145" w:type="dxa"/>
            <w:tcMar>
              <w:top w:w="0" w:type="dxa"/>
              <w:left w:w="40" w:type="dxa"/>
              <w:bottom w:w="0" w:type="dxa"/>
              <w:right w:w="40" w:type="dxa"/>
            </w:tcMar>
          </w:tcPr>
          <w:p w14:paraId="2E776834" w14:textId="77777777" w:rsidR="00873D51" w:rsidRPr="002A3E5B" w:rsidRDefault="00873D51" w:rsidP="002A3E5B">
            <w:pPr>
              <w:pStyle w:val="Tabletext"/>
              <w:rPr>
                <w:rFonts w:eastAsia="Calibri"/>
              </w:rPr>
            </w:pPr>
            <w:r w:rsidRPr="002A3E5B">
              <w:rPr>
                <w:rFonts w:eastAsia="Calibri"/>
              </w:rPr>
              <w:t>2024.CSR1.3</w:t>
            </w:r>
          </w:p>
          <w:p w14:paraId="35E55068" w14:textId="77777777" w:rsidR="00873D51" w:rsidRPr="002A3E5B" w:rsidRDefault="00873D51" w:rsidP="002A3E5B">
            <w:pPr>
              <w:pStyle w:val="Tabletext"/>
              <w:rPr>
                <w:rFonts w:eastAsia="Calibri"/>
              </w:rPr>
            </w:pPr>
            <w:r w:rsidRPr="002A3E5B">
              <w:rPr>
                <w:rFonts w:eastAsia="Calibri"/>
              </w:rPr>
              <w:t>2023.CSR1.9 2022.CSR1.6</w:t>
            </w:r>
          </w:p>
        </w:tc>
        <w:tc>
          <w:tcPr>
            <w:tcW w:w="1965" w:type="dxa"/>
            <w:tcMar>
              <w:top w:w="0" w:type="dxa"/>
              <w:left w:w="40" w:type="dxa"/>
              <w:bottom w:w="0" w:type="dxa"/>
              <w:right w:w="40" w:type="dxa"/>
            </w:tcMar>
          </w:tcPr>
          <w:p w14:paraId="394A847E" w14:textId="77777777" w:rsidR="00873D51" w:rsidRPr="002A3E5B" w:rsidRDefault="00873D51" w:rsidP="002A3E5B">
            <w:pPr>
              <w:pStyle w:val="Tabletext"/>
              <w:rPr>
                <w:rFonts w:eastAsia="Calibri"/>
              </w:rPr>
            </w:pPr>
            <w:r w:rsidRPr="002A3E5B">
              <w:rPr>
                <w:rFonts w:eastAsia="Calibri"/>
              </w:rPr>
              <w:t>Social and Economic resilience</w:t>
            </w:r>
          </w:p>
        </w:tc>
      </w:tr>
      <w:tr w:rsidR="00873D51" w:rsidRPr="002A3E5B" w14:paraId="6D2B4D30" w14:textId="77777777" w:rsidTr="002A3E5B">
        <w:trPr>
          <w:trHeight w:val="113"/>
          <w:jc w:val="center"/>
        </w:trPr>
        <w:tc>
          <w:tcPr>
            <w:tcW w:w="3000" w:type="dxa"/>
            <w:tcMar>
              <w:top w:w="0" w:type="dxa"/>
              <w:left w:w="40" w:type="dxa"/>
              <w:bottom w:w="0" w:type="dxa"/>
              <w:right w:w="40" w:type="dxa"/>
            </w:tcMar>
          </w:tcPr>
          <w:p w14:paraId="240D069C" w14:textId="0D26EED4" w:rsidR="00873D51" w:rsidRPr="002A3E5B" w:rsidRDefault="00BA03C0" w:rsidP="002A3E5B">
            <w:pPr>
              <w:pStyle w:val="Tabletext"/>
              <w:rPr>
                <w:rFonts w:eastAsia="Calibri"/>
              </w:rPr>
            </w:pPr>
            <w:r w:rsidRPr="00BA03C0">
              <w:rPr>
                <w:rFonts w:eastAsia="Calibri"/>
                <w:b/>
              </w:rPr>
              <w:t>REFORM 2:</w:t>
            </w:r>
            <w:r w:rsidR="00873D51" w:rsidRPr="002A3E5B">
              <w:rPr>
                <w:rFonts w:eastAsia="Calibri"/>
              </w:rPr>
              <w:t xml:space="preserve"> New Incentive and Reward System in the Public Sector</w:t>
            </w:r>
          </w:p>
        </w:tc>
        <w:tc>
          <w:tcPr>
            <w:tcW w:w="1995" w:type="dxa"/>
            <w:tcMar>
              <w:top w:w="0" w:type="dxa"/>
              <w:left w:w="40" w:type="dxa"/>
              <w:bottom w:w="0" w:type="dxa"/>
              <w:right w:w="40" w:type="dxa"/>
            </w:tcMar>
          </w:tcPr>
          <w:p w14:paraId="22C34F0A" w14:textId="77777777" w:rsidR="00873D51" w:rsidRPr="002A3E5B" w:rsidRDefault="00873D51" w:rsidP="002A3E5B">
            <w:pPr>
              <w:pStyle w:val="Tabletext"/>
              <w:rPr>
                <w:rFonts w:eastAsia="Calibri"/>
              </w:rPr>
            </w:pPr>
            <w:r w:rsidRPr="002A3E5B">
              <w:rPr>
                <w:rFonts w:eastAsia="Calibri"/>
              </w:rPr>
              <w:t>RRF 16972</w:t>
            </w:r>
          </w:p>
        </w:tc>
        <w:tc>
          <w:tcPr>
            <w:tcW w:w="2145" w:type="dxa"/>
            <w:tcMar>
              <w:top w:w="0" w:type="dxa"/>
              <w:left w:w="40" w:type="dxa"/>
              <w:bottom w:w="0" w:type="dxa"/>
              <w:right w:w="40" w:type="dxa"/>
            </w:tcMar>
          </w:tcPr>
          <w:p w14:paraId="39BBE73C" w14:textId="77777777" w:rsidR="00873D51" w:rsidRPr="002A3E5B" w:rsidRDefault="00873D51" w:rsidP="002A3E5B">
            <w:pPr>
              <w:pStyle w:val="Tabletext"/>
              <w:rPr>
                <w:rFonts w:eastAsia="Calibri"/>
              </w:rPr>
            </w:pPr>
            <w:r w:rsidRPr="002A3E5B">
              <w:rPr>
                <w:rFonts w:eastAsia="Calibri"/>
              </w:rPr>
              <w:t>2024.CSR1.3 2023.CSR1.9</w:t>
            </w:r>
          </w:p>
          <w:p w14:paraId="78A2AFE7" w14:textId="77777777" w:rsidR="00873D51" w:rsidRPr="002A3E5B" w:rsidRDefault="00873D51" w:rsidP="002A3E5B">
            <w:pPr>
              <w:pStyle w:val="Tabletext"/>
              <w:rPr>
                <w:rFonts w:eastAsia="Calibri"/>
              </w:rPr>
            </w:pPr>
            <w:r w:rsidRPr="002A3E5B">
              <w:rPr>
                <w:rFonts w:eastAsia="Calibri"/>
              </w:rPr>
              <w:t>2022.CSR1.6</w:t>
            </w:r>
          </w:p>
        </w:tc>
        <w:tc>
          <w:tcPr>
            <w:tcW w:w="1965" w:type="dxa"/>
            <w:tcMar>
              <w:top w:w="0" w:type="dxa"/>
              <w:left w:w="40" w:type="dxa"/>
              <w:bottom w:w="0" w:type="dxa"/>
              <w:right w:w="40" w:type="dxa"/>
            </w:tcMar>
          </w:tcPr>
          <w:p w14:paraId="14431939" w14:textId="77777777" w:rsidR="00873D51" w:rsidRPr="002A3E5B" w:rsidRDefault="00873D51" w:rsidP="002A3E5B">
            <w:pPr>
              <w:pStyle w:val="Tabletext"/>
              <w:rPr>
                <w:rFonts w:eastAsia="Calibri"/>
              </w:rPr>
            </w:pPr>
            <w:r w:rsidRPr="002A3E5B">
              <w:rPr>
                <w:rFonts w:eastAsia="Calibri"/>
              </w:rPr>
              <w:t>Social and Economic resilience</w:t>
            </w:r>
          </w:p>
        </w:tc>
      </w:tr>
      <w:tr w:rsidR="00873D51" w:rsidRPr="002A3E5B" w14:paraId="4AD4FA37" w14:textId="77777777" w:rsidTr="002A3E5B">
        <w:trPr>
          <w:trHeight w:val="113"/>
          <w:jc w:val="center"/>
        </w:trPr>
        <w:tc>
          <w:tcPr>
            <w:tcW w:w="3000" w:type="dxa"/>
            <w:tcMar>
              <w:top w:w="0" w:type="dxa"/>
              <w:left w:w="40" w:type="dxa"/>
              <w:bottom w:w="0" w:type="dxa"/>
              <w:right w:w="40" w:type="dxa"/>
            </w:tcMar>
          </w:tcPr>
          <w:p w14:paraId="313D0E18" w14:textId="593E180A" w:rsidR="00873D51" w:rsidRPr="002A3E5B" w:rsidRDefault="00BA03C0" w:rsidP="002A3E5B">
            <w:pPr>
              <w:pStyle w:val="Tabletext"/>
              <w:rPr>
                <w:rFonts w:eastAsia="Calibri"/>
              </w:rPr>
            </w:pPr>
            <w:r w:rsidRPr="00BA03C0">
              <w:rPr>
                <w:rFonts w:eastAsia="Calibri"/>
                <w:b/>
              </w:rPr>
              <w:t>REFORM 3:</w:t>
            </w:r>
            <w:r w:rsidR="00873D51" w:rsidRPr="002A3E5B">
              <w:rPr>
                <w:rFonts w:eastAsia="Calibri"/>
              </w:rPr>
              <w:t xml:space="preserve"> National Policy on Administrative Procedures.</w:t>
            </w:r>
          </w:p>
        </w:tc>
        <w:tc>
          <w:tcPr>
            <w:tcW w:w="1995" w:type="dxa"/>
            <w:tcMar>
              <w:top w:w="0" w:type="dxa"/>
              <w:left w:w="40" w:type="dxa"/>
              <w:bottom w:w="0" w:type="dxa"/>
              <w:right w:w="40" w:type="dxa"/>
            </w:tcMar>
          </w:tcPr>
          <w:p w14:paraId="0E5278AD" w14:textId="77777777" w:rsidR="00873D51" w:rsidRPr="002A3E5B" w:rsidRDefault="00873D51" w:rsidP="002A3E5B">
            <w:pPr>
              <w:pStyle w:val="Tabletext"/>
              <w:rPr>
                <w:rFonts w:eastAsia="Calibri"/>
              </w:rPr>
            </w:pPr>
            <w:r w:rsidRPr="002A3E5B">
              <w:rPr>
                <w:rFonts w:eastAsia="Calibri"/>
              </w:rPr>
              <w:t>RRF 16929</w:t>
            </w:r>
          </w:p>
        </w:tc>
        <w:tc>
          <w:tcPr>
            <w:tcW w:w="2145" w:type="dxa"/>
            <w:tcMar>
              <w:top w:w="0" w:type="dxa"/>
              <w:left w:w="40" w:type="dxa"/>
              <w:bottom w:w="0" w:type="dxa"/>
              <w:right w:w="40" w:type="dxa"/>
            </w:tcMar>
          </w:tcPr>
          <w:p w14:paraId="0CEC430B" w14:textId="77777777" w:rsidR="00873D51" w:rsidRPr="002A3E5B" w:rsidRDefault="00873D51" w:rsidP="002A3E5B">
            <w:pPr>
              <w:pStyle w:val="Tabletext"/>
              <w:rPr>
                <w:rFonts w:eastAsia="Calibri"/>
              </w:rPr>
            </w:pPr>
            <w:r w:rsidRPr="002A3E5B">
              <w:rPr>
                <w:rFonts w:eastAsia="Calibri"/>
              </w:rPr>
              <w:t>2020 CSR 3.9</w:t>
            </w:r>
          </w:p>
          <w:p w14:paraId="5ED4A754" w14:textId="77777777" w:rsidR="00873D51" w:rsidRPr="002A3E5B" w:rsidRDefault="00873D51" w:rsidP="002A3E5B">
            <w:pPr>
              <w:pStyle w:val="Tabletext"/>
              <w:rPr>
                <w:rFonts w:eastAsia="Calibri"/>
              </w:rPr>
            </w:pPr>
            <w:r w:rsidRPr="002A3E5B">
              <w:rPr>
                <w:rFonts w:eastAsia="Calibri"/>
              </w:rPr>
              <w:t>2019 CSR 2.3</w:t>
            </w:r>
          </w:p>
        </w:tc>
        <w:tc>
          <w:tcPr>
            <w:tcW w:w="1965" w:type="dxa"/>
            <w:tcMar>
              <w:top w:w="0" w:type="dxa"/>
              <w:left w:w="40" w:type="dxa"/>
              <w:bottom w:w="0" w:type="dxa"/>
              <w:right w:w="40" w:type="dxa"/>
            </w:tcMar>
          </w:tcPr>
          <w:p w14:paraId="1F243369" w14:textId="77777777" w:rsidR="00873D51" w:rsidRPr="002A3E5B" w:rsidRDefault="00873D51" w:rsidP="002A3E5B">
            <w:pPr>
              <w:pStyle w:val="Tabletext"/>
              <w:rPr>
                <w:rFonts w:eastAsia="Calibri"/>
              </w:rPr>
            </w:pPr>
            <w:r w:rsidRPr="002A3E5B">
              <w:rPr>
                <w:rFonts w:eastAsia="Calibri"/>
              </w:rPr>
              <w:t>Social and Economic resilience</w:t>
            </w:r>
          </w:p>
        </w:tc>
      </w:tr>
      <w:tr w:rsidR="00873D51" w:rsidRPr="00E204B7" w14:paraId="0EF3E5C3" w14:textId="77777777" w:rsidTr="002A3E5B">
        <w:trPr>
          <w:trHeight w:val="113"/>
          <w:jc w:val="center"/>
        </w:trPr>
        <w:tc>
          <w:tcPr>
            <w:tcW w:w="3000" w:type="dxa"/>
            <w:tcMar>
              <w:top w:w="0" w:type="dxa"/>
              <w:left w:w="40" w:type="dxa"/>
              <w:bottom w:w="0" w:type="dxa"/>
              <w:right w:w="40" w:type="dxa"/>
            </w:tcMar>
          </w:tcPr>
          <w:p w14:paraId="678FFD39" w14:textId="29A2020B" w:rsidR="00873D51" w:rsidRPr="002A3E5B" w:rsidRDefault="00BA03C0" w:rsidP="002A3E5B">
            <w:pPr>
              <w:pStyle w:val="Tabletext"/>
              <w:rPr>
                <w:rFonts w:eastAsia="Calibri"/>
              </w:rPr>
            </w:pPr>
            <w:r w:rsidRPr="00BA03C0">
              <w:rPr>
                <w:rFonts w:eastAsia="Calibri"/>
                <w:b/>
              </w:rPr>
              <w:t>INVESTMENT 1:</w:t>
            </w:r>
            <w:r w:rsidR="00873D51" w:rsidRPr="002A3E5B">
              <w:rPr>
                <w:rFonts w:eastAsia="Calibri"/>
              </w:rPr>
              <w:t xml:space="preserve"> Local Government Data Management Hubs</w:t>
            </w:r>
          </w:p>
        </w:tc>
        <w:tc>
          <w:tcPr>
            <w:tcW w:w="1995" w:type="dxa"/>
            <w:tcMar>
              <w:top w:w="0" w:type="dxa"/>
              <w:left w:w="40" w:type="dxa"/>
              <w:bottom w:w="0" w:type="dxa"/>
              <w:right w:w="40" w:type="dxa"/>
            </w:tcMar>
          </w:tcPr>
          <w:p w14:paraId="19F26D78" w14:textId="77777777" w:rsidR="00873D51" w:rsidRPr="002A3E5B" w:rsidRDefault="00873D51" w:rsidP="002A3E5B">
            <w:pPr>
              <w:pStyle w:val="Tabletext"/>
              <w:rPr>
                <w:rFonts w:eastAsia="Calibri"/>
              </w:rPr>
            </w:pPr>
            <w:r w:rsidRPr="002A3E5B">
              <w:rPr>
                <w:rFonts w:eastAsia="Calibri"/>
              </w:rPr>
              <w:t>RRF 16842</w:t>
            </w:r>
          </w:p>
        </w:tc>
        <w:tc>
          <w:tcPr>
            <w:tcW w:w="2145" w:type="dxa"/>
            <w:tcMar>
              <w:top w:w="0" w:type="dxa"/>
              <w:left w:w="40" w:type="dxa"/>
              <w:bottom w:w="0" w:type="dxa"/>
              <w:right w:w="40" w:type="dxa"/>
            </w:tcMar>
          </w:tcPr>
          <w:p w14:paraId="045E4E71" w14:textId="77777777" w:rsidR="00873D51" w:rsidRPr="002A3E5B" w:rsidRDefault="00873D51" w:rsidP="002A3E5B">
            <w:pPr>
              <w:pStyle w:val="Tabletext"/>
              <w:rPr>
                <w:rFonts w:eastAsia="Calibri"/>
              </w:rPr>
            </w:pPr>
            <w:r w:rsidRPr="002A3E5B">
              <w:rPr>
                <w:rFonts w:eastAsia="Calibri"/>
              </w:rPr>
              <w:t>2024.CSR1.3 2024.CSR2.1 2023.CSR1.9</w:t>
            </w:r>
          </w:p>
          <w:p w14:paraId="30F40138" w14:textId="77777777" w:rsidR="00873D51" w:rsidRPr="002A3E5B" w:rsidRDefault="00873D51" w:rsidP="002A3E5B">
            <w:pPr>
              <w:pStyle w:val="Tabletext"/>
              <w:rPr>
                <w:rFonts w:eastAsia="Calibri"/>
              </w:rPr>
            </w:pPr>
            <w:r w:rsidRPr="002A3E5B">
              <w:rPr>
                <w:rFonts w:eastAsia="Calibri"/>
              </w:rPr>
              <w:t>2022.CSR1.6</w:t>
            </w:r>
          </w:p>
        </w:tc>
        <w:tc>
          <w:tcPr>
            <w:tcW w:w="1965" w:type="dxa"/>
            <w:tcMar>
              <w:top w:w="0" w:type="dxa"/>
              <w:left w:w="40" w:type="dxa"/>
              <w:bottom w:w="0" w:type="dxa"/>
              <w:right w:w="40" w:type="dxa"/>
            </w:tcMar>
          </w:tcPr>
          <w:p w14:paraId="1BDF95B7" w14:textId="77777777" w:rsidR="00873D51" w:rsidRPr="002A3E5B" w:rsidRDefault="00873D51" w:rsidP="002A3E5B">
            <w:pPr>
              <w:pStyle w:val="Tabletext"/>
              <w:rPr>
                <w:rFonts w:eastAsia="Calibri"/>
              </w:rPr>
            </w:pPr>
            <w:r w:rsidRPr="002A3E5B">
              <w:rPr>
                <w:rFonts w:eastAsia="Calibri"/>
              </w:rPr>
              <w:t>Social and Economic resilience</w:t>
            </w:r>
          </w:p>
          <w:p w14:paraId="6B7F552F" w14:textId="77777777" w:rsidR="00873D51" w:rsidRPr="002A3E5B" w:rsidRDefault="00873D51" w:rsidP="002A3E5B">
            <w:pPr>
              <w:pStyle w:val="Tabletext"/>
              <w:rPr>
                <w:rFonts w:eastAsia="Calibri"/>
              </w:rPr>
            </w:pPr>
            <w:r w:rsidRPr="002A3E5B">
              <w:rPr>
                <w:rFonts w:eastAsia="Calibri"/>
              </w:rPr>
              <w:t>Common Priority Fair green and digital transition</w:t>
            </w:r>
          </w:p>
        </w:tc>
      </w:tr>
      <w:tr w:rsidR="00873D51" w:rsidRPr="002A3E5B" w14:paraId="5B3319E0" w14:textId="77777777" w:rsidTr="002A3E5B">
        <w:trPr>
          <w:trHeight w:val="113"/>
          <w:jc w:val="center"/>
        </w:trPr>
        <w:tc>
          <w:tcPr>
            <w:tcW w:w="3000" w:type="dxa"/>
            <w:tcMar>
              <w:top w:w="0" w:type="dxa"/>
              <w:left w:w="40" w:type="dxa"/>
              <w:bottom w:w="0" w:type="dxa"/>
              <w:right w:w="40" w:type="dxa"/>
            </w:tcMar>
          </w:tcPr>
          <w:p w14:paraId="3DC21CB7" w14:textId="1D500540" w:rsidR="00873D51" w:rsidRPr="002A3E5B" w:rsidRDefault="00BA03C0" w:rsidP="002A3E5B">
            <w:pPr>
              <w:pStyle w:val="Tabletext"/>
              <w:rPr>
                <w:rFonts w:eastAsia="Calibri"/>
              </w:rPr>
            </w:pPr>
            <w:r w:rsidRPr="00BA03C0">
              <w:rPr>
                <w:rFonts w:eastAsia="Calibri"/>
                <w:b/>
              </w:rPr>
              <w:t>INVESTMENT 2:</w:t>
            </w:r>
            <w:r w:rsidR="00873D51" w:rsidRPr="002A3E5B">
              <w:rPr>
                <w:rFonts w:eastAsia="Calibri"/>
              </w:rPr>
              <w:t xml:space="preserve"> Road Safety Projects in Local Authorities (Municipalities)</w:t>
            </w:r>
          </w:p>
        </w:tc>
        <w:tc>
          <w:tcPr>
            <w:tcW w:w="1995" w:type="dxa"/>
            <w:tcMar>
              <w:top w:w="0" w:type="dxa"/>
              <w:left w:w="40" w:type="dxa"/>
              <w:bottom w:w="0" w:type="dxa"/>
              <w:right w:w="40" w:type="dxa"/>
            </w:tcMar>
          </w:tcPr>
          <w:p w14:paraId="5AD47F22" w14:textId="77777777" w:rsidR="00873D51" w:rsidRPr="002A3E5B" w:rsidRDefault="00873D51" w:rsidP="002A3E5B">
            <w:pPr>
              <w:pStyle w:val="Tabletext"/>
              <w:rPr>
                <w:rFonts w:eastAsia="Calibri"/>
              </w:rPr>
            </w:pPr>
            <w:r w:rsidRPr="002A3E5B">
              <w:rPr>
                <w:rFonts w:eastAsia="Calibri"/>
              </w:rPr>
              <w:t>RRF 16331</w:t>
            </w:r>
          </w:p>
        </w:tc>
        <w:tc>
          <w:tcPr>
            <w:tcW w:w="2145" w:type="dxa"/>
            <w:tcMar>
              <w:top w:w="0" w:type="dxa"/>
              <w:left w:w="40" w:type="dxa"/>
              <w:bottom w:w="0" w:type="dxa"/>
              <w:right w:w="40" w:type="dxa"/>
            </w:tcMar>
          </w:tcPr>
          <w:p w14:paraId="251E0F59" w14:textId="77777777" w:rsidR="00873D51" w:rsidRPr="002A3E5B" w:rsidRDefault="00873D51" w:rsidP="002A3E5B">
            <w:pPr>
              <w:pStyle w:val="Tabletext"/>
              <w:rPr>
                <w:rFonts w:eastAsia="Calibri"/>
              </w:rPr>
            </w:pPr>
            <w:r w:rsidRPr="002A3E5B">
              <w:rPr>
                <w:rFonts w:eastAsia="Calibri"/>
              </w:rPr>
              <w:t>2020.CSR3.4 2019.CSR2.1</w:t>
            </w:r>
          </w:p>
        </w:tc>
        <w:tc>
          <w:tcPr>
            <w:tcW w:w="1965" w:type="dxa"/>
            <w:tcMar>
              <w:top w:w="0" w:type="dxa"/>
              <w:left w:w="40" w:type="dxa"/>
              <w:bottom w:w="0" w:type="dxa"/>
              <w:right w:w="40" w:type="dxa"/>
            </w:tcMar>
          </w:tcPr>
          <w:p w14:paraId="0D3F9490" w14:textId="77777777" w:rsidR="00873D51" w:rsidRPr="002A3E5B" w:rsidRDefault="00873D51" w:rsidP="002A3E5B">
            <w:pPr>
              <w:pStyle w:val="Tabletext"/>
              <w:rPr>
                <w:rFonts w:eastAsia="Calibri"/>
              </w:rPr>
            </w:pPr>
            <w:r w:rsidRPr="002A3E5B">
              <w:rPr>
                <w:rFonts w:eastAsia="Calibri"/>
              </w:rPr>
              <w:t>Social and Economic resilience</w:t>
            </w:r>
          </w:p>
        </w:tc>
      </w:tr>
    </w:tbl>
    <w:p w14:paraId="2DA32FC3" w14:textId="77777777" w:rsidR="00873D51" w:rsidRPr="00920844" w:rsidRDefault="00873D51" w:rsidP="00920844">
      <w:pPr>
        <w:rPr>
          <w:rFonts w:eastAsia="Calibri"/>
          <w:lang w:val="en-US"/>
        </w:rPr>
      </w:pPr>
      <w:r w:rsidRPr="00920844">
        <w:rPr>
          <w:rFonts w:eastAsia="Calibri"/>
          <w:lang w:val="en-US"/>
        </w:rPr>
        <w:lastRenderedPageBreak/>
        <w:t>The Ministry of the Interior has launched the RRF project titled “</w:t>
      </w:r>
      <w:r w:rsidRPr="00920844">
        <w:rPr>
          <w:rFonts w:eastAsia="Calibri"/>
          <w:b/>
          <w:lang w:val="en-US"/>
        </w:rPr>
        <w:t>Establishment of Multilevel Governance—Allocation of Responsibilities between the Levels of Public Administration</w:t>
      </w:r>
      <w:r w:rsidRPr="00920844">
        <w:rPr>
          <w:rFonts w:eastAsia="Calibri"/>
          <w:lang w:val="en-US"/>
        </w:rPr>
        <w:t>”. The National System of Multilevel Governance was introduced for the first time under Law 5013/2023, with the goal of improving the quality of services offered to citizens by rationalizing the allocation of competencies across different levels of governance. This law applies to all entities within the general government, including legal entities of public and private law. In April 2023, a Ministerial Decision established the National Council for Multilevel Governance within the General Secretariat of Public Administration at the Ministry of the Interior. This council serves as a collective advisory body, responsible for providing recommendations to the Minister of the Interior on matters related to the reallocation or transfer of competencies among various government departments. To support this initiative, an online platform is being developed to digitize the provisions and competencies of all public administration bodies. Additionally, a system for monitoring multilevel governance policies, focusing on the recording and optimal use of operational resources related to the exercise of competencies, is also in development. Both the platform and the monitoring system are scheduled for implementation by 2025.</w:t>
      </w:r>
    </w:p>
    <w:p w14:paraId="686C1BB6" w14:textId="77777777" w:rsidR="00873D51" w:rsidRPr="00920844" w:rsidRDefault="00873D51" w:rsidP="00920844">
      <w:pPr>
        <w:rPr>
          <w:rFonts w:eastAsia="Calibri"/>
          <w:lang w:val="en-US"/>
        </w:rPr>
      </w:pPr>
      <w:r w:rsidRPr="00920844">
        <w:rPr>
          <w:rFonts w:eastAsia="Calibri"/>
          <w:lang w:val="en-US"/>
        </w:rPr>
        <w:t xml:space="preserve">The </w:t>
      </w:r>
      <w:r w:rsidRPr="00920844">
        <w:rPr>
          <w:rFonts w:eastAsia="Calibri"/>
          <w:b/>
          <w:lang w:val="en-US"/>
        </w:rPr>
        <w:t xml:space="preserve">RRF reform ‘’New Incentive and Reward System in the Public Sector’’ </w:t>
      </w:r>
      <w:r w:rsidRPr="00920844">
        <w:rPr>
          <w:rFonts w:eastAsia="Calibri"/>
          <w:lang w:val="en-US"/>
        </w:rPr>
        <w:t>is also set to be introduced by the Greek Government. This reform aims to maximize the performance of public organizations while improving the processes for employee performance assessment and goal setting. Currently, the draft law is undergoing public consultation and is expected to be enacted by October 2024. Moreover, this reform is closely linked to a subproject under the Recovery and Resilience Facility (RRF), as part of the broader initiative for the Enhancement of Public Administration. Scheduled for completion by 2025, this initiative aligns with the EU's priority of promoting socio-economic resilience.</w:t>
      </w:r>
    </w:p>
    <w:p w14:paraId="16700716" w14:textId="77777777" w:rsidR="00873D51" w:rsidRPr="00920844" w:rsidRDefault="00873D51" w:rsidP="00920844">
      <w:pPr>
        <w:rPr>
          <w:rFonts w:eastAsia="Calibri"/>
          <w:lang w:val="en-US"/>
        </w:rPr>
      </w:pPr>
      <w:r w:rsidRPr="00920844">
        <w:rPr>
          <w:rFonts w:eastAsia="Calibri"/>
          <w:lang w:val="en-US"/>
        </w:rPr>
        <w:t xml:space="preserve">The </w:t>
      </w:r>
      <w:r w:rsidRPr="00920844">
        <w:rPr>
          <w:rFonts w:eastAsia="Calibri"/>
          <w:b/>
          <w:lang w:val="en-US"/>
        </w:rPr>
        <w:t>RRF</w:t>
      </w:r>
      <w:r w:rsidRPr="00920844">
        <w:rPr>
          <w:rFonts w:eastAsia="Calibri"/>
          <w:lang w:val="en-US"/>
        </w:rPr>
        <w:t xml:space="preserve"> “</w:t>
      </w:r>
      <w:r w:rsidRPr="00920844">
        <w:rPr>
          <w:rFonts w:eastAsia="Calibri"/>
          <w:b/>
          <w:lang w:val="en-US"/>
        </w:rPr>
        <w:t>National Policy on Administrative Procedures</w:t>
      </w:r>
      <w:r w:rsidRPr="00920844">
        <w:rPr>
          <w:rFonts w:eastAsia="Calibri"/>
          <w:lang w:val="en-US"/>
        </w:rPr>
        <w:t xml:space="preserve"> </w:t>
      </w:r>
      <w:r w:rsidRPr="00920844">
        <w:rPr>
          <w:rFonts w:eastAsia="Calibri"/>
          <w:b/>
          <w:lang w:val="en-US"/>
        </w:rPr>
        <w:t>(NPAP)” reform</w:t>
      </w:r>
      <w:r w:rsidRPr="00920844">
        <w:rPr>
          <w:rFonts w:eastAsia="Calibri"/>
          <w:lang w:val="en-US"/>
        </w:rPr>
        <w:t xml:space="preserve"> serves as the unified framework for the continuous enhancement of public administrative processes and the fight against bureaucracy. The NPAP is based on three interconnected pillars: the National Registry of Administrative Procedures "MITOS" for recording procedures, the National Program for Procedure Simplification for redesigning and simplifying processes, and the Observatory for Bureaucracy for evaluating the impacts of simplification actions. The ultimate goal of the NPAP, by 2025, is to improve citizens' daily lives and to support economic development without imposing unnecessary administrative burdens on businesses.</w:t>
      </w:r>
    </w:p>
    <w:p w14:paraId="62CC9508" w14:textId="77777777" w:rsidR="00873D51" w:rsidRPr="00920844" w:rsidRDefault="00873D51"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of</w:t>
      </w:r>
      <w:r w:rsidRPr="00920844">
        <w:rPr>
          <w:rFonts w:eastAsia="Calibri"/>
          <w:lang w:val="en-US"/>
        </w:rPr>
        <w:t xml:space="preserve"> “</w:t>
      </w:r>
      <w:r w:rsidRPr="00920844">
        <w:rPr>
          <w:rFonts w:eastAsia="Calibri"/>
          <w:b/>
          <w:lang w:val="en-US"/>
        </w:rPr>
        <w:t>Local Government Data Management Hubs”</w:t>
      </w:r>
      <w:r w:rsidRPr="00920844">
        <w:rPr>
          <w:rFonts w:eastAsia="Calibri"/>
          <w:lang w:val="en-US"/>
        </w:rPr>
        <w:t xml:space="preserve"> comprises of two components:</w:t>
      </w:r>
    </w:p>
    <w:p w14:paraId="5D7E3D07" w14:textId="67BE6859" w:rsidR="00873D51" w:rsidRPr="00920844" w:rsidRDefault="00873D51" w:rsidP="00920844">
      <w:pPr>
        <w:rPr>
          <w:rFonts w:eastAsia="Calibri"/>
          <w:lang w:val="en-US"/>
        </w:rPr>
      </w:pPr>
      <w:r w:rsidRPr="00920844">
        <w:rPr>
          <w:rFonts w:eastAsia="Calibri"/>
          <w:lang w:val="en-US"/>
        </w:rPr>
        <w:t xml:space="preserve">1.   Upgrade of the Interoperability Hub and Financial Information Services for Local Government Authorities (LGAs): This component aims to enhance the main system for collecting, processing, and disseminating financial data related to local government. Key objectives include expanding </w:t>
      </w:r>
      <w:r w:rsidRPr="00920844">
        <w:rPr>
          <w:rFonts w:eastAsia="Calibri"/>
          <w:lang w:val="en-US"/>
        </w:rPr>
        <w:lastRenderedPageBreak/>
        <w:t>data groups, adding new functionalities, ensuring interoperability with other platforms, and reducing administrative burdens.</w:t>
      </w:r>
    </w:p>
    <w:p w14:paraId="4EF82FAD" w14:textId="653B8D31" w:rsidR="00873D51" w:rsidRPr="00920844" w:rsidRDefault="00873D51" w:rsidP="00920844">
      <w:pPr>
        <w:rPr>
          <w:rFonts w:eastAsia="Calibri"/>
          <w:lang w:val="en-US"/>
        </w:rPr>
      </w:pPr>
      <w:r w:rsidRPr="00920844">
        <w:rPr>
          <w:rFonts w:eastAsia="Calibri"/>
          <w:lang w:val="en-US"/>
        </w:rPr>
        <w:t>2. Local Government Performance Monitoring Hub: This initiative involves creating a hub to monitor the performance of LGAs. It will collect data related to their financial and administrative operations and activities, and publish performance measurement and evaluation indicators after processing. This hub will serve as a transparency tool for citizens, enabling them to view the performance of municipalities both individually and comparatively.</w:t>
      </w:r>
    </w:p>
    <w:p w14:paraId="2249DC89" w14:textId="77777777" w:rsidR="00873D51" w:rsidRPr="00920844" w:rsidRDefault="00873D51" w:rsidP="00920844">
      <w:pPr>
        <w:rPr>
          <w:rFonts w:eastAsia="Calibri"/>
          <w:lang w:val="en-US"/>
        </w:rPr>
      </w:pPr>
      <w:r w:rsidRPr="00920844">
        <w:rPr>
          <w:rFonts w:eastAsia="Calibri"/>
          <w:lang w:val="en-US"/>
        </w:rPr>
        <w:t>The implementation and operation of these hubs for local government are expected to significantly impact the sustainable operation of municipalities and generate substantial socio-economic benefits, with completion anticipated by the end of 2025.</w:t>
      </w:r>
    </w:p>
    <w:p w14:paraId="069E41B3" w14:textId="77777777" w:rsidR="00873D51" w:rsidRPr="00920844" w:rsidRDefault="00873D51" w:rsidP="00920844">
      <w:pPr>
        <w:rPr>
          <w:rFonts w:eastAsia="Calibri"/>
          <w:lang w:val="en-US"/>
        </w:rPr>
      </w:pPr>
      <w:r w:rsidRPr="00920844">
        <w:rPr>
          <w:rFonts w:eastAsia="Calibri"/>
          <w:lang w:val="en-US"/>
        </w:rPr>
        <w:t xml:space="preserve">The </w:t>
      </w:r>
      <w:r w:rsidRPr="00920844">
        <w:rPr>
          <w:rFonts w:eastAsia="Calibri"/>
          <w:b/>
          <w:lang w:val="en-US"/>
        </w:rPr>
        <w:t>RRF</w:t>
      </w:r>
      <w:r w:rsidRPr="00920844">
        <w:rPr>
          <w:rFonts w:eastAsia="Calibri"/>
          <w:lang w:val="en-US"/>
        </w:rPr>
        <w:t xml:space="preserve"> "</w:t>
      </w:r>
      <w:r w:rsidRPr="00920844">
        <w:rPr>
          <w:rFonts w:eastAsia="Calibri"/>
          <w:b/>
          <w:lang w:val="en-US"/>
        </w:rPr>
        <w:t>Road Safety in Local Authorities</w:t>
      </w:r>
      <w:r w:rsidRPr="00920844">
        <w:rPr>
          <w:rFonts w:eastAsia="Calibri"/>
          <w:lang w:val="en-US"/>
        </w:rPr>
        <w:t xml:space="preserve">" </w:t>
      </w:r>
      <w:r w:rsidRPr="00920844">
        <w:rPr>
          <w:rFonts w:eastAsia="Calibri"/>
          <w:b/>
          <w:lang w:val="en-US"/>
        </w:rPr>
        <w:t>investment</w:t>
      </w:r>
      <w:r w:rsidRPr="00920844">
        <w:rPr>
          <w:rFonts w:eastAsia="Calibri"/>
          <w:lang w:val="en-US"/>
        </w:rPr>
        <w:t xml:space="preserve"> focuses on improving road safety through the Road Safety Improvement Program (RSIP), targeting 7,000 hazardous locations and making minor improvements along an additional 2,500 km of roads. A safer road network not only helps prevent accidents but also significantly reduces the fiscal burden on the country. The positive outcomes of this investment are expected to have an immediate impact on the nation's financial ecosystem, aligning with the shared priority of social and economic resilience. The project is scheduled for completion by 2025.</w:t>
      </w:r>
    </w:p>
    <w:p w14:paraId="08259235" w14:textId="77777777" w:rsidR="00873D51" w:rsidRPr="00920844" w:rsidRDefault="00873D51" w:rsidP="00987A40">
      <w:pPr>
        <w:rPr>
          <w:rFonts w:ascii="Calibri" w:eastAsia="Calibri" w:hAnsi="Calibri" w:cs="Calibri"/>
          <w:sz w:val="24"/>
          <w:szCs w:val="24"/>
          <w:lang w:val="en-US"/>
        </w:rPr>
      </w:pPr>
    </w:p>
    <w:p w14:paraId="1EFF28A3" w14:textId="1E622774" w:rsidR="00987A40" w:rsidRPr="000D4DE6" w:rsidRDefault="00FE2C43" w:rsidP="00B656B8">
      <w:pPr>
        <w:pStyle w:val="Heading2"/>
        <w:pBdr>
          <w:bottom w:val="single" w:sz="18" w:space="1" w:color="FF3300"/>
        </w:pBdr>
        <w:rPr>
          <w:lang w:val="en-US"/>
        </w:rPr>
      </w:pPr>
      <w:bookmarkStart w:id="61" w:name="_Toc177496803"/>
      <w:bookmarkStart w:id="62" w:name="_Toc178070105"/>
      <w:r>
        <w:rPr>
          <w:lang w:val="en-US"/>
        </w:rPr>
        <w:t>M</w:t>
      </w:r>
      <w:r w:rsidRPr="000D4DE6">
        <w:rPr>
          <w:lang w:val="en-US"/>
        </w:rPr>
        <w:t xml:space="preserve">inistry of </w:t>
      </w:r>
      <w:r>
        <w:rPr>
          <w:lang w:val="en-US"/>
        </w:rPr>
        <w:t>E</w:t>
      </w:r>
      <w:r w:rsidRPr="000D4DE6">
        <w:rPr>
          <w:lang w:val="en-US"/>
        </w:rPr>
        <w:t xml:space="preserve">ducation, </w:t>
      </w:r>
      <w:r>
        <w:rPr>
          <w:lang w:val="en-US"/>
        </w:rPr>
        <w:t>R</w:t>
      </w:r>
      <w:r w:rsidRPr="000D4DE6">
        <w:rPr>
          <w:lang w:val="en-US"/>
        </w:rPr>
        <w:t xml:space="preserve">eligious </w:t>
      </w:r>
      <w:r>
        <w:rPr>
          <w:lang w:val="en-US"/>
        </w:rPr>
        <w:t>A</w:t>
      </w:r>
      <w:r w:rsidRPr="000D4DE6">
        <w:rPr>
          <w:lang w:val="en-US"/>
        </w:rPr>
        <w:t xml:space="preserve">ffairs and </w:t>
      </w:r>
      <w:bookmarkEnd w:id="61"/>
      <w:r>
        <w:rPr>
          <w:lang w:val="en-US"/>
        </w:rPr>
        <w:t>S</w:t>
      </w:r>
      <w:r w:rsidRPr="000D4DE6">
        <w:rPr>
          <w:lang w:val="en-US"/>
        </w:rPr>
        <w:t>ports</w:t>
      </w:r>
      <w:bookmarkEnd w:id="62"/>
    </w:p>
    <w:p w14:paraId="2EB83AE7" w14:textId="2594B779" w:rsidR="00B711DE" w:rsidRPr="00920844" w:rsidRDefault="00B711DE" w:rsidP="00DC712B">
      <w:pPr>
        <w:rPr>
          <w:rFonts w:eastAsia="Calibri"/>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529"/>
        <w:gridCol w:w="1572"/>
        <w:gridCol w:w="1486"/>
        <w:gridCol w:w="2485"/>
      </w:tblGrid>
      <w:tr w:rsidR="00143C65" w:rsidRPr="002A3E5B" w14:paraId="7493C2F8" w14:textId="77777777" w:rsidTr="002A3E5B">
        <w:trPr>
          <w:trHeight w:val="113"/>
          <w:jc w:val="center"/>
        </w:trPr>
        <w:tc>
          <w:tcPr>
            <w:tcW w:w="3645" w:type="dxa"/>
            <w:shd w:val="clear" w:color="auto" w:fill="CFE2F3"/>
            <w:tcMar>
              <w:top w:w="0" w:type="dxa"/>
              <w:left w:w="100" w:type="dxa"/>
              <w:bottom w:w="0" w:type="dxa"/>
              <w:right w:w="100" w:type="dxa"/>
            </w:tcMar>
          </w:tcPr>
          <w:p w14:paraId="088FE87B" w14:textId="77777777" w:rsidR="00143C65" w:rsidRPr="002A3E5B" w:rsidRDefault="00143C65" w:rsidP="002A3E5B">
            <w:pPr>
              <w:pStyle w:val="Tabletext"/>
              <w:rPr>
                <w:rFonts w:eastAsia="Calibri"/>
                <w:b/>
              </w:rPr>
            </w:pPr>
            <w:r w:rsidRPr="002A3E5B">
              <w:rPr>
                <w:rFonts w:eastAsia="Calibri"/>
                <w:b/>
              </w:rPr>
              <w:t>REFORM / INVESTMENT</w:t>
            </w:r>
          </w:p>
        </w:tc>
        <w:tc>
          <w:tcPr>
            <w:tcW w:w="1620" w:type="dxa"/>
            <w:shd w:val="clear" w:color="auto" w:fill="CFE2F3"/>
            <w:tcMar>
              <w:top w:w="0" w:type="dxa"/>
              <w:left w:w="100" w:type="dxa"/>
              <w:bottom w:w="0" w:type="dxa"/>
              <w:right w:w="100" w:type="dxa"/>
            </w:tcMar>
          </w:tcPr>
          <w:p w14:paraId="13D66ECF" w14:textId="77777777" w:rsidR="00143C65" w:rsidRPr="002A3E5B" w:rsidRDefault="00143C65" w:rsidP="002A3E5B">
            <w:pPr>
              <w:pStyle w:val="Tabletext"/>
              <w:rPr>
                <w:rFonts w:eastAsia="Calibri"/>
                <w:b/>
              </w:rPr>
            </w:pPr>
            <w:r w:rsidRPr="002A3E5B">
              <w:rPr>
                <w:rFonts w:eastAsia="Calibri"/>
                <w:b/>
              </w:rPr>
              <w:t>RRF / MFF</w:t>
            </w:r>
          </w:p>
        </w:tc>
        <w:tc>
          <w:tcPr>
            <w:tcW w:w="1530" w:type="dxa"/>
            <w:shd w:val="clear" w:color="auto" w:fill="CFE2F3"/>
            <w:tcMar>
              <w:top w:w="0" w:type="dxa"/>
              <w:left w:w="100" w:type="dxa"/>
              <w:bottom w:w="0" w:type="dxa"/>
              <w:right w:w="100" w:type="dxa"/>
            </w:tcMar>
          </w:tcPr>
          <w:p w14:paraId="2465B08D" w14:textId="77777777" w:rsidR="00143C65" w:rsidRPr="002A3E5B" w:rsidRDefault="00143C65" w:rsidP="002A3E5B">
            <w:pPr>
              <w:pStyle w:val="Tabletext"/>
              <w:rPr>
                <w:rFonts w:eastAsia="Calibri"/>
                <w:b/>
              </w:rPr>
            </w:pPr>
            <w:r w:rsidRPr="002A3E5B">
              <w:rPr>
                <w:rFonts w:eastAsia="Calibri"/>
                <w:b/>
              </w:rPr>
              <w:t>CSR</w:t>
            </w:r>
          </w:p>
        </w:tc>
        <w:tc>
          <w:tcPr>
            <w:tcW w:w="2565" w:type="dxa"/>
            <w:shd w:val="clear" w:color="auto" w:fill="CFE2F3"/>
            <w:tcMar>
              <w:top w:w="0" w:type="dxa"/>
              <w:left w:w="100" w:type="dxa"/>
              <w:bottom w:w="0" w:type="dxa"/>
              <w:right w:w="100" w:type="dxa"/>
            </w:tcMar>
          </w:tcPr>
          <w:p w14:paraId="6C32D149" w14:textId="77777777" w:rsidR="00143C65" w:rsidRPr="002A3E5B" w:rsidRDefault="00143C65" w:rsidP="002A3E5B">
            <w:pPr>
              <w:pStyle w:val="Tabletext"/>
              <w:rPr>
                <w:rFonts w:eastAsia="Calibri"/>
                <w:b/>
              </w:rPr>
            </w:pPr>
            <w:r w:rsidRPr="002A3E5B">
              <w:rPr>
                <w:rFonts w:eastAsia="Calibri"/>
                <w:b/>
              </w:rPr>
              <w:t>COMMON PRIORITIES</w:t>
            </w:r>
          </w:p>
        </w:tc>
      </w:tr>
      <w:tr w:rsidR="00143C65" w:rsidRPr="002A3E5B" w14:paraId="23113646" w14:textId="77777777" w:rsidTr="002A3E5B">
        <w:trPr>
          <w:trHeight w:val="113"/>
          <w:jc w:val="center"/>
        </w:trPr>
        <w:tc>
          <w:tcPr>
            <w:tcW w:w="3645" w:type="dxa"/>
            <w:tcMar>
              <w:top w:w="40" w:type="dxa"/>
              <w:left w:w="40" w:type="dxa"/>
              <w:bottom w:w="40" w:type="dxa"/>
              <w:right w:w="40" w:type="dxa"/>
            </w:tcMar>
          </w:tcPr>
          <w:p w14:paraId="63ABA232" w14:textId="4ACBFCA9" w:rsidR="00143C65" w:rsidRPr="002A3E5B" w:rsidRDefault="00BA03C0" w:rsidP="002A3E5B">
            <w:pPr>
              <w:pStyle w:val="Tabletext"/>
              <w:rPr>
                <w:rFonts w:eastAsia="Calibri"/>
              </w:rPr>
            </w:pPr>
            <w:r w:rsidRPr="00BA03C0">
              <w:rPr>
                <w:rFonts w:eastAsia="Calibri"/>
                <w:b/>
              </w:rPr>
              <w:t>REFORM 1:</w:t>
            </w:r>
            <w:r w:rsidR="00143C65" w:rsidRPr="002A3E5B">
              <w:rPr>
                <w:rFonts w:eastAsia="Calibri"/>
              </w:rPr>
              <w:t xml:space="preserve"> Strategy for Excellence in Universities &amp; Innovation</w:t>
            </w:r>
          </w:p>
        </w:tc>
        <w:tc>
          <w:tcPr>
            <w:tcW w:w="1620" w:type="dxa"/>
            <w:tcMar>
              <w:top w:w="40" w:type="dxa"/>
              <w:left w:w="40" w:type="dxa"/>
              <w:bottom w:w="40" w:type="dxa"/>
              <w:right w:w="40" w:type="dxa"/>
            </w:tcMar>
          </w:tcPr>
          <w:p w14:paraId="4A7A4CFA" w14:textId="77777777" w:rsidR="00143C65" w:rsidRPr="002A3E5B" w:rsidRDefault="00143C65" w:rsidP="002A3E5B">
            <w:pPr>
              <w:pStyle w:val="Tabletext"/>
              <w:rPr>
                <w:rFonts w:eastAsia="Calibri"/>
              </w:rPr>
            </w:pPr>
            <w:r w:rsidRPr="002A3E5B">
              <w:rPr>
                <w:rFonts w:eastAsia="Calibri"/>
              </w:rPr>
              <w:t>RRF 16289</w:t>
            </w:r>
          </w:p>
        </w:tc>
        <w:tc>
          <w:tcPr>
            <w:tcW w:w="1530" w:type="dxa"/>
            <w:tcMar>
              <w:top w:w="40" w:type="dxa"/>
              <w:left w:w="40" w:type="dxa"/>
              <w:bottom w:w="40" w:type="dxa"/>
              <w:right w:w="40" w:type="dxa"/>
            </w:tcMar>
          </w:tcPr>
          <w:p w14:paraId="50E7F37A" w14:textId="77777777" w:rsidR="00143C65" w:rsidRPr="002A3E5B" w:rsidRDefault="00143C65" w:rsidP="002A3E5B">
            <w:pPr>
              <w:pStyle w:val="Tabletext"/>
              <w:rPr>
                <w:rFonts w:eastAsia="Calibri"/>
              </w:rPr>
            </w:pPr>
            <w:r w:rsidRPr="002A3E5B">
              <w:rPr>
                <w:rFonts w:eastAsia="Calibri"/>
              </w:rPr>
              <w:t>2024.CSR2.1</w:t>
            </w:r>
          </w:p>
          <w:p w14:paraId="6D74754C" w14:textId="77777777" w:rsidR="00143C65" w:rsidRPr="002A3E5B" w:rsidRDefault="00143C65" w:rsidP="002A3E5B">
            <w:pPr>
              <w:pStyle w:val="Tabletext"/>
              <w:rPr>
                <w:rFonts w:eastAsia="Calibri"/>
              </w:rPr>
            </w:pPr>
            <w:r w:rsidRPr="002A3E5B">
              <w:rPr>
                <w:rFonts w:eastAsia="Calibri"/>
              </w:rPr>
              <w:t>2020.CSR3.8</w:t>
            </w:r>
          </w:p>
          <w:p w14:paraId="27C4C69E" w14:textId="77777777" w:rsidR="00143C65" w:rsidRPr="002A3E5B" w:rsidRDefault="00143C65" w:rsidP="002A3E5B">
            <w:pPr>
              <w:pStyle w:val="Tabletext"/>
              <w:rPr>
                <w:rFonts w:eastAsia="Calibri"/>
              </w:rPr>
            </w:pPr>
            <w:r w:rsidRPr="002A3E5B">
              <w:rPr>
                <w:rFonts w:eastAsia="Calibri"/>
              </w:rPr>
              <w:t>2020.CSR3.9</w:t>
            </w:r>
          </w:p>
          <w:p w14:paraId="4304655A" w14:textId="77777777" w:rsidR="00143C65" w:rsidRPr="002A3E5B" w:rsidRDefault="00143C65" w:rsidP="002A3E5B">
            <w:pPr>
              <w:pStyle w:val="Tabletext"/>
              <w:rPr>
                <w:rFonts w:eastAsia="Calibri"/>
              </w:rPr>
            </w:pPr>
            <w:r w:rsidRPr="002A3E5B">
              <w:rPr>
                <w:rFonts w:eastAsia="Calibri"/>
              </w:rPr>
              <w:t>2019.CSR2.3</w:t>
            </w:r>
          </w:p>
          <w:p w14:paraId="1AB11240" w14:textId="77777777" w:rsidR="00143C65" w:rsidRPr="002A3E5B" w:rsidRDefault="00143C65" w:rsidP="002A3E5B">
            <w:pPr>
              <w:pStyle w:val="Tabletext"/>
              <w:rPr>
                <w:rFonts w:eastAsia="Calibri"/>
              </w:rPr>
            </w:pPr>
            <w:r w:rsidRPr="002A3E5B">
              <w:rPr>
                <w:rFonts w:eastAsia="Calibri"/>
              </w:rPr>
              <w:t>2019.CSR2.4</w:t>
            </w:r>
          </w:p>
          <w:p w14:paraId="1615F1F3" w14:textId="77777777" w:rsidR="00143C65" w:rsidRPr="002A3E5B" w:rsidRDefault="00143C65" w:rsidP="002A3E5B">
            <w:pPr>
              <w:pStyle w:val="Tabletext"/>
              <w:rPr>
                <w:rFonts w:eastAsia="Calibri"/>
              </w:rPr>
            </w:pPr>
            <w:r w:rsidRPr="002A3E5B">
              <w:rPr>
                <w:rFonts w:eastAsia="Calibri"/>
              </w:rPr>
              <w:t>2019.CSR2.5</w:t>
            </w:r>
          </w:p>
        </w:tc>
        <w:tc>
          <w:tcPr>
            <w:tcW w:w="2565" w:type="dxa"/>
            <w:tcMar>
              <w:top w:w="40" w:type="dxa"/>
              <w:left w:w="40" w:type="dxa"/>
              <w:bottom w:w="40" w:type="dxa"/>
              <w:right w:w="40" w:type="dxa"/>
            </w:tcMar>
          </w:tcPr>
          <w:p w14:paraId="62EFC2CE"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674176BF" w14:textId="77777777" w:rsidTr="002A3E5B">
        <w:trPr>
          <w:trHeight w:val="113"/>
          <w:jc w:val="center"/>
        </w:trPr>
        <w:tc>
          <w:tcPr>
            <w:tcW w:w="3645" w:type="dxa"/>
            <w:tcMar>
              <w:top w:w="40" w:type="dxa"/>
              <w:left w:w="40" w:type="dxa"/>
              <w:bottom w:w="40" w:type="dxa"/>
              <w:right w:w="40" w:type="dxa"/>
            </w:tcMar>
          </w:tcPr>
          <w:p w14:paraId="665BE24F" w14:textId="38020213" w:rsidR="00143C65" w:rsidRPr="002A3E5B" w:rsidRDefault="00BA03C0" w:rsidP="002A3E5B">
            <w:pPr>
              <w:pStyle w:val="Tabletext"/>
              <w:rPr>
                <w:rFonts w:eastAsia="Calibri"/>
              </w:rPr>
            </w:pPr>
            <w:r w:rsidRPr="00BA03C0">
              <w:rPr>
                <w:rFonts w:eastAsia="Calibri"/>
                <w:b/>
              </w:rPr>
              <w:t>REFORM 2:</w:t>
            </w:r>
            <w:r w:rsidR="00143C65" w:rsidRPr="002A3E5B">
              <w:rPr>
                <w:rFonts w:eastAsia="Calibri"/>
              </w:rPr>
              <w:t xml:space="preserve"> Supporting public HEIs and providing an operating framework for non-profit branches of foreign universities</w:t>
            </w:r>
          </w:p>
        </w:tc>
        <w:tc>
          <w:tcPr>
            <w:tcW w:w="1620" w:type="dxa"/>
            <w:tcMar>
              <w:top w:w="40" w:type="dxa"/>
              <w:left w:w="40" w:type="dxa"/>
              <w:bottom w:w="40" w:type="dxa"/>
              <w:right w:w="40" w:type="dxa"/>
            </w:tcMar>
          </w:tcPr>
          <w:p w14:paraId="6E05EA75" w14:textId="77777777" w:rsidR="00143C65" w:rsidRPr="002A3E5B" w:rsidRDefault="00143C65" w:rsidP="002A3E5B">
            <w:pPr>
              <w:pStyle w:val="Tabletext"/>
              <w:rPr>
                <w:rFonts w:eastAsia="Calibri"/>
              </w:rPr>
            </w:pPr>
            <w:r w:rsidRPr="002A3E5B">
              <w:rPr>
                <w:rFonts w:eastAsia="Calibri"/>
              </w:rPr>
              <w:t>-</w:t>
            </w:r>
          </w:p>
        </w:tc>
        <w:tc>
          <w:tcPr>
            <w:tcW w:w="1530" w:type="dxa"/>
            <w:tcMar>
              <w:top w:w="40" w:type="dxa"/>
              <w:left w:w="40" w:type="dxa"/>
              <w:bottom w:w="40" w:type="dxa"/>
              <w:right w:w="40" w:type="dxa"/>
            </w:tcMar>
          </w:tcPr>
          <w:p w14:paraId="74006AB5" w14:textId="77777777" w:rsidR="00143C65" w:rsidRPr="002A3E5B" w:rsidRDefault="00143C65" w:rsidP="002A3E5B">
            <w:pPr>
              <w:pStyle w:val="Tabletext"/>
              <w:rPr>
                <w:rFonts w:eastAsia="Calibri"/>
              </w:rPr>
            </w:pPr>
            <w:r w:rsidRPr="002A3E5B">
              <w:rPr>
                <w:rFonts w:eastAsia="Calibri"/>
              </w:rPr>
              <w:t>2019.CSR2.5</w:t>
            </w:r>
          </w:p>
        </w:tc>
        <w:tc>
          <w:tcPr>
            <w:tcW w:w="2565" w:type="dxa"/>
            <w:tcMar>
              <w:top w:w="40" w:type="dxa"/>
              <w:left w:w="40" w:type="dxa"/>
              <w:bottom w:w="40" w:type="dxa"/>
              <w:right w:w="40" w:type="dxa"/>
            </w:tcMar>
          </w:tcPr>
          <w:p w14:paraId="4F0AAAA6"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53792CE3" w14:textId="77777777" w:rsidTr="002A3E5B">
        <w:trPr>
          <w:trHeight w:val="113"/>
          <w:jc w:val="center"/>
        </w:trPr>
        <w:tc>
          <w:tcPr>
            <w:tcW w:w="3645" w:type="dxa"/>
            <w:tcMar>
              <w:top w:w="40" w:type="dxa"/>
              <w:left w:w="40" w:type="dxa"/>
              <w:bottom w:w="40" w:type="dxa"/>
              <w:right w:w="40" w:type="dxa"/>
            </w:tcMar>
          </w:tcPr>
          <w:p w14:paraId="5575726C" w14:textId="63741013" w:rsidR="00143C65" w:rsidRPr="002A3E5B" w:rsidRDefault="00BA03C0" w:rsidP="002A3E5B">
            <w:pPr>
              <w:pStyle w:val="Tabletext"/>
              <w:rPr>
                <w:rFonts w:eastAsia="Calibri"/>
              </w:rPr>
            </w:pPr>
            <w:r w:rsidRPr="00BA03C0">
              <w:rPr>
                <w:rFonts w:eastAsia="Calibri"/>
                <w:b/>
              </w:rPr>
              <w:t>REFORM 3:</w:t>
            </w:r>
            <w:r w:rsidR="00143C65" w:rsidRPr="002A3E5B">
              <w:rPr>
                <w:rFonts w:eastAsia="Calibri"/>
              </w:rPr>
              <w:t xml:space="preserve"> Collaboration with OECD on Education Policy Review: Improving Learning Outcomes in Greece</w:t>
            </w:r>
          </w:p>
        </w:tc>
        <w:tc>
          <w:tcPr>
            <w:tcW w:w="1620" w:type="dxa"/>
            <w:tcMar>
              <w:top w:w="40" w:type="dxa"/>
              <w:left w:w="40" w:type="dxa"/>
              <w:bottom w:w="40" w:type="dxa"/>
              <w:right w:w="40" w:type="dxa"/>
            </w:tcMar>
          </w:tcPr>
          <w:p w14:paraId="15B38ECD" w14:textId="77777777" w:rsidR="00143C65" w:rsidRPr="002A3E5B" w:rsidRDefault="00143C65" w:rsidP="002A3E5B">
            <w:pPr>
              <w:pStyle w:val="Tabletext"/>
              <w:rPr>
                <w:rFonts w:eastAsia="Calibri"/>
              </w:rPr>
            </w:pPr>
            <w:r w:rsidRPr="002A3E5B">
              <w:rPr>
                <w:rFonts w:eastAsia="Calibri"/>
              </w:rPr>
              <w:t>-</w:t>
            </w:r>
          </w:p>
        </w:tc>
        <w:tc>
          <w:tcPr>
            <w:tcW w:w="1530" w:type="dxa"/>
            <w:tcMar>
              <w:top w:w="40" w:type="dxa"/>
              <w:left w:w="40" w:type="dxa"/>
              <w:bottom w:w="40" w:type="dxa"/>
              <w:right w:w="40" w:type="dxa"/>
            </w:tcMar>
          </w:tcPr>
          <w:p w14:paraId="247A01BA" w14:textId="77777777" w:rsidR="00143C65" w:rsidRPr="002A3E5B" w:rsidRDefault="00143C65" w:rsidP="002A3E5B">
            <w:pPr>
              <w:pStyle w:val="Tabletext"/>
              <w:rPr>
                <w:rFonts w:eastAsia="Calibri"/>
              </w:rPr>
            </w:pPr>
            <w:r w:rsidRPr="002A3E5B">
              <w:rPr>
                <w:rFonts w:eastAsia="Calibri"/>
              </w:rPr>
              <w:t>2024.CSR3.1</w:t>
            </w:r>
          </w:p>
          <w:p w14:paraId="77A0F956" w14:textId="77777777" w:rsidR="00143C65" w:rsidRPr="002A3E5B" w:rsidRDefault="00143C65" w:rsidP="002A3E5B">
            <w:pPr>
              <w:pStyle w:val="Tabletext"/>
              <w:rPr>
                <w:rFonts w:eastAsia="Calibri"/>
              </w:rPr>
            </w:pPr>
            <w:r w:rsidRPr="002A3E5B">
              <w:rPr>
                <w:rFonts w:eastAsia="Calibri"/>
              </w:rPr>
              <w:t>2019.CSR2.5</w:t>
            </w:r>
          </w:p>
        </w:tc>
        <w:tc>
          <w:tcPr>
            <w:tcW w:w="2565" w:type="dxa"/>
            <w:tcMar>
              <w:top w:w="40" w:type="dxa"/>
              <w:left w:w="40" w:type="dxa"/>
              <w:bottom w:w="40" w:type="dxa"/>
              <w:right w:w="40" w:type="dxa"/>
            </w:tcMar>
          </w:tcPr>
          <w:p w14:paraId="758A3DFE"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393CB20A" w14:textId="77777777" w:rsidTr="002A3E5B">
        <w:trPr>
          <w:trHeight w:val="113"/>
          <w:jc w:val="center"/>
        </w:trPr>
        <w:tc>
          <w:tcPr>
            <w:tcW w:w="3645" w:type="dxa"/>
            <w:tcMar>
              <w:top w:w="40" w:type="dxa"/>
              <w:left w:w="40" w:type="dxa"/>
              <w:bottom w:w="40" w:type="dxa"/>
              <w:right w:w="40" w:type="dxa"/>
            </w:tcMar>
          </w:tcPr>
          <w:p w14:paraId="6ABBE4CB" w14:textId="6BB7811D" w:rsidR="00143C65" w:rsidRPr="002A3E5B" w:rsidRDefault="00BA03C0" w:rsidP="002A3E5B">
            <w:pPr>
              <w:pStyle w:val="Tabletext"/>
              <w:rPr>
                <w:rFonts w:eastAsia="Calibri"/>
              </w:rPr>
            </w:pPr>
            <w:r w:rsidRPr="00BA03C0">
              <w:rPr>
                <w:rFonts w:eastAsia="Calibri"/>
                <w:b/>
              </w:rPr>
              <w:t>REFORM 4:</w:t>
            </w:r>
            <w:r w:rsidR="00143C65" w:rsidRPr="002A3E5B">
              <w:rPr>
                <w:rFonts w:eastAsia="Calibri"/>
              </w:rPr>
              <w:t xml:space="preserve"> Further expansion of experimental and model schools' network</w:t>
            </w:r>
          </w:p>
        </w:tc>
        <w:tc>
          <w:tcPr>
            <w:tcW w:w="1620" w:type="dxa"/>
            <w:tcMar>
              <w:top w:w="40" w:type="dxa"/>
              <w:left w:w="40" w:type="dxa"/>
              <w:bottom w:w="40" w:type="dxa"/>
              <w:right w:w="40" w:type="dxa"/>
            </w:tcMar>
          </w:tcPr>
          <w:p w14:paraId="454521E7" w14:textId="77777777" w:rsidR="00143C65" w:rsidRPr="002A3E5B" w:rsidRDefault="00143C65" w:rsidP="002A3E5B">
            <w:pPr>
              <w:pStyle w:val="Tabletext"/>
              <w:rPr>
                <w:rFonts w:eastAsia="Calibri"/>
              </w:rPr>
            </w:pPr>
            <w:r w:rsidRPr="002A3E5B">
              <w:rPr>
                <w:rFonts w:eastAsia="Calibri"/>
              </w:rPr>
              <w:t>-</w:t>
            </w:r>
          </w:p>
        </w:tc>
        <w:tc>
          <w:tcPr>
            <w:tcW w:w="1530" w:type="dxa"/>
            <w:tcMar>
              <w:top w:w="40" w:type="dxa"/>
              <w:left w:w="40" w:type="dxa"/>
              <w:bottom w:w="40" w:type="dxa"/>
              <w:right w:w="40" w:type="dxa"/>
            </w:tcMar>
          </w:tcPr>
          <w:p w14:paraId="083272D0" w14:textId="77777777" w:rsidR="00143C65" w:rsidRPr="002A3E5B" w:rsidRDefault="00143C65" w:rsidP="002A3E5B">
            <w:pPr>
              <w:pStyle w:val="Tabletext"/>
              <w:rPr>
                <w:rFonts w:eastAsia="Calibri"/>
              </w:rPr>
            </w:pPr>
            <w:r w:rsidRPr="002A3E5B">
              <w:rPr>
                <w:rFonts w:eastAsia="Calibri"/>
              </w:rPr>
              <w:t>2019.CSR2.5</w:t>
            </w:r>
          </w:p>
        </w:tc>
        <w:tc>
          <w:tcPr>
            <w:tcW w:w="2565" w:type="dxa"/>
            <w:tcMar>
              <w:top w:w="40" w:type="dxa"/>
              <w:left w:w="40" w:type="dxa"/>
              <w:bottom w:w="40" w:type="dxa"/>
              <w:right w:w="40" w:type="dxa"/>
            </w:tcMar>
          </w:tcPr>
          <w:p w14:paraId="126B4B84"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4797C31E" w14:textId="77777777" w:rsidTr="002A3E5B">
        <w:trPr>
          <w:trHeight w:val="113"/>
          <w:jc w:val="center"/>
        </w:trPr>
        <w:tc>
          <w:tcPr>
            <w:tcW w:w="3645" w:type="dxa"/>
            <w:tcMar>
              <w:top w:w="40" w:type="dxa"/>
              <w:left w:w="40" w:type="dxa"/>
              <w:bottom w:w="40" w:type="dxa"/>
              <w:right w:w="40" w:type="dxa"/>
            </w:tcMar>
          </w:tcPr>
          <w:p w14:paraId="6886EE1D" w14:textId="25CE0FC9" w:rsidR="00143C65" w:rsidRPr="002A3E5B" w:rsidRDefault="00BA03C0" w:rsidP="002A3E5B">
            <w:pPr>
              <w:pStyle w:val="Tabletext"/>
              <w:rPr>
                <w:rFonts w:eastAsia="Calibri"/>
              </w:rPr>
            </w:pPr>
            <w:r w:rsidRPr="00BA03C0">
              <w:rPr>
                <w:rFonts w:eastAsia="Calibri"/>
                <w:b/>
              </w:rPr>
              <w:t>REFORM 5:</w:t>
            </w:r>
            <w:r w:rsidR="00143C65" w:rsidRPr="002A3E5B">
              <w:rPr>
                <w:rFonts w:eastAsia="Calibri"/>
              </w:rPr>
              <w:t xml:space="preserve"> all-day program</w:t>
            </w:r>
          </w:p>
        </w:tc>
        <w:tc>
          <w:tcPr>
            <w:tcW w:w="1620" w:type="dxa"/>
            <w:tcMar>
              <w:top w:w="40" w:type="dxa"/>
              <w:left w:w="40" w:type="dxa"/>
              <w:bottom w:w="40" w:type="dxa"/>
              <w:right w:w="40" w:type="dxa"/>
            </w:tcMar>
          </w:tcPr>
          <w:p w14:paraId="1B69CF7D" w14:textId="77777777" w:rsidR="00143C65" w:rsidRPr="002A3E5B" w:rsidRDefault="00143C65" w:rsidP="002A3E5B">
            <w:pPr>
              <w:pStyle w:val="Tabletext"/>
              <w:rPr>
                <w:rFonts w:eastAsia="Calibri"/>
              </w:rPr>
            </w:pPr>
            <w:r w:rsidRPr="002A3E5B">
              <w:rPr>
                <w:rFonts w:eastAsia="Calibri"/>
              </w:rPr>
              <w:t>MFF</w:t>
            </w:r>
          </w:p>
        </w:tc>
        <w:tc>
          <w:tcPr>
            <w:tcW w:w="1530" w:type="dxa"/>
            <w:tcMar>
              <w:top w:w="40" w:type="dxa"/>
              <w:left w:w="40" w:type="dxa"/>
              <w:bottom w:w="40" w:type="dxa"/>
              <w:right w:w="40" w:type="dxa"/>
            </w:tcMar>
          </w:tcPr>
          <w:p w14:paraId="4549B90A" w14:textId="77777777" w:rsidR="00143C65" w:rsidRPr="002A3E5B" w:rsidRDefault="00143C65" w:rsidP="002A3E5B">
            <w:pPr>
              <w:pStyle w:val="Tabletext"/>
              <w:rPr>
                <w:rFonts w:eastAsia="Calibri"/>
              </w:rPr>
            </w:pPr>
            <w:r w:rsidRPr="002A3E5B">
              <w:rPr>
                <w:rFonts w:eastAsia="Calibri"/>
              </w:rPr>
              <w:t>2019.CSR2.5</w:t>
            </w:r>
          </w:p>
          <w:p w14:paraId="384C8B2D" w14:textId="77777777" w:rsidR="00143C65" w:rsidRPr="002A3E5B" w:rsidRDefault="00143C65" w:rsidP="002A3E5B">
            <w:pPr>
              <w:pStyle w:val="Tabletext"/>
              <w:rPr>
                <w:rFonts w:eastAsia="Calibri"/>
              </w:rPr>
            </w:pPr>
            <w:r w:rsidRPr="002A3E5B">
              <w:rPr>
                <w:rFonts w:eastAsia="Calibri"/>
              </w:rPr>
              <w:t>2019.CSR2.7</w:t>
            </w:r>
          </w:p>
          <w:p w14:paraId="6B840F51" w14:textId="77777777" w:rsidR="00143C65" w:rsidRPr="002A3E5B" w:rsidRDefault="00143C65" w:rsidP="002A3E5B">
            <w:pPr>
              <w:pStyle w:val="Tabletext"/>
              <w:rPr>
                <w:rFonts w:eastAsia="Calibri"/>
              </w:rPr>
            </w:pPr>
            <w:r w:rsidRPr="002A3E5B">
              <w:rPr>
                <w:rFonts w:eastAsia="Calibri"/>
              </w:rPr>
              <w:t>2024.CSR3.1</w:t>
            </w:r>
          </w:p>
        </w:tc>
        <w:tc>
          <w:tcPr>
            <w:tcW w:w="2565" w:type="dxa"/>
            <w:tcMar>
              <w:top w:w="40" w:type="dxa"/>
              <w:left w:w="40" w:type="dxa"/>
              <w:bottom w:w="40" w:type="dxa"/>
              <w:right w:w="40" w:type="dxa"/>
            </w:tcMar>
          </w:tcPr>
          <w:p w14:paraId="444C8BB0"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5C5858FE" w14:textId="77777777" w:rsidTr="002A3E5B">
        <w:trPr>
          <w:trHeight w:val="113"/>
          <w:jc w:val="center"/>
        </w:trPr>
        <w:tc>
          <w:tcPr>
            <w:tcW w:w="3645" w:type="dxa"/>
            <w:tcMar>
              <w:top w:w="40" w:type="dxa"/>
              <w:left w:w="40" w:type="dxa"/>
              <w:bottom w:w="40" w:type="dxa"/>
              <w:right w:w="40" w:type="dxa"/>
            </w:tcMar>
          </w:tcPr>
          <w:p w14:paraId="24252A1F" w14:textId="17412CB9" w:rsidR="00143C65" w:rsidRPr="002A3E5B" w:rsidRDefault="00BA03C0" w:rsidP="002A3E5B">
            <w:pPr>
              <w:pStyle w:val="Tabletext"/>
              <w:rPr>
                <w:rFonts w:eastAsia="Calibri"/>
              </w:rPr>
            </w:pPr>
            <w:r w:rsidRPr="00BA03C0">
              <w:rPr>
                <w:rFonts w:eastAsia="Calibri"/>
                <w:b/>
              </w:rPr>
              <w:lastRenderedPageBreak/>
              <w:t>REFORM 6:</w:t>
            </w:r>
            <w:r w:rsidR="00143C65" w:rsidRPr="002A3E5B">
              <w:rPr>
                <w:rFonts w:eastAsia="Calibri"/>
              </w:rPr>
              <w:t xml:space="preserve"> Inclusion in education</w:t>
            </w:r>
          </w:p>
        </w:tc>
        <w:tc>
          <w:tcPr>
            <w:tcW w:w="1620" w:type="dxa"/>
            <w:tcMar>
              <w:top w:w="40" w:type="dxa"/>
              <w:left w:w="40" w:type="dxa"/>
              <w:bottom w:w="40" w:type="dxa"/>
              <w:right w:w="40" w:type="dxa"/>
            </w:tcMar>
          </w:tcPr>
          <w:p w14:paraId="40CDA108" w14:textId="77777777" w:rsidR="00143C65" w:rsidRPr="002A3E5B" w:rsidRDefault="00143C65" w:rsidP="002A3E5B">
            <w:pPr>
              <w:pStyle w:val="Tabletext"/>
              <w:rPr>
                <w:rFonts w:eastAsia="Calibri"/>
              </w:rPr>
            </w:pPr>
            <w:r w:rsidRPr="002A3E5B">
              <w:rPr>
                <w:rFonts w:eastAsia="Calibri"/>
              </w:rPr>
              <w:t>MFF</w:t>
            </w:r>
          </w:p>
        </w:tc>
        <w:tc>
          <w:tcPr>
            <w:tcW w:w="1530" w:type="dxa"/>
            <w:tcMar>
              <w:top w:w="40" w:type="dxa"/>
              <w:left w:w="40" w:type="dxa"/>
              <w:bottom w:w="40" w:type="dxa"/>
              <w:right w:w="40" w:type="dxa"/>
            </w:tcMar>
          </w:tcPr>
          <w:p w14:paraId="2BA78B78" w14:textId="77777777" w:rsidR="00143C65" w:rsidRPr="002A3E5B" w:rsidRDefault="00143C65" w:rsidP="002A3E5B">
            <w:pPr>
              <w:pStyle w:val="Tabletext"/>
              <w:rPr>
                <w:rFonts w:eastAsia="Calibri"/>
              </w:rPr>
            </w:pPr>
            <w:r w:rsidRPr="002A3E5B">
              <w:rPr>
                <w:rFonts w:eastAsia="Calibri"/>
              </w:rPr>
              <w:t>2019.CSR2.5</w:t>
            </w:r>
          </w:p>
          <w:p w14:paraId="559E5315" w14:textId="77777777" w:rsidR="00143C65" w:rsidRPr="002A3E5B" w:rsidRDefault="00143C65" w:rsidP="002A3E5B">
            <w:pPr>
              <w:pStyle w:val="Tabletext"/>
              <w:rPr>
                <w:rFonts w:eastAsia="Calibri"/>
              </w:rPr>
            </w:pPr>
            <w:r w:rsidRPr="002A3E5B">
              <w:rPr>
                <w:rFonts w:eastAsia="Calibri"/>
              </w:rPr>
              <w:t>2024.CSR3.1</w:t>
            </w:r>
          </w:p>
        </w:tc>
        <w:tc>
          <w:tcPr>
            <w:tcW w:w="2565" w:type="dxa"/>
            <w:tcMar>
              <w:top w:w="40" w:type="dxa"/>
              <w:left w:w="40" w:type="dxa"/>
              <w:bottom w:w="40" w:type="dxa"/>
              <w:right w:w="40" w:type="dxa"/>
            </w:tcMar>
          </w:tcPr>
          <w:p w14:paraId="35E63A53"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103D6673" w14:textId="77777777" w:rsidTr="002A3E5B">
        <w:trPr>
          <w:trHeight w:val="113"/>
          <w:jc w:val="center"/>
        </w:trPr>
        <w:tc>
          <w:tcPr>
            <w:tcW w:w="3645" w:type="dxa"/>
            <w:tcMar>
              <w:top w:w="40" w:type="dxa"/>
              <w:left w:w="40" w:type="dxa"/>
              <w:bottom w:w="40" w:type="dxa"/>
              <w:right w:w="40" w:type="dxa"/>
            </w:tcMar>
          </w:tcPr>
          <w:p w14:paraId="445AF61E" w14:textId="23EEFF79" w:rsidR="00143C65" w:rsidRPr="002A3E5B" w:rsidRDefault="00996F8A" w:rsidP="002A3E5B">
            <w:pPr>
              <w:pStyle w:val="Tabletext"/>
              <w:rPr>
                <w:rFonts w:eastAsia="Calibri"/>
              </w:rPr>
            </w:pPr>
            <w:r w:rsidRPr="00996F8A">
              <w:rPr>
                <w:rFonts w:eastAsia="Calibri"/>
                <w:b/>
              </w:rPr>
              <w:t>REFORM 7:</w:t>
            </w:r>
            <w:r w:rsidR="00143C65" w:rsidRPr="002A3E5B">
              <w:rPr>
                <w:rFonts w:eastAsia="Calibri"/>
              </w:rPr>
              <w:t xml:space="preserve"> Upgrading Vocational Education and Training</w:t>
            </w:r>
          </w:p>
        </w:tc>
        <w:tc>
          <w:tcPr>
            <w:tcW w:w="1620" w:type="dxa"/>
            <w:tcMar>
              <w:top w:w="40" w:type="dxa"/>
              <w:left w:w="40" w:type="dxa"/>
              <w:bottom w:w="40" w:type="dxa"/>
              <w:right w:w="40" w:type="dxa"/>
            </w:tcMar>
          </w:tcPr>
          <w:p w14:paraId="70A0C1AD" w14:textId="77777777" w:rsidR="00143C65" w:rsidRPr="002A3E5B" w:rsidRDefault="00143C65" w:rsidP="002A3E5B">
            <w:pPr>
              <w:pStyle w:val="Tabletext"/>
              <w:rPr>
                <w:rFonts w:eastAsia="Calibri"/>
              </w:rPr>
            </w:pPr>
            <w:r w:rsidRPr="002A3E5B">
              <w:rPr>
                <w:rFonts w:eastAsia="Calibri"/>
              </w:rPr>
              <w:t>RRF 16934</w:t>
            </w:r>
          </w:p>
        </w:tc>
        <w:tc>
          <w:tcPr>
            <w:tcW w:w="1530" w:type="dxa"/>
            <w:tcMar>
              <w:top w:w="40" w:type="dxa"/>
              <w:left w:w="40" w:type="dxa"/>
              <w:bottom w:w="40" w:type="dxa"/>
              <w:right w:w="40" w:type="dxa"/>
            </w:tcMar>
          </w:tcPr>
          <w:p w14:paraId="6232EF73" w14:textId="77777777" w:rsidR="00143C65" w:rsidRPr="002A3E5B" w:rsidRDefault="00143C65" w:rsidP="002A3E5B">
            <w:pPr>
              <w:pStyle w:val="Tabletext"/>
              <w:rPr>
                <w:rFonts w:eastAsia="Calibri"/>
              </w:rPr>
            </w:pPr>
            <w:r w:rsidRPr="002A3E5B">
              <w:rPr>
                <w:rFonts w:eastAsia="Calibri"/>
              </w:rPr>
              <w:t>2024.CSR2.1</w:t>
            </w:r>
          </w:p>
          <w:p w14:paraId="5718F44E" w14:textId="77777777" w:rsidR="00143C65" w:rsidRPr="002A3E5B" w:rsidRDefault="00143C65" w:rsidP="002A3E5B">
            <w:pPr>
              <w:pStyle w:val="Tabletext"/>
              <w:rPr>
                <w:rFonts w:eastAsia="Calibri"/>
              </w:rPr>
            </w:pPr>
            <w:r w:rsidRPr="002A3E5B">
              <w:rPr>
                <w:rFonts w:eastAsia="Calibri"/>
              </w:rPr>
              <w:t>2020.CSR3.9</w:t>
            </w:r>
          </w:p>
          <w:p w14:paraId="736132E5" w14:textId="77777777" w:rsidR="00143C65" w:rsidRPr="002A3E5B" w:rsidRDefault="00143C65" w:rsidP="002A3E5B">
            <w:pPr>
              <w:pStyle w:val="Tabletext"/>
              <w:rPr>
                <w:rFonts w:eastAsia="Calibri"/>
              </w:rPr>
            </w:pPr>
            <w:r w:rsidRPr="002A3E5B">
              <w:rPr>
                <w:rFonts w:eastAsia="Calibri"/>
              </w:rPr>
              <w:t>2019.CSR2.5</w:t>
            </w:r>
          </w:p>
          <w:p w14:paraId="72EA5DDF" w14:textId="77777777" w:rsidR="00143C65" w:rsidRPr="002A3E5B" w:rsidRDefault="00143C65" w:rsidP="002A3E5B">
            <w:pPr>
              <w:pStyle w:val="Tabletext"/>
              <w:rPr>
                <w:rFonts w:eastAsia="Calibri"/>
              </w:rPr>
            </w:pPr>
            <w:r w:rsidRPr="002A3E5B">
              <w:rPr>
                <w:rFonts w:eastAsia="Calibri"/>
              </w:rPr>
              <w:t>2019.CSR2.6</w:t>
            </w:r>
          </w:p>
          <w:p w14:paraId="24201665" w14:textId="77777777" w:rsidR="00143C65" w:rsidRPr="002A3E5B" w:rsidRDefault="00143C65" w:rsidP="002A3E5B">
            <w:pPr>
              <w:pStyle w:val="Tabletext"/>
              <w:rPr>
                <w:rFonts w:eastAsia="Calibri"/>
              </w:rPr>
            </w:pPr>
            <w:r w:rsidRPr="002A3E5B">
              <w:rPr>
                <w:rFonts w:eastAsia="Calibri"/>
              </w:rPr>
              <w:t>2019.CSR2.7</w:t>
            </w:r>
          </w:p>
        </w:tc>
        <w:tc>
          <w:tcPr>
            <w:tcW w:w="2565" w:type="dxa"/>
            <w:tcMar>
              <w:top w:w="40" w:type="dxa"/>
              <w:left w:w="40" w:type="dxa"/>
              <w:bottom w:w="40" w:type="dxa"/>
              <w:right w:w="40" w:type="dxa"/>
            </w:tcMar>
          </w:tcPr>
          <w:p w14:paraId="7E07E732"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744544F6" w14:textId="77777777" w:rsidTr="002A3E5B">
        <w:trPr>
          <w:trHeight w:val="113"/>
          <w:jc w:val="center"/>
        </w:trPr>
        <w:tc>
          <w:tcPr>
            <w:tcW w:w="3645" w:type="dxa"/>
            <w:tcMar>
              <w:top w:w="40" w:type="dxa"/>
              <w:left w:w="40" w:type="dxa"/>
              <w:bottom w:w="40" w:type="dxa"/>
              <w:right w:w="40" w:type="dxa"/>
            </w:tcMar>
          </w:tcPr>
          <w:p w14:paraId="1E8FF1DE" w14:textId="5C46E2F6" w:rsidR="00143C65" w:rsidRPr="002A3E5B" w:rsidRDefault="00BA03C0" w:rsidP="002A3E5B">
            <w:pPr>
              <w:pStyle w:val="Tabletext"/>
              <w:rPr>
                <w:rFonts w:eastAsia="Calibri"/>
              </w:rPr>
            </w:pPr>
            <w:r w:rsidRPr="00BA03C0">
              <w:rPr>
                <w:rFonts w:eastAsia="Calibri"/>
                <w:b/>
              </w:rPr>
              <w:t>INVESTMENT 1:</w:t>
            </w:r>
            <w:r w:rsidR="00143C65" w:rsidRPr="002A3E5B">
              <w:rPr>
                <w:rFonts w:eastAsia="Calibri"/>
              </w:rPr>
              <w:t xml:space="preserve"> Upgrading Vocational Education and Training (VET): Supply of laboratory equipment for Laboratory Centers for SAEK, EPAL, Post-Secondary Year-Apprenticeship Class and Vocational Training Schools</w:t>
            </w:r>
          </w:p>
        </w:tc>
        <w:tc>
          <w:tcPr>
            <w:tcW w:w="1620" w:type="dxa"/>
            <w:tcMar>
              <w:top w:w="40" w:type="dxa"/>
              <w:left w:w="40" w:type="dxa"/>
              <w:bottom w:w="40" w:type="dxa"/>
              <w:right w:w="40" w:type="dxa"/>
            </w:tcMar>
          </w:tcPr>
          <w:p w14:paraId="133E8BF2" w14:textId="77777777" w:rsidR="00143C65" w:rsidRPr="002A3E5B" w:rsidRDefault="00143C65" w:rsidP="002A3E5B">
            <w:pPr>
              <w:pStyle w:val="Tabletext"/>
              <w:rPr>
                <w:rFonts w:eastAsia="Calibri"/>
              </w:rPr>
            </w:pPr>
            <w:r w:rsidRPr="002A3E5B">
              <w:rPr>
                <w:rFonts w:eastAsia="Calibri"/>
              </w:rPr>
              <w:t>RRF 16933</w:t>
            </w:r>
          </w:p>
        </w:tc>
        <w:tc>
          <w:tcPr>
            <w:tcW w:w="1530" w:type="dxa"/>
            <w:tcMar>
              <w:top w:w="40" w:type="dxa"/>
              <w:left w:w="40" w:type="dxa"/>
              <w:bottom w:w="40" w:type="dxa"/>
              <w:right w:w="40" w:type="dxa"/>
            </w:tcMar>
          </w:tcPr>
          <w:p w14:paraId="618B8287" w14:textId="77777777" w:rsidR="00143C65" w:rsidRPr="002A3E5B" w:rsidRDefault="00143C65" w:rsidP="002A3E5B">
            <w:pPr>
              <w:pStyle w:val="Tabletext"/>
              <w:rPr>
                <w:rFonts w:eastAsia="Calibri"/>
              </w:rPr>
            </w:pPr>
            <w:r w:rsidRPr="002A3E5B">
              <w:rPr>
                <w:rFonts w:eastAsia="Calibri"/>
              </w:rPr>
              <w:t>2024.CSR2.1</w:t>
            </w:r>
          </w:p>
          <w:p w14:paraId="401B570D" w14:textId="77777777" w:rsidR="00143C65" w:rsidRPr="002A3E5B" w:rsidRDefault="00143C65" w:rsidP="002A3E5B">
            <w:pPr>
              <w:pStyle w:val="Tabletext"/>
              <w:rPr>
                <w:rFonts w:eastAsia="Calibri"/>
              </w:rPr>
            </w:pPr>
            <w:r w:rsidRPr="002A3E5B">
              <w:rPr>
                <w:rFonts w:eastAsia="Calibri"/>
              </w:rPr>
              <w:t>2020.CSR3.8</w:t>
            </w:r>
          </w:p>
          <w:p w14:paraId="73E757AD" w14:textId="77777777" w:rsidR="00143C65" w:rsidRPr="002A3E5B" w:rsidRDefault="00143C65" w:rsidP="002A3E5B">
            <w:pPr>
              <w:pStyle w:val="Tabletext"/>
              <w:rPr>
                <w:rFonts w:eastAsia="Calibri"/>
              </w:rPr>
            </w:pPr>
            <w:r w:rsidRPr="002A3E5B">
              <w:rPr>
                <w:rFonts w:eastAsia="Calibri"/>
              </w:rPr>
              <w:t>2019.CSR2.3</w:t>
            </w:r>
          </w:p>
          <w:p w14:paraId="0D1B6C68" w14:textId="77777777" w:rsidR="00143C65" w:rsidRPr="002A3E5B" w:rsidRDefault="00143C65" w:rsidP="002A3E5B">
            <w:pPr>
              <w:pStyle w:val="Tabletext"/>
              <w:rPr>
                <w:rFonts w:eastAsia="Calibri"/>
              </w:rPr>
            </w:pPr>
            <w:r w:rsidRPr="002A3E5B">
              <w:rPr>
                <w:rFonts w:eastAsia="Calibri"/>
              </w:rPr>
              <w:t>2019.CSR2.5</w:t>
            </w:r>
          </w:p>
          <w:p w14:paraId="701A7C43" w14:textId="77777777" w:rsidR="00143C65" w:rsidRPr="002A3E5B" w:rsidRDefault="00143C65" w:rsidP="002A3E5B">
            <w:pPr>
              <w:pStyle w:val="Tabletext"/>
              <w:rPr>
                <w:rFonts w:eastAsia="Calibri"/>
              </w:rPr>
            </w:pPr>
            <w:r w:rsidRPr="002A3E5B">
              <w:rPr>
                <w:rFonts w:eastAsia="Calibri"/>
              </w:rPr>
              <w:t>2019.CSR2.7</w:t>
            </w:r>
          </w:p>
        </w:tc>
        <w:tc>
          <w:tcPr>
            <w:tcW w:w="2565" w:type="dxa"/>
            <w:tcMar>
              <w:top w:w="40" w:type="dxa"/>
              <w:left w:w="40" w:type="dxa"/>
              <w:bottom w:w="40" w:type="dxa"/>
              <w:right w:w="40" w:type="dxa"/>
            </w:tcMar>
          </w:tcPr>
          <w:p w14:paraId="431E162B"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4A8A5D76" w14:textId="77777777" w:rsidTr="002A3E5B">
        <w:trPr>
          <w:trHeight w:val="113"/>
          <w:jc w:val="center"/>
        </w:trPr>
        <w:tc>
          <w:tcPr>
            <w:tcW w:w="3645" w:type="dxa"/>
            <w:tcMar>
              <w:top w:w="40" w:type="dxa"/>
              <w:left w:w="40" w:type="dxa"/>
              <w:bottom w:w="40" w:type="dxa"/>
              <w:right w:w="40" w:type="dxa"/>
            </w:tcMar>
          </w:tcPr>
          <w:p w14:paraId="20738D4D" w14:textId="14637901" w:rsidR="00143C65" w:rsidRPr="002A3E5B" w:rsidRDefault="00BA03C0" w:rsidP="002A3E5B">
            <w:pPr>
              <w:pStyle w:val="Tabletext"/>
              <w:rPr>
                <w:rFonts w:eastAsia="Calibri"/>
              </w:rPr>
            </w:pPr>
            <w:r w:rsidRPr="00BA03C0">
              <w:rPr>
                <w:rFonts w:eastAsia="Calibri"/>
                <w:b/>
              </w:rPr>
              <w:t>INVESTMENT 2:</w:t>
            </w:r>
            <w:r w:rsidR="00143C65" w:rsidRPr="002A3E5B">
              <w:rPr>
                <w:rFonts w:eastAsia="Calibri"/>
              </w:rPr>
              <w:t xml:space="preserve"> Digital transformation of Education</w:t>
            </w:r>
          </w:p>
        </w:tc>
        <w:tc>
          <w:tcPr>
            <w:tcW w:w="1620" w:type="dxa"/>
            <w:tcMar>
              <w:top w:w="40" w:type="dxa"/>
              <w:left w:w="40" w:type="dxa"/>
              <w:bottom w:w="40" w:type="dxa"/>
              <w:right w:w="40" w:type="dxa"/>
            </w:tcMar>
          </w:tcPr>
          <w:p w14:paraId="0C00873C" w14:textId="77777777" w:rsidR="00143C65" w:rsidRPr="002A3E5B" w:rsidRDefault="00143C65" w:rsidP="002A3E5B">
            <w:pPr>
              <w:pStyle w:val="Tabletext"/>
              <w:rPr>
                <w:rFonts w:eastAsia="Calibri"/>
              </w:rPr>
            </w:pPr>
            <w:r w:rsidRPr="002A3E5B">
              <w:rPr>
                <w:rFonts w:eastAsia="Calibri"/>
              </w:rPr>
              <w:t>RRF 16676</w:t>
            </w:r>
          </w:p>
        </w:tc>
        <w:tc>
          <w:tcPr>
            <w:tcW w:w="1530" w:type="dxa"/>
            <w:tcMar>
              <w:top w:w="40" w:type="dxa"/>
              <w:left w:w="40" w:type="dxa"/>
              <w:bottom w:w="40" w:type="dxa"/>
              <w:right w:w="40" w:type="dxa"/>
            </w:tcMar>
          </w:tcPr>
          <w:p w14:paraId="0B50CE7C" w14:textId="77777777" w:rsidR="00143C65" w:rsidRPr="002A3E5B" w:rsidRDefault="00143C65" w:rsidP="002A3E5B">
            <w:pPr>
              <w:pStyle w:val="Tabletext"/>
              <w:rPr>
                <w:rFonts w:eastAsia="Calibri"/>
              </w:rPr>
            </w:pPr>
            <w:r w:rsidRPr="002A3E5B">
              <w:rPr>
                <w:rFonts w:eastAsia="Calibri"/>
              </w:rPr>
              <w:t>2024.CSR2.1</w:t>
            </w:r>
          </w:p>
          <w:p w14:paraId="360E1BAD" w14:textId="77777777" w:rsidR="00143C65" w:rsidRPr="002A3E5B" w:rsidRDefault="00143C65" w:rsidP="002A3E5B">
            <w:pPr>
              <w:pStyle w:val="Tabletext"/>
              <w:rPr>
                <w:rFonts w:eastAsia="Calibri"/>
              </w:rPr>
            </w:pPr>
            <w:r w:rsidRPr="002A3E5B">
              <w:rPr>
                <w:rFonts w:eastAsia="Calibri"/>
              </w:rPr>
              <w:t>2020.CSR3.8</w:t>
            </w:r>
          </w:p>
          <w:p w14:paraId="56489144" w14:textId="77777777" w:rsidR="00143C65" w:rsidRPr="002A3E5B" w:rsidRDefault="00143C65" w:rsidP="002A3E5B">
            <w:pPr>
              <w:pStyle w:val="Tabletext"/>
              <w:rPr>
                <w:rFonts w:eastAsia="Calibri"/>
              </w:rPr>
            </w:pPr>
            <w:r w:rsidRPr="002A3E5B">
              <w:rPr>
                <w:rFonts w:eastAsia="Calibri"/>
              </w:rPr>
              <w:t>2020.CSR3.9</w:t>
            </w:r>
          </w:p>
          <w:p w14:paraId="38F9BA3E" w14:textId="77777777" w:rsidR="00143C65" w:rsidRPr="002A3E5B" w:rsidRDefault="00143C65" w:rsidP="002A3E5B">
            <w:pPr>
              <w:pStyle w:val="Tabletext"/>
              <w:rPr>
                <w:rFonts w:eastAsia="Calibri"/>
              </w:rPr>
            </w:pPr>
            <w:r w:rsidRPr="002A3E5B">
              <w:rPr>
                <w:rFonts w:eastAsia="Calibri"/>
              </w:rPr>
              <w:t>2019.CSR2.3</w:t>
            </w:r>
          </w:p>
          <w:p w14:paraId="5F6A9C83" w14:textId="77777777" w:rsidR="00143C65" w:rsidRPr="002A3E5B" w:rsidRDefault="00143C65" w:rsidP="002A3E5B">
            <w:pPr>
              <w:pStyle w:val="Tabletext"/>
              <w:rPr>
                <w:rFonts w:eastAsia="Calibri"/>
              </w:rPr>
            </w:pPr>
            <w:r w:rsidRPr="002A3E5B">
              <w:rPr>
                <w:rFonts w:eastAsia="Calibri"/>
              </w:rPr>
              <w:t>2019.CSR2.5</w:t>
            </w:r>
          </w:p>
          <w:p w14:paraId="18032C14" w14:textId="77777777" w:rsidR="00143C65" w:rsidRPr="002A3E5B" w:rsidRDefault="00143C65" w:rsidP="002A3E5B">
            <w:pPr>
              <w:pStyle w:val="Tabletext"/>
              <w:rPr>
                <w:rFonts w:eastAsia="Calibri"/>
              </w:rPr>
            </w:pPr>
            <w:r w:rsidRPr="002A3E5B">
              <w:rPr>
                <w:rFonts w:eastAsia="Calibri"/>
              </w:rPr>
              <w:t>2019.CSR2.6</w:t>
            </w:r>
          </w:p>
        </w:tc>
        <w:tc>
          <w:tcPr>
            <w:tcW w:w="2565" w:type="dxa"/>
            <w:tcMar>
              <w:top w:w="40" w:type="dxa"/>
              <w:left w:w="40" w:type="dxa"/>
              <w:bottom w:w="40" w:type="dxa"/>
              <w:right w:w="40" w:type="dxa"/>
            </w:tcMar>
          </w:tcPr>
          <w:p w14:paraId="4CBEB09D" w14:textId="77777777" w:rsidR="00143C65" w:rsidRPr="002A3E5B" w:rsidRDefault="00143C65" w:rsidP="002A3E5B">
            <w:pPr>
              <w:pStyle w:val="Tabletext"/>
              <w:rPr>
                <w:rFonts w:eastAsia="Calibri"/>
              </w:rPr>
            </w:pPr>
            <w:r w:rsidRPr="002A3E5B">
              <w:rPr>
                <w:rFonts w:eastAsia="Calibri"/>
              </w:rPr>
              <w:t>Fair green &amp; digital transition</w:t>
            </w:r>
          </w:p>
        </w:tc>
      </w:tr>
      <w:tr w:rsidR="00143C65" w:rsidRPr="002A3E5B" w14:paraId="4E293CA9" w14:textId="77777777" w:rsidTr="002A3E5B">
        <w:trPr>
          <w:trHeight w:val="113"/>
          <w:jc w:val="center"/>
        </w:trPr>
        <w:tc>
          <w:tcPr>
            <w:tcW w:w="3645" w:type="dxa"/>
            <w:tcMar>
              <w:top w:w="40" w:type="dxa"/>
              <w:left w:w="40" w:type="dxa"/>
              <w:bottom w:w="40" w:type="dxa"/>
              <w:right w:w="40" w:type="dxa"/>
            </w:tcMar>
          </w:tcPr>
          <w:p w14:paraId="39305D52" w14:textId="55C69CF8" w:rsidR="00143C65" w:rsidRPr="002A3E5B" w:rsidRDefault="00BA03C0" w:rsidP="002A3E5B">
            <w:pPr>
              <w:pStyle w:val="Tabletext"/>
              <w:rPr>
                <w:rFonts w:eastAsia="Calibri"/>
              </w:rPr>
            </w:pPr>
            <w:r w:rsidRPr="00BA03C0">
              <w:rPr>
                <w:rFonts w:eastAsia="Calibri"/>
                <w:b/>
              </w:rPr>
              <w:t>INVESTMENT 3:</w:t>
            </w:r>
            <w:r w:rsidR="00143C65" w:rsidRPr="002A3E5B">
              <w:rPr>
                <w:rFonts w:eastAsia="Calibri"/>
              </w:rPr>
              <w:t xml:space="preserve"> Marietta Giannakou programme for the upgrading of school infrastructure</w:t>
            </w:r>
          </w:p>
        </w:tc>
        <w:tc>
          <w:tcPr>
            <w:tcW w:w="1620" w:type="dxa"/>
            <w:tcMar>
              <w:top w:w="40" w:type="dxa"/>
              <w:left w:w="40" w:type="dxa"/>
              <w:bottom w:w="40" w:type="dxa"/>
              <w:right w:w="40" w:type="dxa"/>
            </w:tcMar>
          </w:tcPr>
          <w:p w14:paraId="0F78EA62" w14:textId="77777777" w:rsidR="00143C65" w:rsidRPr="002A3E5B" w:rsidRDefault="00143C65" w:rsidP="002A3E5B">
            <w:pPr>
              <w:pStyle w:val="Tabletext"/>
              <w:rPr>
                <w:rFonts w:eastAsia="Calibri"/>
              </w:rPr>
            </w:pPr>
            <w:r w:rsidRPr="002A3E5B">
              <w:rPr>
                <w:rFonts w:eastAsia="Calibri"/>
              </w:rPr>
              <w:t xml:space="preserve"> </w:t>
            </w:r>
          </w:p>
        </w:tc>
        <w:tc>
          <w:tcPr>
            <w:tcW w:w="1530" w:type="dxa"/>
            <w:tcMar>
              <w:top w:w="40" w:type="dxa"/>
              <w:left w:w="40" w:type="dxa"/>
              <w:bottom w:w="40" w:type="dxa"/>
              <w:right w:w="40" w:type="dxa"/>
            </w:tcMar>
          </w:tcPr>
          <w:p w14:paraId="2CC4720B" w14:textId="77777777" w:rsidR="00143C65" w:rsidRPr="002A3E5B" w:rsidRDefault="00143C65" w:rsidP="002A3E5B">
            <w:pPr>
              <w:pStyle w:val="Tabletext"/>
              <w:rPr>
                <w:rFonts w:eastAsia="Calibri"/>
              </w:rPr>
            </w:pPr>
            <w:r w:rsidRPr="002A3E5B">
              <w:rPr>
                <w:rFonts w:eastAsia="Calibri"/>
              </w:rPr>
              <w:t>2019.CSR2.5</w:t>
            </w:r>
          </w:p>
        </w:tc>
        <w:tc>
          <w:tcPr>
            <w:tcW w:w="2565" w:type="dxa"/>
            <w:tcMar>
              <w:top w:w="40" w:type="dxa"/>
              <w:left w:w="40" w:type="dxa"/>
              <w:bottom w:w="40" w:type="dxa"/>
              <w:right w:w="40" w:type="dxa"/>
            </w:tcMar>
          </w:tcPr>
          <w:p w14:paraId="0757CB91" w14:textId="77777777" w:rsidR="00143C65" w:rsidRPr="002A3E5B" w:rsidRDefault="00143C65" w:rsidP="002A3E5B">
            <w:pPr>
              <w:pStyle w:val="Tabletext"/>
              <w:rPr>
                <w:rFonts w:eastAsia="Calibri"/>
              </w:rPr>
            </w:pPr>
            <w:r w:rsidRPr="002A3E5B">
              <w:rPr>
                <w:rFonts w:eastAsia="Calibri"/>
              </w:rPr>
              <w:t>Social and Economic resilience</w:t>
            </w:r>
          </w:p>
        </w:tc>
      </w:tr>
      <w:tr w:rsidR="00143C65" w:rsidRPr="002A3E5B" w14:paraId="18D57FBF" w14:textId="77777777" w:rsidTr="002A3E5B">
        <w:trPr>
          <w:trHeight w:val="113"/>
          <w:jc w:val="center"/>
        </w:trPr>
        <w:tc>
          <w:tcPr>
            <w:tcW w:w="3645" w:type="dxa"/>
            <w:tcMar>
              <w:top w:w="40" w:type="dxa"/>
              <w:left w:w="40" w:type="dxa"/>
              <w:bottom w:w="40" w:type="dxa"/>
              <w:right w:w="40" w:type="dxa"/>
            </w:tcMar>
          </w:tcPr>
          <w:p w14:paraId="1F090812" w14:textId="70E2BFD9" w:rsidR="00143C65" w:rsidRPr="002A3E5B" w:rsidRDefault="00BA03C0" w:rsidP="002A3E5B">
            <w:pPr>
              <w:pStyle w:val="Tabletext"/>
              <w:rPr>
                <w:rFonts w:eastAsia="Calibri"/>
              </w:rPr>
            </w:pPr>
            <w:r w:rsidRPr="00BA03C0">
              <w:rPr>
                <w:rFonts w:eastAsia="Calibri"/>
                <w:b/>
              </w:rPr>
              <w:t>INVESTMENT 4:</w:t>
            </w:r>
            <w:r w:rsidR="00143C65" w:rsidRPr="002A3E5B">
              <w:rPr>
                <w:rFonts w:eastAsia="Calibri"/>
              </w:rPr>
              <w:t xml:space="preserve"> Student residence development projects</w:t>
            </w:r>
          </w:p>
        </w:tc>
        <w:tc>
          <w:tcPr>
            <w:tcW w:w="1620" w:type="dxa"/>
            <w:tcMar>
              <w:top w:w="40" w:type="dxa"/>
              <w:left w:w="40" w:type="dxa"/>
              <w:bottom w:w="40" w:type="dxa"/>
              <w:right w:w="40" w:type="dxa"/>
            </w:tcMar>
          </w:tcPr>
          <w:p w14:paraId="38876ADD" w14:textId="77777777" w:rsidR="00143C65" w:rsidRPr="002A3E5B" w:rsidRDefault="00143C65" w:rsidP="002A3E5B">
            <w:pPr>
              <w:pStyle w:val="Tabletext"/>
              <w:rPr>
                <w:rFonts w:eastAsia="Calibri"/>
              </w:rPr>
            </w:pPr>
            <w:r w:rsidRPr="002A3E5B">
              <w:rPr>
                <w:rFonts w:eastAsia="Calibri"/>
              </w:rPr>
              <w:t>-</w:t>
            </w:r>
          </w:p>
        </w:tc>
        <w:tc>
          <w:tcPr>
            <w:tcW w:w="1530" w:type="dxa"/>
            <w:tcMar>
              <w:top w:w="40" w:type="dxa"/>
              <w:left w:w="40" w:type="dxa"/>
              <w:bottom w:w="40" w:type="dxa"/>
              <w:right w:w="40" w:type="dxa"/>
            </w:tcMar>
          </w:tcPr>
          <w:p w14:paraId="3E1B6F56" w14:textId="77777777" w:rsidR="00143C65" w:rsidRPr="002A3E5B" w:rsidRDefault="00143C65" w:rsidP="002A3E5B">
            <w:pPr>
              <w:pStyle w:val="Tabletext"/>
              <w:rPr>
                <w:rFonts w:eastAsia="Calibri"/>
              </w:rPr>
            </w:pPr>
            <w:r w:rsidRPr="002A3E5B">
              <w:rPr>
                <w:rFonts w:eastAsia="Calibri"/>
              </w:rPr>
              <w:t>2019.CSR2.5</w:t>
            </w:r>
          </w:p>
        </w:tc>
        <w:tc>
          <w:tcPr>
            <w:tcW w:w="2565" w:type="dxa"/>
            <w:tcMar>
              <w:top w:w="40" w:type="dxa"/>
              <w:left w:w="40" w:type="dxa"/>
              <w:bottom w:w="40" w:type="dxa"/>
              <w:right w:w="40" w:type="dxa"/>
            </w:tcMar>
          </w:tcPr>
          <w:p w14:paraId="3D8B01EC" w14:textId="77777777" w:rsidR="00143C65" w:rsidRPr="002A3E5B" w:rsidRDefault="00143C65" w:rsidP="002A3E5B">
            <w:pPr>
              <w:pStyle w:val="Tabletext"/>
              <w:rPr>
                <w:rFonts w:eastAsia="Calibri"/>
              </w:rPr>
            </w:pPr>
            <w:r w:rsidRPr="002A3E5B">
              <w:rPr>
                <w:rFonts w:eastAsia="Calibri"/>
              </w:rPr>
              <w:t>Social and Economic resilience</w:t>
            </w:r>
          </w:p>
        </w:tc>
      </w:tr>
    </w:tbl>
    <w:p w14:paraId="554F6EED" w14:textId="72B5E219" w:rsidR="00143C65" w:rsidRDefault="00143C65" w:rsidP="00DC712B">
      <w:pPr>
        <w:rPr>
          <w:rFonts w:eastAsia="Calibri"/>
        </w:rPr>
      </w:pPr>
    </w:p>
    <w:p w14:paraId="1DA3D871" w14:textId="77777777" w:rsidR="00143C65" w:rsidRPr="00920844" w:rsidRDefault="00143C65" w:rsidP="00920844">
      <w:pPr>
        <w:rPr>
          <w:rFonts w:eastAsia="Calibri"/>
          <w:lang w:val="en-US"/>
        </w:rPr>
      </w:pPr>
      <w:r w:rsidRPr="00920844">
        <w:rPr>
          <w:rFonts w:eastAsia="Calibri"/>
          <w:lang w:val="en-US"/>
        </w:rPr>
        <w:t xml:space="preserve">The </w:t>
      </w:r>
      <w:r w:rsidRPr="00920844">
        <w:rPr>
          <w:rFonts w:eastAsia="Calibri"/>
          <w:b/>
          <w:lang w:val="en-US"/>
        </w:rPr>
        <w:t>RRF reform for Strategy for Excellence in Universities &amp; Innovation</w:t>
      </w:r>
      <w:r w:rsidRPr="00920844">
        <w:rPr>
          <w:rFonts w:eastAsia="Calibri"/>
          <w:lang w:val="en-US"/>
        </w:rPr>
        <w:t xml:space="preserve"> reform aims to enhance the research performance of Greek universities and the quality of education offered by means of building a dynamic innovation ecosystem in terms of skills-cultivation and relevance to the job market. Achieving these targets will have numerous positive spill-over effects across the Greek economy and society: development of research activity in cutting-edge technologies, innovation development, attraction of qualified and distinguished academic staff and researchers, development of skills that are in high demand by employers to boost economic competitiveness and growth. This reform, which is expected to be concluded by 2026, will contribute to the international competitiveness, positioning and visibility of Greek universities. It comprises some of the following initiatives: clusters of research excellence, visiting professors/researchers scheme, upgrading the research and educational infrastructure of selected universities, industrial PhDs, as well as the digital transformation of the National Hellenic Libraries Network.</w:t>
      </w:r>
    </w:p>
    <w:p w14:paraId="31B3288A" w14:textId="77777777" w:rsidR="00143C65" w:rsidRPr="00920844" w:rsidRDefault="00143C65" w:rsidP="00920844">
      <w:pPr>
        <w:rPr>
          <w:rFonts w:eastAsia="Calibri"/>
          <w:lang w:val="en-US"/>
        </w:rPr>
      </w:pPr>
      <w:r w:rsidRPr="00920844">
        <w:rPr>
          <w:rFonts w:eastAsia="Calibri"/>
          <w:lang w:val="en-US"/>
        </w:rPr>
        <w:t>In the same field of higher education, the law 5094/2024 reflects the Ministry's commitment to a comprehensive reformist agenda plan that aspires to increase educational opportunities and social mobility, based on two main pillars: i) further strengthening of the Greek public universities and ii) removing barriers to higher education. The main innovation of Law 5094/2024 is the amendment of the</w:t>
      </w:r>
      <w:r w:rsidRPr="00920844">
        <w:rPr>
          <w:rFonts w:eastAsia="Calibri"/>
          <w:b/>
          <w:lang w:val="en-US"/>
        </w:rPr>
        <w:t xml:space="preserve"> institutional framework for establishment of branches of non state-non profit foreign Universities</w:t>
      </w:r>
      <w:r w:rsidRPr="00920844">
        <w:rPr>
          <w:rFonts w:eastAsia="Calibri"/>
          <w:lang w:val="en-US"/>
        </w:rPr>
        <w:t xml:space="preserve">, for the first time in modern Greek history. The law 5094/2024, in conformity to the European Pillar of Social Rights for education and skills,  </w:t>
      </w:r>
      <w:r w:rsidRPr="00920844">
        <w:rPr>
          <w:rFonts w:eastAsia="Calibri"/>
          <w:lang w:val="en-US"/>
        </w:rPr>
        <w:lastRenderedPageBreak/>
        <w:t>establishes the framework for creating a more liberated and dynamic academic environment and ultimately for rendering Greece a regional educational hub of excellence and innovation. These benefits reach far beyond the academic community to include business and the larger society, contributing towards increasing economic growth indicators through human capital. The aim is for non-state universities to start accepting student applications by September 2025.</w:t>
      </w:r>
    </w:p>
    <w:p w14:paraId="41270688" w14:textId="77777777" w:rsidR="00143C65" w:rsidRPr="00920844" w:rsidRDefault="00143C65" w:rsidP="00920844">
      <w:pPr>
        <w:rPr>
          <w:rFonts w:eastAsia="Calibri"/>
          <w:lang w:val="en-US"/>
        </w:rPr>
      </w:pPr>
      <w:r w:rsidRPr="00920844">
        <w:rPr>
          <w:rFonts w:eastAsia="Calibri"/>
          <w:lang w:val="en-US"/>
        </w:rPr>
        <w:t xml:space="preserve">The government’s initiatives to upgrade the quality of education are intended to improve the outcomes in PISA assessments and facilitate the acquisition of future skills for Greek students. More concretely, the Ministry of Education and OECD are working together under a specific agreement on </w:t>
      </w:r>
      <w:r w:rsidRPr="00920844">
        <w:rPr>
          <w:rFonts w:eastAsia="Calibri"/>
          <w:b/>
          <w:lang w:val="en-US"/>
        </w:rPr>
        <w:t>“Education Policy Review: Improving Learning Outcomes in Greece”</w:t>
      </w:r>
      <w:r w:rsidRPr="00920844">
        <w:rPr>
          <w:rFonts w:eastAsia="Calibri"/>
          <w:lang w:val="en-US"/>
        </w:rPr>
        <w:t>. The study will focus on reviewing the performance of the education system in Greece, shall provide policy advice for improving student learning outcomes and will provide concrete suggestions for the introduction of innovative educational policies and practices. This initiative focuses on learning outcomes, rather than mere transfer of knowledge, and bears a significant emphasis on the cultivation of students’ skills, in full accordance with the principle for education of the European Pillar of Social Rights. The reform aims to improve the performance of Greek students on the PISA indicators to reach the OECD average by 2027.</w:t>
      </w:r>
    </w:p>
    <w:p w14:paraId="1132656D" w14:textId="77777777" w:rsidR="00143C65" w:rsidRPr="00920844" w:rsidRDefault="00143C65" w:rsidP="00920844">
      <w:pPr>
        <w:rPr>
          <w:rFonts w:eastAsia="Calibri"/>
          <w:lang w:val="en-US"/>
        </w:rPr>
      </w:pPr>
      <w:r w:rsidRPr="00920844">
        <w:rPr>
          <w:rFonts w:eastAsia="Calibri"/>
          <w:lang w:val="en-US"/>
        </w:rPr>
        <w:t xml:space="preserve">Moreover, a better educational planning can be further achieved through </w:t>
      </w:r>
      <w:r w:rsidRPr="00920844">
        <w:rPr>
          <w:rFonts w:eastAsia="Calibri"/>
          <w:b/>
          <w:lang w:val="en-US"/>
        </w:rPr>
        <w:t>an extended network of Model and Experimental school units</w:t>
      </w:r>
      <w:r w:rsidRPr="00920844">
        <w:rPr>
          <w:rFonts w:eastAsia="Calibri"/>
          <w:lang w:val="en-US"/>
        </w:rPr>
        <w:t xml:space="preserve"> across the country, which operate as local centres of excellence for all students, regardless of socioeconomic background. Model Schools, first and foremost, aim at fostering and disseminating the idea and practice of exception in education while Experimental Schools aim at supporting experimentation and the pilot implementation of innovation in education, so that the best educational methods, practices and tools are fostered and disseminated throughout the education system. The expansion of Model and Experimental Schools from 60 to over 120 (146 in school year 2024-25) offers more high-quality free public education pathways to students and boosts the overall quality of education offered in public schools, serving the European Pillar of Social Rights for education - training and equal opportunities to students all over the country. Further expansion of the network is foreseen (expanding to 180 school units by 2027) based on an evaluation and rational planning, with Model and Experimental schools of all levels to be located in every region of the country.</w:t>
      </w:r>
    </w:p>
    <w:p w14:paraId="5569CE27" w14:textId="77777777" w:rsidR="00143C65" w:rsidRPr="00920844" w:rsidRDefault="00143C65" w:rsidP="00920844">
      <w:pPr>
        <w:rPr>
          <w:rFonts w:eastAsia="Calibri"/>
          <w:lang w:val="en-US"/>
        </w:rPr>
      </w:pPr>
      <w:r w:rsidRPr="00920844">
        <w:rPr>
          <w:rFonts w:eastAsia="Calibri"/>
          <w:lang w:val="en-US"/>
        </w:rPr>
        <w:t xml:space="preserve">The </w:t>
      </w:r>
      <w:r w:rsidRPr="00920844">
        <w:rPr>
          <w:rFonts w:eastAsia="Calibri"/>
          <w:b/>
          <w:lang w:val="en-US"/>
        </w:rPr>
        <w:t>all-day</w:t>
      </w:r>
      <w:r w:rsidRPr="00920844">
        <w:rPr>
          <w:rFonts w:eastAsia="Calibri"/>
          <w:lang w:val="en-US"/>
        </w:rPr>
        <w:t xml:space="preserve"> </w:t>
      </w:r>
      <w:r w:rsidRPr="00920844">
        <w:rPr>
          <w:rFonts w:eastAsia="Calibri"/>
          <w:b/>
          <w:lang w:val="en-US"/>
        </w:rPr>
        <w:t xml:space="preserve">program </w:t>
      </w:r>
      <w:r w:rsidRPr="00920844">
        <w:rPr>
          <w:rFonts w:eastAsia="Calibri"/>
          <w:lang w:val="en-US"/>
        </w:rPr>
        <w:t xml:space="preserve">is offered to the great majority of kindergartens and primary schools, with the result that there are very few students who cannot make use of the relevant benefits. The students who actually make use of it are about one in two (53% in kindergartens and 44% in primary schools). From the 2022-2023 school year, the all-day school has been extended in terms of duration and has been upgraded in quality, enriching the free education provided and supporting working parents and their families. School units with an extended all-day program meet criteria such as the school's student population, the number of students already attending all-day program and the number of operating all-day departments. The new educational </w:t>
      </w:r>
      <w:r w:rsidRPr="00920844">
        <w:rPr>
          <w:rFonts w:eastAsia="Calibri"/>
          <w:lang w:val="en-US"/>
        </w:rPr>
        <w:lastRenderedPageBreak/>
        <w:t>program includes upgraded content, through activity groups such as educational robotics, experiments, rhetorical art, safe and creative Internet navigation, sports, traditional or modern dances, visual arts, crafts and learning musical instruments. Also, extra time is provided for learning, studying and playing at school. With the new all-day, more free, creative time is ensured for the children at home, since the study will be completed at school, and, in addition, the free education benefits are extended. The all-day school supports working parents, by more closely aligning the school schedule with their working hours, therefore serving the European Pillar of Social Rights for active support to employment.</w:t>
      </w:r>
    </w:p>
    <w:p w14:paraId="571699EA" w14:textId="77777777" w:rsidR="00143C65" w:rsidRPr="00920844" w:rsidRDefault="00143C65" w:rsidP="00920844">
      <w:pPr>
        <w:rPr>
          <w:rFonts w:eastAsia="Calibri"/>
          <w:lang w:val="en-US"/>
        </w:rPr>
      </w:pPr>
      <w:r w:rsidRPr="00920844">
        <w:rPr>
          <w:rFonts w:eastAsia="Calibri"/>
          <w:lang w:val="en-US"/>
        </w:rPr>
        <w:t>In the Greek National Strategy for the Rights of Persons with Disabilities a Key Pillar is</w:t>
      </w:r>
      <w:r w:rsidRPr="00920844">
        <w:rPr>
          <w:rFonts w:eastAsia="Calibri"/>
          <w:b/>
          <w:lang w:val="en-US"/>
        </w:rPr>
        <w:t xml:space="preserve"> Inclusion in education at all levels</w:t>
      </w:r>
      <w:r w:rsidRPr="00920844">
        <w:rPr>
          <w:rFonts w:eastAsia="Calibri"/>
          <w:lang w:val="en-US"/>
        </w:rPr>
        <w:t>, including Vocational Education and Training and Lifelong Learning, with a particular focus on pre-school and primary education. For the implementation of this pillar, an increase in financial and material resources is foreseen in the direction of increasing the number of specialized educational staff to support the students. Emblematic actions are the creation and implementation of a new institutional framework for inclusive education in primary and secondary education and the strengthening of the knowledge and skills of teachers and primary and secondary education officials in the field of inclusive education. Finally, it is planned to improve the services provided by the Interdisciplinary Assessment Counseling and Support Centers, with the aim of reducing assessment waiting time, valid and reliable assessment and personalized support of students. The reform, which is in accordance with the European Pillar of Social Rights for equal opportunities, is scheduled to reach the end of the MFF programming period.</w:t>
      </w:r>
    </w:p>
    <w:p w14:paraId="191B877E" w14:textId="77777777" w:rsidR="00143C65" w:rsidRPr="00920844" w:rsidRDefault="00143C65" w:rsidP="00920844">
      <w:pPr>
        <w:rPr>
          <w:rFonts w:eastAsia="Calibri"/>
          <w:lang w:val="en-US"/>
        </w:rPr>
      </w:pPr>
      <w:r w:rsidRPr="00920844">
        <w:rPr>
          <w:rFonts w:eastAsia="Calibri"/>
          <w:lang w:val="en-US"/>
        </w:rPr>
        <w:t xml:space="preserve">The </w:t>
      </w:r>
      <w:r w:rsidRPr="00920844">
        <w:rPr>
          <w:rFonts w:eastAsia="Calibri"/>
          <w:b/>
          <w:lang w:val="en-US"/>
        </w:rPr>
        <w:t>RRF reform for “Upgrading Vocational Education and Training”</w:t>
      </w:r>
      <w:r w:rsidRPr="00920844">
        <w:rPr>
          <w:rFonts w:eastAsia="Calibri"/>
          <w:lang w:val="en-US"/>
        </w:rPr>
        <w:t xml:space="preserve"> is expected to contribute to the attractiveness of VET in the short term, as well as boost productivity and reduce (youth) unemployment in the long term. The reform, in accordance with the European Pillar of Social Rights for education and training, aims to eliminate the gap between education and the actual needs of the labour market with the ultimate goal of upgrading the knowledge, competences and skills of VET graduates.  The measure provides for the establishment and/or gradual conversion of 25 model vocational upper secondary schools (PEPAL) and of 15 Thematic/Experimental Schools of Higher Vocational Training (SAEK) throughout the country, through building interventions, supply of equipment, services and educational material. It also entails the Digitalization of EOPPEP, the National Organisation for the Certification of Qualifications and Vocational Guidance  (an all-encompassing statutory body investing on better quality and more efficient &amp; reliable lifelong learning services in Greece), while an e-learning VET platform will also be developed. The said reform will be coupled with the RRF Investment for the renewal and complete modernisation of laboratory equipment for 376 Laboratory Centers of vocational education and training, further strengthening the overall objectives outlined in the reform on Upgrading VET. The implementation of both reform and investment actions is scheduled to be completed by 2026.</w:t>
      </w:r>
    </w:p>
    <w:p w14:paraId="5029AC50" w14:textId="77777777" w:rsidR="00143C65" w:rsidRPr="00920844" w:rsidRDefault="00143C65" w:rsidP="00920844">
      <w:pPr>
        <w:rPr>
          <w:rFonts w:eastAsia="Calibri"/>
          <w:lang w:val="en-US"/>
        </w:rPr>
      </w:pPr>
      <w:r w:rsidRPr="00920844">
        <w:rPr>
          <w:rFonts w:eastAsia="Calibri"/>
          <w:lang w:val="en-US"/>
        </w:rPr>
        <w:lastRenderedPageBreak/>
        <w:t xml:space="preserve">Greece has initiated a comprehensive strategy for the </w:t>
      </w:r>
      <w:r w:rsidRPr="00920844">
        <w:rPr>
          <w:rFonts w:eastAsia="Calibri"/>
          <w:b/>
          <w:lang w:val="en-US"/>
        </w:rPr>
        <w:t>“Digital Transformation of Education”</w:t>
      </w:r>
      <w:r w:rsidRPr="00920844">
        <w:rPr>
          <w:rFonts w:eastAsia="Calibri"/>
          <w:lang w:val="en-US"/>
        </w:rPr>
        <w:t>. In order to develop a robust and outgoing Greek economy over the long run, a relevant RRF investment seeks to establish an inclusive digital educational paradigm in the country. The investment also aims to support the cultivation of digital skills, through the delivery of 177,112 robotics kits, as well as the installation of more than 36,264 interactive whiteboards in all schools, from Grade 5 and up. This initiative, in full alignment with the Education, training and life-long learning principle of the European Pillar of Social Rights, will contribute to broad-based digital upskilling and inclusive long-term economic growth as people will develop the right skills, enabling competitiveness and innovation which are considered critical for the future challenges and global economy. The action is expected to reduce socioeconomic inequalities regarding access to digital training, thereby contributing to social cohesion. The investment consists of the following components: Digital content and digital equipment in schools, professional development of school teachers and digital services in schools and universities. The implementation of the investment is expected to be completed by 2026.</w:t>
      </w:r>
    </w:p>
    <w:p w14:paraId="69C45419" w14:textId="77777777" w:rsidR="00143C65" w:rsidRPr="00920844" w:rsidRDefault="00143C65" w:rsidP="00920844">
      <w:pPr>
        <w:rPr>
          <w:rFonts w:eastAsia="Calibri"/>
          <w:lang w:val="en-US"/>
        </w:rPr>
      </w:pPr>
      <w:r w:rsidRPr="00920844">
        <w:rPr>
          <w:rFonts w:eastAsia="Calibri"/>
          <w:lang w:val="en-US"/>
        </w:rPr>
        <w:t xml:space="preserve">The government, in order to equip students to meet the challenges of tomorrow, is investing in school infrastructure to ensure safe and modern classrooms and facilities. In this direction, the launch of the new </w:t>
      </w:r>
      <w:r w:rsidRPr="00920844">
        <w:rPr>
          <w:rFonts w:eastAsia="Calibri"/>
          <w:b/>
          <w:lang w:val="en-US"/>
        </w:rPr>
        <w:t>"Marietta Giannakou"</w:t>
      </w:r>
      <w:r w:rsidRPr="00920844">
        <w:rPr>
          <w:rFonts w:eastAsia="Calibri"/>
          <w:lang w:val="en-US"/>
        </w:rPr>
        <w:t xml:space="preserve"> programme for the upgrading and renovation of school buildings was recently announced, an investment that is expected to support the fundamental principle for education of the European Pillar of Social Rights. According to the programming so far, €250 million will be made available from the Public Investment Programme, while the possibility of increasing the budget through donations will be considered. Works are planned to start in early 2025.</w:t>
      </w:r>
    </w:p>
    <w:p w14:paraId="2BDB3786" w14:textId="77777777" w:rsidR="00143C65" w:rsidRPr="00920844" w:rsidRDefault="00143C65" w:rsidP="00920844">
      <w:pPr>
        <w:rPr>
          <w:rFonts w:eastAsia="Calibri"/>
          <w:lang w:val="en-US"/>
        </w:rPr>
      </w:pPr>
      <w:r w:rsidRPr="00920844">
        <w:rPr>
          <w:rFonts w:eastAsia="Calibri"/>
          <w:lang w:val="en-US"/>
        </w:rPr>
        <w:t xml:space="preserve">In the context of the holistic reform of higher education, targeted actions for the provision of modern student care services are also a key priority. The </w:t>
      </w:r>
      <w:r w:rsidRPr="00920844">
        <w:rPr>
          <w:rFonts w:eastAsia="Calibri"/>
          <w:b/>
          <w:lang w:val="en-US"/>
        </w:rPr>
        <w:t>construction of Student Residencies</w:t>
      </w:r>
      <w:r w:rsidRPr="00920844">
        <w:rPr>
          <w:rFonts w:eastAsia="Calibri"/>
          <w:lang w:val="en-US"/>
        </w:rPr>
        <w:t xml:space="preserve"> in major Greek universities for Greek and foreign students is a flagship project, which will be mainly carried out in the form of Public-Private Partnerships. This initiative moves towards providing equal opportunities for access to higher education by covering students' accommodation costs, in parallel with the principles of the European Pillar of Social Rights regarding education and equal opportunities. The undergoing projects, which are expected to be completed by 2027-2028, refer to 5 student residence development projects with 8,150 beds for students in Thrace, Thessaly, Crete, West Macedonia and Attica with a budget exceeding €700 million (including VAT). More specific the student residencies of University of Thessaly (€106 million), Democritus University of Thrace (€132 million) and University of Crete (€255 million) will be completed by 2027 and the student residencies of the University of Western Macedonia (€105 million), University of West Attica (€81 million) and National Technical University of Athens (€50 million) will be completed by 2028.</w:t>
      </w:r>
    </w:p>
    <w:p w14:paraId="46AFDF47" w14:textId="77777777" w:rsidR="00143C65" w:rsidRPr="00920844" w:rsidRDefault="00143C65" w:rsidP="00DC712B">
      <w:pPr>
        <w:rPr>
          <w:rFonts w:eastAsia="Calibri"/>
          <w:lang w:val="en-US"/>
        </w:rPr>
      </w:pPr>
    </w:p>
    <w:p w14:paraId="585B18DC" w14:textId="13EDCD80" w:rsidR="00987A40" w:rsidRDefault="001347A2" w:rsidP="00B656B8">
      <w:pPr>
        <w:pStyle w:val="Heading2"/>
        <w:pBdr>
          <w:bottom w:val="single" w:sz="18" w:space="1" w:color="FF3300"/>
        </w:pBdr>
      </w:pPr>
      <w:bookmarkStart w:id="63" w:name="_Toc177496804"/>
      <w:bookmarkStart w:id="64" w:name="_Toc178070106"/>
      <w:r>
        <w:rPr>
          <w:lang w:val="en-US"/>
        </w:rPr>
        <w:lastRenderedPageBreak/>
        <w:t>M</w:t>
      </w:r>
      <w:r w:rsidRPr="00B656B8">
        <w:t xml:space="preserve">inistry of </w:t>
      </w:r>
      <w:bookmarkEnd w:id="63"/>
      <w:r>
        <w:rPr>
          <w:lang w:val="en-US"/>
        </w:rPr>
        <w:t>H</w:t>
      </w:r>
      <w:r w:rsidRPr="00B656B8">
        <w:t>ealth</w:t>
      </w:r>
      <w:bookmarkEnd w:id="64"/>
    </w:p>
    <w:p w14:paraId="24F1555C" w14:textId="59646431" w:rsidR="00143C65" w:rsidRDefault="00143C65" w:rsidP="00143C65"/>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442"/>
        <w:gridCol w:w="1500"/>
        <w:gridCol w:w="1384"/>
        <w:gridCol w:w="2746"/>
      </w:tblGrid>
      <w:tr w:rsidR="008318EB" w:rsidRPr="002A3E5B" w14:paraId="79FA70D4" w14:textId="77777777" w:rsidTr="002A3E5B">
        <w:trPr>
          <w:trHeight w:val="113"/>
          <w:jc w:val="center"/>
        </w:trPr>
        <w:tc>
          <w:tcPr>
            <w:tcW w:w="3555" w:type="dxa"/>
            <w:shd w:val="clear" w:color="auto" w:fill="CFE2F3"/>
            <w:tcMar>
              <w:top w:w="0" w:type="dxa"/>
              <w:left w:w="100" w:type="dxa"/>
              <w:bottom w:w="0" w:type="dxa"/>
              <w:right w:w="100" w:type="dxa"/>
            </w:tcMar>
          </w:tcPr>
          <w:p w14:paraId="40E3113F" w14:textId="77777777" w:rsidR="008318EB" w:rsidRPr="002A3E5B" w:rsidRDefault="008318EB" w:rsidP="002A3E5B">
            <w:pPr>
              <w:pStyle w:val="Tabletext"/>
              <w:rPr>
                <w:rFonts w:eastAsia="Calibri"/>
                <w:b/>
              </w:rPr>
            </w:pPr>
            <w:r w:rsidRPr="002A3E5B">
              <w:rPr>
                <w:rFonts w:eastAsia="Calibri"/>
                <w:b/>
              </w:rPr>
              <w:t>REFORM / INVESTMENT</w:t>
            </w:r>
          </w:p>
        </w:tc>
        <w:tc>
          <w:tcPr>
            <w:tcW w:w="1545" w:type="dxa"/>
            <w:shd w:val="clear" w:color="auto" w:fill="CFE2F3"/>
            <w:tcMar>
              <w:top w:w="0" w:type="dxa"/>
              <w:left w:w="100" w:type="dxa"/>
              <w:bottom w:w="0" w:type="dxa"/>
              <w:right w:w="100" w:type="dxa"/>
            </w:tcMar>
          </w:tcPr>
          <w:p w14:paraId="62197D1E" w14:textId="77777777" w:rsidR="008318EB" w:rsidRPr="002A3E5B" w:rsidRDefault="008318EB" w:rsidP="002A3E5B">
            <w:pPr>
              <w:pStyle w:val="Tabletext"/>
              <w:rPr>
                <w:rFonts w:eastAsia="Calibri"/>
                <w:b/>
              </w:rPr>
            </w:pPr>
            <w:r w:rsidRPr="002A3E5B">
              <w:rPr>
                <w:rFonts w:eastAsia="Calibri"/>
                <w:b/>
              </w:rPr>
              <w:t>RRF / MFF</w:t>
            </w:r>
          </w:p>
        </w:tc>
        <w:tc>
          <w:tcPr>
            <w:tcW w:w="1425" w:type="dxa"/>
            <w:shd w:val="clear" w:color="auto" w:fill="CFE2F3"/>
            <w:tcMar>
              <w:top w:w="0" w:type="dxa"/>
              <w:left w:w="100" w:type="dxa"/>
              <w:bottom w:w="0" w:type="dxa"/>
              <w:right w:w="100" w:type="dxa"/>
            </w:tcMar>
          </w:tcPr>
          <w:p w14:paraId="06E1E2EF" w14:textId="77777777" w:rsidR="008318EB" w:rsidRPr="002A3E5B" w:rsidRDefault="008318EB" w:rsidP="002A3E5B">
            <w:pPr>
              <w:pStyle w:val="Tabletext"/>
              <w:rPr>
                <w:rFonts w:eastAsia="Calibri"/>
                <w:b/>
              </w:rPr>
            </w:pPr>
            <w:r w:rsidRPr="002A3E5B">
              <w:rPr>
                <w:rFonts w:eastAsia="Calibri"/>
                <w:b/>
              </w:rPr>
              <w:t>CSR</w:t>
            </w:r>
          </w:p>
        </w:tc>
        <w:tc>
          <w:tcPr>
            <w:tcW w:w="2835" w:type="dxa"/>
            <w:shd w:val="clear" w:color="auto" w:fill="CFE2F3"/>
            <w:tcMar>
              <w:top w:w="0" w:type="dxa"/>
              <w:left w:w="100" w:type="dxa"/>
              <w:bottom w:w="0" w:type="dxa"/>
              <w:right w:w="100" w:type="dxa"/>
            </w:tcMar>
          </w:tcPr>
          <w:p w14:paraId="22CBA80B" w14:textId="77777777" w:rsidR="008318EB" w:rsidRPr="002A3E5B" w:rsidRDefault="008318EB" w:rsidP="002A3E5B">
            <w:pPr>
              <w:pStyle w:val="Tabletext"/>
              <w:rPr>
                <w:rFonts w:eastAsia="Calibri"/>
                <w:b/>
              </w:rPr>
            </w:pPr>
            <w:r w:rsidRPr="002A3E5B">
              <w:rPr>
                <w:rFonts w:eastAsia="Calibri"/>
                <w:b/>
              </w:rPr>
              <w:t>COMMON PRIORITIES</w:t>
            </w:r>
          </w:p>
        </w:tc>
      </w:tr>
      <w:tr w:rsidR="008318EB" w:rsidRPr="002A3E5B" w14:paraId="202AF220" w14:textId="77777777" w:rsidTr="002A3E5B">
        <w:trPr>
          <w:trHeight w:val="113"/>
          <w:jc w:val="center"/>
        </w:trPr>
        <w:tc>
          <w:tcPr>
            <w:tcW w:w="3555" w:type="dxa"/>
            <w:tcMar>
              <w:top w:w="0" w:type="dxa"/>
              <w:left w:w="40" w:type="dxa"/>
              <w:bottom w:w="0" w:type="dxa"/>
              <w:right w:w="40" w:type="dxa"/>
            </w:tcMar>
          </w:tcPr>
          <w:p w14:paraId="17C7761F" w14:textId="7CBCA319" w:rsidR="008318EB" w:rsidRPr="002A3E5B" w:rsidRDefault="00BA03C0" w:rsidP="002A3E5B">
            <w:pPr>
              <w:pStyle w:val="Tabletext"/>
              <w:rPr>
                <w:rFonts w:eastAsia="Calibri"/>
              </w:rPr>
            </w:pPr>
            <w:r w:rsidRPr="00BA03C0">
              <w:rPr>
                <w:rFonts w:eastAsia="Calibri"/>
                <w:b/>
              </w:rPr>
              <w:t>REFORM 1:</w:t>
            </w:r>
            <w:r w:rsidR="008318EB" w:rsidRPr="002A3E5B">
              <w:rPr>
                <w:rFonts w:eastAsia="Calibri"/>
              </w:rPr>
              <w:t xml:space="preserve"> Implementation of the National Public Health Prevention Program "Spiros Doxiadis" (NPP "SD")</w:t>
            </w:r>
          </w:p>
        </w:tc>
        <w:tc>
          <w:tcPr>
            <w:tcW w:w="1545" w:type="dxa"/>
            <w:tcMar>
              <w:top w:w="0" w:type="dxa"/>
              <w:left w:w="40" w:type="dxa"/>
              <w:bottom w:w="0" w:type="dxa"/>
              <w:right w:w="40" w:type="dxa"/>
            </w:tcMar>
          </w:tcPr>
          <w:p w14:paraId="5A0B358A" w14:textId="77777777" w:rsidR="008318EB" w:rsidRPr="002A3E5B" w:rsidRDefault="008318EB" w:rsidP="002A3E5B">
            <w:pPr>
              <w:pStyle w:val="Tabletext"/>
              <w:rPr>
                <w:rFonts w:eastAsia="Calibri"/>
              </w:rPr>
            </w:pPr>
            <w:r w:rsidRPr="002A3E5B">
              <w:rPr>
                <w:rFonts w:eastAsia="Calibri"/>
              </w:rPr>
              <w:t>RRF 16783</w:t>
            </w:r>
          </w:p>
        </w:tc>
        <w:tc>
          <w:tcPr>
            <w:tcW w:w="1425" w:type="dxa"/>
            <w:tcMar>
              <w:top w:w="0" w:type="dxa"/>
              <w:left w:w="40" w:type="dxa"/>
              <w:bottom w:w="0" w:type="dxa"/>
              <w:right w:w="40" w:type="dxa"/>
            </w:tcMar>
          </w:tcPr>
          <w:p w14:paraId="7B11C466" w14:textId="4DE0426B" w:rsidR="008318EB" w:rsidRPr="002A3E5B" w:rsidRDefault="008318EB" w:rsidP="002A3E5B">
            <w:pPr>
              <w:pStyle w:val="Tabletext"/>
              <w:rPr>
                <w:rFonts w:eastAsia="Calibri"/>
              </w:rPr>
            </w:pPr>
            <w:r w:rsidRPr="002A3E5B">
              <w:rPr>
                <w:rFonts w:eastAsia="Calibri"/>
              </w:rPr>
              <w:t>2024.CSR2.1</w:t>
            </w:r>
            <w:r w:rsidRPr="002A3E5B">
              <w:rPr>
                <w:rFonts w:eastAsia="Calibri"/>
              </w:rPr>
              <w:br/>
              <w:t>2024.CSR2.2</w:t>
            </w:r>
            <w:r w:rsidRPr="002A3E5B">
              <w:rPr>
                <w:rFonts w:eastAsia="Calibri"/>
              </w:rPr>
              <w:br/>
              <w:t>2020.CSR1.2</w:t>
            </w:r>
            <w:r w:rsidRPr="002A3E5B">
              <w:rPr>
                <w:rFonts w:eastAsia="Calibri"/>
              </w:rPr>
              <w:br/>
              <w:t>2020.CSR1.3</w:t>
            </w:r>
            <w:r w:rsidRPr="002A3E5B">
              <w:rPr>
                <w:rFonts w:eastAsia="Calibri"/>
              </w:rPr>
              <w:br/>
              <w:t>2020.CSR3.9</w:t>
            </w:r>
            <w:r w:rsidRPr="002A3E5B">
              <w:rPr>
                <w:rFonts w:eastAsia="Calibri"/>
              </w:rPr>
              <w:br/>
              <w:t>2019.CSR2.8</w:t>
            </w:r>
          </w:p>
        </w:tc>
        <w:tc>
          <w:tcPr>
            <w:tcW w:w="2835" w:type="dxa"/>
            <w:tcMar>
              <w:top w:w="0" w:type="dxa"/>
              <w:left w:w="40" w:type="dxa"/>
              <w:bottom w:w="0" w:type="dxa"/>
              <w:right w:w="40" w:type="dxa"/>
            </w:tcMar>
          </w:tcPr>
          <w:p w14:paraId="73A87204"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393566CC" w14:textId="77777777" w:rsidTr="002A3E5B">
        <w:trPr>
          <w:trHeight w:val="113"/>
          <w:jc w:val="center"/>
        </w:trPr>
        <w:tc>
          <w:tcPr>
            <w:tcW w:w="3555" w:type="dxa"/>
            <w:tcMar>
              <w:top w:w="0" w:type="dxa"/>
              <w:left w:w="40" w:type="dxa"/>
              <w:bottom w:w="0" w:type="dxa"/>
              <w:right w:w="40" w:type="dxa"/>
            </w:tcMar>
          </w:tcPr>
          <w:p w14:paraId="2A97740B" w14:textId="36902F9F" w:rsidR="008318EB" w:rsidRPr="002A3E5B" w:rsidRDefault="00BA03C0" w:rsidP="002A3E5B">
            <w:pPr>
              <w:pStyle w:val="Tabletext"/>
              <w:rPr>
                <w:rFonts w:eastAsia="Calibri"/>
              </w:rPr>
            </w:pPr>
            <w:r w:rsidRPr="00BA03C0">
              <w:rPr>
                <w:rFonts w:eastAsia="Calibri"/>
                <w:b/>
              </w:rPr>
              <w:t>REFORM 2:</w:t>
            </w:r>
            <w:r w:rsidR="008318EB" w:rsidRPr="002A3E5B">
              <w:rPr>
                <w:rFonts w:eastAsia="Calibri"/>
              </w:rPr>
              <w:t xml:space="preserve"> Completion of Psychiatric Reform</w:t>
            </w:r>
          </w:p>
        </w:tc>
        <w:tc>
          <w:tcPr>
            <w:tcW w:w="1545" w:type="dxa"/>
            <w:tcMar>
              <w:top w:w="0" w:type="dxa"/>
              <w:left w:w="40" w:type="dxa"/>
              <w:bottom w:w="0" w:type="dxa"/>
              <w:right w:w="40" w:type="dxa"/>
            </w:tcMar>
          </w:tcPr>
          <w:p w14:paraId="0F4B893D" w14:textId="77777777" w:rsidR="008318EB" w:rsidRPr="002A3E5B" w:rsidRDefault="008318EB" w:rsidP="002A3E5B">
            <w:pPr>
              <w:pStyle w:val="Tabletext"/>
              <w:rPr>
                <w:rFonts w:eastAsia="Calibri"/>
              </w:rPr>
            </w:pPr>
            <w:r w:rsidRPr="002A3E5B">
              <w:rPr>
                <w:rFonts w:eastAsia="Calibri"/>
              </w:rPr>
              <w:t>MFF</w:t>
            </w:r>
          </w:p>
        </w:tc>
        <w:tc>
          <w:tcPr>
            <w:tcW w:w="1425" w:type="dxa"/>
            <w:tcMar>
              <w:top w:w="0" w:type="dxa"/>
              <w:left w:w="40" w:type="dxa"/>
              <w:bottom w:w="0" w:type="dxa"/>
              <w:right w:w="40" w:type="dxa"/>
            </w:tcMar>
          </w:tcPr>
          <w:p w14:paraId="5FDCA853" w14:textId="1BBD4507" w:rsidR="008318EB" w:rsidRPr="002A3E5B" w:rsidRDefault="008318EB" w:rsidP="002A3E5B">
            <w:pPr>
              <w:pStyle w:val="Tabletext"/>
              <w:rPr>
                <w:rFonts w:eastAsia="Calibri"/>
              </w:rPr>
            </w:pPr>
            <w:r w:rsidRPr="002A3E5B">
              <w:rPr>
                <w:rFonts w:eastAsia="Calibri"/>
              </w:rPr>
              <w:t>2020.CSR1.2</w:t>
            </w:r>
            <w:r w:rsidRPr="002A3E5B">
              <w:rPr>
                <w:rFonts w:eastAsia="Calibri"/>
              </w:rPr>
              <w:br/>
              <w:t>2020.CSR1.3</w:t>
            </w:r>
            <w:r w:rsidRPr="002A3E5B">
              <w:rPr>
                <w:rFonts w:eastAsia="Calibri"/>
              </w:rPr>
              <w:br/>
              <w:t>2019.CSR2.8</w:t>
            </w:r>
          </w:p>
        </w:tc>
        <w:tc>
          <w:tcPr>
            <w:tcW w:w="2835" w:type="dxa"/>
            <w:tcMar>
              <w:top w:w="0" w:type="dxa"/>
              <w:left w:w="40" w:type="dxa"/>
              <w:bottom w:w="0" w:type="dxa"/>
              <w:right w:w="40" w:type="dxa"/>
            </w:tcMar>
          </w:tcPr>
          <w:p w14:paraId="2F3256B7"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54093281" w14:textId="77777777" w:rsidTr="002A3E5B">
        <w:trPr>
          <w:trHeight w:val="113"/>
          <w:jc w:val="center"/>
        </w:trPr>
        <w:tc>
          <w:tcPr>
            <w:tcW w:w="3555" w:type="dxa"/>
            <w:tcMar>
              <w:top w:w="0" w:type="dxa"/>
              <w:left w:w="40" w:type="dxa"/>
              <w:bottom w:w="0" w:type="dxa"/>
              <w:right w:w="40" w:type="dxa"/>
            </w:tcMar>
          </w:tcPr>
          <w:p w14:paraId="50B5826A" w14:textId="7B9834EA" w:rsidR="008318EB" w:rsidRPr="002A3E5B" w:rsidRDefault="00BA03C0" w:rsidP="002A3E5B">
            <w:pPr>
              <w:pStyle w:val="Tabletext"/>
              <w:rPr>
                <w:rFonts w:eastAsia="Calibri"/>
              </w:rPr>
            </w:pPr>
            <w:r w:rsidRPr="00BA03C0">
              <w:rPr>
                <w:rFonts w:eastAsia="Calibri"/>
                <w:b/>
              </w:rPr>
              <w:t>REFORM 3:</w:t>
            </w:r>
            <w:r w:rsidR="008318EB" w:rsidRPr="002A3E5B">
              <w:rPr>
                <w:rFonts w:eastAsia="Calibri"/>
              </w:rPr>
              <w:t xml:space="preserve"> Reform in the fields of mental health and addictions</w:t>
            </w:r>
          </w:p>
        </w:tc>
        <w:tc>
          <w:tcPr>
            <w:tcW w:w="1545" w:type="dxa"/>
            <w:tcMar>
              <w:top w:w="0" w:type="dxa"/>
              <w:left w:w="40" w:type="dxa"/>
              <w:bottom w:w="0" w:type="dxa"/>
              <w:right w:w="40" w:type="dxa"/>
            </w:tcMar>
          </w:tcPr>
          <w:p w14:paraId="5E590255" w14:textId="77777777" w:rsidR="008318EB" w:rsidRPr="002A3E5B" w:rsidRDefault="008318EB" w:rsidP="002A3E5B">
            <w:pPr>
              <w:pStyle w:val="Tabletext"/>
              <w:rPr>
                <w:rFonts w:eastAsia="Calibri"/>
              </w:rPr>
            </w:pPr>
            <w:r w:rsidRPr="002A3E5B">
              <w:rPr>
                <w:rFonts w:eastAsia="Calibri"/>
              </w:rPr>
              <w:t>RRF 16820</w:t>
            </w:r>
          </w:p>
          <w:p w14:paraId="17BB7151" w14:textId="77777777" w:rsidR="008318EB" w:rsidRPr="002A3E5B" w:rsidRDefault="008318EB" w:rsidP="002A3E5B">
            <w:pPr>
              <w:pStyle w:val="Tabletext"/>
              <w:rPr>
                <w:rFonts w:eastAsia="Calibri"/>
              </w:rPr>
            </w:pPr>
            <w:r w:rsidRPr="002A3E5B">
              <w:rPr>
                <w:rFonts w:eastAsia="Calibri"/>
              </w:rPr>
              <w:t>MFF</w:t>
            </w:r>
          </w:p>
        </w:tc>
        <w:tc>
          <w:tcPr>
            <w:tcW w:w="1425" w:type="dxa"/>
            <w:tcMar>
              <w:top w:w="0" w:type="dxa"/>
              <w:left w:w="40" w:type="dxa"/>
              <w:bottom w:w="0" w:type="dxa"/>
              <w:right w:w="40" w:type="dxa"/>
            </w:tcMar>
          </w:tcPr>
          <w:p w14:paraId="0CF6DC43" w14:textId="77777777" w:rsidR="008318EB" w:rsidRPr="002A3E5B" w:rsidRDefault="008318EB" w:rsidP="002A3E5B">
            <w:pPr>
              <w:pStyle w:val="Tabletext"/>
              <w:rPr>
                <w:rFonts w:eastAsia="Calibri"/>
              </w:rPr>
            </w:pPr>
            <w:r w:rsidRPr="002A3E5B">
              <w:rPr>
                <w:rFonts w:eastAsia="Calibri"/>
              </w:rPr>
              <w:t>2024.CSR2.1</w:t>
            </w:r>
          </w:p>
          <w:p w14:paraId="756CB3C7" w14:textId="6564EF12" w:rsidR="008318EB" w:rsidRPr="002A3E5B" w:rsidRDefault="008318EB" w:rsidP="002A3E5B">
            <w:pPr>
              <w:pStyle w:val="Tabletext"/>
              <w:rPr>
                <w:rFonts w:eastAsia="Calibri"/>
              </w:rPr>
            </w:pPr>
            <w:r w:rsidRPr="002A3E5B">
              <w:rPr>
                <w:rFonts w:eastAsia="Calibri"/>
              </w:rPr>
              <w:t>2020.CSR1.2</w:t>
            </w:r>
            <w:r w:rsidRPr="002A3E5B">
              <w:rPr>
                <w:rFonts w:eastAsia="Calibri"/>
              </w:rPr>
              <w:br/>
              <w:t>2020.CSR1.3</w:t>
            </w:r>
            <w:r w:rsidRPr="002A3E5B">
              <w:rPr>
                <w:rFonts w:eastAsia="Calibri"/>
              </w:rPr>
              <w:br/>
              <w:t>2019.CSR2.8</w:t>
            </w:r>
          </w:p>
        </w:tc>
        <w:tc>
          <w:tcPr>
            <w:tcW w:w="2835" w:type="dxa"/>
            <w:tcMar>
              <w:top w:w="0" w:type="dxa"/>
              <w:left w:w="40" w:type="dxa"/>
              <w:bottom w:w="0" w:type="dxa"/>
              <w:right w:w="40" w:type="dxa"/>
            </w:tcMar>
          </w:tcPr>
          <w:p w14:paraId="6639D765"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1B931E1F" w14:textId="77777777" w:rsidTr="002A3E5B">
        <w:trPr>
          <w:trHeight w:val="113"/>
          <w:jc w:val="center"/>
        </w:trPr>
        <w:tc>
          <w:tcPr>
            <w:tcW w:w="3555" w:type="dxa"/>
            <w:tcMar>
              <w:top w:w="0" w:type="dxa"/>
              <w:left w:w="40" w:type="dxa"/>
              <w:bottom w:w="0" w:type="dxa"/>
              <w:right w:w="40" w:type="dxa"/>
            </w:tcMar>
          </w:tcPr>
          <w:p w14:paraId="7FE35F84" w14:textId="4B8D56CF" w:rsidR="008318EB" w:rsidRPr="002A3E5B" w:rsidRDefault="00BA03C0" w:rsidP="002A3E5B">
            <w:pPr>
              <w:pStyle w:val="Tabletext"/>
              <w:rPr>
                <w:rFonts w:eastAsia="Calibri"/>
              </w:rPr>
            </w:pPr>
            <w:r w:rsidRPr="00BA03C0">
              <w:rPr>
                <w:rFonts w:eastAsia="Calibri"/>
                <w:b/>
              </w:rPr>
              <w:t>REFORM 4:</w:t>
            </w:r>
            <w:r w:rsidR="008318EB" w:rsidRPr="002A3E5B">
              <w:rPr>
                <w:rFonts w:eastAsia="Calibri"/>
              </w:rPr>
              <w:t xml:space="preserve"> Personal doctor reform</w:t>
            </w:r>
          </w:p>
        </w:tc>
        <w:tc>
          <w:tcPr>
            <w:tcW w:w="1545" w:type="dxa"/>
            <w:tcMar>
              <w:top w:w="0" w:type="dxa"/>
              <w:left w:w="40" w:type="dxa"/>
              <w:bottom w:w="0" w:type="dxa"/>
              <w:right w:w="40" w:type="dxa"/>
            </w:tcMar>
          </w:tcPr>
          <w:p w14:paraId="50D4574B" w14:textId="77777777" w:rsidR="008318EB" w:rsidRPr="002A3E5B" w:rsidRDefault="008318EB" w:rsidP="002A3E5B">
            <w:pPr>
              <w:pStyle w:val="Tabletext"/>
              <w:rPr>
                <w:rFonts w:eastAsia="Calibri"/>
              </w:rPr>
            </w:pPr>
            <w:r w:rsidRPr="002A3E5B">
              <w:rPr>
                <w:rFonts w:eastAsia="Calibri"/>
              </w:rPr>
              <w:t>RRF 16984</w:t>
            </w:r>
          </w:p>
        </w:tc>
        <w:tc>
          <w:tcPr>
            <w:tcW w:w="1425" w:type="dxa"/>
            <w:tcMar>
              <w:top w:w="0" w:type="dxa"/>
              <w:left w:w="40" w:type="dxa"/>
              <w:bottom w:w="0" w:type="dxa"/>
              <w:right w:w="40" w:type="dxa"/>
            </w:tcMar>
          </w:tcPr>
          <w:p w14:paraId="7D25BA53" w14:textId="6D87CEB0" w:rsidR="008318EB" w:rsidRPr="002A3E5B" w:rsidRDefault="008318EB" w:rsidP="002A3E5B">
            <w:pPr>
              <w:pStyle w:val="Tabletext"/>
              <w:rPr>
                <w:rFonts w:eastAsia="Calibri"/>
              </w:rPr>
            </w:pPr>
            <w:r w:rsidRPr="002A3E5B">
              <w:rPr>
                <w:rFonts w:eastAsia="Calibri"/>
              </w:rPr>
              <w:t>2024.CSR2.1</w:t>
            </w:r>
            <w:r w:rsidRPr="002A3E5B">
              <w:rPr>
                <w:rFonts w:eastAsia="Calibri"/>
              </w:rPr>
              <w:br/>
              <w:t xml:space="preserve"> 2023.CSR3.1</w:t>
            </w:r>
            <w:r w:rsidRPr="002A3E5B">
              <w:rPr>
                <w:rFonts w:eastAsia="Calibri"/>
              </w:rPr>
              <w:br/>
              <w:t>2022.CSR3.1</w:t>
            </w:r>
            <w:r w:rsidRPr="002A3E5B">
              <w:rPr>
                <w:rFonts w:eastAsia="Calibri"/>
              </w:rPr>
              <w:br/>
              <w:t>2020.CSR1.2</w:t>
            </w:r>
            <w:r w:rsidRPr="002A3E5B">
              <w:rPr>
                <w:rFonts w:eastAsia="Calibri"/>
              </w:rPr>
              <w:br/>
              <w:t>2020.CSR1.3</w:t>
            </w:r>
            <w:r w:rsidRPr="002A3E5B">
              <w:rPr>
                <w:rFonts w:eastAsia="Calibri"/>
              </w:rPr>
              <w:br/>
              <w:t>2019.CSR2.8</w:t>
            </w:r>
          </w:p>
        </w:tc>
        <w:tc>
          <w:tcPr>
            <w:tcW w:w="2835" w:type="dxa"/>
            <w:tcMar>
              <w:top w:w="0" w:type="dxa"/>
              <w:left w:w="40" w:type="dxa"/>
              <w:bottom w:w="0" w:type="dxa"/>
              <w:right w:w="40" w:type="dxa"/>
            </w:tcMar>
          </w:tcPr>
          <w:p w14:paraId="2B69F971"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7FFF4AA4" w14:textId="77777777" w:rsidTr="002A3E5B">
        <w:trPr>
          <w:trHeight w:val="113"/>
          <w:jc w:val="center"/>
        </w:trPr>
        <w:tc>
          <w:tcPr>
            <w:tcW w:w="3555" w:type="dxa"/>
            <w:tcMar>
              <w:top w:w="0" w:type="dxa"/>
              <w:left w:w="40" w:type="dxa"/>
              <w:bottom w:w="0" w:type="dxa"/>
              <w:right w:w="40" w:type="dxa"/>
            </w:tcMar>
          </w:tcPr>
          <w:p w14:paraId="75F75C55" w14:textId="57B693CA" w:rsidR="008318EB" w:rsidRPr="002A3E5B" w:rsidRDefault="00BA03C0" w:rsidP="002A3E5B">
            <w:pPr>
              <w:pStyle w:val="Tabletext"/>
              <w:rPr>
                <w:rFonts w:eastAsia="Calibri"/>
              </w:rPr>
            </w:pPr>
            <w:r w:rsidRPr="00BA03C0">
              <w:rPr>
                <w:rFonts w:eastAsia="Calibri"/>
                <w:b/>
              </w:rPr>
              <w:t>REFORM 5:</w:t>
            </w:r>
            <w:r w:rsidR="008318EB" w:rsidRPr="002A3E5B">
              <w:rPr>
                <w:rFonts w:eastAsia="Calibri"/>
              </w:rPr>
              <w:t xml:space="preserve"> Reform of the Primary Health Care System</w:t>
            </w:r>
          </w:p>
        </w:tc>
        <w:tc>
          <w:tcPr>
            <w:tcW w:w="1545" w:type="dxa"/>
            <w:tcMar>
              <w:top w:w="0" w:type="dxa"/>
              <w:left w:w="40" w:type="dxa"/>
              <w:bottom w:w="0" w:type="dxa"/>
              <w:right w:w="40" w:type="dxa"/>
            </w:tcMar>
          </w:tcPr>
          <w:p w14:paraId="2D9E1740" w14:textId="77777777" w:rsidR="008318EB" w:rsidRPr="002A3E5B" w:rsidRDefault="008318EB" w:rsidP="002A3E5B">
            <w:pPr>
              <w:pStyle w:val="Tabletext"/>
              <w:rPr>
                <w:rFonts w:eastAsia="Calibri"/>
              </w:rPr>
            </w:pPr>
            <w:r w:rsidRPr="002A3E5B">
              <w:rPr>
                <w:rFonts w:eastAsia="Calibri"/>
              </w:rPr>
              <w:t>RRF 16755</w:t>
            </w:r>
          </w:p>
        </w:tc>
        <w:tc>
          <w:tcPr>
            <w:tcW w:w="1425" w:type="dxa"/>
            <w:tcMar>
              <w:top w:w="0" w:type="dxa"/>
              <w:left w:w="40" w:type="dxa"/>
              <w:bottom w:w="0" w:type="dxa"/>
              <w:right w:w="40" w:type="dxa"/>
            </w:tcMar>
          </w:tcPr>
          <w:p w14:paraId="24EEBB28" w14:textId="7100A0E7" w:rsidR="008318EB" w:rsidRPr="002A3E5B" w:rsidRDefault="008318EB" w:rsidP="002A3E5B">
            <w:pPr>
              <w:pStyle w:val="Tabletext"/>
              <w:rPr>
                <w:rFonts w:eastAsia="Calibri"/>
              </w:rPr>
            </w:pPr>
            <w:r w:rsidRPr="002A3E5B">
              <w:rPr>
                <w:rFonts w:eastAsia="Calibri"/>
              </w:rPr>
              <w:t>2024.CSR2.1</w:t>
            </w:r>
            <w:r w:rsidRPr="002A3E5B">
              <w:rPr>
                <w:rFonts w:eastAsia="Calibri"/>
              </w:rPr>
              <w:br/>
              <w:t>2023.CSR3.1</w:t>
            </w:r>
            <w:r w:rsidRPr="002A3E5B">
              <w:rPr>
                <w:rFonts w:eastAsia="Calibri"/>
              </w:rPr>
              <w:br/>
              <w:t>2023.CSR4.4</w:t>
            </w:r>
            <w:r w:rsidRPr="002A3E5B">
              <w:rPr>
                <w:rFonts w:eastAsia="Calibri"/>
              </w:rPr>
              <w:br/>
              <w:t>2022.CSR4.5</w:t>
            </w:r>
            <w:r w:rsidRPr="002A3E5B">
              <w:rPr>
                <w:rFonts w:eastAsia="Calibri"/>
              </w:rPr>
              <w:br/>
              <w:t>2022.CSR3.1</w:t>
            </w:r>
            <w:r w:rsidRPr="002A3E5B">
              <w:rPr>
                <w:rFonts w:eastAsia="Calibri"/>
              </w:rPr>
              <w:br/>
              <w:t>2020.CSR1.2</w:t>
            </w:r>
            <w:r w:rsidRPr="002A3E5B">
              <w:rPr>
                <w:rFonts w:eastAsia="Calibri"/>
              </w:rPr>
              <w:br/>
              <w:t>2020.CSR3.3</w:t>
            </w:r>
            <w:r w:rsidRPr="002A3E5B">
              <w:rPr>
                <w:rFonts w:eastAsia="Calibri"/>
              </w:rPr>
              <w:br/>
              <w:t>2020.CSR3.8</w:t>
            </w:r>
            <w:r w:rsidRPr="002A3E5B">
              <w:rPr>
                <w:rFonts w:eastAsia="Calibri"/>
              </w:rPr>
              <w:br/>
              <w:t>2019.CSR2.2</w:t>
            </w:r>
            <w:r w:rsidRPr="002A3E5B">
              <w:rPr>
                <w:rFonts w:eastAsia="Calibri"/>
              </w:rPr>
              <w:br/>
              <w:t>2019.CSR2.6</w:t>
            </w:r>
            <w:r w:rsidRPr="002A3E5B">
              <w:rPr>
                <w:rFonts w:eastAsia="Calibri"/>
              </w:rPr>
              <w:br/>
              <w:t>2019.CSR2.8</w:t>
            </w:r>
          </w:p>
        </w:tc>
        <w:tc>
          <w:tcPr>
            <w:tcW w:w="2835" w:type="dxa"/>
            <w:tcMar>
              <w:top w:w="0" w:type="dxa"/>
              <w:left w:w="40" w:type="dxa"/>
              <w:bottom w:w="0" w:type="dxa"/>
              <w:right w:w="40" w:type="dxa"/>
            </w:tcMar>
          </w:tcPr>
          <w:p w14:paraId="758EBD41"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31C1D2E0" w14:textId="77777777" w:rsidTr="002A3E5B">
        <w:trPr>
          <w:trHeight w:val="113"/>
          <w:jc w:val="center"/>
        </w:trPr>
        <w:tc>
          <w:tcPr>
            <w:tcW w:w="3555" w:type="dxa"/>
            <w:tcMar>
              <w:top w:w="0" w:type="dxa"/>
              <w:left w:w="40" w:type="dxa"/>
              <w:bottom w:w="0" w:type="dxa"/>
              <w:right w:w="40" w:type="dxa"/>
            </w:tcMar>
          </w:tcPr>
          <w:p w14:paraId="7FDF624C" w14:textId="45B57A12" w:rsidR="008318EB" w:rsidRPr="002A3E5B" w:rsidRDefault="00BA03C0" w:rsidP="002A3E5B">
            <w:pPr>
              <w:pStyle w:val="Tabletext"/>
              <w:rPr>
                <w:rFonts w:eastAsia="Calibri"/>
              </w:rPr>
            </w:pPr>
            <w:r w:rsidRPr="00BA03C0">
              <w:rPr>
                <w:rFonts w:eastAsia="Calibri"/>
                <w:b/>
              </w:rPr>
              <w:t>INVESTMENT 1:</w:t>
            </w:r>
            <w:r w:rsidR="008318EB" w:rsidRPr="002A3E5B">
              <w:rPr>
                <w:rFonts w:eastAsia="Calibri"/>
              </w:rPr>
              <w:t xml:space="preserve"> Operation of new local health units (TOMYs) and mobile health units (KOMYs)</w:t>
            </w:r>
          </w:p>
          <w:p w14:paraId="37CAED07" w14:textId="77777777" w:rsidR="008318EB" w:rsidRPr="002A3E5B" w:rsidRDefault="008318EB" w:rsidP="002A3E5B">
            <w:pPr>
              <w:pStyle w:val="Tabletext"/>
              <w:rPr>
                <w:rFonts w:eastAsia="Calibri"/>
              </w:rPr>
            </w:pPr>
            <w:r w:rsidRPr="002A3E5B">
              <w:rPr>
                <w:rFonts w:eastAsia="Calibri"/>
              </w:rPr>
              <w:t xml:space="preserve"> </w:t>
            </w:r>
          </w:p>
        </w:tc>
        <w:tc>
          <w:tcPr>
            <w:tcW w:w="1545" w:type="dxa"/>
            <w:tcMar>
              <w:top w:w="0" w:type="dxa"/>
              <w:left w:w="40" w:type="dxa"/>
              <w:bottom w:w="0" w:type="dxa"/>
              <w:right w:w="40" w:type="dxa"/>
            </w:tcMar>
          </w:tcPr>
          <w:p w14:paraId="7EF40346" w14:textId="77777777" w:rsidR="008318EB" w:rsidRPr="002A3E5B" w:rsidRDefault="008318EB" w:rsidP="002A3E5B">
            <w:pPr>
              <w:pStyle w:val="Tabletext"/>
              <w:rPr>
                <w:rFonts w:eastAsia="Calibri"/>
              </w:rPr>
            </w:pPr>
            <w:r w:rsidRPr="002A3E5B">
              <w:rPr>
                <w:rFonts w:eastAsia="Calibri"/>
              </w:rPr>
              <w:t>MFF</w:t>
            </w:r>
          </w:p>
        </w:tc>
        <w:tc>
          <w:tcPr>
            <w:tcW w:w="1425" w:type="dxa"/>
            <w:tcMar>
              <w:top w:w="0" w:type="dxa"/>
              <w:left w:w="40" w:type="dxa"/>
              <w:bottom w:w="0" w:type="dxa"/>
              <w:right w:w="40" w:type="dxa"/>
            </w:tcMar>
          </w:tcPr>
          <w:p w14:paraId="722E9D8C" w14:textId="3FE77477" w:rsidR="008318EB" w:rsidRPr="002A3E5B" w:rsidRDefault="008318EB" w:rsidP="002A3E5B">
            <w:pPr>
              <w:pStyle w:val="Tabletext"/>
              <w:rPr>
                <w:rFonts w:eastAsia="Calibri"/>
              </w:rPr>
            </w:pPr>
            <w:r w:rsidRPr="002A3E5B">
              <w:rPr>
                <w:rFonts w:eastAsia="Calibri"/>
              </w:rPr>
              <w:t>2022.CSR3.1</w:t>
            </w:r>
            <w:r w:rsidRPr="002A3E5B">
              <w:rPr>
                <w:rFonts w:eastAsia="Calibri"/>
              </w:rPr>
              <w:br/>
              <w:t>2020.CSR1.2</w:t>
            </w:r>
            <w:r w:rsidRPr="002A3E5B">
              <w:rPr>
                <w:rFonts w:eastAsia="Calibri"/>
              </w:rPr>
              <w:br/>
              <w:t>2020.CSR1.3</w:t>
            </w:r>
            <w:r w:rsidRPr="002A3E5B">
              <w:rPr>
                <w:rFonts w:eastAsia="Calibri"/>
              </w:rPr>
              <w:br/>
              <w:t>2019.CSR2.8</w:t>
            </w:r>
          </w:p>
        </w:tc>
        <w:tc>
          <w:tcPr>
            <w:tcW w:w="2835" w:type="dxa"/>
            <w:tcMar>
              <w:top w:w="0" w:type="dxa"/>
              <w:left w:w="40" w:type="dxa"/>
              <w:bottom w:w="0" w:type="dxa"/>
              <w:right w:w="40" w:type="dxa"/>
            </w:tcMar>
          </w:tcPr>
          <w:p w14:paraId="015EED4A"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24CE8C97" w14:textId="77777777" w:rsidTr="002A3E5B">
        <w:trPr>
          <w:trHeight w:val="113"/>
          <w:jc w:val="center"/>
        </w:trPr>
        <w:tc>
          <w:tcPr>
            <w:tcW w:w="3555" w:type="dxa"/>
            <w:tcMar>
              <w:top w:w="0" w:type="dxa"/>
              <w:left w:w="40" w:type="dxa"/>
              <w:bottom w:w="0" w:type="dxa"/>
              <w:right w:w="40" w:type="dxa"/>
            </w:tcMar>
          </w:tcPr>
          <w:p w14:paraId="73C3AE8B" w14:textId="1054A197" w:rsidR="008318EB" w:rsidRPr="002A3E5B" w:rsidRDefault="00BA03C0" w:rsidP="002A3E5B">
            <w:pPr>
              <w:pStyle w:val="Tabletext"/>
              <w:rPr>
                <w:rFonts w:eastAsia="Calibri"/>
              </w:rPr>
            </w:pPr>
            <w:r w:rsidRPr="00BA03C0">
              <w:rPr>
                <w:rFonts w:eastAsia="Calibri"/>
                <w:b/>
              </w:rPr>
              <w:t>INVESTMENT 2:</w:t>
            </w:r>
            <w:r w:rsidR="008318EB" w:rsidRPr="002A3E5B">
              <w:rPr>
                <w:rFonts w:eastAsia="Calibri"/>
              </w:rPr>
              <w:t xml:space="preserve"> Health Infrastructure</w:t>
            </w:r>
          </w:p>
        </w:tc>
        <w:tc>
          <w:tcPr>
            <w:tcW w:w="1545" w:type="dxa"/>
            <w:tcMar>
              <w:top w:w="0" w:type="dxa"/>
              <w:left w:w="40" w:type="dxa"/>
              <w:bottom w:w="0" w:type="dxa"/>
              <w:right w:w="40" w:type="dxa"/>
            </w:tcMar>
          </w:tcPr>
          <w:p w14:paraId="350C07AA" w14:textId="77777777" w:rsidR="008318EB" w:rsidRPr="002A3E5B" w:rsidRDefault="008318EB" w:rsidP="002A3E5B">
            <w:pPr>
              <w:pStyle w:val="Tabletext"/>
              <w:rPr>
                <w:rFonts w:eastAsia="Calibri"/>
              </w:rPr>
            </w:pPr>
            <w:r w:rsidRPr="002A3E5B">
              <w:rPr>
                <w:rFonts w:eastAsia="Calibri"/>
              </w:rPr>
              <w:t>RRF 16795</w:t>
            </w:r>
          </w:p>
        </w:tc>
        <w:tc>
          <w:tcPr>
            <w:tcW w:w="1425" w:type="dxa"/>
            <w:tcMar>
              <w:top w:w="0" w:type="dxa"/>
              <w:left w:w="40" w:type="dxa"/>
              <w:bottom w:w="0" w:type="dxa"/>
              <w:right w:w="40" w:type="dxa"/>
            </w:tcMar>
          </w:tcPr>
          <w:p w14:paraId="298EDC0D" w14:textId="77777777" w:rsidR="008318EB" w:rsidRPr="002A3E5B" w:rsidRDefault="008318EB" w:rsidP="002A3E5B">
            <w:pPr>
              <w:pStyle w:val="Tabletext"/>
              <w:rPr>
                <w:rFonts w:eastAsia="Calibri"/>
              </w:rPr>
            </w:pPr>
            <w:r w:rsidRPr="002A3E5B">
              <w:rPr>
                <w:rFonts w:eastAsia="Calibri"/>
              </w:rPr>
              <w:t>2024.CSR2.1</w:t>
            </w:r>
          </w:p>
          <w:p w14:paraId="689CA9A6" w14:textId="77777777" w:rsidR="008318EB" w:rsidRPr="002A3E5B" w:rsidRDefault="008318EB" w:rsidP="002A3E5B">
            <w:pPr>
              <w:pStyle w:val="Tabletext"/>
              <w:rPr>
                <w:rFonts w:eastAsia="Calibri"/>
              </w:rPr>
            </w:pPr>
            <w:r w:rsidRPr="002A3E5B">
              <w:rPr>
                <w:rFonts w:eastAsia="Calibri"/>
              </w:rPr>
              <w:t>2023.CSR4.4</w:t>
            </w:r>
          </w:p>
          <w:p w14:paraId="5D2537B8" w14:textId="77777777" w:rsidR="008318EB" w:rsidRPr="002A3E5B" w:rsidRDefault="008318EB" w:rsidP="002A3E5B">
            <w:pPr>
              <w:pStyle w:val="Tabletext"/>
              <w:rPr>
                <w:rFonts w:eastAsia="Calibri"/>
              </w:rPr>
            </w:pPr>
            <w:r w:rsidRPr="002A3E5B">
              <w:rPr>
                <w:rFonts w:eastAsia="Calibri"/>
              </w:rPr>
              <w:t>2023.CSR4.1</w:t>
            </w:r>
          </w:p>
          <w:p w14:paraId="77D775B1" w14:textId="77777777" w:rsidR="008318EB" w:rsidRPr="002A3E5B" w:rsidRDefault="008318EB" w:rsidP="002A3E5B">
            <w:pPr>
              <w:pStyle w:val="Tabletext"/>
              <w:rPr>
                <w:rFonts w:eastAsia="Calibri"/>
              </w:rPr>
            </w:pPr>
            <w:r w:rsidRPr="002A3E5B">
              <w:rPr>
                <w:rFonts w:eastAsia="Calibri"/>
              </w:rPr>
              <w:t>2022.CSR4.5</w:t>
            </w:r>
          </w:p>
          <w:p w14:paraId="1FCAFE10" w14:textId="77777777" w:rsidR="008318EB" w:rsidRPr="002A3E5B" w:rsidRDefault="008318EB" w:rsidP="002A3E5B">
            <w:pPr>
              <w:pStyle w:val="Tabletext"/>
              <w:rPr>
                <w:rFonts w:eastAsia="Calibri"/>
              </w:rPr>
            </w:pPr>
            <w:r w:rsidRPr="002A3E5B">
              <w:rPr>
                <w:rFonts w:eastAsia="Calibri"/>
              </w:rPr>
              <w:t>2020.CSR1.2</w:t>
            </w:r>
          </w:p>
          <w:p w14:paraId="498181E8" w14:textId="77777777" w:rsidR="008318EB" w:rsidRPr="002A3E5B" w:rsidRDefault="008318EB" w:rsidP="002A3E5B">
            <w:pPr>
              <w:pStyle w:val="Tabletext"/>
              <w:rPr>
                <w:rFonts w:eastAsia="Calibri"/>
              </w:rPr>
            </w:pPr>
            <w:r w:rsidRPr="002A3E5B">
              <w:rPr>
                <w:rFonts w:eastAsia="Calibri"/>
              </w:rPr>
              <w:t>2020.CSR3.3</w:t>
            </w:r>
          </w:p>
          <w:p w14:paraId="08616FCF" w14:textId="77777777" w:rsidR="008318EB" w:rsidRPr="002A3E5B" w:rsidRDefault="008318EB" w:rsidP="002A3E5B">
            <w:pPr>
              <w:pStyle w:val="Tabletext"/>
              <w:rPr>
                <w:rFonts w:eastAsia="Calibri"/>
              </w:rPr>
            </w:pPr>
            <w:r w:rsidRPr="002A3E5B">
              <w:rPr>
                <w:rFonts w:eastAsia="Calibri"/>
              </w:rPr>
              <w:t>2019.CSR2.8</w:t>
            </w:r>
          </w:p>
          <w:p w14:paraId="1D0B1977" w14:textId="77777777" w:rsidR="008318EB" w:rsidRPr="002A3E5B" w:rsidRDefault="008318EB" w:rsidP="002A3E5B">
            <w:pPr>
              <w:pStyle w:val="Tabletext"/>
              <w:rPr>
                <w:rFonts w:eastAsia="Calibri"/>
              </w:rPr>
            </w:pPr>
            <w:r w:rsidRPr="002A3E5B">
              <w:rPr>
                <w:rFonts w:eastAsia="Calibri"/>
              </w:rPr>
              <w:t>2019.CSR2.2</w:t>
            </w:r>
          </w:p>
        </w:tc>
        <w:tc>
          <w:tcPr>
            <w:tcW w:w="2835" w:type="dxa"/>
            <w:tcMar>
              <w:top w:w="0" w:type="dxa"/>
              <w:left w:w="40" w:type="dxa"/>
              <w:bottom w:w="0" w:type="dxa"/>
              <w:right w:w="40" w:type="dxa"/>
            </w:tcMar>
          </w:tcPr>
          <w:p w14:paraId="4DDCA5B9"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2336CF73" w14:textId="77777777" w:rsidTr="002A3E5B">
        <w:trPr>
          <w:trHeight w:val="113"/>
          <w:jc w:val="center"/>
        </w:trPr>
        <w:tc>
          <w:tcPr>
            <w:tcW w:w="3555" w:type="dxa"/>
            <w:tcMar>
              <w:top w:w="0" w:type="dxa"/>
              <w:left w:w="40" w:type="dxa"/>
              <w:bottom w:w="0" w:type="dxa"/>
              <w:right w:w="40" w:type="dxa"/>
            </w:tcMar>
          </w:tcPr>
          <w:p w14:paraId="22F4434A" w14:textId="4A1A90C4" w:rsidR="008318EB" w:rsidRPr="002A3E5B" w:rsidRDefault="00BA03C0" w:rsidP="002A3E5B">
            <w:pPr>
              <w:pStyle w:val="Tabletext"/>
              <w:rPr>
                <w:rFonts w:eastAsia="Calibri"/>
              </w:rPr>
            </w:pPr>
            <w:r w:rsidRPr="00BA03C0">
              <w:rPr>
                <w:rFonts w:eastAsia="Calibri"/>
                <w:b/>
              </w:rPr>
              <w:t>INVESTMENT 3:</w:t>
            </w:r>
            <w:r w:rsidR="008318EB" w:rsidRPr="002A3E5B">
              <w:rPr>
                <w:rFonts w:eastAsia="Calibri"/>
              </w:rPr>
              <w:t xml:space="preserve"> Establishment of a Radiotherapy Center at the “Sotiria” Thoracic Diseases Hospital of Athens</w:t>
            </w:r>
          </w:p>
        </w:tc>
        <w:tc>
          <w:tcPr>
            <w:tcW w:w="1545" w:type="dxa"/>
            <w:tcMar>
              <w:top w:w="0" w:type="dxa"/>
              <w:left w:w="40" w:type="dxa"/>
              <w:bottom w:w="0" w:type="dxa"/>
              <w:right w:w="40" w:type="dxa"/>
            </w:tcMar>
          </w:tcPr>
          <w:p w14:paraId="0FC63DD6" w14:textId="77777777" w:rsidR="008318EB" w:rsidRPr="002A3E5B" w:rsidRDefault="008318EB" w:rsidP="002A3E5B">
            <w:pPr>
              <w:pStyle w:val="Tabletext"/>
              <w:rPr>
                <w:rFonts w:eastAsia="Calibri"/>
              </w:rPr>
            </w:pPr>
            <w:r w:rsidRPr="002A3E5B">
              <w:rPr>
                <w:rFonts w:eastAsia="Calibri"/>
              </w:rPr>
              <w:t>RRF 16757</w:t>
            </w:r>
          </w:p>
        </w:tc>
        <w:tc>
          <w:tcPr>
            <w:tcW w:w="1425" w:type="dxa"/>
            <w:tcMar>
              <w:top w:w="0" w:type="dxa"/>
              <w:left w:w="40" w:type="dxa"/>
              <w:bottom w:w="0" w:type="dxa"/>
              <w:right w:w="40" w:type="dxa"/>
            </w:tcMar>
          </w:tcPr>
          <w:p w14:paraId="433EE6F3" w14:textId="1A73A366" w:rsidR="008318EB" w:rsidRPr="002A3E5B" w:rsidRDefault="008318EB" w:rsidP="002A3E5B">
            <w:pPr>
              <w:pStyle w:val="Tabletext"/>
              <w:rPr>
                <w:rFonts w:eastAsia="Calibri"/>
              </w:rPr>
            </w:pPr>
            <w:r w:rsidRPr="002A3E5B">
              <w:rPr>
                <w:rFonts w:eastAsia="Calibri"/>
              </w:rPr>
              <w:t>2024.CSR2.1</w:t>
            </w:r>
            <w:r w:rsidRPr="002A3E5B">
              <w:rPr>
                <w:rFonts w:eastAsia="Calibri"/>
              </w:rPr>
              <w:br/>
              <w:t>2020.CSR1.3</w:t>
            </w:r>
            <w:r w:rsidRPr="002A3E5B">
              <w:rPr>
                <w:rFonts w:eastAsia="Calibri"/>
              </w:rPr>
              <w:br/>
              <w:t>2019.CSR2.8</w:t>
            </w:r>
          </w:p>
        </w:tc>
        <w:tc>
          <w:tcPr>
            <w:tcW w:w="2835" w:type="dxa"/>
            <w:tcMar>
              <w:top w:w="0" w:type="dxa"/>
              <w:left w:w="40" w:type="dxa"/>
              <w:bottom w:w="0" w:type="dxa"/>
              <w:right w:w="40" w:type="dxa"/>
            </w:tcMar>
          </w:tcPr>
          <w:p w14:paraId="5F2ED88F"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6CAF5A54" w14:textId="77777777" w:rsidTr="002A3E5B">
        <w:trPr>
          <w:trHeight w:val="113"/>
          <w:jc w:val="center"/>
        </w:trPr>
        <w:tc>
          <w:tcPr>
            <w:tcW w:w="3555" w:type="dxa"/>
            <w:tcMar>
              <w:top w:w="0" w:type="dxa"/>
              <w:left w:w="40" w:type="dxa"/>
              <w:bottom w:w="0" w:type="dxa"/>
              <w:right w:w="40" w:type="dxa"/>
            </w:tcMar>
          </w:tcPr>
          <w:p w14:paraId="08C13F07" w14:textId="445DEA17" w:rsidR="008318EB" w:rsidRPr="002A3E5B" w:rsidRDefault="00BA03C0" w:rsidP="002A3E5B">
            <w:pPr>
              <w:pStyle w:val="Tabletext"/>
              <w:rPr>
                <w:rFonts w:eastAsia="Calibri"/>
              </w:rPr>
            </w:pPr>
            <w:r w:rsidRPr="00BA03C0">
              <w:rPr>
                <w:rFonts w:eastAsia="Calibri"/>
                <w:b/>
              </w:rPr>
              <w:t>INVESTMENT 4:</w:t>
            </w:r>
            <w:r w:rsidR="008318EB" w:rsidRPr="002A3E5B">
              <w:rPr>
                <w:rFonts w:eastAsia="Calibri"/>
              </w:rPr>
              <w:t xml:space="preserve"> Construction of a building dedicated to Cellular &amp; Gene Therapies and Hematology Clinic Laboratories within the General Hospital of Thessaloniki “Papanikolaou”</w:t>
            </w:r>
          </w:p>
        </w:tc>
        <w:tc>
          <w:tcPr>
            <w:tcW w:w="1545" w:type="dxa"/>
            <w:tcMar>
              <w:top w:w="0" w:type="dxa"/>
              <w:left w:w="40" w:type="dxa"/>
              <w:bottom w:w="0" w:type="dxa"/>
              <w:right w:w="40" w:type="dxa"/>
            </w:tcMar>
          </w:tcPr>
          <w:p w14:paraId="789BB79F" w14:textId="77777777" w:rsidR="008318EB" w:rsidRPr="002A3E5B" w:rsidRDefault="008318EB" w:rsidP="002A3E5B">
            <w:pPr>
              <w:pStyle w:val="Tabletext"/>
              <w:rPr>
                <w:rFonts w:eastAsia="Calibri"/>
              </w:rPr>
            </w:pPr>
            <w:r w:rsidRPr="002A3E5B">
              <w:rPr>
                <w:rFonts w:eastAsia="Calibri"/>
              </w:rPr>
              <w:t>RRF 16793</w:t>
            </w:r>
          </w:p>
        </w:tc>
        <w:tc>
          <w:tcPr>
            <w:tcW w:w="1425" w:type="dxa"/>
            <w:tcMar>
              <w:top w:w="0" w:type="dxa"/>
              <w:left w:w="40" w:type="dxa"/>
              <w:bottom w:w="0" w:type="dxa"/>
              <w:right w:w="40" w:type="dxa"/>
            </w:tcMar>
          </w:tcPr>
          <w:p w14:paraId="08E044ED" w14:textId="5B0A8C64" w:rsidR="008318EB" w:rsidRPr="002A3E5B" w:rsidRDefault="008318EB" w:rsidP="002A3E5B">
            <w:pPr>
              <w:pStyle w:val="Tabletext"/>
              <w:rPr>
                <w:rFonts w:eastAsia="Calibri"/>
              </w:rPr>
            </w:pPr>
            <w:r w:rsidRPr="002A3E5B">
              <w:rPr>
                <w:rFonts w:eastAsia="Calibri"/>
              </w:rPr>
              <w:t>2024.CSR2.1</w:t>
            </w:r>
            <w:r w:rsidRPr="002A3E5B">
              <w:rPr>
                <w:rFonts w:eastAsia="Calibri"/>
              </w:rPr>
              <w:br/>
              <w:t>2023.CSR4.4</w:t>
            </w:r>
            <w:r w:rsidRPr="002A3E5B">
              <w:rPr>
                <w:rFonts w:eastAsia="Calibri"/>
              </w:rPr>
              <w:br/>
              <w:t>2023.CSR4.1</w:t>
            </w:r>
            <w:r w:rsidRPr="002A3E5B">
              <w:rPr>
                <w:rFonts w:eastAsia="Calibri"/>
              </w:rPr>
              <w:br/>
              <w:t>2022.CSR4.5</w:t>
            </w:r>
            <w:r w:rsidRPr="002A3E5B">
              <w:rPr>
                <w:rFonts w:eastAsia="Calibri"/>
              </w:rPr>
              <w:br/>
            </w:r>
            <w:r w:rsidRPr="002A3E5B">
              <w:rPr>
                <w:rFonts w:eastAsia="Calibri"/>
              </w:rPr>
              <w:br/>
            </w:r>
          </w:p>
        </w:tc>
        <w:tc>
          <w:tcPr>
            <w:tcW w:w="2835" w:type="dxa"/>
            <w:tcMar>
              <w:top w:w="0" w:type="dxa"/>
              <w:left w:w="40" w:type="dxa"/>
              <w:bottom w:w="0" w:type="dxa"/>
              <w:right w:w="40" w:type="dxa"/>
            </w:tcMar>
          </w:tcPr>
          <w:p w14:paraId="1EC0FCCF"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0B616D55" w14:textId="77777777" w:rsidTr="002A3E5B">
        <w:trPr>
          <w:trHeight w:val="113"/>
          <w:jc w:val="center"/>
        </w:trPr>
        <w:tc>
          <w:tcPr>
            <w:tcW w:w="3555" w:type="dxa"/>
            <w:tcMar>
              <w:top w:w="0" w:type="dxa"/>
              <w:left w:w="40" w:type="dxa"/>
              <w:bottom w:w="0" w:type="dxa"/>
              <w:right w:w="40" w:type="dxa"/>
            </w:tcMar>
          </w:tcPr>
          <w:p w14:paraId="1E292D26" w14:textId="6438C5C6" w:rsidR="008318EB" w:rsidRPr="002A3E5B" w:rsidRDefault="00BA03C0" w:rsidP="002A3E5B">
            <w:pPr>
              <w:pStyle w:val="Tabletext"/>
              <w:rPr>
                <w:rFonts w:eastAsia="Calibri"/>
              </w:rPr>
            </w:pPr>
            <w:r w:rsidRPr="00BA03C0">
              <w:rPr>
                <w:rFonts w:eastAsia="Calibri"/>
                <w:b/>
              </w:rPr>
              <w:lastRenderedPageBreak/>
              <w:t>INVESTMENT 5:</w:t>
            </w:r>
            <w:r w:rsidR="008318EB" w:rsidRPr="002A3E5B">
              <w:rPr>
                <w:rFonts w:eastAsia="Calibri"/>
              </w:rPr>
              <w:t xml:space="preserve"> Construction of a new oncology hospital in Thessaloniki</w:t>
            </w:r>
          </w:p>
        </w:tc>
        <w:tc>
          <w:tcPr>
            <w:tcW w:w="1545" w:type="dxa"/>
            <w:tcMar>
              <w:top w:w="0" w:type="dxa"/>
              <w:left w:w="40" w:type="dxa"/>
              <w:bottom w:w="0" w:type="dxa"/>
              <w:right w:w="40" w:type="dxa"/>
            </w:tcMar>
          </w:tcPr>
          <w:p w14:paraId="2CB5BC2F" w14:textId="77777777" w:rsidR="008318EB" w:rsidRPr="002A3E5B" w:rsidRDefault="008318EB" w:rsidP="002A3E5B">
            <w:pPr>
              <w:pStyle w:val="Tabletext"/>
              <w:rPr>
                <w:rFonts w:eastAsia="Calibri"/>
              </w:rPr>
            </w:pPr>
            <w:r w:rsidRPr="002A3E5B">
              <w:rPr>
                <w:rFonts w:eastAsia="Calibri"/>
              </w:rPr>
              <w:t>-</w:t>
            </w:r>
          </w:p>
        </w:tc>
        <w:tc>
          <w:tcPr>
            <w:tcW w:w="1425" w:type="dxa"/>
            <w:tcMar>
              <w:top w:w="0" w:type="dxa"/>
              <w:left w:w="40" w:type="dxa"/>
              <w:bottom w:w="0" w:type="dxa"/>
              <w:right w:w="40" w:type="dxa"/>
            </w:tcMar>
          </w:tcPr>
          <w:p w14:paraId="53012573" w14:textId="3EB8B52A" w:rsidR="008318EB" w:rsidRPr="002A3E5B" w:rsidRDefault="008318EB" w:rsidP="002A3E5B">
            <w:pPr>
              <w:pStyle w:val="Tabletext"/>
              <w:rPr>
                <w:rFonts w:eastAsia="Calibri"/>
              </w:rPr>
            </w:pPr>
            <w:r w:rsidRPr="002A3E5B">
              <w:rPr>
                <w:rFonts w:eastAsia="Calibri"/>
              </w:rPr>
              <w:t>2020.CSR1.3</w:t>
            </w:r>
            <w:r w:rsidRPr="002A3E5B">
              <w:rPr>
                <w:rFonts w:eastAsia="Calibri"/>
              </w:rPr>
              <w:br/>
              <w:t>2019.CSR2.8</w:t>
            </w:r>
          </w:p>
        </w:tc>
        <w:tc>
          <w:tcPr>
            <w:tcW w:w="2835" w:type="dxa"/>
            <w:tcMar>
              <w:top w:w="0" w:type="dxa"/>
              <w:left w:w="40" w:type="dxa"/>
              <w:bottom w:w="0" w:type="dxa"/>
              <w:right w:w="40" w:type="dxa"/>
            </w:tcMar>
          </w:tcPr>
          <w:p w14:paraId="6E068677"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19C5ED51" w14:textId="77777777" w:rsidTr="002A3E5B">
        <w:trPr>
          <w:trHeight w:val="113"/>
          <w:jc w:val="center"/>
        </w:trPr>
        <w:tc>
          <w:tcPr>
            <w:tcW w:w="3555" w:type="dxa"/>
            <w:tcMar>
              <w:top w:w="0" w:type="dxa"/>
              <w:left w:w="40" w:type="dxa"/>
              <w:bottom w:w="0" w:type="dxa"/>
              <w:right w:w="40" w:type="dxa"/>
            </w:tcMar>
          </w:tcPr>
          <w:p w14:paraId="33AC1126" w14:textId="4C795984" w:rsidR="008318EB" w:rsidRPr="002A3E5B" w:rsidRDefault="00BA03C0" w:rsidP="002A3E5B">
            <w:pPr>
              <w:pStyle w:val="Tabletext"/>
              <w:rPr>
                <w:rFonts w:eastAsia="Calibri"/>
              </w:rPr>
            </w:pPr>
            <w:r w:rsidRPr="00BA03C0">
              <w:rPr>
                <w:rFonts w:eastAsia="Calibri"/>
                <w:b/>
              </w:rPr>
              <w:t>INVESTMENT 6:</w:t>
            </w:r>
            <w:r w:rsidR="008318EB" w:rsidRPr="002A3E5B">
              <w:rPr>
                <w:rFonts w:eastAsia="Calibri"/>
              </w:rPr>
              <w:t xml:space="preserve"> Establishment of Home Health Care &amp; Hospital at Home systems</w:t>
            </w:r>
          </w:p>
        </w:tc>
        <w:tc>
          <w:tcPr>
            <w:tcW w:w="1545" w:type="dxa"/>
            <w:tcMar>
              <w:top w:w="0" w:type="dxa"/>
              <w:left w:w="40" w:type="dxa"/>
              <w:bottom w:w="0" w:type="dxa"/>
              <w:right w:w="40" w:type="dxa"/>
            </w:tcMar>
          </w:tcPr>
          <w:p w14:paraId="6B1AAC47" w14:textId="77777777" w:rsidR="008318EB" w:rsidRPr="002A3E5B" w:rsidRDefault="008318EB" w:rsidP="002A3E5B">
            <w:pPr>
              <w:pStyle w:val="Tabletext"/>
              <w:rPr>
                <w:rFonts w:eastAsia="Calibri"/>
              </w:rPr>
            </w:pPr>
            <w:r w:rsidRPr="002A3E5B">
              <w:rPr>
                <w:rFonts w:eastAsia="Calibri"/>
              </w:rPr>
              <w:t>RRF 16753</w:t>
            </w:r>
          </w:p>
        </w:tc>
        <w:tc>
          <w:tcPr>
            <w:tcW w:w="1425" w:type="dxa"/>
            <w:tcMar>
              <w:top w:w="0" w:type="dxa"/>
              <w:left w:w="40" w:type="dxa"/>
              <w:bottom w:w="0" w:type="dxa"/>
              <w:right w:w="40" w:type="dxa"/>
            </w:tcMar>
          </w:tcPr>
          <w:p w14:paraId="795018F3" w14:textId="3C57D68D" w:rsidR="008318EB" w:rsidRPr="002A3E5B" w:rsidRDefault="008318EB" w:rsidP="002A3E5B">
            <w:pPr>
              <w:pStyle w:val="Tabletext"/>
              <w:rPr>
                <w:rFonts w:eastAsia="Calibri"/>
              </w:rPr>
            </w:pPr>
            <w:r w:rsidRPr="002A3E5B">
              <w:rPr>
                <w:rFonts w:eastAsia="Calibri"/>
              </w:rPr>
              <w:t>2024.CSR2.1</w:t>
            </w:r>
            <w:r w:rsidRPr="002A3E5B">
              <w:rPr>
                <w:rFonts w:eastAsia="Calibri"/>
              </w:rPr>
              <w:br/>
              <w:t>2020.CSR1.2</w:t>
            </w:r>
            <w:r w:rsidRPr="002A3E5B">
              <w:rPr>
                <w:rFonts w:eastAsia="Calibri"/>
              </w:rPr>
              <w:br/>
              <w:t>2020.CSR1.3</w:t>
            </w:r>
            <w:r w:rsidRPr="002A3E5B">
              <w:rPr>
                <w:rFonts w:eastAsia="Calibri"/>
              </w:rPr>
              <w:br/>
              <w:t>2019.CSR2.8</w:t>
            </w:r>
          </w:p>
        </w:tc>
        <w:tc>
          <w:tcPr>
            <w:tcW w:w="2835" w:type="dxa"/>
            <w:tcMar>
              <w:top w:w="0" w:type="dxa"/>
              <w:left w:w="40" w:type="dxa"/>
              <w:bottom w:w="0" w:type="dxa"/>
              <w:right w:w="40" w:type="dxa"/>
            </w:tcMar>
          </w:tcPr>
          <w:p w14:paraId="10DA178B" w14:textId="77777777" w:rsidR="008318EB" w:rsidRPr="002A3E5B" w:rsidRDefault="008318EB" w:rsidP="002A3E5B">
            <w:pPr>
              <w:pStyle w:val="Tabletext"/>
              <w:rPr>
                <w:rFonts w:eastAsia="Calibri"/>
              </w:rPr>
            </w:pPr>
            <w:r w:rsidRPr="002A3E5B">
              <w:rPr>
                <w:rFonts w:eastAsia="Calibri"/>
              </w:rPr>
              <w:t>Social and Economic resilience</w:t>
            </w:r>
          </w:p>
        </w:tc>
      </w:tr>
      <w:tr w:rsidR="008318EB" w:rsidRPr="002A3E5B" w14:paraId="291FF7C0" w14:textId="77777777" w:rsidTr="002A3E5B">
        <w:trPr>
          <w:trHeight w:val="113"/>
          <w:jc w:val="center"/>
        </w:trPr>
        <w:tc>
          <w:tcPr>
            <w:tcW w:w="3555" w:type="dxa"/>
            <w:tcMar>
              <w:top w:w="0" w:type="dxa"/>
              <w:left w:w="40" w:type="dxa"/>
              <w:bottom w:w="0" w:type="dxa"/>
              <w:right w:w="40" w:type="dxa"/>
            </w:tcMar>
          </w:tcPr>
          <w:p w14:paraId="592DEA48" w14:textId="2FEB5E40" w:rsidR="008318EB" w:rsidRPr="002A3E5B" w:rsidRDefault="00BA03C0" w:rsidP="002A3E5B">
            <w:pPr>
              <w:pStyle w:val="Tabletext"/>
              <w:rPr>
                <w:rFonts w:eastAsia="Calibri"/>
              </w:rPr>
            </w:pPr>
            <w:r w:rsidRPr="00BA03C0">
              <w:rPr>
                <w:rFonts w:eastAsia="Calibri"/>
                <w:b/>
              </w:rPr>
              <w:t>INVESTMENT 7:</w:t>
            </w:r>
            <w:r w:rsidR="008318EB" w:rsidRPr="002A3E5B">
              <w:rPr>
                <w:rFonts w:eastAsia="Calibri"/>
              </w:rPr>
              <w:t xml:space="preserve"> Digital Transformation of Health (DigHealth)</w:t>
            </w:r>
          </w:p>
        </w:tc>
        <w:tc>
          <w:tcPr>
            <w:tcW w:w="1545" w:type="dxa"/>
            <w:tcMar>
              <w:top w:w="0" w:type="dxa"/>
              <w:left w:w="40" w:type="dxa"/>
              <w:bottom w:w="0" w:type="dxa"/>
              <w:right w:w="40" w:type="dxa"/>
            </w:tcMar>
          </w:tcPr>
          <w:p w14:paraId="5181AC4A" w14:textId="77777777" w:rsidR="008318EB" w:rsidRPr="002A3E5B" w:rsidRDefault="008318EB" w:rsidP="002A3E5B">
            <w:pPr>
              <w:pStyle w:val="Tabletext"/>
              <w:rPr>
                <w:rFonts w:eastAsia="Calibri"/>
              </w:rPr>
            </w:pPr>
            <w:r w:rsidRPr="002A3E5B">
              <w:rPr>
                <w:rFonts w:eastAsia="Calibri"/>
              </w:rPr>
              <w:t>RRF 16752</w:t>
            </w:r>
          </w:p>
        </w:tc>
        <w:tc>
          <w:tcPr>
            <w:tcW w:w="1425" w:type="dxa"/>
            <w:tcMar>
              <w:top w:w="0" w:type="dxa"/>
              <w:left w:w="40" w:type="dxa"/>
              <w:bottom w:w="0" w:type="dxa"/>
              <w:right w:w="40" w:type="dxa"/>
            </w:tcMar>
          </w:tcPr>
          <w:p w14:paraId="76BB6E71" w14:textId="2F018468" w:rsidR="008318EB" w:rsidRPr="002A3E5B" w:rsidRDefault="008318EB" w:rsidP="002A3E5B">
            <w:pPr>
              <w:pStyle w:val="Tabletext"/>
              <w:rPr>
                <w:rFonts w:eastAsia="Calibri"/>
              </w:rPr>
            </w:pPr>
            <w:r w:rsidRPr="002A3E5B">
              <w:rPr>
                <w:rFonts w:eastAsia="Calibri"/>
              </w:rPr>
              <w:t>2024.CSR2.1</w:t>
            </w:r>
            <w:r w:rsidRPr="002A3E5B">
              <w:rPr>
                <w:rFonts w:eastAsia="Calibri"/>
              </w:rPr>
              <w:br/>
              <w:t>2020.CSR1.2</w:t>
            </w:r>
            <w:r w:rsidRPr="002A3E5B">
              <w:rPr>
                <w:rFonts w:eastAsia="Calibri"/>
              </w:rPr>
              <w:br/>
              <w:t>2020.CSR1.3</w:t>
            </w:r>
            <w:r w:rsidRPr="002A3E5B">
              <w:rPr>
                <w:rFonts w:eastAsia="Calibri"/>
              </w:rPr>
              <w:br/>
              <w:t>2020.CSR3.9</w:t>
            </w:r>
            <w:r w:rsidRPr="002A3E5B">
              <w:rPr>
                <w:rFonts w:eastAsia="Calibri"/>
              </w:rPr>
              <w:br/>
              <w:t>2019.CSR2.8</w:t>
            </w:r>
            <w:r w:rsidRPr="002A3E5B">
              <w:rPr>
                <w:rFonts w:eastAsia="Calibri"/>
              </w:rPr>
              <w:br/>
              <w:t>2019.CSR2.3</w:t>
            </w:r>
          </w:p>
        </w:tc>
        <w:tc>
          <w:tcPr>
            <w:tcW w:w="2835" w:type="dxa"/>
            <w:tcMar>
              <w:top w:w="0" w:type="dxa"/>
              <w:left w:w="40" w:type="dxa"/>
              <w:bottom w:w="0" w:type="dxa"/>
              <w:right w:w="40" w:type="dxa"/>
            </w:tcMar>
          </w:tcPr>
          <w:p w14:paraId="0F88E3E8" w14:textId="77777777" w:rsidR="008318EB" w:rsidRPr="002A3E5B" w:rsidRDefault="008318EB" w:rsidP="002A3E5B">
            <w:pPr>
              <w:pStyle w:val="Tabletext"/>
              <w:rPr>
                <w:rFonts w:eastAsia="Calibri"/>
              </w:rPr>
            </w:pPr>
            <w:r w:rsidRPr="002A3E5B">
              <w:rPr>
                <w:rFonts w:eastAsia="Calibri"/>
              </w:rPr>
              <w:t>Fair green and digital transition</w:t>
            </w:r>
          </w:p>
          <w:p w14:paraId="119C02B1" w14:textId="77777777" w:rsidR="008318EB" w:rsidRPr="002A3E5B" w:rsidRDefault="008318EB" w:rsidP="002A3E5B">
            <w:pPr>
              <w:pStyle w:val="Tabletext"/>
              <w:rPr>
                <w:rFonts w:eastAsia="Calibri"/>
              </w:rPr>
            </w:pPr>
            <w:r w:rsidRPr="002A3E5B">
              <w:rPr>
                <w:rFonts w:eastAsia="Calibri"/>
              </w:rPr>
              <w:t xml:space="preserve"> </w:t>
            </w:r>
          </w:p>
        </w:tc>
      </w:tr>
    </w:tbl>
    <w:p w14:paraId="7B64875C" w14:textId="5AA9D346" w:rsidR="00143C65" w:rsidRDefault="00143C65" w:rsidP="00143C65"/>
    <w:p w14:paraId="3D868AF6" w14:textId="77777777" w:rsidR="008318EB" w:rsidRPr="00920844" w:rsidRDefault="008318EB" w:rsidP="00920844">
      <w:pPr>
        <w:rPr>
          <w:rFonts w:eastAsia="Calibri"/>
          <w:lang w:val="en-US"/>
        </w:rPr>
      </w:pPr>
      <w:r w:rsidRPr="00920844">
        <w:rPr>
          <w:rFonts w:eastAsia="Calibri"/>
          <w:lang w:val="en-US"/>
        </w:rPr>
        <w:t xml:space="preserve">The </w:t>
      </w:r>
      <w:r w:rsidRPr="00920844">
        <w:rPr>
          <w:rFonts w:eastAsia="Calibri"/>
          <w:b/>
          <w:lang w:val="en-US"/>
        </w:rPr>
        <w:t>RRF reform</w:t>
      </w:r>
      <w:r w:rsidRPr="00920844">
        <w:rPr>
          <w:rFonts w:eastAsia="Calibri"/>
          <w:lang w:val="en-US"/>
        </w:rPr>
        <w:t xml:space="preserve"> concerning the </w:t>
      </w:r>
      <w:r w:rsidRPr="00920844">
        <w:rPr>
          <w:rFonts w:eastAsia="Calibri"/>
          <w:b/>
          <w:lang w:val="en-US"/>
        </w:rPr>
        <w:t>improvement of public health</w:t>
      </w:r>
      <w:r w:rsidRPr="00920844">
        <w:rPr>
          <w:rFonts w:eastAsia="Calibri"/>
          <w:lang w:val="en-US"/>
        </w:rPr>
        <w:t xml:space="preserve"> is directly linked to the prevention and treatment of health problems and the reduction or elimination of risk factors for public health. The “Spyros Doxiadis” programme represents a significant RRP reform and is the largest prevention, early diagnosis, protection and health promotion programme ever implemented in the country. The programme aims to change citizens' awareness, attitudes and perceptions about their health. Early prevention, leading to immediate and targeted treatment, is a key priority for the Ministry of Health. Particular emphasis is placed on the promotion of physical activity and healthy nutrition to combat childhood obesity, as well as screening for the early detection of diseases with high prevalence (e.g. breast cancer, cervical cancer, colorectal cancer and cardiovascular risk). In addition, the reform, which is expected to be completed by 2026, aims to strengthen preparedness and crisis management capabilities and improve the accessibility and effectiveness of the healthcare system. It is also noted that the reform addresses the Union's common priority of social and economic resilience with a focus on the pillar of social rights (health care), as it has at its core the prevention, promotion and protection of health at population level.</w:t>
      </w:r>
    </w:p>
    <w:p w14:paraId="6D8DDFCC" w14:textId="77777777" w:rsidR="008318EB" w:rsidRPr="00920844" w:rsidRDefault="008318EB" w:rsidP="00920844">
      <w:pPr>
        <w:rPr>
          <w:rFonts w:eastAsia="Calibri"/>
          <w:lang w:val="en-US"/>
        </w:rPr>
      </w:pPr>
      <w:r w:rsidRPr="00920844">
        <w:rPr>
          <w:rFonts w:eastAsia="Calibri"/>
          <w:lang w:val="en-US"/>
        </w:rPr>
        <w:t>The completion of the</w:t>
      </w:r>
      <w:r w:rsidRPr="00920844">
        <w:rPr>
          <w:rFonts w:eastAsia="Calibri"/>
          <w:b/>
          <w:lang w:val="en-US"/>
        </w:rPr>
        <w:t xml:space="preserve"> psychiatric reform</w:t>
      </w:r>
      <w:r w:rsidRPr="00920844">
        <w:rPr>
          <w:rFonts w:eastAsia="Calibri"/>
          <w:lang w:val="en-US"/>
        </w:rPr>
        <w:t xml:space="preserve"> refers to the transformation of the way mental health services are provided, shifting the focus from institutional care to community-based care, aiming for mentally ill people to remain active citizens, staying connected to their family and social environment. In our country, the psychiatric reform will be completed through the restructuring of the remaining Specialized Psychiatric Hospitals and the psychiatric clinics of General and University Hospitals, to create a decentralized network of interconnected structures, units, and services focused on the needs of people facing mental health challenges, regardless of their financial, social, professional status, insurance, or place of residence. The new framework will be based on the principles of sectorization and community psychiatry, deinstitutionalization and outpatient care, psychosocial rehabilitation, and social and professional integration. Emphasis will be placed on continuous psychiatric care, information dissemination, and combating social stigma. At the same time, the Integrated Information System for Epidemiological Surveillance and Therapeutic Management, which will ensure the continuity of therapeutic care for mental health service recipients, will facilitate both patients and the caregivers responsible for their </w:t>
      </w:r>
      <w:r w:rsidRPr="00920844">
        <w:rPr>
          <w:rFonts w:eastAsia="Calibri"/>
          <w:lang w:val="en-US"/>
        </w:rPr>
        <w:lastRenderedPageBreak/>
        <w:t>treatment. The Information System is planned to be financed with European funds through ESPA 2021-2027. Additionally, a new strategy will be developed in the field of addictions, with the establishment of a unified National Organization for the Prevention and Treatment of Addictions, aimed at better coordination and optimisation of resources. The goal is to enhance detoxification and rehabilitation capabilities, as well as the social and professional reintegration of people in rehabilitation programs. The reform, which is expected to be largely completed by the end of 2025 (with the exception of the Information System), also addresses the Union's common priority of social and economic resilience, with a focus on the pillar of social rights (health care), by strengthening timely and equitable access to sustainable and quality person-centered mental health services.</w:t>
      </w:r>
    </w:p>
    <w:p w14:paraId="76CF8C8B" w14:textId="77777777" w:rsidR="008318EB" w:rsidRPr="00920844" w:rsidRDefault="008318EB" w:rsidP="00920844">
      <w:pPr>
        <w:rPr>
          <w:rFonts w:eastAsia="Calibri"/>
          <w:lang w:val="en-US"/>
        </w:rPr>
      </w:pPr>
      <w:r w:rsidRPr="00920844">
        <w:rPr>
          <w:rFonts w:eastAsia="Calibri"/>
          <w:lang w:val="en-US"/>
        </w:rPr>
        <w:t xml:space="preserve">The reform being implemented through the </w:t>
      </w:r>
      <w:r w:rsidRPr="00920844">
        <w:rPr>
          <w:rFonts w:eastAsia="Calibri"/>
          <w:b/>
          <w:lang w:val="en-US"/>
        </w:rPr>
        <w:t>RRF in the areas of mental health and addictions</w:t>
      </w:r>
      <w:r w:rsidRPr="00920844">
        <w:rPr>
          <w:rFonts w:eastAsia="Calibri"/>
          <w:lang w:val="en-US"/>
        </w:rPr>
        <w:t xml:space="preserve"> aims to strengthen the network of health services, ensuring universal and free access for all. The main objective is to improve the accessibility, efficiency and quality of the health system, with a focus on providing quality mental health services to specific population groups. 106 new Mental Health Units have already been opened, including units for dementia and Alzheimer's, for children and adolescents, for psychosocial disorders, for autism and for employment support. In addition, renovation and modernisation projects of existing psychiatric and paediatric departments of General Hospitals, Mental Health Centres and Community Mental Health Centres for children and adolescents are underway. The funding for non-residential units, once the RRF is completed, is expected to continue through the ESPA 2021-2027, while the housing units will be funded from the state budget. In addition, the operation of the National Mental Health Hotline (10306), which provides immediate support and information to the population and is funded by RRF, is expected to continue through European funding (ESPA 2021-2027).</w:t>
      </w:r>
    </w:p>
    <w:p w14:paraId="134F9F05" w14:textId="77777777" w:rsidR="008318EB" w:rsidRPr="00920844" w:rsidRDefault="008318EB" w:rsidP="00920844">
      <w:pPr>
        <w:rPr>
          <w:rFonts w:eastAsia="Calibri"/>
          <w:lang w:val="en-US"/>
        </w:rPr>
      </w:pPr>
      <w:r w:rsidRPr="00920844">
        <w:rPr>
          <w:rFonts w:eastAsia="Calibri"/>
          <w:lang w:val="en-US"/>
        </w:rPr>
        <w:t xml:space="preserve">The </w:t>
      </w:r>
      <w:r w:rsidRPr="00920844">
        <w:rPr>
          <w:rFonts w:eastAsia="Calibri"/>
          <w:b/>
          <w:lang w:val="en-US"/>
        </w:rPr>
        <w:t>RRF reform of the Personal Doctor system</w:t>
      </w:r>
      <w:r w:rsidRPr="00920844">
        <w:rPr>
          <w:rFonts w:eastAsia="Calibri"/>
          <w:lang w:val="en-US"/>
        </w:rPr>
        <w:t>, a key component of the comprehensive reorganization of primary health care, focuses on increasing the number of registered personal doctors with the aim of achieving full population coverage by the end of 2026. This initiative aims to promote equitable and universal access to quality health services and to establish a holistic approach to population care. The main features of the reform include the introduction of legislative measures to integrate rural doctors into the personal doctor system, the creation of new posts in urban, semi-urban and rural areas with staff shortages, and the establishment of incentive mechanisms for doctors. Furthermore, private general practitioners and pathologists will be given the opportunity to join the personal doctor system with financial contributions from citizens.</w:t>
      </w:r>
    </w:p>
    <w:p w14:paraId="7094334B" w14:textId="77777777" w:rsidR="008318EB" w:rsidRPr="00920844" w:rsidRDefault="008318EB" w:rsidP="00920844">
      <w:pPr>
        <w:rPr>
          <w:rFonts w:eastAsia="Calibri"/>
          <w:lang w:val="en-US"/>
        </w:rPr>
      </w:pPr>
      <w:r w:rsidRPr="00920844">
        <w:rPr>
          <w:rFonts w:eastAsia="Calibri"/>
          <w:lang w:val="en-US"/>
        </w:rPr>
        <w:t xml:space="preserve">The </w:t>
      </w:r>
      <w:r w:rsidRPr="00920844">
        <w:rPr>
          <w:rFonts w:eastAsia="Calibri"/>
          <w:b/>
          <w:lang w:val="en-US"/>
        </w:rPr>
        <w:t>RRF Reform of the Primary Health Care System</w:t>
      </w:r>
      <w:r w:rsidRPr="00920844">
        <w:rPr>
          <w:rFonts w:eastAsia="Calibri"/>
          <w:lang w:val="en-US"/>
        </w:rPr>
        <w:t xml:space="preserve"> aims to upgrade the infrastructure and medical equipment of at least 156 Health Centers or decentralized primary healthcare units affiliated to primary healthcare centers, and to reorganize their operational structure to create a unified care model. Concurrently, it includes the retraining of staff to effectively provide first-</w:t>
      </w:r>
      <w:r w:rsidRPr="00920844">
        <w:rPr>
          <w:rFonts w:eastAsia="Calibri"/>
          <w:lang w:val="en-US"/>
        </w:rPr>
        <w:lastRenderedPageBreak/>
        <w:t>line services in close collaboration with secondary health services. Special emphasis will be placed on the management of chronic conditions through the structural renovation of Health Centers or decentralized primary healthcare units affiliated to primary healthcare centers. The reform, which is expected to be completed by 2026, aims to improve the quality of health services provided to citizens by promoting the principle of equitable access to healthcare, enhancing effectiveness, and fostering social cohesion. Additionally, the reform will contribute to the development of a robust and resilient primary health care system. Finally, through the renovation of building infrastructures, the project will support the transition to a green economy, contributing to the achievement of the European Union’s climate goals.</w:t>
      </w:r>
    </w:p>
    <w:p w14:paraId="0080B218" w14:textId="77777777" w:rsidR="008318EB" w:rsidRPr="00920844" w:rsidRDefault="008318EB" w:rsidP="00920844">
      <w:pPr>
        <w:rPr>
          <w:rFonts w:eastAsia="Calibri"/>
          <w:lang w:val="en-US"/>
        </w:rPr>
      </w:pPr>
      <w:r w:rsidRPr="00920844">
        <w:rPr>
          <w:rFonts w:eastAsia="Calibri"/>
          <w:lang w:val="en-US"/>
        </w:rPr>
        <w:t xml:space="preserve">The reform of the Primary Health Care system aims to create a unified healthcare system that ensures equal access for all citizens. In this context, </w:t>
      </w:r>
      <w:r w:rsidRPr="00920844">
        <w:rPr>
          <w:rFonts w:eastAsia="Calibri"/>
          <w:b/>
          <w:lang w:val="en-US"/>
        </w:rPr>
        <w:t xml:space="preserve">the strengthening of Mobile Health Units and Local Health Units </w:t>
      </w:r>
      <w:r w:rsidRPr="00920844">
        <w:rPr>
          <w:rFonts w:eastAsia="Calibri"/>
          <w:lang w:val="en-US"/>
        </w:rPr>
        <w:t>is being promoted, which will be deployed throughout the country, contributing to the development of a more efficient and accessible health system, with a focus on prevention and holistic care. Their mission is to provide comprehensive primary healthcare services, including screening, health promotion, chronic disease management, rehabilitation, community palliative care, and home visits to populations in remote or isolated rural and semi-urban areas in mountainous and island regions. The aim is to remove barriers to accessing quality, holistic health services and to reduce inequalities in care. The project will be completed by the end of 2026.</w:t>
      </w:r>
    </w:p>
    <w:p w14:paraId="643D0148" w14:textId="77777777" w:rsidR="008318EB" w:rsidRPr="00920844" w:rsidRDefault="008318EB" w:rsidP="00920844">
      <w:pPr>
        <w:rPr>
          <w:rFonts w:eastAsia="Calibri"/>
          <w:lang w:val="en-US"/>
        </w:rPr>
      </w:pPr>
      <w:r w:rsidRPr="00920844">
        <w:rPr>
          <w:rFonts w:eastAsia="Calibri"/>
          <w:lang w:val="en-US"/>
        </w:rPr>
        <w:t xml:space="preserve">The investment </w:t>
      </w:r>
      <w:r w:rsidRPr="00920844">
        <w:rPr>
          <w:rFonts w:eastAsia="Calibri"/>
          <w:b/>
          <w:lang w:val="en-US"/>
        </w:rPr>
        <w:t>“Health Infrastructure”</w:t>
      </w:r>
      <w:r w:rsidRPr="00920844">
        <w:rPr>
          <w:rFonts w:eastAsia="Calibri"/>
          <w:lang w:val="en-US"/>
        </w:rPr>
        <w:t xml:space="preserve"> aims to provide major upgrades to the National Health System's hospital infrastructure, including energy-efficient renovations and the supply of new medical equipment, in 80 public hospitals across the country's 7 health regions. The project, which is expected to be completed by 2026, will also equip medical and nursing staff with the necessary tools to effectively meet the growing healthcare needs of the population. The primary objective of the project is the overall upgrading of public hospitals, with a focus on providing higher quality healthcare services that are fully responsive to the needs of the population, ensuring patient health and safety, and facilitating faster and more efficient patient care.</w:t>
      </w:r>
    </w:p>
    <w:p w14:paraId="13671AB3" w14:textId="77777777" w:rsidR="008318EB" w:rsidRPr="00920844" w:rsidRDefault="008318EB" w:rsidP="00920844">
      <w:pPr>
        <w:rPr>
          <w:rFonts w:eastAsia="Calibri"/>
          <w:lang w:val="en-US"/>
        </w:rPr>
      </w:pPr>
      <w:r w:rsidRPr="00920844">
        <w:rPr>
          <w:rFonts w:eastAsia="Calibri"/>
          <w:lang w:val="en-US"/>
        </w:rPr>
        <w:t xml:space="preserve">The </w:t>
      </w:r>
      <w:r w:rsidRPr="00920844">
        <w:rPr>
          <w:rFonts w:eastAsia="Calibri"/>
          <w:b/>
          <w:lang w:val="en-US"/>
        </w:rPr>
        <w:t xml:space="preserve">design and construction of a radiotherapy center at the Athens General Hospital for Thoracic Diseases "Sotiria" </w:t>
      </w:r>
      <w:r w:rsidRPr="00920844">
        <w:rPr>
          <w:rFonts w:eastAsia="Calibri"/>
          <w:lang w:val="en-US"/>
        </w:rPr>
        <w:t>will significantly contribute to meeting the needs of cancer patients and the growing demand for radiotherapy departments across the country. This investment, which is expected to be completed by 2026, includes the creation of a new radiotherapy department and the construction of modern facilities to house outpatient clinics, centers of clinical excellence, and specialized care units. The primary objective is to promptly address the needs of cancer patients, improve the quality of healthcare services provided, reduce waiting times for radiotherapy, enhance accessibility and overall increase the efficiency of the national healthcare system.</w:t>
      </w:r>
    </w:p>
    <w:p w14:paraId="75780769" w14:textId="77777777" w:rsidR="008318EB" w:rsidRPr="00920844" w:rsidRDefault="008318EB" w:rsidP="00920844">
      <w:pPr>
        <w:rPr>
          <w:rFonts w:eastAsia="Calibri"/>
          <w:lang w:val="en-US"/>
        </w:rPr>
      </w:pPr>
      <w:r w:rsidRPr="00920844">
        <w:rPr>
          <w:rFonts w:eastAsia="Calibri"/>
          <w:lang w:val="en-US"/>
        </w:rPr>
        <w:lastRenderedPageBreak/>
        <w:t xml:space="preserve">The project, for </w:t>
      </w:r>
      <w:r w:rsidRPr="00920844">
        <w:rPr>
          <w:rFonts w:eastAsia="Calibri"/>
          <w:b/>
          <w:lang w:val="en-US"/>
        </w:rPr>
        <w:t>the construction of a building dedicated to Cellular and Gene Therapies and Hematology Clinic Laboratories within the General Hospital of Thessaloniki “Papanikolaou”</w:t>
      </w:r>
      <w:r w:rsidRPr="00920844">
        <w:rPr>
          <w:rFonts w:eastAsia="Calibri"/>
          <w:lang w:val="en-US"/>
        </w:rPr>
        <w:t xml:space="preserve"> which is expected to be completed by 2026, aims to promote research in the field of cell and gene therapies and improve patient care and scientific progress. It seeks to support patients who need these therapies, improve their quality of life and chances of survival, and generally improve the accessibility, quality and efficiency of healthcare services. In addition, the new buildings will meet primary energy consumption requirements that are at least 20% lower than the limits set for near-zero energy buildings in accordance with national guidelines.</w:t>
      </w:r>
    </w:p>
    <w:p w14:paraId="18C144CD" w14:textId="77777777" w:rsidR="008318EB" w:rsidRPr="00920844" w:rsidRDefault="008318EB" w:rsidP="00920844">
      <w:pPr>
        <w:rPr>
          <w:rFonts w:eastAsia="Calibri"/>
          <w:lang w:val="en-US"/>
        </w:rPr>
      </w:pPr>
      <w:r w:rsidRPr="00920844">
        <w:rPr>
          <w:rFonts w:eastAsia="Calibri"/>
          <w:lang w:val="en-US"/>
        </w:rPr>
        <w:t>The</w:t>
      </w:r>
      <w:r w:rsidRPr="00920844">
        <w:rPr>
          <w:rFonts w:eastAsia="Calibri"/>
          <w:b/>
          <w:lang w:val="en-US"/>
        </w:rPr>
        <w:t xml:space="preserve"> new Oncology Hospital</w:t>
      </w:r>
      <w:r w:rsidRPr="00920844">
        <w:rPr>
          <w:rFonts w:eastAsia="Calibri"/>
          <w:lang w:val="en-US"/>
        </w:rPr>
        <w:t xml:space="preserve"> to be built </w:t>
      </w:r>
      <w:r w:rsidRPr="00920844">
        <w:rPr>
          <w:rFonts w:eastAsia="Calibri"/>
          <w:b/>
          <w:lang w:val="en-US"/>
        </w:rPr>
        <w:t xml:space="preserve">in Thessaloniki </w:t>
      </w:r>
      <w:r w:rsidRPr="00920844">
        <w:rPr>
          <w:rFonts w:eastAsia="Calibri"/>
          <w:lang w:val="en-US"/>
        </w:rPr>
        <w:t>will focus on three main axes:  prevention, early diagnosis and management of the disease. Each axis will be supported by specialized structures, aiming at a holistic approach to cancer. The hospital, with a capacity of 425 beds, will be equipped with state-of-the-art medical facilities, ensuring more efficient services and innovative treatment methods. It will also include a Mental Health Centre, a Patient Rehabilitation Area, a Palliative Care Unit and Accompanying People's Accommodation to cover all needs. This new structure will improve healthcare services for patients in Northern Greece, while contributing to regional development and offering modern working conditions for medical and nursing staff. The project is estimated to be completed by the end of 2030.</w:t>
      </w:r>
    </w:p>
    <w:p w14:paraId="4979377A" w14:textId="77777777" w:rsidR="008318EB" w:rsidRPr="00920844" w:rsidRDefault="008318EB" w:rsidP="00920844">
      <w:pPr>
        <w:rPr>
          <w:rFonts w:eastAsia="Calibri"/>
          <w:lang w:val="en-US"/>
        </w:rPr>
      </w:pPr>
      <w:r w:rsidRPr="00920844">
        <w:rPr>
          <w:rFonts w:eastAsia="Calibri"/>
          <w:lang w:val="en-US"/>
        </w:rPr>
        <w:t xml:space="preserve">The investment </w:t>
      </w:r>
      <w:r w:rsidRPr="00920844">
        <w:rPr>
          <w:rFonts w:eastAsia="Calibri"/>
          <w:b/>
          <w:lang w:val="en-US"/>
        </w:rPr>
        <w:t>“Hospital at Home”</w:t>
      </w:r>
      <w:r w:rsidRPr="00920844">
        <w:rPr>
          <w:rFonts w:eastAsia="Calibri"/>
          <w:lang w:val="en-US"/>
        </w:rPr>
        <w:t xml:space="preserve"> focuses on the development of a home care system for patients with complex health problems. Home care is combined with organized support from health units and is targeted at children, adolescents and adults with severe chronic conditions. The aim of the Home Hospital Care programme is to provide safe, long-term, holistic and personalized care to patients, reduce the risk of infection from resistant microbes and hospital-acquired infections, and monitor patient adherence to long-term treatment. In addition, the investment is expected to reduce the direct and indirect costs of care for both healthcare systems and patients and their families. Overall, the initiative which is expected to be completed by 2026, aims to conserve resources for the national healthcare system while improving the quality of life for patients with chronic diseases and their caregivers.</w:t>
      </w:r>
    </w:p>
    <w:p w14:paraId="4A521657" w14:textId="77777777" w:rsidR="008318EB" w:rsidRPr="00920844" w:rsidRDefault="008318EB" w:rsidP="00920844">
      <w:pPr>
        <w:rPr>
          <w:rFonts w:eastAsia="Calibri"/>
          <w:lang w:val="en-US"/>
        </w:rPr>
      </w:pPr>
      <w:r w:rsidRPr="00920844">
        <w:rPr>
          <w:rFonts w:eastAsia="Calibri"/>
          <w:lang w:val="en-US"/>
        </w:rPr>
        <w:t xml:space="preserve">The </w:t>
      </w:r>
      <w:r w:rsidRPr="00920844">
        <w:rPr>
          <w:rFonts w:eastAsia="Calibri"/>
          <w:b/>
          <w:lang w:val="en-US"/>
        </w:rPr>
        <w:t>Digital Transformation of Health</w:t>
      </w:r>
      <w:r w:rsidRPr="00920844">
        <w:rPr>
          <w:rFonts w:eastAsia="Calibri"/>
          <w:lang w:val="en-US"/>
        </w:rPr>
        <w:t xml:space="preserve">, aims to improve the quality of healthcare, enhance patient safety through new innovative services, and create a more efficient and effective healthcare system. At the same time, the project will promote equal access to healthcare services for all citizens, regardless of where they live, while improving transparency, cooperation and communication between healthcare professionals. It will also strengthen the active involvement of patients in managing their health and making informed medical decisions. The investment includes the implementation of five key sub-projects: the development of the National Electronic Health Record, the full implementation of the Digital Cancer Management Programme, the expansion of the capacity of the National Telemedicine Network, the improvement of the digital readiness of hospitals and the digital transformation of the National </w:t>
      </w:r>
      <w:r w:rsidRPr="00920844">
        <w:rPr>
          <w:rFonts w:eastAsia="Calibri"/>
          <w:lang w:val="en-US"/>
        </w:rPr>
        <w:lastRenderedPageBreak/>
        <w:t>Organisation for the Provision of Healthcare Services (EOPYY). Overall, the implementation of the project, which is expected to be completed by 2026, is anticipated to contribute to the creation of improved, efficient, inclusive, secure, innovative and interoperable digital public services in the country.</w:t>
      </w:r>
    </w:p>
    <w:p w14:paraId="401B1233" w14:textId="77777777" w:rsidR="00143C65" w:rsidRPr="00920844" w:rsidRDefault="00143C65" w:rsidP="00920844">
      <w:pPr>
        <w:rPr>
          <w:lang w:val="en-US"/>
        </w:rPr>
      </w:pPr>
    </w:p>
    <w:p w14:paraId="3C6D8FA8" w14:textId="1EBADA3F" w:rsidR="00987A40" w:rsidRPr="00B656B8" w:rsidRDefault="001347A2" w:rsidP="00B656B8">
      <w:pPr>
        <w:pStyle w:val="Heading2"/>
        <w:pBdr>
          <w:bottom w:val="single" w:sz="18" w:space="1" w:color="FF3300"/>
        </w:pBdr>
      </w:pPr>
      <w:bookmarkStart w:id="65" w:name="_Toc177496805"/>
      <w:bookmarkStart w:id="66" w:name="_Toc178070107"/>
      <w:r>
        <w:rPr>
          <w:lang w:val="en-US"/>
        </w:rPr>
        <w:t>M</w:t>
      </w:r>
      <w:r w:rsidRPr="00B656B8">
        <w:t xml:space="preserve">inistry of </w:t>
      </w:r>
      <w:r>
        <w:rPr>
          <w:lang w:val="en-US"/>
        </w:rPr>
        <w:t>C</w:t>
      </w:r>
      <w:r w:rsidRPr="00B656B8">
        <w:t xml:space="preserve">itizens’ </w:t>
      </w:r>
      <w:bookmarkEnd w:id="65"/>
      <w:r>
        <w:rPr>
          <w:lang w:val="en-US"/>
        </w:rPr>
        <w:t>P</w:t>
      </w:r>
      <w:r w:rsidRPr="00B656B8">
        <w:t>rotection</w:t>
      </w:r>
      <w:bookmarkEnd w:id="66"/>
    </w:p>
    <w:p w14:paraId="0B23233B" w14:textId="393A52F3" w:rsidR="00987A40" w:rsidRDefault="00987A40" w:rsidP="00987A40">
      <w:pPr>
        <w:widowControl w:val="0"/>
        <w:spacing w:line="240" w:lineRule="auto"/>
        <w:rPr>
          <w:rFonts w:ascii="Calibri" w:eastAsia="Calibri" w:hAnsi="Calibri" w:cs="Calibri"/>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24"/>
        <w:gridCol w:w="1689"/>
        <w:gridCol w:w="1268"/>
        <w:gridCol w:w="1891"/>
      </w:tblGrid>
      <w:tr w:rsidR="008318EB" w:rsidRPr="00235F2C" w14:paraId="4EEBAA9E" w14:textId="77777777" w:rsidTr="00920844">
        <w:trPr>
          <w:trHeight w:val="113"/>
          <w:jc w:val="center"/>
        </w:trPr>
        <w:tc>
          <w:tcPr>
            <w:tcW w:w="4365" w:type="dxa"/>
            <w:shd w:val="clear" w:color="auto" w:fill="CFE2F3"/>
          </w:tcPr>
          <w:p w14:paraId="6DB9D5C2" w14:textId="77777777" w:rsidR="008318EB" w:rsidRPr="00235F2C" w:rsidRDefault="008318EB" w:rsidP="00235F2C">
            <w:pPr>
              <w:pStyle w:val="Tabletext"/>
              <w:rPr>
                <w:rFonts w:eastAsia="Calibri"/>
                <w:b/>
              </w:rPr>
            </w:pPr>
            <w:r w:rsidRPr="00235F2C">
              <w:rPr>
                <w:rFonts w:eastAsia="Calibri"/>
                <w:b/>
              </w:rPr>
              <w:t>REFORM / INVESTMENT</w:t>
            </w:r>
          </w:p>
        </w:tc>
        <w:tc>
          <w:tcPr>
            <w:tcW w:w="1740" w:type="dxa"/>
            <w:shd w:val="clear" w:color="auto" w:fill="CFE2F3"/>
          </w:tcPr>
          <w:p w14:paraId="0D4A62E6" w14:textId="77777777" w:rsidR="008318EB" w:rsidRPr="00235F2C" w:rsidRDefault="008318EB" w:rsidP="00235F2C">
            <w:pPr>
              <w:pStyle w:val="Tabletext"/>
              <w:rPr>
                <w:rFonts w:eastAsia="Calibri"/>
                <w:b/>
              </w:rPr>
            </w:pPr>
            <w:r w:rsidRPr="00235F2C">
              <w:rPr>
                <w:rFonts w:eastAsia="Calibri"/>
                <w:b/>
              </w:rPr>
              <w:t xml:space="preserve">RRF / MFF </w:t>
            </w:r>
          </w:p>
        </w:tc>
        <w:tc>
          <w:tcPr>
            <w:tcW w:w="1305" w:type="dxa"/>
            <w:shd w:val="clear" w:color="auto" w:fill="CFE2F3"/>
          </w:tcPr>
          <w:p w14:paraId="79C0C8EC" w14:textId="77777777" w:rsidR="008318EB" w:rsidRPr="00235F2C" w:rsidRDefault="008318EB" w:rsidP="00235F2C">
            <w:pPr>
              <w:pStyle w:val="Tabletext"/>
              <w:rPr>
                <w:rFonts w:eastAsia="Calibri"/>
                <w:b/>
              </w:rPr>
            </w:pPr>
            <w:r w:rsidRPr="00235F2C">
              <w:rPr>
                <w:rFonts w:eastAsia="Calibri"/>
                <w:b/>
              </w:rPr>
              <w:t xml:space="preserve">CSR </w:t>
            </w:r>
          </w:p>
        </w:tc>
        <w:tc>
          <w:tcPr>
            <w:tcW w:w="1950" w:type="dxa"/>
            <w:shd w:val="clear" w:color="auto" w:fill="CFE2F3"/>
          </w:tcPr>
          <w:p w14:paraId="73E90EDA" w14:textId="77777777" w:rsidR="008318EB" w:rsidRPr="00235F2C" w:rsidRDefault="008318EB" w:rsidP="00235F2C">
            <w:pPr>
              <w:pStyle w:val="Tabletext"/>
              <w:rPr>
                <w:rFonts w:eastAsia="Calibri"/>
                <w:b/>
              </w:rPr>
            </w:pPr>
            <w:r w:rsidRPr="00235F2C">
              <w:rPr>
                <w:rFonts w:eastAsia="Calibri"/>
                <w:b/>
              </w:rPr>
              <w:t>COMMON PRIORITIES</w:t>
            </w:r>
          </w:p>
        </w:tc>
      </w:tr>
      <w:tr w:rsidR="008318EB" w:rsidRPr="00235F2C" w14:paraId="762A4C3E" w14:textId="77777777" w:rsidTr="00920844">
        <w:trPr>
          <w:trHeight w:val="113"/>
          <w:jc w:val="center"/>
        </w:trPr>
        <w:tc>
          <w:tcPr>
            <w:tcW w:w="4365" w:type="dxa"/>
            <w:shd w:val="clear" w:color="auto" w:fill="auto"/>
            <w:tcMar>
              <w:top w:w="0" w:type="dxa"/>
              <w:left w:w="45" w:type="dxa"/>
              <w:bottom w:w="0" w:type="dxa"/>
              <w:right w:w="45" w:type="dxa"/>
            </w:tcMar>
          </w:tcPr>
          <w:p w14:paraId="41FD5F1E" w14:textId="3F8C8E29" w:rsidR="008318EB" w:rsidRPr="00235F2C" w:rsidRDefault="00BA03C0" w:rsidP="00235F2C">
            <w:pPr>
              <w:pStyle w:val="Tabletext"/>
              <w:rPr>
                <w:rFonts w:eastAsia="Calibri"/>
              </w:rPr>
            </w:pPr>
            <w:r w:rsidRPr="00BA03C0">
              <w:rPr>
                <w:rFonts w:eastAsia="Calibri"/>
                <w:b/>
              </w:rPr>
              <w:t>REFORM 1:</w:t>
            </w:r>
            <w:r w:rsidR="008318EB" w:rsidRPr="00235F2C">
              <w:rPr>
                <w:rFonts w:eastAsia="Calibri"/>
              </w:rPr>
              <w:t xml:space="preserve"> Issuance and implementation of Temporary Healthcare Number for detainees (PAYPEK)</w:t>
            </w:r>
          </w:p>
        </w:tc>
        <w:tc>
          <w:tcPr>
            <w:tcW w:w="1740" w:type="dxa"/>
            <w:shd w:val="clear" w:color="auto" w:fill="auto"/>
            <w:tcMar>
              <w:top w:w="0" w:type="dxa"/>
              <w:left w:w="45" w:type="dxa"/>
              <w:bottom w:w="0" w:type="dxa"/>
              <w:right w:w="45" w:type="dxa"/>
            </w:tcMar>
          </w:tcPr>
          <w:p w14:paraId="3036D512" w14:textId="77777777" w:rsidR="008318EB" w:rsidRPr="00235F2C" w:rsidRDefault="008318EB" w:rsidP="00235F2C">
            <w:pPr>
              <w:pStyle w:val="Tabletext"/>
              <w:rPr>
                <w:rFonts w:eastAsia="Calibri"/>
              </w:rPr>
            </w:pPr>
            <w:r w:rsidRPr="00235F2C">
              <w:rPr>
                <w:rFonts w:eastAsia="Calibri"/>
              </w:rPr>
              <w:t>-</w:t>
            </w:r>
          </w:p>
        </w:tc>
        <w:tc>
          <w:tcPr>
            <w:tcW w:w="1305" w:type="dxa"/>
            <w:shd w:val="clear" w:color="auto" w:fill="auto"/>
            <w:tcMar>
              <w:top w:w="0" w:type="dxa"/>
              <w:left w:w="45" w:type="dxa"/>
              <w:bottom w:w="0" w:type="dxa"/>
              <w:right w:w="45" w:type="dxa"/>
            </w:tcMar>
          </w:tcPr>
          <w:p w14:paraId="4298DED8" w14:textId="77777777" w:rsidR="008318EB" w:rsidRPr="00235F2C" w:rsidRDefault="008318EB" w:rsidP="00235F2C">
            <w:pPr>
              <w:pStyle w:val="Tabletext"/>
              <w:rPr>
                <w:rFonts w:eastAsia="Calibri"/>
              </w:rPr>
            </w:pPr>
            <w:r w:rsidRPr="00235F2C">
              <w:rPr>
                <w:rFonts w:eastAsia="Calibri"/>
              </w:rPr>
              <w:t>2023.CSR 3.1</w:t>
            </w:r>
            <w:r w:rsidRPr="00235F2C">
              <w:rPr>
                <w:rFonts w:eastAsia="Calibri"/>
              </w:rPr>
              <w:br/>
              <w:t>2022.CSR 3.1</w:t>
            </w:r>
          </w:p>
        </w:tc>
        <w:tc>
          <w:tcPr>
            <w:tcW w:w="1950" w:type="dxa"/>
            <w:shd w:val="clear" w:color="auto" w:fill="auto"/>
            <w:tcMar>
              <w:top w:w="0" w:type="dxa"/>
              <w:left w:w="45" w:type="dxa"/>
              <w:bottom w:w="0" w:type="dxa"/>
              <w:right w:w="45" w:type="dxa"/>
            </w:tcMar>
          </w:tcPr>
          <w:p w14:paraId="7DA9CCFF" w14:textId="77777777" w:rsidR="008318EB" w:rsidRPr="00235F2C" w:rsidRDefault="008318EB" w:rsidP="00235F2C">
            <w:pPr>
              <w:pStyle w:val="Tabletext"/>
              <w:rPr>
                <w:rFonts w:eastAsia="Calibri"/>
              </w:rPr>
            </w:pPr>
            <w:r w:rsidRPr="00235F2C">
              <w:rPr>
                <w:rFonts w:eastAsia="Calibri"/>
              </w:rPr>
              <w:t>Social and Economic resilience</w:t>
            </w:r>
          </w:p>
        </w:tc>
      </w:tr>
      <w:tr w:rsidR="008318EB" w:rsidRPr="00235F2C" w14:paraId="634E7198" w14:textId="77777777" w:rsidTr="00920844">
        <w:trPr>
          <w:trHeight w:val="113"/>
          <w:jc w:val="center"/>
        </w:trPr>
        <w:tc>
          <w:tcPr>
            <w:tcW w:w="4365" w:type="dxa"/>
            <w:shd w:val="clear" w:color="auto" w:fill="auto"/>
            <w:tcMar>
              <w:top w:w="0" w:type="dxa"/>
              <w:left w:w="45" w:type="dxa"/>
              <w:bottom w:w="0" w:type="dxa"/>
              <w:right w:w="45" w:type="dxa"/>
            </w:tcMar>
          </w:tcPr>
          <w:p w14:paraId="4FBBDF3B" w14:textId="409A2D52" w:rsidR="008318EB" w:rsidRPr="00235F2C" w:rsidRDefault="00BA03C0" w:rsidP="00235F2C">
            <w:pPr>
              <w:pStyle w:val="Tabletext"/>
              <w:rPr>
                <w:rFonts w:eastAsia="Calibri"/>
              </w:rPr>
            </w:pPr>
            <w:r w:rsidRPr="00BA03C0">
              <w:rPr>
                <w:rFonts w:eastAsia="Calibri"/>
                <w:b/>
              </w:rPr>
              <w:t>REFORM 2:</w:t>
            </w:r>
            <w:r w:rsidR="008318EB" w:rsidRPr="00235F2C">
              <w:rPr>
                <w:rFonts w:eastAsia="Calibri"/>
              </w:rPr>
              <w:t xml:space="preserve"> Upgrading Police Academy and Higher Police Education </w:t>
            </w:r>
          </w:p>
        </w:tc>
        <w:tc>
          <w:tcPr>
            <w:tcW w:w="1740" w:type="dxa"/>
            <w:shd w:val="clear" w:color="auto" w:fill="auto"/>
            <w:tcMar>
              <w:top w:w="0" w:type="dxa"/>
              <w:left w:w="45" w:type="dxa"/>
              <w:bottom w:w="0" w:type="dxa"/>
              <w:right w:w="45" w:type="dxa"/>
            </w:tcMar>
          </w:tcPr>
          <w:p w14:paraId="756FCC3F" w14:textId="77777777" w:rsidR="008318EB" w:rsidRPr="00235F2C" w:rsidRDefault="008318EB" w:rsidP="00235F2C">
            <w:pPr>
              <w:pStyle w:val="Tabletext"/>
              <w:rPr>
                <w:rFonts w:eastAsia="Calibri"/>
              </w:rPr>
            </w:pPr>
            <w:r w:rsidRPr="00235F2C">
              <w:rPr>
                <w:rFonts w:eastAsia="Calibri"/>
              </w:rPr>
              <w:t>-</w:t>
            </w:r>
          </w:p>
        </w:tc>
        <w:tc>
          <w:tcPr>
            <w:tcW w:w="1305" w:type="dxa"/>
            <w:shd w:val="clear" w:color="auto" w:fill="auto"/>
            <w:tcMar>
              <w:top w:w="0" w:type="dxa"/>
              <w:left w:w="45" w:type="dxa"/>
              <w:bottom w:w="0" w:type="dxa"/>
              <w:right w:w="45" w:type="dxa"/>
            </w:tcMar>
          </w:tcPr>
          <w:p w14:paraId="5CFB89B7" w14:textId="77777777" w:rsidR="008318EB" w:rsidRPr="00235F2C" w:rsidRDefault="008318EB" w:rsidP="00235F2C">
            <w:pPr>
              <w:pStyle w:val="Tabletext"/>
              <w:rPr>
                <w:rFonts w:eastAsia="Calibri"/>
              </w:rPr>
            </w:pPr>
            <w:r w:rsidRPr="00235F2C">
              <w:rPr>
                <w:rFonts w:eastAsia="Calibri"/>
              </w:rPr>
              <w:t>2020.CSR 3.8</w:t>
            </w:r>
            <w:r w:rsidRPr="00235F2C">
              <w:rPr>
                <w:rFonts w:eastAsia="Calibri"/>
              </w:rPr>
              <w:br/>
              <w:t>2019.CSR 2.6</w:t>
            </w:r>
            <w:r w:rsidRPr="00235F2C">
              <w:rPr>
                <w:rFonts w:eastAsia="Calibri"/>
              </w:rPr>
              <w:br/>
              <w:t>2019.CSR 2.5</w:t>
            </w:r>
          </w:p>
        </w:tc>
        <w:tc>
          <w:tcPr>
            <w:tcW w:w="1950" w:type="dxa"/>
            <w:shd w:val="clear" w:color="auto" w:fill="auto"/>
            <w:tcMar>
              <w:top w:w="0" w:type="dxa"/>
              <w:left w:w="45" w:type="dxa"/>
              <w:bottom w:w="0" w:type="dxa"/>
              <w:right w:w="45" w:type="dxa"/>
            </w:tcMar>
          </w:tcPr>
          <w:p w14:paraId="38DF22FF" w14:textId="77777777" w:rsidR="008318EB" w:rsidRPr="00235F2C" w:rsidRDefault="008318EB" w:rsidP="00235F2C">
            <w:pPr>
              <w:pStyle w:val="Tabletext"/>
              <w:rPr>
                <w:rFonts w:eastAsia="Calibri"/>
              </w:rPr>
            </w:pPr>
            <w:r w:rsidRPr="00235F2C">
              <w:rPr>
                <w:rFonts w:eastAsia="Calibri"/>
              </w:rPr>
              <w:t>Social and Economic resilience</w:t>
            </w:r>
          </w:p>
        </w:tc>
      </w:tr>
      <w:tr w:rsidR="008318EB" w:rsidRPr="00235F2C" w14:paraId="1A07D3EF" w14:textId="77777777" w:rsidTr="00920844">
        <w:trPr>
          <w:trHeight w:val="113"/>
          <w:jc w:val="center"/>
        </w:trPr>
        <w:tc>
          <w:tcPr>
            <w:tcW w:w="4365" w:type="dxa"/>
            <w:shd w:val="clear" w:color="auto" w:fill="auto"/>
            <w:tcMar>
              <w:top w:w="0" w:type="dxa"/>
              <w:left w:w="45" w:type="dxa"/>
              <w:bottom w:w="0" w:type="dxa"/>
              <w:right w:w="45" w:type="dxa"/>
            </w:tcMar>
          </w:tcPr>
          <w:p w14:paraId="5368AFB5" w14:textId="0A20D6CE" w:rsidR="008318EB" w:rsidRPr="00235F2C" w:rsidRDefault="008318EB" w:rsidP="00235F2C">
            <w:pPr>
              <w:pStyle w:val="Tabletext"/>
              <w:rPr>
                <w:rFonts w:eastAsia="Calibri"/>
              </w:rPr>
            </w:pPr>
            <w:r w:rsidRPr="00996F8A">
              <w:rPr>
                <w:rFonts w:eastAsia="Calibri"/>
                <w:b/>
              </w:rPr>
              <w:t>INVESTMENT 1:</w:t>
            </w:r>
            <w:r w:rsidRPr="00235F2C">
              <w:rPr>
                <w:rFonts w:eastAsia="Calibri"/>
              </w:rPr>
              <w:t xml:space="preserve"> Integrated external border management to counter irregular migration and smuggling, through artificial intelligence and IT tools</w:t>
            </w:r>
          </w:p>
        </w:tc>
        <w:tc>
          <w:tcPr>
            <w:tcW w:w="1740" w:type="dxa"/>
            <w:shd w:val="clear" w:color="auto" w:fill="auto"/>
            <w:tcMar>
              <w:top w:w="0" w:type="dxa"/>
              <w:left w:w="45" w:type="dxa"/>
              <w:bottom w:w="0" w:type="dxa"/>
              <w:right w:w="45" w:type="dxa"/>
            </w:tcMar>
          </w:tcPr>
          <w:p w14:paraId="72298446" w14:textId="77777777" w:rsidR="008318EB" w:rsidRPr="00235F2C" w:rsidRDefault="008318EB" w:rsidP="00235F2C">
            <w:pPr>
              <w:pStyle w:val="Tabletext"/>
              <w:rPr>
                <w:rFonts w:eastAsia="Calibri"/>
              </w:rPr>
            </w:pPr>
            <w:r w:rsidRPr="00235F2C">
              <w:rPr>
                <w:rFonts w:eastAsia="Calibri"/>
              </w:rPr>
              <w:t>MFF</w:t>
            </w:r>
          </w:p>
        </w:tc>
        <w:tc>
          <w:tcPr>
            <w:tcW w:w="1305" w:type="dxa"/>
            <w:shd w:val="clear" w:color="auto" w:fill="auto"/>
            <w:tcMar>
              <w:top w:w="0" w:type="dxa"/>
              <w:left w:w="45" w:type="dxa"/>
              <w:bottom w:w="0" w:type="dxa"/>
              <w:right w:w="45" w:type="dxa"/>
            </w:tcMar>
          </w:tcPr>
          <w:p w14:paraId="3DC4633F" w14:textId="77777777" w:rsidR="008318EB" w:rsidRPr="00235F2C" w:rsidRDefault="008318EB" w:rsidP="00235F2C">
            <w:pPr>
              <w:pStyle w:val="Tabletext"/>
              <w:rPr>
                <w:rFonts w:eastAsia="Calibri"/>
              </w:rPr>
            </w:pPr>
            <w:r w:rsidRPr="00235F2C">
              <w:rPr>
                <w:rFonts w:eastAsia="Calibri"/>
              </w:rPr>
              <w:t>2019.CSR 2.3</w:t>
            </w:r>
          </w:p>
        </w:tc>
        <w:tc>
          <w:tcPr>
            <w:tcW w:w="1950" w:type="dxa"/>
            <w:shd w:val="clear" w:color="auto" w:fill="auto"/>
            <w:tcMar>
              <w:top w:w="0" w:type="dxa"/>
              <w:left w:w="45" w:type="dxa"/>
              <w:bottom w:w="0" w:type="dxa"/>
              <w:right w:w="45" w:type="dxa"/>
            </w:tcMar>
          </w:tcPr>
          <w:p w14:paraId="32203E6E" w14:textId="77777777" w:rsidR="008318EB" w:rsidRPr="00235F2C" w:rsidRDefault="008318EB" w:rsidP="00235F2C">
            <w:pPr>
              <w:pStyle w:val="Tabletext"/>
              <w:rPr>
                <w:rFonts w:eastAsia="Calibri"/>
              </w:rPr>
            </w:pPr>
            <w:r w:rsidRPr="00235F2C">
              <w:rPr>
                <w:rFonts w:eastAsia="Calibri"/>
              </w:rPr>
              <w:t>Defense Capabilities</w:t>
            </w:r>
          </w:p>
        </w:tc>
      </w:tr>
      <w:tr w:rsidR="008318EB" w:rsidRPr="00235F2C" w14:paraId="7C718C9C" w14:textId="77777777" w:rsidTr="00920844">
        <w:trPr>
          <w:trHeight w:val="113"/>
          <w:jc w:val="center"/>
        </w:trPr>
        <w:tc>
          <w:tcPr>
            <w:tcW w:w="4365" w:type="dxa"/>
            <w:shd w:val="clear" w:color="auto" w:fill="auto"/>
            <w:tcMar>
              <w:top w:w="0" w:type="dxa"/>
              <w:left w:w="45" w:type="dxa"/>
              <w:bottom w:w="0" w:type="dxa"/>
              <w:right w:w="45" w:type="dxa"/>
            </w:tcMar>
          </w:tcPr>
          <w:p w14:paraId="395A46B9" w14:textId="248ADAF6" w:rsidR="008318EB" w:rsidRPr="00235F2C" w:rsidRDefault="00BA03C0" w:rsidP="00235F2C">
            <w:pPr>
              <w:pStyle w:val="Tabletext"/>
              <w:rPr>
                <w:rFonts w:eastAsia="Calibri"/>
              </w:rPr>
            </w:pPr>
            <w:r w:rsidRPr="00BA03C0">
              <w:rPr>
                <w:rFonts w:eastAsia="Calibri"/>
                <w:b/>
              </w:rPr>
              <w:t>INVESTMENT 2:</w:t>
            </w:r>
            <w:r w:rsidR="008318EB" w:rsidRPr="00235F2C">
              <w:rPr>
                <w:rFonts w:eastAsia="Calibri"/>
              </w:rPr>
              <w:t xml:space="preserve"> Extension of the Artificial Barrier (Fence) to the entire border line in Evros</w:t>
            </w:r>
          </w:p>
        </w:tc>
        <w:tc>
          <w:tcPr>
            <w:tcW w:w="1740" w:type="dxa"/>
            <w:shd w:val="clear" w:color="auto" w:fill="auto"/>
            <w:tcMar>
              <w:top w:w="0" w:type="dxa"/>
              <w:left w:w="45" w:type="dxa"/>
              <w:bottom w:w="0" w:type="dxa"/>
              <w:right w:w="45" w:type="dxa"/>
            </w:tcMar>
          </w:tcPr>
          <w:p w14:paraId="57580B4F" w14:textId="77777777" w:rsidR="008318EB" w:rsidRPr="00235F2C" w:rsidRDefault="008318EB" w:rsidP="00235F2C">
            <w:pPr>
              <w:pStyle w:val="Tabletext"/>
              <w:rPr>
                <w:rFonts w:eastAsia="Calibri"/>
              </w:rPr>
            </w:pPr>
            <w:r w:rsidRPr="00235F2C">
              <w:rPr>
                <w:rFonts w:eastAsia="Calibri"/>
              </w:rPr>
              <w:t> </w:t>
            </w:r>
          </w:p>
        </w:tc>
        <w:tc>
          <w:tcPr>
            <w:tcW w:w="1305" w:type="dxa"/>
            <w:shd w:val="clear" w:color="auto" w:fill="auto"/>
            <w:tcMar>
              <w:top w:w="0" w:type="dxa"/>
              <w:left w:w="45" w:type="dxa"/>
              <w:bottom w:w="0" w:type="dxa"/>
              <w:right w:w="45" w:type="dxa"/>
            </w:tcMar>
          </w:tcPr>
          <w:p w14:paraId="67B6C950" w14:textId="77777777" w:rsidR="008318EB" w:rsidRPr="00235F2C" w:rsidRDefault="008318EB" w:rsidP="00235F2C">
            <w:pPr>
              <w:pStyle w:val="Tabletext"/>
              <w:rPr>
                <w:rFonts w:eastAsia="Calibri"/>
              </w:rPr>
            </w:pPr>
            <w:r w:rsidRPr="00235F2C">
              <w:rPr>
                <w:rFonts w:eastAsia="Calibri"/>
              </w:rPr>
              <w:t> </w:t>
            </w:r>
          </w:p>
        </w:tc>
        <w:tc>
          <w:tcPr>
            <w:tcW w:w="1950" w:type="dxa"/>
            <w:shd w:val="clear" w:color="auto" w:fill="auto"/>
            <w:tcMar>
              <w:top w:w="0" w:type="dxa"/>
              <w:left w:w="45" w:type="dxa"/>
              <w:bottom w:w="0" w:type="dxa"/>
              <w:right w:w="45" w:type="dxa"/>
            </w:tcMar>
          </w:tcPr>
          <w:p w14:paraId="6A55E650" w14:textId="77777777" w:rsidR="008318EB" w:rsidRPr="00235F2C" w:rsidRDefault="008318EB" w:rsidP="00235F2C">
            <w:pPr>
              <w:pStyle w:val="Tabletext"/>
              <w:rPr>
                <w:rFonts w:eastAsia="Calibri"/>
              </w:rPr>
            </w:pPr>
            <w:r w:rsidRPr="00235F2C">
              <w:rPr>
                <w:rFonts w:eastAsia="Calibri"/>
              </w:rPr>
              <w:t>Defense Capabilities</w:t>
            </w:r>
          </w:p>
        </w:tc>
      </w:tr>
      <w:tr w:rsidR="008318EB" w:rsidRPr="00235F2C" w14:paraId="78288745" w14:textId="77777777" w:rsidTr="00920844">
        <w:trPr>
          <w:trHeight w:val="113"/>
          <w:jc w:val="center"/>
        </w:trPr>
        <w:tc>
          <w:tcPr>
            <w:tcW w:w="4365" w:type="dxa"/>
            <w:shd w:val="clear" w:color="auto" w:fill="auto"/>
            <w:tcMar>
              <w:top w:w="0" w:type="dxa"/>
              <w:left w:w="45" w:type="dxa"/>
              <w:bottom w:w="0" w:type="dxa"/>
              <w:right w:w="45" w:type="dxa"/>
            </w:tcMar>
          </w:tcPr>
          <w:p w14:paraId="2B2C3F0C" w14:textId="7BC95CDA" w:rsidR="008318EB" w:rsidRPr="00235F2C" w:rsidRDefault="00BA03C0" w:rsidP="00235F2C">
            <w:pPr>
              <w:pStyle w:val="Tabletext"/>
              <w:rPr>
                <w:rFonts w:eastAsia="Calibri"/>
              </w:rPr>
            </w:pPr>
            <w:r w:rsidRPr="00BA03C0">
              <w:rPr>
                <w:rFonts w:eastAsia="Calibri"/>
                <w:b/>
              </w:rPr>
              <w:t>INVESTMENT 3:</w:t>
            </w:r>
            <w:r w:rsidR="008318EB" w:rsidRPr="00235F2C">
              <w:rPr>
                <w:rFonts w:eastAsia="Calibri"/>
              </w:rPr>
              <w:t xml:space="preserve"> Information systems to enhance efficiency in external border management- the Entry-Exit System</w:t>
            </w:r>
          </w:p>
        </w:tc>
        <w:tc>
          <w:tcPr>
            <w:tcW w:w="1740" w:type="dxa"/>
            <w:shd w:val="clear" w:color="auto" w:fill="auto"/>
            <w:tcMar>
              <w:top w:w="0" w:type="dxa"/>
              <w:left w:w="45" w:type="dxa"/>
              <w:bottom w:w="0" w:type="dxa"/>
              <w:right w:w="45" w:type="dxa"/>
            </w:tcMar>
          </w:tcPr>
          <w:p w14:paraId="5B7B8B4C" w14:textId="77777777" w:rsidR="008318EB" w:rsidRPr="00235F2C" w:rsidRDefault="008318EB" w:rsidP="00235F2C">
            <w:pPr>
              <w:pStyle w:val="Tabletext"/>
              <w:rPr>
                <w:rFonts w:eastAsia="Calibri"/>
              </w:rPr>
            </w:pPr>
            <w:r w:rsidRPr="00235F2C">
              <w:rPr>
                <w:rFonts w:eastAsia="Calibri"/>
              </w:rPr>
              <w:t>MFF</w:t>
            </w:r>
          </w:p>
        </w:tc>
        <w:tc>
          <w:tcPr>
            <w:tcW w:w="1305" w:type="dxa"/>
            <w:shd w:val="clear" w:color="auto" w:fill="auto"/>
            <w:tcMar>
              <w:top w:w="0" w:type="dxa"/>
              <w:left w:w="45" w:type="dxa"/>
              <w:bottom w:w="0" w:type="dxa"/>
              <w:right w:w="45" w:type="dxa"/>
            </w:tcMar>
          </w:tcPr>
          <w:p w14:paraId="2D9BB794" w14:textId="77777777" w:rsidR="008318EB" w:rsidRPr="00235F2C" w:rsidRDefault="008318EB" w:rsidP="00235F2C">
            <w:pPr>
              <w:pStyle w:val="Tabletext"/>
              <w:rPr>
                <w:rFonts w:eastAsia="Calibri"/>
              </w:rPr>
            </w:pPr>
            <w:r w:rsidRPr="00235F2C">
              <w:rPr>
                <w:rFonts w:eastAsia="Calibri"/>
              </w:rPr>
              <w:t>2020.CSR 3.9</w:t>
            </w:r>
            <w:r w:rsidRPr="00235F2C">
              <w:rPr>
                <w:rFonts w:eastAsia="Calibri"/>
              </w:rPr>
              <w:br/>
              <w:t>2019.CSR 2.3</w:t>
            </w:r>
          </w:p>
        </w:tc>
        <w:tc>
          <w:tcPr>
            <w:tcW w:w="1950" w:type="dxa"/>
            <w:shd w:val="clear" w:color="auto" w:fill="auto"/>
            <w:tcMar>
              <w:top w:w="0" w:type="dxa"/>
              <w:left w:w="45" w:type="dxa"/>
              <w:bottom w:w="0" w:type="dxa"/>
              <w:right w:w="45" w:type="dxa"/>
            </w:tcMar>
          </w:tcPr>
          <w:p w14:paraId="49DE81DB" w14:textId="77777777" w:rsidR="008318EB" w:rsidRPr="00235F2C" w:rsidRDefault="008318EB" w:rsidP="00235F2C">
            <w:pPr>
              <w:pStyle w:val="Tabletext"/>
              <w:rPr>
                <w:rFonts w:eastAsia="Calibri"/>
              </w:rPr>
            </w:pPr>
            <w:r w:rsidRPr="00235F2C">
              <w:rPr>
                <w:rFonts w:eastAsia="Calibri"/>
              </w:rPr>
              <w:t>Defense Capabilities</w:t>
            </w:r>
          </w:p>
        </w:tc>
      </w:tr>
      <w:tr w:rsidR="008318EB" w:rsidRPr="00235F2C" w14:paraId="3FAF880A" w14:textId="77777777" w:rsidTr="00920844">
        <w:trPr>
          <w:trHeight w:val="113"/>
          <w:jc w:val="center"/>
        </w:trPr>
        <w:tc>
          <w:tcPr>
            <w:tcW w:w="4365" w:type="dxa"/>
            <w:shd w:val="clear" w:color="auto" w:fill="auto"/>
            <w:tcMar>
              <w:top w:w="0" w:type="dxa"/>
              <w:left w:w="45" w:type="dxa"/>
              <w:bottom w:w="0" w:type="dxa"/>
              <w:right w:w="45" w:type="dxa"/>
            </w:tcMar>
          </w:tcPr>
          <w:p w14:paraId="45DA64AB" w14:textId="7605B77A" w:rsidR="008318EB" w:rsidRPr="00235F2C" w:rsidRDefault="00BA03C0" w:rsidP="00235F2C">
            <w:pPr>
              <w:pStyle w:val="Tabletext"/>
              <w:rPr>
                <w:rFonts w:eastAsia="Calibri"/>
              </w:rPr>
            </w:pPr>
            <w:r w:rsidRPr="00BA03C0">
              <w:rPr>
                <w:rFonts w:eastAsia="Calibri"/>
                <w:b/>
              </w:rPr>
              <w:t>INVESTMENT 4:</w:t>
            </w:r>
            <w:r w:rsidR="008318EB" w:rsidRPr="00235F2C">
              <w:rPr>
                <w:rFonts w:eastAsia="Calibri"/>
              </w:rPr>
              <w:t xml:space="preserve"> Digital transformation in the sector of citizen protection</w:t>
            </w:r>
          </w:p>
        </w:tc>
        <w:tc>
          <w:tcPr>
            <w:tcW w:w="1740" w:type="dxa"/>
            <w:shd w:val="clear" w:color="auto" w:fill="auto"/>
            <w:tcMar>
              <w:top w:w="0" w:type="dxa"/>
              <w:left w:w="45" w:type="dxa"/>
              <w:bottom w:w="0" w:type="dxa"/>
              <w:right w:w="45" w:type="dxa"/>
            </w:tcMar>
          </w:tcPr>
          <w:p w14:paraId="6654BEAC" w14:textId="77777777" w:rsidR="008318EB" w:rsidRPr="00235F2C" w:rsidRDefault="008318EB" w:rsidP="00235F2C">
            <w:pPr>
              <w:pStyle w:val="Tabletext"/>
              <w:rPr>
                <w:rFonts w:eastAsia="Calibri"/>
              </w:rPr>
            </w:pPr>
            <w:r w:rsidRPr="00235F2C">
              <w:rPr>
                <w:rFonts w:eastAsia="Calibri"/>
              </w:rPr>
              <w:t>-</w:t>
            </w:r>
          </w:p>
        </w:tc>
        <w:tc>
          <w:tcPr>
            <w:tcW w:w="1305" w:type="dxa"/>
            <w:shd w:val="clear" w:color="auto" w:fill="auto"/>
            <w:tcMar>
              <w:top w:w="0" w:type="dxa"/>
              <w:left w:w="45" w:type="dxa"/>
              <w:bottom w:w="0" w:type="dxa"/>
              <w:right w:w="45" w:type="dxa"/>
            </w:tcMar>
          </w:tcPr>
          <w:p w14:paraId="5C23C26C" w14:textId="77777777" w:rsidR="008318EB" w:rsidRPr="00235F2C" w:rsidRDefault="008318EB" w:rsidP="00235F2C">
            <w:pPr>
              <w:pStyle w:val="Tabletext"/>
              <w:rPr>
                <w:rFonts w:eastAsia="Calibri"/>
              </w:rPr>
            </w:pPr>
            <w:r w:rsidRPr="00235F2C">
              <w:rPr>
                <w:rFonts w:eastAsia="Calibri"/>
              </w:rPr>
              <w:t>2020.CSR 3.9 2019.CSR 2.3</w:t>
            </w:r>
          </w:p>
        </w:tc>
        <w:tc>
          <w:tcPr>
            <w:tcW w:w="1950" w:type="dxa"/>
            <w:shd w:val="clear" w:color="auto" w:fill="auto"/>
            <w:tcMar>
              <w:top w:w="0" w:type="dxa"/>
              <w:left w:w="45" w:type="dxa"/>
              <w:bottom w:w="0" w:type="dxa"/>
              <w:right w:w="45" w:type="dxa"/>
            </w:tcMar>
          </w:tcPr>
          <w:p w14:paraId="62E67F53" w14:textId="77777777" w:rsidR="008318EB" w:rsidRPr="00235F2C" w:rsidRDefault="008318EB" w:rsidP="00235F2C">
            <w:pPr>
              <w:pStyle w:val="Tabletext"/>
              <w:rPr>
                <w:rFonts w:eastAsia="Calibri"/>
              </w:rPr>
            </w:pPr>
            <w:r w:rsidRPr="00235F2C">
              <w:rPr>
                <w:rFonts w:eastAsia="Calibri"/>
              </w:rPr>
              <w:t>Fair green &amp; digital transition</w:t>
            </w:r>
          </w:p>
        </w:tc>
      </w:tr>
    </w:tbl>
    <w:p w14:paraId="0D8D0D98" w14:textId="774F4779" w:rsidR="008318EB" w:rsidRDefault="008318EB" w:rsidP="00987A40">
      <w:pPr>
        <w:widowControl w:val="0"/>
        <w:spacing w:line="240" w:lineRule="auto"/>
        <w:rPr>
          <w:rFonts w:ascii="Calibri" w:eastAsia="Calibri" w:hAnsi="Calibri" w:cs="Calibri"/>
        </w:rPr>
      </w:pPr>
    </w:p>
    <w:p w14:paraId="43DC4754" w14:textId="77777777" w:rsidR="00136EE8" w:rsidRPr="00920844" w:rsidRDefault="00136EE8" w:rsidP="00920844">
      <w:pPr>
        <w:rPr>
          <w:rFonts w:eastAsia="Calibri"/>
          <w:lang w:val="en-US"/>
        </w:rPr>
      </w:pPr>
      <w:r w:rsidRPr="00920844">
        <w:rPr>
          <w:rFonts w:eastAsia="Calibri"/>
          <w:lang w:val="en-US"/>
        </w:rPr>
        <w:t xml:space="preserve">The </w:t>
      </w:r>
      <w:r w:rsidRPr="00920844">
        <w:rPr>
          <w:rFonts w:eastAsia="Calibri"/>
          <w:b/>
          <w:lang w:val="en-US"/>
        </w:rPr>
        <w:t>Temporary Healthcare Number for detainees (PAYPEK)</w:t>
      </w:r>
      <w:r w:rsidRPr="00920844">
        <w:rPr>
          <w:rFonts w:eastAsia="Calibri"/>
          <w:lang w:val="en-US"/>
        </w:rPr>
        <w:t xml:space="preserve"> is a an ongoing reform initiated in 2023 through the issuance of the relevant Common Ministerial Decision, aiming to provide full access to healthcare (hospital and medical care) formulated for prisoners without Social Security Number (SSN) or Temporary Insurance and Health Number Care for Foreigners (PAAYPA), due to non-fulfillment of the requirements regarding legal residency. PAYPEK number remains active and valid during the beneficiary's detention in the country's Penitentiary Facilities. This reform is in full accordance with the CSRs in regard with ensuring adequate and equal access to healthcare and addresses the Union’s Common Priority of social and economic resilience with emphasis on the Pillar of Social Rights (healthcare) through health promotion and protection without discrimination. Concurrently, the health risks for contagious diseases within the prison confinement are mitigated. Interoperability between the integrated information systems (IIS) of the General Secretariat of Anti-Criminal Policy and the project executor, e-Government Center for Social Security SA (IDIKA SA), is scheduled be completed by April 2025 further accelerating the ongoing procedures, while the relevant circular is expected to be issued by the end of 2025.</w:t>
      </w:r>
    </w:p>
    <w:p w14:paraId="74A92759" w14:textId="77777777" w:rsidR="00136EE8" w:rsidRPr="00920844" w:rsidRDefault="00136EE8" w:rsidP="00920844">
      <w:pPr>
        <w:rPr>
          <w:rFonts w:eastAsia="Calibri"/>
          <w:lang w:val="en-US"/>
        </w:rPr>
      </w:pPr>
      <w:r w:rsidRPr="00920844">
        <w:rPr>
          <w:rFonts w:eastAsia="Calibri"/>
          <w:lang w:val="en-US"/>
        </w:rPr>
        <w:lastRenderedPageBreak/>
        <w:t xml:space="preserve">The reform of </w:t>
      </w:r>
      <w:r w:rsidRPr="00920844">
        <w:rPr>
          <w:rFonts w:eastAsia="Calibri"/>
          <w:b/>
          <w:lang w:val="en-US"/>
        </w:rPr>
        <w:t xml:space="preserve">“Upgrading Police Academy and Higher Police Education” </w:t>
      </w:r>
      <w:r w:rsidRPr="00920844">
        <w:rPr>
          <w:rFonts w:eastAsia="Calibri"/>
          <w:lang w:val="en-US"/>
        </w:rPr>
        <w:t>constitutes a key challenge, targeting at the implementation of an innovative framework as regards the structure and operation of the Police Academy, following the standards of the country’s university institutions. The action is in conformity to CSRs for education and skills, alongside with the first key principle of the European Pillar of Social Rights referring to education, training and life-long learning in the Common Priority on social and economic resilience. On August 28, 2024 the legislation on Police reorganization and the upgrading of the Police Academy was presented to the Cabinet, with a provision to be submitted to the Parliament for vote in November 2024. According to the legislative proposition, the upgrade of the Police Academy will be achieved through the introduction of advanced courses and the adaptation and implementation of Modern Learning Techniques with a major emphasis on quality and assessment procedures. Within this framework, educational units are to be established, providing specialized training for Border Guards, assigned to combat illegal immigration or Special Hellenic Police Guards are primarily assigned the task of guarding vulnerable targets and carrying out patrols. Furthermore, focus will be given to lifelong learning and training. The reform is expected to be completed by December 2025 through the issuance of the necessary secondary legislation.</w:t>
      </w:r>
    </w:p>
    <w:p w14:paraId="18576643" w14:textId="77777777" w:rsidR="00136EE8" w:rsidRPr="00920844" w:rsidRDefault="00136EE8" w:rsidP="00920844">
      <w:pPr>
        <w:rPr>
          <w:rFonts w:eastAsia="Calibri"/>
          <w:lang w:val="en-US"/>
        </w:rPr>
      </w:pPr>
      <w:r w:rsidRPr="00920844">
        <w:rPr>
          <w:rFonts w:eastAsia="Calibri"/>
          <w:lang w:val="en-US"/>
        </w:rPr>
        <w:t>In an effort to reinforce border controls and surveillance across the border (land, sea, air) and prevent unauthorized entries with increased efficiency, while upgrading situational awareness capabilities and developing large-scale IT Systems, Greece has introduced three major reforms and investments:</w:t>
      </w:r>
    </w:p>
    <w:p w14:paraId="6BFAE597" w14:textId="77777777" w:rsidR="00136EE8" w:rsidRPr="00920844" w:rsidRDefault="00136EE8" w:rsidP="00920844">
      <w:pPr>
        <w:rPr>
          <w:rFonts w:eastAsia="Calibri"/>
          <w:lang w:val="en-US"/>
        </w:rPr>
      </w:pPr>
      <w:r w:rsidRPr="00920844">
        <w:rPr>
          <w:rFonts w:eastAsia="Calibri"/>
          <w:lang w:val="en-US"/>
        </w:rPr>
        <w:t>The investment “</w:t>
      </w:r>
      <w:r w:rsidRPr="00920844">
        <w:rPr>
          <w:rFonts w:eastAsia="Calibri"/>
          <w:b/>
          <w:lang w:val="en-US"/>
        </w:rPr>
        <w:t>Integrated external border management to counter irregular migration and smuggling, through artificial intelligence and IT tools</w:t>
      </w:r>
      <w:r w:rsidRPr="00920844">
        <w:rPr>
          <w:rFonts w:eastAsia="Calibri"/>
          <w:lang w:val="en-US"/>
        </w:rPr>
        <w:t>” reflects the necessity to enhance border surveillance, in alignment with the EU Common Priority for defense capabilities by means of digital technologies. The investment includes two major subprojects, “REACTION” and “PROTECTDOME”. Through “REal-time ArtifiCial InTellIgence for BOrders Surveillance via RPAS data aNalytics to support Law Enforcement Agencies (REACTION)”, a Specific Action funded by Border Management and Visa Instrument (BMVI), Greece aims to integrate and validate a fully functional, next-generation, holistic surveillance and warning platform that provides situational awareness in remote, border areas, as an effective mean for early warning in critical situations. The inclusion of the investment was approved by the Managing Authority in March 2024 and is scheduled to be completed by December 2025.</w:t>
      </w:r>
    </w:p>
    <w:p w14:paraId="1346B61D" w14:textId="2C137902" w:rsidR="00136EE8" w:rsidRPr="00920844" w:rsidRDefault="00136EE8" w:rsidP="00920844">
      <w:pPr>
        <w:rPr>
          <w:rFonts w:eastAsia="Calibri"/>
          <w:lang w:val="en-US"/>
        </w:rPr>
      </w:pPr>
      <w:r w:rsidRPr="00920844">
        <w:rPr>
          <w:rFonts w:eastAsia="Calibri"/>
          <w:lang w:val="en-US"/>
        </w:rPr>
        <w:t>The subproject’s “</w:t>
      </w:r>
      <w:r w:rsidRPr="00920844">
        <w:rPr>
          <w:rFonts w:eastAsia="Calibri"/>
          <w:b/>
          <w:lang w:val="en-US"/>
        </w:rPr>
        <w:t>Specific Action PROTECDOME: PROTECtion DOME for public spaces against rogue drones</w:t>
      </w:r>
      <w:r w:rsidRPr="00920844">
        <w:rPr>
          <w:rFonts w:eastAsia="Calibri"/>
          <w:lang w:val="en-US"/>
        </w:rPr>
        <w:t xml:space="preserve">” which is co-funded by Internal Security Fund (ISF), objective is to develop an autonomous situational awareness system using algorithms to detect, monitor and address threats from hostile Unmanned Aerial Systems (UAS). This investment will enhance the capabilities of existing systems already in use. The Consortium Agreement was contracted in January 2024 and the tender is scheduled to be announced in October 2024. Through the </w:t>
      </w:r>
      <w:r w:rsidRPr="00920844">
        <w:rPr>
          <w:rFonts w:eastAsia="Calibri"/>
          <w:lang w:val="en-US"/>
        </w:rPr>
        <w:lastRenderedPageBreak/>
        <w:t>implementation of this project, which is estimated to be completed in June 2026, the consortium partners as well as the Law Enforcement Authorities of the EU Member States, will be able to accurately comprehend the threats posed by UASs, in order to take the appropriate countermeasures and strengthen their operational capacity and situational awareness towards them.</w:t>
      </w:r>
    </w:p>
    <w:p w14:paraId="1AC52B83" w14:textId="439235A6" w:rsidR="00136EE8" w:rsidRPr="00920844" w:rsidRDefault="00136EE8" w:rsidP="00920844">
      <w:pPr>
        <w:rPr>
          <w:rFonts w:eastAsia="Calibri"/>
          <w:lang w:val="en-US"/>
        </w:rPr>
      </w:pPr>
      <w:r w:rsidRPr="00920844">
        <w:rPr>
          <w:rFonts w:eastAsia="Calibri"/>
          <w:lang w:val="en-US"/>
        </w:rPr>
        <w:t>Furthermore, in compliance with the Common Priority of the enhancement of Defense capabilities set by EU, Greece adopted the investment “</w:t>
      </w:r>
      <w:r w:rsidRPr="00920844">
        <w:rPr>
          <w:rFonts w:eastAsia="Calibri"/>
          <w:b/>
          <w:lang w:val="en-US"/>
        </w:rPr>
        <w:t>Extension of the Artificial Barrier (Fence) to the border line in Evros</w:t>
      </w:r>
      <w:r w:rsidRPr="00920844">
        <w:rPr>
          <w:rFonts w:eastAsia="Calibri"/>
          <w:lang w:val="en-US"/>
        </w:rPr>
        <w:t xml:space="preserve"> “. The project’s goal is to prevent any illegal border crossing on its external EU border with Turkey, contributing to the reduction of the intensive migratory pressure witnessed in the recent past. The extension includes a construction of a 35km fence, along with the upgrade of existing infrastructures and the erection of elevated watchtowers, completing a total of 70km Artificial Barrier on the eastern land border. </w:t>
      </w:r>
    </w:p>
    <w:p w14:paraId="1923042E" w14:textId="77777777" w:rsidR="00136EE8" w:rsidRPr="00920844" w:rsidRDefault="00136EE8" w:rsidP="00920844">
      <w:pPr>
        <w:rPr>
          <w:rFonts w:eastAsia="Calibri"/>
          <w:lang w:val="en-US"/>
        </w:rPr>
      </w:pPr>
      <w:r w:rsidRPr="00920844">
        <w:rPr>
          <w:rFonts w:eastAsia="Calibri"/>
          <w:lang w:val="en-US"/>
        </w:rPr>
        <w:t>The investment “</w:t>
      </w:r>
      <w:r w:rsidRPr="00920844">
        <w:rPr>
          <w:rFonts w:eastAsia="Calibri"/>
          <w:b/>
          <w:lang w:val="en-US"/>
        </w:rPr>
        <w:t>Information systems to enhance efficiency in external border management- the Entry-Exit System</w:t>
      </w:r>
      <w:r w:rsidRPr="00920844">
        <w:rPr>
          <w:rFonts w:eastAsia="Calibri"/>
          <w:lang w:val="en-US"/>
        </w:rPr>
        <w:t>” is set within the framework of the EU’s Entry-Exit System (EES) project introducing a new centralized digital border system, to strengthen the security of its external Schengen border. In accordance with the Union’s Common Priority towards increasing its defense capabilities, the investment endorses digital technologies and improves the effectiveness and digitalization of public administration. The EES incorporates an automated IT system registering travelers from third country destinations and will contribute to prevent irregular migration by identifying more efficiently and rapidly over-stayers, and cases of identity fraud, thus enhancing the security issues related with organized crime or terrorism. Furthermore, Self Service Systems-SSS (e-Gates) have been installed in the Passport Control Services of the majority of the Greek airports. The investment is co-financed by the Border Management and Visa Instrument (BMVI) and 90% of the National EES border points are expected to be operational by the end of 2024, whereas in 2025 the relevant infrastructure is expected to be installed in all National EES border points and the end-to-end testing will also be completed.</w:t>
      </w:r>
    </w:p>
    <w:p w14:paraId="6F64060A" w14:textId="77777777" w:rsidR="00136EE8" w:rsidRPr="00920844" w:rsidRDefault="00136EE8" w:rsidP="00920844">
      <w:pPr>
        <w:rPr>
          <w:rFonts w:eastAsia="Calibri"/>
          <w:lang w:val="en-US"/>
        </w:rPr>
      </w:pPr>
      <w:r w:rsidRPr="00920844">
        <w:rPr>
          <w:rFonts w:eastAsia="Calibri"/>
          <w:lang w:val="en-US"/>
        </w:rPr>
        <w:t>The investment ‘’</w:t>
      </w:r>
      <w:r w:rsidRPr="00920844">
        <w:rPr>
          <w:rFonts w:eastAsia="Calibri"/>
          <w:b/>
          <w:lang w:val="en-US"/>
        </w:rPr>
        <w:t xml:space="preserve">Digital transformation in the sector of citizen protection’’ </w:t>
      </w:r>
      <w:r w:rsidRPr="00920844">
        <w:rPr>
          <w:rFonts w:eastAsia="Calibri"/>
          <w:lang w:val="en-US"/>
        </w:rPr>
        <w:t xml:space="preserve">deliberates on providing to the general public easier access to services of the Hellenic Police, as well as enhancing efficiency through reduced administrative costs and delays and increased transparency. The investment is in line with the Union's Common Priority for fair green &amp; digital transition, endorsing digital technologies and improving the effectiveness and digitalization of public administration. In this respect, the full operational utilization of the action ‘’SMART POLICING’’ will be functional nationwide until the end of 2025.  </w:t>
      </w:r>
    </w:p>
    <w:p w14:paraId="6B48A9B6" w14:textId="77777777" w:rsidR="00136EE8" w:rsidRPr="00920844" w:rsidRDefault="00136EE8" w:rsidP="00920844">
      <w:pPr>
        <w:rPr>
          <w:rFonts w:eastAsia="Calibri"/>
          <w:lang w:val="en-US"/>
        </w:rPr>
      </w:pPr>
      <w:r w:rsidRPr="00920844">
        <w:rPr>
          <w:rFonts w:eastAsia="Calibri"/>
          <w:lang w:val="en-US"/>
        </w:rPr>
        <w:t xml:space="preserve">In addition to the 40 services of the Hellenic Police, which are accessible online, new services, such as the processing of documents for the issuance of Passports, Retail Health Interest </w:t>
      </w:r>
      <w:r w:rsidRPr="00920844">
        <w:rPr>
          <w:rFonts w:eastAsia="Calibri"/>
          <w:lang w:val="en-US"/>
        </w:rPr>
        <w:lastRenderedPageBreak/>
        <w:t>Licenses, and licenses for firearms possession will be provided on the Single Digital Portal of Public Administration until the end of 2025.</w:t>
      </w:r>
    </w:p>
    <w:p w14:paraId="5DA3A387" w14:textId="77777777" w:rsidR="00136EE8" w:rsidRPr="00920844" w:rsidRDefault="00136EE8" w:rsidP="00920844">
      <w:pPr>
        <w:rPr>
          <w:rFonts w:eastAsia="Calibri"/>
          <w:lang w:val="en-US"/>
        </w:rPr>
      </w:pPr>
      <w:r w:rsidRPr="00920844">
        <w:rPr>
          <w:rFonts w:eastAsia="Calibri"/>
          <w:lang w:val="en-US"/>
        </w:rPr>
        <w:t>Likewise the digitalization of processes as regards certifying traffic violations represents an innovative initiative that aims to improve the daily lives of citizens without exclusions, while enhancing the reduction of bureaucracy and simplification of traffic procedures, through upgrading the quality of public services. The initiative is implemented on a pilot basis in Thessaloniki and the Region of Attica and shall be implemented nationwide in 2025.</w:t>
      </w:r>
    </w:p>
    <w:p w14:paraId="69C547FC" w14:textId="77777777" w:rsidR="00136EE8" w:rsidRPr="00920844" w:rsidRDefault="00136EE8" w:rsidP="00920844">
      <w:pPr>
        <w:rPr>
          <w:rFonts w:eastAsia="Calibri"/>
          <w:lang w:val="en-US"/>
        </w:rPr>
      </w:pPr>
      <w:r w:rsidRPr="00920844">
        <w:rPr>
          <w:rFonts w:eastAsia="Calibri"/>
          <w:lang w:val="en-US"/>
        </w:rPr>
        <w:t>Concurrently, the Hellenic Police is developing artificial intelligence software for the investigation and digital detection of crimes concerning sexual abuse of minors. Furthermore, as regards assistance to victims of domestic violence, an interactive technological platform (CHATBOX), will be incorporated through which information will be provided as regards their rights, with the option of direct communication with the competent police authorities. The implementation is expected to be completed by the end of 2026. Moreover, within 2025, “SAFEYOUTH” an original mobile application will be fully operational, which will provide an integrated network of protection of minors through information material on all forms of violence, abuse and neglect involving minors, adapted to age groups, a complaint submission platform and an emergency button, with which minors will be able to immediately and seamlessly inform the police services in cases of immediate danger and any kind of Emergency.</w:t>
      </w:r>
    </w:p>
    <w:p w14:paraId="3775E332" w14:textId="66C09343" w:rsidR="008318EB" w:rsidRDefault="00136EE8" w:rsidP="00920844">
      <w:pPr>
        <w:rPr>
          <w:rFonts w:eastAsia="Calibri"/>
          <w:lang w:val="en-US"/>
        </w:rPr>
      </w:pPr>
      <w:r w:rsidRPr="00920844">
        <w:rPr>
          <w:rFonts w:eastAsia="Calibri"/>
          <w:lang w:val="en-US"/>
        </w:rPr>
        <w:t>Finally, the upgraded version of the Integrated Information System of General Secretariat of Anti-criminal Policy will be released by April 2025 and will focus on enhancing administrative efficiency and productivity, while increasing transparency and data security. Moreover, it will enhance decision making and interoperability with third parties, resulting in the overall improvement of the Secretariat’s operations</w:t>
      </w:r>
      <w:r w:rsidRPr="00920844">
        <w:rPr>
          <w:rFonts w:eastAsia="Calibri"/>
          <w:color w:val="FF0000"/>
          <w:lang w:val="en-US"/>
        </w:rPr>
        <w:t xml:space="preserve">. </w:t>
      </w:r>
      <w:r w:rsidRPr="00920844">
        <w:rPr>
          <w:rFonts w:eastAsia="Calibri"/>
          <w:lang w:val="en-US"/>
        </w:rPr>
        <w:t>Additionally, four new digital services of General Secretariat of Anti-criminal Policy will be available on the respective website in April 2025, notably the (a) Visitation Scheduling, (b) Application/ issuance of Prison Certificate, (c) Application/ issuance of certificate of moral, disciplinary control, (d) Application/ issuance of medical certificates, facilitating the relevant procedures, while enhancing the protection of human rights of prisoners.</w:t>
      </w:r>
    </w:p>
    <w:p w14:paraId="2CA35F1D" w14:textId="5EF5E37A" w:rsidR="00987A40" w:rsidRPr="00E77D7E" w:rsidRDefault="00043BBC" w:rsidP="00B656B8">
      <w:pPr>
        <w:pStyle w:val="Heading2"/>
        <w:pBdr>
          <w:bottom w:val="single" w:sz="18" w:space="1" w:color="FF3300"/>
        </w:pBdr>
        <w:rPr>
          <w:lang w:val="en-US"/>
        </w:rPr>
      </w:pPr>
      <w:bookmarkStart w:id="67" w:name="_30j0zll" w:colFirst="0" w:colLast="0"/>
      <w:bookmarkStart w:id="68" w:name="_Toc177496806"/>
      <w:bookmarkStart w:id="69" w:name="_Toc178070108"/>
      <w:bookmarkEnd w:id="67"/>
      <w:r>
        <w:rPr>
          <w:lang w:val="en-US"/>
        </w:rPr>
        <w:t>M</w:t>
      </w:r>
      <w:r w:rsidRPr="00E77D7E">
        <w:rPr>
          <w:lang w:val="en-US"/>
        </w:rPr>
        <w:t xml:space="preserve">inistry of </w:t>
      </w:r>
      <w:r>
        <w:rPr>
          <w:lang w:val="en-US"/>
        </w:rPr>
        <w:t>I</w:t>
      </w:r>
      <w:r w:rsidRPr="00E77D7E">
        <w:rPr>
          <w:lang w:val="en-US"/>
        </w:rPr>
        <w:t xml:space="preserve">nfrastructure and </w:t>
      </w:r>
      <w:bookmarkEnd w:id="68"/>
      <w:r>
        <w:rPr>
          <w:lang w:val="en-US"/>
        </w:rPr>
        <w:t>T</w:t>
      </w:r>
      <w:r w:rsidRPr="00E77D7E">
        <w:rPr>
          <w:lang w:val="en-US"/>
        </w:rPr>
        <w:t>ransport</w:t>
      </w:r>
      <w:bookmarkEnd w:id="69"/>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903"/>
        <w:gridCol w:w="1815"/>
        <w:gridCol w:w="2235"/>
        <w:gridCol w:w="2119"/>
      </w:tblGrid>
      <w:tr w:rsidR="00136EE8" w:rsidRPr="00235F2C" w14:paraId="67280AC8" w14:textId="77777777" w:rsidTr="00235F2C">
        <w:trPr>
          <w:trHeight w:val="113"/>
          <w:jc w:val="center"/>
        </w:trPr>
        <w:tc>
          <w:tcPr>
            <w:tcW w:w="2903" w:type="dxa"/>
            <w:shd w:val="clear" w:color="auto" w:fill="CFE2F3"/>
            <w:tcMar>
              <w:top w:w="0" w:type="dxa"/>
              <w:left w:w="40" w:type="dxa"/>
              <w:bottom w:w="0" w:type="dxa"/>
              <w:right w:w="40" w:type="dxa"/>
            </w:tcMar>
          </w:tcPr>
          <w:p w14:paraId="2E60F4A2" w14:textId="77777777" w:rsidR="00136EE8" w:rsidRPr="00235F2C" w:rsidRDefault="00136EE8" w:rsidP="00235F2C">
            <w:pPr>
              <w:pStyle w:val="Tabletext"/>
              <w:rPr>
                <w:rFonts w:eastAsia="Calibri"/>
                <w:b/>
              </w:rPr>
            </w:pPr>
            <w:r w:rsidRPr="00235F2C">
              <w:rPr>
                <w:rFonts w:eastAsia="Calibri"/>
                <w:b/>
              </w:rPr>
              <w:t>REFORM / INVESTMENT</w:t>
            </w:r>
          </w:p>
        </w:tc>
        <w:tc>
          <w:tcPr>
            <w:tcW w:w="1815" w:type="dxa"/>
            <w:shd w:val="clear" w:color="auto" w:fill="CFE2F3"/>
            <w:tcMar>
              <w:top w:w="0" w:type="dxa"/>
              <w:left w:w="40" w:type="dxa"/>
              <w:bottom w:w="0" w:type="dxa"/>
              <w:right w:w="40" w:type="dxa"/>
            </w:tcMar>
          </w:tcPr>
          <w:p w14:paraId="5895ACF0" w14:textId="77777777" w:rsidR="00136EE8" w:rsidRPr="00235F2C" w:rsidRDefault="00136EE8" w:rsidP="00235F2C">
            <w:pPr>
              <w:pStyle w:val="Tabletext"/>
              <w:rPr>
                <w:rFonts w:eastAsia="Calibri"/>
                <w:b/>
              </w:rPr>
            </w:pPr>
            <w:r w:rsidRPr="00235F2C">
              <w:rPr>
                <w:rFonts w:eastAsia="Calibri"/>
                <w:b/>
              </w:rPr>
              <w:t>RRF / MFF</w:t>
            </w:r>
          </w:p>
        </w:tc>
        <w:tc>
          <w:tcPr>
            <w:tcW w:w="2235" w:type="dxa"/>
            <w:shd w:val="clear" w:color="auto" w:fill="CFE2F3"/>
            <w:tcMar>
              <w:top w:w="0" w:type="dxa"/>
              <w:left w:w="40" w:type="dxa"/>
              <w:bottom w:w="0" w:type="dxa"/>
              <w:right w:w="40" w:type="dxa"/>
            </w:tcMar>
          </w:tcPr>
          <w:p w14:paraId="011854F9" w14:textId="77777777" w:rsidR="00136EE8" w:rsidRPr="00235F2C" w:rsidRDefault="00136EE8" w:rsidP="00235F2C">
            <w:pPr>
              <w:pStyle w:val="Tabletext"/>
              <w:rPr>
                <w:rFonts w:eastAsia="Calibri"/>
                <w:b/>
              </w:rPr>
            </w:pPr>
            <w:r w:rsidRPr="00235F2C">
              <w:rPr>
                <w:rFonts w:eastAsia="Calibri"/>
                <w:b/>
              </w:rPr>
              <w:t>CSR</w:t>
            </w:r>
          </w:p>
        </w:tc>
        <w:tc>
          <w:tcPr>
            <w:tcW w:w="2119" w:type="dxa"/>
            <w:shd w:val="clear" w:color="auto" w:fill="CFE2F3"/>
            <w:tcMar>
              <w:top w:w="0" w:type="dxa"/>
              <w:left w:w="40" w:type="dxa"/>
              <w:bottom w:w="0" w:type="dxa"/>
              <w:right w:w="40" w:type="dxa"/>
            </w:tcMar>
          </w:tcPr>
          <w:p w14:paraId="1D808982" w14:textId="77777777" w:rsidR="00136EE8" w:rsidRPr="00235F2C" w:rsidRDefault="00136EE8" w:rsidP="00235F2C">
            <w:pPr>
              <w:pStyle w:val="Tabletext"/>
              <w:rPr>
                <w:rFonts w:eastAsia="Calibri"/>
                <w:b/>
              </w:rPr>
            </w:pPr>
            <w:r w:rsidRPr="00235F2C">
              <w:rPr>
                <w:rFonts w:eastAsia="Calibri"/>
                <w:b/>
              </w:rPr>
              <w:t>COMMON PRIORITIES</w:t>
            </w:r>
          </w:p>
        </w:tc>
      </w:tr>
      <w:tr w:rsidR="00136EE8" w:rsidRPr="00E204B7" w14:paraId="5F7C3D04" w14:textId="77777777" w:rsidTr="00235F2C">
        <w:trPr>
          <w:trHeight w:val="113"/>
          <w:jc w:val="center"/>
        </w:trPr>
        <w:tc>
          <w:tcPr>
            <w:tcW w:w="2903" w:type="dxa"/>
            <w:tcMar>
              <w:top w:w="40" w:type="dxa"/>
              <w:left w:w="40" w:type="dxa"/>
              <w:bottom w:w="40" w:type="dxa"/>
              <w:right w:w="40" w:type="dxa"/>
            </w:tcMar>
          </w:tcPr>
          <w:p w14:paraId="063275BC" w14:textId="5FB8392C" w:rsidR="00136EE8" w:rsidRPr="00235F2C" w:rsidRDefault="00BA03C0" w:rsidP="00235F2C">
            <w:pPr>
              <w:pStyle w:val="Tabletext"/>
              <w:rPr>
                <w:rFonts w:eastAsia="Calibri"/>
              </w:rPr>
            </w:pPr>
            <w:r w:rsidRPr="00BA03C0">
              <w:rPr>
                <w:rFonts w:eastAsia="Calibri"/>
                <w:b/>
              </w:rPr>
              <w:t>REFORM 1:</w:t>
            </w:r>
            <w:r w:rsidR="00136EE8" w:rsidRPr="00235F2C">
              <w:rPr>
                <w:rFonts w:eastAsia="Calibri"/>
              </w:rPr>
              <w:t xml:space="preserve"> Organisational reform in the railways sector</w:t>
            </w:r>
          </w:p>
        </w:tc>
        <w:tc>
          <w:tcPr>
            <w:tcW w:w="1815" w:type="dxa"/>
            <w:tcMar>
              <w:top w:w="40" w:type="dxa"/>
              <w:left w:w="40" w:type="dxa"/>
              <w:bottom w:w="40" w:type="dxa"/>
              <w:right w:w="40" w:type="dxa"/>
            </w:tcMar>
          </w:tcPr>
          <w:p w14:paraId="58DB6BA3" w14:textId="77777777" w:rsidR="00136EE8" w:rsidRPr="00235F2C" w:rsidRDefault="00136EE8" w:rsidP="00235F2C">
            <w:pPr>
              <w:pStyle w:val="Tabletext"/>
              <w:rPr>
                <w:rFonts w:eastAsia="Calibri"/>
              </w:rPr>
            </w:pPr>
            <w:r w:rsidRPr="00235F2C">
              <w:rPr>
                <w:rFonts w:eastAsia="Calibri"/>
              </w:rPr>
              <w:t>RRF 16982</w:t>
            </w:r>
          </w:p>
        </w:tc>
        <w:tc>
          <w:tcPr>
            <w:tcW w:w="2235" w:type="dxa"/>
            <w:tcMar>
              <w:top w:w="40" w:type="dxa"/>
              <w:left w:w="40" w:type="dxa"/>
              <w:bottom w:w="40" w:type="dxa"/>
              <w:right w:w="40" w:type="dxa"/>
            </w:tcMar>
          </w:tcPr>
          <w:p w14:paraId="74BD2AD9" w14:textId="77777777" w:rsidR="00136EE8" w:rsidRPr="00235F2C" w:rsidRDefault="00136EE8" w:rsidP="00235F2C">
            <w:pPr>
              <w:pStyle w:val="Tabletext"/>
              <w:rPr>
                <w:rFonts w:eastAsia="Calibri"/>
              </w:rPr>
            </w:pPr>
            <w:r w:rsidRPr="00235F2C">
              <w:rPr>
                <w:rFonts w:eastAsia="Calibri"/>
              </w:rPr>
              <w:t>2024 CSR 2.1  2023.CSR4.6 2022.CSR4.6 2020.CSR3.4 2020.CSR3.9 2020.CSR3.8 2019.CSR2.1 2019.CSR2.6</w:t>
            </w:r>
          </w:p>
        </w:tc>
        <w:tc>
          <w:tcPr>
            <w:tcW w:w="2119" w:type="dxa"/>
            <w:tcMar>
              <w:top w:w="40" w:type="dxa"/>
              <w:left w:w="40" w:type="dxa"/>
              <w:bottom w:w="40" w:type="dxa"/>
              <w:right w:w="40" w:type="dxa"/>
            </w:tcMar>
          </w:tcPr>
          <w:p w14:paraId="1821B07C" w14:textId="77777777" w:rsidR="00136EE8" w:rsidRPr="00235F2C" w:rsidRDefault="00136EE8" w:rsidP="00235F2C">
            <w:pPr>
              <w:pStyle w:val="Tabletext"/>
              <w:rPr>
                <w:rFonts w:eastAsia="Calibri"/>
              </w:rPr>
            </w:pPr>
            <w:r w:rsidRPr="00235F2C">
              <w:rPr>
                <w:rFonts w:eastAsia="Calibri"/>
              </w:rPr>
              <w:t xml:space="preserve"> </w:t>
            </w:r>
          </w:p>
        </w:tc>
      </w:tr>
      <w:tr w:rsidR="00136EE8" w:rsidRPr="00235F2C" w14:paraId="553EBD3F" w14:textId="77777777" w:rsidTr="00235F2C">
        <w:trPr>
          <w:trHeight w:val="113"/>
          <w:jc w:val="center"/>
        </w:trPr>
        <w:tc>
          <w:tcPr>
            <w:tcW w:w="2903" w:type="dxa"/>
            <w:tcMar>
              <w:top w:w="40" w:type="dxa"/>
              <w:left w:w="40" w:type="dxa"/>
              <w:bottom w:w="40" w:type="dxa"/>
              <w:right w:w="40" w:type="dxa"/>
            </w:tcMar>
          </w:tcPr>
          <w:p w14:paraId="3C3DB698" w14:textId="4D8E205C" w:rsidR="00136EE8" w:rsidRPr="00235F2C" w:rsidRDefault="00BA03C0" w:rsidP="00235F2C">
            <w:pPr>
              <w:pStyle w:val="Tabletext"/>
              <w:rPr>
                <w:rFonts w:eastAsia="Calibri"/>
              </w:rPr>
            </w:pPr>
            <w:r w:rsidRPr="00BA03C0">
              <w:rPr>
                <w:rFonts w:eastAsia="Calibri"/>
                <w:b/>
              </w:rPr>
              <w:lastRenderedPageBreak/>
              <w:t>REFORM 2:</w:t>
            </w:r>
            <w:r w:rsidR="00136EE8" w:rsidRPr="00235F2C">
              <w:rPr>
                <w:rFonts w:eastAsia="Calibri"/>
              </w:rPr>
              <w:t xml:space="preserve"> Go Electric</w:t>
            </w:r>
          </w:p>
        </w:tc>
        <w:tc>
          <w:tcPr>
            <w:tcW w:w="1815" w:type="dxa"/>
            <w:tcMar>
              <w:top w:w="40" w:type="dxa"/>
              <w:left w:w="40" w:type="dxa"/>
              <w:bottom w:w="40" w:type="dxa"/>
              <w:right w:w="40" w:type="dxa"/>
            </w:tcMar>
          </w:tcPr>
          <w:p w14:paraId="2692AD87"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6417D262" w14:textId="77777777" w:rsidR="00136EE8" w:rsidRPr="00235F2C" w:rsidRDefault="00136EE8" w:rsidP="00F82338">
            <w:pPr>
              <w:pStyle w:val="Tabletext"/>
              <w:spacing w:line="230" w:lineRule="exact"/>
              <w:rPr>
                <w:rFonts w:eastAsia="Calibri"/>
              </w:rPr>
            </w:pPr>
            <w:r w:rsidRPr="00235F2C">
              <w:rPr>
                <w:rFonts w:eastAsia="Calibri"/>
              </w:rPr>
              <w:t xml:space="preserve">2022 CSR4.1 </w:t>
            </w:r>
          </w:p>
          <w:p w14:paraId="00EED83D" w14:textId="77777777" w:rsidR="00136EE8" w:rsidRPr="00235F2C" w:rsidRDefault="00136EE8" w:rsidP="00F82338">
            <w:pPr>
              <w:pStyle w:val="Tabletext"/>
              <w:spacing w:line="230" w:lineRule="exact"/>
              <w:rPr>
                <w:rFonts w:eastAsia="Calibri"/>
              </w:rPr>
            </w:pPr>
            <w:r w:rsidRPr="00235F2C">
              <w:rPr>
                <w:rFonts w:eastAsia="Calibri"/>
              </w:rPr>
              <w:t>2023 CSR 4.1</w:t>
            </w:r>
          </w:p>
          <w:p w14:paraId="65EA5F72" w14:textId="77777777" w:rsidR="00136EE8" w:rsidRPr="00235F2C" w:rsidRDefault="00136EE8" w:rsidP="00F82338">
            <w:pPr>
              <w:pStyle w:val="Tabletext"/>
              <w:spacing w:line="230" w:lineRule="exact"/>
              <w:rPr>
                <w:rFonts w:eastAsia="Calibri"/>
              </w:rPr>
            </w:pPr>
            <w:r w:rsidRPr="00235F2C">
              <w:rPr>
                <w:rFonts w:eastAsia="Calibri"/>
              </w:rPr>
              <w:t>2022 CSR 4.6</w:t>
            </w:r>
          </w:p>
        </w:tc>
        <w:tc>
          <w:tcPr>
            <w:tcW w:w="2119" w:type="dxa"/>
            <w:tcMar>
              <w:top w:w="40" w:type="dxa"/>
              <w:left w:w="40" w:type="dxa"/>
              <w:bottom w:w="40" w:type="dxa"/>
              <w:right w:w="40" w:type="dxa"/>
            </w:tcMar>
          </w:tcPr>
          <w:p w14:paraId="6B5C7699"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12A1E3D2" w14:textId="77777777" w:rsidTr="00235F2C">
        <w:trPr>
          <w:trHeight w:val="113"/>
          <w:jc w:val="center"/>
        </w:trPr>
        <w:tc>
          <w:tcPr>
            <w:tcW w:w="2903" w:type="dxa"/>
            <w:tcMar>
              <w:top w:w="40" w:type="dxa"/>
              <w:left w:w="40" w:type="dxa"/>
              <w:bottom w:w="40" w:type="dxa"/>
              <w:right w:w="40" w:type="dxa"/>
            </w:tcMar>
          </w:tcPr>
          <w:p w14:paraId="62EF08DB" w14:textId="5249721F" w:rsidR="00136EE8" w:rsidRPr="00235F2C" w:rsidRDefault="00BA03C0" w:rsidP="00235F2C">
            <w:pPr>
              <w:pStyle w:val="Tabletext"/>
              <w:rPr>
                <w:rFonts w:eastAsia="Calibri"/>
              </w:rPr>
            </w:pPr>
            <w:r w:rsidRPr="00BA03C0">
              <w:rPr>
                <w:rFonts w:eastAsia="Calibri"/>
                <w:b/>
              </w:rPr>
              <w:t>REFORM 3:</w:t>
            </w:r>
            <w:r w:rsidR="00136EE8" w:rsidRPr="00235F2C">
              <w:rPr>
                <w:rFonts w:eastAsia="Calibri"/>
              </w:rPr>
              <w:t xml:space="preserve"> Establishment of a Metropolitan Agency for Mobility in the Region of Attica</w:t>
            </w:r>
          </w:p>
        </w:tc>
        <w:tc>
          <w:tcPr>
            <w:tcW w:w="1815" w:type="dxa"/>
            <w:tcMar>
              <w:top w:w="40" w:type="dxa"/>
              <w:left w:w="40" w:type="dxa"/>
              <w:bottom w:w="40" w:type="dxa"/>
              <w:right w:w="40" w:type="dxa"/>
            </w:tcMar>
          </w:tcPr>
          <w:p w14:paraId="073393C7"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60B8E114" w14:textId="77777777" w:rsidR="00136EE8" w:rsidRPr="00235F2C" w:rsidRDefault="00136EE8" w:rsidP="00F82338">
            <w:pPr>
              <w:pStyle w:val="Tabletext"/>
              <w:spacing w:line="230" w:lineRule="exact"/>
              <w:rPr>
                <w:rFonts w:eastAsia="Calibri"/>
              </w:rPr>
            </w:pPr>
            <w:r w:rsidRPr="00235F2C">
              <w:rPr>
                <w:rFonts w:eastAsia="Calibri"/>
              </w:rPr>
              <w:t>2020 CSR3.4</w:t>
            </w:r>
          </w:p>
          <w:p w14:paraId="2F9FA76A" w14:textId="77777777" w:rsidR="00136EE8" w:rsidRPr="00235F2C" w:rsidRDefault="00136EE8" w:rsidP="00F82338">
            <w:pPr>
              <w:pStyle w:val="Tabletext"/>
              <w:spacing w:line="230" w:lineRule="exact"/>
              <w:rPr>
                <w:rFonts w:eastAsia="Calibri"/>
              </w:rPr>
            </w:pPr>
            <w:r w:rsidRPr="00235F2C">
              <w:rPr>
                <w:rFonts w:eastAsia="Calibri"/>
              </w:rPr>
              <w:t>2019 CSR2.1</w:t>
            </w:r>
          </w:p>
        </w:tc>
        <w:tc>
          <w:tcPr>
            <w:tcW w:w="2119" w:type="dxa"/>
            <w:tcMar>
              <w:top w:w="40" w:type="dxa"/>
              <w:left w:w="40" w:type="dxa"/>
              <w:bottom w:w="40" w:type="dxa"/>
              <w:right w:w="40" w:type="dxa"/>
            </w:tcMar>
          </w:tcPr>
          <w:p w14:paraId="1AE65D9C"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78454EB3" w14:textId="77777777" w:rsidTr="00235F2C">
        <w:trPr>
          <w:trHeight w:val="113"/>
          <w:jc w:val="center"/>
        </w:trPr>
        <w:tc>
          <w:tcPr>
            <w:tcW w:w="2903" w:type="dxa"/>
            <w:tcMar>
              <w:top w:w="40" w:type="dxa"/>
              <w:left w:w="40" w:type="dxa"/>
              <w:bottom w:w="40" w:type="dxa"/>
              <w:right w:w="40" w:type="dxa"/>
            </w:tcMar>
          </w:tcPr>
          <w:p w14:paraId="67ADA0F7" w14:textId="52BF8C98" w:rsidR="00136EE8" w:rsidRPr="00235F2C" w:rsidRDefault="00BA03C0" w:rsidP="00235F2C">
            <w:pPr>
              <w:pStyle w:val="Tabletext"/>
              <w:rPr>
                <w:rFonts w:eastAsia="Calibri"/>
              </w:rPr>
            </w:pPr>
            <w:r w:rsidRPr="00BA03C0">
              <w:rPr>
                <w:rFonts w:eastAsia="Calibri"/>
                <w:b/>
              </w:rPr>
              <w:t>REFORM 4:</w:t>
            </w:r>
            <w:r w:rsidR="00136EE8" w:rsidRPr="00235F2C">
              <w:rPr>
                <w:rFonts w:eastAsia="Calibri"/>
              </w:rPr>
              <w:t xml:space="preserve"> Establishment of a Metropolitan Agency for Mobility in the Region of Thessaloniki</w:t>
            </w:r>
          </w:p>
        </w:tc>
        <w:tc>
          <w:tcPr>
            <w:tcW w:w="1815" w:type="dxa"/>
            <w:tcMar>
              <w:top w:w="40" w:type="dxa"/>
              <w:left w:w="40" w:type="dxa"/>
              <w:bottom w:w="40" w:type="dxa"/>
              <w:right w:w="40" w:type="dxa"/>
            </w:tcMar>
          </w:tcPr>
          <w:p w14:paraId="0B050DFB"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5BF61F63" w14:textId="77777777" w:rsidR="00136EE8" w:rsidRPr="00235F2C" w:rsidRDefault="00136EE8" w:rsidP="00F82338">
            <w:pPr>
              <w:pStyle w:val="Tabletext"/>
              <w:spacing w:line="230" w:lineRule="exact"/>
              <w:rPr>
                <w:rFonts w:eastAsia="Calibri"/>
              </w:rPr>
            </w:pPr>
            <w:r w:rsidRPr="00235F2C">
              <w:rPr>
                <w:rFonts w:eastAsia="Calibri"/>
              </w:rPr>
              <w:t>2020 CSR3.4</w:t>
            </w:r>
          </w:p>
          <w:p w14:paraId="0C1F0491" w14:textId="77777777" w:rsidR="00136EE8" w:rsidRPr="00235F2C" w:rsidRDefault="00136EE8" w:rsidP="00F82338">
            <w:pPr>
              <w:pStyle w:val="Tabletext"/>
              <w:spacing w:line="230" w:lineRule="exact"/>
              <w:rPr>
                <w:rFonts w:eastAsia="Calibri"/>
              </w:rPr>
            </w:pPr>
            <w:r w:rsidRPr="00235F2C">
              <w:rPr>
                <w:rFonts w:eastAsia="Calibri"/>
              </w:rPr>
              <w:t>2019 CSR 2.1</w:t>
            </w:r>
          </w:p>
        </w:tc>
        <w:tc>
          <w:tcPr>
            <w:tcW w:w="2119" w:type="dxa"/>
            <w:tcMar>
              <w:top w:w="40" w:type="dxa"/>
              <w:left w:w="40" w:type="dxa"/>
              <w:bottom w:w="40" w:type="dxa"/>
              <w:right w:w="40" w:type="dxa"/>
            </w:tcMar>
          </w:tcPr>
          <w:p w14:paraId="1CFEDBDC"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4B371148" w14:textId="77777777" w:rsidTr="00235F2C">
        <w:trPr>
          <w:trHeight w:val="113"/>
          <w:jc w:val="center"/>
        </w:trPr>
        <w:tc>
          <w:tcPr>
            <w:tcW w:w="2903" w:type="dxa"/>
            <w:tcMar>
              <w:top w:w="40" w:type="dxa"/>
              <w:left w:w="40" w:type="dxa"/>
              <w:bottom w:w="40" w:type="dxa"/>
              <w:right w:w="40" w:type="dxa"/>
            </w:tcMar>
          </w:tcPr>
          <w:p w14:paraId="15E929AF" w14:textId="7A23ABE6" w:rsidR="00136EE8" w:rsidRPr="00235F2C" w:rsidRDefault="00BA03C0" w:rsidP="00235F2C">
            <w:pPr>
              <w:pStyle w:val="Tabletext"/>
              <w:rPr>
                <w:rFonts w:eastAsia="Calibri"/>
              </w:rPr>
            </w:pPr>
            <w:r w:rsidRPr="00BA03C0">
              <w:rPr>
                <w:rFonts w:eastAsia="Calibri"/>
                <w:b/>
              </w:rPr>
              <w:t>INVESTMENT 1:</w:t>
            </w:r>
            <w:r w:rsidR="00136EE8" w:rsidRPr="00235F2C">
              <w:rPr>
                <w:rFonts w:eastAsia="Calibri"/>
              </w:rPr>
              <w:t xml:space="preserve"> Electromobility</w:t>
            </w:r>
          </w:p>
        </w:tc>
        <w:tc>
          <w:tcPr>
            <w:tcW w:w="1815" w:type="dxa"/>
            <w:tcMar>
              <w:top w:w="40" w:type="dxa"/>
              <w:left w:w="40" w:type="dxa"/>
              <w:bottom w:w="40" w:type="dxa"/>
              <w:right w:w="40" w:type="dxa"/>
            </w:tcMar>
          </w:tcPr>
          <w:p w14:paraId="2CF0CD68" w14:textId="77777777" w:rsidR="00136EE8" w:rsidRPr="00235F2C" w:rsidRDefault="00136EE8" w:rsidP="00235F2C">
            <w:pPr>
              <w:pStyle w:val="Tabletext"/>
              <w:rPr>
                <w:rFonts w:eastAsia="Calibri"/>
              </w:rPr>
            </w:pPr>
            <w:r w:rsidRPr="00235F2C">
              <w:rPr>
                <w:rFonts w:eastAsia="Calibri"/>
              </w:rPr>
              <w:t>RRF 16924</w:t>
            </w:r>
          </w:p>
        </w:tc>
        <w:tc>
          <w:tcPr>
            <w:tcW w:w="2235" w:type="dxa"/>
            <w:tcMar>
              <w:top w:w="40" w:type="dxa"/>
              <w:left w:w="40" w:type="dxa"/>
              <w:bottom w:w="40" w:type="dxa"/>
              <w:right w:w="40" w:type="dxa"/>
            </w:tcMar>
          </w:tcPr>
          <w:p w14:paraId="2D04D66A" w14:textId="77777777" w:rsidR="00136EE8" w:rsidRPr="00235F2C" w:rsidRDefault="00136EE8" w:rsidP="00F82338">
            <w:pPr>
              <w:pStyle w:val="Tabletext"/>
              <w:spacing w:line="230" w:lineRule="exact"/>
              <w:rPr>
                <w:rFonts w:eastAsia="Calibri"/>
              </w:rPr>
            </w:pPr>
            <w:r w:rsidRPr="00235F2C">
              <w:rPr>
                <w:rFonts w:eastAsia="Calibri"/>
              </w:rPr>
              <w:t>2024 CSR 2.1  2023.CSR4.1 2023.CSR4.6 2022.CSR4.6 2022.CSR4.2 2022.CSR4.1 2020.CSR3.4 2020.CSR3.2 2019.CSR2.1 2019.CSR2.9</w:t>
            </w:r>
          </w:p>
        </w:tc>
        <w:tc>
          <w:tcPr>
            <w:tcW w:w="2119" w:type="dxa"/>
            <w:tcMar>
              <w:top w:w="40" w:type="dxa"/>
              <w:left w:w="40" w:type="dxa"/>
              <w:bottom w:w="40" w:type="dxa"/>
              <w:right w:w="40" w:type="dxa"/>
            </w:tcMar>
          </w:tcPr>
          <w:p w14:paraId="2DA26CDC"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15BF2F23" w14:textId="77777777" w:rsidTr="00235F2C">
        <w:trPr>
          <w:trHeight w:val="113"/>
          <w:jc w:val="center"/>
        </w:trPr>
        <w:tc>
          <w:tcPr>
            <w:tcW w:w="2903" w:type="dxa"/>
            <w:tcMar>
              <w:top w:w="40" w:type="dxa"/>
              <w:left w:w="40" w:type="dxa"/>
              <w:bottom w:w="40" w:type="dxa"/>
              <w:right w:w="40" w:type="dxa"/>
            </w:tcMar>
          </w:tcPr>
          <w:p w14:paraId="1A9EDD70" w14:textId="36CCAD5C" w:rsidR="00136EE8" w:rsidRPr="00235F2C" w:rsidRDefault="00BA03C0" w:rsidP="00235F2C">
            <w:pPr>
              <w:pStyle w:val="Tabletext"/>
              <w:rPr>
                <w:rFonts w:eastAsia="Calibri"/>
              </w:rPr>
            </w:pPr>
            <w:r w:rsidRPr="00BA03C0">
              <w:rPr>
                <w:rFonts w:eastAsia="Calibri"/>
                <w:b/>
              </w:rPr>
              <w:t>INVESTMENT 2:</w:t>
            </w:r>
            <w:r w:rsidR="00136EE8" w:rsidRPr="00235F2C">
              <w:rPr>
                <w:rFonts w:eastAsia="Calibri"/>
              </w:rPr>
              <w:t xml:space="preserve"> Upgrading suburban railway of West Attica</w:t>
            </w:r>
          </w:p>
        </w:tc>
        <w:tc>
          <w:tcPr>
            <w:tcW w:w="1815" w:type="dxa"/>
            <w:tcMar>
              <w:top w:w="40" w:type="dxa"/>
              <w:left w:w="40" w:type="dxa"/>
              <w:bottom w:w="40" w:type="dxa"/>
              <w:right w:w="40" w:type="dxa"/>
            </w:tcMar>
          </w:tcPr>
          <w:p w14:paraId="5BA1C2D7" w14:textId="77777777" w:rsidR="00136EE8" w:rsidRPr="00235F2C" w:rsidRDefault="00136EE8" w:rsidP="00235F2C">
            <w:pPr>
              <w:pStyle w:val="Tabletext"/>
              <w:rPr>
                <w:rFonts w:eastAsia="Calibri"/>
              </w:rPr>
            </w:pPr>
            <w:r w:rsidRPr="00235F2C">
              <w:rPr>
                <w:rFonts w:eastAsia="Calibri"/>
              </w:rPr>
              <w:t>RRF 16892</w:t>
            </w:r>
          </w:p>
        </w:tc>
        <w:tc>
          <w:tcPr>
            <w:tcW w:w="2235" w:type="dxa"/>
            <w:tcMar>
              <w:top w:w="40" w:type="dxa"/>
              <w:left w:w="40" w:type="dxa"/>
              <w:bottom w:w="40" w:type="dxa"/>
              <w:right w:w="40" w:type="dxa"/>
            </w:tcMar>
          </w:tcPr>
          <w:p w14:paraId="67BC91F0" w14:textId="77777777" w:rsidR="00136EE8" w:rsidRPr="00235F2C" w:rsidRDefault="00136EE8" w:rsidP="00F82338">
            <w:pPr>
              <w:pStyle w:val="Tabletext"/>
              <w:spacing w:line="230" w:lineRule="exact"/>
              <w:rPr>
                <w:rFonts w:eastAsia="Calibri"/>
              </w:rPr>
            </w:pPr>
            <w:r w:rsidRPr="00235F2C">
              <w:rPr>
                <w:rFonts w:eastAsia="Calibri"/>
              </w:rPr>
              <w:t>2024 CSR 2.1  2023.CSR4.6 2022.CSR4.6 2020.CSR3.4 2019.CSR2.1 2019.CSR2.9</w:t>
            </w:r>
          </w:p>
        </w:tc>
        <w:tc>
          <w:tcPr>
            <w:tcW w:w="2119" w:type="dxa"/>
            <w:tcMar>
              <w:top w:w="40" w:type="dxa"/>
              <w:left w:w="40" w:type="dxa"/>
              <w:bottom w:w="40" w:type="dxa"/>
              <w:right w:w="40" w:type="dxa"/>
            </w:tcMar>
          </w:tcPr>
          <w:p w14:paraId="48378A3D"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3B7D601B" w14:textId="77777777" w:rsidTr="00235F2C">
        <w:trPr>
          <w:trHeight w:val="113"/>
          <w:jc w:val="center"/>
        </w:trPr>
        <w:tc>
          <w:tcPr>
            <w:tcW w:w="2903" w:type="dxa"/>
            <w:tcMar>
              <w:top w:w="40" w:type="dxa"/>
              <w:left w:w="40" w:type="dxa"/>
              <w:bottom w:w="40" w:type="dxa"/>
              <w:right w:w="40" w:type="dxa"/>
            </w:tcMar>
          </w:tcPr>
          <w:p w14:paraId="6280178C" w14:textId="3D9692C5" w:rsidR="00136EE8" w:rsidRPr="00235F2C" w:rsidRDefault="00BA03C0" w:rsidP="00235F2C">
            <w:pPr>
              <w:pStyle w:val="Tabletext"/>
              <w:rPr>
                <w:rFonts w:eastAsia="Calibri"/>
              </w:rPr>
            </w:pPr>
            <w:r w:rsidRPr="00BA03C0">
              <w:rPr>
                <w:rFonts w:eastAsia="Calibri"/>
                <w:b/>
              </w:rPr>
              <w:t>INVESTMENT 3:</w:t>
            </w:r>
            <w:r w:rsidR="00136EE8" w:rsidRPr="00235F2C">
              <w:rPr>
                <w:rFonts w:eastAsia="Calibri"/>
              </w:rPr>
              <w:t xml:space="preserve"> Digital Transformation of the Hellenic Railways Organization</w:t>
            </w:r>
          </w:p>
        </w:tc>
        <w:tc>
          <w:tcPr>
            <w:tcW w:w="1815" w:type="dxa"/>
            <w:tcMar>
              <w:top w:w="40" w:type="dxa"/>
              <w:left w:w="40" w:type="dxa"/>
              <w:bottom w:w="40" w:type="dxa"/>
              <w:right w:w="40" w:type="dxa"/>
            </w:tcMar>
          </w:tcPr>
          <w:p w14:paraId="67143AC9" w14:textId="77777777" w:rsidR="00136EE8" w:rsidRPr="00235F2C" w:rsidRDefault="00136EE8" w:rsidP="00235F2C">
            <w:pPr>
              <w:pStyle w:val="Tabletext"/>
              <w:rPr>
                <w:rFonts w:eastAsia="Calibri"/>
              </w:rPr>
            </w:pPr>
            <w:r w:rsidRPr="00235F2C">
              <w:rPr>
                <w:rFonts w:eastAsia="Calibri"/>
              </w:rPr>
              <w:t>RRF 16959</w:t>
            </w:r>
          </w:p>
        </w:tc>
        <w:tc>
          <w:tcPr>
            <w:tcW w:w="2235" w:type="dxa"/>
            <w:tcMar>
              <w:top w:w="40" w:type="dxa"/>
              <w:left w:w="40" w:type="dxa"/>
              <w:bottom w:w="40" w:type="dxa"/>
              <w:right w:w="40" w:type="dxa"/>
            </w:tcMar>
          </w:tcPr>
          <w:p w14:paraId="0E202490" w14:textId="77777777" w:rsidR="00136EE8" w:rsidRPr="00235F2C" w:rsidRDefault="00136EE8" w:rsidP="00F82338">
            <w:pPr>
              <w:pStyle w:val="Tabletext"/>
              <w:spacing w:line="230" w:lineRule="exact"/>
              <w:rPr>
                <w:rFonts w:eastAsia="Calibri"/>
              </w:rPr>
            </w:pPr>
            <w:r w:rsidRPr="00235F2C">
              <w:rPr>
                <w:rFonts w:eastAsia="Calibri"/>
              </w:rPr>
              <w:t>2024 CSR 2.1  2020.CSR3.4 2020.CSR3.9 2020.CSR3.3 2019.CSR2.1 2019.CSR2.3</w:t>
            </w:r>
          </w:p>
        </w:tc>
        <w:tc>
          <w:tcPr>
            <w:tcW w:w="2119" w:type="dxa"/>
            <w:tcMar>
              <w:top w:w="40" w:type="dxa"/>
              <w:left w:w="40" w:type="dxa"/>
              <w:bottom w:w="40" w:type="dxa"/>
              <w:right w:w="40" w:type="dxa"/>
            </w:tcMar>
          </w:tcPr>
          <w:p w14:paraId="02275F3D"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166FD454" w14:textId="77777777" w:rsidTr="00235F2C">
        <w:trPr>
          <w:trHeight w:val="113"/>
          <w:jc w:val="center"/>
        </w:trPr>
        <w:tc>
          <w:tcPr>
            <w:tcW w:w="2903" w:type="dxa"/>
            <w:tcMar>
              <w:top w:w="40" w:type="dxa"/>
              <w:left w:w="40" w:type="dxa"/>
              <w:bottom w:w="40" w:type="dxa"/>
              <w:right w:w="40" w:type="dxa"/>
            </w:tcMar>
          </w:tcPr>
          <w:p w14:paraId="53DCC773" w14:textId="06249916" w:rsidR="00136EE8" w:rsidRPr="00235F2C" w:rsidRDefault="00BA03C0" w:rsidP="00235F2C">
            <w:pPr>
              <w:pStyle w:val="Tabletext"/>
              <w:rPr>
                <w:rFonts w:eastAsia="Calibri"/>
              </w:rPr>
            </w:pPr>
            <w:r w:rsidRPr="00BA03C0">
              <w:rPr>
                <w:rFonts w:eastAsia="Calibri"/>
                <w:b/>
              </w:rPr>
              <w:t>INVESTMENT 4:</w:t>
            </w:r>
            <w:r w:rsidR="00136EE8" w:rsidRPr="00235F2C">
              <w:rPr>
                <w:rFonts w:eastAsia="Calibri"/>
              </w:rPr>
              <w:t xml:space="preserve"> Smart Bridges</w:t>
            </w:r>
          </w:p>
        </w:tc>
        <w:tc>
          <w:tcPr>
            <w:tcW w:w="1815" w:type="dxa"/>
            <w:tcMar>
              <w:top w:w="40" w:type="dxa"/>
              <w:left w:w="40" w:type="dxa"/>
              <w:bottom w:w="40" w:type="dxa"/>
              <w:right w:w="40" w:type="dxa"/>
            </w:tcMar>
          </w:tcPr>
          <w:p w14:paraId="57DC56E0" w14:textId="77777777" w:rsidR="00136EE8" w:rsidRPr="00235F2C" w:rsidRDefault="00136EE8" w:rsidP="00235F2C">
            <w:pPr>
              <w:pStyle w:val="Tabletext"/>
              <w:rPr>
                <w:rFonts w:eastAsia="Calibri"/>
              </w:rPr>
            </w:pPr>
            <w:r w:rsidRPr="00235F2C">
              <w:rPr>
                <w:rFonts w:eastAsia="Calibri"/>
              </w:rPr>
              <w:t>RRF 16949</w:t>
            </w:r>
          </w:p>
        </w:tc>
        <w:tc>
          <w:tcPr>
            <w:tcW w:w="2235" w:type="dxa"/>
            <w:tcMar>
              <w:top w:w="40" w:type="dxa"/>
              <w:left w:w="40" w:type="dxa"/>
              <w:bottom w:w="40" w:type="dxa"/>
              <w:right w:w="40" w:type="dxa"/>
            </w:tcMar>
          </w:tcPr>
          <w:p w14:paraId="3AFDAFE2" w14:textId="77777777" w:rsidR="00136EE8" w:rsidRPr="00235F2C" w:rsidRDefault="00136EE8" w:rsidP="00F82338">
            <w:pPr>
              <w:pStyle w:val="Tabletext"/>
              <w:spacing w:line="230" w:lineRule="exact"/>
              <w:rPr>
                <w:rFonts w:eastAsia="Calibri"/>
              </w:rPr>
            </w:pPr>
            <w:r w:rsidRPr="00235F2C">
              <w:rPr>
                <w:rFonts w:eastAsia="Calibri"/>
              </w:rPr>
              <w:t>2024 CSR 2.1  2020.CSR3.4 2020.CSR3.9 2020.CSR3.8 2019.CSR2.1 2019.CSR2.3 2019.CSR2.6</w:t>
            </w:r>
          </w:p>
        </w:tc>
        <w:tc>
          <w:tcPr>
            <w:tcW w:w="2119" w:type="dxa"/>
            <w:tcMar>
              <w:top w:w="40" w:type="dxa"/>
              <w:left w:w="40" w:type="dxa"/>
              <w:bottom w:w="40" w:type="dxa"/>
              <w:right w:w="40" w:type="dxa"/>
            </w:tcMar>
          </w:tcPr>
          <w:p w14:paraId="31514925"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7AEA2612" w14:textId="77777777" w:rsidTr="00235F2C">
        <w:trPr>
          <w:trHeight w:val="113"/>
          <w:jc w:val="center"/>
        </w:trPr>
        <w:tc>
          <w:tcPr>
            <w:tcW w:w="2903" w:type="dxa"/>
            <w:tcMar>
              <w:top w:w="40" w:type="dxa"/>
              <w:left w:w="40" w:type="dxa"/>
              <w:bottom w:w="40" w:type="dxa"/>
              <w:right w:w="40" w:type="dxa"/>
            </w:tcMar>
          </w:tcPr>
          <w:p w14:paraId="5B3163B8" w14:textId="5F4CEA81" w:rsidR="00136EE8" w:rsidRPr="00235F2C" w:rsidRDefault="00BA03C0" w:rsidP="00235F2C">
            <w:pPr>
              <w:pStyle w:val="Tabletext"/>
              <w:rPr>
                <w:rFonts w:eastAsia="Calibri"/>
              </w:rPr>
            </w:pPr>
            <w:r w:rsidRPr="00BA03C0">
              <w:rPr>
                <w:rFonts w:eastAsia="Calibri"/>
                <w:b/>
              </w:rPr>
              <w:t>INVESTMENT 5:</w:t>
            </w:r>
            <w:r w:rsidR="00136EE8" w:rsidRPr="00235F2C">
              <w:rPr>
                <w:rFonts w:eastAsia="Calibri"/>
              </w:rPr>
              <w:t xml:space="preserve"> Cretan Northern Highway (VOAK)</w:t>
            </w:r>
          </w:p>
        </w:tc>
        <w:tc>
          <w:tcPr>
            <w:tcW w:w="1815" w:type="dxa"/>
            <w:tcMar>
              <w:top w:w="40" w:type="dxa"/>
              <w:left w:w="40" w:type="dxa"/>
              <w:bottom w:w="40" w:type="dxa"/>
              <w:right w:w="40" w:type="dxa"/>
            </w:tcMar>
          </w:tcPr>
          <w:p w14:paraId="10CB7572" w14:textId="77777777" w:rsidR="00136EE8" w:rsidRPr="00235F2C" w:rsidRDefault="00136EE8" w:rsidP="00235F2C">
            <w:pPr>
              <w:pStyle w:val="Tabletext"/>
              <w:rPr>
                <w:rFonts w:eastAsia="Calibri"/>
              </w:rPr>
            </w:pPr>
            <w:r w:rsidRPr="00235F2C">
              <w:rPr>
                <w:rFonts w:eastAsia="Calibri"/>
              </w:rPr>
              <w:t>RRF 16630</w:t>
            </w:r>
          </w:p>
        </w:tc>
        <w:tc>
          <w:tcPr>
            <w:tcW w:w="2235" w:type="dxa"/>
            <w:tcMar>
              <w:top w:w="40" w:type="dxa"/>
              <w:left w:w="40" w:type="dxa"/>
              <w:bottom w:w="40" w:type="dxa"/>
              <w:right w:w="40" w:type="dxa"/>
            </w:tcMar>
          </w:tcPr>
          <w:p w14:paraId="68654398" w14:textId="77777777" w:rsidR="00136EE8" w:rsidRPr="00235F2C" w:rsidRDefault="00136EE8" w:rsidP="00F82338">
            <w:pPr>
              <w:pStyle w:val="Tabletext"/>
              <w:spacing w:line="230" w:lineRule="exact"/>
              <w:rPr>
                <w:rFonts w:eastAsia="Calibri"/>
              </w:rPr>
            </w:pPr>
            <w:r w:rsidRPr="00235F2C">
              <w:rPr>
                <w:rFonts w:eastAsia="Calibri"/>
              </w:rPr>
              <w:t>2024 CSR 2.1  2020.CSR3.4 2020.CSR3.3 2019.CSR2.1</w:t>
            </w:r>
          </w:p>
        </w:tc>
        <w:tc>
          <w:tcPr>
            <w:tcW w:w="2119" w:type="dxa"/>
            <w:tcMar>
              <w:top w:w="40" w:type="dxa"/>
              <w:left w:w="40" w:type="dxa"/>
              <w:bottom w:w="40" w:type="dxa"/>
              <w:right w:w="40" w:type="dxa"/>
            </w:tcMar>
          </w:tcPr>
          <w:p w14:paraId="0FDF0C5E" w14:textId="77777777" w:rsidR="00136EE8" w:rsidRPr="00235F2C" w:rsidRDefault="00136EE8" w:rsidP="00235F2C">
            <w:pPr>
              <w:pStyle w:val="Tabletext"/>
              <w:rPr>
                <w:rFonts w:eastAsia="Calibri"/>
              </w:rPr>
            </w:pPr>
            <w:r w:rsidRPr="00235F2C">
              <w:rPr>
                <w:rFonts w:eastAsia="Calibri"/>
              </w:rPr>
              <w:t xml:space="preserve"> </w:t>
            </w:r>
          </w:p>
        </w:tc>
      </w:tr>
      <w:tr w:rsidR="00136EE8" w:rsidRPr="00235F2C" w14:paraId="00ED9B50" w14:textId="77777777" w:rsidTr="00235F2C">
        <w:trPr>
          <w:trHeight w:val="113"/>
          <w:jc w:val="center"/>
        </w:trPr>
        <w:tc>
          <w:tcPr>
            <w:tcW w:w="2903" w:type="dxa"/>
            <w:tcMar>
              <w:top w:w="40" w:type="dxa"/>
              <w:left w:w="40" w:type="dxa"/>
              <w:bottom w:w="40" w:type="dxa"/>
              <w:right w:w="40" w:type="dxa"/>
            </w:tcMar>
          </w:tcPr>
          <w:p w14:paraId="03C37C06" w14:textId="56FE9A62" w:rsidR="00136EE8" w:rsidRPr="00235F2C" w:rsidRDefault="00BA03C0" w:rsidP="00235F2C">
            <w:pPr>
              <w:pStyle w:val="Tabletext"/>
              <w:rPr>
                <w:rFonts w:eastAsia="Calibri"/>
              </w:rPr>
            </w:pPr>
            <w:r w:rsidRPr="00BA03C0">
              <w:rPr>
                <w:rFonts w:eastAsia="Calibri"/>
                <w:b/>
              </w:rPr>
              <w:t>INVESTMENT 6:</w:t>
            </w:r>
            <w:r w:rsidR="00136EE8" w:rsidRPr="00235F2C">
              <w:rPr>
                <w:rFonts w:eastAsia="Calibri"/>
              </w:rPr>
              <w:t xml:space="preserve"> Central Greece Highway E-65: Trikala- Egnatia Section</w:t>
            </w:r>
          </w:p>
        </w:tc>
        <w:tc>
          <w:tcPr>
            <w:tcW w:w="1815" w:type="dxa"/>
            <w:tcMar>
              <w:top w:w="40" w:type="dxa"/>
              <w:left w:w="40" w:type="dxa"/>
              <w:bottom w:w="40" w:type="dxa"/>
              <w:right w:w="40" w:type="dxa"/>
            </w:tcMar>
          </w:tcPr>
          <w:p w14:paraId="7D79B2D7" w14:textId="77777777" w:rsidR="00136EE8" w:rsidRPr="00235F2C" w:rsidRDefault="00136EE8" w:rsidP="00235F2C">
            <w:pPr>
              <w:pStyle w:val="Tabletext"/>
              <w:rPr>
                <w:rFonts w:eastAsia="Calibri"/>
              </w:rPr>
            </w:pPr>
            <w:r w:rsidRPr="00235F2C">
              <w:rPr>
                <w:rFonts w:eastAsia="Calibri"/>
              </w:rPr>
              <w:t>RRF 16628</w:t>
            </w:r>
          </w:p>
        </w:tc>
        <w:tc>
          <w:tcPr>
            <w:tcW w:w="2235" w:type="dxa"/>
            <w:tcMar>
              <w:top w:w="40" w:type="dxa"/>
              <w:left w:w="40" w:type="dxa"/>
              <w:bottom w:w="40" w:type="dxa"/>
              <w:right w:w="40" w:type="dxa"/>
            </w:tcMar>
          </w:tcPr>
          <w:p w14:paraId="40CED8F1" w14:textId="77777777" w:rsidR="00136EE8" w:rsidRPr="00235F2C" w:rsidRDefault="00136EE8" w:rsidP="00F82338">
            <w:pPr>
              <w:pStyle w:val="Tabletext"/>
              <w:spacing w:line="230" w:lineRule="exact"/>
              <w:rPr>
                <w:rFonts w:eastAsia="Calibri"/>
              </w:rPr>
            </w:pPr>
            <w:r w:rsidRPr="00235F2C">
              <w:rPr>
                <w:rFonts w:eastAsia="Calibri"/>
              </w:rPr>
              <w:t>2024 CSR 2.1  2020.CSR3.4 2020.CSR3.3 2019.CSR2.1</w:t>
            </w:r>
          </w:p>
        </w:tc>
        <w:tc>
          <w:tcPr>
            <w:tcW w:w="2119" w:type="dxa"/>
            <w:tcMar>
              <w:top w:w="40" w:type="dxa"/>
              <w:left w:w="40" w:type="dxa"/>
              <w:bottom w:w="40" w:type="dxa"/>
              <w:right w:w="40" w:type="dxa"/>
            </w:tcMar>
          </w:tcPr>
          <w:p w14:paraId="5A6572AF" w14:textId="77777777" w:rsidR="00136EE8" w:rsidRPr="00235F2C" w:rsidRDefault="00136EE8" w:rsidP="00235F2C">
            <w:pPr>
              <w:pStyle w:val="Tabletext"/>
              <w:rPr>
                <w:rFonts w:eastAsia="Calibri"/>
              </w:rPr>
            </w:pPr>
            <w:r w:rsidRPr="00235F2C">
              <w:rPr>
                <w:rFonts w:eastAsia="Calibri"/>
              </w:rPr>
              <w:t xml:space="preserve"> </w:t>
            </w:r>
          </w:p>
        </w:tc>
      </w:tr>
      <w:tr w:rsidR="00136EE8" w:rsidRPr="00235F2C" w14:paraId="24940AC2" w14:textId="77777777" w:rsidTr="00235F2C">
        <w:trPr>
          <w:trHeight w:val="113"/>
          <w:jc w:val="center"/>
        </w:trPr>
        <w:tc>
          <w:tcPr>
            <w:tcW w:w="2903" w:type="dxa"/>
            <w:tcMar>
              <w:top w:w="40" w:type="dxa"/>
              <w:left w:w="40" w:type="dxa"/>
              <w:bottom w:w="40" w:type="dxa"/>
              <w:right w:w="40" w:type="dxa"/>
            </w:tcMar>
          </w:tcPr>
          <w:p w14:paraId="366C0994" w14:textId="4CD9E2E8" w:rsidR="00136EE8" w:rsidRPr="00235F2C" w:rsidRDefault="00BA03C0" w:rsidP="00235F2C">
            <w:pPr>
              <w:pStyle w:val="Tabletext"/>
              <w:rPr>
                <w:rFonts w:eastAsia="Calibri"/>
              </w:rPr>
            </w:pPr>
            <w:r w:rsidRPr="00BA03C0">
              <w:rPr>
                <w:rFonts w:eastAsia="Calibri"/>
                <w:b/>
              </w:rPr>
              <w:t>INVESTMENT 7:</w:t>
            </w:r>
            <w:r w:rsidR="00136EE8" w:rsidRPr="00235F2C">
              <w:rPr>
                <w:rFonts w:eastAsia="Calibri"/>
              </w:rPr>
              <w:t xml:space="preserve"> Upgrade of the existing railway line Alexandroupolis – Ormenio</w:t>
            </w:r>
          </w:p>
        </w:tc>
        <w:tc>
          <w:tcPr>
            <w:tcW w:w="1815" w:type="dxa"/>
            <w:tcMar>
              <w:top w:w="40" w:type="dxa"/>
              <w:left w:w="40" w:type="dxa"/>
              <w:bottom w:w="40" w:type="dxa"/>
              <w:right w:w="40" w:type="dxa"/>
            </w:tcMar>
          </w:tcPr>
          <w:p w14:paraId="69B85179"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5F1A8B09" w14:textId="77777777" w:rsidR="00136EE8" w:rsidRPr="00235F2C" w:rsidRDefault="00136EE8" w:rsidP="00F82338">
            <w:pPr>
              <w:pStyle w:val="Tabletext"/>
              <w:spacing w:line="230" w:lineRule="exact"/>
              <w:rPr>
                <w:rFonts w:eastAsia="Calibri"/>
              </w:rPr>
            </w:pPr>
            <w:r w:rsidRPr="00235F2C">
              <w:rPr>
                <w:rFonts w:eastAsia="Calibri"/>
              </w:rPr>
              <w:t>2023.CSR4.6</w:t>
            </w:r>
          </w:p>
          <w:p w14:paraId="1854D0AF" w14:textId="77777777" w:rsidR="00136EE8" w:rsidRPr="00235F2C" w:rsidRDefault="00136EE8" w:rsidP="00F82338">
            <w:pPr>
              <w:pStyle w:val="Tabletext"/>
              <w:spacing w:line="230" w:lineRule="exact"/>
              <w:rPr>
                <w:rFonts w:eastAsia="Calibri"/>
              </w:rPr>
            </w:pPr>
            <w:r w:rsidRPr="00235F2C">
              <w:rPr>
                <w:rFonts w:eastAsia="Calibri"/>
              </w:rPr>
              <w:t>2022.CSR4.6</w:t>
            </w:r>
          </w:p>
          <w:p w14:paraId="08D67915" w14:textId="77777777" w:rsidR="00136EE8" w:rsidRPr="00235F2C" w:rsidRDefault="00136EE8" w:rsidP="00F82338">
            <w:pPr>
              <w:pStyle w:val="Tabletext"/>
              <w:spacing w:line="230" w:lineRule="exact"/>
              <w:rPr>
                <w:rFonts w:eastAsia="Calibri"/>
              </w:rPr>
            </w:pPr>
            <w:r w:rsidRPr="00235F2C">
              <w:rPr>
                <w:rFonts w:eastAsia="Calibri"/>
              </w:rPr>
              <w:t>2020.CSR3.4</w:t>
            </w:r>
          </w:p>
          <w:p w14:paraId="26EFD440" w14:textId="77777777" w:rsidR="00136EE8" w:rsidRPr="00235F2C" w:rsidRDefault="00136EE8" w:rsidP="00F82338">
            <w:pPr>
              <w:pStyle w:val="Tabletext"/>
              <w:spacing w:line="230" w:lineRule="exact"/>
              <w:rPr>
                <w:rFonts w:eastAsia="Calibri"/>
              </w:rPr>
            </w:pPr>
            <w:r w:rsidRPr="00235F2C">
              <w:rPr>
                <w:rFonts w:eastAsia="Calibri"/>
              </w:rPr>
              <w:t>2019.CSR2.1</w:t>
            </w:r>
          </w:p>
          <w:p w14:paraId="59AE68E0" w14:textId="77777777" w:rsidR="00136EE8" w:rsidRPr="00235F2C" w:rsidRDefault="00136EE8" w:rsidP="00F82338">
            <w:pPr>
              <w:pStyle w:val="Tabletext"/>
              <w:spacing w:line="230" w:lineRule="exact"/>
              <w:rPr>
                <w:rFonts w:eastAsia="Calibri"/>
              </w:rPr>
            </w:pPr>
            <w:r w:rsidRPr="00235F2C">
              <w:rPr>
                <w:rFonts w:eastAsia="Calibri"/>
              </w:rPr>
              <w:t>2019.CSR2.9</w:t>
            </w:r>
          </w:p>
        </w:tc>
        <w:tc>
          <w:tcPr>
            <w:tcW w:w="2119" w:type="dxa"/>
            <w:tcMar>
              <w:top w:w="40" w:type="dxa"/>
              <w:left w:w="40" w:type="dxa"/>
              <w:bottom w:w="40" w:type="dxa"/>
              <w:right w:w="40" w:type="dxa"/>
            </w:tcMar>
          </w:tcPr>
          <w:p w14:paraId="12FA3A1C" w14:textId="77777777" w:rsidR="00136EE8" w:rsidRPr="00235F2C" w:rsidRDefault="00136EE8" w:rsidP="00235F2C">
            <w:pPr>
              <w:pStyle w:val="Tabletext"/>
              <w:rPr>
                <w:rFonts w:eastAsia="Calibri"/>
              </w:rPr>
            </w:pPr>
            <w:r w:rsidRPr="00235F2C">
              <w:rPr>
                <w:rFonts w:eastAsia="Calibri"/>
              </w:rPr>
              <w:t>Fair green &amp; digital transition</w:t>
            </w:r>
          </w:p>
        </w:tc>
      </w:tr>
      <w:tr w:rsidR="00136EE8" w:rsidRPr="00235F2C" w14:paraId="311FD75C" w14:textId="77777777" w:rsidTr="00235F2C">
        <w:trPr>
          <w:trHeight w:val="113"/>
          <w:jc w:val="center"/>
        </w:trPr>
        <w:tc>
          <w:tcPr>
            <w:tcW w:w="2903" w:type="dxa"/>
            <w:tcMar>
              <w:top w:w="40" w:type="dxa"/>
              <w:left w:w="40" w:type="dxa"/>
              <w:bottom w:w="40" w:type="dxa"/>
              <w:right w:w="40" w:type="dxa"/>
            </w:tcMar>
          </w:tcPr>
          <w:p w14:paraId="5E6D6BFF" w14:textId="7FCB84DA" w:rsidR="00136EE8" w:rsidRPr="00235F2C" w:rsidRDefault="00BA03C0" w:rsidP="00235F2C">
            <w:pPr>
              <w:pStyle w:val="Tabletext"/>
              <w:rPr>
                <w:rFonts w:eastAsia="Calibri"/>
              </w:rPr>
            </w:pPr>
            <w:r w:rsidRPr="00BA03C0">
              <w:rPr>
                <w:rFonts w:eastAsia="Calibri"/>
                <w:b/>
              </w:rPr>
              <w:t>INVESTMENT 8:</w:t>
            </w:r>
            <w:r w:rsidR="00136EE8" w:rsidRPr="00235F2C">
              <w:rPr>
                <w:rFonts w:eastAsia="Calibri"/>
              </w:rPr>
              <w:t xml:space="preserve"> New airport in Kasteli</w:t>
            </w:r>
          </w:p>
        </w:tc>
        <w:tc>
          <w:tcPr>
            <w:tcW w:w="1815" w:type="dxa"/>
            <w:tcMar>
              <w:top w:w="40" w:type="dxa"/>
              <w:left w:w="40" w:type="dxa"/>
              <w:bottom w:w="40" w:type="dxa"/>
              <w:right w:w="40" w:type="dxa"/>
            </w:tcMar>
          </w:tcPr>
          <w:p w14:paraId="26D50655"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5560A58C" w14:textId="77777777" w:rsidR="00136EE8" w:rsidRPr="00235F2C" w:rsidRDefault="00136EE8" w:rsidP="00F82338">
            <w:pPr>
              <w:pStyle w:val="Tabletext"/>
              <w:spacing w:line="230" w:lineRule="exact"/>
              <w:rPr>
                <w:rFonts w:eastAsia="Calibri"/>
              </w:rPr>
            </w:pPr>
            <w:r w:rsidRPr="00235F2C">
              <w:rPr>
                <w:rFonts w:eastAsia="Calibri"/>
              </w:rPr>
              <w:t>2020.CSR3.4</w:t>
            </w:r>
          </w:p>
          <w:p w14:paraId="77BBCE50" w14:textId="77777777" w:rsidR="00136EE8" w:rsidRPr="00235F2C" w:rsidRDefault="00136EE8" w:rsidP="00F82338">
            <w:pPr>
              <w:pStyle w:val="Tabletext"/>
              <w:spacing w:line="230" w:lineRule="exact"/>
              <w:rPr>
                <w:rFonts w:eastAsia="Calibri"/>
              </w:rPr>
            </w:pPr>
            <w:r w:rsidRPr="00235F2C">
              <w:rPr>
                <w:rFonts w:eastAsia="Calibri"/>
              </w:rPr>
              <w:t>2019.CSR2.1</w:t>
            </w:r>
          </w:p>
          <w:p w14:paraId="7AE6C6D3" w14:textId="77777777" w:rsidR="00136EE8" w:rsidRPr="00235F2C" w:rsidRDefault="00136EE8" w:rsidP="00F82338">
            <w:pPr>
              <w:pStyle w:val="Tabletext"/>
              <w:spacing w:line="230" w:lineRule="exact"/>
              <w:rPr>
                <w:rFonts w:eastAsia="Calibri"/>
              </w:rPr>
            </w:pPr>
            <w:r w:rsidRPr="00235F2C">
              <w:rPr>
                <w:rFonts w:eastAsia="Calibri"/>
              </w:rPr>
              <w:t>2019.CSR2.9</w:t>
            </w:r>
          </w:p>
        </w:tc>
        <w:tc>
          <w:tcPr>
            <w:tcW w:w="2119" w:type="dxa"/>
            <w:tcMar>
              <w:top w:w="40" w:type="dxa"/>
              <w:left w:w="40" w:type="dxa"/>
              <w:bottom w:w="40" w:type="dxa"/>
              <w:right w:w="40" w:type="dxa"/>
            </w:tcMar>
          </w:tcPr>
          <w:p w14:paraId="02667EEC" w14:textId="77777777" w:rsidR="00136EE8" w:rsidRPr="00235F2C" w:rsidRDefault="00136EE8" w:rsidP="00235F2C">
            <w:pPr>
              <w:pStyle w:val="Tabletext"/>
              <w:rPr>
                <w:rFonts w:eastAsia="Calibri"/>
              </w:rPr>
            </w:pPr>
            <w:r w:rsidRPr="00235F2C">
              <w:rPr>
                <w:rFonts w:eastAsia="Calibri"/>
              </w:rPr>
              <w:t xml:space="preserve"> </w:t>
            </w:r>
          </w:p>
        </w:tc>
      </w:tr>
      <w:tr w:rsidR="00136EE8" w:rsidRPr="00235F2C" w14:paraId="5EB814F5" w14:textId="77777777" w:rsidTr="00235F2C">
        <w:trPr>
          <w:trHeight w:val="113"/>
          <w:jc w:val="center"/>
        </w:trPr>
        <w:tc>
          <w:tcPr>
            <w:tcW w:w="2903" w:type="dxa"/>
            <w:tcMar>
              <w:top w:w="40" w:type="dxa"/>
              <w:left w:w="40" w:type="dxa"/>
              <w:bottom w:w="40" w:type="dxa"/>
              <w:right w:w="40" w:type="dxa"/>
            </w:tcMar>
          </w:tcPr>
          <w:p w14:paraId="2D95C409" w14:textId="29F88825" w:rsidR="00136EE8" w:rsidRPr="00235F2C" w:rsidRDefault="00BA03C0" w:rsidP="00235F2C">
            <w:pPr>
              <w:pStyle w:val="Tabletext"/>
              <w:rPr>
                <w:rFonts w:eastAsia="Calibri"/>
              </w:rPr>
            </w:pPr>
            <w:r w:rsidRPr="00BA03C0">
              <w:rPr>
                <w:rFonts w:eastAsia="Calibri"/>
                <w:b/>
              </w:rPr>
              <w:lastRenderedPageBreak/>
              <w:t>INVESTMENT 9:</w:t>
            </w:r>
            <w:r w:rsidR="00136EE8" w:rsidRPr="00235F2C">
              <w:rPr>
                <w:rFonts w:eastAsia="Calibri"/>
              </w:rPr>
              <w:t xml:space="preserve"> Patras - Pyrgos highway</w:t>
            </w:r>
          </w:p>
        </w:tc>
        <w:tc>
          <w:tcPr>
            <w:tcW w:w="1815" w:type="dxa"/>
            <w:tcMar>
              <w:top w:w="40" w:type="dxa"/>
              <w:left w:w="40" w:type="dxa"/>
              <w:bottom w:w="40" w:type="dxa"/>
              <w:right w:w="40" w:type="dxa"/>
            </w:tcMar>
          </w:tcPr>
          <w:p w14:paraId="658E4F0E"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1F7BB85C" w14:textId="77777777" w:rsidR="00136EE8" w:rsidRPr="00235F2C" w:rsidRDefault="00136EE8" w:rsidP="00235F2C">
            <w:pPr>
              <w:pStyle w:val="Tabletext"/>
              <w:rPr>
                <w:rFonts w:eastAsia="Calibri"/>
              </w:rPr>
            </w:pPr>
            <w:r w:rsidRPr="00235F2C">
              <w:rPr>
                <w:rFonts w:eastAsia="Calibri"/>
              </w:rPr>
              <w:t>2020.CSR3.4</w:t>
            </w:r>
          </w:p>
          <w:p w14:paraId="685C66F4" w14:textId="77777777" w:rsidR="00136EE8" w:rsidRPr="00235F2C" w:rsidRDefault="00136EE8" w:rsidP="00235F2C">
            <w:pPr>
              <w:pStyle w:val="Tabletext"/>
              <w:rPr>
                <w:rFonts w:eastAsia="Calibri"/>
              </w:rPr>
            </w:pPr>
            <w:r w:rsidRPr="00235F2C">
              <w:rPr>
                <w:rFonts w:eastAsia="Calibri"/>
              </w:rPr>
              <w:t>2019.CSR2.1</w:t>
            </w:r>
          </w:p>
          <w:p w14:paraId="3BE68E0F" w14:textId="77777777" w:rsidR="00136EE8" w:rsidRPr="00235F2C" w:rsidRDefault="00136EE8" w:rsidP="00235F2C">
            <w:pPr>
              <w:pStyle w:val="Tabletext"/>
              <w:rPr>
                <w:rFonts w:eastAsia="Calibri"/>
              </w:rPr>
            </w:pPr>
            <w:r w:rsidRPr="00235F2C">
              <w:rPr>
                <w:rFonts w:eastAsia="Calibri"/>
              </w:rPr>
              <w:t>2019.CSR2.9</w:t>
            </w:r>
          </w:p>
        </w:tc>
        <w:tc>
          <w:tcPr>
            <w:tcW w:w="2119" w:type="dxa"/>
            <w:tcMar>
              <w:top w:w="40" w:type="dxa"/>
              <w:left w:w="40" w:type="dxa"/>
              <w:bottom w:w="40" w:type="dxa"/>
              <w:right w:w="40" w:type="dxa"/>
            </w:tcMar>
          </w:tcPr>
          <w:p w14:paraId="16E4B31D" w14:textId="77777777" w:rsidR="00136EE8" w:rsidRPr="00235F2C" w:rsidRDefault="00136EE8" w:rsidP="00235F2C">
            <w:pPr>
              <w:pStyle w:val="Tabletext"/>
              <w:rPr>
                <w:rFonts w:eastAsia="Calibri"/>
              </w:rPr>
            </w:pPr>
            <w:r w:rsidRPr="00235F2C">
              <w:rPr>
                <w:rFonts w:eastAsia="Calibri"/>
              </w:rPr>
              <w:t xml:space="preserve"> </w:t>
            </w:r>
          </w:p>
        </w:tc>
      </w:tr>
      <w:tr w:rsidR="00136EE8" w:rsidRPr="00235F2C" w14:paraId="1BFD2981" w14:textId="77777777" w:rsidTr="00235F2C">
        <w:trPr>
          <w:trHeight w:val="113"/>
          <w:jc w:val="center"/>
        </w:trPr>
        <w:tc>
          <w:tcPr>
            <w:tcW w:w="2903" w:type="dxa"/>
            <w:tcMar>
              <w:top w:w="40" w:type="dxa"/>
              <w:left w:w="40" w:type="dxa"/>
              <w:bottom w:w="40" w:type="dxa"/>
              <w:right w:w="40" w:type="dxa"/>
            </w:tcMar>
          </w:tcPr>
          <w:p w14:paraId="5708E866" w14:textId="42E33EEC" w:rsidR="00136EE8" w:rsidRPr="00235F2C" w:rsidRDefault="00BA03C0" w:rsidP="00235F2C">
            <w:pPr>
              <w:pStyle w:val="Tabletext"/>
              <w:rPr>
                <w:rFonts w:eastAsia="Calibri"/>
              </w:rPr>
            </w:pPr>
            <w:r w:rsidRPr="00BA03C0">
              <w:rPr>
                <w:rFonts w:eastAsia="Calibri"/>
                <w:b/>
              </w:rPr>
              <w:t>INVESTMENT 10:</w:t>
            </w:r>
            <w:r w:rsidR="00136EE8" w:rsidRPr="00235F2C">
              <w:rPr>
                <w:rFonts w:eastAsia="Calibri"/>
              </w:rPr>
              <w:t xml:space="preserve"> Construction of new railway line Nea Karvali - Toxotes</w:t>
            </w:r>
          </w:p>
        </w:tc>
        <w:tc>
          <w:tcPr>
            <w:tcW w:w="1815" w:type="dxa"/>
            <w:tcMar>
              <w:top w:w="40" w:type="dxa"/>
              <w:left w:w="40" w:type="dxa"/>
              <w:bottom w:w="40" w:type="dxa"/>
              <w:right w:w="40" w:type="dxa"/>
            </w:tcMar>
          </w:tcPr>
          <w:p w14:paraId="0BC87264" w14:textId="77777777" w:rsidR="00136EE8" w:rsidRPr="00235F2C" w:rsidRDefault="00136EE8" w:rsidP="00235F2C">
            <w:pPr>
              <w:pStyle w:val="Tabletext"/>
              <w:rPr>
                <w:rFonts w:eastAsia="Calibri"/>
              </w:rPr>
            </w:pPr>
            <w:r w:rsidRPr="00235F2C">
              <w:rPr>
                <w:rFonts w:eastAsia="Calibri"/>
              </w:rPr>
              <w:t>MFF</w:t>
            </w:r>
          </w:p>
        </w:tc>
        <w:tc>
          <w:tcPr>
            <w:tcW w:w="2235" w:type="dxa"/>
            <w:tcMar>
              <w:top w:w="40" w:type="dxa"/>
              <w:left w:w="40" w:type="dxa"/>
              <w:bottom w:w="40" w:type="dxa"/>
              <w:right w:w="40" w:type="dxa"/>
            </w:tcMar>
          </w:tcPr>
          <w:p w14:paraId="23D917EF" w14:textId="77777777" w:rsidR="00136EE8" w:rsidRPr="00235F2C" w:rsidRDefault="00136EE8" w:rsidP="00235F2C">
            <w:pPr>
              <w:pStyle w:val="Tabletext"/>
              <w:rPr>
                <w:rFonts w:eastAsia="Calibri"/>
              </w:rPr>
            </w:pPr>
            <w:r w:rsidRPr="00235F2C">
              <w:rPr>
                <w:rFonts w:eastAsia="Calibri"/>
              </w:rPr>
              <w:t>2023.CSR4.6</w:t>
            </w:r>
          </w:p>
          <w:p w14:paraId="5A77E8BD" w14:textId="77777777" w:rsidR="00136EE8" w:rsidRPr="00235F2C" w:rsidRDefault="00136EE8" w:rsidP="00235F2C">
            <w:pPr>
              <w:pStyle w:val="Tabletext"/>
              <w:rPr>
                <w:rFonts w:eastAsia="Calibri"/>
              </w:rPr>
            </w:pPr>
            <w:r w:rsidRPr="00235F2C">
              <w:rPr>
                <w:rFonts w:eastAsia="Calibri"/>
              </w:rPr>
              <w:t>2022.CSR4.6</w:t>
            </w:r>
          </w:p>
          <w:p w14:paraId="45288E59" w14:textId="77777777" w:rsidR="00136EE8" w:rsidRPr="00235F2C" w:rsidRDefault="00136EE8" w:rsidP="00235F2C">
            <w:pPr>
              <w:pStyle w:val="Tabletext"/>
              <w:rPr>
                <w:rFonts w:eastAsia="Calibri"/>
              </w:rPr>
            </w:pPr>
            <w:r w:rsidRPr="00235F2C">
              <w:rPr>
                <w:rFonts w:eastAsia="Calibri"/>
              </w:rPr>
              <w:t>2020.CSR3.4</w:t>
            </w:r>
          </w:p>
          <w:p w14:paraId="3FE9D78E" w14:textId="77777777" w:rsidR="00136EE8" w:rsidRPr="00235F2C" w:rsidRDefault="00136EE8" w:rsidP="00235F2C">
            <w:pPr>
              <w:pStyle w:val="Tabletext"/>
              <w:rPr>
                <w:rFonts w:eastAsia="Calibri"/>
              </w:rPr>
            </w:pPr>
            <w:r w:rsidRPr="00235F2C">
              <w:rPr>
                <w:rFonts w:eastAsia="Calibri"/>
              </w:rPr>
              <w:t>2019.CSR2.1</w:t>
            </w:r>
          </w:p>
          <w:p w14:paraId="08FF39A8" w14:textId="77777777" w:rsidR="00136EE8" w:rsidRPr="00235F2C" w:rsidRDefault="00136EE8" w:rsidP="00235F2C">
            <w:pPr>
              <w:pStyle w:val="Tabletext"/>
              <w:rPr>
                <w:rFonts w:eastAsia="Calibri"/>
              </w:rPr>
            </w:pPr>
            <w:r w:rsidRPr="00235F2C">
              <w:rPr>
                <w:rFonts w:eastAsia="Calibri"/>
              </w:rPr>
              <w:t>2019.CSR2.9</w:t>
            </w:r>
          </w:p>
        </w:tc>
        <w:tc>
          <w:tcPr>
            <w:tcW w:w="2119" w:type="dxa"/>
            <w:tcMar>
              <w:top w:w="40" w:type="dxa"/>
              <w:left w:w="40" w:type="dxa"/>
              <w:bottom w:w="40" w:type="dxa"/>
              <w:right w:w="40" w:type="dxa"/>
            </w:tcMar>
          </w:tcPr>
          <w:p w14:paraId="4253980E" w14:textId="77777777" w:rsidR="00136EE8" w:rsidRPr="00235F2C" w:rsidRDefault="00136EE8" w:rsidP="00235F2C">
            <w:pPr>
              <w:pStyle w:val="Tabletext"/>
              <w:rPr>
                <w:rFonts w:eastAsia="Calibri"/>
              </w:rPr>
            </w:pPr>
            <w:r w:rsidRPr="00235F2C">
              <w:rPr>
                <w:rFonts w:eastAsia="Calibri"/>
              </w:rPr>
              <w:t>Fair green &amp; digital transition</w:t>
            </w:r>
          </w:p>
        </w:tc>
      </w:tr>
    </w:tbl>
    <w:p w14:paraId="51F22049" w14:textId="20BA6E42" w:rsidR="00136EE8" w:rsidRDefault="00136EE8" w:rsidP="00DC712B">
      <w:pPr>
        <w:rPr>
          <w:rFonts w:eastAsia="Calibri"/>
        </w:rPr>
      </w:pPr>
    </w:p>
    <w:p w14:paraId="08E887BA" w14:textId="109F8285" w:rsidR="00607147" w:rsidRPr="00920844" w:rsidRDefault="00607147" w:rsidP="00920844">
      <w:pPr>
        <w:rPr>
          <w:rFonts w:eastAsia="Calibri"/>
          <w:lang w:val="en-US"/>
        </w:rPr>
      </w:pPr>
      <w:r w:rsidRPr="00920844">
        <w:rPr>
          <w:rFonts w:eastAsia="Calibri"/>
          <w:lang w:val="en-US"/>
        </w:rPr>
        <w:t>The electrification of the Greek transport system and the development of sustainable means of transportation, by replacing old buses and taxis with new electric ones, as well as providing support for the development of publicly accessible charging infrastructure across the country is promoted through the “</w:t>
      </w:r>
      <w:r w:rsidRPr="00920844">
        <w:rPr>
          <w:rFonts w:eastAsia="Calibri"/>
          <w:b/>
          <w:lang w:val="en-US"/>
        </w:rPr>
        <w:t>Electromobility”</w:t>
      </w:r>
      <w:r w:rsidRPr="00920844">
        <w:rPr>
          <w:rFonts w:eastAsia="Calibri"/>
          <w:lang w:val="en-US"/>
        </w:rPr>
        <w:t xml:space="preserve"> investment. In particular, “Green Taxis”, </w:t>
      </w:r>
      <w:r w:rsidR="00591915">
        <w:rPr>
          <w:rFonts w:eastAsia="Calibri"/>
          <w:lang w:val="en-US"/>
        </w:rPr>
        <w:t xml:space="preserve">is </w:t>
      </w:r>
      <w:r w:rsidRPr="00920844">
        <w:rPr>
          <w:rFonts w:eastAsia="Calibri"/>
          <w:lang w:val="en-US"/>
        </w:rPr>
        <w:t xml:space="preserve">a subsidy scheme for purchasing /leasing battery-electric, zero-emission, taxis with obligatory withdrawal of the old ones (Euro IV and older). Moreover, another subsidy scheme </w:t>
      </w:r>
      <w:r w:rsidRPr="00920844">
        <w:rPr>
          <w:rFonts w:eastAsia="Calibri"/>
          <w:b/>
          <w:lang w:val="en-US"/>
        </w:rPr>
        <w:t>“Charge Everywhere</w:t>
      </w:r>
      <w:r w:rsidRPr="00920844">
        <w:rPr>
          <w:rFonts w:eastAsia="Calibri"/>
          <w:lang w:val="en-US"/>
        </w:rPr>
        <w:t>” was launched in 2023 and will provide grants for the development of publicly accessible charging points across the country, focusing on strategic urban and suburban locations. The grants will cover part of the upfront investment costs, including the cost for purchasing, installing and connecting to the electricity grid, publicly available EV charging stations. The scheme focuses on supporting the rollout of high-power recharging infrastructure. The investment is expected to be completed by 2026.</w:t>
      </w:r>
    </w:p>
    <w:p w14:paraId="5BAB94AE" w14:textId="77777777" w:rsidR="00607147" w:rsidRPr="00920844" w:rsidRDefault="00607147" w:rsidP="00920844">
      <w:pPr>
        <w:rPr>
          <w:rFonts w:eastAsia="Calibri"/>
          <w:lang w:val="en-US"/>
        </w:rPr>
      </w:pPr>
      <w:r w:rsidRPr="00920844">
        <w:rPr>
          <w:rFonts w:eastAsia="Calibri"/>
          <w:lang w:val="en-US"/>
        </w:rPr>
        <w:t>Another relevant investment is the measure for "</w:t>
      </w:r>
      <w:r w:rsidRPr="00920844">
        <w:rPr>
          <w:rFonts w:eastAsia="Calibri"/>
          <w:b/>
          <w:lang w:val="en-US"/>
        </w:rPr>
        <w:t>Upgrading suburban railway of West Attica</w:t>
      </w:r>
      <w:r w:rsidRPr="00920844">
        <w:rPr>
          <w:rFonts w:eastAsia="Calibri"/>
          <w:lang w:val="en-US"/>
        </w:rPr>
        <w:t>" which aims at the construction of a new branch in the Suburban Railway from Ano Liosia to Megara, within the existing railway corridor of the old railway line towards the Peloponnese. The total length of the new Suburban Railway branch will be 36 km. The extension of the railway shall contribute to economic, social and territorial cohesion, promoting connectivity in an area where the logistics sector has significant potential. The investment is expected to be completed by 2026.</w:t>
      </w:r>
    </w:p>
    <w:p w14:paraId="6073B432" w14:textId="5C2525CE" w:rsidR="00607147" w:rsidRPr="00920844" w:rsidRDefault="00607147" w:rsidP="00920844">
      <w:pPr>
        <w:rPr>
          <w:rFonts w:eastAsia="Calibri"/>
          <w:lang w:val="en-US"/>
        </w:rPr>
      </w:pPr>
      <w:r w:rsidRPr="00920844">
        <w:rPr>
          <w:rFonts w:eastAsia="Calibri"/>
          <w:lang w:val="en-US"/>
        </w:rPr>
        <w:t>Additionally, the "</w:t>
      </w:r>
      <w:r w:rsidRPr="00920844">
        <w:rPr>
          <w:rFonts w:eastAsia="Calibri"/>
          <w:b/>
          <w:lang w:val="en-US"/>
        </w:rPr>
        <w:t>Digital Transformation of the Hellenic Railways Organization"</w:t>
      </w:r>
      <w:r w:rsidRPr="00920844">
        <w:rPr>
          <w:rFonts w:eastAsia="Calibri"/>
          <w:lang w:val="en-US"/>
        </w:rPr>
        <w:t xml:space="preserve"> constitutes a significant </w:t>
      </w:r>
      <w:r w:rsidR="00332077">
        <w:rPr>
          <w:rFonts w:eastAsia="Calibri"/>
          <w:lang w:val="en-US"/>
        </w:rPr>
        <w:t xml:space="preserve">infrastructure </w:t>
      </w:r>
      <w:r w:rsidRPr="00920844">
        <w:rPr>
          <w:rFonts w:eastAsia="Calibri"/>
          <w:lang w:val="en-US"/>
        </w:rPr>
        <w:t>investment by installing special infrastructure technology and antennas for signal transmission and continuity throughout the network, enabling open telecommunication access, meeting the operational needs of trains as well as passengers. The installation of infrastructure for high-speed internet access, as well as telematic services and smart ticketing in the train stations are among the project's objectives. This offers high-quality passenger services contributing to the EU's single market. The investment is expected to be completed by 2026.</w:t>
      </w:r>
    </w:p>
    <w:p w14:paraId="51D4CBF6" w14:textId="77777777" w:rsidR="00607147" w:rsidRPr="00920844" w:rsidRDefault="00607147" w:rsidP="00920844">
      <w:pPr>
        <w:rPr>
          <w:rFonts w:eastAsia="Calibri"/>
          <w:lang w:val="en-US"/>
        </w:rPr>
      </w:pPr>
      <w:r w:rsidRPr="00920844">
        <w:rPr>
          <w:rFonts w:eastAsia="Calibri"/>
          <w:lang w:val="en-US"/>
        </w:rPr>
        <w:t xml:space="preserve">The </w:t>
      </w:r>
      <w:r w:rsidRPr="00920844">
        <w:rPr>
          <w:rFonts w:eastAsia="Calibri"/>
          <w:b/>
          <w:lang w:val="en-US"/>
        </w:rPr>
        <w:t>“Smart bridges”</w:t>
      </w:r>
      <w:r w:rsidRPr="00920844">
        <w:rPr>
          <w:rFonts w:eastAsia="Calibri"/>
          <w:lang w:val="en-US"/>
        </w:rPr>
        <w:t xml:space="preserve"> investment will contribute to the “smart” and preventive maintenance for bridges across the country. The purpose of the project is to equip the bridges with special systems for measuring the displacement of the bridges in real time (Phase I) and with wireless </w:t>
      </w:r>
      <w:r w:rsidRPr="00920844">
        <w:rPr>
          <w:rFonts w:eastAsia="Calibri"/>
          <w:lang w:val="en-US"/>
        </w:rPr>
        <w:lastRenderedPageBreak/>
        <w:t>sensors powered by solar panels (Phase II), with the consequent improvement of the safety level of the bridges and the prevention of future accidents caused either by the passage of heavy vehicles or by climate change. The investment consists of two sub-projects: Smart Bridges – Phase I and Smart Bridges of Regions – Phase II. The Project aims to enhance the EU's single market by having an impact on both cross-border trade and cross-border cooperation between States with the improvement of the transportation network that connects the State with other Countries. The investment is expected to be completed by 2026.</w:t>
      </w:r>
    </w:p>
    <w:p w14:paraId="6BA1887D" w14:textId="182833F1" w:rsidR="00607147" w:rsidRPr="00920844" w:rsidRDefault="00607147" w:rsidP="00920844">
      <w:pPr>
        <w:rPr>
          <w:rFonts w:eastAsia="Calibri"/>
          <w:lang w:val="en-US"/>
        </w:rPr>
      </w:pPr>
      <w:r w:rsidRPr="00920844">
        <w:rPr>
          <w:rFonts w:eastAsia="Calibri"/>
          <w:lang w:val="en-US"/>
        </w:rPr>
        <w:t xml:space="preserve">In parallel with the investments above, the construction of the </w:t>
      </w:r>
      <w:r w:rsidRPr="00920844">
        <w:rPr>
          <w:rFonts w:eastAsia="Calibri"/>
          <w:b/>
          <w:lang w:val="en-US"/>
        </w:rPr>
        <w:t>Cretan Northern Highway (BOAK)</w:t>
      </w:r>
      <w:r w:rsidRPr="00920844">
        <w:rPr>
          <w:rFonts w:eastAsia="Calibri"/>
          <w:lang w:val="en-US"/>
        </w:rPr>
        <w:t xml:space="preserve"> connects the four major cities of Crete (Chania, Rethymnon, Heraklion and Agios Nikolaos) and is part of the Trans-European Transport Network (TEN-T). The investment consists of three sub-projects. Sub-project 1 comprises the segment from Chania to Heraklion, is a tolled motorway of approximately 156 km length that shall be built and operated under a concession agreement. Sub-project 2, comprises the segment from Hersonissos-Neapoli of approximately 22.4 km length that shall be built under a Public Private Partnership agreement and sub-project 3 comprises the segment Neapolis – Agios Nikolaos of approximately 14.5 km length that shall be built as a public works project. The motorway aims at improving accessibility between major cities of Crete and all major ports and airports of the island, reducing travel times, increasing level of service and road safety and enhancing regional transport activities, both for passenger and freight traffic. </w:t>
      </w:r>
    </w:p>
    <w:p w14:paraId="2EFE015F" w14:textId="77777777" w:rsidR="00607147" w:rsidRPr="00920844" w:rsidRDefault="00607147" w:rsidP="00920844">
      <w:pPr>
        <w:rPr>
          <w:rFonts w:eastAsia="Calibri"/>
          <w:lang w:val="en-US"/>
        </w:rPr>
      </w:pPr>
      <w:r w:rsidRPr="00920844">
        <w:rPr>
          <w:rFonts w:eastAsia="Calibri"/>
          <w:lang w:val="en-US"/>
        </w:rPr>
        <w:t xml:space="preserve">The project </w:t>
      </w:r>
      <w:r w:rsidRPr="00920844">
        <w:rPr>
          <w:rFonts w:eastAsia="Calibri"/>
          <w:b/>
          <w:lang w:val="en-US"/>
        </w:rPr>
        <w:t>“E65 Motorway Northern Section”</w:t>
      </w:r>
      <w:r w:rsidRPr="00920844">
        <w:rPr>
          <w:rFonts w:eastAsia="Calibri"/>
          <w:lang w:val="en-US"/>
        </w:rPr>
        <w:t xml:space="preserve"> aims at the completion of the construction (main Axis, service roads/connecting roads and ancillary works) of a 70.47 km highway connecting Trikala to Egnatia highway. The construction is divided into two subprojects: Section Trikala I/C - Grevena I/C and Section Grevena I/C - Egnatia I/C. The motorway, which shall improve connectivity between Southern Greece, Thessaly and Western Macedonia, on the one hand, and the Western Balkans and the rest of Europe (through the port of Igoumenitsa), on the other, is part of the Trans-European Transport Network (TEN-T). Therefore, the investment is crucial for the operation of the EU’s Single Market, as it contributes to cross-border trade and facilitates cross-border cooperation. The investment is expected to be completed by 2026.</w:t>
      </w:r>
    </w:p>
    <w:p w14:paraId="61876AF5" w14:textId="77777777" w:rsidR="00607147" w:rsidRPr="00920844" w:rsidRDefault="00607147" w:rsidP="00920844">
      <w:pPr>
        <w:rPr>
          <w:rFonts w:eastAsia="Calibri"/>
          <w:lang w:val="en-US"/>
        </w:rPr>
      </w:pPr>
      <w:r w:rsidRPr="00920844">
        <w:rPr>
          <w:rFonts w:eastAsia="Calibri"/>
          <w:lang w:val="en-US"/>
        </w:rPr>
        <w:t xml:space="preserve">To strengthen and improve Greece's railway network as well as to reinforce Greece's role in the logistics’ sector, the </w:t>
      </w:r>
      <w:r w:rsidRPr="00920844">
        <w:rPr>
          <w:rFonts w:eastAsia="Calibri"/>
          <w:b/>
          <w:lang w:val="en-US"/>
        </w:rPr>
        <w:t>upgrade of the existing railway line Alexandroupolis - Ormenio - Greek-Bulgarian Border</w:t>
      </w:r>
      <w:r w:rsidRPr="00920844">
        <w:rPr>
          <w:rFonts w:eastAsia="Calibri"/>
          <w:lang w:val="en-US"/>
        </w:rPr>
        <w:t xml:space="preserve">, length 175 km, to a double railway line with the installation of signaling systems with ETCS Level 1 and electrification as well as the upgrade of existing stations / stops and the construction of new ones, is being promoted. The investment will be implemented in construction phases, the 1st of which will include the works for the implementation of the single line that will be put into operation. Upon its completion, the commercial and geostrategic role of the country's linked ports will be upgraded, the cross-border railway connection with the Balkans and southeastern Europe as well as with Turkey (through Pythio) will be strengthened </w:t>
      </w:r>
      <w:r w:rsidRPr="00920844">
        <w:rPr>
          <w:rFonts w:eastAsia="Calibri"/>
          <w:lang w:val="en-US"/>
        </w:rPr>
        <w:lastRenderedPageBreak/>
        <w:t>and the country's role as a combined freight transport hub will be highlighted. The investment for the 1st construction phase is expected to be completed by the end of 2028.</w:t>
      </w:r>
    </w:p>
    <w:p w14:paraId="231F23DB" w14:textId="595D71CD" w:rsidR="00607147" w:rsidRPr="00920844" w:rsidRDefault="00607147" w:rsidP="00920844">
      <w:pPr>
        <w:rPr>
          <w:rFonts w:eastAsia="Calibri"/>
          <w:lang w:val="en-US"/>
        </w:rPr>
      </w:pPr>
      <w:r w:rsidRPr="00920844">
        <w:rPr>
          <w:rFonts w:eastAsia="Calibri"/>
          <w:lang w:val="en-US"/>
        </w:rPr>
        <w:t>An emblematic reform is the "</w:t>
      </w:r>
      <w:r w:rsidRPr="00920844">
        <w:rPr>
          <w:rFonts w:eastAsia="Calibri"/>
          <w:b/>
          <w:lang w:val="en-US"/>
        </w:rPr>
        <w:t>Organisational reform in the railway sector"</w:t>
      </w:r>
      <w:r w:rsidRPr="00920844">
        <w:rPr>
          <w:rFonts w:eastAsia="Calibri"/>
          <w:lang w:val="en-US"/>
        </w:rPr>
        <w:t>. Due to the parallel responsibilities of the three entities (OSE, ERGOSE and GAIAOSE) and the complexities in their interfaces, integrated planning, coordination, development, maintenance, and management of the railway network became overly complicated. Therefore, a new unified public entity</w:t>
      </w:r>
      <w:r w:rsidRPr="00920844">
        <w:rPr>
          <w:rFonts w:eastAsia="Calibri"/>
          <w:strike/>
          <w:lang w:val="en-US"/>
        </w:rPr>
        <w:t xml:space="preserve"> </w:t>
      </w:r>
      <w:r w:rsidRPr="00920844">
        <w:rPr>
          <w:rFonts w:eastAsia="Calibri"/>
          <w:lang w:val="en-US"/>
        </w:rPr>
        <w:t xml:space="preserve">will incorporate OSE, ERGOSE, and selected activities of GAIAOSE and will fully undertake the role, obligations and responsibilities of the railway Infrastructure Manager, as described in the European institutional framework, becoming the sole responsible entity for all studies and works in the railway network. Additionally, an entity with proven high technical and administrative experience in the management and operation of similar railway entities will be recruited, following an International Tender, as the "Technical Manager" of the "Hellenic Railways" (“New OSE”). This </w:t>
      </w:r>
      <w:r w:rsidR="00921353">
        <w:rPr>
          <w:rFonts w:eastAsia="Calibri"/>
          <w:lang w:val="en-US"/>
        </w:rPr>
        <w:t>reform</w:t>
      </w:r>
      <w:r w:rsidRPr="00920844">
        <w:rPr>
          <w:rFonts w:eastAsia="Calibri"/>
          <w:lang w:val="en-US"/>
        </w:rPr>
        <w:t xml:space="preserve"> supports the competitiveness of the Greek railway network and facilitates the development of effective European standards, contributing to the EU’s single market. The reform aims to make the Greek rail sector more safe, efficient, integrated, modern and responsive to customer demand. The reform is expected to be completed by 2026.</w:t>
      </w:r>
    </w:p>
    <w:p w14:paraId="7CAF3CC8" w14:textId="77777777" w:rsidR="00607147" w:rsidRPr="00920844" w:rsidRDefault="00607147" w:rsidP="00920844">
      <w:pPr>
        <w:rPr>
          <w:rFonts w:eastAsia="Calibri"/>
          <w:lang w:val="en-US"/>
        </w:rPr>
      </w:pPr>
      <w:r w:rsidRPr="00920844">
        <w:rPr>
          <w:rFonts w:eastAsia="Calibri"/>
          <w:lang w:val="en-US"/>
        </w:rPr>
        <w:t xml:space="preserve">Towards the enhancement of electromobility and reduction of gas emissions, Greek authorities proceeded with the implementation of the subsidy schemes under the title of </w:t>
      </w:r>
      <w:r w:rsidRPr="00920844">
        <w:rPr>
          <w:rFonts w:eastAsia="Calibri"/>
          <w:b/>
          <w:lang w:val="en-US"/>
        </w:rPr>
        <w:t xml:space="preserve">"Go Electric” </w:t>
      </w:r>
      <w:r w:rsidRPr="00920844">
        <w:rPr>
          <w:rFonts w:eastAsia="Calibri"/>
          <w:lang w:val="en-US"/>
        </w:rPr>
        <w:t>-2nd cycle and 3rd cycle. The subsidy schemes concern the purchase/leasing of electric vehicles and private chargers, with the aim of promoting electromobility and sustainable mobility. The reform (3</w:t>
      </w:r>
      <w:r w:rsidRPr="00920844">
        <w:rPr>
          <w:rFonts w:eastAsia="Calibri"/>
          <w:vertAlign w:val="superscript"/>
          <w:lang w:val="en-US"/>
        </w:rPr>
        <w:t>rd</w:t>
      </w:r>
      <w:r w:rsidRPr="00920844">
        <w:rPr>
          <w:rFonts w:eastAsia="Calibri"/>
          <w:lang w:val="en-US"/>
        </w:rPr>
        <w:t xml:space="preserve"> cycle) is expected to be completed by the end of 2025.</w:t>
      </w:r>
    </w:p>
    <w:p w14:paraId="69BBB5A5" w14:textId="77777777" w:rsidR="00607147" w:rsidRPr="00920844" w:rsidRDefault="00607147" w:rsidP="00920844">
      <w:pPr>
        <w:rPr>
          <w:rFonts w:eastAsia="Calibri"/>
          <w:lang w:val="en-US"/>
        </w:rPr>
      </w:pPr>
      <w:r w:rsidRPr="00920844">
        <w:rPr>
          <w:rFonts w:eastAsia="Calibri"/>
          <w:lang w:val="en-US"/>
        </w:rPr>
        <w:t xml:space="preserve">Another reformative measure related to Road Safety is the </w:t>
      </w:r>
      <w:r w:rsidRPr="00920844">
        <w:rPr>
          <w:rFonts w:eastAsia="Calibri"/>
          <w:b/>
          <w:lang w:val="en-US"/>
        </w:rPr>
        <w:t>“Establishment of a Metropolitan Agency for Mobility in the Region of Attica”.</w:t>
      </w:r>
      <w:r w:rsidRPr="00920844">
        <w:rPr>
          <w:rFonts w:eastAsia="Calibri"/>
          <w:lang w:val="en-US"/>
        </w:rPr>
        <w:t xml:space="preserve"> This new Agency would have a coordinating role, covering the Attica Region geographically and involving all relevant entities, with the aim of comprehensively addressing the traffic problem. The Ministry of Infrastructure and Transport will provide support service for the set up and the start of operation of the Agency. The reform is expected to be completed by the end of 2025. Accordingly, the establishment of a </w:t>
      </w:r>
      <w:r w:rsidRPr="00920844">
        <w:rPr>
          <w:rFonts w:eastAsia="Calibri"/>
          <w:b/>
          <w:lang w:val="en-US"/>
        </w:rPr>
        <w:t>Metropolitan Agency for Mobility in the Region of Thessaloniki”</w:t>
      </w:r>
      <w:r w:rsidRPr="00920844">
        <w:rPr>
          <w:rFonts w:eastAsia="Calibri"/>
          <w:lang w:val="en-US"/>
        </w:rPr>
        <w:t xml:space="preserve"> is envisaged. This new Agency would have a coordinating role, covering the region of Thessaloniki geographically and involving all relevant entities, with the aim of comprehensively addressing the traffic problem. The Ministry of Infrastructure and Transport will provide support service for the set up and the start of operation of the Agency. The reform is expected to be completed by the end of 2025.</w:t>
      </w:r>
    </w:p>
    <w:p w14:paraId="613477D8" w14:textId="77777777" w:rsidR="00607147" w:rsidRPr="00920844" w:rsidRDefault="00607147" w:rsidP="00920844">
      <w:pPr>
        <w:rPr>
          <w:rFonts w:eastAsia="Calibri"/>
          <w:lang w:val="en-US"/>
        </w:rPr>
      </w:pPr>
      <w:r w:rsidRPr="00920844">
        <w:rPr>
          <w:rFonts w:eastAsia="Calibri"/>
          <w:lang w:val="en-US"/>
        </w:rPr>
        <w:t xml:space="preserve">The construction of </w:t>
      </w:r>
      <w:r w:rsidRPr="00920844">
        <w:rPr>
          <w:rFonts w:eastAsia="Calibri"/>
          <w:b/>
          <w:lang w:val="en-US"/>
        </w:rPr>
        <w:t>the new single railway line between Nea Karvali and Toxotes and the connection of Nea Karvali Railway Stop to Kavala Freight Port (Filippos)</w:t>
      </w:r>
      <w:r w:rsidRPr="00920844">
        <w:rPr>
          <w:rFonts w:eastAsia="Calibri"/>
          <w:lang w:val="en-US"/>
        </w:rPr>
        <w:t xml:space="preserve"> will complete part of the Thessaloniki – Kavala - Alexandroupoli rail missing link along the BBA (Baltic-Black- Aegean) and Sea2Sea corridors. The investment will be implemented in construction phases, the 1st of which includes the construction of 31.80 km single track railway line from Nea Karvali to Toxotes </w:t>
      </w:r>
      <w:r w:rsidRPr="00920844">
        <w:rPr>
          <w:rFonts w:eastAsia="Calibri"/>
          <w:lang w:val="en-US"/>
        </w:rPr>
        <w:lastRenderedPageBreak/>
        <w:t>and 5.3 km single track railway line which will connect Nea Karvali Railway Stop to Kavala Freight Port, the construction of 5 railway stops/stations (2 for passengers, 2 for freight and one service station for OSE in Toxotes area). The signaling systems with ETCS Level 1 and electrification in the new line will be installed at a later phase. Upon its completion, the commercial and geostrategic role of the country's linked ports will be upgraded, the cross-border railway connection with the Balkans and southeastern Europe will be strengthened and the country's role as a combined freight transport hub will be highlighted. The investment for the 1st construction phase is expected to be completed by the end of 2028.</w:t>
      </w:r>
    </w:p>
    <w:p w14:paraId="34E691CE" w14:textId="77777777" w:rsidR="00607147" w:rsidRPr="00920844" w:rsidRDefault="00607147" w:rsidP="00920844">
      <w:pPr>
        <w:rPr>
          <w:rFonts w:eastAsia="Calibri"/>
          <w:lang w:val="en-US"/>
        </w:rPr>
      </w:pPr>
      <w:r w:rsidRPr="00920844">
        <w:rPr>
          <w:rFonts w:eastAsia="Calibri"/>
          <w:lang w:val="en-US"/>
        </w:rPr>
        <w:t xml:space="preserve">The project of the </w:t>
      </w:r>
      <w:r w:rsidRPr="00920844">
        <w:rPr>
          <w:rFonts w:eastAsia="Calibri"/>
          <w:b/>
          <w:lang w:val="en-US"/>
        </w:rPr>
        <w:t>Patras - Pyrgos highway</w:t>
      </w:r>
      <w:r w:rsidRPr="00920844">
        <w:rPr>
          <w:rFonts w:eastAsia="Calibri"/>
          <w:lang w:val="en-US"/>
        </w:rPr>
        <w:t xml:space="preserve"> concerns the financing - design - construction – operation and maintenance of the 74.5 km long Patras-Pyrgos road section (Concession Agreement) which will be done by lengthening the existing National Road (NEO) for the first 13 km while the remaining 61.5 km will be a new road construction. It will be a high standard construction which includes a design speed of 120 km/h aiming the smooth traffic flow and the improvement of road safety. The highway is part of the Trans-European highway Development Network and will improve road safety and access to the Western Peloponnese and areas of tourist and archaeological interest (Katakolon, Ancient Olympia, Kyllini, Ancient Ilida, etc.). The construction of the higway is necessary for the implementation of the Regional Spatial Planning and Sustainable Development Framework for the Western Greece and the Peloponnese (Government Paper 1470B/2003 and 1485B/2003). The construction is expected to be completed in 2025.</w:t>
      </w:r>
    </w:p>
    <w:p w14:paraId="0C745ABD" w14:textId="77777777" w:rsidR="00607147" w:rsidRPr="00920844" w:rsidRDefault="00607147" w:rsidP="00920844">
      <w:pPr>
        <w:rPr>
          <w:rFonts w:eastAsia="Calibri"/>
          <w:lang w:val="en-US"/>
        </w:rPr>
      </w:pPr>
      <w:r w:rsidRPr="00920844">
        <w:rPr>
          <w:rFonts w:eastAsia="Calibri"/>
          <w:lang w:val="en-US"/>
        </w:rPr>
        <w:t xml:space="preserve">The project of the </w:t>
      </w:r>
      <w:r w:rsidRPr="00920844">
        <w:rPr>
          <w:rFonts w:eastAsia="Calibri"/>
          <w:b/>
          <w:lang w:val="en-US"/>
        </w:rPr>
        <w:t>New Airport in Kasteli</w:t>
      </w:r>
      <w:r w:rsidRPr="00920844">
        <w:rPr>
          <w:rFonts w:eastAsia="Calibri"/>
          <w:lang w:val="en-US"/>
        </w:rPr>
        <w:t xml:space="preserve"> concerns the financing- design – construction - operation and maintenance of the New International Airport of Heraklion in Crete (Concession Agreement) which will be constructed in the area of Kasteli, in the Municipality of Minoa Pediados of Crete. According to the Concession Agreement it contains buildings, infrastructures, equipment, facilities and systems, including the road connection network within the property. The project includes the design - construction and financing of the access roads connecting the Airport to the Northern Cretan Highway (BOAK) and Southern Road Axis or Crete (NOAK). The Airport, when it opens, will replace the current operational Heraklion International Airport "N. Kazantzakis" located in the area of Alikarnassos. The new airport:</w:t>
      </w:r>
    </w:p>
    <w:p w14:paraId="66C9C266" w14:textId="1E281DE1" w:rsidR="00607147" w:rsidRPr="00920844" w:rsidRDefault="00607147" w:rsidP="00920844">
      <w:pPr>
        <w:spacing w:after="0"/>
        <w:ind w:left="567"/>
        <w:rPr>
          <w:rFonts w:eastAsia="Calibri"/>
          <w:lang w:val="en-US"/>
        </w:rPr>
      </w:pPr>
      <w:r w:rsidRPr="00920844">
        <w:rPr>
          <w:rFonts w:eastAsia="Calibri"/>
          <w:lang w:val="en-US"/>
        </w:rPr>
        <w:t>a)  aims to be the second busiest airport in Greece</w:t>
      </w:r>
      <w:r w:rsidR="008E4A8C">
        <w:rPr>
          <w:rFonts w:eastAsia="Calibri"/>
          <w:lang w:val="en-US"/>
        </w:rPr>
        <w:t>,</w:t>
      </w:r>
    </w:p>
    <w:p w14:paraId="6533B6AB" w14:textId="70E3A9B9" w:rsidR="00607147" w:rsidRPr="00920844" w:rsidRDefault="00607147" w:rsidP="00920844">
      <w:pPr>
        <w:spacing w:after="0"/>
        <w:ind w:left="567"/>
        <w:rPr>
          <w:rFonts w:eastAsia="Calibri"/>
          <w:lang w:val="en-US"/>
        </w:rPr>
      </w:pPr>
      <w:r w:rsidRPr="00920844">
        <w:rPr>
          <w:rFonts w:eastAsia="Calibri"/>
          <w:lang w:val="en-US"/>
        </w:rPr>
        <w:t>b)  will be the main tourist airport in Greece and the main gateway for tourist traffic in the country</w:t>
      </w:r>
      <w:r w:rsidR="008E4A8C">
        <w:rPr>
          <w:rFonts w:eastAsia="Calibri"/>
          <w:lang w:val="en-US"/>
        </w:rPr>
        <w:t>,</w:t>
      </w:r>
    </w:p>
    <w:p w14:paraId="0BF3A261" w14:textId="4C401937" w:rsidR="00607147" w:rsidRPr="00920844" w:rsidRDefault="00607147" w:rsidP="00920844">
      <w:pPr>
        <w:spacing w:after="0"/>
        <w:ind w:left="567"/>
        <w:rPr>
          <w:rFonts w:eastAsia="Calibri"/>
          <w:lang w:val="en-US"/>
        </w:rPr>
      </w:pPr>
      <w:r w:rsidRPr="00920844">
        <w:rPr>
          <w:rFonts w:eastAsia="Calibri"/>
          <w:lang w:val="en-US"/>
        </w:rPr>
        <w:t>c)  is the only international Greek airport to be constructed with a projected initial annual traffic of more than 8 million passengers</w:t>
      </w:r>
      <w:r w:rsidR="008E4A8C">
        <w:rPr>
          <w:rFonts w:eastAsia="Calibri"/>
          <w:lang w:val="en-US"/>
        </w:rPr>
        <w:t>,</w:t>
      </w:r>
    </w:p>
    <w:p w14:paraId="1CA91811" w14:textId="45A1B6E5" w:rsidR="00607147" w:rsidRPr="00920844" w:rsidRDefault="00607147" w:rsidP="00920844">
      <w:pPr>
        <w:spacing w:after="0"/>
        <w:ind w:left="567"/>
        <w:rPr>
          <w:rFonts w:eastAsia="Calibri"/>
          <w:lang w:val="en-US"/>
        </w:rPr>
      </w:pPr>
      <w:r w:rsidRPr="00920844">
        <w:rPr>
          <w:rFonts w:eastAsia="Calibri"/>
          <w:lang w:val="en-US"/>
        </w:rPr>
        <w:t xml:space="preserve">d)  under the above circumstances,  is a major necessity for the tourist infrastructure of Crete and the surrounded islands in general and is expected to contribute substantially to </w:t>
      </w:r>
      <w:r w:rsidRPr="00920844">
        <w:rPr>
          <w:rFonts w:eastAsia="Calibri"/>
          <w:lang w:val="en-US"/>
        </w:rPr>
        <w:lastRenderedPageBreak/>
        <w:t>the growth of the national GDP, since the country will have three international airports of high standards (Athens, Thessaloniki, Heraklion).</w:t>
      </w:r>
    </w:p>
    <w:p w14:paraId="72CE59AB" w14:textId="6B70AA56" w:rsidR="00C963A3" w:rsidRPr="00920844" w:rsidRDefault="00607147" w:rsidP="00920844">
      <w:pPr>
        <w:rPr>
          <w:rFonts w:eastAsia="Calibri"/>
          <w:lang w:val="en-US"/>
        </w:rPr>
      </w:pPr>
      <w:r w:rsidRPr="00920844">
        <w:rPr>
          <w:rFonts w:eastAsia="Calibri"/>
          <w:lang w:val="en-US"/>
        </w:rPr>
        <w:t>The construction is expected to be completed in 2027.</w:t>
      </w:r>
    </w:p>
    <w:p w14:paraId="0E2E3CF2" w14:textId="4FD7D55D" w:rsidR="00987A40" w:rsidRDefault="007753E3" w:rsidP="00B656B8">
      <w:pPr>
        <w:pStyle w:val="Heading2"/>
        <w:pBdr>
          <w:bottom w:val="single" w:sz="18" w:space="1" w:color="FF3300"/>
        </w:pBdr>
        <w:rPr>
          <w:lang w:val="en-US"/>
        </w:rPr>
      </w:pPr>
      <w:bookmarkStart w:id="70" w:name="_Toc177496807"/>
      <w:bookmarkStart w:id="71" w:name="_Toc178070109"/>
      <w:r>
        <w:rPr>
          <w:lang w:val="en-US"/>
        </w:rPr>
        <w:t>M</w:t>
      </w:r>
      <w:r w:rsidRPr="00E77D7E">
        <w:rPr>
          <w:lang w:val="en-US"/>
        </w:rPr>
        <w:t xml:space="preserve">inistry of </w:t>
      </w:r>
      <w:r>
        <w:rPr>
          <w:lang w:val="en-US"/>
        </w:rPr>
        <w:t>E</w:t>
      </w:r>
      <w:r w:rsidRPr="00E77D7E">
        <w:rPr>
          <w:lang w:val="en-US"/>
        </w:rPr>
        <w:t xml:space="preserve">nvironment and </w:t>
      </w:r>
      <w:bookmarkEnd w:id="70"/>
      <w:r>
        <w:rPr>
          <w:lang w:val="en-US"/>
        </w:rPr>
        <w:t>E</w:t>
      </w:r>
      <w:r w:rsidRPr="00E77D7E">
        <w:rPr>
          <w:lang w:val="en-US"/>
        </w:rPr>
        <w:t>nergy</w:t>
      </w:r>
      <w:bookmarkEnd w:id="71"/>
    </w:p>
    <w:p w14:paraId="26214201" w14:textId="64EDE572" w:rsidR="00136EE8" w:rsidRDefault="00136EE8" w:rsidP="00136EE8">
      <w:pPr>
        <w:rPr>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891"/>
        <w:gridCol w:w="1457"/>
        <w:gridCol w:w="1630"/>
        <w:gridCol w:w="2094"/>
      </w:tblGrid>
      <w:tr w:rsidR="00645D16" w:rsidRPr="00235F2C" w14:paraId="217CE915" w14:textId="77777777" w:rsidTr="00235F2C">
        <w:trPr>
          <w:trHeight w:val="113"/>
          <w:jc w:val="center"/>
        </w:trPr>
        <w:tc>
          <w:tcPr>
            <w:tcW w:w="4020" w:type="dxa"/>
            <w:shd w:val="clear" w:color="auto" w:fill="CFE2F3"/>
            <w:tcMar>
              <w:top w:w="0" w:type="dxa"/>
              <w:left w:w="100" w:type="dxa"/>
              <w:bottom w:w="0" w:type="dxa"/>
              <w:right w:w="100" w:type="dxa"/>
            </w:tcMar>
          </w:tcPr>
          <w:p w14:paraId="7D2723AA" w14:textId="77777777" w:rsidR="00645D16" w:rsidRPr="00235F2C" w:rsidRDefault="00645D16" w:rsidP="00235F2C">
            <w:pPr>
              <w:pStyle w:val="Tabletext"/>
              <w:rPr>
                <w:rFonts w:eastAsia="Calibri"/>
                <w:b/>
              </w:rPr>
            </w:pPr>
            <w:r w:rsidRPr="00235F2C">
              <w:rPr>
                <w:rFonts w:eastAsia="Calibri"/>
                <w:b/>
              </w:rPr>
              <w:t>REFORM / INVESTMENT</w:t>
            </w:r>
          </w:p>
        </w:tc>
        <w:tc>
          <w:tcPr>
            <w:tcW w:w="1500" w:type="dxa"/>
            <w:shd w:val="clear" w:color="auto" w:fill="CFE2F3"/>
            <w:tcMar>
              <w:top w:w="0" w:type="dxa"/>
              <w:left w:w="100" w:type="dxa"/>
              <w:bottom w:w="0" w:type="dxa"/>
              <w:right w:w="100" w:type="dxa"/>
            </w:tcMar>
          </w:tcPr>
          <w:p w14:paraId="61903082" w14:textId="77777777" w:rsidR="00645D16" w:rsidRPr="00235F2C" w:rsidRDefault="00645D16" w:rsidP="00235F2C">
            <w:pPr>
              <w:pStyle w:val="Tabletext"/>
              <w:rPr>
                <w:rFonts w:eastAsia="Calibri"/>
                <w:b/>
              </w:rPr>
            </w:pPr>
            <w:r w:rsidRPr="00235F2C">
              <w:rPr>
                <w:rFonts w:eastAsia="Calibri"/>
                <w:b/>
              </w:rPr>
              <w:t>RRF / MFF</w:t>
            </w:r>
          </w:p>
        </w:tc>
        <w:tc>
          <w:tcPr>
            <w:tcW w:w="1680" w:type="dxa"/>
            <w:shd w:val="clear" w:color="auto" w:fill="CFE2F3"/>
            <w:tcMar>
              <w:top w:w="0" w:type="dxa"/>
              <w:left w:w="100" w:type="dxa"/>
              <w:bottom w:w="0" w:type="dxa"/>
              <w:right w:w="100" w:type="dxa"/>
            </w:tcMar>
          </w:tcPr>
          <w:p w14:paraId="73A1DFE3" w14:textId="77777777" w:rsidR="00645D16" w:rsidRPr="00235F2C" w:rsidRDefault="00645D16" w:rsidP="00235F2C">
            <w:pPr>
              <w:pStyle w:val="Tabletext"/>
              <w:rPr>
                <w:rFonts w:eastAsia="Calibri"/>
                <w:b/>
              </w:rPr>
            </w:pPr>
            <w:r w:rsidRPr="00235F2C">
              <w:rPr>
                <w:rFonts w:eastAsia="Calibri"/>
                <w:b/>
              </w:rPr>
              <w:t>CSR</w:t>
            </w:r>
          </w:p>
        </w:tc>
        <w:tc>
          <w:tcPr>
            <w:tcW w:w="2160" w:type="dxa"/>
            <w:shd w:val="clear" w:color="auto" w:fill="CFE2F3"/>
            <w:tcMar>
              <w:top w:w="0" w:type="dxa"/>
              <w:left w:w="100" w:type="dxa"/>
              <w:bottom w:w="0" w:type="dxa"/>
              <w:right w:w="100" w:type="dxa"/>
            </w:tcMar>
          </w:tcPr>
          <w:p w14:paraId="2417008D" w14:textId="77777777" w:rsidR="00645D16" w:rsidRPr="00235F2C" w:rsidRDefault="00645D16" w:rsidP="00235F2C">
            <w:pPr>
              <w:pStyle w:val="Tabletext"/>
              <w:rPr>
                <w:rFonts w:eastAsia="Calibri"/>
                <w:b/>
              </w:rPr>
            </w:pPr>
            <w:r w:rsidRPr="00235F2C">
              <w:rPr>
                <w:rFonts w:eastAsia="Calibri"/>
                <w:b/>
              </w:rPr>
              <w:t>COMMON PRIORITIES</w:t>
            </w:r>
          </w:p>
        </w:tc>
      </w:tr>
      <w:tr w:rsidR="00645D16" w:rsidRPr="00235F2C" w14:paraId="7B716945" w14:textId="77777777" w:rsidTr="00235F2C">
        <w:trPr>
          <w:trHeight w:val="113"/>
          <w:jc w:val="center"/>
        </w:trPr>
        <w:tc>
          <w:tcPr>
            <w:tcW w:w="4020" w:type="dxa"/>
            <w:tcMar>
              <w:top w:w="0" w:type="dxa"/>
              <w:left w:w="100" w:type="dxa"/>
              <w:bottom w:w="0" w:type="dxa"/>
              <w:right w:w="100" w:type="dxa"/>
            </w:tcMar>
          </w:tcPr>
          <w:p w14:paraId="50068586" w14:textId="08AA5110" w:rsidR="00645D16" w:rsidRPr="00235F2C" w:rsidRDefault="00BA03C0" w:rsidP="00235F2C">
            <w:pPr>
              <w:pStyle w:val="Tabletext"/>
              <w:rPr>
                <w:rFonts w:eastAsia="Calibri"/>
              </w:rPr>
            </w:pPr>
            <w:r w:rsidRPr="00BA03C0">
              <w:rPr>
                <w:rFonts w:eastAsia="Calibri"/>
                <w:b/>
              </w:rPr>
              <w:t>REFORM 1:</w:t>
            </w:r>
            <w:r w:rsidR="00645D16" w:rsidRPr="00235F2C">
              <w:rPr>
                <w:rFonts w:eastAsia="Calibri"/>
              </w:rPr>
              <w:t xml:space="preserve"> Optimisation of land and sea space usage for the development of RES and offshore wind energy development</w:t>
            </w:r>
          </w:p>
        </w:tc>
        <w:tc>
          <w:tcPr>
            <w:tcW w:w="1500" w:type="dxa"/>
            <w:tcMar>
              <w:top w:w="0" w:type="dxa"/>
              <w:left w:w="100" w:type="dxa"/>
              <w:bottom w:w="0" w:type="dxa"/>
              <w:right w:w="100" w:type="dxa"/>
            </w:tcMar>
          </w:tcPr>
          <w:p w14:paraId="253D36AE" w14:textId="77777777" w:rsidR="00645D16" w:rsidRPr="00235F2C" w:rsidRDefault="00645D16" w:rsidP="00235F2C">
            <w:pPr>
              <w:pStyle w:val="Tabletext"/>
              <w:rPr>
                <w:rFonts w:eastAsia="Calibri"/>
              </w:rPr>
            </w:pPr>
            <w:r w:rsidRPr="00235F2C">
              <w:rPr>
                <w:rFonts w:eastAsia="Calibri"/>
              </w:rPr>
              <w:t>RRF 16989</w:t>
            </w:r>
          </w:p>
        </w:tc>
        <w:tc>
          <w:tcPr>
            <w:tcW w:w="1680" w:type="dxa"/>
            <w:tcMar>
              <w:top w:w="0" w:type="dxa"/>
              <w:left w:w="100" w:type="dxa"/>
              <w:bottom w:w="0" w:type="dxa"/>
              <w:right w:w="100" w:type="dxa"/>
            </w:tcMar>
          </w:tcPr>
          <w:p w14:paraId="38677240" w14:textId="28C4F89D" w:rsidR="00645D16" w:rsidRPr="00235F2C" w:rsidRDefault="00645D16" w:rsidP="00C963A3">
            <w:pPr>
              <w:pStyle w:val="Tabletext"/>
              <w:spacing w:line="23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2022 CSR 4.1</w:t>
            </w:r>
            <w:r w:rsidRPr="00235F2C">
              <w:rPr>
                <w:rFonts w:eastAsia="Calibri"/>
              </w:rPr>
              <w:br/>
              <w:t>2022 CSR 4.2</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7396CE33"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0D2101DF" w14:textId="77777777" w:rsidTr="00235F2C">
        <w:trPr>
          <w:trHeight w:val="113"/>
          <w:jc w:val="center"/>
        </w:trPr>
        <w:tc>
          <w:tcPr>
            <w:tcW w:w="4020" w:type="dxa"/>
            <w:tcMar>
              <w:top w:w="0" w:type="dxa"/>
              <w:left w:w="100" w:type="dxa"/>
              <w:bottom w:w="0" w:type="dxa"/>
              <w:right w:w="100" w:type="dxa"/>
            </w:tcMar>
          </w:tcPr>
          <w:p w14:paraId="48E067E3" w14:textId="191EFF2C" w:rsidR="00645D16" w:rsidRPr="00235F2C" w:rsidRDefault="00BA03C0" w:rsidP="00235F2C">
            <w:pPr>
              <w:pStyle w:val="Tabletext"/>
              <w:rPr>
                <w:rFonts w:eastAsia="Calibri"/>
              </w:rPr>
            </w:pPr>
            <w:r w:rsidRPr="00BA03C0">
              <w:rPr>
                <w:rFonts w:eastAsia="Calibri"/>
                <w:b/>
              </w:rPr>
              <w:t>REFORM 2:</w:t>
            </w:r>
            <w:r w:rsidR="00645D16" w:rsidRPr="00235F2C">
              <w:rPr>
                <w:rFonts w:eastAsia="Calibri"/>
              </w:rPr>
              <w:t xml:space="preserve"> Regulatory framework towards a smart grid</w:t>
            </w:r>
          </w:p>
        </w:tc>
        <w:tc>
          <w:tcPr>
            <w:tcW w:w="1500" w:type="dxa"/>
            <w:tcMar>
              <w:top w:w="0" w:type="dxa"/>
              <w:left w:w="100" w:type="dxa"/>
              <w:bottom w:w="0" w:type="dxa"/>
              <w:right w:w="100" w:type="dxa"/>
            </w:tcMar>
          </w:tcPr>
          <w:p w14:paraId="63FE57FD" w14:textId="77777777" w:rsidR="00645D16" w:rsidRPr="00235F2C" w:rsidRDefault="00645D16" w:rsidP="00235F2C">
            <w:pPr>
              <w:pStyle w:val="Tabletext"/>
              <w:rPr>
                <w:rFonts w:eastAsia="Calibri"/>
              </w:rPr>
            </w:pPr>
            <w:r w:rsidRPr="00235F2C">
              <w:rPr>
                <w:rFonts w:eastAsia="Calibri"/>
              </w:rPr>
              <w:t>RRF 16991</w:t>
            </w:r>
          </w:p>
        </w:tc>
        <w:tc>
          <w:tcPr>
            <w:tcW w:w="1680" w:type="dxa"/>
            <w:tcMar>
              <w:top w:w="0" w:type="dxa"/>
              <w:left w:w="100" w:type="dxa"/>
              <w:bottom w:w="0" w:type="dxa"/>
              <w:right w:w="100" w:type="dxa"/>
            </w:tcMar>
          </w:tcPr>
          <w:p w14:paraId="2F826DA9" w14:textId="5DD74F18" w:rsidR="00645D16" w:rsidRPr="00235F2C" w:rsidRDefault="00645D16" w:rsidP="00C963A3">
            <w:pPr>
              <w:pStyle w:val="Tabletext"/>
              <w:spacing w:line="230" w:lineRule="exact"/>
              <w:rPr>
                <w:rFonts w:eastAsia="Calibri"/>
              </w:rPr>
            </w:pPr>
            <w:r w:rsidRPr="00235F2C">
              <w:rPr>
                <w:rFonts w:eastAsia="Calibri"/>
              </w:rPr>
              <w:t>2023 CSR 4.3</w:t>
            </w:r>
            <w:r w:rsidRPr="00235F2C">
              <w:rPr>
                <w:rFonts w:eastAsia="Calibri"/>
              </w:rPr>
              <w:br/>
              <w:t>2023 CSR 4.4</w:t>
            </w:r>
            <w:r w:rsidRPr="00235F2C">
              <w:rPr>
                <w:rFonts w:eastAsia="Calibri"/>
              </w:rPr>
              <w:br/>
              <w:t>2022 CSR 4.1</w:t>
            </w:r>
            <w:r w:rsidRPr="00235F2C">
              <w:rPr>
                <w:rFonts w:eastAsia="Calibri"/>
              </w:rPr>
              <w:br/>
              <w:t>2022 CSR 4.2</w:t>
            </w:r>
            <w:r w:rsidRPr="00235F2C">
              <w:rPr>
                <w:rFonts w:eastAsia="Calibri"/>
              </w:rPr>
              <w:br/>
              <w:t>2022 CSR 4.4</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39B5C3B0"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740E9EDA" w14:textId="77777777" w:rsidTr="00235F2C">
        <w:trPr>
          <w:trHeight w:val="113"/>
          <w:jc w:val="center"/>
        </w:trPr>
        <w:tc>
          <w:tcPr>
            <w:tcW w:w="4020" w:type="dxa"/>
            <w:tcMar>
              <w:top w:w="0" w:type="dxa"/>
              <w:left w:w="100" w:type="dxa"/>
              <w:bottom w:w="0" w:type="dxa"/>
              <w:right w:w="100" w:type="dxa"/>
            </w:tcMar>
          </w:tcPr>
          <w:p w14:paraId="46516DB3" w14:textId="6FA3D360" w:rsidR="00645D16" w:rsidRPr="00235F2C" w:rsidRDefault="00BA03C0" w:rsidP="00235F2C">
            <w:pPr>
              <w:pStyle w:val="Tabletext"/>
              <w:rPr>
                <w:rFonts w:eastAsia="Calibri"/>
              </w:rPr>
            </w:pPr>
            <w:r w:rsidRPr="00BA03C0">
              <w:rPr>
                <w:rFonts w:eastAsia="Calibri"/>
                <w:b/>
              </w:rPr>
              <w:t>REFORM 3:</w:t>
            </w:r>
            <w:r w:rsidR="00645D16" w:rsidRPr="00235F2C">
              <w:rPr>
                <w:rFonts w:eastAsia="Calibri"/>
              </w:rPr>
              <w:t xml:space="preserve"> Toolset to promote energy sharing, self-consumption and renewable Energy Communities</w:t>
            </w:r>
          </w:p>
        </w:tc>
        <w:tc>
          <w:tcPr>
            <w:tcW w:w="1500" w:type="dxa"/>
            <w:tcMar>
              <w:top w:w="0" w:type="dxa"/>
              <w:left w:w="100" w:type="dxa"/>
              <w:bottom w:w="0" w:type="dxa"/>
              <w:right w:w="100" w:type="dxa"/>
            </w:tcMar>
          </w:tcPr>
          <w:p w14:paraId="3CEA53E1" w14:textId="77777777" w:rsidR="00645D16" w:rsidRPr="00235F2C" w:rsidRDefault="00645D16" w:rsidP="00235F2C">
            <w:pPr>
              <w:pStyle w:val="Tabletext"/>
              <w:rPr>
                <w:rFonts w:eastAsia="Calibri"/>
              </w:rPr>
            </w:pPr>
            <w:r w:rsidRPr="00235F2C">
              <w:rPr>
                <w:rFonts w:eastAsia="Calibri"/>
              </w:rPr>
              <w:t>RRF 16992</w:t>
            </w:r>
          </w:p>
        </w:tc>
        <w:tc>
          <w:tcPr>
            <w:tcW w:w="1680" w:type="dxa"/>
            <w:tcMar>
              <w:top w:w="0" w:type="dxa"/>
              <w:left w:w="100" w:type="dxa"/>
              <w:bottom w:w="0" w:type="dxa"/>
              <w:right w:w="100" w:type="dxa"/>
            </w:tcMar>
          </w:tcPr>
          <w:p w14:paraId="04A0AF24" w14:textId="0D87323E" w:rsidR="00645D16" w:rsidRPr="00235F2C" w:rsidRDefault="00645D16" w:rsidP="00C963A3">
            <w:pPr>
              <w:pStyle w:val="Tabletext"/>
              <w:spacing w:line="230" w:lineRule="exact"/>
              <w:rPr>
                <w:rFonts w:eastAsia="Calibri"/>
              </w:rPr>
            </w:pPr>
            <w:r w:rsidRPr="00235F2C">
              <w:rPr>
                <w:rFonts w:eastAsia="Calibri"/>
              </w:rPr>
              <w:t>2023 CSR 4.1</w:t>
            </w:r>
            <w:r w:rsidRPr="00235F2C">
              <w:rPr>
                <w:rFonts w:eastAsia="Calibri"/>
              </w:rPr>
              <w:br/>
              <w:t>2023 CSR 4.3</w:t>
            </w:r>
            <w:r w:rsidRPr="00235F2C">
              <w:rPr>
                <w:rFonts w:eastAsia="Calibri"/>
              </w:rPr>
              <w:br/>
              <w:t>2022 CSR 4.1</w:t>
            </w:r>
            <w:r w:rsidRPr="00235F2C">
              <w:rPr>
                <w:rFonts w:eastAsia="Calibri"/>
              </w:rPr>
              <w:br/>
              <w:t>2022 CSR 4.2</w:t>
            </w:r>
            <w:r w:rsidRPr="00235F2C">
              <w:rPr>
                <w:rFonts w:eastAsia="Calibri"/>
              </w:rPr>
              <w:br/>
              <w:t>2022 CSR 4.4</w:t>
            </w:r>
            <w:r w:rsidRPr="00235F2C">
              <w:rPr>
                <w:rFonts w:eastAsia="Calibri"/>
              </w:rPr>
              <w:br/>
              <w:t>2022 CSR 4.5</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236BA7BC"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553CEB88" w14:textId="77777777" w:rsidTr="00235F2C">
        <w:trPr>
          <w:trHeight w:val="113"/>
          <w:jc w:val="center"/>
        </w:trPr>
        <w:tc>
          <w:tcPr>
            <w:tcW w:w="4020" w:type="dxa"/>
            <w:tcMar>
              <w:top w:w="0" w:type="dxa"/>
              <w:left w:w="100" w:type="dxa"/>
              <w:bottom w:w="0" w:type="dxa"/>
              <w:right w:w="100" w:type="dxa"/>
            </w:tcMar>
          </w:tcPr>
          <w:p w14:paraId="6FF0FCF1" w14:textId="1B1CD24B" w:rsidR="00645D16" w:rsidRPr="00235F2C" w:rsidRDefault="00BA03C0" w:rsidP="00235F2C">
            <w:pPr>
              <w:pStyle w:val="Tabletext"/>
              <w:rPr>
                <w:rFonts w:eastAsia="Calibri"/>
              </w:rPr>
            </w:pPr>
            <w:r w:rsidRPr="00BA03C0">
              <w:rPr>
                <w:rFonts w:eastAsia="Calibri"/>
                <w:b/>
              </w:rPr>
              <w:t>REFORM 4:</w:t>
            </w:r>
            <w:r w:rsidR="00645D16" w:rsidRPr="00235F2C">
              <w:rPr>
                <w:rFonts w:eastAsia="Calibri"/>
              </w:rPr>
              <w:t xml:space="preserve"> Roadmap for innovative energy efficiency interventions and identification of new financial instruments</w:t>
            </w:r>
          </w:p>
        </w:tc>
        <w:tc>
          <w:tcPr>
            <w:tcW w:w="1500" w:type="dxa"/>
            <w:tcMar>
              <w:top w:w="0" w:type="dxa"/>
              <w:left w:w="100" w:type="dxa"/>
              <w:bottom w:w="0" w:type="dxa"/>
              <w:right w:w="100" w:type="dxa"/>
            </w:tcMar>
          </w:tcPr>
          <w:p w14:paraId="0B248B30" w14:textId="77777777" w:rsidR="00645D16" w:rsidRPr="00235F2C" w:rsidRDefault="00645D16" w:rsidP="00235F2C">
            <w:pPr>
              <w:pStyle w:val="Tabletext"/>
              <w:rPr>
                <w:rFonts w:eastAsia="Calibri"/>
              </w:rPr>
            </w:pPr>
            <w:r w:rsidRPr="00235F2C">
              <w:rPr>
                <w:rFonts w:eastAsia="Calibri"/>
              </w:rPr>
              <w:t>RRF 16993</w:t>
            </w:r>
          </w:p>
        </w:tc>
        <w:tc>
          <w:tcPr>
            <w:tcW w:w="1680" w:type="dxa"/>
            <w:tcMar>
              <w:top w:w="0" w:type="dxa"/>
              <w:left w:w="100" w:type="dxa"/>
              <w:bottom w:w="0" w:type="dxa"/>
              <w:right w:w="100" w:type="dxa"/>
            </w:tcMar>
          </w:tcPr>
          <w:p w14:paraId="13FC57A1" w14:textId="3FE6885D" w:rsidR="00645D16" w:rsidRPr="00235F2C" w:rsidRDefault="00645D16" w:rsidP="00C963A3">
            <w:pPr>
              <w:pStyle w:val="Tabletext"/>
              <w:spacing w:line="230" w:lineRule="exact"/>
              <w:rPr>
                <w:rFonts w:eastAsia="Calibri"/>
              </w:rPr>
            </w:pPr>
            <w:r w:rsidRPr="00235F2C">
              <w:rPr>
                <w:rFonts w:eastAsia="Calibri"/>
              </w:rPr>
              <w:t>2023 CSR 4.1</w:t>
            </w:r>
            <w:r w:rsidRPr="00235F2C">
              <w:rPr>
                <w:rFonts w:eastAsia="Calibri"/>
              </w:rPr>
              <w:br/>
              <w:t>2023 CSR 4.4</w:t>
            </w:r>
            <w:r w:rsidRPr="00235F2C">
              <w:rPr>
                <w:rFonts w:eastAsia="Calibri"/>
              </w:rPr>
              <w:br/>
              <w:t>2022 CSR 4.1</w:t>
            </w:r>
            <w:r w:rsidRPr="00235F2C">
              <w:rPr>
                <w:rFonts w:eastAsia="Calibri"/>
              </w:rPr>
              <w:br/>
              <w:t>2022 CSR 4.4</w:t>
            </w:r>
            <w:r w:rsidRPr="00235F2C">
              <w:rPr>
                <w:rFonts w:eastAsia="Calibri"/>
              </w:rPr>
              <w:br/>
              <w:t>2022 CSR 4.5</w:t>
            </w:r>
            <w:r w:rsidRPr="00235F2C">
              <w:rPr>
                <w:rFonts w:eastAsia="Calibri"/>
              </w:rPr>
              <w:br/>
              <w:t>2020 CSR 3.4</w:t>
            </w:r>
            <w:r w:rsidRPr="00235F2C">
              <w:rPr>
                <w:rFonts w:eastAsia="Calibri"/>
              </w:rPr>
              <w:br/>
              <w:t>2019 CSR 2.2</w:t>
            </w:r>
          </w:p>
        </w:tc>
        <w:tc>
          <w:tcPr>
            <w:tcW w:w="2160" w:type="dxa"/>
            <w:tcMar>
              <w:top w:w="0" w:type="dxa"/>
              <w:left w:w="100" w:type="dxa"/>
              <w:bottom w:w="0" w:type="dxa"/>
              <w:right w:w="100" w:type="dxa"/>
            </w:tcMar>
          </w:tcPr>
          <w:p w14:paraId="52BA6EE3"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396ECE37" w14:textId="77777777" w:rsidTr="00235F2C">
        <w:trPr>
          <w:trHeight w:val="113"/>
          <w:jc w:val="center"/>
        </w:trPr>
        <w:tc>
          <w:tcPr>
            <w:tcW w:w="4020" w:type="dxa"/>
            <w:tcMar>
              <w:top w:w="0" w:type="dxa"/>
              <w:left w:w="100" w:type="dxa"/>
              <w:bottom w:w="0" w:type="dxa"/>
              <w:right w:w="100" w:type="dxa"/>
            </w:tcMar>
          </w:tcPr>
          <w:p w14:paraId="1D249DEB" w14:textId="3576932D" w:rsidR="00645D16" w:rsidRPr="00235F2C" w:rsidRDefault="00BA03C0" w:rsidP="00235F2C">
            <w:pPr>
              <w:pStyle w:val="Tabletext"/>
              <w:rPr>
                <w:rFonts w:eastAsia="Calibri"/>
              </w:rPr>
            </w:pPr>
            <w:r w:rsidRPr="00BA03C0">
              <w:rPr>
                <w:rFonts w:eastAsia="Calibri"/>
                <w:b/>
              </w:rPr>
              <w:t>REFORM 5:</w:t>
            </w:r>
            <w:r w:rsidR="00645D16" w:rsidRPr="00235F2C">
              <w:rPr>
                <w:rFonts w:eastAsia="Calibri"/>
              </w:rPr>
              <w:t xml:space="preserve"> Grid and storage capacity – fostering of storage investments</w:t>
            </w:r>
          </w:p>
        </w:tc>
        <w:tc>
          <w:tcPr>
            <w:tcW w:w="1500" w:type="dxa"/>
            <w:tcMar>
              <w:top w:w="0" w:type="dxa"/>
              <w:left w:w="100" w:type="dxa"/>
              <w:bottom w:w="0" w:type="dxa"/>
              <w:right w:w="100" w:type="dxa"/>
            </w:tcMar>
          </w:tcPr>
          <w:p w14:paraId="20CB0E39" w14:textId="77777777" w:rsidR="00645D16" w:rsidRPr="00235F2C" w:rsidRDefault="00645D16" w:rsidP="00235F2C">
            <w:pPr>
              <w:pStyle w:val="Tabletext"/>
              <w:rPr>
                <w:rFonts w:eastAsia="Calibri"/>
              </w:rPr>
            </w:pPr>
            <w:r w:rsidRPr="00235F2C">
              <w:rPr>
                <w:rFonts w:eastAsia="Calibri"/>
              </w:rPr>
              <w:t>RRF 16990</w:t>
            </w:r>
          </w:p>
        </w:tc>
        <w:tc>
          <w:tcPr>
            <w:tcW w:w="1680" w:type="dxa"/>
            <w:tcMar>
              <w:top w:w="0" w:type="dxa"/>
              <w:left w:w="100" w:type="dxa"/>
              <w:bottom w:w="0" w:type="dxa"/>
              <w:right w:w="100" w:type="dxa"/>
            </w:tcMar>
          </w:tcPr>
          <w:p w14:paraId="28ED6FFC" w14:textId="12A974AF" w:rsidR="00645D16" w:rsidRPr="00235F2C" w:rsidRDefault="00645D16" w:rsidP="00C963A3">
            <w:pPr>
              <w:pStyle w:val="Tabletext"/>
              <w:spacing w:line="23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2022 CSR 4.1</w:t>
            </w:r>
            <w:r w:rsidRPr="00235F2C">
              <w:rPr>
                <w:rFonts w:eastAsia="Calibri"/>
              </w:rPr>
              <w:br/>
              <w:t>2022 CSR 4.2</w:t>
            </w:r>
            <w:r w:rsidRPr="00235F2C">
              <w:rPr>
                <w:rFonts w:eastAsia="Calibri"/>
              </w:rPr>
              <w:br/>
              <w:t>2022 CSR 4.3</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37EDD0C4"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35270484" w14:textId="77777777" w:rsidTr="00235F2C">
        <w:trPr>
          <w:trHeight w:val="113"/>
          <w:jc w:val="center"/>
        </w:trPr>
        <w:tc>
          <w:tcPr>
            <w:tcW w:w="4020" w:type="dxa"/>
            <w:tcMar>
              <w:top w:w="0" w:type="dxa"/>
              <w:left w:w="100" w:type="dxa"/>
              <w:bottom w:w="0" w:type="dxa"/>
              <w:right w:w="100" w:type="dxa"/>
            </w:tcMar>
          </w:tcPr>
          <w:p w14:paraId="6AE9D3BE" w14:textId="2D29ABE0" w:rsidR="00645D16" w:rsidRPr="00235F2C" w:rsidRDefault="00BA03C0" w:rsidP="00235F2C">
            <w:pPr>
              <w:pStyle w:val="Tabletext"/>
              <w:rPr>
                <w:rFonts w:eastAsia="Calibri"/>
              </w:rPr>
            </w:pPr>
            <w:r w:rsidRPr="00BA03C0">
              <w:rPr>
                <w:rFonts w:eastAsia="Calibri"/>
                <w:b/>
              </w:rPr>
              <w:t>REFORM 6:</w:t>
            </w:r>
            <w:r w:rsidR="00645D16" w:rsidRPr="00235F2C">
              <w:rPr>
                <w:rFonts w:eastAsia="Calibri"/>
              </w:rPr>
              <w:t xml:space="preserve"> Restructuring and enhancement of the Renewable Energy Sources-Combined Heat and Power (RES-CHP) Account revenues</w:t>
            </w:r>
          </w:p>
        </w:tc>
        <w:tc>
          <w:tcPr>
            <w:tcW w:w="1500" w:type="dxa"/>
            <w:tcMar>
              <w:top w:w="0" w:type="dxa"/>
              <w:left w:w="100" w:type="dxa"/>
              <w:bottom w:w="0" w:type="dxa"/>
              <w:right w:w="100" w:type="dxa"/>
            </w:tcMar>
          </w:tcPr>
          <w:p w14:paraId="276D0FF8" w14:textId="77777777" w:rsidR="00645D16" w:rsidRPr="00235F2C" w:rsidRDefault="00645D16" w:rsidP="00235F2C">
            <w:pPr>
              <w:pStyle w:val="Tabletext"/>
              <w:rPr>
                <w:rFonts w:eastAsia="Calibri"/>
              </w:rPr>
            </w:pPr>
            <w:r w:rsidRPr="00235F2C">
              <w:rPr>
                <w:rFonts w:eastAsia="Calibri"/>
              </w:rPr>
              <w:t>RRF 16865</w:t>
            </w:r>
          </w:p>
        </w:tc>
        <w:tc>
          <w:tcPr>
            <w:tcW w:w="1680" w:type="dxa"/>
            <w:tcMar>
              <w:top w:w="0" w:type="dxa"/>
              <w:left w:w="100" w:type="dxa"/>
              <w:bottom w:w="0" w:type="dxa"/>
              <w:right w:w="100" w:type="dxa"/>
            </w:tcMar>
          </w:tcPr>
          <w:p w14:paraId="1E0A5EF5" w14:textId="12891053" w:rsidR="00645D16" w:rsidRPr="00235F2C" w:rsidRDefault="00645D16" w:rsidP="00C963A3">
            <w:pPr>
              <w:pStyle w:val="Tabletext"/>
              <w:spacing w:line="23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2022 CSR 4.1</w:t>
            </w:r>
            <w:r w:rsidRPr="00235F2C">
              <w:rPr>
                <w:rFonts w:eastAsia="Calibri"/>
              </w:rPr>
              <w:br/>
              <w:t>2022 CSR 4.2</w:t>
            </w:r>
            <w:r w:rsidRPr="00235F2C">
              <w:rPr>
                <w:rFonts w:eastAsia="Calibri"/>
              </w:rPr>
              <w:br/>
              <w:t>2020 CSR 1.1</w:t>
            </w:r>
            <w:r w:rsidRPr="00235F2C">
              <w:rPr>
                <w:rFonts w:eastAsia="Calibri"/>
              </w:rPr>
              <w:br/>
              <w:t>2020 CSR 3.3</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0EE9A9E2"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7667889E" w14:textId="77777777" w:rsidTr="00235F2C">
        <w:trPr>
          <w:trHeight w:val="113"/>
          <w:jc w:val="center"/>
        </w:trPr>
        <w:tc>
          <w:tcPr>
            <w:tcW w:w="4020" w:type="dxa"/>
            <w:tcMar>
              <w:top w:w="0" w:type="dxa"/>
              <w:left w:w="100" w:type="dxa"/>
              <w:bottom w:w="0" w:type="dxa"/>
              <w:right w:w="100" w:type="dxa"/>
            </w:tcMar>
          </w:tcPr>
          <w:p w14:paraId="34E50562" w14:textId="781C2F57" w:rsidR="00645D16" w:rsidRPr="00235F2C" w:rsidRDefault="00996F8A" w:rsidP="00235F2C">
            <w:pPr>
              <w:pStyle w:val="Tabletext"/>
              <w:rPr>
                <w:rFonts w:eastAsia="Calibri"/>
              </w:rPr>
            </w:pPr>
            <w:r w:rsidRPr="00996F8A">
              <w:rPr>
                <w:rFonts w:eastAsia="Calibri"/>
                <w:b/>
              </w:rPr>
              <w:lastRenderedPageBreak/>
              <w:t>REFORM 7:</w:t>
            </w:r>
            <w:r w:rsidR="00645D16" w:rsidRPr="00235F2C">
              <w:rPr>
                <w:rFonts w:eastAsia="Calibri"/>
              </w:rPr>
              <w:t xml:space="preserve"> Establishment of new special spatial planning framework for renewable energy, industry, tourism and aquaculture</w:t>
            </w:r>
          </w:p>
        </w:tc>
        <w:tc>
          <w:tcPr>
            <w:tcW w:w="1500" w:type="dxa"/>
            <w:tcMar>
              <w:top w:w="0" w:type="dxa"/>
              <w:left w:w="100" w:type="dxa"/>
              <w:bottom w:w="0" w:type="dxa"/>
              <w:right w:w="100" w:type="dxa"/>
            </w:tcMar>
          </w:tcPr>
          <w:p w14:paraId="510C5ABD" w14:textId="77777777" w:rsidR="00645D16" w:rsidRPr="00235F2C" w:rsidRDefault="00645D16" w:rsidP="00235F2C">
            <w:pPr>
              <w:pStyle w:val="Tabletext"/>
              <w:rPr>
                <w:rFonts w:eastAsia="Calibri"/>
              </w:rPr>
            </w:pPr>
            <w:r w:rsidRPr="00235F2C">
              <w:rPr>
                <w:rFonts w:eastAsia="Calibri"/>
              </w:rPr>
              <w:t>RRF 16894 /</w:t>
            </w:r>
            <w:r w:rsidRPr="00235F2C">
              <w:rPr>
                <w:rFonts w:eastAsia="Calibri"/>
              </w:rPr>
              <w:br/>
              <w:t xml:space="preserve"> MFF</w:t>
            </w:r>
          </w:p>
        </w:tc>
        <w:tc>
          <w:tcPr>
            <w:tcW w:w="1680" w:type="dxa"/>
            <w:tcMar>
              <w:top w:w="0" w:type="dxa"/>
              <w:left w:w="100" w:type="dxa"/>
              <w:bottom w:w="0" w:type="dxa"/>
              <w:right w:w="100" w:type="dxa"/>
            </w:tcMar>
          </w:tcPr>
          <w:p w14:paraId="6201F234" w14:textId="34FC75C9" w:rsidR="00645D16" w:rsidRPr="00235F2C" w:rsidRDefault="00645D16" w:rsidP="00151993">
            <w:pPr>
              <w:pStyle w:val="Tabletext"/>
              <w:spacing w:line="220" w:lineRule="exact"/>
              <w:rPr>
                <w:rFonts w:eastAsia="Calibri"/>
              </w:rPr>
            </w:pPr>
            <w:r w:rsidRPr="00235F2C">
              <w:rPr>
                <w:rFonts w:eastAsia="Calibri"/>
              </w:rPr>
              <w:t>2024 CSR 2.1</w:t>
            </w:r>
            <w:r w:rsidRPr="00235F2C">
              <w:rPr>
                <w:rFonts w:eastAsia="Calibri"/>
              </w:rPr>
              <w:br/>
              <w:t>2024 CSR 3.3</w:t>
            </w:r>
            <w:r w:rsidRPr="00235F2C">
              <w:rPr>
                <w:rFonts w:eastAsia="Calibri"/>
              </w:rPr>
              <w:br/>
              <w:t>2022 CSR 4.1</w:t>
            </w:r>
            <w:r w:rsidRPr="00235F2C">
              <w:rPr>
                <w:rFonts w:eastAsia="Calibri"/>
              </w:rPr>
              <w:br/>
              <w:t>2022 CSR 4.2</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7FB5A428"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466E4EC6" w14:textId="77777777" w:rsidTr="00235F2C">
        <w:trPr>
          <w:trHeight w:val="113"/>
          <w:jc w:val="center"/>
        </w:trPr>
        <w:tc>
          <w:tcPr>
            <w:tcW w:w="4020" w:type="dxa"/>
            <w:tcMar>
              <w:top w:w="0" w:type="dxa"/>
              <w:left w:w="100" w:type="dxa"/>
              <w:bottom w:w="0" w:type="dxa"/>
              <w:right w:w="100" w:type="dxa"/>
            </w:tcMar>
          </w:tcPr>
          <w:p w14:paraId="7CF0F96D" w14:textId="5228E788" w:rsidR="00645D16" w:rsidRPr="00235F2C" w:rsidRDefault="00BA03C0" w:rsidP="00235F2C">
            <w:pPr>
              <w:pStyle w:val="Tabletext"/>
              <w:rPr>
                <w:rFonts w:eastAsia="Calibri"/>
              </w:rPr>
            </w:pPr>
            <w:r w:rsidRPr="00BA03C0">
              <w:rPr>
                <w:rFonts w:eastAsia="Calibri"/>
                <w:b/>
              </w:rPr>
              <w:t>REFORM 8:</w:t>
            </w:r>
            <w:r w:rsidR="00645D16" w:rsidRPr="00235F2C">
              <w:rPr>
                <w:rFonts w:eastAsia="Calibri"/>
              </w:rPr>
              <w:t xml:space="preserve"> Preparation of Urban Plans in implementation of the urban policy reform</w:t>
            </w:r>
          </w:p>
        </w:tc>
        <w:tc>
          <w:tcPr>
            <w:tcW w:w="1500" w:type="dxa"/>
            <w:tcMar>
              <w:top w:w="0" w:type="dxa"/>
              <w:left w:w="100" w:type="dxa"/>
              <w:bottom w:w="0" w:type="dxa"/>
              <w:right w:w="100" w:type="dxa"/>
            </w:tcMar>
          </w:tcPr>
          <w:p w14:paraId="439DB752" w14:textId="77777777" w:rsidR="00645D16" w:rsidRPr="00235F2C" w:rsidRDefault="00645D16" w:rsidP="00235F2C">
            <w:pPr>
              <w:pStyle w:val="Tabletext"/>
              <w:rPr>
                <w:rFonts w:eastAsia="Calibri"/>
              </w:rPr>
            </w:pPr>
            <w:r w:rsidRPr="00235F2C">
              <w:rPr>
                <w:rFonts w:eastAsia="Calibri"/>
              </w:rPr>
              <w:t>RRF 16879</w:t>
            </w:r>
          </w:p>
        </w:tc>
        <w:tc>
          <w:tcPr>
            <w:tcW w:w="1680" w:type="dxa"/>
            <w:tcMar>
              <w:top w:w="0" w:type="dxa"/>
              <w:left w:w="100" w:type="dxa"/>
              <w:bottom w:w="0" w:type="dxa"/>
              <w:right w:w="100" w:type="dxa"/>
            </w:tcMar>
          </w:tcPr>
          <w:p w14:paraId="148E8DD9" w14:textId="543F7D3B" w:rsidR="00645D16" w:rsidRPr="00235F2C" w:rsidRDefault="00645D16" w:rsidP="00151993">
            <w:pPr>
              <w:pStyle w:val="Tabletext"/>
              <w:spacing w:line="220" w:lineRule="exact"/>
              <w:rPr>
                <w:rFonts w:eastAsia="Calibri"/>
              </w:rPr>
            </w:pPr>
            <w:r w:rsidRPr="00235F2C">
              <w:rPr>
                <w:rFonts w:eastAsia="Calibri"/>
              </w:rPr>
              <w:t>2024 CSR 2.1</w:t>
            </w:r>
            <w:r w:rsidRPr="00235F2C">
              <w:rPr>
                <w:rFonts w:eastAsia="Calibri"/>
              </w:rPr>
              <w:br/>
              <w:t>2019 CSR 2.9</w:t>
            </w:r>
          </w:p>
        </w:tc>
        <w:tc>
          <w:tcPr>
            <w:tcW w:w="2160" w:type="dxa"/>
            <w:tcMar>
              <w:top w:w="0" w:type="dxa"/>
              <w:left w:w="100" w:type="dxa"/>
              <w:bottom w:w="0" w:type="dxa"/>
              <w:right w:w="100" w:type="dxa"/>
            </w:tcMar>
          </w:tcPr>
          <w:p w14:paraId="3BE47521"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785F90E9" w14:textId="77777777" w:rsidTr="00235F2C">
        <w:trPr>
          <w:trHeight w:val="113"/>
          <w:jc w:val="center"/>
        </w:trPr>
        <w:tc>
          <w:tcPr>
            <w:tcW w:w="4020" w:type="dxa"/>
            <w:tcMar>
              <w:top w:w="0" w:type="dxa"/>
              <w:left w:w="100" w:type="dxa"/>
              <w:bottom w:w="0" w:type="dxa"/>
              <w:right w:w="100" w:type="dxa"/>
            </w:tcMar>
          </w:tcPr>
          <w:p w14:paraId="10D0EF54" w14:textId="3FFBE22D" w:rsidR="00645D16" w:rsidRPr="00235F2C" w:rsidRDefault="00996F8A" w:rsidP="00235F2C">
            <w:pPr>
              <w:pStyle w:val="Tabletext"/>
              <w:rPr>
                <w:rFonts w:eastAsia="Calibri"/>
                <w:highlight w:val="white"/>
              </w:rPr>
            </w:pPr>
            <w:r w:rsidRPr="00996F8A">
              <w:rPr>
                <w:rFonts w:eastAsia="Calibri"/>
                <w:b/>
              </w:rPr>
              <w:t>REFORM 9:</w:t>
            </w:r>
            <w:r w:rsidR="00645D16" w:rsidRPr="00235F2C">
              <w:rPr>
                <w:rFonts w:eastAsia="Calibri"/>
                <w:highlight w:val="white"/>
              </w:rPr>
              <w:t xml:space="preserve"> Establishment of Decarbonization Fund for the Greek islands and utilization of its resources.</w:t>
            </w:r>
          </w:p>
        </w:tc>
        <w:tc>
          <w:tcPr>
            <w:tcW w:w="1500" w:type="dxa"/>
            <w:tcMar>
              <w:top w:w="0" w:type="dxa"/>
              <w:left w:w="100" w:type="dxa"/>
              <w:bottom w:w="0" w:type="dxa"/>
              <w:right w:w="100" w:type="dxa"/>
            </w:tcMar>
          </w:tcPr>
          <w:p w14:paraId="3A7A247C" w14:textId="77777777" w:rsidR="00645D16" w:rsidRPr="00235F2C" w:rsidRDefault="00645D16" w:rsidP="00235F2C">
            <w:pPr>
              <w:pStyle w:val="Tabletext"/>
              <w:rPr>
                <w:rFonts w:eastAsia="Calibri"/>
                <w:highlight w:val="white"/>
              </w:rPr>
            </w:pPr>
            <w:r w:rsidRPr="00235F2C">
              <w:rPr>
                <w:rFonts w:eastAsia="Calibri"/>
                <w:highlight w:val="white"/>
              </w:rPr>
              <w:t>-</w:t>
            </w:r>
          </w:p>
        </w:tc>
        <w:tc>
          <w:tcPr>
            <w:tcW w:w="1680" w:type="dxa"/>
            <w:tcMar>
              <w:top w:w="0" w:type="dxa"/>
              <w:left w:w="100" w:type="dxa"/>
              <w:bottom w:w="0" w:type="dxa"/>
              <w:right w:w="100" w:type="dxa"/>
            </w:tcMar>
          </w:tcPr>
          <w:p w14:paraId="7AD68102"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2023 CSR 4.2</w:t>
            </w:r>
          </w:p>
        </w:tc>
        <w:tc>
          <w:tcPr>
            <w:tcW w:w="2160" w:type="dxa"/>
            <w:tcMar>
              <w:top w:w="0" w:type="dxa"/>
              <w:left w:w="100" w:type="dxa"/>
              <w:bottom w:w="0" w:type="dxa"/>
              <w:right w:w="100" w:type="dxa"/>
            </w:tcMar>
          </w:tcPr>
          <w:p w14:paraId="1220335F" w14:textId="77777777" w:rsidR="00645D16" w:rsidRPr="00235F2C" w:rsidRDefault="00645D16" w:rsidP="00235F2C">
            <w:pPr>
              <w:pStyle w:val="Tabletext"/>
              <w:rPr>
                <w:rFonts w:eastAsia="Calibri"/>
                <w:highlight w:val="white"/>
              </w:rPr>
            </w:pPr>
            <w:r w:rsidRPr="00235F2C">
              <w:rPr>
                <w:rFonts w:eastAsia="Calibri"/>
                <w:highlight w:val="white"/>
              </w:rPr>
              <w:t>Fair green &amp; digital transition</w:t>
            </w:r>
          </w:p>
        </w:tc>
      </w:tr>
      <w:tr w:rsidR="00645D16" w:rsidRPr="00235F2C" w14:paraId="75F7D1B2" w14:textId="77777777" w:rsidTr="00235F2C">
        <w:trPr>
          <w:trHeight w:val="113"/>
          <w:jc w:val="center"/>
        </w:trPr>
        <w:tc>
          <w:tcPr>
            <w:tcW w:w="4020" w:type="dxa"/>
            <w:tcMar>
              <w:top w:w="0" w:type="dxa"/>
              <w:left w:w="100" w:type="dxa"/>
              <w:bottom w:w="0" w:type="dxa"/>
              <w:right w:w="100" w:type="dxa"/>
            </w:tcMar>
          </w:tcPr>
          <w:p w14:paraId="05472CD7" w14:textId="30A2B097" w:rsidR="00645D16" w:rsidRPr="00235F2C" w:rsidRDefault="00BA03C0" w:rsidP="00235F2C">
            <w:pPr>
              <w:pStyle w:val="Tabletext"/>
              <w:rPr>
                <w:rFonts w:eastAsia="Calibri"/>
                <w:highlight w:val="white"/>
              </w:rPr>
            </w:pPr>
            <w:r w:rsidRPr="00BA03C0">
              <w:rPr>
                <w:rFonts w:eastAsia="Calibri"/>
                <w:b/>
              </w:rPr>
              <w:t>REFORM 10:</w:t>
            </w:r>
            <w:r w:rsidR="00645D16" w:rsidRPr="00235F2C">
              <w:rPr>
                <w:rFonts w:eastAsia="Calibri"/>
                <w:highlight w:val="white"/>
              </w:rPr>
              <w:t xml:space="preserve"> Licensing framework for renewable hydrogen and sustainable biomethane</w:t>
            </w:r>
          </w:p>
          <w:p w14:paraId="168FE0B1" w14:textId="77777777" w:rsidR="00645D16" w:rsidRPr="00235F2C" w:rsidRDefault="00645D16" w:rsidP="00235F2C">
            <w:pPr>
              <w:pStyle w:val="Tabletext"/>
              <w:rPr>
                <w:rFonts w:eastAsia="Calibri"/>
                <w:highlight w:val="white"/>
              </w:rPr>
            </w:pPr>
            <w:r w:rsidRPr="00235F2C">
              <w:rPr>
                <w:rFonts w:eastAsia="Calibri"/>
                <w:highlight w:val="white"/>
              </w:rPr>
              <w:t xml:space="preserve"> </w:t>
            </w:r>
          </w:p>
          <w:p w14:paraId="28AB9CB3" w14:textId="77777777" w:rsidR="00645D16" w:rsidRPr="00235F2C" w:rsidRDefault="00645D16" w:rsidP="00235F2C">
            <w:pPr>
              <w:pStyle w:val="Tabletext"/>
              <w:rPr>
                <w:rFonts w:eastAsia="Calibri"/>
                <w:highlight w:val="white"/>
              </w:rPr>
            </w:pPr>
            <w:r w:rsidRPr="00235F2C">
              <w:rPr>
                <w:rFonts w:eastAsia="Calibri"/>
                <w:highlight w:val="white"/>
              </w:rPr>
              <w:t xml:space="preserve"> </w:t>
            </w:r>
          </w:p>
        </w:tc>
        <w:tc>
          <w:tcPr>
            <w:tcW w:w="1500" w:type="dxa"/>
            <w:tcMar>
              <w:top w:w="0" w:type="dxa"/>
              <w:left w:w="100" w:type="dxa"/>
              <w:bottom w:w="0" w:type="dxa"/>
              <w:right w:w="100" w:type="dxa"/>
            </w:tcMar>
          </w:tcPr>
          <w:p w14:paraId="5AA753EB" w14:textId="77777777" w:rsidR="00645D16" w:rsidRPr="00235F2C" w:rsidRDefault="00645D16" w:rsidP="00235F2C">
            <w:pPr>
              <w:pStyle w:val="Tabletext"/>
              <w:rPr>
                <w:rFonts w:eastAsia="Calibri"/>
                <w:highlight w:val="white"/>
              </w:rPr>
            </w:pPr>
            <w:r w:rsidRPr="00235F2C">
              <w:rPr>
                <w:rFonts w:eastAsia="Calibri"/>
                <w:highlight w:val="white"/>
              </w:rPr>
              <w:t>RRF 16987</w:t>
            </w:r>
          </w:p>
        </w:tc>
        <w:tc>
          <w:tcPr>
            <w:tcW w:w="1680" w:type="dxa"/>
            <w:tcMar>
              <w:top w:w="0" w:type="dxa"/>
              <w:left w:w="100" w:type="dxa"/>
              <w:bottom w:w="0" w:type="dxa"/>
              <w:right w:w="100" w:type="dxa"/>
            </w:tcMar>
          </w:tcPr>
          <w:p w14:paraId="604B56DB"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2024 CSR2.1</w:t>
            </w:r>
          </w:p>
          <w:p w14:paraId="454FEC65"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2023 CSR4.1</w:t>
            </w:r>
          </w:p>
          <w:p w14:paraId="262CBA8E"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2023 CSR4.3</w:t>
            </w:r>
          </w:p>
          <w:p w14:paraId="1CFDA797"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2022 CSR4.1</w:t>
            </w:r>
          </w:p>
          <w:p w14:paraId="4A1302B4"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2022 CSR4.2</w:t>
            </w:r>
          </w:p>
          <w:p w14:paraId="565B8BBB"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2020 CSR3.5</w:t>
            </w:r>
          </w:p>
          <w:p w14:paraId="110C64B2"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2019 CSR2.2</w:t>
            </w:r>
          </w:p>
        </w:tc>
        <w:tc>
          <w:tcPr>
            <w:tcW w:w="2160" w:type="dxa"/>
            <w:tcMar>
              <w:top w:w="0" w:type="dxa"/>
              <w:left w:w="100" w:type="dxa"/>
              <w:bottom w:w="0" w:type="dxa"/>
              <w:right w:w="100" w:type="dxa"/>
            </w:tcMar>
          </w:tcPr>
          <w:p w14:paraId="237FB963" w14:textId="77777777" w:rsidR="00645D16" w:rsidRPr="00235F2C" w:rsidRDefault="00645D16" w:rsidP="00235F2C">
            <w:pPr>
              <w:pStyle w:val="Tabletext"/>
              <w:rPr>
                <w:rFonts w:eastAsia="Calibri"/>
                <w:highlight w:val="white"/>
              </w:rPr>
            </w:pPr>
            <w:r w:rsidRPr="00235F2C">
              <w:rPr>
                <w:rFonts w:eastAsia="Calibri"/>
                <w:highlight w:val="white"/>
              </w:rPr>
              <w:t>Fair green &amp; digital transition</w:t>
            </w:r>
          </w:p>
        </w:tc>
      </w:tr>
      <w:tr w:rsidR="00645D16" w:rsidRPr="00235F2C" w14:paraId="7C2953AF" w14:textId="77777777" w:rsidTr="00235F2C">
        <w:trPr>
          <w:trHeight w:val="113"/>
          <w:jc w:val="center"/>
        </w:trPr>
        <w:tc>
          <w:tcPr>
            <w:tcW w:w="4020" w:type="dxa"/>
            <w:tcMar>
              <w:top w:w="0" w:type="dxa"/>
              <w:left w:w="100" w:type="dxa"/>
              <w:bottom w:w="0" w:type="dxa"/>
              <w:right w:w="100" w:type="dxa"/>
            </w:tcMar>
          </w:tcPr>
          <w:p w14:paraId="3F34857C" w14:textId="319EC9E5" w:rsidR="00645D16" w:rsidRPr="00235F2C" w:rsidRDefault="00BA03C0" w:rsidP="00235F2C">
            <w:pPr>
              <w:pStyle w:val="Tabletext"/>
              <w:rPr>
                <w:rFonts w:eastAsia="Calibri"/>
                <w:highlight w:val="white"/>
              </w:rPr>
            </w:pPr>
            <w:r w:rsidRPr="00BA03C0">
              <w:rPr>
                <w:rFonts w:eastAsia="Calibri"/>
                <w:b/>
              </w:rPr>
              <w:t>REFORM 11:</w:t>
            </w:r>
            <w:r w:rsidR="00645D16" w:rsidRPr="00235F2C">
              <w:rPr>
                <w:rFonts w:eastAsia="Calibri"/>
                <w:highlight w:val="white"/>
              </w:rPr>
              <w:t xml:space="preserve"> Regulatory and market operation framework for carbon capture, usage, and storage technologies to foster industry decarbonisation</w:t>
            </w:r>
          </w:p>
        </w:tc>
        <w:tc>
          <w:tcPr>
            <w:tcW w:w="1500" w:type="dxa"/>
            <w:tcMar>
              <w:top w:w="0" w:type="dxa"/>
              <w:left w:w="100" w:type="dxa"/>
              <w:bottom w:w="0" w:type="dxa"/>
              <w:right w:w="100" w:type="dxa"/>
            </w:tcMar>
          </w:tcPr>
          <w:p w14:paraId="5CF1CE92" w14:textId="77777777" w:rsidR="00645D16" w:rsidRPr="00235F2C" w:rsidRDefault="00645D16" w:rsidP="00235F2C">
            <w:pPr>
              <w:pStyle w:val="Tabletext"/>
              <w:rPr>
                <w:rFonts w:eastAsia="Calibri"/>
                <w:highlight w:val="white"/>
              </w:rPr>
            </w:pPr>
            <w:r w:rsidRPr="00235F2C">
              <w:rPr>
                <w:rFonts w:eastAsia="Calibri"/>
                <w:highlight w:val="white"/>
              </w:rPr>
              <w:t>RRF 16988</w:t>
            </w:r>
          </w:p>
        </w:tc>
        <w:tc>
          <w:tcPr>
            <w:tcW w:w="1680" w:type="dxa"/>
            <w:tcMar>
              <w:top w:w="0" w:type="dxa"/>
              <w:left w:w="100" w:type="dxa"/>
              <w:bottom w:w="0" w:type="dxa"/>
              <w:right w:w="100" w:type="dxa"/>
            </w:tcMar>
          </w:tcPr>
          <w:p w14:paraId="438E9FCA"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2024 CSR2.1</w:t>
            </w:r>
          </w:p>
          <w:p w14:paraId="5194DFAC"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2023 CSR4.1</w:t>
            </w:r>
          </w:p>
          <w:p w14:paraId="5755BAC6"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2020 CSR3.5</w:t>
            </w:r>
          </w:p>
          <w:p w14:paraId="0EEB3059"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2019 CSR2.2</w:t>
            </w:r>
          </w:p>
        </w:tc>
        <w:tc>
          <w:tcPr>
            <w:tcW w:w="2160" w:type="dxa"/>
            <w:tcMar>
              <w:top w:w="0" w:type="dxa"/>
              <w:left w:w="100" w:type="dxa"/>
              <w:bottom w:w="0" w:type="dxa"/>
              <w:right w:w="100" w:type="dxa"/>
            </w:tcMar>
          </w:tcPr>
          <w:p w14:paraId="6FAA87D1" w14:textId="77777777" w:rsidR="00645D16" w:rsidRPr="00235F2C" w:rsidRDefault="00645D16" w:rsidP="00235F2C">
            <w:pPr>
              <w:pStyle w:val="Tabletext"/>
              <w:rPr>
                <w:rFonts w:eastAsia="Calibri"/>
                <w:highlight w:val="white"/>
              </w:rPr>
            </w:pPr>
            <w:r w:rsidRPr="00235F2C">
              <w:rPr>
                <w:rFonts w:eastAsia="Calibri"/>
                <w:highlight w:val="white"/>
              </w:rPr>
              <w:t>Fair green &amp; digital transition</w:t>
            </w:r>
          </w:p>
        </w:tc>
      </w:tr>
      <w:tr w:rsidR="00645D16" w:rsidRPr="00235F2C" w14:paraId="507D7748" w14:textId="77777777" w:rsidTr="00235F2C">
        <w:trPr>
          <w:trHeight w:val="113"/>
          <w:jc w:val="center"/>
        </w:trPr>
        <w:tc>
          <w:tcPr>
            <w:tcW w:w="4020" w:type="dxa"/>
            <w:tcMar>
              <w:top w:w="0" w:type="dxa"/>
              <w:left w:w="100" w:type="dxa"/>
              <w:bottom w:w="0" w:type="dxa"/>
              <w:right w:w="100" w:type="dxa"/>
            </w:tcMar>
          </w:tcPr>
          <w:p w14:paraId="587C5D07" w14:textId="213B633B" w:rsidR="00645D16" w:rsidRPr="00235F2C" w:rsidRDefault="00BA03C0" w:rsidP="00235F2C">
            <w:pPr>
              <w:pStyle w:val="Tabletext"/>
              <w:rPr>
                <w:rFonts w:eastAsia="Calibri"/>
                <w:highlight w:val="white"/>
              </w:rPr>
            </w:pPr>
            <w:r w:rsidRPr="00BA03C0">
              <w:rPr>
                <w:rFonts w:eastAsia="Calibri"/>
                <w:b/>
              </w:rPr>
              <w:t>REFORM 12:</w:t>
            </w:r>
            <w:r w:rsidR="00645D16" w:rsidRPr="00235F2C">
              <w:rPr>
                <w:rFonts w:eastAsia="Calibri"/>
                <w:highlight w:val="white"/>
              </w:rPr>
              <w:t xml:space="preserve"> Establishment of Thesally Water Management Organisation</w:t>
            </w:r>
          </w:p>
        </w:tc>
        <w:tc>
          <w:tcPr>
            <w:tcW w:w="1500" w:type="dxa"/>
            <w:tcMar>
              <w:top w:w="0" w:type="dxa"/>
              <w:left w:w="100" w:type="dxa"/>
              <w:bottom w:w="0" w:type="dxa"/>
              <w:right w:w="100" w:type="dxa"/>
            </w:tcMar>
          </w:tcPr>
          <w:p w14:paraId="3609CA82" w14:textId="77777777" w:rsidR="00645D16" w:rsidRPr="00235F2C" w:rsidRDefault="00645D16" w:rsidP="00235F2C">
            <w:pPr>
              <w:pStyle w:val="Tabletext"/>
              <w:rPr>
                <w:rFonts w:eastAsia="Calibri"/>
                <w:highlight w:val="white"/>
              </w:rPr>
            </w:pPr>
            <w:r w:rsidRPr="00235F2C">
              <w:rPr>
                <w:rFonts w:eastAsia="Calibri"/>
                <w:highlight w:val="white"/>
              </w:rPr>
              <w:t xml:space="preserve"> </w:t>
            </w:r>
          </w:p>
        </w:tc>
        <w:tc>
          <w:tcPr>
            <w:tcW w:w="1680" w:type="dxa"/>
            <w:tcMar>
              <w:top w:w="0" w:type="dxa"/>
              <w:left w:w="100" w:type="dxa"/>
              <w:bottom w:w="0" w:type="dxa"/>
              <w:right w:w="100" w:type="dxa"/>
            </w:tcMar>
          </w:tcPr>
          <w:p w14:paraId="30AAA575"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2024 CSR4.2</w:t>
            </w:r>
          </w:p>
          <w:p w14:paraId="1D9A573E"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 xml:space="preserve"> </w:t>
            </w:r>
          </w:p>
        </w:tc>
        <w:tc>
          <w:tcPr>
            <w:tcW w:w="2160" w:type="dxa"/>
            <w:tcMar>
              <w:top w:w="0" w:type="dxa"/>
              <w:left w:w="100" w:type="dxa"/>
              <w:bottom w:w="0" w:type="dxa"/>
              <w:right w:w="100" w:type="dxa"/>
            </w:tcMar>
          </w:tcPr>
          <w:p w14:paraId="4511A1EA" w14:textId="77777777" w:rsidR="00645D16" w:rsidRPr="00235F2C" w:rsidRDefault="00645D16" w:rsidP="00235F2C">
            <w:pPr>
              <w:pStyle w:val="Tabletext"/>
              <w:rPr>
                <w:rFonts w:eastAsia="Calibri"/>
                <w:highlight w:val="white"/>
              </w:rPr>
            </w:pPr>
            <w:r w:rsidRPr="00235F2C">
              <w:rPr>
                <w:rFonts w:eastAsia="Calibri"/>
                <w:highlight w:val="white"/>
              </w:rPr>
              <w:t>Fair green &amp; digital transition</w:t>
            </w:r>
          </w:p>
        </w:tc>
      </w:tr>
      <w:tr w:rsidR="00645D16" w:rsidRPr="00235F2C" w14:paraId="58C6B584" w14:textId="77777777" w:rsidTr="00235F2C">
        <w:trPr>
          <w:trHeight w:val="113"/>
          <w:jc w:val="center"/>
        </w:trPr>
        <w:tc>
          <w:tcPr>
            <w:tcW w:w="4020" w:type="dxa"/>
            <w:tcMar>
              <w:top w:w="0" w:type="dxa"/>
              <w:left w:w="100" w:type="dxa"/>
              <w:bottom w:w="0" w:type="dxa"/>
              <w:right w:w="100" w:type="dxa"/>
            </w:tcMar>
          </w:tcPr>
          <w:p w14:paraId="7855E6DC" w14:textId="5238F946" w:rsidR="00645D16" w:rsidRPr="00235F2C" w:rsidRDefault="00BA03C0" w:rsidP="00235F2C">
            <w:pPr>
              <w:pStyle w:val="Tabletext"/>
              <w:rPr>
                <w:rFonts w:eastAsia="Calibri"/>
              </w:rPr>
            </w:pPr>
            <w:r w:rsidRPr="00BA03C0">
              <w:rPr>
                <w:rFonts w:eastAsia="Calibri"/>
                <w:b/>
              </w:rPr>
              <w:t>REFORM 13:</w:t>
            </w:r>
            <w:r w:rsidR="00645D16" w:rsidRPr="00235F2C">
              <w:rPr>
                <w:rFonts w:eastAsia="Calibri"/>
              </w:rPr>
              <w:t xml:space="preserve"> Restructuring of the municipal water service providers</w:t>
            </w:r>
          </w:p>
        </w:tc>
        <w:tc>
          <w:tcPr>
            <w:tcW w:w="1500" w:type="dxa"/>
            <w:tcMar>
              <w:top w:w="0" w:type="dxa"/>
              <w:left w:w="100" w:type="dxa"/>
              <w:bottom w:w="0" w:type="dxa"/>
              <w:right w:w="100" w:type="dxa"/>
            </w:tcMar>
          </w:tcPr>
          <w:p w14:paraId="128680BC" w14:textId="77777777" w:rsidR="00645D16" w:rsidRPr="00235F2C" w:rsidRDefault="00645D16" w:rsidP="00235F2C">
            <w:pPr>
              <w:pStyle w:val="Tabletext"/>
              <w:rPr>
                <w:rFonts w:eastAsia="Calibri"/>
                <w:highlight w:val="white"/>
              </w:rPr>
            </w:pPr>
            <w:r w:rsidRPr="00235F2C">
              <w:rPr>
                <w:rFonts w:eastAsia="Calibri"/>
                <w:highlight w:val="white"/>
              </w:rPr>
              <w:t xml:space="preserve"> </w:t>
            </w:r>
          </w:p>
        </w:tc>
        <w:tc>
          <w:tcPr>
            <w:tcW w:w="1680" w:type="dxa"/>
            <w:tcMar>
              <w:top w:w="0" w:type="dxa"/>
              <w:left w:w="100" w:type="dxa"/>
              <w:bottom w:w="0" w:type="dxa"/>
              <w:right w:w="100" w:type="dxa"/>
            </w:tcMar>
          </w:tcPr>
          <w:p w14:paraId="4D0554AF" w14:textId="77777777" w:rsidR="00645D16" w:rsidRPr="00235F2C" w:rsidRDefault="00645D16" w:rsidP="00151993">
            <w:pPr>
              <w:pStyle w:val="Tabletext"/>
              <w:spacing w:line="220" w:lineRule="exact"/>
              <w:rPr>
                <w:rFonts w:eastAsia="Calibri"/>
                <w:highlight w:val="white"/>
              </w:rPr>
            </w:pPr>
            <w:r w:rsidRPr="00235F2C">
              <w:rPr>
                <w:rFonts w:eastAsia="Calibri"/>
                <w:highlight w:val="white"/>
              </w:rPr>
              <w:t xml:space="preserve"> </w:t>
            </w:r>
          </w:p>
        </w:tc>
        <w:tc>
          <w:tcPr>
            <w:tcW w:w="2160" w:type="dxa"/>
            <w:tcMar>
              <w:top w:w="0" w:type="dxa"/>
              <w:left w:w="100" w:type="dxa"/>
              <w:bottom w:w="0" w:type="dxa"/>
              <w:right w:w="100" w:type="dxa"/>
            </w:tcMar>
          </w:tcPr>
          <w:p w14:paraId="608E93BD" w14:textId="77777777" w:rsidR="00645D16" w:rsidRPr="00235F2C" w:rsidRDefault="00645D16" w:rsidP="00235F2C">
            <w:pPr>
              <w:pStyle w:val="Tabletext"/>
              <w:rPr>
                <w:rFonts w:eastAsia="Calibri"/>
                <w:highlight w:val="white"/>
              </w:rPr>
            </w:pPr>
            <w:r w:rsidRPr="00235F2C">
              <w:rPr>
                <w:rFonts w:eastAsia="Calibri"/>
                <w:highlight w:val="white"/>
              </w:rPr>
              <w:t>Fair green &amp; digital transition</w:t>
            </w:r>
          </w:p>
        </w:tc>
      </w:tr>
      <w:tr w:rsidR="00645D16" w:rsidRPr="00235F2C" w14:paraId="07DF2A08" w14:textId="77777777" w:rsidTr="00235F2C">
        <w:trPr>
          <w:trHeight w:val="113"/>
          <w:jc w:val="center"/>
        </w:trPr>
        <w:tc>
          <w:tcPr>
            <w:tcW w:w="4020" w:type="dxa"/>
            <w:tcMar>
              <w:top w:w="0" w:type="dxa"/>
              <w:left w:w="100" w:type="dxa"/>
              <w:bottom w:w="0" w:type="dxa"/>
              <w:right w:w="100" w:type="dxa"/>
            </w:tcMar>
          </w:tcPr>
          <w:p w14:paraId="5A2E6C75" w14:textId="5801BA42" w:rsidR="00645D16" w:rsidRPr="00235F2C" w:rsidRDefault="00BA03C0" w:rsidP="00235F2C">
            <w:pPr>
              <w:pStyle w:val="Tabletext"/>
              <w:rPr>
                <w:rFonts w:eastAsia="Calibri"/>
              </w:rPr>
            </w:pPr>
            <w:r w:rsidRPr="00BA03C0">
              <w:rPr>
                <w:rFonts w:eastAsia="Calibri"/>
                <w:b/>
              </w:rPr>
              <w:t>INVESTMENT 1:</w:t>
            </w:r>
            <w:r w:rsidR="00645D16" w:rsidRPr="00235F2C">
              <w:rPr>
                <w:rFonts w:eastAsia="Calibri"/>
              </w:rPr>
              <w:t xml:space="preserve"> Energy renovation on residential buildings</w:t>
            </w:r>
          </w:p>
        </w:tc>
        <w:tc>
          <w:tcPr>
            <w:tcW w:w="1500" w:type="dxa"/>
            <w:tcMar>
              <w:top w:w="0" w:type="dxa"/>
              <w:left w:w="100" w:type="dxa"/>
              <w:bottom w:w="0" w:type="dxa"/>
              <w:right w:w="100" w:type="dxa"/>
            </w:tcMar>
          </w:tcPr>
          <w:p w14:paraId="4203A6BC" w14:textId="77777777" w:rsidR="00645D16" w:rsidRPr="00235F2C" w:rsidRDefault="00645D16" w:rsidP="00235F2C">
            <w:pPr>
              <w:pStyle w:val="Tabletext"/>
              <w:rPr>
                <w:rFonts w:eastAsia="Calibri"/>
              </w:rPr>
            </w:pPr>
            <w:r w:rsidRPr="00235F2C">
              <w:rPr>
                <w:rFonts w:eastAsia="Calibri"/>
              </w:rPr>
              <w:t>RRF 16872/ MFF</w:t>
            </w:r>
          </w:p>
        </w:tc>
        <w:tc>
          <w:tcPr>
            <w:tcW w:w="1680" w:type="dxa"/>
            <w:tcMar>
              <w:top w:w="0" w:type="dxa"/>
              <w:left w:w="100" w:type="dxa"/>
              <w:bottom w:w="0" w:type="dxa"/>
              <w:right w:w="100" w:type="dxa"/>
            </w:tcMar>
          </w:tcPr>
          <w:p w14:paraId="21205929" w14:textId="38CDC632" w:rsidR="00645D16" w:rsidRPr="00235F2C" w:rsidRDefault="00645D16" w:rsidP="00151993">
            <w:pPr>
              <w:pStyle w:val="Tabletext"/>
              <w:spacing w:line="220" w:lineRule="exact"/>
              <w:rPr>
                <w:rFonts w:eastAsia="Calibri"/>
              </w:rPr>
            </w:pPr>
            <w:r w:rsidRPr="00235F2C">
              <w:rPr>
                <w:rFonts w:eastAsia="Calibri"/>
              </w:rPr>
              <w:t>2023 CSR 4.1</w:t>
            </w:r>
            <w:r w:rsidRPr="00235F2C">
              <w:rPr>
                <w:rFonts w:eastAsia="Calibri"/>
              </w:rPr>
              <w:br/>
              <w:t>2023 CSR 4.4</w:t>
            </w:r>
            <w:r w:rsidRPr="00235F2C">
              <w:rPr>
                <w:rFonts w:eastAsia="Calibri"/>
              </w:rPr>
              <w:br/>
              <w:t>2022 CSR 4.5</w:t>
            </w:r>
            <w:r w:rsidRPr="00235F2C">
              <w:rPr>
                <w:rFonts w:eastAsia="Calibri"/>
              </w:rPr>
              <w:br/>
              <w:t>2022 CSR 4.4</w:t>
            </w:r>
            <w:r w:rsidRPr="00235F2C">
              <w:rPr>
                <w:rFonts w:eastAsia="Calibri"/>
              </w:rPr>
              <w:br/>
              <w:t>2022 CSR 4.1</w:t>
            </w:r>
            <w:r w:rsidRPr="00235F2C">
              <w:rPr>
                <w:rFonts w:eastAsia="Calibri"/>
              </w:rPr>
              <w:br/>
              <w:t>2020 CSR 3.5</w:t>
            </w:r>
            <w:r w:rsidRPr="00235F2C">
              <w:rPr>
                <w:rFonts w:eastAsia="Calibri"/>
              </w:rPr>
              <w:br/>
              <w:t>2020 CSR 3.3</w:t>
            </w:r>
            <w:r w:rsidRPr="00235F2C">
              <w:rPr>
                <w:rFonts w:eastAsia="Calibri"/>
              </w:rPr>
              <w:br/>
              <w:t>2019 CSR 2.2</w:t>
            </w:r>
          </w:p>
        </w:tc>
        <w:tc>
          <w:tcPr>
            <w:tcW w:w="2160" w:type="dxa"/>
            <w:tcMar>
              <w:top w:w="0" w:type="dxa"/>
              <w:left w:w="100" w:type="dxa"/>
              <w:bottom w:w="0" w:type="dxa"/>
              <w:right w:w="100" w:type="dxa"/>
            </w:tcMar>
          </w:tcPr>
          <w:p w14:paraId="71092BB8"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5D282320" w14:textId="77777777" w:rsidTr="00235F2C">
        <w:trPr>
          <w:trHeight w:val="113"/>
          <w:jc w:val="center"/>
        </w:trPr>
        <w:tc>
          <w:tcPr>
            <w:tcW w:w="4020" w:type="dxa"/>
            <w:tcMar>
              <w:top w:w="0" w:type="dxa"/>
              <w:left w:w="100" w:type="dxa"/>
              <w:bottom w:w="0" w:type="dxa"/>
              <w:right w:w="100" w:type="dxa"/>
            </w:tcMar>
          </w:tcPr>
          <w:p w14:paraId="175C35DF" w14:textId="1A83091F" w:rsidR="00645D16" w:rsidRPr="00235F2C" w:rsidRDefault="00BA03C0" w:rsidP="00235F2C">
            <w:pPr>
              <w:pStyle w:val="Tabletext"/>
              <w:rPr>
                <w:rFonts w:eastAsia="Calibri"/>
              </w:rPr>
            </w:pPr>
            <w:r w:rsidRPr="00BA03C0">
              <w:rPr>
                <w:rFonts w:eastAsia="Calibri"/>
                <w:b/>
              </w:rPr>
              <w:t>INVESTMENT 2:</w:t>
            </w:r>
            <w:r w:rsidR="00645D16" w:rsidRPr="00235F2C">
              <w:rPr>
                <w:rFonts w:eastAsia="Calibri"/>
              </w:rPr>
              <w:t xml:space="preserve"> Installation of energy storage for additional RES penetration</w:t>
            </w:r>
          </w:p>
        </w:tc>
        <w:tc>
          <w:tcPr>
            <w:tcW w:w="1500" w:type="dxa"/>
            <w:tcMar>
              <w:top w:w="0" w:type="dxa"/>
              <w:left w:w="100" w:type="dxa"/>
              <w:bottom w:w="0" w:type="dxa"/>
              <w:right w:w="100" w:type="dxa"/>
            </w:tcMar>
          </w:tcPr>
          <w:p w14:paraId="478B71FF" w14:textId="77777777" w:rsidR="00645D16" w:rsidRPr="00235F2C" w:rsidRDefault="00645D16" w:rsidP="00235F2C">
            <w:pPr>
              <w:pStyle w:val="Tabletext"/>
              <w:rPr>
                <w:rFonts w:eastAsia="Calibri"/>
              </w:rPr>
            </w:pPr>
            <w:r w:rsidRPr="00235F2C">
              <w:rPr>
                <w:rFonts w:eastAsia="Calibri"/>
              </w:rPr>
              <w:t>RRF 16996/ MFF</w:t>
            </w:r>
          </w:p>
        </w:tc>
        <w:tc>
          <w:tcPr>
            <w:tcW w:w="1680" w:type="dxa"/>
            <w:tcMar>
              <w:top w:w="0" w:type="dxa"/>
              <w:left w:w="100" w:type="dxa"/>
              <w:bottom w:w="0" w:type="dxa"/>
              <w:right w:w="100" w:type="dxa"/>
            </w:tcMar>
          </w:tcPr>
          <w:p w14:paraId="4BA11023" w14:textId="05B80A34" w:rsidR="00645D16" w:rsidRPr="00235F2C" w:rsidRDefault="00645D16" w:rsidP="00151993">
            <w:pPr>
              <w:pStyle w:val="Tabletext"/>
              <w:spacing w:line="22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2022 CSR 4.3</w:t>
            </w:r>
            <w:r w:rsidRPr="00235F2C">
              <w:rPr>
                <w:rFonts w:eastAsia="Calibri"/>
              </w:rPr>
              <w:br/>
              <w:t>2022 CSR 4.2</w:t>
            </w:r>
            <w:r w:rsidRPr="00235F2C">
              <w:rPr>
                <w:rFonts w:eastAsia="Calibri"/>
              </w:rPr>
              <w:br/>
              <w:t>2022 CSR 4.1</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7CF4FA02"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62FDB957" w14:textId="77777777" w:rsidTr="00235F2C">
        <w:trPr>
          <w:trHeight w:val="113"/>
          <w:jc w:val="center"/>
        </w:trPr>
        <w:tc>
          <w:tcPr>
            <w:tcW w:w="4020" w:type="dxa"/>
            <w:tcMar>
              <w:top w:w="0" w:type="dxa"/>
              <w:left w:w="100" w:type="dxa"/>
              <w:bottom w:w="0" w:type="dxa"/>
              <w:right w:w="100" w:type="dxa"/>
            </w:tcMar>
          </w:tcPr>
          <w:p w14:paraId="67D85AF7" w14:textId="37F67CEF" w:rsidR="00645D16" w:rsidRPr="00235F2C" w:rsidRDefault="00BA03C0" w:rsidP="00235F2C">
            <w:pPr>
              <w:pStyle w:val="Tabletext"/>
              <w:rPr>
                <w:rFonts w:eastAsia="Calibri"/>
              </w:rPr>
            </w:pPr>
            <w:r w:rsidRPr="00BA03C0">
              <w:rPr>
                <w:rFonts w:eastAsia="Calibri"/>
                <w:b/>
              </w:rPr>
              <w:t>INVESTMENT 3:</w:t>
            </w:r>
            <w:r w:rsidR="00645D16" w:rsidRPr="00235F2C">
              <w:rPr>
                <w:rFonts w:eastAsia="Calibri"/>
              </w:rPr>
              <w:t xml:space="preserve"> Energy Efficiency and promotion of RES for self-consumption</w:t>
            </w:r>
          </w:p>
        </w:tc>
        <w:tc>
          <w:tcPr>
            <w:tcW w:w="1500" w:type="dxa"/>
            <w:tcMar>
              <w:top w:w="0" w:type="dxa"/>
              <w:left w:w="100" w:type="dxa"/>
              <w:bottom w:w="0" w:type="dxa"/>
              <w:right w:w="100" w:type="dxa"/>
            </w:tcMar>
          </w:tcPr>
          <w:p w14:paraId="7226957C" w14:textId="77777777" w:rsidR="00645D16" w:rsidRPr="00235F2C" w:rsidRDefault="00645D16" w:rsidP="00235F2C">
            <w:pPr>
              <w:pStyle w:val="Tabletext"/>
              <w:rPr>
                <w:rFonts w:eastAsia="Calibri"/>
              </w:rPr>
            </w:pPr>
            <w:r w:rsidRPr="00235F2C">
              <w:rPr>
                <w:rFonts w:eastAsia="Calibri"/>
              </w:rPr>
              <w:t>RRF 16994</w:t>
            </w:r>
          </w:p>
        </w:tc>
        <w:tc>
          <w:tcPr>
            <w:tcW w:w="1680" w:type="dxa"/>
            <w:tcMar>
              <w:top w:w="0" w:type="dxa"/>
              <w:left w:w="100" w:type="dxa"/>
              <w:bottom w:w="0" w:type="dxa"/>
              <w:right w:w="100" w:type="dxa"/>
            </w:tcMar>
          </w:tcPr>
          <w:p w14:paraId="4D41BB7E" w14:textId="552867BC" w:rsidR="00645D16" w:rsidRPr="00235F2C" w:rsidRDefault="00645D16" w:rsidP="00151993">
            <w:pPr>
              <w:pStyle w:val="Tabletext"/>
              <w:spacing w:line="22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2023 CSR 4.4</w:t>
            </w:r>
            <w:r w:rsidRPr="00235F2C">
              <w:rPr>
                <w:rFonts w:eastAsia="Calibri"/>
              </w:rPr>
              <w:br/>
              <w:t>2022 CSR 4.1</w:t>
            </w:r>
            <w:r w:rsidRPr="00235F2C">
              <w:rPr>
                <w:rFonts w:eastAsia="Calibri"/>
              </w:rPr>
              <w:br/>
              <w:t>2022 CSR 4.5</w:t>
            </w:r>
            <w:r w:rsidRPr="00235F2C">
              <w:rPr>
                <w:rFonts w:eastAsia="Calibri"/>
              </w:rPr>
              <w:br/>
              <w:t>2020 CSR 3.4</w:t>
            </w:r>
            <w:r w:rsidRPr="00235F2C">
              <w:rPr>
                <w:rFonts w:eastAsia="Calibri"/>
              </w:rPr>
              <w:br/>
              <w:t>2019 CSR 2.2</w:t>
            </w:r>
          </w:p>
        </w:tc>
        <w:tc>
          <w:tcPr>
            <w:tcW w:w="2160" w:type="dxa"/>
            <w:tcMar>
              <w:top w:w="0" w:type="dxa"/>
              <w:left w:w="100" w:type="dxa"/>
              <w:bottom w:w="0" w:type="dxa"/>
              <w:right w:w="100" w:type="dxa"/>
            </w:tcMar>
          </w:tcPr>
          <w:p w14:paraId="6DC2BDF1"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58EFE96D" w14:textId="77777777" w:rsidTr="00235F2C">
        <w:trPr>
          <w:trHeight w:val="113"/>
          <w:jc w:val="center"/>
        </w:trPr>
        <w:tc>
          <w:tcPr>
            <w:tcW w:w="4020" w:type="dxa"/>
            <w:tcMar>
              <w:top w:w="0" w:type="dxa"/>
              <w:left w:w="100" w:type="dxa"/>
              <w:bottom w:w="0" w:type="dxa"/>
              <w:right w:w="100" w:type="dxa"/>
            </w:tcMar>
          </w:tcPr>
          <w:p w14:paraId="3ABC22EF" w14:textId="510613E8" w:rsidR="00645D16" w:rsidRPr="00235F2C" w:rsidRDefault="00BA03C0" w:rsidP="00235F2C">
            <w:pPr>
              <w:pStyle w:val="Tabletext"/>
              <w:rPr>
                <w:rFonts w:eastAsia="Calibri"/>
              </w:rPr>
            </w:pPr>
            <w:r w:rsidRPr="00BA03C0">
              <w:rPr>
                <w:rFonts w:eastAsia="Calibri"/>
                <w:b/>
              </w:rPr>
              <w:t>INVESTMENT 4:</w:t>
            </w:r>
            <w:r w:rsidR="00645D16" w:rsidRPr="00235F2C">
              <w:rPr>
                <w:rFonts w:eastAsia="Calibri"/>
              </w:rPr>
              <w:t xml:space="preserve"> Promotion of CCS technologies to foster industry decarbonization</w:t>
            </w:r>
          </w:p>
        </w:tc>
        <w:tc>
          <w:tcPr>
            <w:tcW w:w="1500" w:type="dxa"/>
            <w:tcMar>
              <w:top w:w="0" w:type="dxa"/>
              <w:left w:w="100" w:type="dxa"/>
              <w:bottom w:w="0" w:type="dxa"/>
              <w:right w:w="100" w:type="dxa"/>
            </w:tcMar>
          </w:tcPr>
          <w:p w14:paraId="5E950CFB" w14:textId="77777777" w:rsidR="00645D16" w:rsidRPr="00235F2C" w:rsidRDefault="00645D16" w:rsidP="00235F2C">
            <w:pPr>
              <w:pStyle w:val="Tabletext"/>
              <w:rPr>
                <w:rFonts w:eastAsia="Calibri"/>
              </w:rPr>
            </w:pPr>
            <w:r w:rsidRPr="00235F2C">
              <w:rPr>
                <w:rFonts w:eastAsia="Calibri"/>
              </w:rPr>
              <w:t>RRF 16997</w:t>
            </w:r>
          </w:p>
        </w:tc>
        <w:tc>
          <w:tcPr>
            <w:tcW w:w="1680" w:type="dxa"/>
            <w:tcMar>
              <w:top w:w="0" w:type="dxa"/>
              <w:left w:w="100" w:type="dxa"/>
              <w:bottom w:w="0" w:type="dxa"/>
              <w:right w:w="100" w:type="dxa"/>
            </w:tcMar>
          </w:tcPr>
          <w:p w14:paraId="171FD114" w14:textId="54B2FE24" w:rsidR="00645D16" w:rsidRPr="00235F2C" w:rsidRDefault="00645D16" w:rsidP="00151993">
            <w:pPr>
              <w:pStyle w:val="Tabletext"/>
              <w:spacing w:line="220" w:lineRule="exact"/>
              <w:rPr>
                <w:rFonts w:eastAsia="Calibri"/>
              </w:rPr>
            </w:pPr>
            <w:r w:rsidRPr="00235F2C">
              <w:rPr>
                <w:rFonts w:eastAsia="Calibri"/>
              </w:rPr>
              <w:t>2024 CSR 2.1</w:t>
            </w:r>
            <w:r w:rsidRPr="00235F2C">
              <w:rPr>
                <w:rFonts w:eastAsia="Calibri"/>
              </w:rPr>
              <w:br/>
              <w:t>2023 CSR 4.1</w:t>
            </w:r>
            <w:r w:rsidRPr="00235F2C">
              <w:rPr>
                <w:rFonts w:eastAsia="Calibri"/>
              </w:rPr>
              <w:br/>
              <w:t>2020 CSR 3.5</w:t>
            </w:r>
            <w:r w:rsidRPr="00235F2C">
              <w:rPr>
                <w:rFonts w:eastAsia="Calibri"/>
              </w:rPr>
              <w:br/>
              <w:t>2019 CSR 2.2</w:t>
            </w:r>
          </w:p>
        </w:tc>
        <w:tc>
          <w:tcPr>
            <w:tcW w:w="2160" w:type="dxa"/>
            <w:tcMar>
              <w:top w:w="0" w:type="dxa"/>
              <w:left w:w="100" w:type="dxa"/>
              <w:bottom w:w="0" w:type="dxa"/>
              <w:right w:w="100" w:type="dxa"/>
            </w:tcMar>
          </w:tcPr>
          <w:p w14:paraId="3AA4A237"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6B13C6E5" w14:textId="77777777" w:rsidTr="00235F2C">
        <w:trPr>
          <w:trHeight w:val="113"/>
          <w:jc w:val="center"/>
        </w:trPr>
        <w:tc>
          <w:tcPr>
            <w:tcW w:w="4020" w:type="dxa"/>
            <w:tcMar>
              <w:top w:w="0" w:type="dxa"/>
              <w:left w:w="100" w:type="dxa"/>
              <w:bottom w:w="0" w:type="dxa"/>
              <w:right w:w="100" w:type="dxa"/>
            </w:tcMar>
          </w:tcPr>
          <w:p w14:paraId="06DAE573" w14:textId="6F3F7625" w:rsidR="00645D16" w:rsidRPr="00235F2C" w:rsidRDefault="00BA03C0" w:rsidP="00235F2C">
            <w:pPr>
              <w:pStyle w:val="Tabletext"/>
              <w:rPr>
                <w:rFonts w:eastAsia="Calibri"/>
              </w:rPr>
            </w:pPr>
            <w:r w:rsidRPr="00BA03C0">
              <w:rPr>
                <w:rFonts w:eastAsia="Calibri"/>
                <w:b/>
              </w:rPr>
              <w:t>INVESTMENT 5:</w:t>
            </w:r>
            <w:r w:rsidR="00645D16" w:rsidRPr="00235F2C">
              <w:rPr>
                <w:rFonts w:eastAsia="Calibri"/>
              </w:rPr>
              <w:t xml:space="preserve"> Interventions for the electricity interconnection of islands and the upgrading of the electricity network</w:t>
            </w:r>
          </w:p>
        </w:tc>
        <w:tc>
          <w:tcPr>
            <w:tcW w:w="1500" w:type="dxa"/>
            <w:tcMar>
              <w:top w:w="0" w:type="dxa"/>
              <w:left w:w="100" w:type="dxa"/>
              <w:bottom w:w="0" w:type="dxa"/>
              <w:right w:w="100" w:type="dxa"/>
            </w:tcMar>
          </w:tcPr>
          <w:p w14:paraId="16A12101" w14:textId="77777777" w:rsidR="00645D16" w:rsidRPr="00235F2C" w:rsidRDefault="00645D16" w:rsidP="00235F2C">
            <w:pPr>
              <w:pStyle w:val="Tabletext"/>
              <w:rPr>
                <w:rFonts w:eastAsia="Calibri"/>
              </w:rPr>
            </w:pPr>
            <w:r w:rsidRPr="00235F2C">
              <w:rPr>
                <w:rFonts w:eastAsia="Calibri"/>
              </w:rPr>
              <w:t>RRF 16870 /</w:t>
            </w:r>
            <w:r w:rsidRPr="00235F2C">
              <w:rPr>
                <w:rFonts w:eastAsia="Calibri"/>
              </w:rPr>
              <w:br/>
              <w:t xml:space="preserve"> MFF </w:t>
            </w:r>
          </w:p>
        </w:tc>
        <w:tc>
          <w:tcPr>
            <w:tcW w:w="1680" w:type="dxa"/>
            <w:tcMar>
              <w:top w:w="0" w:type="dxa"/>
              <w:left w:w="100" w:type="dxa"/>
              <w:bottom w:w="0" w:type="dxa"/>
              <w:right w:w="100" w:type="dxa"/>
            </w:tcMar>
          </w:tcPr>
          <w:p w14:paraId="3E7BEDFE" w14:textId="212207F1" w:rsidR="00645D16" w:rsidRPr="00235F2C" w:rsidRDefault="00645D16" w:rsidP="00151993">
            <w:pPr>
              <w:pStyle w:val="Tabletext"/>
              <w:spacing w:line="22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2022 CSR 4.1</w:t>
            </w:r>
            <w:r w:rsidRPr="00235F2C">
              <w:rPr>
                <w:rFonts w:eastAsia="Calibri"/>
              </w:rPr>
              <w:br/>
              <w:t>2022 CSR 4.3</w:t>
            </w:r>
            <w:r w:rsidRPr="00235F2C">
              <w:rPr>
                <w:rFonts w:eastAsia="Calibri"/>
              </w:rPr>
              <w:br/>
              <w:t>2020 CSR 3.5</w:t>
            </w:r>
            <w:r w:rsidRPr="00235F2C">
              <w:rPr>
                <w:rFonts w:eastAsia="Calibri"/>
              </w:rPr>
              <w:br/>
              <w:t>2020 CSR 3.2</w:t>
            </w:r>
            <w:r w:rsidRPr="00235F2C">
              <w:rPr>
                <w:rFonts w:eastAsia="Calibri"/>
              </w:rPr>
              <w:br/>
              <w:t>2019 CSR 2.2</w:t>
            </w:r>
          </w:p>
        </w:tc>
        <w:tc>
          <w:tcPr>
            <w:tcW w:w="2160" w:type="dxa"/>
            <w:tcMar>
              <w:top w:w="0" w:type="dxa"/>
              <w:left w:w="100" w:type="dxa"/>
              <w:bottom w:w="0" w:type="dxa"/>
              <w:right w:w="100" w:type="dxa"/>
            </w:tcMar>
          </w:tcPr>
          <w:p w14:paraId="3365FFD1"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17639961" w14:textId="77777777" w:rsidTr="00235F2C">
        <w:trPr>
          <w:trHeight w:val="113"/>
          <w:jc w:val="center"/>
        </w:trPr>
        <w:tc>
          <w:tcPr>
            <w:tcW w:w="4020" w:type="dxa"/>
            <w:tcMar>
              <w:top w:w="0" w:type="dxa"/>
              <w:left w:w="100" w:type="dxa"/>
              <w:bottom w:w="0" w:type="dxa"/>
              <w:right w:w="100" w:type="dxa"/>
            </w:tcMar>
          </w:tcPr>
          <w:p w14:paraId="70C23474" w14:textId="36CB2730" w:rsidR="00645D16" w:rsidRPr="00235F2C" w:rsidRDefault="00BA03C0" w:rsidP="00235F2C">
            <w:pPr>
              <w:pStyle w:val="Tabletext"/>
              <w:rPr>
                <w:rFonts w:eastAsia="Calibri"/>
              </w:rPr>
            </w:pPr>
            <w:r w:rsidRPr="00BA03C0">
              <w:rPr>
                <w:rFonts w:eastAsia="Calibri"/>
                <w:b/>
              </w:rPr>
              <w:lastRenderedPageBreak/>
              <w:t>INVESTMENT 6:</w:t>
            </w:r>
            <w:r w:rsidR="00645D16" w:rsidRPr="00235F2C">
              <w:rPr>
                <w:rFonts w:eastAsia="Calibri"/>
              </w:rPr>
              <w:t xml:space="preserve"> Installed capacity increase in Hellenic Electricity Distribution Network Operator (HEDNO) High Voltage/Medium Voltage substations for new RES connection</w:t>
            </w:r>
          </w:p>
        </w:tc>
        <w:tc>
          <w:tcPr>
            <w:tcW w:w="1500" w:type="dxa"/>
            <w:tcMar>
              <w:top w:w="0" w:type="dxa"/>
              <w:left w:w="100" w:type="dxa"/>
              <w:bottom w:w="0" w:type="dxa"/>
              <w:right w:w="100" w:type="dxa"/>
            </w:tcMar>
          </w:tcPr>
          <w:p w14:paraId="65632A51" w14:textId="77777777" w:rsidR="00645D16" w:rsidRPr="00235F2C" w:rsidRDefault="00645D16" w:rsidP="00235F2C">
            <w:pPr>
              <w:pStyle w:val="Tabletext"/>
              <w:rPr>
                <w:rFonts w:eastAsia="Calibri"/>
              </w:rPr>
            </w:pPr>
            <w:r w:rsidRPr="00235F2C">
              <w:rPr>
                <w:rFonts w:eastAsia="Calibri"/>
              </w:rPr>
              <w:t>RRF 16899 /</w:t>
            </w:r>
            <w:r w:rsidRPr="00235F2C">
              <w:rPr>
                <w:rFonts w:eastAsia="Calibri"/>
              </w:rPr>
              <w:br/>
              <w:t xml:space="preserve"> MFF</w:t>
            </w:r>
          </w:p>
        </w:tc>
        <w:tc>
          <w:tcPr>
            <w:tcW w:w="1680" w:type="dxa"/>
            <w:tcMar>
              <w:top w:w="0" w:type="dxa"/>
              <w:left w:w="100" w:type="dxa"/>
              <w:bottom w:w="0" w:type="dxa"/>
              <w:right w:w="100" w:type="dxa"/>
            </w:tcMar>
          </w:tcPr>
          <w:p w14:paraId="285B6016" w14:textId="523BCAFB" w:rsidR="00645D16" w:rsidRPr="00235F2C" w:rsidRDefault="00645D16" w:rsidP="00194311">
            <w:pPr>
              <w:pStyle w:val="Tabletext"/>
              <w:spacing w:line="23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4.3</w:t>
            </w:r>
            <w:r w:rsidRPr="00235F2C">
              <w:rPr>
                <w:rFonts w:eastAsia="Calibri"/>
              </w:rPr>
              <w:br/>
              <w:t>2022 CSR 4.1</w:t>
            </w:r>
            <w:r w:rsidRPr="00235F2C">
              <w:rPr>
                <w:rFonts w:eastAsia="Calibri"/>
              </w:rPr>
              <w:br/>
              <w:t>2022 CSR 4.2</w:t>
            </w:r>
            <w:r w:rsidRPr="00235F2C">
              <w:rPr>
                <w:rFonts w:eastAsia="Calibri"/>
              </w:rPr>
              <w:br/>
              <w:t>2022 CSR 4.3</w:t>
            </w:r>
            <w:r w:rsidRPr="00235F2C">
              <w:rPr>
                <w:rFonts w:eastAsia="Calibri"/>
              </w:rPr>
              <w:br/>
              <w:t>2020 CSR 3.5</w:t>
            </w:r>
            <w:r w:rsidRPr="00235F2C">
              <w:rPr>
                <w:rFonts w:eastAsia="Calibri"/>
              </w:rPr>
              <w:br/>
              <w:t>2020 CSR 3.2</w:t>
            </w:r>
            <w:r w:rsidRPr="00235F2C">
              <w:rPr>
                <w:rFonts w:eastAsia="Calibri"/>
              </w:rPr>
              <w:br/>
              <w:t>2019 CSR 2.2</w:t>
            </w:r>
          </w:p>
        </w:tc>
        <w:tc>
          <w:tcPr>
            <w:tcW w:w="2160" w:type="dxa"/>
            <w:tcMar>
              <w:top w:w="0" w:type="dxa"/>
              <w:left w:w="100" w:type="dxa"/>
              <w:bottom w:w="0" w:type="dxa"/>
              <w:right w:w="100" w:type="dxa"/>
            </w:tcMar>
          </w:tcPr>
          <w:p w14:paraId="5481ECBB"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44C4364E" w14:textId="77777777" w:rsidTr="00235F2C">
        <w:trPr>
          <w:trHeight w:val="113"/>
          <w:jc w:val="center"/>
        </w:trPr>
        <w:tc>
          <w:tcPr>
            <w:tcW w:w="4020" w:type="dxa"/>
            <w:tcMar>
              <w:top w:w="0" w:type="dxa"/>
              <w:left w:w="100" w:type="dxa"/>
              <w:bottom w:w="0" w:type="dxa"/>
              <w:right w:w="100" w:type="dxa"/>
            </w:tcMar>
          </w:tcPr>
          <w:p w14:paraId="62FFD0BD" w14:textId="5EF4C0F7" w:rsidR="00645D16" w:rsidRPr="00235F2C" w:rsidRDefault="00BA03C0" w:rsidP="00235F2C">
            <w:pPr>
              <w:pStyle w:val="Tabletext"/>
              <w:rPr>
                <w:rFonts w:eastAsia="Calibri"/>
              </w:rPr>
            </w:pPr>
            <w:r w:rsidRPr="00BA03C0">
              <w:rPr>
                <w:rFonts w:eastAsia="Calibri"/>
                <w:b/>
              </w:rPr>
              <w:t>INVESTMENT 7:</w:t>
            </w:r>
            <w:r w:rsidR="00645D16" w:rsidRPr="00235F2C">
              <w:rPr>
                <w:rFonts w:eastAsia="Calibri"/>
              </w:rPr>
              <w:t xml:space="preserve"> Support of the installation of storage systems to enhance renewable energy (RES) penetration</w:t>
            </w:r>
          </w:p>
        </w:tc>
        <w:tc>
          <w:tcPr>
            <w:tcW w:w="1500" w:type="dxa"/>
            <w:tcMar>
              <w:top w:w="0" w:type="dxa"/>
              <w:left w:w="100" w:type="dxa"/>
              <w:bottom w:w="0" w:type="dxa"/>
              <w:right w:w="100" w:type="dxa"/>
            </w:tcMar>
          </w:tcPr>
          <w:p w14:paraId="0AF7CCD6" w14:textId="77777777" w:rsidR="00645D16" w:rsidRPr="00235F2C" w:rsidRDefault="00645D16" w:rsidP="00235F2C">
            <w:pPr>
              <w:pStyle w:val="Tabletext"/>
              <w:rPr>
                <w:rFonts w:eastAsia="Calibri"/>
              </w:rPr>
            </w:pPr>
            <w:r w:rsidRPr="00235F2C">
              <w:rPr>
                <w:rFonts w:eastAsia="Calibri"/>
              </w:rPr>
              <w:t>RRF 16926 /</w:t>
            </w:r>
            <w:r w:rsidRPr="00235F2C">
              <w:rPr>
                <w:rFonts w:eastAsia="Calibri"/>
              </w:rPr>
              <w:br/>
              <w:t xml:space="preserve"> MFF</w:t>
            </w:r>
          </w:p>
        </w:tc>
        <w:tc>
          <w:tcPr>
            <w:tcW w:w="1680" w:type="dxa"/>
            <w:tcMar>
              <w:top w:w="0" w:type="dxa"/>
              <w:left w:w="100" w:type="dxa"/>
              <w:bottom w:w="0" w:type="dxa"/>
              <w:right w:w="100" w:type="dxa"/>
            </w:tcMar>
          </w:tcPr>
          <w:p w14:paraId="5F79EFFA" w14:textId="7944481B" w:rsidR="00645D16" w:rsidRPr="00235F2C" w:rsidRDefault="00645D16" w:rsidP="00194311">
            <w:pPr>
              <w:pStyle w:val="Tabletext"/>
              <w:spacing w:line="230" w:lineRule="exact"/>
              <w:rPr>
                <w:rFonts w:eastAsia="Calibri"/>
              </w:rPr>
            </w:pPr>
            <w:r w:rsidRPr="00235F2C">
              <w:rPr>
                <w:rFonts w:eastAsia="Calibri"/>
              </w:rPr>
              <w:t>2024 CSR 2.1</w:t>
            </w:r>
            <w:r w:rsidRPr="00235F2C">
              <w:rPr>
                <w:rFonts w:eastAsia="Calibri"/>
              </w:rPr>
              <w:br/>
              <w:t>2023 CSR 4.3</w:t>
            </w:r>
            <w:r w:rsidRPr="00235F2C">
              <w:rPr>
                <w:rFonts w:eastAsia="Calibri"/>
              </w:rPr>
              <w:br/>
              <w:t>2023 CSR 4.1</w:t>
            </w:r>
            <w:r w:rsidRPr="00235F2C">
              <w:rPr>
                <w:rFonts w:eastAsia="Calibri"/>
              </w:rPr>
              <w:br/>
              <w:t>2022 CSR 4.2</w:t>
            </w:r>
            <w:r w:rsidRPr="00235F2C">
              <w:rPr>
                <w:rFonts w:eastAsia="Calibri"/>
              </w:rPr>
              <w:br/>
              <w:t xml:space="preserve"> 2022 CSR 4.1</w:t>
            </w:r>
            <w:r w:rsidRPr="00235F2C">
              <w:rPr>
                <w:rFonts w:eastAsia="Calibri"/>
              </w:rPr>
              <w:br/>
              <w:t xml:space="preserve"> 2020 CSR 3.5</w:t>
            </w:r>
            <w:r w:rsidRPr="00235F2C">
              <w:rPr>
                <w:rFonts w:eastAsia="Calibri"/>
              </w:rPr>
              <w:br/>
              <w:t xml:space="preserve"> 2020 CSR 3.3</w:t>
            </w:r>
            <w:r w:rsidRPr="00235F2C">
              <w:rPr>
                <w:rFonts w:eastAsia="Calibri"/>
              </w:rPr>
              <w:br/>
              <w:t xml:space="preserve"> 2019 CSR 2.2</w:t>
            </w:r>
          </w:p>
        </w:tc>
        <w:tc>
          <w:tcPr>
            <w:tcW w:w="2160" w:type="dxa"/>
            <w:tcMar>
              <w:top w:w="0" w:type="dxa"/>
              <w:left w:w="100" w:type="dxa"/>
              <w:bottom w:w="0" w:type="dxa"/>
              <w:right w:w="100" w:type="dxa"/>
            </w:tcMar>
          </w:tcPr>
          <w:p w14:paraId="63F83989"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228000DA" w14:textId="77777777" w:rsidTr="00235F2C">
        <w:trPr>
          <w:trHeight w:val="113"/>
          <w:jc w:val="center"/>
        </w:trPr>
        <w:tc>
          <w:tcPr>
            <w:tcW w:w="4020" w:type="dxa"/>
            <w:tcMar>
              <w:top w:w="0" w:type="dxa"/>
              <w:left w:w="100" w:type="dxa"/>
              <w:bottom w:w="0" w:type="dxa"/>
              <w:right w:w="100" w:type="dxa"/>
            </w:tcMar>
          </w:tcPr>
          <w:p w14:paraId="366419A4" w14:textId="54540963" w:rsidR="00645D16" w:rsidRPr="00235F2C" w:rsidRDefault="00BA03C0" w:rsidP="00235F2C">
            <w:pPr>
              <w:pStyle w:val="Tabletext"/>
              <w:rPr>
                <w:rFonts w:eastAsia="Calibri"/>
              </w:rPr>
            </w:pPr>
            <w:r w:rsidRPr="00BA03C0">
              <w:rPr>
                <w:rFonts w:eastAsia="Calibri"/>
                <w:b/>
              </w:rPr>
              <w:t>INVESTMENT 8:</w:t>
            </w:r>
            <w:r w:rsidR="00645D16" w:rsidRPr="00235F2C">
              <w:rPr>
                <w:rFonts w:eastAsia="Calibri"/>
              </w:rPr>
              <w:t xml:space="preserve"> Energy and entrepreneurship</w:t>
            </w:r>
          </w:p>
        </w:tc>
        <w:tc>
          <w:tcPr>
            <w:tcW w:w="1500" w:type="dxa"/>
            <w:tcMar>
              <w:top w:w="0" w:type="dxa"/>
              <w:left w:w="100" w:type="dxa"/>
              <w:bottom w:w="0" w:type="dxa"/>
              <w:right w:w="100" w:type="dxa"/>
            </w:tcMar>
          </w:tcPr>
          <w:p w14:paraId="3938711C" w14:textId="77777777" w:rsidR="00645D16" w:rsidRPr="00235F2C" w:rsidRDefault="00645D16" w:rsidP="00235F2C">
            <w:pPr>
              <w:pStyle w:val="Tabletext"/>
              <w:rPr>
                <w:rFonts w:eastAsia="Calibri"/>
              </w:rPr>
            </w:pPr>
            <w:r w:rsidRPr="00235F2C">
              <w:rPr>
                <w:rFonts w:eastAsia="Calibri"/>
              </w:rPr>
              <w:t>RRF 16874 /</w:t>
            </w:r>
            <w:r w:rsidRPr="00235F2C">
              <w:rPr>
                <w:rFonts w:eastAsia="Calibri"/>
              </w:rPr>
              <w:br/>
              <w:t xml:space="preserve"> MFF</w:t>
            </w:r>
          </w:p>
        </w:tc>
        <w:tc>
          <w:tcPr>
            <w:tcW w:w="1680" w:type="dxa"/>
            <w:tcMar>
              <w:top w:w="0" w:type="dxa"/>
              <w:left w:w="100" w:type="dxa"/>
              <w:bottom w:w="0" w:type="dxa"/>
              <w:right w:w="100" w:type="dxa"/>
            </w:tcMar>
          </w:tcPr>
          <w:p w14:paraId="4558126B" w14:textId="4D671A25" w:rsidR="00645D16" w:rsidRPr="00235F2C" w:rsidRDefault="00645D16" w:rsidP="00194311">
            <w:pPr>
              <w:pStyle w:val="Tabletext"/>
              <w:spacing w:line="23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4.4</w:t>
            </w:r>
            <w:r w:rsidRPr="00235F2C">
              <w:rPr>
                <w:rFonts w:eastAsia="Calibri"/>
              </w:rPr>
              <w:br/>
              <w:t>2022 CSR 4.5</w:t>
            </w:r>
            <w:r w:rsidRPr="00235F2C">
              <w:rPr>
                <w:rFonts w:eastAsia="Calibri"/>
              </w:rPr>
              <w:br/>
              <w:t>2022 CSR 4.4</w:t>
            </w:r>
            <w:r w:rsidRPr="00235F2C">
              <w:rPr>
                <w:rFonts w:eastAsia="Calibri"/>
              </w:rPr>
              <w:br/>
              <w:t>2022 CSR 4.1</w:t>
            </w:r>
            <w:r w:rsidRPr="00235F2C">
              <w:rPr>
                <w:rFonts w:eastAsia="Calibri"/>
              </w:rPr>
              <w:br/>
              <w:t>2020 CSR 3.5</w:t>
            </w:r>
            <w:r w:rsidRPr="00235F2C">
              <w:rPr>
                <w:rFonts w:eastAsia="Calibri"/>
              </w:rPr>
              <w:br/>
              <w:t>2020 CSR 3.3</w:t>
            </w:r>
            <w:r w:rsidRPr="00235F2C">
              <w:rPr>
                <w:rFonts w:eastAsia="Calibri"/>
              </w:rPr>
              <w:br/>
              <w:t>2019 CSR 2.2</w:t>
            </w:r>
          </w:p>
        </w:tc>
        <w:tc>
          <w:tcPr>
            <w:tcW w:w="2160" w:type="dxa"/>
            <w:tcMar>
              <w:top w:w="0" w:type="dxa"/>
              <w:left w:w="100" w:type="dxa"/>
              <w:bottom w:w="0" w:type="dxa"/>
              <w:right w:w="100" w:type="dxa"/>
            </w:tcMar>
          </w:tcPr>
          <w:p w14:paraId="5EC76524"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68FEB66B" w14:textId="77777777" w:rsidTr="00235F2C">
        <w:trPr>
          <w:trHeight w:val="113"/>
          <w:jc w:val="center"/>
        </w:trPr>
        <w:tc>
          <w:tcPr>
            <w:tcW w:w="4020" w:type="dxa"/>
            <w:tcMar>
              <w:top w:w="0" w:type="dxa"/>
              <w:left w:w="100" w:type="dxa"/>
              <w:bottom w:w="0" w:type="dxa"/>
              <w:right w:w="100" w:type="dxa"/>
            </w:tcMar>
          </w:tcPr>
          <w:p w14:paraId="23AD7ED1" w14:textId="1385DDE2" w:rsidR="00645D16" w:rsidRPr="00235F2C" w:rsidRDefault="00BA03C0" w:rsidP="00235F2C">
            <w:pPr>
              <w:pStyle w:val="Tabletext"/>
              <w:rPr>
                <w:rFonts w:eastAsia="Calibri"/>
              </w:rPr>
            </w:pPr>
            <w:r w:rsidRPr="00BA03C0">
              <w:rPr>
                <w:rFonts w:eastAsia="Calibri"/>
                <w:b/>
              </w:rPr>
              <w:t>INVESTMENT 9:</w:t>
            </w:r>
            <w:r w:rsidR="00645D16" w:rsidRPr="00235F2C">
              <w:rPr>
                <w:rFonts w:eastAsia="Calibri"/>
              </w:rPr>
              <w:t xml:space="preserve"> Energy upgrade of public sector buildings</w:t>
            </w:r>
          </w:p>
        </w:tc>
        <w:tc>
          <w:tcPr>
            <w:tcW w:w="1500" w:type="dxa"/>
            <w:tcMar>
              <w:top w:w="0" w:type="dxa"/>
              <w:left w:w="100" w:type="dxa"/>
              <w:bottom w:w="0" w:type="dxa"/>
              <w:right w:w="100" w:type="dxa"/>
            </w:tcMar>
          </w:tcPr>
          <w:p w14:paraId="51E6E6AD" w14:textId="77777777" w:rsidR="00645D16" w:rsidRPr="00235F2C" w:rsidRDefault="00645D16" w:rsidP="00235F2C">
            <w:pPr>
              <w:pStyle w:val="Tabletext"/>
              <w:rPr>
                <w:rFonts w:eastAsia="Calibri"/>
              </w:rPr>
            </w:pPr>
            <w:r w:rsidRPr="00235F2C">
              <w:rPr>
                <w:rFonts w:eastAsia="Calibri"/>
              </w:rPr>
              <w:t>RRF 16876 /</w:t>
            </w:r>
            <w:r w:rsidRPr="00235F2C">
              <w:rPr>
                <w:rFonts w:eastAsia="Calibri"/>
              </w:rPr>
              <w:br/>
              <w:t xml:space="preserve"> MFF</w:t>
            </w:r>
          </w:p>
        </w:tc>
        <w:tc>
          <w:tcPr>
            <w:tcW w:w="1680" w:type="dxa"/>
            <w:tcMar>
              <w:top w:w="0" w:type="dxa"/>
              <w:left w:w="100" w:type="dxa"/>
              <w:bottom w:w="0" w:type="dxa"/>
              <w:right w:w="100" w:type="dxa"/>
            </w:tcMar>
          </w:tcPr>
          <w:p w14:paraId="222C5104" w14:textId="18B4DC79" w:rsidR="00645D16" w:rsidRPr="00235F2C" w:rsidRDefault="00645D16" w:rsidP="00194311">
            <w:pPr>
              <w:pStyle w:val="Tabletext"/>
              <w:spacing w:line="230" w:lineRule="exact"/>
              <w:rPr>
                <w:rFonts w:eastAsia="Calibri"/>
              </w:rPr>
            </w:pPr>
            <w:r w:rsidRPr="00235F2C">
              <w:rPr>
                <w:rFonts w:eastAsia="Calibri"/>
              </w:rPr>
              <w:t>2024 CSR 2.1</w:t>
            </w:r>
            <w:r w:rsidRPr="00235F2C">
              <w:rPr>
                <w:rFonts w:eastAsia="Calibri"/>
              </w:rPr>
              <w:br/>
              <w:t>2023 CSR 4.4</w:t>
            </w:r>
            <w:r w:rsidRPr="00235F2C">
              <w:rPr>
                <w:rFonts w:eastAsia="Calibri"/>
              </w:rPr>
              <w:br/>
              <w:t>2023 CSR 4.1</w:t>
            </w:r>
            <w:r w:rsidRPr="00235F2C">
              <w:rPr>
                <w:rFonts w:eastAsia="Calibri"/>
              </w:rPr>
              <w:br/>
              <w:t>2022 CSR 4.5</w:t>
            </w:r>
            <w:r w:rsidRPr="00235F2C">
              <w:rPr>
                <w:rFonts w:eastAsia="Calibri"/>
              </w:rPr>
              <w:br/>
              <w:t>2022 CSR 4.4</w:t>
            </w:r>
            <w:r w:rsidRPr="00235F2C">
              <w:rPr>
                <w:rFonts w:eastAsia="Calibri"/>
              </w:rPr>
              <w:br/>
              <w:t>2022 CSR 4.1</w:t>
            </w:r>
            <w:r w:rsidRPr="00235F2C">
              <w:rPr>
                <w:rFonts w:eastAsia="Calibri"/>
              </w:rPr>
              <w:br/>
              <w:t>2020 CSR 3.5</w:t>
            </w:r>
            <w:r w:rsidRPr="00235F2C">
              <w:rPr>
                <w:rFonts w:eastAsia="Calibri"/>
              </w:rPr>
              <w:br/>
              <w:t>2020 CSR 3.2</w:t>
            </w:r>
            <w:r w:rsidRPr="00235F2C">
              <w:rPr>
                <w:rFonts w:eastAsia="Calibri"/>
              </w:rPr>
              <w:br/>
              <w:t>2019 CSR 2.2</w:t>
            </w:r>
          </w:p>
        </w:tc>
        <w:tc>
          <w:tcPr>
            <w:tcW w:w="2160" w:type="dxa"/>
            <w:tcMar>
              <w:top w:w="0" w:type="dxa"/>
              <w:left w:w="100" w:type="dxa"/>
              <w:bottom w:w="0" w:type="dxa"/>
              <w:right w:w="100" w:type="dxa"/>
            </w:tcMar>
          </w:tcPr>
          <w:p w14:paraId="192CDBF3"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7FB5569C" w14:textId="77777777" w:rsidTr="00235F2C">
        <w:trPr>
          <w:trHeight w:val="113"/>
          <w:jc w:val="center"/>
        </w:trPr>
        <w:tc>
          <w:tcPr>
            <w:tcW w:w="4020" w:type="dxa"/>
            <w:tcMar>
              <w:top w:w="0" w:type="dxa"/>
              <w:left w:w="100" w:type="dxa"/>
              <w:bottom w:w="0" w:type="dxa"/>
              <w:right w:w="100" w:type="dxa"/>
            </w:tcMar>
          </w:tcPr>
          <w:p w14:paraId="0EA9091B" w14:textId="2FA65AB4" w:rsidR="00645D16" w:rsidRPr="00235F2C" w:rsidRDefault="00BA03C0" w:rsidP="00235F2C">
            <w:pPr>
              <w:pStyle w:val="Tabletext"/>
              <w:rPr>
                <w:rFonts w:eastAsia="Calibri"/>
              </w:rPr>
            </w:pPr>
            <w:r w:rsidRPr="00BA03C0">
              <w:rPr>
                <w:rFonts w:eastAsia="Calibri"/>
                <w:b/>
              </w:rPr>
              <w:t>INVESTMENT 10:</w:t>
            </w:r>
            <w:r w:rsidR="00645D16" w:rsidRPr="00235F2C">
              <w:rPr>
                <w:rFonts w:eastAsia="Calibri"/>
              </w:rPr>
              <w:t xml:space="preserve"> Produc-E Green</w:t>
            </w:r>
          </w:p>
        </w:tc>
        <w:tc>
          <w:tcPr>
            <w:tcW w:w="1500" w:type="dxa"/>
            <w:tcMar>
              <w:top w:w="0" w:type="dxa"/>
              <w:left w:w="100" w:type="dxa"/>
              <w:bottom w:w="0" w:type="dxa"/>
              <w:right w:w="100" w:type="dxa"/>
            </w:tcMar>
          </w:tcPr>
          <w:p w14:paraId="05CF094F" w14:textId="77777777" w:rsidR="00645D16" w:rsidRPr="00235F2C" w:rsidRDefault="00645D16" w:rsidP="00235F2C">
            <w:pPr>
              <w:pStyle w:val="Tabletext"/>
              <w:rPr>
                <w:rFonts w:eastAsia="Calibri"/>
              </w:rPr>
            </w:pPr>
            <w:r w:rsidRPr="00235F2C">
              <w:rPr>
                <w:rFonts w:eastAsia="Calibri"/>
              </w:rPr>
              <w:t>RRF 16831 /</w:t>
            </w:r>
            <w:r w:rsidRPr="00235F2C">
              <w:rPr>
                <w:rFonts w:eastAsia="Calibri"/>
              </w:rPr>
              <w:br/>
              <w:t xml:space="preserve"> MFF</w:t>
            </w:r>
          </w:p>
        </w:tc>
        <w:tc>
          <w:tcPr>
            <w:tcW w:w="1680" w:type="dxa"/>
            <w:tcMar>
              <w:top w:w="0" w:type="dxa"/>
              <w:left w:w="100" w:type="dxa"/>
              <w:bottom w:w="0" w:type="dxa"/>
              <w:right w:w="100" w:type="dxa"/>
            </w:tcMar>
          </w:tcPr>
          <w:p w14:paraId="72A4CD86" w14:textId="2F4C223E" w:rsidR="00645D16" w:rsidRPr="00235F2C" w:rsidRDefault="00645D16" w:rsidP="00194311">
            <w:pPr>
              <w:pStyle w:val="Tabletext"/>
              <w:spacing w:line="230" w:lineRule="exact"/>
              <w:rPr>
                <w:rFonts w:eastAsia="Calibri"/>
              </w:rPr>
            </w:pPr>
            <w:r w:rsidRPr="00235F2C">
              <w:rPr>
                <w:rFonts w:eastAsia="Calibri"/>
              </w:rPr>
              <w:t>2024 CSR 2.1</w:t>
            </w:r>
            <w:r w:rsidRPr="00235F2C">
              <w:rPr>
                <w:rFonts w:eastAsia="Calibri"/>
              </w:rPr>
              <w:br/>
              <w:t>2023 CSR 4.1</w:t>
            </w:r>
            <w:r w:rsidRPr="00235F2C">
              <w:rPr>
                <w:rFonts w:eastAsia="Calibri"/>
              </w:rPr>
              <w:br/>
              <w:t>2023 CSR 4.6</w:t>
            </w:r>
            <w:r w:rsidRPr="00235F2C">
              <w:rPr>
                <w:rFonts w:eastAsia="Calibri"/>
              </w:rPr>
              <w:br/>
              <w:t>2022 CSR 4.1</w:t>
            </w:r>
            <w:r w:rsidRPr="00235F2C">
              <w:rPr>
                <w:rFonts w:eastAsia="Calibri"/>
              </w:rPr>
              <w:br/>
              <w:t>2022 CSR 4.6</w:t>
            </w:r>
            <w:r w:rsidRPr="00235F2C">
              <w:rPr>
                <w:rFonts w:eastAsia="Calibri"/>
              </w:rPr>
              <w:br/>
              <w:t>2020 CSR 3.3</w:t>
            </w:r>
            <w:r w:rsidRPr="00235F2C">
              <w:rPr>
                <w:rFonts w:eastAsia="Calibri"/>
              </w:rPr>
              <w:br/>
              <w:t>2020 CSR 3.4</w:t>
            </w:r>
            <w:r w:rsidRPr="00235F2C">
              <w:rPr>
                <w:rFonts w:eastAsia="Calibri"/>
              </w:rPr>
              <w:br/>
              <w:t>2019 CSR 2.1</w:t>
            </w:r>
            <w:r w:rsidRPr="00235F2C">
              <w:rPr>
                <w:rFonts w:eastAsia="Calibri"/>
              </w:rPr>
              <w:br/>
              <w:t>2019 CSR 2.4</w:t>
            </w:r>
          </w:p>
        </w:tc>
        <w:tc>
          <w:tcPr>
            <w:tcW w:w="2160" w:type="dxa"/>
            <w:tcMar>
              <w:top w:w="0" w:type="dxa"/>
              <w:left w:w="100" w:type="dxa"/>
              <w:bottom w:w="0" w:type="dxa"/>
              <w:right w:w="100" w:type="dxa"/>
            </w:tcMar>
          </w:tcPr>
          <w:p w14:paraId="376D85DE"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6A6A3D15" w14:textId="77777777" w:rsidTr="00235F2C">
        <w:trPr>
          <w:trHeight w:val="113"/>
          <w:jc w:val="center"/>
        </w:trPr>
        <w:tc>
          <w:tcPr>
            <w:tcW w:w="4020" w:type="dxa"/>
            <w:tcMar>
              <w:top w:w="0" w:type="dxa"/>
              <w:left w:w="100" w:type="dxa"/>
              <w:bottom w:w="0" w:type="dxa"/>
              <w:right w:w="100" w:type="dxa"/>
            </w:tcMar>
          </w:tcPr>
          <w:p w14:paraId="6AC88B04" w14:textId="5138B48D" w:rsidR="00645D16" w:rsidRPr="00235F2C" w:rsidRDefault="00BA03C0" w:rsidP="00235F2C">
            <w:pPr>
              <w:pStyle w:val="Tabletext"/>
              <w:rPr>
                <w:rFonts w:eastAsia="Calibri"/>
              </w:rPr>
            </w:pPr>
            <w:r w:rsidRPr="00BA03C0">
              <w:rPr>
                <w:rFonts w:eastAsia="Calibri"/>
                <w:b/>
              </w:rPr>
              <w:t>INVESTMENT 11:</w:t>
            </w:r>
            <w:r w:rsidR="00645D16" w:rsidRPr="00235F2C">
              <w:rPr>
                <w:rFonts w:eastAsia="Calibri"/>
              </w:rPr>
              <w:t xml:space="preserve"> National Reforestation Plan, restoration and prevention (“antiNERO”), anti-erosion and flood protection measures</w:t>
            </w:r>
          </w:p>
        </w:tc>
        <w:tc>
          <w:tcPr>
            <w:tcW w:w="1500" w:type="dxa"/>
            <w:tcMar>
              <w:top w:w="0" w:type="dxa"/>
              <w:left w:w="100" w:type="dxa"/>
              <w:bottom w:w="0" w:type="dxa"/>
              <w:right w:w="100" w:type="dxa"/>
            </w:tcMar>
          </w:tcPr>
          <w:p w14:paraId="2A8A0B78" w14:textId="77777777" w:rsidR="00645D16" w:rsidRPr="00235F2C" w:rsidRDefault="00645D16" w:rsidP="00235F2C">
            <w:pPr>
              <w:pStyle w:val="Tabletext"/>
              <w:rPr>
                <w:rFonts w:eastAsia="Calibri"/>
              </w:rPr>
            </w:pPr>
            <w:r w:rsidRPr="00235F2C">
              <w:rPr>
                <w:rFonts w:eastAsia="Calibri"/>
              </w:rPr>
              <w:t>RRF 16849</w:t>
            </w:r>
          </w:p>
        </w:tc>
        <w:tc>
          <w:tcPr>
            <w:tcW w:w="1680" w:type="dxa"/>
            <w:tcMar>
              <w:top w:w="0" w:type="dxa"/>
              <w:left w:w="100" w:type="dxa"/>
              <w:bottom w:w="0" w:type="dxa"/>
              <w:right w:w="100" w:type="dxa"/>
            </w:tcMar>
          </w:tcPr>
          <w:p w14:paraId="0CE6CD8B" w14:textId="77777777" w:rsidR="00645D16" w:rsidRPr="00235F2C" w:rsidRDefault="00645D16" w:rsidP="00194311">
            <w:pPr>
              <w:pStyle w:val="Tabletext"/>
              <w:spacing w:line="230" w:lineRule="exact"/>
              <w:rPr>
                <w:rFonts w:eastAsia="Calibri"/>
              </w:rPr>
            </w:pPr>
            <w:r w:rsidRPr="00235F2C">
              <w:rPr>
                <w:rFonts w:eastAsia="Calibri"/>
              </w:rPr>
              <w:t>2024 CSR 4.2</w:t>
            </w:r>
            <w:r w:rsidRPr="00235F2C">
              <w:rPr>
                <w:rFonts w:eastAsia="Calibri"/>
              </w:rPr>
              <w:br/>
              <w:t>2020 CSR 3.6</w:t>
            </w:r>
            <w:r w:rsidRPr="00235F2C">
              <w:rPr>
                <w:rFonts w:eastAsia="Calibri"/>
              </w:rPr>
              <w:br/>
              <w:t>2019 CSR 2.2</w:t>
            </w:r>
          </w:p>
        </w:tc>
        <w:tc>
          <w:tcPr>
            <w:tcW w:w="2160" w:type="dxa"/>
            <w:tcMar>
              <w:top w:w="0" w:type="dxa"/>
              <w:left w:w="100" w:type="dxa"/>
              <w:bottom w:w="0" w:type="dxa"/>
              <w:right w:w="100" w:type="dxa"/>
            </w:tcMar>
          </w:tcPr>
          <w:p w14:paraId="0D6803E6"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294BB696" w14:textId="77777777" w:rsidTr="00235F2C">
        <w:trPr>
          <w:trHeight w:val="113"/>
          <w:jc w:val="center"/>
        </w:trPr>
        <w:tc>
          <w:tcPr>
            <w:tcW w:w="4020" w:type="dxa"/>
            <w:tcMar>
              <w:top w:w="0" w:type="dxa"/>
              <w:left w:w="100" w:type="dxa"/>
              <w:bottom w:w="0" w:type="dxa"/>
              <w:right w:w="100" w:type="dxa"/>
            </w:tcMar>
          </w:tcPr>
          <w:p w14:paraId="08B6471E" w14:textId="3CD6977F" w:rsidR="00645D16" w:rsidRPr="00235F2C" w:rsidRDefault="00BA03C0" w:rsidP="00235F2C">
            <w:pPr>
              <w:pStyle w:val="Tabletext"/>
              <w:rPr>
                <w:rFonts w:eastAsia="Calibri"/>
              </w:rPr>
            </w:pPr>
            <w:r w:rsidRPr="00BA03C0">
              <w:rPr>
                <w:rFonts w:eastAsia="Calibri"/>
                <w:b/>
              </w:rPr>
              <w:t>INVESTMENT 12:</w:t>
            </w:r>
            <w:r w:rsidR="00645D16" w:rsidRPr="00235F2C">
              <w:rPr>
                <w:rFonts w:eastAsia="Calibri"/>
              </w:rPr>
              <w:t xml:space="preserve"> Urban Wastewater and Sludge Management Infrastructures from Wastewater Treatment</w:t>
            </w:r>
          </w:p>
        </w:tc>
        <w:tc>
          <w:tcPr>
            <w:tcW w:w="1500" w:type="dxa"/>
            <w:tcMar>
              <w:top w:w="0" w:type="dxa"/>
              <w:left w:w="100" w:type="dxa"/>
              <w:bottom w:w="0" w:type="dxa"/>
              <w:right w:w="100" w:type="dxa"/>
            </w:tcMar>
          </w:tcPr>
          <w:p w14:paraId="53D3005F" w14:textId="77777777" w:rsidR="00645D16" w:rsidRPr="00235F2C" w:rsidRDefault="00645D16" w:rsidP="00235F2C">
            <w:pPr>
              <w:pStyle w:val="Tabletext"/>
              <w:rPr>
                <w:rFonts w:eastAsia="Calibri"/>
              </w:rPr>
            </w:pPr>
            <w:r w:rsidRPr="00235F2C">
              <w:rPr>
                <w:rFonts w:eastAsia="Calibri"/>
              </w:rPr>
              <w:t>RRF 16846</w:t>
            </w:r>
          </w:p>
        </w:tc>
        <w:tc>
          <w:tcPr>
            <w:tcW w:w="1680" w:type="dxa"/>
            <w:tcMar>
              <w:top w:w="0" w:type="dxa"/>
              <w:left w:w="100" w:type="dxa"/>
              <w:bottom w:w="0" w:type="dxa"/>
              <w:right w:w="100" w:type="dxa"/>
            </w:tcMar>
          </w:tcPr>
          <w:p w14:paraId="60C2185F" w14:textId="54A48B2C" w:rsidR="00645D16" w:rsidRPr="00235F2C" w:rsidRDefault="00645D16" w:rsidP="00194311">
            <w:pPr>
              <w:pStyle w:val="Tabletext"/>
              <w:spacing w:line="230" w:lineRule="exact"/>
              <w:rPr>
                <w:rFonts w:eastAsia="Calibri"/>
              </w:rPr>
            </w:pPr>
            <w:r w:rsidRPr="00235F2C">
              <w:rPr>
                <w:rFonts w:eastAsia="Calibri"/>
              </w:rPr>
              <w:t>2020 CSR 3.6</w:t>
            </w:r>
            <w:r w:rsidRPr="00235F2C">
              <w:rPr>
                <w:rFonts w:eastAsia="Calibri"/>
              </w:rPr>
              <w:br/>
              <w:t>2020 CSR 3.3</w:t>
            </w:r>
            <w:r w:rsidRPr="00235F2C">
              <w:rPr>
                <w:rFonts w:eastAsia="Calibri"/>
              </w:rPr>
              <w:br/>
              <w:t>2019 CSR 2.2</w:t>
            </w:r>
            <w:r w:rsidRPr="00235F2C">
              <w:rPr>
                <w:rFonts w:eastAsia="Calibri"/>
              </w:rPr>
              <w:br/>
              <w:t>2019 CSR 2.9</w:t>
            </w:r>
          </w:p>
        </w:tc>
        <w:tc>
          <w:tcPr>
            <w:tcW w:w="2160" w:type="dxa"/>
            <w:tcMar>
              <w:top w:w="0" w:type="dxa"/>
              <w:left w:w="100" w:type="dxa"/>
              <w:bottom w:w="0" w:type="dxa"/>
              <w:right w:w="100" w:type="dxa"/>
            </w:tcMar>
          </w:tcPr>
          <w:p w14:paraId="112DE8E1" w14:textId="77777777" w:rsidR="00645D16" w:rsidRPr="00235F2C" w:rsidRDefault="00645D16" w:rsidP="00235F2C">
            <w:pPr>
              <w:pStyle w:val="Tabletext"/>
              <w:rPr>
                <w:rFonts w:eastAsia="Calibri"/>
              </w:rPr>
            </w:pPr>
            <w:r w:rsidRPr="00235F2C">
              <w:rPr>
                <w:rFonts w:eastAsia="Calibri"/>
              </w:rPr>
              <w:t xml:space="preserve"> Fair green &amp; digital transition</w:t>
            </w:r>
          </w:p>
        </w:tc>
      </w:tr>
      <w:tr w:rsidR="00645D16" w:rsidRPr="00235F2C" w14:paraId="0259184B" w14:textId="77777777" w:rsidTr="00235F2C">
        <w:trPr>
          <w:trHeight w:val="113"/>
          <w:jc w:val="center"/>
        </w:trPr>
        <w:tc>
          <w:tcPr>
            <w:tcW w:w="4020" w:type="dxa"/>
            <w:tcMar>
              <w:top w:w="0" w:type="dxa"/>
              <w:left w:w="100" w:type="dxa"/>
              <w:bottom w:w="0" w:type="dxa"/>
              <w:right w:w="100" w:type="dxa"/>
            </w:tcMar>
          </w:tcPr>
          <w:p w14:paraId="50FD7B23" w14:textId="703C2999" w:rsidR="00645D16" w:rsidRPr="00235F2C" w:rsidRDefault="00645D16" w:rsidP="00235F2C">
            <w:pPr>
              <w:pStyle w:val="Tabletext"/>
              <w:rPr>
                <w:rFonts w:eastAsia="Calibri"/>
              </w:rPr>
            </w:pPr>
            <w:r w:rsidRPr="00BA03C0">
              <w:rPr>
                <w:rFonts w:eastAsia="Calibri"/>
                <w:b/>
              </w:rPr>
              <w:t>INVESTMENT 13:</w:t>
            </w:r>
            <w:r w:rsidRPr="00235F2C">
              <w:rPr>
                <w:rFonts w:eastAsia="Calibri"/>
              </w:rPr>
              <w:t xml:space="preserve"> 16995_Pilot projects</w:t>
            </w:r>
            <w:r w:rsidR="00F3146F" w:rsidRPr="00235F2C">
              <w:rPr>
                <w:rFonts w:eastAsia="Calibri"/>
              </w:rPr>
              <w:t xml:space="preserve"> </w:t>
            </w:r>
            <w:r w:rsidRPr="00235F2C">
              <w:rPr>
                <w:rFonts w:eastAsia="Calibri"/>
              </w:rPr>
              <w:t>for Biomethane and Renewable Hydrogen Production</w:t>
            </w:r>
          </w:p>
          <w:p w14:paraId="2769CCCD" w14:textId="77777777" w:rsidR="00645D16" w:rsidRPr="00235F2C" w:rsidRDefault="00645D16" w:rsidP="00235F2C">
            <w:pPr>
              <w:pStyle w:val="Tabletext"/>
              <w:rPr>
                <w:rFonts w:eastAsia="Calibri"/>
              </w:rPr>
            </w:pPr>
            <w:r w:rsidRPr="00235F2C">
              <w:rPr>
                <w:rFonts w:eastAsia="Calibri"/>
              </w:rPr>
              <w:t xml:space="preserve"> </w:t>
            </w:r>
          </w:p>
        </w:tc>
        <w:tc>
          <w:tcPr>
            <w:tcW w:w="1500" w:type="dxa"/>
            <w:tcMar>
              <w:top w:w="0" w:type="dxa"/>
              <w:left w:w="100" w:type="dxa"/>
              <w:bottom w:w="0" w:type="dxa"/>
              <w:right w:w="100" w:type="dxa"/>
            </w:tcMar>
          </w:tcPr>
          <w:p w14:paraId="20E29B35" w14:textId="77777777" w:rsidR="00645D16" w:rsidRPr="00235F2C" w:rsidRDefault="00645D16" w:rsidP="00235F2C">
            <w:pPr>
              <w:pStyle w:val="Tabletext"/>
              <w:rPr>
                <w:rFonts w:eastAsia="Calibri"/>
              </w:rPr>
            </w:pPr>
            <w:r w:rsidRPr="00235F2C">
              <w:rPr>
                <w:rFonts w:eastAsia="Calibri"/>
              </w:rPr>
              <w:t>RRF 16995</w:t>
            </w:r>
          </w:p>
        </w:tc>
        <w:tc>
          <w:tcPr>
            <w:tcW w:w="1680" w:type="dxa"/>
            <w:tcMar>
              <w:top w:w="0" w:type="dxa"/>
              <w:left w:w="100" w:type="dxa"/>
              <w:bottom w:w="0" w:type="dxa"/>
              <w:right w:w="100" w:type="dxa"/>
            </w:tcMar>
          </w:tcPr>
          <w:p w14:paraId="306905B7" w14:textId="77777777" w:rsidR="00645D16" w:rsidRPr="00235F2C" w:rsidRDefault="00645D16" w:rsidP="00194311">
            <w:pPr>
              <w:pStyle w:val="Tabletext"/>
              <w:spacing w:line="230" w:lineRule="exact"/>
              <w:rPr>
                <w:rFonts w:eastAsia="Calibri"/>
              </w:rPr>
            </w:pPr>
            <w:r w:rsidRPr="00235F2C">
              <w:rPr>
                <w:rFonts w:eastAsia="Calibri"/>
              </w:rPr>
              <w:t>2024 CSR 2.1</w:t>
            </w:r>
          </w:p>
          <w:p w14:paraId="480CFF91" w14:textId="77777777" w:rsidR="00645D16" w:rsidRPr="00235F2C" w:rsidRDefault="00645D16" w:rsidP="00194311">
            <w:pPr>
              <w:pStyle w:val="Tabletext"/>
              <w:spacing w:line="230" w:lineRule="exact"/>
              <w:rPr>
                <w:rFonts w:eastAsia="Calibri"/>
              </w:rPr>
            </w:pPr>
            <w:r w:rsidRPr="00235F2C">
              <w:rPr>
                <w:rFonts w:eastAsia="Calibri"/>
              </w:rPr>
              <w:t>2023 CSR 4.3</w:t>
            </w:r>
          </w:p>
          <w:p w14:paraId="35B53F75" w14:textId="77777777" w:rsidR="00645D16" w:rsidRPr="00235F2C" w:rsidRDefault="00645D16" w:rsidP="00194311">
            <w:pPr>
              <w:pStyle w:val="Tabletext"/>
              <w:spacing w:line="230" w:lineRule="exact"/>
              <w:rPr>
                <w:rFonts w:eastAsia="Calibri"/>
              </w:rPr>
            </w:pPr>
            <w:r w:rsidRPr="00235F2C">
              <w:rPr>
                <w:rFonts w:eastAsia="Calibri"/>
              </w:rPr>
              <w:t>2023 CSR 4.1</w:t>
            </w:r>
          </w:p>
          <w:p w14:paraId="055046EC" w14:textId="77777777" w:rsidR="00645D16" w:rsidRPr="00235F2C" w:rsidRDefault="00645D16" w:rsidP="00194311">
            <w:pPr>
              <w:pStyle w:val="Tabletext"/>
              <w:spacing w:line="230" w:lineRule="exact"/>
              <w:rPr>
                <w:rFonts w:eastAsia="Calibri"/>
              </w:rPr>
            </w:pPr>
            <w:r w:rsidRPr="00235F2C">
              <w:rPr>
                <w:rFonts w:eastAsia="Calibri"/>
              </w:rPr>
              <w:t>2022.CSR 4.2</w:t>
            </w:r>
          </w:p>
          <w:p w14:paraId="73BD6FEC" w14:textId="77777777" w:rsidR="00645D16" w:rsidRPr="00235F2C" w:rsidRDefault="00645D16" w:rsidP="00194311">
            <w:pPr>
              <w:pStyle w:val="Tabletext"/>
              <w:spacing w:line="230" w:lineRule="exact"/>
              <w:rPr>
                <w:rFonts w:eastAsia="Calibri"/>
              </w:rPr>
            </w:pPr>
            <w:r w:rsidRPr="00235F2C">
              <w:rPr>
                <w:rFonts w:eastAsia="Calibri"/>
              </w:rPr>
              <w:t>2022 CSR 4.1</w:t>
            </w:r>
          </w:p>
          <w:p w14:paraId="457BA6AC" w14:textId="77777777" w:rsidR="00645D16" w:rsidRPr="00235F2C" w:rsidRDefault="00645D16" w:rsidP="00194311">
            <w:pPr>
              <w:pStyle w:val="Tabletext"/>
              <w:spacing w:line="230" w:lineRule="exact"/>
              <w:rPr>
                <w:rFonts w:eastAsia="Calibri"/>
              </w:rPr>
            </w:pPr>
            <w:r w:rsidRPr="00235F2C">
              <w:rPr>
                <w:rFonts w:eastAsia="Calibri"/>
              </w:rPr>
              <w:t>2020 CSR 3.5</w:t>
            </w:r>
          </w:p>
          <w:p w14:paraId="33B5EABA" w14:textId="77777777" w:rsidR="00645D16" w:rsidRPr="00235F2C" w:rsidRDefault="00645D16" w:rsidP="00194311">
            <w:pPr>
              <w:pStyle w:val="Tabletext"/>
              <w:spacing w:line="230" w:lineRule="exact"/>
              <w:rPr>
                <w:rFonts w:eastAsia="Calibri"/>
              </w:rPr>
            </w:pPr>
            <w:r w:rsidRPr="00235F2C">
              <w:rPr>
                <w:rFonts w:eastAsia="Calibri"/>
              </w:rPr>
              <w:t>2019 CSR 2.2</w:t>
            </w:r>
          </w:p>
        </w:tc>
        <w:tc>
          <w:tcPr>
            <w:tcW w:w="2160" w:type="dxa"/>
            <w:tcMar>
              <w:top w:w="0" w:type="dxa"/>
              <w:left w:w="100" w:type="dxa"/>
              <w:bottom w:w="0" w:type="dxa"/>
              <w:right w:w="100" w:type="dxa"/>
            </w:tcMar>
          </w:tcPr>
          <w:p w14:paraId="64FABE08"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23F4CA8A" w14:textId="77777777" w:rsidTr="00235F2C">
        <w:trPr>
          <w:trHeight w:val="113"/>
          <w:jc w:val="center"/>
        </w:trPr>
        <w:tc>
          <w:tcPr>
            <w:tcW w:w="4020" w:type="dxa"/>
            <w:tcMar>
              <w:top w:w="0" w:type="dxa"/>
              <w:left w:w="100" w:type="dxa"/>
              <w:bottom w:w="0" w:type="dxa"/>
              <w:right w:w="100" w:type="dxa"/>
            </w:tcMar>
          </w:tcPr>
          <w:p w14:paraId="2F05B17D" w14:textId="77777777" w:rsidR="00645D16" w:rsidRPr="00235F2C" w:rsidRDefault="00645D16" w:rsidP="00235F2C">
            <w:pPr>
              <w:pStyle w:val="Tabletext"/>
              <w:rPr>
                <w:rFonts w:eastAsia="Calibri"/>
              </w:rPr>
            </w:pPr>
            <w:r w:rsidRPr="00BA03C0">
              <w:rPr>
                <w:rFonts w:eastAsia="Calibri"/>
                <w:b/>
              </w:rPr>
              <w:lastRenderedPageBreak/>
              <w:t>INVESTMENT 14:</w:t>
            </w:r>
            <w:r w:rsidRPr="00235F2C">
              <w:rPr>
                <w:rFonts w:eastAsia="Calibri"/>
              </w:rPr>
              <w:t xml:space="preserve"> Drinking water supply and saving infrastructure</w:t>
            </w:r>
          </w:p>
        </w:tc>
        <w:tc>
          <w:tcPr>
            <w:tcW w:w="1500" w:type="dxa"/>
            <w:tcMar>
              <w:top w:w="0" w:type="dxa"/>
              <w:left w:w="100" w:type="dxa"/>
              <w:bottom w:w="0" w:type="dxa"/>
              <w:right w:w="100" w:type="dxa"/>
            </w:tcMar>
          </w:tcPr>
          <w:p w14:paraId="0876E3C1" w14:textId="77777777" w:rsidR="00645D16" w:rsidRPr="00235F2C" w:rsidRDefault="00645D16" w:rsidP="00235F2C">
            <w:pPr>
              <w:pStyle w:val="Tabletext"/>
              <w:rPr>
                <w:rFonts w:eastAsia="Calibri"/>
              </w:rPr>
            </w:pPr>
            <w:r w:rsidRPr="00235F2C">
              <w:rPr>
                <w:rFonts w:eastAsia="Calibri"/>
              </w:rPr>
              <w:t>RRF 16850</w:t>
            </w:r>
          </w:p>
        </w:tc>
        <w:tc>
          <w:tcPr>
            <w:tcW w:w="1680" w:type="dxa"/>
            <w:tcMar>
              <w:top w:w="0" w:type="dxa"/>
              <w:left w:w="100" w:type="dxa"/>
              <w:bottom w:w="0" w:type="dxa"/>
              <w:right w:w="100" w:type="dxa"/>
            </w:tcMar>
          </w:tcPr>
          <w:p w14:paraId="540C1756" w14:textId="77777777" w:rsidR="00645D16" w:rsidRPr="00235F2C" w:rsidRDefault="00645D16" w:rsidP="00235F2C">
            <w:pPr>
              <w:pStyle w:val="Tabletext"/>
              <w:rPr>
                <w:rFonts w:eastAsia="Calibri"/>
              </w:rPr>
            </w:pPr>
            <w:r w:rsidRPr="00235F2C">
              <w:rPr>
                <w:rFonts w:eastAsia="Calibri"/>
              </w:rPr>
              <w:t>2024.CSR2.1</w:t>
            </w:r>
          </w:p>
          <w:p w14:paraId="6EE82F3B" w14:textId="77777777" w:rsidR="00645D16" w:rsidRPr="00235F2C" w:rsidRDefault="00645D16" w:rsidP="00235F2C">
            <w:pPr>
              <w:pStyle w:val="Tabletext"/>
              <w:rPr>
                <w:rFonts w:eastAsia="Calibri"/>
              </w:rPr>
            </w:pPr>
            <w:r w:rsidRPr="00235F2C">
              <w:rPr>
                <w:rFonts w:eastAsia="Calibri"/>
              </w:rPr>
              <w:t>2020.CSR3.6 2020.CSR3.3 2020.CSR3.9</w:t>
            </w:r>
          </w:p>
          <w:p w14:paraId="5C68E756" w14:textId="77777777" w:rsidR="00645D16" w:rsidRPr="00235F2C" w:rsidRDefault="00645D16" w:rsidP="00235F2C">
            <w:pPr>
              <w:pStyle w:val="Tabletext"/>
              <w:rPr>
                <w:rFonts w:eastAsia="Calibri"/>
              </w:rPr>
            </w:pPr>
            <w:r w:rsidRPr="00235F2C">
              <w:rPr>
                <w:rFonts w:eastAsia="Calibri"/>
              </w:rPr>
              <w:t>2019.CSR2.2 2019.CSR2.9</w:t>
            </w:r>
          </w:p>
        </w:tc>
        <w:tc>
          <w:tcPr>
            <w:tcW w:w="2160" w:type="dxa"/>
            <w:tcMar>
              <w:top w:w="0" w:type="dxa"/>
              <w:left w:w="100" w:type="dxa"/>
              <w:bottom w:w="0" w:type="dxa"/>
              <w:right w:w="100" w:type="dxa"/>
            </w:tcMar>
          </w:tcPr>
          <w:p w14:paraId="3F7FC6A7"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518FFD6D" w14:textId="77777777" w:rsidTr="00235F2C">
        <w:trPr>
          <w:trHeight w:val="113"/>
          <w:jc w:val="center"/>
        </w:trPr>
        <w:tc>
          <w:tcPr>
            <w:tcW w:w="4020" w:type="dxa"/>
            <w:tcMar>
              <w:top w:w="0" w:type="dxa"/>
              <w:left w:w="100" w:type="dxa"/>
              <w:bottom w:w="0" w:type="dxa"/>
              <w:right w:w="100" w:type="dxa"/>
            </w:tcMar>
          </w:tcPr>
          <w:p w14:paraId="010AC9C2" w14:textId="77777777" w:rsidR="00645D16" w:rsidRPr="00235F2C" w:rsidRDefault="00645D16" w:rsidP="00235F2C">
            <w:pPr>
              <w:pStyle w:val="Tabletext"/>
              <w:rPr>
                <w:rFonts w:eastAsia="Calibri"/>
              </w:rPr>
            </w:pPr>
            <w:r w:rsidRPr="00BA03C0">
              <w:rPr>
                <w:rFonts w:eastAsia="Calibri"/>
                <w:b/>
              </w:rPr>
              <w:t>INVESTMENT 15:</w:t>
            </w:r>
            <w:r w:rsidRPr="00235F2C">
              <w:rPr>
                <w:rFonts w:eastAsia="Calibri"/>
              </w:rPr>
              <w:t xml:space="preserve"> Drinking water supply projects to areas with water shortages</w:t>
            </w:r>
          </w:p>
        </w:tc>
        <w:tc>
          <w:tcPr>
            <w:tcW w:w="1500" w:type="dxa"/>
            <w:tcMar>
              <w:top w:w="0" w:type="dxa"/>
              <w:left w:w="100" w:type="dxa"/>
              <w:bottom w:w="0" w:type="dxa"/>
              <w:right w:w="100" w:type="dxa"/>
            </w:tcMar>
          </w:tcPr>
          <w:p w14:paraId="15EABEBE" w14:textId="77777777" w:rsidR="00645D16" w:rsidRPr="00235F2C" w:rsidRDefault="00645D16" w:rsidP="00235F2C">
            <w:pPr>
              <w:pStyle w:val="Tabletext"/>
              <w:rPr>
                <w:rFonts w:eastAsia="Calibri"/>
              </w:rPr>
            </w:pPr>
            <w:r w:rsidRPr="00235F2C">
              <w:rPr>
                <w:rFonts w:eastAsia="Calibri"/>
              </w:rPr>
              <w:t xml:space="preserve"> </w:t>
            </w:r>
          </w:p>
        </w:tc>
        <w:tc>
          <w:tcPr>
            <w:tcW w:w="1680" w:type="dxa"/>
            <w:tcMar>
              <w:top w:w="0" w:type="dxa"/>
              <w:left w:w="100" w:type="dxa"/>
              <w:bottom w:w="0" w:type="dxa"/>
              <w:right w:w="100" w:type="dxa"/>
            </w:tcMar>
          </w:tcPr>
          <w:p w14:paraId="69A43964" w14:textId="77777777" w:rsidR="00645D16" w:rsidRPr="00235F2C" w:rsidRDefault="00645D16" w:rsidP="00235F2C">
            <w:pPr>
              <w:pStyle w:val="Tabletext"/>
              <w:rPr>
                <w:rFonts w:eastAsia="Calibri"/>
              </w:rPr>
            </w:pPr>
            <w:r w:rsidRPr="00235F2C">
              <w:rPr>
                <w:rFonts w:eastAsia="Calibri"/>
              </w:rPr>
              <w:t xml:space="preserve"> </w:t>
            </w:r>
          </w:p>
        </w:tc>
        <w:tc>
          <w:tcPr>
            <w:tcW w:w="2160" w:type="dxa"/>
            <w:tcMar>
              <w:top w:w="0" w:type="dxa"/>
              <w:left w:w="100" w:type="dxa"/>
              <w:bottom w:w="0" w:type="dxa"/>
              <w:right w:w="100" w:type="dxa"/>
            </w:tcMar>
          </w:tcPr>
          <w:p w14:paraId="5C3AA9C6"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235F2C" w14:paraId="65F06C6B" w14:textId="77777777" w:rsidTr="00235F2C">
        <w:trPr>
          <w:trHeight w:val="113"/>
          <w:jc w:val="center"/>
        </w:trPr>
        <w:tc>
          <w:tcPr>
            <w:tcW w:w="4020" w:type="dxa"/>
            <w:tcMar>
              <w:top w:w="0" w:type="dxa"/>
              <w:left w:w="100" w:type="dxa"/>
              <w:bottom w:w="0" w:type="dxa"/>
              <w:right w:w="100" w:type="dxa"/>
            </w:tcMar>
          </w:tcPr>
          <w:p w14:paraId="1BFA190A" w14:textId="77777777" w:rsidR="00645D16" w:rsidRPr="00235F2C" w:rsidRDefault="00645D16" w:rsidP="00235F2C">
            <w:pPr>
              <w:pStyle w:val="Tabletext"/>
              <w:rPr>
                <w:rFonts w:eastAsia="Calibri"/>
              </w:rPr>
            </w:pPr>
            <w:r w:rsidRPr="00BA03C0">
              <w:rPr>
                <w:rFonts w:eastAsia="Calibri"/>
                <w:b/>
              </w:rPr>
              <w:t>INVESTMENT 16:</w:t>
            </w:r>
            <w:r w:rsidRPr="00235F2C">
              <w:rPr>
                <w:rFonts w:eastAsia="Calibri"/>
              </w:rPr>
              <w:t xml:space="preserve"> Biodiversity Protection as a driver for sustainable growth</w:t>
            </w:r>
          </w:p>
        </w:tc>
        <w:tc>
          <w:tcPr>
            <w:tcW w:w="1500" w:type="dxa"/>
            <w:tcMar>
              <w:top w:w="0" w:type="dxa"/>
              <w:left w:w="100" w:type="dxa"/>
              <w:bottom w:w="0" w:type="dxa"/>
              <w:right w:w="100" w:type="dxa"/>
            </w:tcMar>
          </w:tcPr>
          <w:p w14:paraId="649F5153" w14:textId="77777777" w:rsidR="00645D16" w:rsidRPr="00235F2C" w:rsidRDefault="00645D16" w:rsidP="00235F2C">
            <w:pPr>
              <w:pStyle w:val="Tabletext"/>
              <w:rPr>
                <w:rFonts w:eastAsia="Calibri"/>
              </w:rPr>
            </w:pPr>
            <w:r w:rsidRPr="00235F2C">
              <w:rPr>
                <w:rFonts w:eastAsia="Calibri"/>
              </w:rPr>
              <w:t>RRF 16851</w:t>
            </w:r>
          </w:p>
        </w:tc>
        <w:tc>
          <w:tcPr>
            <w:tcW w:w="1680" w:type="dxa"/>
            <w:tcMar>
              <w:top w:w="0" w:type="dxa"/>
              <w:left w:w="100" w:type="dxa"/>
              <w:bottom w:w="0" w:type="dxa"/>
              <w:right w:w="100" w:type="dxa"/>
            </w:tcMar>
          </w:tcPr>
          <w:p w14:paraId="4EFFBBF0" w14:textId="77777777" w:rsidR="00645D16" w:rsidRPr="00235F2C" w:rsidRDefault="00645D16" w:rsidP="00235F2C">
            <w:pPr>
              <w:pStyle w:val="Tabletext"/>
              <w:rPr>
                <w:rFonts w:eastAsia="Calibri"/>
              </w:rPr>
            </w:pPr>
            <w:r w:rsidRPr="00235F2C">
              <w:rPr>
                <w:rFonts w:eastAsia="Calibri"/>
              </w:rPr>
              <w:t>2024.CSR2.1</w:t>
            </w:r>
          </w:p>
          <w:p w14:paraId="43D9B769" w14:textId="77777777" w:rsidR="00645D16" w:rsidRPr="00235F2C" w:rsidRDefault="00645D16" w:rsidP="00235F2C">
            <w:pPr>
              <w:pStyle w:val="Tabletext"/>
              <w:rPr>
                <w:rFonts w:eastAsia="Calibri"/>
              </w:rPr>
            </w:pPr>
            <w:r w:rsidRPr="00235F2C">
              <w:rPr>
                <w:rFonts w:eastAsia="Calibri"/>
              </w:rPr>
              <w:t>2020.CSR3.6</w:t>
            </w:r>
          </w:p>
          <w:p w14:paraId="125E0D17" w14:textId="77777777" w:rsidR="00645D16" w:rsidRPr="00235F2C" w:rsidRDefault="00645D16" w:rsidP="00235F2C">
            <w:pPr>
              <w:pStyle w:val="Tabletext"/>
              <w:rPr>
                <w:rFonts w:eastAsia="Calibri"/>
              </w:rPr>
            </w:pPr>
            <w:r w:rsidRPr="00235F2C">
              <w:rPr>
                <w:rFonts w:eastAsia="Calibri"/>
              </w:rPr>
              <w:t>2019.CSR2.2</w:t>
            </w:r>
          </w:p>
        </w:tc>
        <w:tc>
          <w:tcPr>
            <w:tcW w:w="2160" w:type="dxa"/>
            <w:tcMar>
              <w:top w:w="0" w:type="dxa"/>
              <w:left w:w="100" w:type="dxa"/>
              <w:bottom w:w="0" w:type="dxa"/>
              <w:right w:w="100" w:type="dxa"/>
            </w:tcMar>
          </w:tcPr>
          <w:p w14:paraId="3D28EBF2" w14:textId="77777777" w:rsidR="00645D16" w:rsidRPr="00235F2C" w:rsidRDefault="00645D16" w:rsidP="00235F2C">
            <w:pPr>
              <w:pStyle w:val="Tabletext"/>
              <w:rPr>
                <w:rFonts w:eastAsia="Calibri"/>
              </w:rPr>
            </w:pPr>
            <w:r w:rsidRPr="00235F2C">
              <w:rPr>
                <w:rFonts w:eastAsia="Calibri"/>
              </w:rPr>
              <w:t>Fair green &amp; digital transition</w:t>
            </w:r>
          </w:p>
        </w:tc>
      </w:tr>
      <w:tr w:rsidR="00645D16" w:rsidRPr="007E062A" w14:paraId="4B50B713" w14:textId="77777777" w:rsidTr="00235F2C">
        <w:trPr>
          <w:trHeight w:val="113"/>
          <w:jc w:val="center"/>
        </w:trPr>
        <w:tc>
          <w:tcPr>
            <w:tcW w:w="4020" w:type="dxa"/>
            <w:tcMar>
              <w:top w:w="0" w:type="dxa"/>
              <w:left w:w="100" w:type="dxa"/>
              <w:bottom w:w="0" w:type="dxa"/>
              <w:right w:w="100" w:type="dxa"/>
            </w:tcMar>
          </w:tcPr>
          <w:p w14:paraId="537C25FA" w14:textId="77777777" w:rsidR="00645D16" w:rsidRPr="007E062A" w:rsidRDefault="00645D16" w:rsidP="00235F2C">
            <w:pPr>
              <w:pStyle w:val="Tabletext"/>
              <w:rPr>
                <w:rFonts w:eastAsia="Calibri"/>
                <w:i/>
              </w:rPr>
            </w:pPr>
            <w:r w:rsidRPr="007E062A">
              <w:rPr>
                <w:rFonts w:eastAsia="Calibri"/>
                <w:b/>
                <w:i/>
              </w:rPr>
              <w:t>INVESTMENT 17:</w:t>
            </w:r>
            <w:r w:rsidRPr="007E062A">
              <w:rPr>
                <w:rFonts w:eastAsia="Calibri"/>
                <w:i/>
              </w:rPr>
              <w:t xml:space="preserve"> Tracing of illegal building and construction using state-of-the-art technological means</w:t>
            </w:r>
          </w:p>
        </w:tc>
        <w:tc>
          <w:tcPr>
            <w:tcW w:w="1500" w:type="dxa"/>
            <w:tcMar>
              <w:top w:w="0" w:type="dxa"/>
              <w:left w:w="100" w:type="dxa"/>
              <w:bottom w:w="0" w:type="dxa"/>
              <w:right w:w="100" w:type="dxa"/>
            </w:tcMar>
          </w:tcPr>
          <w:p w14:paraId="5CC9D13E" w14:textId="77777777" w:rsidR="00645D16" w:rsidRPr="007E062A" w:rsidRDefault="00645D16" w:rsidP="00235F2C">
            <w:pPr>
              <w:pStyle w:val="Tabletext"/>
              <w:rPr>
                <w:rFonts w:eastAsia="Calibri"/>
                <w:i/>
              </w:rPr>
            </w:pPr>
            <w:r w:rsidRPr="007E062A">
              <w:rPr>
                <w:rFonts w:eastAsia="Calibri"/>
                <w:i/>
              </w:rPr>
              <w:t>RRF 16960</w:t>
            </w:r>
          </w:p>
        </w:tc>
        <w:tc>
          <w:tcPr>
            <w:tcW w:w="1680" w:type="dxa"/>
            <w:tcMar>
              <w:top w:w="0" w:type="dxa"/>
              <w:left w:w="100" w:type="dxa"/>
              <w:bottom w:w="0" w:type="dxa"/>
              <w:right w:w="100" w:type="dxa"/>
            </w:tcMar>
          </w:tcPr>
          <w:p w14:paraId="456D272B" w14:textId="77777777" w:rsidR="00645D16" w:rsidRPr="007E062A" w:rsidRDefault="00645D16" w:rsidP="00235F2C">
            <w:pPr>
              <w:pStyle w:val="Tabletext"/>
              <w:rPr>
                <w:rFonts w:eastAsia="Calibri"/>
                <w:i/>
              </w:rPr>
            </w:pPr>
            <w:r w:rsidRPr="007E062A">
              <w:rPr>
                <w:rFonts w:eastAsia="Calibri"/>
                <w:i/>
              </w:rPr>
              <w:t>2024.CSR2.1</w:t>
            </w:r>
          </w:p>
          <w:p w14:paraId="078468D4" w14:textId="77777777" w:rsidR="00645D16" w:rsidRPr="007E062A" w:rsidRDefault="00645D16" w:rsidP="00235F2C">
            <w:pPr>
              <w:pStyle w:val="Tabletext"/>
              <w:rPr>
                <w:rFonts w:eastAsia="Calibri"/>
                <w:i/>
              </w:rPr>
            </w:pPr>
            <w:r w:rsidRPr="007E062A">
              <w:rPr>
                <w:rFonts w:eastAsia="Calibri"/>
                <w:i/>
              </w:rPr>
              <w:t>2020.CSR3.9 2020.CSR3.6</w:t>
            </w:r>
          </w:p>
          <w:p w14:paraId="7DB63613" w14:textId="77777777" w:rsidR="00645D16" w:rsidRPr="007E062A" w:rsidRDefault="00645D16" w:rsidP="00235F2C">
            <w:pPr>
              <w:pStyle w:val="Tabletext"/>
              <w:rPr>
                <w:rFonts w:eastAsia="Calibri"/>
                <w:i/>
              </w:rPr>
            </w:pPr>
            <w:r w:rsidRPr="007E062A">
              <w:rPr>
                <w:rFonts w:eastAsia="Calibri"/>
                <w:i/>
              </w:rPr>
              <w:t>2019.CSR2.3 2019.CSR2.2</w:t>
            </w:r>
          </w:p>
        </w:tc>
        <w:tc>
          <w:tcPr>
            <w:tcW w:w="2160" w:type="dxa"/>
            <w:tcMar>
              <w:top w:w="0" w:type="dxa"/>
              <w:left w:w="100" w:type="dxa"/>
              <w:bottom w:w="0" w:type="dxa"/>
              <w:right w:w="100" w:type="dxa"/>
            </w:tcMar>
          </w:tcPr>
          <w:p w14:paraId="5245656C" w14:textId="77777777" w:rsidR="00645D16" w:rsidRPr="007E062A" w:rsidRDefault="00645D16" w:rsidP="00235F2C">
            <w:pPr>
              <w:pStyle w:val="Tabletext"/>
              <w:rPr>
                <w:rFonts w:eastAsia="Calibri"/>
                <w:i/>
              </w:rPr>
            </w:pPr>
            <w:r w:rsidRPr="007E062A">
              <w:rPr>
                <w:rFonts w:eastAsia="Calibri"/>
                <w:i/>
              </w:rPr>
              <w:t>Private investment and transformation of the economy</w:t>
            </w:r>
          </w:p>
        </w:tc>
      </w:tr>
      <w:tr w:rsidR="00645D16" w:rsidRPr="00235F2C" w14:paraId="5FD3F10F" w14:textId="77777777" w:rsidTr="00235F2C">
        <w:trPr>
          <w:trHeight w:val="113"/>
          <w:jc w:val="center"/>
        </w:trPr>
        <w:tc>
          <w:tcPr>
            <w:tcW w:w="4020" w:type="dxa"/>
            <w:tcMar>
              <w:top w:w="0" w:type="dxa"/>
              <w:left w:w="100" w:type="dxa"/>
              <w:bottom w:w="0" w:type="dxa"/>
              <w:right w:w="100" w:type="dxa"/>
            </w:tcMar>
          </w:tcPr>
          <w:p w14:paraId="728C41BF" w14:textId="4F14D628" w:rsidR="00645D16" w:rsidRPr="00235F2C" w:rsidRDefault="00645D16" w:rsidP="00235F2C">
            <w:pPr>
              <w:pStyle w:val="Tabletext"/>
              <w:rPr>
                <w:rFonts w:eastAsia="Calibri"/>
              </w:rPr>
            </w:pPr>
            <w:r w:rsidRPr="00BA03C0">
              <w:rPr>
                <w:rFonts w:eastAsia="Calibri"/>
                <w:b/>
              </w:rPr>
              <w:t>INVESTMENT 18:</w:t>
            </w:r>
            <w:r w:rsidRPr="00235F2C">
              <w:rPr>
                <w:rFonts w:eastAsia="Calibri"/>
              </w:rPr>
              <w:t xml:space="preserve"> 16900_HEDNO overhead network upgrading in forest areas</w:t>
            </w:r>
          </w:p>
          <w:p w14:paraId="09C3212B" w14:textId="77777777" w:rsidR="00645D16" w:rsidRPr="00235F2C" w:rsidRDefault="00645D16" w:rsidP="00235F2C">
            <w:pPr>
              <w:pStyle w:val="Tabletext"/>
              <w:rPr>
                <w:rFonts w:eastAsia="Calibri"/>
              </w:rPr>
            </w:pPr>
            <w:r w:rsidRPr="00235F2C">
              <w:rPr>
                <w:rFonts w:eastAsia="Calibri"/>
              </w:rPr>
              <w:t xml:space="preserve"> </w:t>
            </w:r>
          </w:p>
        </w:tc>
        <w:tc>
          <w:tcPr>
            <w:tcW w:w="1500" w:type="dxa"/>
            <w:tcMar>
              <w:top w:w="0" w:type="dxa"/>
              <w:left w:w="100" w:type="dxa"/>
              <w:bottom w:w="0" w:type="dxa"/>
              <w:right w:w="100" w:type="dxa"/>
            </w:tcMar>
          </w:tcPr>
          <w:p w14:paraId="1DDC2DF0" w14:textId="77777777" w:rsidR="00645D16" w:rsidRPr="00235F2C" w:rsidRDefault="00645D16" w:rsidP="00235F2C">
            <w:pPr>
              <w:pStyle w:val="Tabletext"/>
              <w:rPr>
                <w:rFonts w:eastAsia="Calibri"/>
              </w:rPr>
            </w:pPr>
            <w:r w:rsidRPr="00235F2C">
              <w:rPr>
                <w:rFonts w:eastAsia="Calibri"/>
              </w:rPr>
              <w:t>RRF 16900</w:t>
            </w:r>
          </w:p>
        </w:tc>
        <w:tc>
          <w:tcPr>
            <w:tcW w:w="1680" w:type="dxa"/>
            <w:tcMar>
              <w:top w:w="0" w:type="dxa"/>
              <w:left w:w="100" w:type="dxa"/>
              <w:bottom w:w="0" w:type="dxa"/>
              <w:right w:w="100" w:type="dxa"/>
            </w:tcMar>
          </w:tcPr>
          <w:p w14:paraId="22DB1653" w14:textId="77777777" w:rsidR="00645D16" w:rsidRPr="00235F2C" w:rsidRDefault="00645D16" w:rsidP="00235F2C">
            <w:pPr>
              <w:pStyle w:val="Tabletext"/>
              <w:rPr>
                <w:rFonts w:eastAsia="Calibri"/>
              </w:rPr>
            </w:pPr>
            <w:r w:rsidRPr="00235F2C">
              <w:rPr>
                <w:rFonts w:eastAsia="Calibri"/>
              </w:rPr>
              <w:t>2024 CSR 2.1</w:t>
            </w:r>
          </w:p>
          <w:p w14:paraId="49F4223A" w14:textId="77777777" w:rsidR="00645D16" w:rsidRPr="00235F2C" w:rsidRDefault="00645D16" w:rsidP="00235F2C">
            <w:pPr>
              <w:pStyle w:val="Tabletext"/>
              <w:rPr>
                <w:rFonts w:eastAsia="Calibri"/>
              </w:rPr>
            </w:pPr>
            <w:r w:rsidRPr="00235F2C">
              <w:rPr>
                <w:rFonts w:eastAsia="Calibri"/>
              </w:rPr>
              <w:t>2023 CSR 4.1</w:t>
            </w:r>
          </w:p>
          <w:p w14:paraId="35D1EE20" w14:textId="77777777" w:rsidR="00645D16" w:rsidRPr="00235F2C" w:rsidRDefault="00645D16" w:rsidP="00235F2C">
            <w:pPr>
              <w:pStyle w:val="Tabletext"/>
              <w:rPr>
                <w:rFonts w:eastAsia="Calibri"/>
              </w:rPr>
            </w:pPr>
            <w:r w:rsidRPr="00235F2C">
              <w:rPr>
                <w:rFonts w:eastAsia="Calibri"/>
              </w:rPr>
              <w:t>2023 CSR 4.3</w:t>
            </w:r>
          </w:p>
          <w:p w14:paraId="51A92069" w14:textId="77777777" w:rsidR="00645D16" w:rsidRPr="00235F2C" w:rsidRDefault="00645D16" w:rsidP="00235F2C">
            <w:pPr>
              <w:pStyle w:val="Tabletext"/>
              <w:rPr>
                <w:rFonts w:eastAsia="Calibri"/>
              </w:rPr>
            </w:pPr>
            <w:r w:rsidRPr="00235F2C">
              <w:rPr>
                <w:rFonts w:eastAsia="Calibri"/>
              </w:rPr>
              <w:t>2022 CSR 4.2</w:t>
            </w:r>
          </w:p>
          <w:p w14:paraId="604D2D5D" w14:textId="77777777" w:rsidR="00645D16" w:rsidRPr="00235F2C" w:rsidRDefault="00645D16" w:rsidP="00235F2C">
            <w:pPr>
              <w:pStyle w:val="Tabletext"/>
              <w:rPr>
                <w:rFonts w:eastAsia="Calibri"/>
              </w:rPr>
            </w:pPr>
            <w:r w:rsidRPr="00235F2C">
              <w:rPr>
                <w:rFonts w:eastAsia="Calibri"/>
              </w:rPr>
              <w:t>2022 CSR 4.3</w:t>
            </w:r>
          </w:p>
          <w:p w14:paraId="0BD24518" w14:textId="77777777" w:rsidR="00645D16" w:rsidRPr="00235F2C" w:rsidRDefault="00645D16" w:rsidP="00235F2C">
            <w:pPr>
              <w:pStyle w:val="Tabletext"/>
              <w:rPr>
                <w:rFonts w:eastAsia="Calibri"/>
              </w:rPr>
            </w:pPr>
            <w:r w:rsidRPr="00235F2C">
              <w:rPr>
                <w:rFonts w:eastAsia="Calibri"/>
              </w:rPr>
              <w:t>2020 CSR 3.2</w:t>
            </w:r>
          </w:p>
          <w:p w14:paraId="1CB16A4F" w14:textId="77777777" w:rsidR="00645D16" w:rsidRPr="00235F2C" w:rsidRDefault="00645D16" w:rsidP="00235F2C">
            <w:pPr>
              <w:pStyle w:val="Tabletext"/>
              <w:rPr>
                <w:rFonts w:eastAsia="Calibri"/>
              </w:rPr>
            </w:pPr>
            <w:r w:rsidRPr="00235F2C">
              <w:rPr>
                <w:rFonts w:eastAsia="Calibri"/>
              </w:rPr>
              <w:t>2020 CSR 3.6</w:t>
            </w:r>
          </w:p>
          <w:p w14:paraId="5D482234" w14:textId="77777777" w:rsidR="00645D16" w:rsidRPr="00235F2C" w:rsidRDefault="00645D16" w:rsidP="00235F2C">
            <w:pPr>
              <w:pStyle w:val="Tabletext"/>
              <w:rPr>
                <w:rFonts w:eastAsia="Calibri"/>
              </w:rPr>
            </w:pPr>
            <w:r w:rsidRPr="00235F2C">
              <w:rPr>
                <w:rFonts w:eastAsia="Calibri"/>
              </w:rPr>
              <w:t>2019 CSR 2.2</w:t>
            </w:r>
          </w:p>
        </w:tc>
        <w:tc>
          <w:tcPr>
            <w:tcW w:w="2160" w:type="dxa"/>
            <w:tcMar>
              <w:top w:w="0" w:type="dxa"/>
              <w:left w:w="100" w:type="dxa"/>
              <w:bottom w:w="0" w:type="dxa"/>
              <w:right w:w="100" w:type="dxa"/>
            </w:tcMar>
          </w:tcPr>
          <w:p w14:paraId="33550600" w14:textId="77777777" w:rsidR="00645D16" w:rsidRPr="00235F2C" w:rsidRDefault="00645D16" w:rsidP="00235F2C">
            <w:pPr>
              <w:pStyle w:val="Tabletext"/>
              <w:rPr>
                <w:rFonts w:eastAsia="Calibri"/>
              </w:rPr>
            </w:pPr>
            <w:r w:rsidRPr="00235F2C">
              <w:rPr>
                <w:rFonts w:eastAsia="Calibri"/>
              </w:rPr>
              <w:t>Energy Security</w:t>
            </w:r>
          </w:p>
        </w:tc>
      </w:tr>
      <w:tr w:rsidR="00645D16" w:rsidRPr="00235F2C" w14:paraId="04330849" w14:textId="77777777" w:rsidTr="00235F2C">
        <w:trPr>
          <w:trHeight w:val="113"/>
          <w:jc w:val="center"/>
        </w:trPr>
        <w:tc>
          <w:tcPr>
            <w:tcW w:w="4020" w:type="dxa"/>
            <w:tcMar>
              <w:top w:w="0" w:type="dxa"/>
              <w:left w:w="100" w:type="dxa"/>
              <w:bottom w:w="0" w:type="dxa"/>
              <w:right w:w="100" w:type="dxa"/>
            </w:tcMar>
          </w:tcPr>
          <w:p w14:paraId="60D3BC17" w14:textId="6D6894DF" w:rsidR="00645D16" w:rsidRPr="00235F2C" w:rsidRDefault="00645D16" w:rsidP="00235F2C">
            <w:pPr>
              <w:pStyle w:val="Tabletext"/>
              <w:rPr>
                <w:rFonts w:eastAsia="Calibri"/>
              </w:rPr>
            </w:pPr>
            <w:r w:rsidRPr="00BA03C0">
              <w:rPr>
                <w:rFonts w:eastAsia="Calibri"/>
                <w:b/>
              </w:rPr>
              <w:t>INVESTMENT 19:</w:t>
            </w:r>
            <w:r w:rsidRPr="00235F2C">
              <w:rPr>
                <w:rFonts w:eastAsia="Calibri"/>
              </w:rPr>
              <w:t xml:space="preserve"> 16901_HEDNO network upgrades aiming at enhancing resilience and protecting the environment</w:t>
            </w:r>
          </w:p>
          <w:p w14:paraId="35E3B0EC" w14:textId="77777777" w:rsidR="00645D16" w:rsidRPr="00235F2C" w:rsidRDefault="00645D16" w:rsidP="00235F2C">
            <w:pPr>
              <w:pStyle w:val="Tabletext"/>
              <w:rPr>
                <w:rFonts w:eastAsia="Calibri"/>
              </w:rPr>
            </w:pPr>
            <w:r w:rsidRPr="00235F2C">
              <w:rPr>
                <w:rFonts w:eastAsia="Calibri"/>
              </w:rPr>
              <w:t xml:space="preserve"> </w:t>
            </w:r>
          </w:p>
        </w:tc>
        <w:tc>
          <w:tcPr>
            <w:tcW w:w="1500" w:type="dxa"/>
            <w:tcMar>
              <w:top w:w="0" w:type="dxa"/>
              <w:left w:w="100" w:type="dxa"/>
              <w:bottom w:w="0" w:type="dxa"/>
              <w:right w:w="100" w:type="dxa"/>
            </w:tcMar>
          </w:tcPr>
          <w:p w14:paraId="7B071D28" w14:textId="77777777" w:rsidR="00645D16" w:rsidRPr="00235F2C" w:rsidRDefault="00645D16" w:rsidP="00235F2C">
            <w:pPr>
              <w:pStyle w:val="Tabletext"/>
              <w:rPr>
                <w:rFonts w:eastAsia="Calibri"/>
              </w:rPr>
            </w:pPr>
            <w:r w:rsidRPr="00235F2C">
              <w:rPr>
                <w:rFonts w:eastAsia="Calibri"/>
              </w:rPr>
              <w:t>RRF 16901</w:t>
            </w:r>
          </w:p>
        </w:tc>
        <w:tc>
          <w:tcPr>
            <w:tcW w:w="1680" w:type="dxa"/>
            <w:tcMar>
              <w:top w:w="0" w:type="dxa"/>
              <w:left w:w="100" w:type="dxa"/>
              <w:bottom w:w="0" w:type="dxa"/>
              <w:right w:w="100" w:type="dxa"/>
            </w:tcMar>
          </w:tcPr>
          <w:p w14:paraId="5AF6760D" w14:textId="77777777" w:rsidR="00645D16" w:rsidRPr="00235F2C" w:rsidRDefault="00645D16" w:rsidP="00235F2C">
            <w:pPr>
              <w:pStyle w:val="Tabletext"/>
              <w:rPr>
                <w:rFonts w:eastAsia="Calibri"/>
              </w:rPr>
            </w:pPr>
            <w:r w:rsidRPr="00235F2C">
              <w:rPr>
                <w:rFonts w:eastAsia="Calibri"/>
              </w:rPr>
              <w:t>2024 CSR 2.1</w:t>
            </w:r>
          </w:p>
          <w:p w14:paraId="3C1BA791" w14:textId="77777777" w:rsidR="00645D16" w:rsidRPr="00235F2C" w:rsidRDefault="00645D16" w:rsidP="00235F2C">
            <w:pPr>
              <w:pStyle w:val="Tabletext"/>
              <w:rPr>
                <w:rFonts w:eastAsia="Calibri"/>
              </w:rPr>
            </w:pPr>
            <w:r w:rsidRPr="00235F2C">
              <w:rPr>
                <w:rFonts w:eastAsia="Calibri"/>
              </w:rPr>
              <w:t>2023 CSR 4.1</w:t>
            </w:r>
          </w:p>
          <w:p w14:paraId="0BF82D29" w14:textId="77777777" w:rsidR="00645D16" w:rsidRPr="00235F2C" w:rsidRDefault="00645D16" w:rsidP="00235F2C">
            <w:pPr>
              <w:pStyle w:val="Tabletext"/>
              <w:rPr>
                <w:rFonts w:eastAsia="Calibri"/>
              </w:rPr>
            </w:pPr>
            <w:r w:rsidRPr="00235F2C">
              <w:rPr>
                <w:rFonts w:eastAsia="Calibri"/>
              </w:rPr>
              <w:t>2023 CSR 4.3</w:t>
            </w:r>
          </w:p>
          <w:p w14:paraId="4AE93C4F" w14:textId="77777777" w:rsidR="00645D16" w:rsidRPr="00235F2C" w:rsidRDefault="00645D16" w:rsidP="00235F2C">
            <w:pPr>
              <w:pStyle w:val="Tabletext"/>
              <w:rPr>
                <w:rFonts w:eastAsia="Calibri"/>
              </w:rPr>
            </w:pPr>
            <w:r w:rsidRPr="00235F2C">
              <w:rPr>
                <w:rFonts w:eastAsia="Calibri"/>
              </w:rPr>
              <w:t>2022 CSR 4.2</w:t>
            </w:r>
          </w:p>
          <w:p w14:paraId="70BB884D" w14:textId="77777777" w:rsidR="00645D16" w:rsidRPr="00235F2C" w:rsidRDefault="00645D16" w:rsidP="00235F2C">
            <w:pPr>
              <w:pStyle w:val="Tabletext"/>
              <w:rPr>
                <w:rFonts w:eastAsia="Calibri"/>
              </w:rPr>
            </w:pPr>
            <w:r w:rsidRPr="00235F2C">
              <w:rPr>
                <w:rFonts w:eastAsia="Calibri"/>
              </w:rPr>
              <w:t>2022 CSR 4.3</w:t>
            </w:r>
          </w:p>
          <w:p w14:paraId="6568D780" w14:textId="77777777" w:rsidR="00645D16" w:rsidRPr="00235F2C" w:rsidRDefault="00645D16" w:rsidP="00235F2C">
            <w:pPr>
              <w:pStyle w:val="Tabletext"/>
              <w:rPr>
                <w:rFonts w:eastAsia="Calibri"/>
              </w:rPr>
            </w:pPr>
            <w:r w:rsidRPr="00235F2C">
              <w:rPr>
                <w:rFonts w:eastAsia="Calibri"/>
              </w:rPr>
              <w:t>2020 CSR 3.2</w:t>
            </w:r>
          </w:p>
          <w:p w14:paraId="02202823" w14:textId="77777777" w:rsidR="00645D16" w:rsidRPr="00235F2C" w:rsidRDefault="00645D16" w:rsidP="00235F2C">
            <w:pPr>
              <w:pStyle w:val="Tabletext"/>
              <w:rPr>
                <w:rFonts w:eastAsia="Calibri"/>
              </w:rPr>
            </w:pPr>
            <w:r w:rsidRPr="00235F2C">
              <w:rPr>
                <w:rFonts w:eastAsia="Calibri"/>
              </w:rPr>
              <w:t>2020 CSR 3.6</w:t>
            </w:r>
          </w:p>
          <w:p w14:paraId="26B08A01" w14:textId="77777777" w:rsidR="00645D16" w:rsidRPr="00235F2C" w:rsidRDefault="00645D16" w:rsidP="00235F2C">
            <w:pPr>
              <w:pStyle w:val="Tabletext"/>
              <w:rPr>
                <w:rFonts w:eastAsia="Calibri"/>
              </w:rPr>
            </w:pPr>
            <w:r w:rsidRPr="00235F2C">
              <w:rPr>
                <w:rFonts w:eastAsia="Calibri"/>
              </w:rPr>
              <w:t>2019 CSR 2.2</w:t>
            </w:r>
          </w:p>
        </w:tc>
        <w:tc>
          <w:tcPr>
            <w:tcW w:w="2160" w:type="dxa"/>
            <w:tcMar>
              <w:top w:w="0" w:type="dxa"/>
              <w:left w:w="100" w:type="dxa"/>
              <w:bottom w:w="0" w:type="dxa"/>
              <w:right w:w="100" w:type="dxa"/>
            </w:tcMar>
          </w:tcPr>
          <w:p w14:paraId="5DAB0030" w14:textId="77777777" w:rsidR="00645D16" w:rsidRPr="00235F2C" w:rsidRDefault="00645D16" w:rsidP="00235F2C">
            <w:pPr>
              <w:pStyle w:val="Tabletext"/>
              <w:rPr>
                <w:rFonts w:eastAsia="Calibri"/>
              </w:rPr>
            </w:pPr>
            <w:r w:rsidRPr="00235F2C">
              <w:rPr>
                <w:rFonts w:eastAsia="Calibri"/>
              </w:rPr>
              <w:t>Energy Security</w:t>
            </w:r>
          </w:p>
        </w:tc>
      </w:tr>
    </w:tbl>
    <w:p w14:paraId="15883263" w14:textId="2501CFFD" w:rsidR="00136EE8" w:rsidRDefault="00136EE8" w:rsidP="00136EE8">
      <w:pPr>
        <w:rPr>
          <w:lang w:val="en-US"/>
        </w:rPr>
      </w:pPr>
    </w:p>
    <w:p w14:paraId="41B1A2BE" w14:textId="77777777" w:rsidR="0020727F" w:rsidRPr="00920844" w:rsidRDefault="0020727F" w:rsidP="00920844">
      <w:pPr>
        <w:rPr>
          <w:rFonts w:eastAsia="Calibri"/>
          <w:highlight w:val="white"/>
          <w:lang w:val="en-US"/>
        </w:rPr>
      </w:pPr>
      <w:r>
        <w:rPr>
          <w:rFonts w:eastAsia="Calibri"/>
        </w:rPr>
        <w:t>Τ</w:t>
      </w:r>
      <w:r w:rsidRPr="00920844">
        <w:rPr>
          <w:rFonts w:eastAsia="Calibri"/>
          <w:lang w:val="en-US"/>
        </w:rPr>
        <w:t>he</w:t>
      </w:r>
      <w:r w:rsidRPr="00920844">
        <w:rPr>
          <w:rFonts w:eastAsia="Calibri"/>
          <w:highlight w:val="white"/>
          <w:lang w:val="en-US"/>
        </w:rPr>
        <w:t xml:space="preserve"> </w:t>
      </w:r>
      <w:r w:rsidRPr="00920844">
        <w:rPr>
          <w:rFonts w:eastAsia="Calibri"/>
          <w:b/>
          <w:highlight w:val="white"/>
          <w:lang w:val="en-US"/>
        </w:rPr>
        <w:t>RRF Reform</w:t>
      </w:r>
      <w:r w:rsidRPr="00920844">
        <w:rPr>
          <w:rFonts w:eastAsia="Calibri"/>
          <w:highlight w:val="white"/>
          <w:lang w:val="en-US"/>
        </w:rPr>
        <w:t xml:space="preserve"> for the “</w:t>
      </w:r>
      <w:r w:rsidRPr="00920844">
        <w:rPr>
          <w:rFonts w:eastAsia="Calibri"/>
          <w:b/>
          <w:highlight w:val="white"/>
          <w:lang w:val="en-US"/>
        </w:rPr>
        <w:t>Optimization of land and sea space usage for the development of RES and offshore wind energy development</w:t>
      </w:r>
      <w:r w:rsidRPr="00920844">
        <w:rPr>
          <w:rFonts w:eastAsia="Calibri"/>
          <w:highlight w:val="white"/>
          <w:lang w:val="en-US"/>
        </w:rPr>
        <w:t xml:space="preserve"> aims at enhancing the further development of renewable energy sources (hereinafter referred to as “RES”) in Greece. The reform consists of 2 pillars. The first pillar is related to the strengthening of the legal framework for offshore wind farms (as set out in Law 4964/2022) through the designation of the first project development areas for offshore wind projects. The offshore wind capacity target according to the revised NECP is the installation of 1.9 GW by 2030. The second Pillar entitled “Carrying out a review (in the form of a study) of the spatial dispersion of current RES project development and optimising land usage for new RES potential in Greece” shall identify the optimal areas where RES projects could be located in Greece. In addition, a holistic policy framework for dual use of land for agriculture and solar photovoltaic production shall enter into force to foster the installation of Agri-photovoltaics. The implementation of the reform is expected to be completed by 2026.</w:t>
      </w:r>
    </w:p>
    <w:p w14:paraId="56BD19D4"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w:t>
      </w:r>
      <w:r w:rsidRPr="00920844">
        <w:rPr>
          <w:rFonts w:eastAsia="Calibri"/>
          <w:b/>
          <w:highlight w:val="white"/>
          <w:lang w:val="en-US"/>
        </w:rPr>
        <w:t>RRF Reform</w:t>
      </w:r>
      <w:r w:rsidRPr="00920844">
        <w:rPr>
          <w:rFonts w:eastAsia="Calibri"/>
          <w:highlight w:val="white"/>
          <w:lang w:val="en-US"/>
        </w:rPr>
        <w:t xml:space="preserve"> </w:t>
      </w:r>
      <w:r w:rsidRPr="00920844">
        <w:rPr>
          <w:rFonts w:eastAsia="Calibri"/>
          <w:b/>
          <w:highlight w:val="white"/>
          <w:lang w:val="en-US"/>
        </w:rPr>
        <w:t>“Regulatory framework towards a smart grid”</w:t>
      </w:r>
      <w:r w:rsidRPr="00920844">
        <w:rPr>
          <w:rFonts w:eastAsia="Calibri"/>
          <w:highlight w:val="white"/>
          <w:lang w:val="en-US"/>
        </w:rPr>
        <w:t xml:space="preserve"> aims at accelerating the implementation of smart and digital technologies in the distribution network, and the pursuit of more efficient management of energy usage for the final consumer. The implementation of the proposed reform is planned in three distinct thematic areas which are: the Evolution of a system </w:t>
      </w:r>
      <w:r w:rsidRPr="00920844">
        <w:rPr>
          <w:rFonts w:eastAsia="Calibri"/>
          <w:highlight w:val="white"/>
          <w:lang w:val="en-US"/>
        </w:rPr>
        <w:lastRenderedPageBreak/>
        <w:t>of incentives for deployment and usage of smart meters (Pillar 1), the digitalisation of the distribution network by the development of an active control center by Greek Distribution System Operator (Pillar 2), and the adoption of the secondary legislation and framework to implement the dynamic pricing for all end-consumers as soon as a smart meter is installed in their service connection (Pillar 3). The overall measure is expected to be completed by 2026.</w:t>
      </w:r>
    </w:p>
    <w:p w14:paraId="2F94CCCF"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RRF Reform </w:t>
      </w:r>
      <w:r w:rsidRPr="00920844">
        <w:rPr>
          <w:rFonts w:eastAsia="Calibri"/>
          <w:b/>
          <w:highlight w:val="white"/>
          <w:lang w:val="en-US"/>
        </w:rPr>
        <w:t>“Toolset to promote energy sharing, self-consumption and renewable Energy Communities”</w:t>
      </w:r>
      <w:r w:rsidRPr="00920844">
        <w:rPr>
          <w:rFonts w:eastAsia="Calibri"/>
          <w:highlight w:val="white"/>
          <w:lang w:val="en-US"/>
        </w:rPr>
        <w:t xml:space="preserve"> has the aim to facilitate and accelerate the installation of RES stations in buildings, to put in place the necessary regulatory framework for the implementation of self-consumption, collective self-consumption and self-consumption with virtual net billing, in accordance with Law 5037/2023 and to establish a self-consumers registry and design and implementation of technical assistance measures for renewable Energy Communities and Citizen Energy Communities. The implementation of the reform is expected to be completed by 2026.</w:t>
      </w:r>
    </w:p>
    <w:p w14:paraId="7A81DF29"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w:t>
      </w:r>
      <w:r w:rsidRPr="00920844">
        <w:rPr>
          <w:rFonts w:eastAsia="Calibri"/>
          <w:b/>
          <w:highlight w:val="white"/>
          <w:lang w:val="en-US"/>
        </w:rPr>
        <w:t>RRF Reform</w:t>
      </w:r>
      <w:r w:rsidRPr="00920844">
        <w:rPr>
          <w:rFonts w:eastAsia="Calibri"/>
          <w:highlight w:val="white"/>
          <w:lang w:val="en-US"/>
        </w:rPr>
        <w:t xml:space="preserve"> “</w:t>
      </w:r>
      <w:r w:rsidRPr="00920844">
        <w:rPr>
          <w:rFonts w:eastAsia="Calibri"/>
          <w:b/>
          <w:highlight w:val="white"/>
          <w:lang w:val="en-US"/>
        </w:rPr>
        <w:t xml:space="preserve">Roadmap for innovative energy efficiency interventions and identification of new financial instruments” </w:t>
      </w:r>
      <w:r w:rsidRPr="00920844">
        <w:rPr>
          <w:rFonts w:eastAsia="Calibri"/>
          <w:highlight w:val="white"/>
          <w:lang w:val="en-US"/>
        </w:rPr>
        <w:t>includes the introduction of non-grant financial instruments, in order to provide a further boost for renovation of dwellings owned or rented along with the renovation of industrial buildings. The non-grant financial instrument shall foresee fiscal incentives, subsidised or guaranteed loans and other financial tools to support energy efficiency investments in the building sector. This reform shall mark a shift away from financial instruments that are grant-based and is expected to increase the number of buildings that can be supported. The reform shall (i) complete a roadmap defining innovative energy efficiency interventions; and (ii) launch an energy efficiency financial instrument as set out in the roadmap and based on non-grant financial sources. The implementation of the reform is expected to be completed by 2026.</w:t>
      </w:r>
    </w:p>
    <w:p w14:paraId="635B3069"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w:t>
      </w:r>
      <w:r w:rsidRPr="00920844">
        <w:rPr>
          <w:rFonts w:eastAsia="Calibri"/>
          <w:b/>
          <w:highlight w:val="white"/>
          <w:lang w:val="en-US"/>
        </w:rPr>
        <w:t>RRF Reform</w:t>
      </w:r>
      <w:r w:rsidRPr="00920844">
        <w:rPr>
          <w:rFonts w:eastAsia="Calibri"/>
          <w:highlight w:val="white"/>
          <w:lang w:val="en-US"/>
        </w:rPr>
        <w:t xml:space="preserve"> </w:t>
      </w:r>
      <w:r w:rsidRPr="00920844">
        <w:rPr>
          <w:rFonts w:eastAsia="Calibri"/>
          <w:b/>
          <w:highlight w:val="white"/>
          <w:lang w:val="en-US"/>
        </w:rPr>
        <w:t>“Increase of grid and storage capacity – fostering of storage investments</w:t>
      </w:r>
      <w:r w:rsidRPr="00920844">
        <w:rPr>
          <w:rFonts w:eastAsia="Calibri"/>
          <w:highlight w:val="white"/>
          <w:lang w:val="en-US"/>
        </w:rPr>
        <w:t>” aims at promoting investments in energy storage solutions, both as standalone units and storage combined with renewable energy sources. The program aims to set up the framework that will ultimately support at least 900 MW of standalone battery storage projects through a combination of investment aid. The implementation of the reform is expected to be completed by 2026.</w:t>
      </w:r>
    </w:p>
    <w:p w14:paraId="3C5D2A8D"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w:t>
      </w:r>
      <w:r w:rsidRPr="00920844">
        <w:rPr>
          <w:rFonts w:eastAsia="Calibri"/>
          <w:b/>
          <w:highlight w:val="white"/>
          <w:lang w:val="en-US"/>
        </w:rPr>
        <w:t>RRF Reform</w:t>
      </w:r>
      <w:r w:rsidRPr="00920844">
        <w:rPr>
          <w:rFonts w:eastAsia="Calibri"/>
          <w:highlight w:val="white"/>
          <w:lang w:val="en-US"/>
        </w:rPr>
        <w:t xml:space="preserve"> for the </w:t>
      </w:r>
      <w:r w:rsidRPr="00920844">
        <w:rPr>
          <w:rFonts w:eastAsia="Calibri"/>
          <w:b/>
          <w:highlight w:val="white"/>
          <w:lang w:val="en-US"/>
        </w:rPr>
        <w:t>“Restructuring and enhancement of the RES &amp; Combined Heat and Power (CHP) Account revenues”</w:t>
      </w:r>
      <w:r w:rsidRPr="00920844">
        <w:rPr>
          <w:rFonts w:eastAsia="Calibri"/>
          <w:highlight w:val="white"/>
          <w:lang w:val="en-US"/>
        </w:rPr>
        <w:t xml:space="preserve"> aims at ensuring the financial sustainability of the RES CHP Account both for existing and new RES units, by measures that reduce legal risk, ensure the bankability of new projects, establish a new mechanism for new RES remunerations that will work automatically, ensure the viability of old RES FiT contracts and facilitate investments so as to reach NECP targets and raise investors’ confidence, along with the Guarantees of Origin trading system that includes accreditation for the green retail products and the green business standards. The implementation of the reform, including an increase of 3 Gigawatt in the </w:t>
      </w:r>
      <w:r w:rsidRPr="00920844">
        <w:rPr>
          <w:rFonts w:eastAsia="Calibri"/>
          <w:highlight w:val="white"/>
          <w:lang w:val="en-US"/>
        </w:rPr>
        <w:lastRenderedPageBreak/>
        <w:t>electricity production capacity from renewable energy sources, is expected to be completed by 2026.</w:t>
      </w:r>
    </w:p>
    <w:p w14:paraId="5D36271B"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w:t>
      </w:r>
      <w:r w:rsidRPr="00920844">
        <w:rPr>
          <w:rFonts w:eastAsia="Calibri"/>
          <w:b/>
          <w:highlight w:val="white"/>
          <w:lang w:val="en-US"/>
        </w:rPr>
        <w:t xml:space="preserve">RRF Reform </w:t>
      </w:r>
      <w:r w:rsidRPr="00920844">
        <w:rPr>
          <w:rFonts w:eastAsia="Calibri"/>
          <w:highlight w:val="white"/>
          <w:lang w:val="en-US"/>
        </w:rPr>
        <w:t>“</w:t>
      </w:r>
      <w:r w:rsidRPr="00920844">
        <w:rPr>
          <w:rFonts w:eastAsia="Calibri"/>
          <w:b/>
          <w:highlight w:val="white"/>
          <w:lang w:val="en-US"/>
        </w:rPr>
        <w:t xml:space="preserve">Establishment of a special framework for spatial planning framework for renewable energy, industry, tourism and aquaculture” </w:t>
      </w:r>
      <w:r w:rsidRPr="00920844">
        <w:rPr>
          <w:rFonts w:eastAsia="Calibri"/>
          <w:highlight w:val="white"/>
          <w:lang w:val="en-US"/>
        </w:rPr>
        <w:t>aims at promoting climate mitigation and adaptation, protection of biodiversity, economic growth and job creation. The implementation of the reform is expected to be completed by 2026.</w:t>
      </w:r>
    </w:p>
    <w:p w14:paraId="01872662"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w:t>
      </w:r>
      <w:r w:rsidRPr="00920844">
        <w:rPr>
          <w:rFonts w:eastAsia="Calibri"/>
          <w:b/>
          <w:highlight w:val="white"/>
          <w:lang w:val="en-US"/>
        </w:rPr>
        <w:t>RRF Reform</w:t>
      </w:r>
      <w:r w:rsidRPr="00920844">
        <w:rPr>
          <w:rFonts w:eastAsia="Calibri"/>
          <w:highlight w:val="white"/>
          <w:lang w:val="en-US"/>
        </w:rPr>
        <w:t xml:space="preserve"> “</w:t>
      </w:r>
      <w:r w:rsidRPr="00920844">
        <w:rPr>
          <w:rFonts w:eastAsia="Calibri"/>
          <w:b/>
          <w:highlight w:val="white"/>
          <w:lang w:val="en-US"/>
        </w:rPr>
        <w:t>Preparation of Urban Plans in implementation of the urban policy”</w:t>
      </w:r>
      <w:r w:rsidRPr="00920844">
        <w:rPr>
          <w:rFonts w:eastAsia="Calibri"/>
          <w:highlight w:val="white"/>
          <w:lang w:val="en-US"/>
        </w:rPr>
        <w:t xml:space="preserve"> consists of five actions: (a) the preparation of Local Urban Plans (covering municipalities or municipal units), (b) the preparation of Special Urban Plans (plans that can cover areas regardless of administrative boundaries), (c) </w:t>
      </w:r>
      <w:r w:rsidRPr="00920844">
        <w:rPr>
          <w:rFonts w:eastAsia="Calibri"/>
          <w:lang w:val="en-US"/>
        </w:rPr>
        <w:t xml:space="preserve">Preparation of Independent Plans for </w:t>
      </w:r>
      <w:r w:rsidRPr="00920844">
        <w:rPr>
          <w:rFonts w:eastAsia="Calibri"/>
          <w:highlight w:val="white"/>
          <w:lang w:val="en-US"/>
        </w:rPr>
        <w:t xml:space="preserve">the definition of the Development Rights Transfer Zones, (d) </w:t>
      </w:r>
      <w:r w:rsidRPr="00920844">
        <w:rPr>
          <w:rFonts w:eastAsia="Calibri"/>
          <w:lang w:val="en-US"/>
        </w:rPr>
        <w:t xml:space="preserve">Preparation of Independent Plans for </w:t>
      </w:r>
      <w:r w:rsidRPr="00920844">
        <w:rPr>
          <w:rFonts w:eastAsia="Calibri"/>
          <w:highlight w:val="white"/>
          <w:lang w:val="en-US"/>
        </w:rPr>
        <w:t xml:space="preserve">the Delimitation of Settlements, (e) </w:t>
      </w:r>
      <w:r w:rsidRPr="00920844">
        <w:rPr>
          <w:rFonts w:eastAsia="Calibri"/>
          <w:lang w:val="en-US"/>
        </w:rPr>
        <w:t>Preparation of Independent Plans for the characterization of Municipal Roads</w:t>
      </w:r>
      <w:r w:rsidRPr="00920844">
        <w:rPr>
          <w:rFonts w:eastAsia="Calibri"/>
          <w:highlight w:val="white"/>
          <w:lang w:val="en-US"/>
        </w:rPr>
        <w:t>. The reform shall address zoning and land use issues with a view to promoting sustainable economic activity and protecting the environment. The Local Urban Plans shall include a dedicated chapter on climate change measures and prevention and management of climate related risks. Overall, Local Urban Plans shall be produced for 700 municipal units; five Special Urban Plans shall be produced, Development Rights Transfer Zones shall be defined in 50 municipal units, the delimitation of settlements shall be determined in 50 municipal units and municipal roads shall be determined in 120 municipal units. In total, measures shall be implemented in at least 750 municipal units. The implementation of the reform is expected to be completed by 2026.</w:t>
      </w:r>
    </w:p>
    <w:p w14:paraId="38D81C79" w14:textId="77777777" w:rsidR="0020727F" w:rsidRPr="00920844" w:rsidRDefault="0020727F" w:rsidP="00920844">
      <w:pPr>
        <w:rPr>
          <w:rFonts w:eastAsia="Calibri"/>
          <w:highlight w:val="white"/>
          <w:lang w:val="en-US"/>
        </w:rPr>
      </w:pPr>
      <w:r w:rsidRPr="00920844">
        <w:rPr>
          <w:rFonts w:eastAsia="Calibri"/>
          <w:lang w:val="en-US"/>
        </w:rPr>
        <w:t>Regarding</w:t>
      </w:r>
      <w:r w:rsidRPr="00920844">
        <w:rPr>
          <w:rFonts w:eastAsia="Calibri"/>
          <w:highlight w:val="white"/>
          <w:lang w:val="en-US"/>
        </w:rPr>
        <w:t xml:space="preserve"> the reduction of reliance on fossil fuels and further accelerate the diversification of energy supply routes, the Reform </w:t>
      </w:r>
      <w:r w:rsidRPr="00920844">
        <w:rPr>
          <w:rFonts w:eastAsia="Calibri"/>
          <w:b/>
          <w:highlight w:val="white"/>
          <w:lang w:val="en-US"/>
        </w:rPr>
        <w:t>“Establishment of Decarbonization Fund for the Greek islands and utilization of its resources”</w:t>
      </w:r>
      <w:r w:rsidRPr="00920844">
        <w:rPr>
          <w:rFonts w:eastAsia="Calibri"/>
          <w:highlight w:val="white"/>
          <w:lang w:val="en-US"/>
        </w:rPr>
        <w:t xml:space="preserve"> will be developed. This reform constitutes the "key" to the energy transition of the islands, starting with the activation of the Fund and the establishment of the necessary governance system and the preparation of investment projects for financing. For the implementation of the Decarbonization Fund, and for each action, Greece is called upon to develop appropriate mechanisms and specialised programmes in order to ensure their effective and timely financing. The set of actions under the Decarbonization Fund consisted of a single project proposal submission by Greece, focusing inter alia, on the creation of electricity interconnections, modernisation of electricity infrastructure, shore-side electrification ("cold ironing") and electric vehicle charging infrastructure, renewable energy sources ("RES"), hybrid RES/storage solutions or stand-alone storage systems, multipurpose hydroelectric dams and offshore wind energy. This reform is expected to be completed by 2032.</w:t>
      </w:r>
    </w:p>
    <w:p w14:paraId="55C92181"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goal of the </w:t>
      </w:r>
      <w:r w:rsidRPr="00920844">
        <w:rPr>
          <w:rFonts w:eastAsia="Calibri"/>
          <w:b/>
          <w:highlight w:val="white"/>
          <w:lang w:val="en-US"/>
        </w:rPr>
        <w:t>RRF Reform</w:t>
      </w:r>
      <w:r w:rsidRPr="00920844">
        <w:rPr>
          <w:rFonts w:eastAsia="Calibri"/>
          <w:highlight w:val="white"/>
          <w:lang w:val="en-US"/>
        </w:rPr>
        <w:t xml:space="preserve"> “</w:t>
      </w:r>
      <w:r w:rsidRPr="00920844">
        <w:rPr>
          <w:rFonts w:eastAsia="Calibri"/>
          <w:b/>
          <w:highlight w:val="white"/>
          <w:lang w:val="en-US"/>
        </w:rPr>
        <w:t>Licensing framework for renewable hydrogen and sustainable biomethane</w:t>
      </w:r>
      <w:r w:rsidRPr="00920844">
        <w:rPr>
          <w:rFonts w:eastAsia="Calibri"/>
          <w:highlight w:val="white"/>
          <w:lang w:val="en-US"/>
        </w:rPr>
        <w:t xml:space="preserve">” is to establish the required legislation for the effective development of renewable hydrogen and sustainable biomethane in Greece by removing potential barriers and establishing </w:t>
      </w:r>
      <w:r w:rsidRPr="00920844">
        <w:rPr>
          <w:rFonts w:eastAsia="Calibri"/>
          <w:highlight w:val="white"/>
          <w:lang w:val="en-US"/>
        </w:rPr>
        <w:lastRenderedPageBreak/>
        <w:t>procedures for the development of the renewable gas sector and markets. The reform will provide for the establishment of a legislative framework aimed at promoting the production and consumption of renewable hydrogen and sustainable biomethane. This will cover defining permitting procedures, including spatial planning provisions, defining technical specifications for transmission, storage and injection into the grid, clarifying the roles of the various stakeholders, including the public authorities involved, while ensuring a mechanism to certify that the hydrogen produced will be renewable and the biomethane sustainable, in line with the recent provisions of the RED II Directive delegated acts. The implementation of the reform is expected to be completed by 2025.</w:t>
      </w:r>
    </w:p>
    <w:p w14:paraId="2017251C" w14:textId="77777777" w:rsidR="0020727F" w:rsidRPr="00920844" w:rsidRDefault="0020727F"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aim of the </w:t>
      </w:r>
      <w:r w:rsidRPr="00920844">
        <w:rPr>
          <w:rFonts w:eastAsia="Calibri"/>
          <w:b/>
          <w:highlight w:val="white"/>
          <w:lang w:val="en-US"/>
        </w:rPr>
        <w:t xml:space="preserve">RRF Reform </w:t>
      </w:r>
      <w:r w:rsidRPr="00920844">
        <w:rPr>
          <w:rFonts w:eastAsia="Calibri"/>
          <w:highlight w:val="white"/>
          <w:lang w:val="en-US"/>
        </w:rPr>
        <w:t>“</w:t>
      </w:r>
      <w:r w:rsidRPr="00920844">
        <w:rPr>
          <w:rFonts w:eastAsia="Calibri"/>
          <w:b/>
          <w:highlight w:val="white"/>
          <w:lang w:val="en-US"/>
        </w:rPr>
        <w:t>Regulatory and market operation framework for carbon capture, usage, and storage technologies to foster industry decarbonisation</w:t>
      </w:r>
      <w:r w:rsidRPr="00920844">
        <w:rPr>
          <w:rFonts w:eastAsia="Calibri"/>
          <w:highlight w:val="white"/>
          <w:lang w:val="en-US"/>
        </w:rPr>
        <w:t>” is to establish the legal, licensing and regulatory framework for carbon capture, use and storage technologies. The framework will include the development and adoption of all necessary legislative and regulatory frameworks for carbon capture, use and storage technologies and will incorporate a consultation process with relevant stakeholders. The implementation of the reform is expected to be completed by 2025.</w:t>
      </w:r>
    </w:p>
    <w:p w14:paraId="32F77572" w14:textId="77777777" w:rsidR="0020727F" w:rsidRPr="00920844" w:rsidRDefault="0020727F" w:rsidP="00920844">
      <w:pPr>
        <w:rPr>
          <w:rFonts w:eastAsia="Calibri"/>
          <w:highlight w:val="white"/>
          <w:lang w:val="en-US"/>
        </w:rPr>
      </w:pPr>
      <w:r w:rsidRPr="00920844">
        <w:rPr>
          <w:rFonts w:eastAsia="Calibri"/>
          <w:lang w:val="en-US"/>
        </w:rPr>
        <w:t xml:space="preserve">The Reform </w:t>
      </w:r>
      <w:r w:rsidRPr="00920844">
        <w:rPr>
          <w:rFonts w:eastAsia="Calibri"/>
          <w:b/>
          <w:lang w:val="en-US"/>
        </w:rPr>
        <w:t>“Establishment of Thesally Water Management Organisation”</w:t>
      </w:r>
      <w:r w:rsidRPr="00920844">
        <w:rPr>
          <w:rFonts w:eastAsia="Calibri"/>
          <w:lang w:val="en-US"/>
        </w:rPr>
        <w:t xml:space="preserve"> aims to fulfill </w:t>
      </w:r>
      <w:r w:rsidRPr="00920844">
        <w:rPr>
          <w:rFonts w:eastAsia="Calibri"/>
          <w:highlight w:val="white"/>
          <w:lang w:val="en-US"/>
        </w:rPr>
        <w:t xml:space="preserve">the need for a stronger and more effective governmental mechanism for Thessaly </w:t>
      </w:r>
      <w:r w:rsidRPr="00920844">
        <w:rPr>
          <w:rFonts w:eastAsia="Calibri"/>
          <w:lang w:val="en-US"/>
        </w:rPr>
        <w:t>after the devastated results of storm “Daniel”</w:t>
      </w:r>
      <w:r w:rsidRPr="00920844">
        <w:rPr>
          <w:rFonts w:eastAsia="Calibri"/>
          <w:highlight w:val="white"/>
          <w:lang w:val="en-US"/>
        </w:rPr>
        <w:t>, and addresses the multi-level impacts of climate change in water management holistically. The reform introduces a new governmental model for the water management in Thessaly, though the establishment of a single body to coordinate the implementation of policy, strategic plans and measures and to protect and manage the waters in the water basin of Thessaly. The implementation of the reform is expected to be completed by 2026.</w:t>
      </w:r>
    </w:p>
    <w:p w14:paraId="5A615AD3" w14:textId="77777777" w:rsidR="0020727F" w:rsidRPr="00920844" w:rsidRDefault="0020727F" w:rsidP="00920844">
      <w:pPr>
        <w:rPr>
          <w:rFonts w:eastAsia="Calibri"/>
          <w:lang w:val="en-US"/>
        </w:rPr>
      </w:pPr>
      <w:r w:rsidRPr="00920844">
        <w:rPr>
          <w:rFonts w:eastAsia="Calibri"/>
          <w:lang w:val="en-US"/>
        </w:rPr>
        <w:t>The Reform “</w:t>
      </w:r>
      <w:r w:rsidRPr="00920844">
        <w:rPr>
          <w:rFonts w:eastAsia="Calibri"/>
          <w:b/>
          <w:lang w:val="en-US"/>
        </w:rPr>
        <w:t xml:space="preserve">Restructuring of the municipal water service bodies” </w:t>
      </w:r>
      <w:r w:rsidRPr="00920844">
        <w:rPr>
          <w:rFonts w:eastAsia="Calibri"/>
          <w:lang w:val="en-US"/>
        </w:rPr>
        <w:t>involves the revision of the existing institutional framework for the organization and operation of municipal water service providers with the scope of their spatial restructuring in order to upgrade water supply and sewerage services and to best address the environmental, economic and administrative challenges in the exercise of water services.</w:t>
      </w:r>
      <w:r w:rsidRPr="00920844">
        <w:rPr>
          <w:rFonts w:eastAsia="Calibri"/>
          <w:highlight w:val="white"/>
          <w:lang w:val="en-US"/>
        </w:rPr>
        <w:t xml:space="preserve"> </w:t>
      </w:r>
      <w:r w:rsidRPr="00920844">
        <w:rPr>
          <w:rFonts w:eastAsia="Calibri"/>
          <w:lang w:val="en-US"/>
        </w:rPr>
        <w:t>The implementation of the reform is expected to be completed by 2026.</w:t>
      </w:r>
    </w:p>
    <w:p w14:paraId="63E62445"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Energy renovation on residential buildings”</w:t>
      </w:r>
      <w:r w:rsidRPr="00920844">
        <w:rPr>
          <w:rFonts w:eastAsia="Calibri"/>
          <w:lang w:val="en-US"/>
        </w:rPr>
        <w:t xml:space="preserve"> aims at optimising the operational energy profile of residential buildings by financing renovations related to energy efficiency. These renovations concern both actions in favour of energy saving as well as the adoption of smart technologies and systems of self-production, with financial support towards the energy poor households. A number of programs for energy renovation of residential buildings continue their implementation, all of them under the “Exoikonomo” title. The implementation of the investment is expected to be completed by 2026.</w:t>
      </w:r>
    </w:p>
    <w:p w14:paraId="0F0A602F" w14:textId="77777777" w:rsidR="0020727F" w:rsidRPr="00920844" w:rsidRDefault="0020727F" w:rsidP="00920844">
      <w:pPr>
        <w:rPr>
          <w:rFonts w:eastAsia="Calibri"/>
          <w:lang w:val="en-US"/>
        </w:rPr>
      </w:pPr>
      <w:r w:rsidRPr="00920844">
        <w:rPr>
          <w:rFonts w:eastAsia="Calibri"/>
          <w:lang w:val="en-US"/>
        </w:rPr>
        <w:lastRenderedPageBreak/>
        <w:t xml:space="preserve">The </w:t>
      </w:r>
      <w:r w:rsidRPr="00920844">
        <w:rPr>
          <w:rFonts w:eastAsia="Calibri"/>
          <w:b/>
          <w:lang w:val="en-US"/>
        </w:rPr>
        <w:t>RRF Investment</w:t>
      </w:r>
      <w:r w:rsidRPr="00920844">
        <w:rPr>
          <w:rFonts w:eastAsia="Calibri"/>
          <w:lang w:val="en-US"/>
        </w:rPr>
        <w:t xml:space="preserve"> for the </w:t>
      </w:r>
      <w:r w:rsidRPr="00920844">
        <w:rPr>
          <w:rFonts w:eastAsia="Calibri"/>
          <w:b/>
          <w:lang w:val="en-US"/>
        </w:rPr>
        <w:t>“Installation of energy storage for additional RES penetration”</w:t>
      </w:r>
      <w:r w:rsidRPr="00920844">
        <w:rPr>
          <w:rFonts w:eastAsia="Calibri"/>
          <w:lang w:val="en-US"/>
        </w:rPr>
        <w:t xml:space="preserve"> (budget of €85 million) is designed to scale-up the second sub-programme of the investment “Support of the installation of storage systems to enhance RES penetration (ID 16926)" under the existing RRF, which relates to the development of stand-alone grid scale storage systems and aims to allow the further development of such storage capacity. The investment shall lead to the installation of additional new energy storage facilities with a capacity of at least 175 MW. The implementation of the investment is expected to be completed by 2026.</w:t>
      </w:r>
    </w:p>
    <w:p w14:paraId="1C189AE2" w14:textId="77777777" w:rsidR="0020727F" w:rsidRPr="00920844" w:rsidRDefault="0020727F" w:rsidP="00920844">
      <w:pPr>
        <w:rPr>
          <w:rFonts w:eastAsia="Calibri"/>
          <w:lang w:val="en-US"/>
        </w:rPr>
      </w:pPr>
      <w:r w:rsidRPr="00920844">
        <w:rPr>
          <w:rFonts w:eastAsia="Calibri"/>
          <w:lang w:val="en-US"/>
        </w:rPr>
        <w:t>The</w:t>
      </w:r>
      <w:r w:rsidRPr="00920844">
        <w:rPr>
          <w:rFonts w:eastAsia="Calibri"/>
          <w:b/>
          <w:lang w:val="en-US"/>
        </w:rPr>
        <w:t xml:space="preserve"> RRF Investmen</w:t>
      </w:r>
      <w:r w:rsidRPr="00920844">
        <w:rPr>
          <w:rFonts w:eastAsia="Calibri"/>
          <w:lang w:val="en-US"/>
        </w:rPr>
        <w:t xml:space="preserve">t for </w:t>
      </w:r>
      <w:r w:rsidRPr="00920844">
        <w:rPr>
          <w:rFonts w:eastAsia="Calibri"/>
          <w:b/>
          <w:lang w:val="en-US"/>
        </w:rPr>
        <w:t>“Energy efficiency and promotion of RES for self-consumption”</w:t>
      </w:r>
      <w:r w:rsidRPr="00920844">
        <w:rPr>
          <w:rFonts w:eastAsia="Calibri"/>
          <w:lang w:val="en-US"/>
        </w:rPr>
        <w:t xml:space="preserve"> has a total budget of €560 million and the objective is to improve energy efficiency and the deployment of renewable energy in the residential and non-residential buildings, agricultural sector and municipal water and sewerage utilities, resulting in primary energy savings, reduction of greenhouse gas emissions and new renewable energy being connected to the grid. This investment comprises of 5 sub-investments: 1) Energy renovation on residential buildings, 2) Energy efficiency on public sector buildings and the private sector (non-residential buildings), 3) Photovoltaic systems for auto-consumption in residential buildings and the agricultural sector, 4) Renewable water heating systems for households and 5) Promoting energy efficiency in municipal water and sewage companies. The implementation of the investment is expected to be completed by 2026.</w:t>
      </w:r>
    </w:p>
    <w:p w14:paraId="76FA7F3A" w14:textId="77777777" w:rsidR="0020727F" w:rsidRPr="00920844" w:rsidRDefault="0020727F" w:rsidP="00920844">
      <w:pPr>
        <w:rPr>
          <w:rFonts w:eastAsia="Calibri"/>
          <w:lang w:val="en-US"/>
        </w:rPr>
      </w:pPr>
      <w:r w:rsidRPr="00920844">
        <w:rPr>
          <w:rFonts w:eastAsia="Calibri"/>
          <w:lang w:val="en-US"/>
        </w:rPr>
        <w:t xml:space="preserve">The objective of the </w:t>
      </w:r>
      <w:r w:rsidRPr="00920844">
        <w:rPr>
          <w:rFonts w:eastAsia="Calibri"/>
          <w:b/>
          <w:lang w:val="en-US"/>
        </w:rPr>
        <w:t xml:space="preserve">RRF Investment </w:t>
      </w:r>
      <w:r w:rsidRPr="00920844">
        <w:rPr>
          <w:rFonts w:eastAsia="Calibri"/>
          <w:lang w:val="en-US"/>
        </w:rPr>
        <w:t>“</w:t>
      </w:r>
      <w:r w:rsidRPr="00920844">
        <w:rPr>
          <w:rFonts w:eastAsia="Calibri"/>
          <w:b/>
          <w:lang w:val="en-US"/>
        </w:rPr>
        <w:t>Promotion of CCS technologies to foster industry decarbonization”</w:t>
      </w:r>
      <w:r w:rsidRPr="00920844">
        <w:rPr>
          <w:rFonts w:eastAsia="Calibri"/>
          <w:lang w:val="en-US"/>
        </w:rPr>
        <w:t xml:space="preserve"> with a €75 million budget, is to boost the installation of carbon capture, usage, and storage technologies across the entire CCS value chain. Specifically, the investments will include the CO2 transportation segment. The investment is expected to be completed by 2026.</w:t>
      </w:r>
    </w:p>
    <w:p w14:paraId="02EFDDF1"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“Interventions for the electricity interconnection of islands and the upgrading of the electricity network</w:t>
      </w:r>
      <w:r w:rsidRPr="00920844">
        <w:rPr>
          <w:rFonts w:eastAsia="Calibri"/>
          <w:lang w:val="en-US"/>
        </w:rPr>
        <w:t>” includes the electricity interconnection of the Cyclades Islands (Phase D), an overhead line connecting Extra High Voltage Centre (EHVC) Corinth and EHVC Koumoundouros and accompanying projects. The projects shall boost energy system security, while also increasing the potential for electricity generation from RES in the islands and the Peloponnese. The implementation of the investment is expected to be completed by 2026.</w:t>
      </w:r>
    </w:p>
    <w:p w14:paraId="4722226B" w14:textId="77777777" w:rsidR="0020727F" w:rsidRPr="00920844" w:rsidRDefault="0020727F" w:rsidP="00920844">
      <w:pPr>
        <w:rPr>
          <w:rFonts w:eastAsia="Calibri"/>
          <w:lang w:val="en-US"/>
        </w:rPr>
      </w:pPr>
      <w:r w:rsidRPr="00920844">
        <w:rPr>
          <w:rFonts w:eastAsia="Calibri"/>
          <w:lang w:val="en-US"/>
        </w:rPr>
        <w:t xml:space="preserve">The RRF Investment </w:t>
      </w:r>
      <w:r w:rsidRPr="00920844">
        <w:rPr>
          <w:rFonts w:eastAsia="Calibri"/>
          <w:b/>
          <w:lang w:val="en-US"/>
        </w:rPr>
        <w:t>“Installed capacity increase in Hellenic Electricity Distribution Network Operator (HEDNO) HV/MV substations for new RES connection”</w:t>
      </w:r>
      <w:r w:rsidRPr="00920844">
        <w:rPr>
          <w:rFonts w:eastAsia="Calibri"/>
          <w:lang w:val="en-US"/>
        </w:rPr>
        <w:t xml:space="preserve"> aims at the expansion of the distribution network in order to allow for the optimal and timely realisation of new “medium and large scale” RES projects, avoiding long delays due to congested networks. It includes the installation of new HV/MV power transformers in existing HV/MV substations that are expandable or the replacement of existing HV/MV power transformers with power transformers of higher MVA. The investment includes the installed capacity increase in existing HV/MV substations by 800 MVA. The investment is scheduled to be completed by 2026.</w:t>
      </w:r>
    </w:p>
    <w:p w14:paraId="038F41BD" w14:textId="77777777" w:rsidR="0020727F" w:rsidRPr="00920844" w:rsidRDefault="0020727F" w:rsidP="00920844">
      <w:pPr>
        <w:rPr>
          <w:rFonts w:eastAsia="Calibri"/>
          <w:lang w:val="en-US"/>
        </w:rPr>
      </w:pPr>
      <w:r w:rsidRPr="00920844">
        <w:rPr>
          <w:rFonts w:eastAsia="Calibri"/>
          <w:lang w:val="en-US"/>
        </w:rPr>
        <w:lastRenderedPageBreak/>
        <w:t xml:space="preserve">The </w:t>
      </w:r>
      <w:r w:rsidRPr="00920844">
        <w:rPr>
          <w:rFonts w:eastAsia="Calibri"/>
          <w:b/>
          <w:lang w:val="en-US"/>
        </w:rPr>
        <w:t xml:space="preserve">RRF Investment </w:t>
      </w:r>
      <w:r w:rsidRPr="00920844">
        <w:rPr>
          <w:rFonts w:eastAsia="Calibri"/>
          <w:lang w:val="en-US"/>
        </w:rPr>
        <w:t>“</w:t>
      </w:r>
      <w:r w:rsidRPr="00920844">
        <w:rPr>
          <w:rFonts w:eastAsia="Calibri"/>
          <w:b/>
          <w:lang w:val="en-US"/>
        </w:rPr>
        <w:t>Support of the installation of storage systems to enhance RES penetration”</w:t>
      </w:r>
      <w:r w:rsidRPr="00920844">
        <w:rPr>
          <w:rFonts w:eastAsia="Calibri"/>
          <w:lang w:val="en-US"/>
        </w:rPr>
        <w:t xml:space="preserve"> intends to support the installation of up to 1,380 MW capacity of Energy Storage in the electricity system, ca. 50% of which will come as long duration storage from the Amfilochia Pumped Hydro Storage (PHS). These investments shall allow the system integration of new RES capacity which is required for the achievement of NECP targets. In addition, this action shall also alleviate network congestion, increase the flexibility of the electricity system and liquidity of balancing market, enhance system adequacy, enable energy efficiency, promote transparency in electricity price formation, and lower energy costs. The implementation of the investment is expected to be completed by 2026.</w:t>
      </w:r>
    </w:p>
    <w:p w14:paraId="29D99221"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Energy and entrepreneurship” investment</w:t>
      </w:r>
      <w:r w:rsidRPr="00920844">
        <w:rPr>
          <w:rFonts w:eastAsia="Calibri"/>
          <w:lang w:val="en-US"/>
        </w:rPr>
        <w:t xml:space="preserve"> aims to optimize the cost effectiveness of private companies through financial support targeting energy efficiency. The investment includes two (2) sub-programs: (a) energy efficiency in the tertiary and secondary sector for medium, large and very large organizations and (b) installation of energy efficient equipment in very small enterprises. It includes the energy improvement of buildings, the supply and installation of energy efficient equipment and systems for energy conservation, production, storage, distribution of products and the company's operation. Eligible interventions include: energy renovation of buildings, energy upgrade of the production process including waste heat recovery, installation of new or replacement of existing heating or cooling system as well as hot water supply with RES system, high efficiency cogeneration for self-consumption, installation of smart systems and IT equipment, electrical vehicles for the distribution of products and raw materials within and outside the production area and charging points, installation of energy efficient equipment, as well as support actions. The investment is scheduled to be completed by 2026.</w:t>
      </w:r>
    </w:p>
    <w:p w14:paraId="1AC7C4BF"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 “Energy upgrade of public sector buildings”</w:t>
      </w:r>
      <w:r w:rsidRPr="00920844">
        <w:rPr>
          <w:rFonts w:eastAsia="Calibri"/>
          <w:lang w:val="en-US"/>
        </w:rPr>
        <w:t xml:space="preserve"> under the “ILEKTRA” title, aims at encouraging the development of an Energy Saving Companies (ESCOs) market for the energy renovation of existing buildings and infrastructure of the (wider) public sector. The investment also contains the energy upgrade of street lighting infrastructures and is expected to be completed by 2026.</w:t>
      </w:r>
    </w:p>
    <w:p w14:paraId="7CD3952C"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 xml:space="preserve">RRF Investment “Produc-E Green” </w:t>
      </w:r>
      <w:r w:rsidRPr="00920844">
        <w:rPr>
          <w:rFonts w:eastAsia="Calibri"/>
          <w:lang w:val="en-US"/>
        </w:rPr>
        <w:t xml:space="preserve">aims at establishing production capacity in products and services that promote green economy and innovation and at promoting storage of CO2 emissions; and is composed of two sub projects. (1) The funding, in the form of grants, of industrial production units to make products in the green economy sector and (2) The development of the first CO2 storage facility in Greece. The first initiative of the investment aims at strengthening the industrial production capacity of the country in green economy related products. The second initiative focuses on the application of carbon capture, utilisation and storage (CCUS) technologies, which have long been considered as valid alternatives in the portfolio of mitigation actions for the stabilisation of atmospheric greenhouse gas </w:t>
      </w:r>
      <w:r w:rsidRPr="00920844">
        <w:rPr>
          <w:rFonts w:eastAsia="Calibri"/>
          <w:lang w:val="en-US"/>
        </w:rPr>
        <w:lastRenderedPageBreak/>
        <w:t>concentrations. The proposed site at Prinos, Kavala is an extensively mapped and surveyed location, where oil drilling operations have been taking place for decades. The implementation of the investment is expected to be completed by 2026.</w:t>
      </w:r>
    </w:p>
    <w:p w14:paraId="5C0EA541"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“National Reforestation Plan restoration and prevention (“antiNERO”)</w:t>
      </w:r>
      <w:r w:rsidRPr="00920844">
        <w:rPr>
          <w:rFonts w:eastAsia="Calibri"/>
          <w:lang w:val="en-US"/>
        </w:rPr>
        <w:t>, anti-erosion and flood protection measures” aims at restoring selected forest ecosystems in Greece that suffered from natural disasters and implementation of actions for adaptation of forests to climate change. This investment has three parts. First, the restoration of 5700ha of degraded forest ecosystems in Greece through planting of saplings. The project shall cover both reforestation studies and their implementation. In addition, the investment shall include the upgrade of four public forest nurseries (Ambrosian, Lagada, Organi and Aliarto) and the implementation of all the activities foreseen in the Pilot Implementation of the National Reforestation Plan. Second, as part of the antiNERO programs, the investment shall finance fire prevention measures, including forest and woodland clearings and the maintenance and construction of the forest road network. In addition, the investment shall include the maintenance and creation of fire zones (and mixed fire zones), together with the creation of zones of pure or mixed vegetation and the preparation of reforestation studies for selected areas. Third, the investment shall finance actions concerning anti-erosion and flood protection in the areas of Evros, Rhodope, and Parnitha. The implementation of the investment is expected to be completed by 2026.</w:t>
      </w:r>
    </w:p>
    <w:p w14:paraId="38E69A96"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Urban Wastewater and Sludge Management Infrastructures from Wastewater Treatment”</w:t>
      </w:r>
      <w:r w:rsidRPr="00920844">
        <w:rPr>
          <w:rFonts w:eastAsia="Calibri"/>
          <w:lang w:val="en-US"/>
        </w:rPr>
        <w:t xml:space="preserve"> aims at reducing pollution in the natural and human-made environment arising from wastewater treatment facilities, by constructing new and upgrading existing infrastructure. The investment consists of three (3) subprojects: (a) construction of new sewage network infrastructures and wastewater treatment plants (WWTPs), (b) upgrading, extension and modernization of WWTPs and reuse of treated water and (c) construction of sludge management infrastructures from WWTPs. The part of the investment relating to upgrading and modernization of the WWTPs shall comply with the requirement for the constructed front-to-end wastewater system to lead to a decreased average energy use by at least 10% achieved solely by energy efficiency measures and not by material changes or changes in load. The implementation of the investment is expected to be completed by 2026.</w:t>
      </w:r>
    </w:p>
    <w:p w14:paraId="01C53C85" w14:textId="77777777" w:rsidR="0020727F" w:rsidRPr="00920844" w:rsidRDefault="0020727F" w:rsidP="00920844">
      <w:pPr>
        <w:rPr>
          <w:rFonts w:eastAsia="Calibri"/>
          <w:lang w:val="en-US"/>
        </w:rPr>
      </w:pPr>
      <w:r w:rsidRPr="00920844">
        <w:rPr>
          <w:rFonts w:eastAsia="Calibri"/>
          <w:lang w:val="en-US"/>
        </w:rPr>
        <w:t xml:space="preserve">Moreover, the </w:t>
      </w:r>
      <w:r w:rsidRPr="00920844">
        <w:rPr>
          <w:rFonts w:eastAsia="Calibri"/>
          <w:b/>
          <w:lang w:val="en-US"/>
        </w:rPr>
        <w:t>RRF Investment</w:t>
      </w:r>
      <w:r w:rsidRPr="00920844">
        <w:rPr>
          <w:rFonts w:eastAsia="Calibri"/>
          <w:lang w:val="en-US"/>
        </w:rPr>
        <w:t xml:space="preserve"> “</w:t>
      </w:r>
      <w:r w:rsidRPr="00920844">
        <w:rPr>
          <w:rFonts w:eastAsia="Calibri"/>
          <w:b/>
          <w:lang w:val="en-US"/>
        </w:rPr>
        <w:t>Pilot projects for Biomethane and Renewable Hydrogen Production”</w:t>
      </w:r>
      <w:r w:rsidRPr="00920844">
        <w:rPr>
          <w:rFonts w:eastAsia="Calibri"/>
          <w:lang w:val="en-US"/>
        </w:rPr>
        <w:t xml:space="preserve"> of €75 million budget, is directly related to the aforementioned reform for the framework for renewable hydrogen and sustainable biomethane. Its objective is to foster sustainable bio-methane and renewable hydrogen in Greece through the provision of financial support to companies. Concerning bio-methane, the investment shall support either the construction of new biogas production plants and/or the transformation of existing biogas plants so as to produce sustainable biomethane and the liquefaction, compression and storage of the </w:t>
      </w:r>
      <w:r w:rsidRPr="00920844">
        <w:rPr>
          <w:rFonts w:eastAsia="Calibri"/>
          <w:lang w:val="en-US"/>
        </w:rPr>
        <w:lastRenderedPageBreak/>
        <w:t>produced sustainable biomethane. As far as renewable hydrogen production is concerned, the investment shall support the installation of the required equipment for the production of renewable hydrogen, such as the installation of the electrolysers, the installation of metering and monitoring equipment and temporary storage, or the installation of RES plants coupled with the hydrogen production facilities, dedicated and located in the same area.  The investment is expected to be completed by 2026.</w:t>
      </w:r>
    </w:p>
    <w:p w14:paraId="06AF6D7F"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 “Drinking Water Supply and Saving Infrastructures”</w:t>
      </w:r>
      <w:r w:rsidRPr="00920844">
        <w:rPr>
          <w:rFonts w:eastAsia="Calibri"/>
          <w:lang w:val="en-US"/>
        </w:rPr>
        <w:t xml:space="preserve"> aims to improve the availability and quality of drinking water and reduce leakage and public health risks related to water infrastructure. The investment consists of three sub-projects: (a) construction of new water supply infrastructures in at least seven areas and at least three desalination plants, (b) establishment of telemetry - remote control systems for the detection of leaks in water supply networks, and (c) procurement of digital hydrometers. The implementation of the investment is expected to be completed by 2026.</w:t>
      </w:r>
    </w:p>
    <w:p w14:paraId="130856F1"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“Biodiversity Protection as a driver for sustainable growth”</w:t>
      </w:r>
      <w:r w:rsidRPr="00920844">
        <w:rPr>
          <w:rFonts w:eastAsia="Calibri"/>
          <w:lang w:val="en-US"/>
        </w:rPr>
        <w:t xml:space="preserve"> will be a driver for sustainable growth, aiming at the effective conservation of biodiversity. In line with the EU Biodiversity Strategy for 2030, the investment includes the establishment of a national network of paths and hiking trails, a National Monitoring and Surveillance System of species and habitat types, the upgrade of the building facilities of the Protected Areas Management Units, the creation an integrated digital platform which offers information on Greek Natural History Collections as well as the creation of corporate identity for products related to Greek nature. The implementation of the investment is expected to be completed by 2026.</w:t>
      </w:r>
    </w:p>
    <w:p w14:paraId="41FC0FB1" w14:textId="77777777" w:rsidR="0020727F" w:rsidRPr="00920844" w:rsidRDefault="0020727F" w:rsidP="00920844">
      <w:pPr>
        <w:rPr>
          <w:rFonts w:eastAsia="Calibri"/>
          <w:lang w:val="en-US"/>
        </w:rPr>
      </w:pPr>
      <w:r w:rsidRPr="00920844">
        <w:rPr>
          <w:rFonts w:eastAsia="Calibri"/>
          <w:lang w:val="en-US"/>
        </w:rPr>
        <w:t>The investment “</w:t>
      </w:r>
      <w:r w:rsidRPr="00920844">
        <w:rPr>
          <w:rFonts w:eastAsia="Calibri"/>
          <w:b/>
          <w:lang w:val="en-US"/>
        </w:rPr>
        <w:t>Drinking water supply projects to areas with water shortages</w:t>
      </w:r>
      <w:r w:rsidRPr="00920844">
        <w:rPr>
          <w:rFonts w:eastAsia="Calibri"/>
          <w:lang w:val="en-US"/>
        </w:rPr>
        <w:t>” is a funding driver for the implementation of water supply projects to parts of Greece that have prolonged water shortage issues which have been intense due to persistent drought occurrences over the past years. Those areas and the associated water supply projects (e.g. drinking water supply infrastructure, modernisation of water supply networks to reduce water leakages) will be selected following a respective prioritization procedure. The investment will be funded by the Public Investment Programme of the Ministry of Environment and Energy and is programmed to be completed by the end of 2026.</w:t>
      </w:r>
    </w:p>
    <w:p w14:paraId="7DF2D413"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“Tracing of illegal buildings and construction using state-of-the-art technological means”</w:t>
      </w:r>
      <w:r w:rsidRPr="00920844">
        <w:rPr>
          <w:rFonts w:eastAsia="Calibri"/>
          <w:lang w:val="en-US"/>
        </w:rPr>
        <w:t xml:space="preserve"> </w:t>
      </w:r>
      <w:r w:rsidRPr="00920844">
        <w:rPr>
          <w:rFonts w:eastAsia="Calibri"/>
          <w:b/>
          <w:i/>
          <w:iCs/>
          <w:lang w:val="en-US"/>
        </w:rPr>
        <w:t>(a new action compared to NRP submitted in Spring 2024)</w:t>
      </w:r>
      <w:r w:rsidRPr="00B67387">
        <w:rPr>
          <w:rFonts w:eastAsia="Calibri"/>
          <w:b/>
          <w:i/>
          <w:iCs/>
          <w:lang w:val="en-US"/>
        </w:rPr>
        <w:t xml:space="preserve"> </w:t>
      </w:r>
      <w:r w:rsidRPr="00920844">
        <w:rPr>
          <w:rFonts w:eastAsia="Calibri"/>
          <w:lang w:val="en-US"/>
        </w:rPr>
        <w:t xml:space="preserve">is aiming to create an integrated system that will use new GIS and AI technologies combined to the existing information systems of the Technical Chamber of Greece (e.g. e-adeies, Arbitrary Arrangement, Building Electronic Identity and Single Digital Map) and new and repeatedly high-resolution aerial photographs using manned aircraft and UAVs, in order to effectively detect and immediately control arbitrary constructions in appliance to Law 4495/17 and locally enforce and implement the relevant legislation. It thus becomes possible to detect and check if any arbitrary </w:t>
      </w:r>
      <w:r w:rsidRPr="00920844">
        <w:rPr>
          <w:rFonts w:eastAsia="Calibri"/>
          <w:lang w:val="en-US"/>
        </w:rPr>
        <w:lastRenderedPageBreak/>
        <w:t>construction is being made. The implementation of the investment is expected to be completed by 2026.</w:t>
      </w:r>
    </w:p>
    <w:p w14:paraId="67BECC18"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 xml:space="preserve">RRF Investment </w:t>
      </w:r>
      <w:r w:rsidRPr="00920844">
        <w:rPr>
          <w:rFonts w:eastAsia="Calibri"/>
          <w:lang w:val="en-US"/>
        </w:rPr>
        <w:t>“</w:t>
      </w:r>
      <w:r w:rsidRPr="00920844">
        <w:rPr>
          <w:rFonts w:eastAsia="Calibri"/>
          <w:b/>
          <w:lang w:val="en-US"/>
        </w:rPr>
        <w:t>HEDNO - Overhead network upgrading in forest areas”,</w:t>
      </w:r>
      <w:r w:rsidRPr="00920844">
        <w:rPr>
          <w:rFonts w:eastAsia="Calibri"/>
          <w:lang w:val="en-US"/>
        </w:rPr>
        <w:t xml:space="preserve"> consists of a replacement of bare conductors in the overhead electricity distribution network (with covered ones or a twisted cable), installation of insulating covers, and undergrounding or relocation of the electricity distribution network passing through forest areas. The project shall improve the resilience and reliability of the network (energy quality indicators SAIDI, SAIFI) and better protect the environment (forests, wildlife). The implementation of the investment is expected to be completed by 2026.</w:t>
      </w:r>
    </w:p>
    <w:p w14:paraId="5194F673" w14:textId="6ACD4668" w:rsidR="00136EE8"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“HEDNO - network upgrades aiming at enhancing resilience and protecting the environment</w:t>
      </w:r>
      <w:r w:rsidRPr="00920844">
        <w:rPr>
          <w:rFonts w:eastAsia="Calibri"/>
          <w:lang w:val="en-US"/>
        </w:rPr>
        <w:t>”, consists of undergrounding and rerouting of the electricity distribution network in settlements of special importance from a cultural or tourism point of view as well as city centers, with priority given to areas where the infrastructure is vulnerable to extreme weather. It shall improve the resilience of the distribution network and contribute to the protection of the environment. The implementation of the investment is expected to be completed by 2026.</w:t>
      </w:r>
    </w:p>
    <w:p w14:paraId="6012F3B9" w14:textId="3B3A074E" w:rsidR="00194311" w:rsidRDefault="00194311" w:rsidP="00920844">
      <w:pPr>
        <w:rPr>
          <w:rFonts w:eastAsia="Calibri"/>
          <w:lang w:val="en-US"/>
        </w:rPr>
      </w:pPr>
    </w:p>
    <w:p w14:paraId="3C3704C4" w14:textId="77777777" w:rsidR="00194311" w:rsidRPr="00194311" w:rsidRDefault="00194311" w:rsidP="00920844">
      <w:pPr>
        <w:rPr>
          <w:rFonts w:eastAsia="Calibri"/>
          <w:lang w:val="en-US"/>
        </w:rPr>
      </w:pPr>
    </w:p>
    <w:p w14:paraId="5AFE69E0" w14:textId="302F97D3" w:rsidR="00987A40" w:rsidRPr="008A627E" w:rsidRDefault="00246918" w:rsidP="00B656B8">
      <w:pPr>
        <w:pStyle w:val="Heading2"/>
        <w:pBdr>
          <w:bottom w:val="single" w:sz="18" w:space="1" w:color="FF3300"/>
        </w:pBdr>
        <w:rPr>
          <w:lang w:val="en-US"/>
        </w:rPr>
      </w:pPr>
      <w:bookmarkStart w:id="72" w:name="_4txgp7qwb0e1" w:colFirst="0" w:colLast="0"/>
      <w:bookmarkStart w:id="73" w:name="_kpxa23oh3pr4" w:colFirst="0" w:colLast="0"/>
      <w:bookmarkStart w:id="74" w:name="_v4s61u3x62m9" w:colFirst="0" w:colLast="0"/>
      <w:bookmarkStart w:id="75" w:name="_tqgaa01po5zf" w:colFirst="0" w:colLast="0"/>
      <w:bookmarkStart w:id="76" w:name="_Toc178070110"/>
      <w:bookmarkStart w:id="77" w:name="_Toc177496808"/>
      <w:bookmarkEnd w:id="72"/>
      <w:bookmarkEnd w:id="73"/>
      <w:bookmarkEnd w:id="74"/>
      <w:bookmarkEnd w:id="75"/>
      <w:r>
        <w:rPr>
          <w:lang w:val="en-US"/>
        </w:rPr>
        <w:t>M</w:t>
      </w:r>
      <w:r w:rsidRPr="008A627E">
        <w:rPr>
          <w:lang w:val="en-US"/>
        </w:rPr>
        <w:t xml:space="preserve">inistry of </w:t>
      </w:r>
      <w:r>
        <w:rPr>
          <w:lang w:val="en-US"/>
        </w:rPr>
        <w:t>D</w:t>
      </w:r>
      <w:r w:rsidRPr="008A627E">
        <w:rPr>
          <w:lang w:val="en-US"/>
        </w:rPr>
        <w:t>evelopment</w:t>
      </w:r>
      <w:bookmarkEnd w:id="76"/>
      <w:r w:rsidRPr="008A627E">
        <w:rPr>
          <w:lang w:val="en-US"/>
        </w:rPr>
        <w:t xml:space="preserve"> </w:t>
      </w:r>
      <w:bookmarkEnd w:id="77"/>
    </w:p>
    <w:p w14:paraId="0BAADE47" w14:textId="69A230E4" w:rsidR="00987A40" w:rsidRDefault="00987A40" w:rsidP="00662054">
      <w:pPr>
        <w:pBdr>
          <w:top w:val="nil"/>
          <w:left w:val="nil"/>
          <w:bottom w:val="nil"/>
          <w:right w:val="nil"/>
          <w:between w:val="nil"/>
        </w:pBdr>
        <w:spacing w:after="0"/>
        <w:ind w:right="6"/>
        <w:rPr>
          <w:rFonts w:ascii="Calibri" w:eastAsia="Calibri" w:hAnsi="Calibri" w:cs="Calibri"/>
          <w:sz w:val="24"/>
          <w:szCs w:val="24"/>
        </w:rPr>
      </w:pPr>
      <w:bookmarkStart w:id="78" w:name="_iui7urpmt949" w:colFirst="0" w:colLast="0"/>
      <w:bookmarkEnd w:id="78"/>
    </w:p>
    <w:tbl>
      <w:tblPr>
        <w:tblW w:w="889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808"/>
        <w:gridCol w:w="1285"/>
        <w:gridCol w:w="1621"/>
        <w:gridCol w:w="2177"/>
      </w:tblGrid>
      <w:tr w:rsidR="0020727F" w:rsidRPr="00194311" w14:paraId="7C91BA4A" w14:textId="77777777" w:rsidTr="00381EA6">
        <w:trPr>
          <w:trHeight w:val="113"/>
          <w:jc w:val="center"/>
        </w:trPr>
        <w:tc>
          <w:tcPr>
            <w:tcW w:w="3808" w:type="dxa"/>
            <w:shd w:val="clear" w:color="auto" w:fill="CFE2F3"/>
            <w:tcMar>
              <w:top w:w="0" w:type="dxa"/>
              <w:left w:w="100" w:type="dxa"/>
              <w:bottom w:w="0" w:type="dxa"/>
              <w:right w:w="100" w:type="dxa"/>
            </w:tcMar>
          </w:tcPr>
          <w:p w14:paraId="41B233E9" w14:textId="77777777" w:rsidR="0020727F" w:rsidRPr="00194311" w:rsidRDefault="0020727F" w:rsidP="00194311">
            <w:pPr>
              <w:pStyle w:val="Tabletext"/>
              <w:rPr>
                <w:rFonts w:eastAsia="Calibri"/>
                <w:b/>
              </w:rPr>
            </w:pPr>
            <w:r w:rsidRPr="00194311">
              <w:rPr>
                <w:rFonts w:eastAsia="Calibri"/>
                <w:b/>
              </w:rPr>
              <w:t>REFORM / INVESTMENT</w:t>
            </w:r>
          </w:p>
        </w:tc>
        <w:tc>
          <w:tcPr>
            <w:tcW w:w="1285" w:type="dxa"/>
            <w:shd w:val="clear" w:color="auto" w:fill="CFE2F3"/>
            <w:tcMar>
              <w:top w:w="0" w:type="dxa"/>
              <w:left w:w="100" w:type="dxa"/>
              <w:bottom w:w="0" w:type="dxa"/>
              <w:right w:w="100" w:type="dxa"/>
            </w:tcMar>
          </w:tcPr>
          <w:p w14:paraId="6C7E4D6E" w14:textId="77777777" w:rsidR="0020727F" w:rsidRPr="00194311" w:rsidRDefault="0020727F" w:rsidP="00194311">
            <w:pPr>
              <w:pStyle w:val="Tabletext"/>
              <w:rPr>
                <w:rFonts w:eastAsia="Calibri"/>
                <w:b/>
              </w:rPr>
            </w:pPr>
            <w:r w:rsidRPr="00194311">
              <w:rPr>
                <w:rFonts w:eastAsia="Calibri"/>
                <w:b/>
              </w:rPr>
              <w:t>RRF / MFF</w:t>
            </w:r>
          </w:p>
        </w:tc>
        <w:tc>
          <w:tcPr>
            <w:tcW w:w="1621" w:type="dxa"/>
            <w:shd w:val="clear" w:color="auto" w:fill="CFE2F3"/>
            <w:tcMar>
              <w:top w:w="0" w:type="dxa"/>
              <w:left w:w="100" w:type="dxa"/>
              <w:bottom w:w="0" w:type="dxa"/>
              <w:right w:w="100" w:type="dxa"/>
            </w:tcMar>
          </w:tcPr>
          <w:p w14:paraId="446D625B" w14:textId="77777777" w:rsidR="0020727F" w:rsidRPr="00194311" w:rsidRDefault="0020727F" w:rsidP="00194311">
            <w:pPr>
              <w:pStyle w:val="Tabletext"/>
              <w:rPr>
                <w:rFonts w:eastAsia="Calibri"/>
                <w:b/>
              </w:rPr>
            </w:pPr>
            <w:r w:rsidRPr="00194311">
              <w:rPr>
                <w:rFonts w:eastAsia="Calibri"/>
                <w:b/>
              </w:rPr>
              <w:t>CSR</w:t>
            </w:r>
          </w:p>
        </w:tc>
        <w:tc>
          <w:tcPr>
            <w:tcW w:w="2177" w:type="dxa"/>
            <w:shd w:val="clear" w:color="auto" w:fill="CFE2F3"/>
            <w:tcMar>
              <w:top w:w="0" w:type="dxa"/>
              <w:left w:w="100" w:type="dxa"/>
              <w:bottom w:w="0" w:type="dxa"/>
              <w:right w:w="100" w:type="dxa"/>
            </w:tcMar>
          </w:tcPr>
          <w:p w14:paraId="33631E64" w14:textId="77777777" w:rsidR="0020727F" w:rsidRPr="00194311" w:rsidRDefault="0020727F" w:rsidP="00194311">
            <w:pPr>
              <w:pStyle w:val="Tabletext"/>
              <w:rPr>
                <w:rFonts w:eastAsia="Calibri"/>
                <w:b/>
              </w:rPr>
            </w:pPr>
            <w:r w:rsidRPr="00194311">
              <w:rPr>
                <w:rFonts w:eastAsia="Calibri"/>
                <w:b/>
              </w:rPr>
              <w:t>COMMON PRIORITIES</w:t>
            </w:r>
          </w:p>
        </w:tc>
      </w:tr>
      <w:tr w:rsidR="0020727F" w:rsidRPr="00194311" w14:paraId="4A2EBC28" w14:textId="77777777" w:rsidTr="00381EA6">
        <w:trPr>
          <w:trHeight w:val="113"/>
          <w:jc w:val="center"/>
        </w:trPr>
        <w:tc>
          <w:tcPr>
            <w:tcW w:w="3808" w:type="dxa"/>
            <w:tcMar>
              <w:top w:w="0" w:type="dxa"/>
              <w:left w:w="100" w:type="dxa"/>
              <w:bottom w:w="0" w:type="dxa"/>
              <w:right w:w="100" w:type="dxa"/>
            </w:tcMar>
          </w:tcPr>
          <w:p w14:paraId="7DA4B286" w14:textId="2A0F7CB1" w:rsidR="0020727F" w:rsidRPr="00194311" w:rsidRDefault="00BA03C0" w:rsidP="00194311">
            <w:pPr>
              <w:pStyle w:val="Tabletext"/>
              <w:rPr>
                <w:rFonts w:eastAsia="Calibri"/>
              </w:rPr>
            </w:pPr>
            <w:r w:rsidRPr="00194311">
              <w:rPr>
                <w:rFonts w:eastAsia="Calibri"/>
                <w:b/>
              </w:rPr>
              <w:t>REFORM 1:</w:t>
            </w:r>
            <w:r w:rsidR="0020727F" w:rsidRPr="00194311">
              <w:rPr>
                <w:rFonts w:eastAsia="Calibri"/>
              </w:rPr>
              <w:t xml:space="preserve"> Actions for the simplification of the business environment and its upgrading in quality and safety</w:t>
            </w:r>
          </w:p>
        </w:tc>
        <w:tc>
          <w:tcPr>
            <w:tcW w:w="1285" w:type="dxa"/>
            <w:tcMar>
              <w:top w:w="0" w:type="dxa"/>
              <w:left w:w="100" w:type="dxa"/>
              <w:bottom w:w="0" w:type="dxa"/>
              <w:right w:w="100" w:type="dxa"/>
            </w:tcMar>
          </w:tcPr>
          <w:p w14:paraId="3261B272" w14:textId="77777777" w:rsidR="0020727F" w:rsidRPr="00194311" w:rsidRDefault="0020727F" w:rsidP="00194311">
            <w:pPr>
              <w:pStyle w:val="Tabletext"/>
              <w:rPr>
                <w:rFonts w:eastAsia="Calibri"/>
              </w:rPr>
            </w:pPr>
            <w:r w:rsidRPr="00194311">
              <w:rPr>
                <w:rFonts w:eastAsia="Calibri"/>
              </w:rPr>
              <w:t>RRF 16543</w:t>
            </w:r>
          </w:p>
        </w:tc>
        <w:tc>
          <w:tcPr>
            <w:tcW w:w="1621" w:type="dxa"/>
            <w:tcMar>
              <w:top w:w="0" w:type="dxa"/>
              <w:left w:w="100" w:type="dxa"/>
              <w:bottom w:w="0" w:type="dxa"/>
              <w:right w:w="100" w:type="dxa"/>
            </w:tcMar>
          </w:tcPr>
          <w:p w14:paraId="69078B50" w14:textId="6E50A0D1"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CSR3.9</w:t>
            </w:r>
          </w:p>
        </w:tc>
        <w:tc>
          <w:tcPr>
            <w:tcW w:w="2177" w:type="dxa"/>
            <w:tcMar>
              <w:top w:w="0" w:type="dxa"/>
              <w:left w:w="100" w:type="dxa"/>
              <w:bottom w:w="0" w:type="dxa"/>
              <w:right w:w="100" w:type="dxa"/>
            </w:tcMar>
          </w:tcPr>
          <w:p w14:paraId="61787C57" w14:textId="77777777" w:rsidR="0020727F" w:rsidRPr="00194311" w:rsidRDefault="0020727F" w:rsidP="00194311">
            <w:pPr>
              <w:pStyle w:val="Tabletext"/>
              <w:rPr>
                <w:rFonts w:eastAsia="Calibri"/>
              </w:rPr>
            </w:pPr>
            <w:r w:rsidRPr="00194311">
              <w:rPr>
                <w:rFonts w:eastAsia="Calibri"/>
              </w:rPr>
              <w:t>Social and Economic resilience</w:t>
            </w:r>
          </w:p>
          <w:p w14:paraId="6646EE3E" w14:textId="77777777" w:rsidR="0020727F" w:rsidRPr="00194311" w:rsidRDefault="0020727F" w:rsidP="00194311">
            <w:pPr>
              <w:pStyle w:val="Tabletext"/>
              <w:rPr>
                <w:rFonts w:eastAsia="Calibri"/>
              </w:rPr>
            </w:pPr>
            <w:r w:rsidRPr="00194311">
              <w:rPr>
                <w:rFonts w:eastAsia="Calibri"/>
              </w:rPr>
              <w:t xml:space="preserve"> </w:t>
            </w:r>
          </w:p>
        </w:tc>
      </w:tr>
      <w:tr w:rsidR="0020727F" w:rsidRPr="00194311" w14:paraId="6BAB30FC" w14:textId="77777777" w:rsidTr="00381EA6">
        <w:trPr>
          <w:trHeight w:val="113"/>
          <w:jc w:val="center"/>
        </w:trPr>
        <w:tc>
          <w:tcPr>
            <w:tcW w:w="3808" w:type="dxa"/>
            <w:tcMar>
              <w:top w:w="0" w:type="dxa"/>
              <w:left w:w="100" w:type="dxa"/>
              <w:bottom w:w="0" w:type="dxa"/>
              <w:right w:w="100" w:type="dxa"/>
            </w:tcMar>
          </w:tcPr>
          <w:p w14:paraId="7DF51921" w14:textId="2B5A70DA" w:rsidR="0020727F" w:rsidRPr="00194311" w:rsidRDefault="00BA03C0" w:rsidP="00194311">
            <w:pPr>
              <w:pStyle w:val="Tabletext"/>
              <w:rPr>
                <w:rFonts w:eastAsia="Calibri"/>
              </w:rPr>
            </w:pPr>
            <w:r w:rsidRPr="00194311">
              <w:rPr>
                <w:rFonts w:eastAsia="Calibri"/>
                <w:b/>
              </w:rPr>
              <w:t>REFORM 2:</w:t>
            </w:r>
            <w:r w:rsidR="0020727F" w:rsidRPr="00194311">
              <w:rPr>
                <w:rFonts w:eastAsia="Calibri"/>
              </w:rPr>
              <w:t xml:space="preserve"> Amendment of the legal framework for the attraction of strategic investment</w:t>
            </w:r>
          </w:p>
          <w:p w14:paraId="3ED1F595" w14:textId="77777777" w:rsidR="0020727F" w:rsidRPr="00194311" w:rsidRDefault="0020727F" w:rsidP="00194311">
            <w:pPr>
              <w:pStyle w:val="Tabletext"/>
              <w:rPr>
                <w:rFonts w:eastAsia="Calibri"/>
              </w:rPr>
            </w:pPr>
            <w:r w:rsidRPr="00194311">
              <w:rPr>
                <w:rFonts w:eastAsia="Calibri"/>
              </w:rPr>
              <w:t xml:space="preserve"> </w:t>
            </w:r>
          </w:p>
        </w:tc>
        <w:tc>
          <w:tcPr>
            <w:tcW w:w="1285" w:type="dxa"/>
            <w:tcMar>
              <w:top w:w="0" w:type="dxa"/>
              <w:left w:w="100" w:type="dxa"/>
              <w:bottom w:w="0" w:type="dxa"/>
              <w:right w:w="100" w:type="dxa"/>
            </w:tcMar>
          </w:tcPr>
          <w:p w14:paraId="17C732DE" w14:textId="77777777" w:rsidR="0020727F" w:rsidRPr="00194311" w:rsidRDefault="0020727F" w:rsidP="00194311">
            <w:pPr>
              <w:pStyle w:val="Tabletext"/>
              <w:rPr>
                <w:rFonts w:eastAsia="Calibri"/>
              </w:rPr>
            </w:pPr>
            <w:r w:rsidRPr="00194311">
              <w:rPr>
                <w:rFonts w:eastAsia="Calibri"/>
              </w:rPr>
              <w:t>RRF 16593</w:t>
            </w:r>
          </w:p>
        </w:tc>
        <w:tc>
          <w:tcPr>
            <w:tcW w:w="1621" w:type="dxa"/>
            <w:tcMar>
              <w:top w:w="0" w:type="dxa"/>
              <w:left w:w="100" w:type="dxa"/>
              <w:bottom w:w="0" w:type="dxa"/>
              <w:right w:w="100" w:type="dxa"/>
            </w:tcMar>
          </w:tcPr>
          <w:p w14:paraId="4FF72B0A" w14:textId="071CE2CE"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2023 CSR4.3</w:t>
            </w:r>
            <w:r w:rsidRPr="00194311">
              <w:rPr>
                <w:rFonts w:eastAsia="Calibri"/>
              </w:rPr>
              <w:br/>
              <w:t>2022 CSR4.2</w:t>
            </w:r>
            <w:r w:rsidRPr="00194311">
              <w:rPr>
                <w:rFonts w:eastAsia="Calibri"/>
              </w:rPr>
              <w:br/>
              <w:t>2022 CSR4.5</w:t>
            </w:r>
            <w:r w:rsidRPr="00194311">
              <w:rPr>
                <w:rFonts w:eastAsia="Calibri"/>
              </w:rPr>
              <w:br/>
              <w:t>2020 CSR3.3</w:t>
            </w:r>
            <w:r w:rsidRPr="00194311">
              <w:rPr>
                <w:rFonts w:eastAsia="Calibri"/>
              </w:rPr>
              <w:br/>
              <w:t>2019 CSR2.2</w:t>
            </w:r>
          </w:p>
        </w:tc>
        <w:tc>
          <w:tcPr>
            <w:tcW w:w="2177" w:type="dxa"/>
            <w:tcMar>
              <w:top w:w="0" w:type="dxa"/>
              <w:left w:w="100" w:type="dxa"/>
              <w:bottom w:w="0" w:type="dxa"/>
              <w:right w:w="100" w:type="dxa"/>
            </w:tcMar>
          </w:tcPr>
          <w:p w14:paraId="583B07E8"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44538C15" w14:textId="77777777" w:rsidTr="00381EA6">
        <w:trPr>
          <w:trHeight w:val="113"/>
          <w:jc w:val="center"/>
        </w:trPr>
        <w:tc>
          <w:tcPr>
            <w:tcW w:w="3808" w:type="dxa"/>
            <w:tcMar>
              <w:top w:w="0" w:type="dxa"/>
              <w:left w:w="100" w:type="dxa"/>
              <w:bottom w:w="0" w:type="dxa"/>
              <w:right w:w="100" w:type="dxa"/>
            </w:tcMar>
          </w:tcPr>
          <w:p w14:paraId="21832E5B" w14:textId="0CF9C8FC" w:rsidR="0020727F" w:rsidRPr="00194311" w:rsidRDefault="00BA03C0" w:rsidP="00194311">
            <w:pPr>
              <w:pStyle w:val="Tabletext"/>
              <w:rPr>
                <w:rFonts w:eastAsia="Calibri"/>
              </w:rPr>
            </w:pPr>
            <w:r w:rsidRPr="00194311">
              <w:rPr>
                <w:rFonts w:eastAsia="Calibri"/>
                <w:b/>
              </w:rPr>
              <w:t>REFORM 3:</w:t>
            </w:r>
            <w:r w:rsidR="0020727F" w:rsidRPr="00194311">
              <w:rPr>
                <w:rFonts w:eastAsia="Calibri"/>
              </w:rPr>
              <w:t xml:space="preserve"> Extroversion of the Research and Innovation Ecosystem of Greece</w:t>
            </w:r>
          </w:p>
        </w:tc>
        <w:tc>
          <w:tcPr>
            <w:tcW w:w="1285" w:type="dxa"/>
            <w:tcMar>
              <w:top w:w="0" w:type="dxa"/>
              <w:left w:w="100" w:type="dxa"/>
              <w:bottom w:w="0" w:type="dxa"/>
              <w:right w:w="100" w:type="dxa"/>
            </w:tcMar>
          </w:tcPr>
          <w:p w14:paraId="409627CF" w14:textId="77777777" w:rsidR="0020727F" w:rsidRPr="00194311" w:rsidRDefault="0020727F" w:rsidP="00194311">
            <w:pPr>
              <w:pStyle w:val="Tabletext"/>
              <w:rPr>
                <w:rFonts w:eastAsia="Calibri"/>
              </w:rPr>
            </w:pPr>
            <w:r w:rsidRPr="00194311">
              <w:rPr>
                <w:rFonts w:eastAsia="Calibri"/>
              </w:rPr>
              <w:t>RRF 16621</w:t>
            </w:r>
          </w:p>
        </w:tc>
        <w:tc>
          <w:tcPr>
            <w:tcW w:w="1621" w:type="dxa"/>
            <w:tcMar>
              <w:top w:w="0" w:type="dxa"/>
              <w:left w:w="100" w:type="dxa"/>
              <w:bottom w:w="0" w:type="dxa"/>
              <w:right w:w="100" w:type="dxa"/>
            </w:tcMar>
          </w:tcPr>
          <w:p w14:paraId="5B82065E" w14:textId="2411EAF0"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CSR3.9</w:t>
            </w:r>
            <w:r w:rsidRPr="00194311">
              <w:rPr>
                <w:rFonts w:eastAsia="Calibri"/>
              </w:rPr>
              <w:br/>
              <w:t>2019 CSR2.3</w:t>
            </w:r>
            <w:r w:rsidRPr="00194311">
              <w:rPr>
                <w:rFonts w:eastAsia="Calibri"/>
              </w:rPr>
              <w:br/>
              <w:t>2019 CSR2.4</w:t>
            </w:r>
          </w:p>
        </w:tc>
        <w:tc>
          <w:tcPr>
            <w:tcW w:w="2177" w:type="dxa"/>
            <w:tcMar>
              <w:top w:w="0" w:type="dxa"/>
              <w:left w:w="100" w:type="dxa"/>
              <w:bottom w:w="0" w:type="dxa"/>
              <w:right w:w="100" w:type="dxa"/>
            </w:tcMar>
          </w:tcPr>
          <w:p w14:paraId="263B19A5"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656F0843" w14:textId="77777777" w:rsidTr="00381EA6">
        <w:trPr>
          <w:trHeight w:val="113"/>
          <w:jc w:val="center"/>
        </w:trPr>
        <w:tc>
          <w:tcPr>
            <w:tcW w:w="3808" w:type="dxa"/>
            <w:tcMar>
              <w:top w:w="0" w:type="dxa"/>
              <w:left w:w="100" w:type="dxa"/>
              <w:bottom w:w="0" w:type="dxa"/>
              <w:right w:w="100" w:type="dxa"/>
            </w:tcMar>
          </w:tcPr>
          <w:p w14:paraId="5431E3DC" w14:textId="3E95E358" w:rsidR="0020727F" w:rsidRPr="00194311" w:rsidRDefault="00BA03C0" w:rsidP="00194311">
            <w:pPr>
              <w:pStyle w:val="Tabletext"/>
              <w:rPr>
                <w:rFonts w:eastAsia="Calibri"/>
              </w:rPr>
            </w:pPr>
            <w:r w:rsidRPr="00194311">
              <w:rPr>
                <w:rFonts w:eastAsia="Calibri"/>
                <w:b/>
              </w:rPr>
              <w:t>REFORM 4:</w:t>
            </w:r>
            <w:r w:rsidR="0020727F" w:rsidRPr="00194311">
              <w:rPr>
                <w:rFonts w:eastAsia="Calibri"/>
              </w:rPr>
              <w:t xml:space="preserve"> Combating illegal trade and protecting intellectual property</w:t>
            </w:r>
          </w:p>
          <w:p w14:paraId="18FF4DC9" w14:textId="77777777" w:rsidR="0020727F" w:rsidRPr="00194311" w:rsidRDefault="0020727F" w:rsidP="00194311">
            <w:pPr>
              <w:pStyle w:val="Tabletext"/>
              <w:rPr>
                <w:rFonts w:eastAsia="Calibri"/>
              </w:rPr>
            </w:pPr>
            <w:r w:rsidRPr="00194311">
              <w:rPr>
                <w:rFonts w:eastAsia="Calibri"/>
              </w:rPr>
              <w:t xml:space="preserve"> </w:t>
            </w:r>
          </w:p>
        </w:tc>
        <w:tc>
          <w:tcPr>
            <w:tcW w:w="1285" w:type="dxa"/>
            <w:tcMar>
              <w:top w:w="0" w:type="dxa"/>
              <w:left w:w="100" w:type="dxa"/>
              <w:bottom w:w="0" w:type="dxa"/>
              <w:right w:w="100" w:type="dxa"/>
            </w:tcMar>
          </w:tcPr>
          <w:p w14:paraId="1557C9DA" w14:textId="77777777" w:rsidR="0020727F" w:rsidRPr="00194311" w:rsidRDefault="0020727F" w:rsidP="00194311">
            <w:pPr>
              <w:pStyle w:val="Tabletext"/>
              <w:rPr>
                <w:rFonts w:eastAsia="Calibri"/>
              </w:rPr>
            </w:pPr>
            <w:r w:rsidRPr="00194311">
              <w:rPr>
                <w:rFonts w:eastAsia="Calibri"/>
              </w:rPr>
              <w:t>RRF 16703</w:t>
            </w:r>
          </w:p>
        </w:tc>
        <w:tc>
          <w:tcPr>
            <w:tcW w:w="1621" w:type="dxa"/>
            <w:tcMar>
              <w:top w:w="0" w:type="dxa"/>
              <w:left w:w="100" w:type="dxa"/>
              <w:bottom w:w="0" w:type="dxa"/>
              <w:right w:w="100" w:type="dxa"/>
            </w:tcMar>
          </w:tcPr>
          <w:p w14:paraId="63E75BA7" w14:textId="77B35AC5"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CSR3.9</w:t>
            </w:r>
            <w:r w:rsidRPr="00194311">
              <w:rPr>
                <w:rFonts w:eastAsia="Calibri"/>
              </w:rPr>
              <w:br/>
              <w:t>2019 CSR2.3</w:t>
            </w:r>
          </w:p>
        </w:tc>
        <w:tc>
          <w:tcPr>
            <w:tcW w:w="2177" w:type="dxa"/>
            <w:tcMar>
              <w:top w:w="0" w:type="dxa"/>
              <w:left w:w="100" w:type="dxa"/>
              <w:bottom w:w="0" w:type="dxa"/>
              <w:right w:w="100" w:type="dxa"/>
            </w:tcMar>
          </w:tcPr>
          <w:p w14:paraId="3DB3FCFF" w14:textId="77777777" w:rsidR="0020727F" w:rsidRPr="00194311" w:rsidRDefault="0020727F" w:rsidP="00194311">
            <w:pPr>
              <w:pStyle w:val="Tabletext"/>
              <w:rPr>
                <w:rFonts w:eastAsia="Calibri"/>
              </w:rPr>
            </w:pPr>
            <w:r w:rsidRPr="00194311">
              <w:rPr>
                <w:rFonts w:eastAsia="Calibri"/>
              </w:rPr>
              <w:t>Social and Economic resilience</w:t>
            </w:r>
          </w:p>
          <w:p w14:paraId="3CFD889F" w14:textId="77777777" w:rsidR="0020727F" w:rsidRPr="00194311" w:rsidRDefault="0020727F" w:rsidP="00194311">
            <w:pPr>
              <w:pStyle w:val="Tabletext"/>
              <w:rPr>
                <w:rFonts w:eastAsia="Calibri"/>
              </w:rPr>
            </w:pPr>
            <w:r w:rsidRPr="00194311">
              <w:rPr>
                <w:rFonts w:eastAsia="Calibri"/>
              </w:rPr>
              <w:t xml:space="preserve"> </w:t>
            </w:r>
          </w:p>
        </w:tc>
      </w:tr>
      <w:tr w:rsidR="0020727F" w:rsidRPr="00194311" w14:paraId="38EAD0FE" w14:textId="77777777" w:rsidTr="00381EA6">
        <w:trPr>
          <w:trHeight w:val="113"/>
          <w:jc w:val="center"/>
        </w:trPr>
        <w:tc>
          <w:tcPr>
            <w:tcW w:w="3808" w:type="dxa"/>
            <w:tcMar>
              <w:top w:w="0" w:type="dxa"/>
              <w:left w:w="100" w:type="dxa"/>
              <w:bottom w:w="0" w:type="dxa"/>
              <w:right w:w="100" w:type="dxa"/>
            </w:tcMar>
          </w:tcPr>
          <w:p w14:paraId="6F9CDDA2" w14:textId="075214EE" w:rsidR="0020727F" w:rsidRPr="00194311" w:rsidRDefault="00BA03C0" w:rsidP="00194311">
            <w:pPr>
              <w:pStyle w:val="Tabletext"/>
              <w:rPr>
                <w:rFonts w:eastAsia="Calibri"/>
              </w:rPr>
            </w:pPr>
            <w:r w:rsidRPr="00194311">
              <w:rPr>
                <w:rFonts w:eastAsia="Calibri"/>
                <w:b/>
              </w:rPr>
              <w:lastRenderedPageBreak/>
              <w:t>REFORM 5:</w:t>
            </w:r>
            <w:r w:rsidR="0020727F" w:rsidRPr="00194311">
              <w:rPr>
                <w:rFonts w:eastAsia="Calibri"/>
              </w:rPr>
              <w:t xml:space="preserve"> Professionalization of Public Procurement domain</w:t>
            </w:r>
          </w:p>
        </w:tc>
        <w:tc>
          <w:tcPr>
            <w:tcW w:w="1285" w:type="dxa"/>
            <w:tcMar>
              <w:top w:w="0" w:type="dxa"/>
              <w:left w:w="100" w:type="dxa"/>
              <w:bottom w:w="0" w:type="dxa"/>
              <w:right w:w="100" w:type="dxa"/>
            </w:tcMar>
          </w:tcPr>
          <w:p w14:paraId="6FEF943F" w14:textId="77777777" w:rsidR="0020727F" w:rsidRPr="00194311" w:rsidRDefault="0020727F" w:rsidP="00194311">
            <w:pPr>
              <w:pStyle w:val="Tabletext"/>
              <w:rPr>
                <w:rFonts w:eastAsia="Calibri"/>
              </w:rPr>
            </w:pPr>
            <w:r w:rsidRPr="00194311">
              <w:rPr>
                <w:rFonts w:eastAsia="Calibri"/>
              </w:rPr>
              <w:t>RRF 16711</w:t>
            </w:r>
          </w:p>
        </w:tc>
        <w:tc>
          <w:tcPr>
            <w:tcW w:w="1621" w:type="dxa"/>
            <w:tcMar>
              <w:top w:w="0" w:type="dxa"/>
              <w:left w:w="100" w:type="dxa"/>
              <w:bottom w:w="0" w:type="dxa"/>
              <w:right w:w="100" w:type="dxa"/>
            </w:tcMar>
          </w:tcPr>
          <w:p w14:paraId="55173397" w14:textId="449D370B" w:rsidR="0020727F" w:rsidRPr="00194311" w:rsidRDefault="0020727F" w:rsidP="00194311">
            <w:pPr>
              <w:pStyle w:val="Tabletext"/>
              <w:spacing w:line="220" w:lineRule="exact"/>
              <w:rPr>
                <w:rFonts w:eastAsia="Calibri"/>
              </w:rPr>
            </w:pPr>
            <w:r w:rsidRPr="00194311">
              <w:rPr>
                <w:rFonts w:eastAsia="Calibri"/>
              </w:rPr>
              <w:t>2024 CSR1.3</w:t>
            </w:r>
            <w:r w:rsidRPr="00194311">
              <w:rPr>
                <w:rFonts w:eastAsia="Calibri"/>
              </w:rPr>
              <w:br/>
              <w:t>2024 CSR2.1</w:t>
            </w:r>
            <w:r w:rsidRPr="00194311">
              <w:rPr>
                <w:rFonts w:eastAsia="Calibri"/>
              </w:rPr>
              <w:br/>
              <w:t>2024 CSR3.1</w:t>
            </w:r>
            <w:r w:rsidRPr="00194311">
              <w:rPr>
                <w:rFonts w:eastAsia="Calibri"/>
              </w:rPr>
              <w:br/>
              <w:t>2023 CSR1.9</w:t>
            </w:r>
            <w:r w:rsidRPr="00194311">
              <w:rPr>
                <w:rFonts w:eastAsia="Calibri"/>
              </w:rPr>
              <w:br/>
              <w:t>2022 CSR1.6</w:t>
            </w:r>
            <w:r w:rsidRPr="00194311">
              <w:rPr>
                <w:rFonts w:eastAsia="Calibri"/>
              </w:rPr>
              <w:br/>
              <w:t>2020 CSR3.8</w:t>
            </w:r>
            <w:r w:rsidRPr="00194311">
              <w:rPr>
                <w:rFonts w:eastAsia="Calibri"/>
              </w:rPr>
              <w:br/>
              <w:t>2020 CSR3.9</w:t>
            </w:r>
            <w:r w:rsidRPr="00194311">
              <w:rPr>
                <w:rFonts w:eastAsia="Calibri"/>
              </w:rPr>
              <w:br/>
              <w:t>2019 CSR2.3</w:t>
            </w:r>
            <w:r w:rsidRPr="00194311">
              <w:rPr>
                <w:rFonts w:eastAsia="Calibri"/>
              </w:rPr>
              <w:br/>
              <w:t>2019 CSR2.6</w:t>
            </w:r>
          </w:p>
        </w:tc>
        <w:tc>
          <w:tcPr>
            <w:tcW w:w="2177" w:type="dxa"/>
            <w:tcMar>
              <w:top w:w="0" w:type="dxa"/>
              <w:left w:w="100" w:type="dxa"/>
              <w:bottom w:w="0" w:type="dxa"/>
              <w:right w:w="100" w:type="dxa"/>
            </w:tcMar>
          </w:tcPr>
          <w:p w14:paraId="762307B0"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3907CEBF" w14:textId="77777777" w:rsidTr="00381EA6">
        <w:trPr>
          <w:trHeight w:val="113"/>
          <w:jc w:val="center"/>
        </w:trPr>
        <w:tc>
          <w:tcPr>
            <w:tcW w:w="3808" w:type="dxa"/>
            <w:tcMar>
              <w:top w:w="0" w:type="dxa"/>
              <w:left w:w="100" w:type="dxa"/>
              <w:bottom w:w="0" w:type="dxa"/>
              <w:right w:w="100" w:type="dxa"/>
            </w:tcMar>
          </w:tcPr>
          <w:p w14:paraId="23606309" w14:textId="2C03DA94" w:rsidR="0020727F" w:rsidRPr="00194311" w:rsidRDefault="00BA03C0" w:rsidP="00194311">
            <w:pPr>
              <w:pStyle w:val="Tabletext"/>
              <w:rPr>
                <w:rFonts w:eastAsia="Calibri"/>
              </w:rPr>
            </w:pPr>
            <w:r w:rsidRPr="00194311">
              <w:rPr>
                <w:rFonts w:eastAsia="Calibri"/>
                <w:b/>
              </w:rPr>
              <w:t>REFORM 6:</w:t>
            </w:r>
            <w:r w:rsidR="0020727F" w:rsidRPr="00194311">
              <w:rPr>
                <w:rFonts w:eastAsia="Calibri"/>
              </w:rPr>
              <w:t xml:space="preserve"> The National Strategy for Public Procurement 2021 – 2025</w:t>
            </w:r>
          </w:p>
        </w:tc>
        <w:tc>
          <w:tcPr>
            <w:tcW w:w="1285" w:type="dxa"/>
            <w:tcMar>
              <w:top w:w="0" w:type="dxa"/>
              <w:left w:w="100" w:type="dxa"/>
              <w:bottom w:w="0" w:type="dxa"/>
              <w:right w:w="100" w:type="dxa"/>
            </w:tcMar>
          </w:tcPr>
          <w:p w14:paraId="43C4240A" w14:textId="77777777" w:rsidR="0020727F" w:rsidRPr="00194311" w:rsidRDefault="0020727F" w:rsidP="00194311">
            <w:pPr>
              <w:pStyle w:val="Tabletext"/>
              <w:rPr>
                <w:rFonts w:eastAsia="Calibri"/>
              </w:rPr>
            </w:pPr>
            <w:r w:rsidRPr="00194311">
              <w:rPr>
                <w:rFonts w:eastAsia="Calibri"/>
              </w:rPr>
              <w:t>-</w:t>
            </w:r>
          </w:p>
        </w:tc>
        <w:tc>
          <w:tcPr>
            <w:tcW w:w="1621" w:type="dxa"/>
            <w:tcMar>
              <w:top w:w="0" w:type="dxa"/>
              <w:left w:w="100" w:type="dxa"/>
              <w:bottom w:w="0" w:type="dxa"/>
              <w:right w:w="100" w:type="dxa"/>
            </w:tcMar>
          </w:tcPr>
          <w:p w14:paraId="56A77051" w14:textId="65446EDF" w:rsidR="0020727F" w:rsidRPr="00194311" w:rsidRDefault="0020727F" w:rsidP="00194311">
            <w:pPr>
              <w:pStyle w:val="Tabletext"/>
              <w:spacing w:line="220" w:lineRule="exact"/>
              <w:rPr>
                <w:rFonts w:eastAsia="Calibri"/>
              </w:rPr>
            </w:pPr>
            <w:r w:rsidRPr="00194311">
              <w:rPr>
                <w:rFonts w:eastAsia="Calibri"/>
              </w:rPr>
              <w:t>2024 CSR1.3</w:t>
            </w:r>
            <w:r w:rsidRPr="00194311">
              <w:rPr>
                <w:rFonts w:eastAsia="Calibri"/>
              </w:rPr>
              <w:br/>
              <w:t>2023 CSR1.9</w:t>
            </w:r>
            <w:r w:rsidRPr="00194311">
              <w:rPr>
                <w:rFonts w:eastAsia="Calibri"/>
              </w:rPr>
              <w:br/>
              <w:t>2022 CSR1.6</w:t>
            </w:r>
            <w:r w:rsidRPr="00194311">
              <w:rPr>
                <w:rFonts w:eastAsia="Calibri"/>
              </w:rPr>
              <w:br/>
              <w:t>2020 CSR3.8</w:t>
            </w:r>
            <w:r w:rsidRPr="00194311">
              <w:rPr>
                <w:rFonts w:eastAsia="Calibri"/>
              </w:rPr>
              <w:br/>
              <w:t>2020 CSR3.9</w:t>
            </w:r>
            <w:r w:rsidRPr="00194311">
              <w:rPr>
                <w:rFonts w:eastAsia="Calibri"/>
              </w:rPr>
              <w:br/>
              <w:t>2019 CSR2.3</w:t>
            </w:r>
            <w:r w:rsidRPr="00194311">
              <w:rPr>
                <w:rFonts w:eastAsia="Calibri"/>
              </w:rPr>
              <w:br/>
              <w:t>2019 CSR2.6</w:t>
            </w:r>
          </w:p>
        </w:tc>
        <w:tc>
          <w:tcPr>
            <w:tcW w:w="2177" w:type="dxa"/>
            <w:tcMar>
              <w:top w:w="0" w:type="dxa"/>
              <w:left w:w="100" w:type="dxa"/>
              <w:bottom w:w="0" w:type="dxa"/>
              <w:right w:w="100" w:type="dxa"/>
            </w:tcMar>
          </w:tcPr>
          <w:p w14:paraId="708CC7B6" w14:textId="77777777" w:rsidR="0020727F" w:rsidRPr="00194311" w:rsidRDefault="0020727F" w:rsidP="00194311">
            <w:pPr>
              <w:pStyle w:val="Tabletext"/>
              <w:rPr>
                <w:rFonts w:eastAsia="Calibri"/>
              </w:rPr>
            </w:pPr>
            <w:r w:rsidRPr="00194311">
              <w:rPr>
                <w:rFonts w:eastAsia="Calibri"/>
              </w:rPr>
              <w:t>Social and Economic resilience</w:t>
            </w:r>
          </w:p>
          <w:p w14:paraId="63D68DB9" w14:textId="77777777" w:rsidR="0020727F" w:rsidRPr="00194311" w:rsidRDefault="0020727F" w:rsidP="00194311">
            <w:pPr>
              <w:pStyle w:val="Tabletext"/>
              <w:rPr>
                <w:rFonts w:eastAsia="Calibri"/>
              </w:rPr>
            </w:pPr>
            <w:r w:rsidRPr="00194311">
              <w:rPr>
                <w:rFonts w:eastAsia="Calibri"/>
              </w:rPr>
              <w:t xml:space="preserve"> </w:t>
            </w:r>
          </w:p>
        </w:tc>
      </w:tr>
      <w:tr w:rsidR="0020727F" w:rsidRPr="00194311" w14:paraId="3C3C7EA3" w14:textId="77777777" w:rsidTr="00381EA6">
        <w:trPr>
          <w:trHeight w:val="113"/>
          <w:jc w:val="center"/>
        </w:trPr>
        <w:tc>
          <w:tcPr>
            <w:tcW w:w="3808" w:type="dxa"/>
            <w:tcMar>
              <w:top w:w="0" w:type="dxa"/>
              <w:left w:w="100" w:type="dxa"/>
              <w:bottom w:w="0" w:type="dxa"/>
              <w:right w:w="100" w:type="dxa"/>
            </w:tcMar>
          </w:tcPr>
          <w:p w14:paraId="7B93355F" w14:textId="7C893D03" w:rsidR="0020727F" w:rsidRPr="00194311" w:rsidRDefault="00996F8A" w:rsidP="00194311">
            <w:pPr>
              <w:pStyle w:val="Tabletext"/>
              <w:rPr>
                <w:rFonts w:eastAsia="Calibri"/>
              </w:rPr>
            </w:pPr>
            <w:r w:rsidRPr="00194311">
              <w:rPr>
                <w:rFonts w:eastAsia="Calibri"/>
                <w:b/>
              </w:rPr>
              <w:t>REFORM 7:</w:t>
            </w:r>
            <w:r w:rsidR="0020727F" w:rsidRPr="00194311">
              <w:rPr>
                <w:rFonts w:eastAsia="Calibri"/>
              </w:rPr>
              <w:t xml:space="preserve"> The National Strategy for Industry</w:t>
            </w:r>
          </w:p>
        </w:tc>
        <w:tc>
          <w:tcPr>
            <w:tcW w:w="1285" w:type="dxa"/>
            <w:tcMar>
              <w:top w:w="0" w:type="dxa"/>
              <w:left w:w="100" w:type="dxa"/>
              <w:bottom w:w="0" w:type="dxa"/>
              <w:right w:w="100" w:type="dxa"/>
            </w:tcMar>
          </w:tcPr>
          <w:p w14:paraId="5973825C" w14:textId="77777777" w:rsidR="0020727F" w:rsidRPr="00194311" w:rsidRDefault="0020727F" w:rsidP="00194311">
            <w:pPr>
              <w:pStyle w:val="Tabletext"/>
              <w:rPr>
                <w:rFonts w:eastAsia="Calibri"/>
              </w:rPr>
            </w:pPr>
            <w:r w:rsidRPr="00194311">
              <w:rPr>
                <w:rFonts w:eastAsia="Calibri"/>
              </w:rPr>
              <w:t>-</w:t>
            </w:r>
          </w:p>
        </w:tc>
        <w:tc>
          <w:tcPr>
            <w:tcW w:w="1621" w:type="dxa"/>
            <w:tcMar>
              <w:top w:w="0" w:type="dxa"/>
              <w:left w:w="100" w:type="dxa"/>
              <w:bottom w:w="0" w:type="dxa"/>
              <w:right w:w="100" w:type="dxa"/>
            </w:tcMar>
          </w:tcPr>
          <w:p w14:paraId="3F5CDF36" w14:textId="0489279C" w:rsidR="0020727F" w:rsidRPr="00194311" w:rsidRDefault="0020727F" w:rsidP="00194311">
            <w:pPr>
              <w:pStyle w:val="Tabletext"/>
              <w:spacing w:line="220" w:lineRule="exact"/>
              <w:rPr>
                <w:rFonts w:eastAsia="Calibri"/>
              </w:rPr>
            </w:pPr>
            <w:r w:rsidRPr="00194311">
              <w:rPr>
                <w:rFonts w:eastAsia="Calibri"/>
              </w:rPr>
              <w:t>2024 CSR1.4</w:t>
            </w:r>
            <w:r w:rsidRPr="00194311">
              <w:rPr>
                <w:rFonts w:eastAsia="Calibri"/>
              </w:rPr>
              <w:br/>
              <w:t>2020 CSR3.4</w:t>
            </w:r>
            <w:r w:rsidRPr="00194311">
              <w:rPr>
                <w:rFonts w:eastAsia="Calibri"/>
              </w:rPr>
              <w:br/>
              <w:t>2020 CSR3.3</w:t>
            </w:r>
            <w:r w:rsidRPr="00194311">
              <w:rPr>
                <w:rFonts w:eastAsia="Calibri"/>
              </w:rPr>
              <w:br/>
              <w:t>2020 CSR3.5</w:t>
            </w:r>
            <w:r w:rsidRPr="00194311">
              <w:rPr>
                <w:rFonts w:eastAsia="Calibri"/>
              </w:rPr>
              <w:br/>
              <w:t>2020 CSR3.8</w:t>
            </w:r>
            <w:r w:rsidRPr="00194311">
              <w:rPr>
                <w:rFonts w:eastAsia="Calibri"/>
              </w:rPr>
              <w:br/>
              <w:t>2020 CSR3.9</w:t>
            </w:r>
            <w:r w:rsidRPr="00194311">
              <w:rPr>
                <w:rFonts w:eastAsia="Calibri"/>
              </w:rPr>
              <w:br/>
              <w:t>2020 SR3.10</w:t>
            </w:r>
            <w:r w:rsidRPr="00194311">
              <w:rPr>
                <w:rFonts w:eastAsia="Calibri"/>
              </w:rPr>
              <w:br/>
              <w:t>2019 CSR2.1</w:t>
            </w:r>
            <w:r w:rsidRPr="00194311">
              <w:rPr>
                <w:rFonts w:eastAsia="Calibri"/>
              </w:rPr>
              <w:br/>
              <w:t>2019 CSR2.2</w:t>
            </w:r>
            <w:r w:rsidRPr="00194311">
              <w:rPr>
                <w:rFonts w:eastAsia="Calibri"/>
              </w:rPr>
              <w:br/>
              <w:t>2019 CSR2.3</w:t>
            </w:r>
            <w:r w:rsidRPr="00194311">
              <w:rPr>
                <w:rFonts w:eastAsia="Calibri"/>
              </w:rPr>
              <w:br/>
              <w:t>2019 CSR2.4</w:t>
            </w:r>
            <w:r w:rsidRPr="00194311">
              <w:rPr>
                <w:rFonts w:eastAsia="Calibri"/>
              </w:rPr>
              <w:br/>
              <w:t>2019 CSR2.6</w:t>
            </w:r>
          </w:p>
        </w:tc>
        <w:tc>
          <w:tcPr>
            <w:tcW w:w="2177" w:type="dxa"/>
            <w:tcMar>
              <w:top w:w="0" w:type="dxa"/>
              <w:left w:w="100" w:type="dxa"/>
              <w:bottom w:w="0" w:type="dxa"/>
              <w:right w:w="100" w:type="dxa"/>
            </w:tcMar>
          </w:tcPr>
          <w:p w14:paraId="68EBE1A6"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16726446" w14:textId="77777777" w:rsidTr="00381EA6">
        <w:trPr>
          <w:trHeight w:val="113"/>
          <w:jc w:val="center"/>
        </w:trPr>
        <w:tc>
          <w:tcPr>
            <w:tcW w:w="3808" w:type="dxa"/>
            <w:tcMar>
              <w:top w:w="0" w:type="dxa"/>
              <w:left w:w="100" w:type="dxa"/>
              <w:bottom w:w="0" w:type="dxa"/>
              <w:right w:w="100" w:type="dxa"/>
            </w:tcMar>
          </w:tcPr>
          <w:p w14:paraId="77D30B2D" w14:textId="766A2453" w:rsidR="0020727F" w:rsidRPr="00194311" w:rsidRDefault="00BA03C0" w:rsidP="00194311">
            <w:pPr>
              <w:pStyle w:val="Tabletext"/>
              <w:rPr>
                <w:rFonts w:eastAsia="Calibri"/>
                <w:i/>
              </w:rPr>
            </w:pPr>
            <w:r w:rsidRPr="00194311">
              <w:rPr>
                <w:rFonts w:eastAsia="Calibri"/>
                <w:b/>
                <w:i/>
              </w:rPr>
              <w:t>REFORM 8:</w:t>
            </w:r>
            <w:r w:rsidR="0020727F" w:rsidRPr="00194311">
              <w:rPr>
                <w:rFonts w:eastAsia="Calibri"/>
                <w:i/>
              </w:rPr>
              <w:t xml:space="preserve"> New round of reforms to facilitate entrepreneurship and simplify business regulation</w:t>
            </w:r>
          </w:p>
        </w:tc>
        <w:tc>
          <w:tcPr>
            <w:tcW w:w="1285" w:type="dxa"/>
            <w:tcMar>
              <w:top w:w="0" w:type="dxa"/>
              <w:left w:w="100" w:type="dxa"/>
              <w:bottom w:w="0" w:type="dxa"/>
              <w:right w:w="100" w:type="dxa"/>
            </w:tcMar>
          </w:tcPr>
          <w:p w14:paraId="7660C6FD" w14:textId="77777777" w:rsidR="0020727F" w:rsidRPr="00194311" w:rsidRDefault="0020727F" w:rsidP="00194311">
            <w:pPr>
              <w:pStyle w:val="Tabletext"/>
              <w:rPr>
                <w:rFonts w:eastAsia="Calibri"/>
                <w:i/>
              </w:rPr>
            </w:pPr>
            <w:r w:rsidRPr="00194311">
              <w:rPr>
                <w:rFonts w:eastAsia="Calibri"/>
                <w:i/>
              </w:rPr>
              <w:t>-</w:t>
            </w:r>
          </w:p>
        </w:tc>
        <w:tc>
          <w:tcPr>
            <w:tcW w:w="1621" w:type="dxa"/>
            <w:tcMar>
              <w:top w:w="0" w:type="dxa"/>
              <w:left w:w="100" w:type="dxa"/>
              <w:bottom w:w="0" w:type="dxa"/>
              <w:right w:w="100" w:type="dxa"/>
            </w:tcMar>
          </w:tcPr>
          <w:p w14:paraId="79BECBAC" w14:textId="77777777" w:rsidR="0020727F" w:rsidRPr="00194311" w:rsidRDefault="0020727F" w:rsidP="00194311">
            <w:pPr>
              <w:pStyle w:val="Tabletext"/>
              <w:spacing w:line="220" w:lineRule="exact"/>
              <w:rPr>
                <w:rFonts w:eastAsia="Calibri"/>
                <w:i/>
              </w:rPr>
            </w:pPr>
            <w:r w:rsidRPr="00194311">
              <w:rPr>
                <w:rFonts w:eastAsia="Calibri"/>
                <w:i/>
              </w:rPr>
              <w:t>2024 CSR1.4</w:t>
            </w:r>
            <w:r w:rsidRPr="00194311">
              <w:rPr>
                <w:rFonts w:eastAsia="Calibri"/>
                <w:i/>
              </w:rPr>
              <w:br/>
              <w:t>2020 CSR3.3</w:t>
            </w:r>
            <w:r w:rsidRPr="00194311">
              <w:rPr>
                <w:rFonts w:eastAsia="Calibri"/>
                <w:i/>
              </w:rPr>
              <w:br/>
              <w:t>2020 CSR3.9</w:t>
            </w:r>
          </w:p>
        </w:tc>
        <w:tc>
          <w:tcPr>
            <w:tcW w:w="2177" w:type="dxa"/>
            <w:tcMar>
              <w:top w:w="0" w:type="dxa"/>
              <w:left w:w="100" w:type="dxa"/>
              <w:bottom w:w="0" w:type="dxa"/>
              <w:right w:w="100" w:type="dxa"/>
            </w:tcMar>
          </w:tcPr>
          <w:p w14:paraId="279877C0" w14:textId="77777777" w:rsidR="0020727F" w:rsidRPr="00194311" w:rsidRDefault="0020727F" w:rsidP="00194311">
            <w:pPr>
              <w:pStyle w:val="Tabletext"/>
              <w:rPr>
                <w:rFonts w:eastAsia="Calibri"/>
                <w:i/>
              </w:rPr>
            </w:pPr>
            <w:r w:rsidRPr="00194311">
              <w:rPr>
                <w:rFonts w:eastAsia="Calibri"/>
                <w:i/>
              </w:rPr>
              <w:t>Social and Economic resilience</w:t>
            </w:r>
          </w:p>
          <w:p w14:paraId="1F36DABE" w14:textId="77777777" w:rsidR="0020727F" w:rsidRPr="00194311" w:rsidRDefault="0020727F" w:rsidP="00194311">
            <w:pPr>
              <w:pStyle w:val="Tabletext"/>
              <w:rPr>
                <w:rFonts w:eastAsia="Calibri"/>
                <w:i/>
              </w:rPr>
            </w:pPr>
            <w:r w:rsidRPr="00194311">
              <w:rPr>
                <w:rFonts w:eastAsia="Calibri"/>
                <w:i/>
              </w:rPr>
              <w:t xml:space="preserve"> </w:t>
            </w:r>
          </w:p>
        </w:tc>
      </w:tr>
      <w:tr w:rsidR="0020727F" w:rsidRPr="00194311" w14:paraId="7693DB2D" w14:textId="77777777" w:rsidTr="00381EA6">
        <w:trPr>
          <w:trHeight w:val="113"/>
          <w:jc w:val="center"/>
        </w:trPr>
        <w:tc>
          <w:tcPr>
            <w:tcW w:w="3808" w:type="dxa"/>
            <w:tcMar>
              <w:top w:w="0" w:type="dxa"/>
              <w:left w:w="100" w:type="dxa"/>
              <w:bottom w:w="0" w:type="dxa"/>
              <w:right w:w="100" w:type="dxa"/>
            </w:tcMar>
          </w:tcPr>
          <w:p w14:paraId="3D7D7C37" w14:textId="2AEAA6E7" w:rsidR="0020727F" w:rsidRPr="00194311" w:rsidRDefault="00996F8A" w:rsidP="00194311">
            <w:pPr>
              <w:pStyle w:val="Tabletext"/>
              <w:rPr>
                <w:rFonts w:eastAsia="Calibri"/>
                <w:i/>
              </w:rPr>
            </w:pPr>
            <w:r w:rsidRPr="00194311">
              <w:rPr>
                <w:rFonts w:eastAsia="Calibri"/>
                <w:b/>
                <w:i/>
              </w:rPr>
              <w:t>REFORM 9:</w:t>
            </w:r>
            <w:r w:rsidR="0020727F" w:rsidRPr="00194311">
              <w:rPr>
                <w:rFonts w:eastAsia="Calibri"/>
                <w:i/>
              </w:rPr>
              <w:t xml:space="preserve"> Golden Visa for financing start-ups</w:t>
            </w:r>
          </w:p>
        </w:tc>
        <w:tc>
          <w:tcPr>
            <w:tcW w:w="1285" w:type="dxa"/>
            <w:tcMar>
              <w:top w:w="0" w:type="dxa"/>
              <w:left w:w="100" w:type="dxa"/>
              <w:bottom w:w="0" w:type="dxa"/>
              <w:right w:w="100" w:type="dxa"/>
            </w:tcMar>
          </w:tcPr>
          <w:p w14:paraId="121318F5" w14:textId="77777777" w:rsidR="0020727F" w:rsidRPr="00194311" w:rsidRDefault="0020727F" w:rsidP="00194311">
            <w:pPr>
              <w:pStyle w:val="Tabletext"/>
              <w:rPr>
                <w:rFonts w:eastAsia="Calibri"/>
                <w:i/>
              </w:rPr>
            </w:pPr>
            <w:r w:rsidRPr="00194311">
              <w:rPr>
                <w:rFonts w:eastAsia="Calibri"/>
                <w:i/>
              </w:rPr>
              <w:t>-</w:t>
            </w:r>
          </w:p>
        </w:tc>
        <w:tc>
          <w:tcPr>
            <w:tcW w:w="1621" w:type="dxa"/>
            <w:tcMar>
              <w:top w:w="0" w:type="dxa"/>
              <w:left w:w="100" w:type="dxa"/>
              <w:bottom w:w="0" w:type="dxa"/>
              <w:right w:w="100" w:type="dxa"/>
            </w:tcMar>
          </w:tcPr>
          <w:p w14:paraId="01B133B8" w14:textId="77777777" w:rsidR="0020727F" w:rsidRPr="00194311" w:rsidRDefault="0020727F" w:rsidP="00194311">
            <w:pPr>
              <w:pStyle w:val="Tabletext"/>
              <w:spacing w:line="220" w:lineRule="exact"/>
              <w:rPr>
                <w:rFonts w:eastAsia="Calibri"/>
                <w:i/>
              </w:rPr>
            </w:pPr>
            <w:r w:rsidRPr="00194311">
              <w:rPr>
                <w:rFonts w:eastAsia="Calibri"/>
                <w:i/>
              </w:rPr>
              <w:t>2024 CSR1.4</w:t>
            </w:r>
          </w:p>
          <w:p w14:paraId="0619BC9D" w14:textId="77777777" w:rsidR="0020727F" w:rsidRPr="00194311" w:rsidRDefault="0020727F" w:rsidP="00194311">
            <w:pPr>
              <w:pStyle w:val="Tabletext"/>
              <w:spacing w:line="220" w:lineRule="exact"/>
              <w:rPr>
                <w:rFonts w:eastAsia="Calibri"/>
                <w:i/>
              </w:rPr>
            </w:pPr>
            <w:r w:rsidRPr="00194311">
              <w:rPr>
                <w:rFonts w:eastAsia="Calibri"/>
                <w:i/>
              </w:rPr>
              <w:t>2020 CSR3.3</w:t>
            </w:r>
          </w:p>
          <w:p w14:paraId="2465914E" w14:textId="77777777" w:rsidR="0020727F" w:rsidRPr="00194311" w:rsidRDefault="0020727F" w:rsidP="00194311">
            <w:pPr>
              <w:pStyle w:val="Tabletext"/>
              <w:spacing w:line="220" w:lineRule="exact"/>
              <w:rPr>
                <w:rFonts w:eastAsia="Calibri"/>
                <w:i/>
              </w:rPr>
            </w:pPr>
            <w:r w:rsidRPr="00194311">
              <w:rPr>
                <w:rFonts w:eastAsia="Calibri"/>
                <w:i/>
              </w:rPr>
              <w:t>2019 CSR2.4</w:t>
            </w:r>
          </w:p>
          <w:p w14:paraId="678425A1" w14:textId="77777777" w:rsidR="0020727F" w:rsidRPr="00194311" w:rsidRDefault="0020727F" w:rsidP="00194311">
            <w:pPr>
              <w:pStyle w:val="Tabletext"/>
              <w:spacing w:line="220" w:lineRule="exact"/>
              <w:rPr>
                <w:rFonts w:eastAsia="Calibri"/>
                <w:i/>
              </w:rPr>
            </w:pPr>
            <w:r w:rsidRPr="00194311">
              <w:rPr>
                <w:rFonts w:eastAsia="Calibri"/>
                <w:i/>
              </w:rPr>
              <w:t xml:space="preserve"> </w:t>
            </w:r>
          </w:p>
        </w:tc>
        <w:tc>
          <w:tcPr>
            <w:tcW w:w="2177" w:type="dxa"/>
            <w:tcMar>
              <w:top w:w="0" w:type="dxa"/>
              <w:left w:w="100" w:type="dxa"/>
              <w:bottom w:w="0" w:type="dxa"/>
              <w:right w:w="100" w:type="dxa"/>
            </w:tcMar>
          </w:tcPr>
          <w:p w14:paraId="53A48D4E" w14:textId="77777777" w:rsidR="0020727F" w:rsidRPr="00194311" w:rsidRDefault="0020727F" w:rsidP="00194311">
            <w:pPr>
              <w:pStyle w:val="Tabletext"/>
              <w:rPr>
                <w:rFonts w:eastAsia="Calibri"/>
                <w:i/>
              </w:rPr>
            </w:pPr>
            <w:r w:rsidRPr="00194311">
              <w:rPr>
                <w:rFonts w:eastAsia="Calibri"/>
                <w:i/>
              </w:rPr>
              <w:t>Social and Economic resilience</w:t>
            </w:r>
          </w:p>
          <w:p w14:paraId="6ACDDC93" w14:textId="77777777" w:rsidR="0020727F" w:rsidRPr="00194311" w:rsidRDefault="0020727F" w:rsidP="00194311">
            <w:pPr>
              <w:pStyle w:val="Tabletext"/>
              <w:rPr>
                <w:rFonts w:eastAsia="Calibri"/>
                <w:i/>
              </w:rPr>
            </w:pPr>
            <w:r w:rsidRPr="00194311">
              <w:rPr>
                <w:rFonts w:eastAsia="Calibri"/>
                <w:i/>
              </w:rPr>
              <w:t xml:space="preserve"> </w:t>
            </w:r>
          </w:p>
        </w:tc>
      </w:tr>
      <w:tr w:rsidR="0020727F" w:rsidRPr="00194311" w14:paraId="0C5C8BE5" w14:textId="77777777" w:rsidTr="00381EA6">
        <w:trPr>
          <w:trHeight w:val="113"/>
          <w:jc w:val="center"/>
        </w:trPr>
        <w:tc>
          <w:tcPr>
            <w:tcW w:w="3808" w:type="dxa"/>
            <w:tcMar>
              <w:top w:w="0" w:type="dxa"/>
              <w:left w:w="100" w:type="dxa"/>
              <w:bottom w:w="0" w:type="dxa"/>
              <w:right w:w="100" w:type="dxa"/>
            </w:tcMar>
          </w:tcPr>
          <w:p w14:paraId="214C3D38" w14:textId="564626AC" w:rsidR="0020727F" w:rsidRPr="00194311" w:rsidRDefault="00BA03C0" w:rsidP="00194311">
            <w:pPr>
              <w:pStyle w:val="Tabletext"/>
              <w:rPr>
                <w:rFonts w:eastAsia="Calibri"/>
                <w:i/>
              </w:rPr>
            </w:pPr>
            <w:r w:rsidRPr="00194311">
              <w:rPr>
                <w:rFonts w:eastAsia="Calibri"/>
                <w:b/>
                <w:i/>
              </w:rPr>
              <w:t>REFORM 10:</w:t>
            </w:r>
            <w:r w:rsidR="0020727F" w:rsidRPr="00194311">
              <w:rPr>
                <w:rFonts w:eastAsia="Calibri"/>
                <w:i/>
              </w:rPr>
              <w:t xml:space="preserve"> Unified institutional framework for business transformations and innovation</w:t>
            </w:r>
          </w:p>
        </w:tc>
        <w:tc>
          <w:tcPr>
            <w:tcW w:w="1285" w:type="dxa"/>
            <w:tcMar>
              <w:top w:w="0" w:type="dxa"/>
              <w:left w:w="100" w:type="dxa"/>
              <w:bottom w:w="0" w:type="dxa"/>
              <w:right w:w="100" w:type="dxa"/>
            </w:tcMar>
          </w:tcPr>
          <w:p w14:paraId="04D5482B" w14:textId="77777777" w:rsidR="0020727F" w:rsidRPr="00194311" w:rsidRDefault="0020727F" w:rsidP="00194311">
            <w:pPr>
              <w:pStyle w:val="Tabletext"/>
              <w:rPr>
                <w:rFonts w:eastAsia="Calibri"/>
                <w:i/>
              </w:rPr>
            </w:pPr>
            <w:r w:rsidRPr="00194311">
              <w:rPr>
                <w:rFonts w:eastAsia="Calibri"/>
                <w:i/>
              </w:rPr>
              <w:t>-</w:t>
            </w:r>
          </w:p>
        </w:tc>
        <w:tc>
          <w:tcPr>
            <w:tcW w:w="1621" w:type="dxa"/>
            <w:tcMar>
              <w:top w:w="0" w:type="dxa"/>
              <w:left w:w="100" w:type="dxa"/>
              <w:bottom w:w="0" w:type="dxa"/>
              <w:right w:w="100" w:type="dxa"/>
            </w:tcMar>
          </w:tcPr>
          <w:p w14:paraId="053E3D4A" w14:textId="77777777" w:rsidR="0020727F" w:rsidRPr="00194311" w:rsidRDefault="0020727F" w:rsidP="00194311">
            <w:pPr>
              <w:pStyle w:val="Tabletext"/>
              <w:spacing w:line="220" w:lineRule="exact"/>
              <w:rPr>
                <w:rFonts w:eastAsia="Calibri"/>
                <w:i/>
              </w:rPr>
            </w:pPr>
            <w:r w:rsidRPr="00194311">
              <w:rPr>
                <w:rFonts w:eastAsia="Calibri"/>
                <w:i/>
              </w:rPr>
              <w:t>2024 CSR1.4</w:t>
            </w:r>
          </w:p>
          <w:p w14:paraId="3FC2050B" w14:textId="77777777" w:rsidR="0020727F" w:rsidRPr="00194311" w:rsidRDefault="0020727F" w:rsidP="00194311">
            <w:pPr>
              <w:pStyle w:val="Tabletext"/>
              <w:spacing w:line="220" w:lineRule="exact"/>
              <w:rPr>
                <w:rFonts w:eastAsia="Calibri"/>
                <w:i/>
              </w:rPr>
            </w:pPr>
            <w:r w:rsidRPr="00194311">
              <w:rPr>
                <w:rFonts w:eastAsia="Calibri"/>
                <w:i/>
              </w:rPr>
              <w:t>2020 CSR3.3</w:t>
            </w:r>
          </w:p>
          <w:p w14:paraId="11484393" w14:textId="77777777" w:rsidR="0020727F" w:rsidRPr="00194311" w:rsidRDefault="0020727F" w:rsidP="00194311">
            <w:pPr>
              <w:pStyle w:val="Tabletext"/>
              <w:spacing w:line="220" w:lineRule="exact"/>
              <w:rPr>
                <w:rFonts w:eastAsia="Calibri"/>
                <w:i/>
              </w:rPr>
            </w:pPr>
            <w:r w:rsidRPr="00194311">
              <w:rPr>
                <w:rFonts w:eastAsia="Calibri"/>
                <w:i/>
              </w:rPr>
              <w:t>2019 CSR 2.4</w:t>
            </w:r>
          </w:p>
        </w:tc>
        <w:tc>
          <w:tcPr>
            <w:tcW w:w="2177" w:type="dxa"/>
            <w:tcMar>
              <w:top w:w="0" w:type="dxa"/>
              <w:left w:w="100" w:type="dxa"/>
              <w:bottom w:w="0" w:type="dxa"/>
              <w:right w:w="100" w:type="dxa"/>
            </w:tcMar>
          </w:tcPr>
          <w:p w14:paraId="1C552A4F" w14:textId="77777777" w:rsidR="0020727F" w:rsidRPr="00194311" w:rsidRDefault="0020727F" w:rsidP="00194311">
            <w:pPr>
              <w:pStyle w:val="Tabletext"/>
              <w:rPr>
                <w:rFonts w:eastAsia="Calibri"/>
                <w:i/>
              </w:rPr>
            </w:pPr>
            <w:r w:rsidRPr="00194311">
              <w:rPr>
                <w:rFonts w:eastAsia="Calibri"/>
                <w:i/>
              </w:rPr>
              <w:t>Social and Economic resilience</w:t>
            </w:r>
          </w:p>
          <w:p w14:paraId="0A44CC41" w14:textId="77777777" w:rsidR="0020727F" w:rsidRPr="00194311" w:rsidRDefault="0020727F" w:rsidP="00194311">
            <w:pPr>
              <w:pStyle w:val="Tabletext"/>
              <w:rPr>
                <w:rFonts w:eastAsia="Calibri"/>
                <w:i/>
              </w:rPr>
            </w:pPr>
            <w:r w:rsidRPr="00194311">
              <w:rPr>
                <w:rFonts w:eastAsia="Calibri"/>
                <w:i/>
              </w:rPr>
              <w:t xml:space="preserve"> </w:t>
            </w:r>
          </w:p>
        </w:tc>
      </w:tr>
      <w:tr w:rsidR="0020727F" w:rsidRPr="00194311" w14:paraId="7CE548CB" w14:textId="77777777" w:rsidTr="00381EA6">
        <w:trPr>
          <w:trHeight w:val="113"/>
          <w:jc w:val="center"/>
        </w:trPr>
        <w:tc>
          <w:tcPr>
            <w:tcW w:w="3808" w:type="dxa"/>
            <w:tcMar>
              <w:top w:w="0" w:type="dxa"/>
              <w:left w:w="100" w:type="dxa"/>
              <w:bottom w:w="0" w:type="dxa"/>
              <w:right w:w="100" w:type="dxa"/>
            </w:tcMar>
          </w:tcPr>
          <w:p w14:paraId="556F7F18" w14:textId="7AAAD9C1" w:rsidR="0020727F" w:rsidRPr="00194311" w:rsidRDefault="00BA03C0" w:rsidP="00194311">
            <w:pPr>
              <w:pStyle w:val="Tabletext"/>
              <w:rPr>
                <w:rFonts w:eastAsia="Calibri"/>
              </w:rPr>
            </w:pPr>
            <w:r w:rsidRPr="00194311">
              <w:rPr>
                <w:rFonts w:eastAsia="Calibri"/>
                <w:b/>
              </w:rPr>
              <w:t>INVESTMENT 1:</w:t>
            </w:r>
            <w:r w:rsidR="0020727F" w:rsidRPr="00194311">
              <w:rPr>
                <w:rFonts w:eastAsia="Calibri"/>
              </w:rPr>
              <w:t xml:space="preserve"> Basic &amp; Applied Research</w:t>
            </w:r>
          </w:p>
        </w:tc>
        <w:tc>
          <w:tcPr>
            <w:tcW w:w="1285" w:type="dxa"/>
            <w:tcMar>
              <w:top w:w="0" w:type="dxa"/>
              <w:left w:w="100" w:type="dxa"/>
              <w:bottom w:w="0" w:type="dxa"/>
              <w:right w:w="100" w:type="dxa"/>
            </w:tcMar>
          </w:tcPr>
          <w:p w14:paraId="316BB0AF" w14:textId="77777777" w:rsidR="0020727F" w:rsidRPr="00194311" w:rsidRDefault="0020727F" w:rsidP="00194311">
            <w:pPr>
              <w:pStyle w:val="Tabletext"/>
              <w:rPr>
                <w:rFonts w:eastAsia="Calibri"/>
              </w:rPr>
            </w:pPr>
            <w:r w:rsidRPr="00194311">
              <w:rPr>
                <w:rFonts w:eastAsia="Calibri"/>
              </w:rPr>
              <w:t>RRF 16618</w:t>
            </w:r>
          </w:p>
        </w:tc>
        <w:tc>
          <w:tcPr>
            <w:tcW w:w="1621" w:type="dxa"/>
            <w:tcMar>
              <w:top w:w="0" w:type="dxa"/>
              <w:left w:w="100" w:type="dxa"/>
              <w:bottom w:w="0" w:type="dxa"/>
              <w:right w:w="100" w:type="dxa"/>
            </w:tcMar>
          </w:tcPr>
          <w:p w14:paraId="0B65F1CF" w14:textId="22C662CE" w:rsidR="0020727F" w:rsidRPr="00194311" w:rsidRDefault="0020727F" w:rsidP="00194311">
            <w:pPr>
              <w:pStyle w:val="Tabletext"/>
              <w:spacing w:line="220" w:lineRule="exac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CSR3.9</w:t>
            </w:r>
            <w:r w:rsidRPr="00194311">
              <w:rPr>
                <w:rFonts w:eastAsia="Calibri"/>
              </w:rPr>
              <w:br/>
              <w:t>2019 CSR2.3</w:t>
            </w:r>
            <w:r w:rsidRPr="00194311">
              <w:rPr>
                <w:rFonts w:eastAsia="Calibri"/>
              </w:rPr>
              <w:br/>
              <w:t>2019 CSR2.4</w:t>
            </w:r>
          </w:p>
        </w:tc>
        <w:tc>
          <w:tcPr>
            <w:tcW w:w="2177" w:type="dxa"/>
            <w:tcMar>
              <w:top w:w="0" w:type="dxa"/>
              <w:left w:w="100" w:type="dxa"/>
              <w:bottom w:w="0" w:type="dxa"/>
              <w:right w:w="100" w:type="dxa"/>
            </w:tcMar>
          </w:tcPr>
          <w:p w14:paraId="60FA4992"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07FFA54C" w14:textId="77777777" w:rsidTr="00381EA6">
        <w:trPr>
          <w:trHeight w:val="113"/>
          <w:jc w:val="center"/>
        </w:trPr>
        <w:tc>
          <w:tcPr>
            <w:tcW w:w="3808" w:type="dxa"/>
            <w:tcMar>
              <w:top w:w="0" w:type="dxa"/>
              <w:left w:w="100" w:type="dxa"/>
              <w:bottom w:w="0" w:type="dxa"/>
              <w:right w:w="100" w:type="dxa"/>
            </w:tcMar>
          </w:tcPr>
          <w:p w14:paraId="03267D06" w14:textId="4BDBCD00" w:rsidR="0020727F" w:rsidRPr="00194311" w:rsidRDefault="00BA03C0" w:rsidP="00194311">
            <w:pPr>
              <w:pStyle w:val="Tabletext"/>
              <w:rPr>
                <w:rFonts w:eastAsia="Calibri"/>
              </w:rPr>
            </w:pPr>
            <w:r w:rsidRPr="00194311">
              <w:rPr>
                <w:rFonts w:eastAsia="Calibri"/>
                <w:b/>
              </w:rPr>
              <w:t>INVESTMENT 2:</w:t>
            </w:r>
            <w:r w:rsidR="0020727F" w:rsidRPr="00194311">
              <w:rPr>
                <w:rFonts w:eastAsia="Calibri"/>
              </w:rPr>
              <w:t xml:space="preserve"> Creation - Expansion – Upgrade of Infrastructures of Research Centers supervised by the General Secretariat for Research and Innovation (GSRI)</w:t>
            </w:r>
          </w:p>
        </w:tc>
        <w:tc>
          <w:tcPr>
            <w:tcW w:w="1285" w:type="dxa"/>
            <w:tcMar>
              <w:top w:w="0" w:type="dxa"/>
              <w:left w:w="100" w:type="dxa"/>
              <w:bottom w:w="0" w:type="dxa"/>
              <w:right w:w="100" w:type="dxa"/>
            </w:tcMar>
          </w:tcPr>
          <w:p w14:paraId="76970A98" w14:textId="77777777" w:rsidR="0020727F" w:rsidRPr="00194311" w:rsidRDefault="0020727F" w:rsidP="00194311">
            <w:pPr>
              <w:pStyle w:val="Tabletext"/>
              <w:rPr>
                <w:rFonts w:eastAsia="Calibri"/>
              </w:rPr>
            </w:pPr>
            <w:r w:rsidRPr="00194311">
              <w:rPr>
                <w:rFonts w:eastAsia="Calibri"/>
              </w:rPr>
              <w:t>RRF 16624</w:t>
            </w:r>
          </w:p>
        </w:tc>
        <w:tc>
          <w:tcPr>
            <w:tcW w:w="1621" w:type="dxa"/>
            <w:tcMar>
              <w:top w:w="0" w:type="dxa"/>
              <w:left w:w="100" w:type="dxa"/>
              <w:bottom w:w="0" w:type="dxa"/>
              <w:right w:w="100" w:type="dxa"/>
            </w:tcMar>
          </w:tcPr>
          <w:p w14:paraId="1B7E6B00" w14:textId="7E824434" w:rsidR="0020727F" w:rsidRPr="00194311" w:rsidRDefault="0020727F" w:rsidP="00194311">
            <w:pPr>
              <w:pStyle w:val="Tabletext"/>
              <w:spacing w:line="220" w:lineRule="exac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CSR3.9</w:t>
            </w:r>
            <w:r w:rsidRPr="00194311">
              <w:rPr>
                <w:rFonts w:eastAsia="Calibri"/>
              </w:rPr>
              <w:br/>
              <w:t>2019 CSR2.4</w:t>
            </w:r>
          </w:p>
        </w:tc>
        <w:tc>
          <w:tcPr>
            <w:tcW w:w="2177" w:type="dxa"/>
            <w:tcMar>
              <w:top w:w="0" w:type="dxa"/>
              <w:left w:w="100" w:type="dxa"/>
              <w:bottom w:w="0" w:type="dxa"/>
              <w:right w:w="100" w:type="dxa"/>
            </w:tcMar>
          </w:tcPr>
          <w:p w14:paraId="5BDB9A44" w14:textId="77777777" w:rsidR="0020727F" w:rsidRPr="00194311" w:rsidRDefault="0020727F" w:rsidP="00194311">
            <w:pPr>
              <w:pStyle w:val="Tabletext"/>
              <w:rPr>
                <w:rFonts w:eastAsia="Calibri"/>
              </w:rPr>
            </w:pPr>
            <w:r w:rsidRPr="00194311">
              <w:rPr>
                <w:rFonts w:eastAsia="Calibri"/>
              </w:rPr>
              <w:t>Social and Economic resilience</w:t>
            </w:r>
          </w:p>
          <w:p w14:paraId="12BA168C" w14:textId="77777777" w:rsidR="0020727F" w:rsidRPr="00194311" w:rsidRDefault="0020727F" w:rsidP="00194311">
            <w:pPr>
              <w:pStyle w:val="Tabletext"/>
              <w:rPr>
                <w:rFonts w:eastAsia="Calibri"/>
              </w:rPr>
            </w:pPr>
            <w:r w:rsidRPr="00194311">
              <w:rPr>
                <w:rFonts w:eastAsia="Calibri"/>
              </w:rPr>
              <w:t xml:space="preserve"> </w:t>
            </w:r>
          </w:p>
        </w:tc>
      </w:tr>
      <w:tr w:rsidR="0020727F" w:rsidRPr="00194311" w14:paraId="122C7E55" w14:textId="77777777" w:rsidTr="00381EA6">
        <w:trPr>
          <w:trHeight w:val="113"/>
          <w:jc w:val="center"/>
        </w:trPr>
        <w:tc>
          <w:tcPr>
            <w:tcW w:w="3808" w:type="dxa"/>
            <w:tcMar>
              <w:top w:w="0" w:type="dxa"/>
              <w:left w:w="100" w:type="dxa"/>
              <w:bottom w:w="0" w:type="dxa"/>
              <w:right w:w="100" w:type="dxa"/>
            </w:tcMar>
          </w:tcPr>
          <w:p w14:paraId="7574FD11" w14:textId="23B322F7" w:rsidR="0020727F" w:rsidRPr="00194311" w:rsidRDefault="00BA03C0" w:rsidP="00194311">
            <w:pPr>
              <w:pStyle w:val="Tabletext"/>
              <w:rPr>
                <w:rFonts w:eastAsia="Calibri"/>
              </w:rPr>
            </w:pPr>
            <w:r w:rsidRPr="00194311">
              <w:rPr>
                <w:rFonts w:eastAsia="Calibri"/>
                <w:b/>
              </w:rPr>
              <w:t>INVESTMENT 3:</w:t>
            </w:r>
            <w:r w:rsidR="0020727F" w:rsidRPr="00194311">
              <w:rPr>
                <w:rFonts w:eastAsia="Calibri"/>
              </w:rPr>
              <w:t xml:space="preserve"> New Industrial Parks</w:t>
            </w:r>
          </w:p>
        </w:tc>
        <w:tc>
          <w:tcPr>
            <w:tcW w:w="1285" w:type="dxa"/>
            <w:tcMar>
              <w:top w:w="0" w:type="dxa"/>
              <w:left w:w="100" w:type="dxa"/>
              <w:bottom w:w="0" w:type="dxa"/>
              <w:right w:w="100" w:type="dxa"/>
            </w:tcMar>
          </w:tcPr>
          <w:p w14:paraId="241D78AD" w14:textId="77777777" w:rsidR="0020727F" w:rsidRPr="00194311" w:rsidRDefault="0020727F" w:rsidP="00194311">
            <w:pPr>
              <w:pStyle w:val="Tabletext"/>
              <w:rPr>
                <w:rFonts w:eastAsia="Calibri"/>
              </w:rPr>
            </w:pPr>
            <w:r w:rsidRPr="00194311">
              <w:rPr>
                <w:rFonts w:eastAsia="Calibri"/>
              </w:rPr>
              <w:t>RRF 16634</w:t>
            </w:r>
          </w:p>
          <w:p w14:paraId="19AB564C" w14:textId="77777777" w:rsidR="0020727F" w:rsidRPr="00194311" w:rsidRDefault="0020727F" w:rsidP="00194311">
            <w:pPr>
              <w:pStyle w:val="Tabletext"/>
              <w:rPr>
                <w:rFonts w:eastAsia="Calibri"/>
              </w:rPr>
            </w:pPr>
            <w:r w:rsidRPr="00194311">
              <w:rPr>
                <w:rFonts w:eastAsia="Calibri"/>
              </w:rPr>
              <w:t xml:space="preserve"> </w:t>
            </w:r>
          </w:p>
        </w:tc>
        <w:tc>
          <w:tcPr>
            <w:tcW w:w="1621" w:type="dxa"/>
            <w:tcMar>
              <w:top w:w="0" w:type="dxa"/>
              <w:left w:w="100" w:type="dxa"/>
              <w:bottom w:w="0" w:type="dxa"/>
              <w:right w:w="100" w:type="dxa"/>
            </w:tcMar>
          </w:tcPr>
          <w:p w14:paraId="5D1A6618" w14:textId="0C712D0A" w:rsidR="0020727F" w:rsidRPr="00194311" w:rsidRDefault="0020727F" w:rsidP="00194311">
            <w:pPr>
              <w:pStyle w:val="Tabletext"/>
              <w:spacing w:line="220" w:lineRule="exact"/>
              <w:rPr>
                <w:rFonts w:eastAsia="Calibri"/>
              </w:rPr>
            </w:pPr>
            <w:r w:rsidRPr="00194311">
              <w:rPr>
                <w:rFonts w:eastAsia="Calibri"/>
              </w:rPr>
              <w:t>2024 CSR1.4</w:t>
            </w:r>
            <w:r w:rsidRPr="00194311">
              <w:rPr>
                <w:rFonts w:eastAsia="Calibri"/>
              </w:rPr>
              <w:br/>
              <w:t>2024 CSR2.1</w:t>
            </w:r>
            <w:r w:rsidRPr="00194311">
              <w:rPr>
                <w:rFonts w:eastAsia="Calibri"/>
              </w:rPr>
              <w:br/>
              <w:t>2024 CSR4.1</w:t>
            </w:r>
            <w:r w:rsidRPr="00194311">
              <w:rPr>
                <w:rFonts w:eastAsia="Calibri"/>
              </w:rPr>
              <w:br/>
              <w:t>2023 CSR4.3</w:t>
            </w:r>
            <w:r w:rsidRPr="00194311">
              <w:rPr>
                <w:rFonts w:eastAsia="Calibri"/>
              </w:rPr>
              <w:br/>
              <w:t>2023 CSR4.4</w:t>
            </w:r>
            <w:r w:rsidRPr="00194311">
              <w:rPr>
                <w:rFonts w:eastAsia="Calibri"/>
              </w:rPr>
              <w:br/>
              <w:t>2023 CSR4.6</w:t>
            </w:r>
            <w:r w:rsidRPr="00194311">
              <w:rPr>
                <w:rFonts w:eastAsia="Calibri"/>
              </w:rPr>
              <w:br/>
              <w:t>2022 CSR4.2</w:t>
            </w:r>
            <w:r w:rsidRPr="00194311">
              <w:rPr>
                <w:rFonts w:eastAsia="Calibri"/>
              </w:rPr>
              <w:br/>
              <w:t>2022 CSR4.5</w:t>
            </w:r>
            <w:r w:rsidRPr="00194311">
              <w:rPr>
                <w:rFonts w:eastAsia="Calibri"/>
              </w:rPr>
              <w:br/>
              <w:t>2022 CSR4.6</w:t>
            </w:r>
            <w:r w:rsidRPr="00194311">
              <w:rPr>
                <w:rFonts w:eastAsia="Calibri"/>
              </w:rPr>
              <w:br/>
              <w:t>2020 CSR3.3</w:t>
            </w:r>
            <w:r w:rsidRPr="00194311">
              <w:rPr>
                <w:rFonts w:eastAsia="Calibri"/>
              </w:rPr>
              <w:br/>
              <w:t>2020 CSR3.6</w:t>
            </w:r>
            <w:r w:rsidRPr="00194311">
              <w:rPr>
                <w:rFonts w:eastAsia="Calibri"/>
              </w:rPr>
              <w:br/>
              <w:t>2019 CSR2.2</w:t>
            </w:r>
            <w:r w:rsidRPr="00194311">
              <w:rPr>
                <w:rFonts w:eastAsia="Calibri"/>
              </w:rPr>
              <w:br/>
              <w:t>2019 CSR2.3</w:t>
            </w:r>
          </w:p>
        </w:tc>
        <w:tc>
          <w:tcPr>
            <w:tcW w:w="2177" w:type="dxa"/>
            <w:tcMar>
              <w:top w:w="0" w:type="dxa"/>
              <w:left w:w="100" w:type="dxa"/>
              <w:bottom w:w="0" w:type="dxa"/>
              <w:right w:w="100" w:type="dxa"/>
            </w:tcMar>
          </w:tcPr>
          <w:p w14:paraId="58CB814E" w14:textId="77777777" w:rsidR="0020727F" w:rsidRPr="00194311" w:rsidRDefault="0020727F" w:rsidP="00194311">
            <w:pPr>
              <w:pStyle w:val="Tabletext"/>
              <w:rPr>
                <w:rFonts w:eastAsia="Calibri"/>
              </w:rPr>
            </w:pPr>
            <w:r w:rsidRPr="00194311">
              <w:rPr>
                <w:rFonts w:eastAsia="Calibri"/>
              </w:rPr>
              <w:t>Fair green &amp; digital transition</w:t>
            </w:r>
          </w:p>
        </w:tc>
      </w:tr>
      <w:tr w:rsidR="0020727F" w:rsidRPr="00E204B7" w14:paraId="3D4147C2" w14:textId="77777777" w:rsidTr="00381EA6">
        <w:trPr>
          <w:trHeight w:val="113"/>
          <w:jc w:val="center"/>
        </w:trPr>
        <w:tc>
          <w:tcPr>
            <w:tcW w:w="3808" w:type="dxa"/>
            <w:tcMar>
              <w:top w:w="0" w:type="dxa"/>
              <w:left w:w="100" w:type="dxa"/>
              <w:bottom w:w="0" w:type="dxa"/>
              <w:right w:w="100" w:type="dxa"/>
            </w:tcMar>
          </w:tcPr>
          <w:p w14:paraId="4FF7330F" w14:textId="5715FFF9" w:rsidR="0020727F" w:rsidRPr="00194311" w:rsidRDefault="00BA03C0" w:rsidP="00194311">
            <w:pPr>
              <w:pStyle w:val="Tabletext"/>
              <w:rPr>
                <w:rFonts w:eastAsia="Calibri"/>
              </w:rPr>
            </w:pPr>
            <w:r w:rsidRPr="00194311">
              <w:rPr>
                <w:rFonts w:eastAsia="Calibri"/>
                <w:b/>
              </w:rPr>
              <w:lastRenderedPageBreak/>
              <w:t>INVESTMENT 4:</w:t>
            </w:r>
            <w:r w:rsidR="0020727F" w:rsidRPr="00194311">
              <w:rPr>
                <w:rFonts w:eastAsia="Calibri"/>
                <w:b/>
              </w:rPr>
              <w:t xml:space="preserve"> </w:t>
            </w:r>
            <w:r w:rsidR="0020727F" w:rsidRPr="00194311">
              <w:rPr>
                <w:rFonts w:eastAsia="Calibri"/>
              </w:rPr>
              <w:t>TH 2 ORAX: Trellis Holistic &amp; Hybrid Operational Ruggedized Autonomous eXemplary system</w:t>
            </w:r>
          </w:p>
        </w:tc>
        <w:tc>
          <w:tcPr>
            <w:tcW w:w="1285" w:type="dxa"/>
            <w:tcMar>
              <w:top w:w="0" w:type="dxa"/>
              <w:left w:w="100" w:type="dxa"/>
              <w:bottom w:w="0" w:type="dxa"/>
              <w:right w:w="100" w:type="dxa"/>
            </w:tcMar>
          </w:tcPr>
          <w:p w14:paraId="596E986B" w14:textId="77777777" w:rsidR="0020727F" w:rsidRPr="00194311" w:rsidRDefault="0020727F" w:rsidP="00194311">
            <w:pPr>
              <w:pStyle w:val="Tabletext"/>
              <w:rPr>
                <w:rFonts w:eastAsia="Calibri"/>
              </w:rPr>
            </w:pPr>
            <w:r w:rsidRPr="00194311">
              <w:rPr>
                <w:rFonts w:eastAsia="Calibri"/>
              </w:rPr>
              <w:t>RRF 16654</w:t>
            </w:r>
          </w:p>
        </w:tc>
        <w:tc>
          <w:tcPr>
            <w:tcW w:w="1621" w:type="dxa"/>
            <w:tcMar>
              <w:top w:w="0" w:type="dxa"/>
              <w:left w:w="100" w:type="dxa"/>
              <w:bottom w:w="0" w:type="dxa"/>
              <w:right w:w="100" w:type="dxa"/>
            </w:tcMar>
          </w:tcPr>
          <w:p w14:paraId="02DA3623" w14:textId="5ADC9C0E" w:rsidR="0020727F" w:rsidRPr="00194311" w:rsidRDefault="0020727F" w:rsidP="00194311">
            <w:pPr>
              <w:pStyle w:val="Tabletext"/>
              <w:rPr>
                <w:rFonts w:eastAsia="Calibri"/>
              </w:rPr>
            </w:pPr>
            <w:r w:rsidRPr="00194311">
              <w:rPr>
                <w:rFonts w:eastAsia="Calibri"/>
              </w:rPr>
              <w:t>2024 CSR2.1</w:t>
            </w:r>
            <w:r w:rsidRPr="00194311">
              <w:rPr>
                <w:rFonts w:eastAsia="Calibri"/>
              </w:rPr>
              <w:br/>
              <w:t>2020 CSR3.6</w:t>
            </w:r>
            <w:r w:rsidRPr="00194311">
              <w:rPr>
                <w:rFonts w:eastAsia="Calibri"/>
              </w:rPr>
              <w:br/>
              <w:t>2020 CSR3.9</w:t>
            </w:r>
            <w:r w:rsidRPr="00194311">
              <w:rPr>
                <w:rFonts w:eastAsia="Calibri"/>
              </w:rPr>
              <w:br/>
              <w:t>2019 CSR2.2</w:t>
            </w:r>
            <w:r w:rsidRPr="00194311">
              <w:rPr>
                <w:rFonts w:eastAsia="Calibri"/>
              </w:rPr>
              <w:br/>
              <w:t>2019 CSR2.3</w:t>
            </w:r>
            <w:r w:rsidRPr="00194311">
              <w:rPr>
                <w:rFonts w:eastAsia="Calibri"/>
              </w:rPr>
              <w:br/>
              <w:t>2019 CSR2.4</w:t>
            </w:r>
          </w:p>
        </w:tc>
        <w:tc>
          <w:tcPr>
            <w:tcW w:w="2177" w:type="dxa"/>
            <w:tcMar>
              <w:top w:w="0" w:type="dxa"/>
              <w:left w:w="100" w:type="dxa"/>
              <w:bottom w:w="0" w:type="dxa"/>
              <w:right w:w="100" w:type="dxa"/>
            </w:tcMar>
          </w:tcPr>
          <w:p w14:paraId="085B9A76" w14:textId="77777777" w:rsidR="0020727F" w:rsidRPr="00194311" w:rsidRDefault="0020727F" w:rsidP="00194311">
            <w:pPr>
              <w:pStyle w:val="Tabletext"/>
              <w:rPr>
                <w:rFonts w:eastAsia="Calibri"/>
              </w:rPr>
            </w:pPr>
            <w:r w:rsidRPr="00194311">
              <w:rPr>
                <w:rFonts w:eastAsia="Calibri"/>
              </w:rPr>
              <w:t>Defense Capabilities &amp; Social and Economic resilience</w:t>
            </w:r>
          </w:p>
        </w:tc>
      </w:tr>
      <w:tr w:rsidR="0020727F" w:rsidRPr="00194311" w14:paraId="56502F58" w14:textId="77777777" w:rsidTr="00381EA6">
        <w:trPr>
          <w:trHeight w:val="113"/>
          <w:jc w:val="center"/>
        </w:trPr>
        <w:tc>
          <w:tcPr>
            <w:tcW w:w="3808" w:type="dxa"/>
            <w:tcMar>
              <w:top w:w="0" w:type="dxa"/>
              <w:left w:w="100" w:type="dxa"/>
              <w:bottom w:w="0" w:type="dxa"/>
              <w:right w:w="100" w:type="dxa"/>
            </w:tcMar>
          </w:tcPr>
          <w:p w14:paraId="0C6AB25D" w14:textId="6DEBB6E5" w:rsidR="0020727F" w:rsidRPr="00194311" w:rsidRDefault="00BA03C0" w:rsidP="00194311">
            <w:pPr>
              <w:pStyle w:val="Tabletext"/>
              <w:rPr>
                <w:rFonts w:eastAsia="Calibri"/>
              </w:rPr>
            </w:pPr>
            <w:r w:rsidRPr="00194311">
              <w:rPr>
                <w:rFonts w:eastAsia="Calibri"/>
                <w:b/>
              </w:rPr>
              <w:t>INVESTMENT 5:</w:t>
            </w:r>
            <w:r w:rsidR="0020727F" w:rsidRPr="00194311">
              <w:rPr>
                <w:rFonts w:eastAsia="Calibri"/>
              </w:rPr>
              <w:t xml:space="preserve"> Acceleration of smart manufacturing</w:t>
            </w:r>
          </w:p>
        </w:tc>
        <w:tc>
          <w:tcPr>
            <w:tcW w:w="1285" w:type="dxa"/>
            <w:tcMar>
              <w:top w:w="0" w:type="dxa"/>
              <w:left w:w="100" w:type="dxa"/>
              <w:bottom w:w="0" w:type="dxa"/>
              <w:right w:w="100" w:type="dxa"/>
            </w:tcMar>
          </w:tcPr>
          <w:p w14:paraId="74495C9E" w14:textId="77777777" w:rsidR="0020727F" w:rsidRPr="00194311" w:rsidRDefault="0020727F" w:rsidP="00194311">
            <w:pPr>
              <w:pStyle w:val="Tabletext"/>
              <w:rPr>
                <w:rFonts w:eastAsia="Calibri"/>
              </w:rPr>
            </w:pPr>
            <w:r w:rsidRPr="00194311">
              <w:rPr>
                <w:rFonts w:eastAsia="Calibri"/>
              </w:rPr>
              <w:t>RRF 16721</w:t>
            </w:r>
          </w:p>
        </w:tc>
        <w:tc>
          <w:tcPr>
            <w:tcW w:w="1621" w:type="dxa"/>
            <w:tcMar>
              <w:top w:w="0" w:type="dxa"/>
              <w:left w:w="100" w:type="dxa"/>
              <w:bottom w:w="0" w:type="dxa"/>
              <w:right w:w="100" w:type="dxa"/>
            </w:tcMar>
          </w:tcPr>
          <w:p w14:paraId="3D731A80" w14:textId="3328747F"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CSR3.10</w:t>
            </w:r>
            <w:r w:rsidRPr="00194311">
              <w:rPr>
                <w:rFonts w:eastAsia="Calibri"/>
              </w:rPr>
              <w:br/>
              <w:t>2019 CSR2.3</w:t>
            </w:r>
          </w:p>
        </w:tc>
        <w:tc>
          <w:tcPr>
            <w:tcW w:w="2177" w:type="dxa"/>
            <w:tcMar>
              <w:top w:w="0" w:type="dxa"/>
              <w:left w:w="100" w:type="dxa"/>
              <w:bottom w:w="0" w:type="dxa"/>
              <w:right w:w="100" w:type="dxa"/>
            </w:tcMar>
          </w:tcPr>
          <w:p w14:paraId="03CC7925" w14:textId="77777777" w:rsidR="0020727F" w:rsidRPr="00194311" w:rsidRDefault="0020727F" w:rsidP="00194311">
            <w:pPr>
              <w:pStyle w:val="Tabletext"/>
              <w:rPr>
                <w:rFonts w:eastAsia="Calibri"/>
              </w:rPr>
            </w:pPr>
            <w:r w:rsidRPr="00194311">
              <w:rPr>
                <w:rFonts w:eastAsia="Calibri"/>
              </w:rPr>
              <w:t>Fair green &amp; digital transition</w:t>
            </w:r>
          </w:p>
        </w:tc>
      </w:tr>
      <w:tr w:rsidR="0020727F" w:rsidRPr="00194311" w14:paraId="2CFC40C6" w14:textId="77777777" w:rsidTr="00381EA6">
        <w:trPr>
          <w:trHeight w:val="113"/>
          <w:jc w:val="center"/>
        </w:trPr>
        <w:tc>
          <w:tcPr>
            <w:tcW w:w="3808" w:type="dxa"/>
            <w:tcMar>
              <w:top w:w="0" w:type="dxa"/>
              <w:left w:w="100" w:type="dxa"/>
              <w:bottom w:w="0" w:type="dxa"/>
              <w:right w:w="100" w:type="dxa"/>
            </w:tcMar>
          </w:tcPr>
          <w:p w14:paraId="5D3537EE" w14:textId="04B8A5A8" w:rsidR="0020727F" w:rsidRPr="00194311" w:rsidRDefault="00BA03C0" w:rsidP="00194311">
            <w:pPr>
              <w:pStyle w:val="Tabletext"/>
              <w:rPr>
                <w:rFonts w:eastAsia="Calibri"/>
              </w:rPr>
            </w:pPr>
            <w:r w:rsidRPr="00194311">
              <w:rPr>
                <w:rFonts w:eastAsia="Calibri"/>
                <w:b/>
              </w:rPr>
              <w:t>INVESTMENT 6:</w:t>
            </w:r>
            <w:r w:rsidR="0020727F" w:rsidRPr="00194311">
              <w:rPr>
                <w:rFonts w:eastAsia="Calibri"/>
              </w:rPr>
              <w:t xml:space="preserve"> Research - Create – Innovate</w:t>
            </w:r>
          </w:p>
        </w:tc>
        <w:tc>
          <w:tcPr>
            <w:tcW w:w="1285" w:type="dxa"/>
            <w:tcMar>
              <w:top w:w="0" w:type="dxa"/>
              <w:left w:w="100" w:type="dxa"/>
              <w:bottom w:w="0" w:type="dxa"/>
              <w:right w:w="100" w:type="dxa"/>
            </w:tcMar>
          </w:tcPr>
          <w:p w14:paraId="5DAF940E" w14:textId="77777777" w:rsidR="0020727F" w:rsidRPr="00194311" w:rsidRDefault="0020727F" w:rsidP="00194311">
            <w:pPr>
              <w:pStyle w:val="Tabletext"/>
              <w:rPr>
                <w:rFonts w:eastAsia="Calibri"/>
              </w:rPr>
            </w:pPr>
            <w:r w:rsidRPr="00194311">
              <w:rPr>
                <w:rFonts w:eastAsia="Calibri"/>
              </w:rPr>
              <w:t>RRF 16971</w:t>
            </w:r>
          </w:p>
        </w:tc>
        <w:tc>
          <w:tcPr>
            <w:tcW w:w="1621" w:type="dxa"/>
            <w:tcMar>
              <w:top w:w="0" w:type="dxa"/>
              <w:left w:w="100" w:type="dxa"/>
              <w:bottom w:w="0" w:type="dxa"/>
              <w:right w:w="100" w:type="dxa"/>
            </w:tcMar>
          </w:tcPr>
          <w:p w14:paraId="33CFBAD3" w14:textId="3EF04F94"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CSR3.10</w:t>
            </w:r>
            <w:r w:rsidRPr="00194311">
              <w:rPr>
                <w:rFonts w:eastAsia="Calibri"/>
              </w:rPr>
              <w:br/>
              <w:t>2019 CSR2.2</w:t>
            </w:r>
            <w:r w:rsidRPr="00194311">
              <w:rPr>
                <w:rFonts w:eastAsia="Calibri"/>
              </w:rPr>
              <w:br/>
              <w:t>2019 CSR2.3</w:t>
            </w:r>
            <w:r w:rsidRPr="00194311">
              <w:rPr>
                <w:rFonts w:eastAsia="Calibri"/>
              </w:rPr>
              <w:br/>
              <w:t>2019 CSR2.4</w:t>
            </w:r>
          </w:p>
        </w:tc>
        <w:tc>
          <w:tcPr>
            <w:tcW w:w="2177" w:type="dxa"/>
            <w:tcMar>
              <w:top w:w="0" w:type="dxa"/>
              <w:left w:w="100" w:type="dxa"/>
              <w:bottom w:w="0" w:type="dxa"/>
              <w:right w:w="100" w:type="dxa"/>
            </w:tcMar>
          </w:tcPr>
          <w:p w14:paraId="433EED0B" w14:textId="77777777" w:rsidR="0020727F" w:rsidRPr="00194311" w:rsidRDefault="0020727F" w:rsidP="00194311">
            <w:pPr>
              <w:pStyle w:val="Tabletext"/>
              <w:rPr>
                <w:rFonts w:eastAsia="Calibri"/>
              </w:rPr>
            </w:pPr>
            <w:r w:rsidRPr="00194311">
              <w:rPr>
                <w:rFonts w:eastAsia="Calibri"/>
              </w:rPr>
              <w:t>Social and Economic resilience</w:t>
            </w:r>
          </w:p>
          <w:p w14:paraId="6018A845" w14:textId="77777777" w:rsidR="0020727F" w:rsidRPr="00194311" w:rsidRDefault="0020727F" w:rsidP="00194311">
            <w:pPr>
              <w:pStyle w:val="Tabletext"/>
              <w:rPr>
                <w:rFonts w:eastAsia="Calibri"/>
              </w:rPr>
            </w:pPr>
            <w:r w:rsidRPr="00194311">
              <w:rPr>
                <w:rFonts w:eastAsia="Calibri"/>
              </w:rPr>
              <w:t xml:space="preserve"> </w:t>
            </w:r>
          </w:p>
        </w:tc>
      </w:tr>
      <w:tr w:rsidR="0020727F" w:rsidRPr="00194311" w14:paraId="044874F7" w14:textId="77777777" w:rsidTr="00381EA6">
        <w:trPr>
          <w:trHeight w:val="113"/>
          <w:jc w:val="center"/>
        </w:trPr>
        <w:tc>
          <w:tcPr>
            <w:tcW w:w="3808" w:type="dxa"/>
            <w:tcMar>
              <w:top w:w="0" w:type="dxa"/>
              <w:left w:w="100" w:type="dxa"/>
              <w:bottom w:w="0" w:type="dxa"/>
              <w:right w:w="100" w:type="dxa"/>
            </w:tcMar>
          </w:tcPr>
          <w:p w14:paraId="644DC05F" w14:textId="6531E21A" w:rsidR="0020727F" w:rsidRPr="00194311" w:rsidRDefault="00BA03C0" w:rsidP="00194311">
            <w:pPr>
              <w:pStyle w:val="Tabletext"/>
              <w:rPr>
                <w:rFonts w:eastAsia="Calibri"/>
              </w:rPr>
            </w:pPr>
            <w:r w:rsidRPr="00194311">
              <w:rPr>
                <w:rFonts w:eastAsia="Calibri"/>
                <w:b/>
              </w:rPr>
              <w:t>INVESTMENT 7:</w:t>
            </w:r>
            <w:r w:rsidR="0020727F" w:rsidRPr="00194311">
              <w:rPr>
                <w:rFonts w:eastAsia="Calibri"/>
              </w:rPr>
              <w:t xml:space="preserve"> HORIZON 2020 “Seal of Excellence”: financing top innovative companies</w:t>
            </w:r>
          </w:p>
        </w:tc>
        <w:tc>
          <w:tcPr>
            <w:tcW w:w="1285" w:type="dxa"/>
            <w:tcMar>
              <w:top w:w="0" w:type="dxa"/>
              <w:left w:w="100" w:type="dxa"/>
              <w:bottom w:w="0" w:type="dxa"/>
              <w:right w:w="100" w:type="dxa"/>
            </w:tcMar>
          </w:tcPr>
          <w:p w14:paraId="15D9F18D" w14:textId="77777777" w:rsidR="0020727F" w:rsidRPr="00194311" w:rsidRDefault="0020727F" w:rsidP="00194311">
            <w:pPr>
              <w:pStyle w:val="Tabletext"/>
              <w:rPr>
                <w:rFonts w:eastAsia="Calibri"/>
              </w:rPr>
            </w:pPr>
            <w:r w:rsidRPr="00194311">
              <w:rPr>
                <w:rFonts w:eastAsia="Calibri"/>
              </w:rPr>
              <w:t>RRF 16622</w:t>
            </w:r>
          </w:p>
        </w:tc>
        <w:tc>
          <w:tcPr>
            <w:tcW w:w="1621" w:type="dxa"/>
            <w:tcMar>
              <w:top w:w="0" w:type="dxa"/>
              <w:left w:w="100" w:type="dxa"/>
              <w:bottom w:w="0" w:type="dxa"/>
              <w:right w:w="100" w:type="dxa"/>
            </w:tcMar>
          </w:tcPr>
          <w:p w14:paraId="65147D6C" w14:textId="4C6962B8" w:rsidR="0020727F" w:rsidRPr="00194311" w:rsidRDefault="0020727F" w:rsidP="00194311">
            <w:pPr>
              <w:pStyle w:val="Tabletext"/>
              <w:rPr>
                <w:rFonts w:eastAsia="Calibri"/>
              </w:rPr>
            </w:pPr>
            <w:r w:rsidRPr="00194311">
              <w:rPr>
                <w:rFonts w:eastAsia="Calibri"/>
              </w:rPr>
              <w:t>2024 CSR1.4</w:t>
            </w:r>
            <w:r w:rsidRPr="00194311">
              <w:rPr>
                <w:rFonts w:eastAsia="Calibri"/>
              </w:rPr>
              <w:br/>
              <w:t>2024 CSR2.1</w:t>
            </w:r>
            <w:r w:rsidRPr="00194311">
              <w:rPr>
                <w:rFonts w:eastAsia="Calibri"/>
              </w:rPr>
              <w:br/>
              <w:t>2020 CSR3.3</w:t>
            </w:r>
            <w:r w:rsidRPr="00194311">
              <w:rPr>
                <w:rFonts w:eastAsia="Calibri"/>
              </w:rPr>
              <w:br/>
              <w:t>2020 CSR3.10</w:t>
            </w:r>
            <w:r w:rsidRPr="00194311">
              <w:rPr>
                <w:rFonts w:eastAsia="Calibri"/>
              </w:rPr>
              <w:br/>
              <w:t>2019 CSR2.2</w:t>
            </w:r>
            <w:r w:rsidRPr="00194311">
              <w:rPr>
                <w:rFonts w:eastAsia="Calibri"/>
              </w:rPr>
              <w:br/>
              <w:t>2019 CSR2.3</w:t>
            </w:r>
            <w:r w:rsidRPr="00194311">
              <w:rPr>
                <w:rFonts w:eastAsia="Calibri"/>
              </w:rPr>
              <w:br/>
              <w:t>2019 CSR2.4</w:t>
            </w:r>
          </w:p>
        </w:tc>
        <w:tc>
          <w:tcPr>
            <w:tcW w:w="2177" w:type="dxa"/>
            <w:tcMar>
              <w:top w:w="0" w:type="dxa"/>
              <w:left w:w="100" w:type="dxa"/>
              <w:bottom w:w="0" w:type="dxa"/>
              <w:right w:w="100" w:type="dxa"/>
            </w:tcMar>
          </w:tcPr>
          <w:p w14:paraId="5E1C71D9"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4AB2D90E" w14:textId="77777777" w:rsidTr="00381EA6">
        <w:trPr>
          <w:trHeight w:val="113"/>
          <w:jc w:val="center"/>
        </w:trPr>
        <w:tc>
          <w:tcPr>
            <w:tcW w:w="3808" w:type="dxa"/>
            <w:tcMar>
              <w:top w:w="0" w:type="dxa"/>
              <w:left w:w="100" w:type="dxa"/>
              <w:bottom w:w="0" w:type="dxa"/>
              <w:right w:w="100" w:type="dxa"/>
            </w:tcMar>
          </w:tcPr>
          <w:p w14:paraId="6ABBE71E" w14:textId="0752FA55" w:rsidR="0020727F" w:rsidRPr="00194311" w:rsidRDefault="00BA03C0" w:rsidP="00194311">
            <w:pPr>
              <w:pStyle w:val="Tabletext"/>
              <w:rPr>
                <w:rFonts w:eastAsia="Calibri"/>
              </w:rPr>
            </w:pPr>
            <w:r w:rsidRPr="00194311">
              <w:rPr>
                <w:rFonts w:eastAsia="Calibri"/>
                <w:b/>
              </w:rPr>
              <w:t>INVESTMENT 8:</w:t>
            </w:r>
            <w:r w:rsidR="0020727F" w:rsidRPr="00194311">
              <w:rPr>
                <w:rFonts w:eastAsia="Calibri"/>
              </w:rPr>
              <w:t xml:space="preserve"> Research - Innovate</w:t>
            </w:r>
          </w:p>
        </w:tc>
        <w:tc>
          <w:tcPr>
            <w:tcW w:w="1285" w:type="dxa"/>
            <w:tcMar>
              <w:top w:w="0" w:type="dxa"/>
              <w:left w:w="100" w:type="dxa"/>
              <w:bottom w:w="0" w:type="dxa"/>
              <w:right w:w="100" w:type="dxa"/>
            </w:tcMar>
          </w:tcPr>
          <w:p w14:paraId="459E5D5D" w14:textId="77777777" w:rsidR="0020727F" w:rsidRPr="00194311" w:rsidRDefault="0020727F" w:rsidP="00194311">
            <w:pPr>
              <w:pStyle w:val="Tabletext"/>
              <w:rPr>
                <w:rFonts w:eastAsia="Calibri"/>
              </w:rPr>
            </w:pPr>
            <w:r w:rsidRPr="00194311">
              <w:rPr>
                <w:rFonts w:eastAsia="Calibri"/>
              </w:rPr>
              <w:t>MFF</w:t>
            </w:r>
          </w:p>
          <w:p w14:paraId="67708F1A" w14:textId="77777777" w:rsidR="0020727F" w:rsidRPr="00194311" w:rsidRDefault="0020727F" w:rsidP="00194311">
            <w:pPr>
              <w:pStyle w:val="Tabletext"/>
              <w:rPr>
                <w:rFonts w:eastAsia="Calibri"/>
              </w:rPr>
            </w:pPr>
            <w:r w:rsidRPr="00194311">
              <w:rPr>
                <w:rFonts w:eastAsia="Calibri"/>
              </w:rPr>
              <w:t xml:space="preserve"> </w:t>
            </w:r>
          </w:p>
        </w:tc>
        <w:tc>
          <w:tcPr>
            <w:tcW w:w="1621" w:type="dxa"/>
            <w:tcMar>
              <w:top w:w="0" w:type="dxa"/>
              <w:left w:w="100" w:type="dxa"/>
              <w:bottom w:w="0" w:type="dxa"/>
              <w:right w:w="100" w:type="dxa"/>
            </w:tcMar>
          </w:tcPr>
          <w:p w14:paraId="642EBBE0" w14:textId="64188C2F" w:rsidR="0020727F" w:rsidRPr="00194311" w:rsidRDefault="0020727F" w:rsidP="00194311">
            <w:pPr>
              <w:pStyle w:val="Tabletext"/>
              <w:rPr>
                <w:rFonts w:eastAsia="Calibri"/>
              </w:rPr>
            </w:pPr>
            <w:r w:rsidRPr="00194311">
              <w:rPr>
                <w:rFonts w:eastAsia="Calibri"/>
              </w:rPr>
              <w:t>2024 CSR1.4</w:t>
            </w:r>
            <w:r w:rsidRPr="00194311">
              <w:rPr>
                <w:rFonts w:eastAsia="Calibri"/>
              </w:rPr>
              <w:br/>
              <w:t>2020 CSR3.3</w:t>
            </w:r>
            <w:r w:rsidRPr="00194311">
              <w:rPr>
                <w:rFonts w:eastAsia="Calibri"/>
              </w:rPr>
              <w:br/>
              <w:t>2019 CSR2.4</w:t>
            </w:r>
          </w:p>
        </w:tc>
        <w:tc>
          <w:tcPr>
            <w:tcW w:w="2177" w:type="dxa"/>
            <w:tcMar>
              <w:top w:w="0" w:type="dxa"/>
              <w:left w:w="100" w:type="dxa"/>
              <w:bottom w:w="0" w:type="dxa"/>
              <w:right w:w="100" w:type="dxa"/>
            </w:tcMar>
          </w:tcPr>
          <w:p w14:paraId="6FEA5BA3" w14:textId="77777777" w:rsidR="0020727F" w:rsidRPr="00194311" w:rsidRDefault="0020727F" w:rsidP="00194311">
            <w:pPr>
              <w:pStyle w:val="Tabletext"/>
              <w:rPr>
                <w:rFonts w:eastAsia="Calibri"/>
              </w:rPr>
            </w:pPr>
            <w:r w:rsidRPr="00194311">
              <w:rPr>
                <w:rFonts w:eastAsia="Calibri"/>
              </w:rPr>
              <w:t>Social and Economic resilience</w:t>
            </w:r>
          </w:p>
          <w:p w14:paraId="0CCA5F33" w14:textId="77777777" w:rsidR="0020727F" w:rsidRPr="00194311" w:rsidRDefault="0020727F" w:rsidP="00194311">
            <w:pPr>
              <w:pStyle w:val="Tabletext"/>
              <w:rPr>
                <w:rFonts w:eastAsia="Calibri"/>
              </w:rPr>
            </w:pPr>
            <w:r w:rsidRPr="00194311">
              <w:rPr>
                <w:rFonts w:eastAsia="Calibri"/>
              </w:rPr>
              <w:t xml:space="preserve"> </w:t>
            </w:r>
          </w:p>
        </w:tc>
      </w:tr>
      <w:tr w:rsidR="0020727F" w:rsidRPr="00194311" w14:paraId="1F10A55E" w14:textId="77777777" w:rsidTr="00381EA6">
        <w:trPr>
          <w:trHeight w:val="113"/>
          <w:jc w:val="center"/>
        </w:trPr>
        <w:tc>
          <w:tcPr>
            <w:tcW w:w="3808" w:type="dxa"/>
            <w:tcMar>
              <w:top w:w="0" w:type="dxa"/>
              <w:left w:w="100" w:type="dxa"/>
              <w:bottom w:w="0" w:type="dxa"/>
              <w:right w:w="100" w:type="dxa"/>
            </w:tcMar>
          </w:tcPr>
          <w:p w14:paraId="4A3DCA66" w14:textId="72C28FCF" w:rsidR="0020727F" w:rsidRPr="00194311" w:rsidRDefault="00BA03C0" w:rsidP="00194311">
            <w:pPr>
              <w:pStyle w:val="Tabletext"/>
              <w:rPr>
                <w:rFonts w:eastAsia="Calibri"/>
              </w:rPr>
            </w:pPr>
            <w:r w:rsidRPr="00194311">
              <w:rPr>
                <w:rFonts w:eastAsia="Calibri"/>
                <w:b/>
              </w:rPr>
              <w:t>INVESTMENT 9:</w:t>
            </w:r>
            <w:r w:rsidR="0020727F" w:rsidRPr="00194311">
              <w:rPr>
                <w:rFonts w:eastAsia="Calibri"/>
              </w:rPr>
              <w:t xml:space="preserve"> Revision of the National Research Infrastructure Roadmap for the 2021-2027 Programming Period</w:t>
            </w:r>
          </w:p>
        </w:tc>
        <w:tc>
          <w:tcPr>
            <w:tcW w:w="1285" w:type="dxa"/>
            <w:tcMar>
              <w:top w:w="0" w:type="dxa"/>
              <w:left w:w="100" w:type="dxa"/>
              <w:bottom w:w="0" w:type="dxa"/>
              <w:right w:w="100" w:type="dxa"/>
            </w:tcMar>
          </w:tcPr>
          <w:p w14:paraId="3F8A7C81" w14:textId="77777777" w:rsidR="0020727F" w:rsidRPr="00194311" w:rsidRDefault="0020727F" w:rsidP="00194311">
            <w:pPr>
              <w:pStyle w:val="Tabletext"/>
              <w:rPr>
                <w:rFonts w:eastAsia="Calibri"/>
              </w:rPr>
            </w:pPr>
            <w:r w:rsidRPr="00194311">
              <w:rPr>
                <w:rFonts w:eastAsia="Calibri"/>
              </w:rPr>
              <w:t>MFF</w:t>
            </w:r>
          </w:p>
        </w:tc>
        <w:tc>
          <w:tcPr>
            <w:tcW w:w="1621" w:type="dxa"/>
            <w:tcMar>
              <w:top w:w="0" w:type="dxa"/>
              <w:left w:w="100" w:type="dxa"/>
              <w:bottom w:w="0" w:type="dxa"/>
              <w:right w:w="100" w:type="dxa"/>
            </w:tcMar>
          </w:tcPr>
          <w:p w14:paraId="3ED72559" w14:textId="7AA0C09E" w:rsidR="0020727F" w:rsidRPr="00194311" w:rsidRDefault="0020727F" w:rsidP="00194311">
            <w:pPr>
              <w:pStyle w:val="Tabletext"/>
              <w:rPr>
                <w:rFonts w:eastAsia="Calibri"/>
              </w:rPr>
            </w:pPr>
            <w:r w:rsidRPr="00194311">
              <w:rPr>
                <w:rFonts w:eastAsia="Calibri"/>
              </w:rPr>
              <w:t>2024 CSR1.4</w:t>
            </w:r>
            <w:r w:rsidRPr="00194311">
              <w:rPr>
                <w:rFonts w:eastAsia="Calibri"/>
              </w:rPr>
              <w:br/>
              <w:t>2022 CSR4.3</w:t>
            </w:r>
            <w:r w:rsidRPr="00194311">
              <w:rPr>
                <w:rFonts w:eastAsia="Calibri"/>
              </w:rPr>
              <w:br/>
              <w:t>2022 CSR4.2</w:t>
            </w:r>
            <w:r w:rsidRPr="00194311">
              <w:rPr>
                <w:rFonts w:eastAsia="Calibri"/>
              </w:rPr>
              <w:br/>
              <w:t>2020 CSR3.3</w:t>
            </w:r>
            <w:r w:rsidRPr="00194311">
              <w:rPr>
                <w:rFonts w:eastAsia="Calibri"/>
              </w:rPr>
              <w:br/>
              <w:t>2020 CSR3.4</w:t>
            </w:r>
            <w:r w:rsidRPr="00194311">
              <w:rPr>
                <w:rFonts w:eastAsia="Calibri"/>
              </w:rPr>
              <w:br/>
              <w:t>2020 CSR3.5</w:t>
            </w:r>
            <w:r w:rsidRPr="00194311">
              <w:rPr>
                <w:rFonts w:eastAsia="Calibri"/>
              </w:rPr>
              <w:br/>
              <w:t>2020 CSR3.9</w:t>
            </w:r>
            <w:r w:rsidRPr="00194311">
              <w:rPr>
                <w:rFonts w:eastAsia="Calibri"/>
              </w:rPr>
              <w:br/>
              <w:t>2019 CSR2.1</w:t>
            </w:r>
            <w:r w:rsidRPr="00194311">
              <w:rPr>
                <w:rFonts w:eastAsia="Calibri"/>
              </w:rPr>
              <w:br/>
              <w:t>2019 CSR2.2</w:t>
            </w:r>
            <w:r w:rsidRPr="00194311">
              <w:rPr>
                <w:rFonts w:eastAsia="Calibri"/>
              </w:rPr>
              <w:br/>
              <w:t>2019 CSR2.3</w:t>
            </w:r>
            <w:r w:rsidRPr="00194311">
              <w:rPr>
                <w:rFonts w:eastAsia="Calibri"/>
              </w:rPr>
              <w:br/>
              <w:t>2019 CSR2.4</w:t>
            </w:r>
          </w:p>
        </w:tc>
        <w:tc>
          <w:tcPr>
            <w:tcW w:w="2177" w:type="dxa"/>
            <w:tcMar>
              <w:top w:w="0" w:type="dxa"/>
              <w:left w:w="100" w:type="dxa"/>
              <w:bottom w:w="0" w:type="dxa"/>
              <w:right w:w="100" w:type="dxa"/>
            </w:tcMar>
          </w:tcPr>
          <w:p w14:paraId="5EC0A1EB"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0A420717" w14:textId="77777777" w:rsidTr="00381EA6">
        <w:trPr>
          <w:trHeight w:val="113"/>
          <w:jc w:val="center"/>
        </w:trPr>
        <w:tc>
          <w:tcPr>
            <w:tcW w:w="3808" w:type="dxa"/>
            <w:tcMar>
              <w:top w:w="0" w:type="dxa"/>
              <w:left w:w="100" w:type="dxa"/>
              <w:bottom w:w="0" w:type="dxa"/>
              <w:right w:w="100" w:type="dxa"/>
            </w:tcMar>
          </w:tcPr>
          <w:p w14:paraId="5CA4B753" w14:textId="4127A307" w:rsidR="0020727F" w:rsidRPr="00194311" w:rsidRDefault="00BA03C0" w:rsidP="00194311">
            <w:pPr>
              <w:pStyle w:val="Tabletext"/>
              <w:rPr>
                <w:rFonts w:eastAsia="Calibri"/>
              </w:rPr>
            </w:pPr>
            <w:r w:rsidRPr="00194311">
              <w:rPr>
                <w:rFonts w:eastAsia="Calibri"/>
                <w:b/>
              </w:rPr>
              <w:t>INVESTMENT 10:</w:t>
            </w:r>
            <w:r w:rsidR="0020727F" w:rsidRPr="00194311">
              <w:rPr>
                <w:rFonts w:eastAsia="Calibri"/>
              </w:rPr>
              <w:t xml:space="preserve"> Ιmplementation of the institutional framework for private investments</w:t>
            </w:r>
          </w:p>
        </w:tc>
        <w:tc>
          <w:tcPr>
            <w:tcW w:w="1285" w:type="dxa"/>
            <w:tcMar>
              <w:top w:w="0" w:type="dxa"/>
              <w:left w:w="100" w:type="dxa"/>
              <w:bottom w:w="0" w:type="dxa"/>
              <w:right w:w="100" w:type="dxa"/>
            </w:tcMar>
          </w:tcPr>
          <w:p w14:paraId="3619E37D" w14:textId="77777777" w:rsidR="0020727F" w:rsidRPr="00194311" w:rsidRDefault="0020727F" w:rsidP="00194311">
            <w:pPr>
              <w:pStyle w:val="Tabletext"/>
              <w:rPr>
                <w:rFonts w:eastAsia="Calibri"/>
              </w:rPr>
            </w:pPr>
            <w:r w:rsidRPr="00194311">
              <w:rPr>
                <w:rFonts w:eastAsia="Calibri"/>
              </w:rPr>
              <w:t>-</w:t>
            </w:r>
          </w:p>
        </w:tc>
        <w:tc>
          <w:tcPr>
            <w:tcW w:w="1621" w:type="dxa"/>
            <w:tcMar>
              <w:top w:w="0" w:type="dxa"/>
              <w:left w:w="100" w:type="dxa"/>
              <w:bottom w:w="0" w:type="dxa"/>
              <w:right w:w="100" w:type="dxa"/>
            </w:tcMar>
          </w:tcPr>
          <w:p w14:paraId="1A390150" w14:textId="77777777" w:rsidR="0020727F" w:rsidRPr="00194311" w:rsidRDefault="0020727F" w:rsidP="00194311">
            <w:pPr>
              <w:pStyle w:val="Tabletext"/>
              <w:rPr>
                <w:rFonts w:eastAsia="Calibri"/>
              </w:rPr>
            </w:pPr>
            <w:r w:rsidRPr="00194311">
              <w:rPr>
                <w:rFonts w:eastAsia="Calibri"/>
              </w:rPr>
              <w:t>2024 CSR1.4</w:t>
            </w:r>
            <w:r w:rsidRPr="00194311">
              <w:rPr>
                <w:rFonts w:eastAsia="Calibri"/>
              </w:rPr>
              <w:br/>
              <w:t>2020 CSR3.3</w:t>
            </w:r>
            <w:r w:rsidRPr="00194311">
              <w:rPr>
                <w:rFonts w:eastAsia="Calibri"/>
              </w:rPr>
              <w:br/>
              <w:t>2020 CSR3.4 2019 CSR2.1</w:t>
            </w:r>
          </w:p>
        </w:tc>
        <w:tc>
          <w:tcPr>
            <w:tcW w:w="2177" w:type="dxa"/>
            <w:tcMar>
              <w:top w:w="0" w:type="dxa"/>
              <w:left w:w="100" w:type="dxa"/>
              <w:bottom w:w="0" w:type="dxa"/>
              <w:right w:w="100" w:type="dxa"/>
            </w:tcMar>
          </w:tcPr>
          <w:p w14:paraId="17F417CE" w14:textId="77777777" w:rsidR="0020727F" w:rsidRPr="00194311" w:rsidRDefault="0020727F" w:rsidP="00194311">
            <w:pPr>
              <w:pStyle w:val="Tabletext"/>
              <w:rPr>
                <w:rFonts w:eastAsia="Calibri"/>
              </w:rPr>
            </w:pPr>
            <w:r w:rsidRPr="00194311">
              <w:rPr>
                <w:rFonts w:eastAsia="Calibri"/>
              </w:rPr>
              <w:t>Social and Economic resilience</w:t>
            </w:r>
          </w:p>
        </w:tc>
      </w:tr>
      <w:tr w:rsidR="0020727F" w:rsidRPr="00194311" w14:paraId="2C754FE2" w14:textId="77777777" w:rsidTr="00381EA6">
        <w:trPr>
          <w:trHeight w:val="113"/>
          <w:jc w:val="center"/>
        </w:trPr>
        <w:tc>
          <w:tcPr>
            <w:tcW w:w="3808" w:type="dxa"/>
            <w:tcMar>
              <w:top w:w="0" w:type="dxa"/>
              <w:left w:w="100" w:type="dxa"/>
              <w:bottom w:w="0" w:type="dxa"/>
              <w:right w:w="100" w:type="dxa"/>
            </w:tcMar>
          </w:tcPr>
          <w:p w14:paraId="2216BB40" w14:textId="712F64AE" w:rsidR="0020727F" w:rsidRPr="00194311" w:rsidRDefault="00BA03C0" w:rsidP="00194311">
            <w:pPr>
              <w:pStyle w:val="Tabletext"/>
              <w:rPr>
                <w:rFonts w:eastAsia="Calibri"/>
              </w:rPr>
            </w:pPr>
            <w:r w:rsidRPr="00194311">
              <w:rPr>
                <w:rFonts w:eastAsia="Calibri"/>
                <w:b/>
              </w:rPr>
              <w:t>INVESTMENT 11:</w:t>
            </w:r>
            <w:r w:rsidR="0020727F" w:rsidRPr="00194311">
              <w:rPr>
                <w:rFonts w:eastAsia="Calibri"/>
              </w:rPr>
              <w:t xml:space="preserve"> Ιmplementation of the Institutional Framework for Strategic INVESTMENTs</w:t>
            </w:r>
          </w:p>
        </w:tc>
        <w:tc>
          <w:tcPr>
            <w:tcW w:w="1285" w:type="dxa"/>
            <w:tcMar>
              <w:top w:w="0" w:type="dxa"/>
              <w:left w:w="100" w:type="dxa"/>
              <w:bottom w:w="0" w:type="dxa"/>
              <w:right w:w="100" w:type="dxa"/>
            </w:tcMar>
          </w:tcPr>
          <w:p w14:paraId="5D1A3B13" w14:textId="77777777" w:rsidR="0020727F" w:rsidRPr="00194311" w:rsidRDefault="0020727F" w:rsidP="00194311">
            <w:pPr>
              <w:pStyle w:val="Tabletext"/>
              <w:rPr>
                <w:rFonts w:eastAsia="Calibri"/>
              </w:rPr>
            </w:pPr>
            <w:r w:rsidRPr="00194311">
              <w:rPr>
                <w:rFonts w:eastAsia="Calibri"/>
              </w:rPr>
              <w:t>-</w:t>
            </w:r>
          </w:p>
        </w:tc>
        <w:tc>
          <w:tcPr>
            <w:tcW w:w="1621" w:type="dxa"/>
            <w:tcMar>
              <w:top w:w="0" w:type="dxa"/>
              <w:left w:w="100" w:type="dxa"/>
              <w:bottom w:w="0" w:type="dxa"/>
              <w:right w:w="100" w:type="dxa"/>
            </w:tcMar>
          </w:tcPr>
          <w:p w14:paraId="525923EA" w14:textId="77777777" w:rsidR="0020727F" w:rsidRPr="00194311" w:rsidRDefault="0020727F" w:rsidP="00194311">
            <w:pPr>
              <w:pStyle w:val="Tabletext"/>
              <w:rPr>
                <w:rFonts w:eastAsia="Calibri"/>
              </w:rPr>
            </w:pPr>
            <w:r w:rsidRPr="00194311">
              <w:rPr>
                <w:rFonts w:eastAsia="Calibri"/>
              </w:rPr>
              <w:t>2024 CSR1.4</w:t>
            </w:r>
            <w:r w:rsidRPr="00194311">
              <w:rPr>
                <w:rFonts w:eastAsia="Calibri"/>
              </w:rPr>
              <w:br/>
              <w:t>2020 CSR3.3</w:t>
            </w:r>
          </w:p>
        </w:tc>
        <w:tc>
          <w:tcPr>
            <w:tcW w:w="2177" w:type="dxa"/>
            <w:tcMar>
              <w:top w:w="0" w:type="dxa"/>
              <w:left w:w="100" w:type="dxa"/>
              <w:bottom w:w="0" w:type="dxa"/>
              <w:right w:w="100" w:type="dxa"/>
            </w:tcMar>
          </w:tcPr>
          <w:p w14:paraId="40C3A3F2" w14:textId="77777777" w:rsidR="0020727F" w:rsidRPr="00194311" w:rsidRDefault="0020727F" w:rsidP="00194311">
            <w:pPr>
              <w:pStyle w:val="Tabletext"/>
              <w:rPr>
                <w:rFonts w:eastAsia="Calibri"/>
              </w:rPr>
            </w:pPr>
            <w:r w:rsidRPr="00194311">
              <w:rPr>
                <w:rFonts w:eastAsia="Calibri"/>
              </w:rPr>
              <w:t>Social and Economic resilience</w:t>
            </w:r>
          </w:p>
        </w:tc>
      </w:tr>
    </w:tbl>
    <w:p w14:paraId="0E3A871A" w14:textId="756A3749" w:rsidR="0020727F" w:rsidRDefault="0020727F" w:rsidP="00987A40">
      <w:pPr>
        <w:pBdr>
          <w:top w:val="nil"/>
          <w:left w:val="nil"/>
          <w:bottom w:val="nil"/>
          <w:right w:val="nil"/>
          <w:between w:val="nil"/>
        </w:pBdr>
        <w:ind w:right="5"/>
        <w:rPr>
          <w:rFonts w:ascii="Calibri" w:eastAsia="Calibri" w:hAnsi="Calibri" w:cs="Calibri"/>
          <w:sz w:val="24"/>
          <w:szCs w:val="24"/>
        </w:rPr>
      </w:pPr>
    </w:p>
    <w:p w14:paraId="5396F4FF" w14:textId="77777777" w:rsidR="0020727F" w:rsidRPr="00920844" w:rsidRDefault="0020727F" w:rsidP="00920844">
      <w:pPr>
        <w:rPr>
          <w:rFonts w:eastAsia="Calibri"/>
          <w:lang w:val="en-US"/>
        </w:rPr>
      </w:pPr>
      <w:r w:rsidRPr="00920844">
        <w:rPr>
          <w:rFonts w:eastAsia="Calibri"/>
          <w:lang w:val="en-US"/>
        </w:rPr>
        <w:t>The emblematic RRF Reform for</w:t>
      </w:r>
      <w:r w:rsidRPr="00920844">
        <w:rPr>
          <w:rFonts w:eastAsia="Calibri"/>
          <w:b/>
          <w:lang w:val="en-US"/>
        </w:rPr>
        <w:t xml:space="preserve"> the Simplification of the business environment and its upgrading in quality and safety</w:t>
      </w:r>
      <w:r w:rsidRPr="00920844">
        <w:rPr>
          <w:rFonts w:eastAsia="Calibri"/>
          <w:lang w:val="en-US"/>
        </w:rPr>
        <w:t xml:space="preserve"> </w:t>
      </w:r>
      <w:r w:rsidRPr="00920844">
        <w:rPr>
          <w:rFonts w:eastAsia="Calibri"/>
          <w:b/>
          <w:lang w:val="en-US"/>
        </w:rPr>
        <w:t>(RRF 16543)</w:t>
      </w:r>
      <w:r w:rsidRPr="00920844">
        <w:rPr>
          <w:rFonts w:eastAsia="Calibri"/>
          <w:lang w:val="en-US"/>
        </w:rPr>
        <w:t xml:space="preserve"> aims to create an attractive business environment conducive to investment, to facilitate firm entry and job creation, and to ensure effective market surveillance. The reform comprises a set of actions to simplify procedures and requirements relating to business activity, while enhancing regulatory certainty and quality, namely by extending the simplification of investment licensing procedures to additional economic activities, reviewing the legislative framework for the operation of manufacturing activity in the </w:t>
      </w:r>
      <w:r w:rsidRPr="00920844">
        <w:rPr>
          <w:rFonts w:eastAsia="Calibri"/>
          <w:lang w:val="en-US"/>
        </w:rPr>
        <w:lastRenderedPageBreak/>
        <w:t>Attica region, and codifying fragmented licensing legislation. The reform also comprises actions to improve the market surveillance framework, namely by reviewing quality policy on standardisation, accreditation and conformity, strengthening market surveillance structures and responsible authorities, and extending the surveillance framework to new inspection areas. According to its content, the reform is highly associated with the CSR concerning the promotion of growth and the support of productive domestic investment, while it is in line with the EU common priority “social and economic resilience”. The implementation of the reform is expected to be completed by the end of 2026.</w:t>
      </w:r>
    </w:p>
    <w:p w14:paraId="6141CFD3" w14:textId="77777777" w:rsidR="0020727F" w:rsidRPr="00920844" w:rsidRDefault="0020727F" w:rsidP="00920844">
      <w:pPr>
        <w:rPr>
          <w:rFonts w:eastAsia="Calibri"/>
          <w:lang w:val="en-US"/>
        </w:rPr>
      </w:pPr>
      <w:r w:rsidRPr="00920844">
        <w:rPr>
          <w:rFonts w:eastAsia="Calibri"/>
          <w:lang w:val="en-US"/>
        </w:rPr>
        <w:t xml:space="preserve">The objective of the RRF Reform </w:t>
      </w:r>
      <w:r w:rsidRPr="00920844">
        <w:rPr>
          <w:rFonts w:eastAsia="Calibri"/>
          <w:b/>
          <w:lang w:val="en-US"/>
        </w:rPr>
        <w:t>“Amendment of the legal framework for the attraction of strategic investment (RRF 16593)”</w:t>
      </w:r>
      <w:r w:rsidRPr="00920844">
        <w:rPr>
          <w:rFonts w:eastAsia="Calibri"/>
          <w:lang w:val="en-US"/>
        </w:rPr>
        <w:t xml:space="preserve"> is to promote Greece as an attractive destination to potential investors. The reform unified and simplified the legal framework, with a focus on transparency, created a new category of strategic investments (emblematic investments of great importance) with additional incentives, simplified the licensing procedure, and included new fields of economic activity. The reform also focuses on the monitoring of strategic investments through an IT system and on funding of projects in the category of "emblematic investments of high importance". Investments eligible for financing include projects that promote innovation or technology diffusion, use of renewables and transition to low carbon economy, and/or that significantly promote the competitiveness of the Greek economy at international level. According to its content the above mentioned investment is highly associated with the CSRs concerning the promotion of private investments and balanced economic growth, as well as to the improvement of the effectiveness and digitalisation of the public administration. Moreover, it directly supports the EU’s common priorities, as it favors social and economic resilience. The project, including the information system for strategic investments, the investor information line and the selection/ implementation of some emblematic investments, is expected to be fully implemented by 2026.</w:t>
      </w:r>
    </w:p>
    <w:p w14:paraId="34CEAECA" w14:textId="77777777" w:rsidR="0020727F" w:rsidRPr="00920844" w:rsidRDefault="0020727F" w:rsidP="00920844">
      <w:pPr>
        <w:rPr>
          <w:rFonts w:eastAsia="Calibri"/>
          <w:b/>
          <w:lang w:val="en-US"/>
        </w:rPr>
      </w:pPr>
      <w:r w:rsidRPr="00920844">
        <w:rPr>
          <w:rFonts w:eastAsia="Calibri"/>
          <w:lang w:val="en-US"/>
        </w:rPr>
        <w:t>The RRF Reform “</w:t>
      </w:r>
      <w:r w:rsidRPr="00920844">
        <w:rPr>
          <w:rFonts w:eastAsia="Calibri"/>
          <w:b/>
          <w:lang w:val="en-US"/>
        </w:rPr>
        <w:t>Extroversion of the Research and Innovation Ecosystem of Greece</w:t>
      </w:r>
      <w:r w:rsidRPr="00920844">
        <w:rPr>
          <w:rFonts w:eastAsia="Calibri"/>
          <w:lang w:val="en-US"/>
        </w:rPr>
        <w:t xml:space="preserve"> </w:t>
      </w:r>
      <w:r w:rsidRPr="00920844">
        <w:rPr>
          <w:rFonts w:eastAsia="Calibri"/>
          <w:b/>
          <w:lang w:val="en-US"/>
        </w:rPr>
        <w:t>(RRF 16621)”</w:t>
      </w:r>
      <w:r w:rsidRPr="00920844">
        <w:rPr>
          <w:rFonts w:eastAsia="Calibri"/>
          <w:lang w:val="en-US"/>
        </w:rPr>
        <w:t xml:space="preserve"> comprises of the promotion and global publicity of the national start-up and innovation ecosystem, as well as software development, maintenance and upgrade-evaluation process support. These actions shall be implemented through ELEVATE Greece, which operates a digital portal that allows national start-ups to register and gain government accreditation as “start-ups” with the aim of promoting growth and research, therefore, the reform is highly associated to the CSRs concerning the promotion of growth and the support of productive domestic investment, as well as research and development, while it supports the EU common priorities, as it bolsters social and economic resilience. The implementation of the reform is expected to be completed by the end of 2026</w:t>
      </w:r>
      <w:r w:rsidRPr="00920844">
        <w:rPr>
          <w:rFonts w:eastAsia="Calibri"/>
          <w:b/>
          <w:lang w:val="en-US"/>
        </w:rPr>
        <w:t>.</w:t>
      </w:r>
    </w:p>
    <w:p w14:paraId="78144CC0" w14:textId="77777777" w:rsidR="0020727F" w:rsidRPr="00920844" w:rsidRDefault="0020727F" w:rsidP="00920844">
      <w:pPr>
        <w:rPr>
          <w:rFonts w:eastAsia="Calibri"/>
          <w:lang w:val="en-US"/>
        </w:rPr>
      </w:pPr>
      <w:r w:rsidRPr="00920844">
        <w:rPr>
          <w:rFonts w:eastAsia="Calibri"/>
          <w:lang w:val="en-US"/>
        </w:rPr>
        <w:t>The RRF Reform</w:t>
      </w:r>
      <w:r w:rsidRPr="00920844">
        <w:rPr>
          <w:rFonts w:eastAsia="Calibri"/>
          <w:b/>
          <w:lang w:val="en-US"/>
        </w:rPr>
        <w:t xml:space="preserve"> “combating illegal trade and protecting intellectual property (RRF 16703)”</w:t>
      </w:r>
      <w:r w:rsidRPr="00920844">
        <w:rPr>
          <w:rFonts w:eastAsia="Calibri"/>
          <w:lang w:val="en-US"/>
        </w:rPr>
        <w:t xml:space="preserve">, aims at strengthening the response against illegal trade by means of reinforcing the Interagency </w:t>
      </w:r>
      <w:r w:rsidRPr="00920844">
        <w:rPr>
          <w:rFonts w:eastAsia="Calibri"/>
          <w:lang w:val="en-US"/>
        </w:rPr>
        <w:lastRenderedPageBreak/>
        <w:t>Unit for Market Control (DIMEA) with staff training, appropriate IT systems and equipment, therefore it complies with the CSRs concerning the promotion of growth and the support of productive domestic investment, as well as the promotion of digital technologies, while it supports the EU common priorities, as it favors social and economic resilience. The implementation of the reform is expected to be completed by the end of 2026.</w:t>
      </w:r>
    </w:p>
    <w:p w14:paraId="3DD16BFE" w14:textId="77777777" w:rsidR="0020727F" w:rsidRPr="00920844" w:rsidRDefault="0020727F" w:rsidP="00920844">
      <w:pPr>
        <w:rPr>
          <w:rFonts w:eastAsia="Calibri"/>
          <w:lang w:val="en-US"/>
        </w:rPr>
      </w:pPr>
      <w:r w:rsidRPr="00920844">
        <w:rPr>
          <w:rFonts w:eastAsia="Calibri"/>
          <w:lang w:val="en-US"/>
        </w:rPr>
        <w:t>The RRF reform “</w:t>
      </w:r>
      <w:r w:rsidRPr="00920844">
        <w:rPr>
          <w:rFonts w:eastAsia="Calibri"/>
          <w:b/>
          <w:lang w:val="en-US"/>
        </w:rPr>
        <w:t>Professionalisation of the Public Procurement domain (RRF 16711)”</w:t>
      </w:r>
      <w:r w:rsidRPr="00920844">
        <w:rPr>
          <w:rFonts w:eastAsia="Calibri"/>
          <w:lang w:val="en-US"/>
        </w:rPr>
        <w:t xml:space="preserve"> aims to build up a top professional work force in the public procurement domain and consequently render this domain more efficient and reliable. The reform includes the new regulatory framework of Public Procurement (Law 4782/2021), which simplifies the process of public procurement and accelerates the efficiency of public investment, as well as the entry into force of secondary legislation to fully operationalise the new public procurement legal framework and actions to further simplify and improve the regulatory framework and to ensure the effective implementation and resilience of public procurement system. This shall be further supported by the provision of training and guidance for civil servants involved in public procurement, the adoption of certification procedures for these professionals, the creation of distinct professional work streams and adoption of an incentive package, qualifications/career path for such staff and the completion of an in-depth study on the reorganisation of structures and responsibilities of contracting authorities carrying out centralised procurement procedures. According to its content, the reform is highly associated with the CSRs concerning the efficiency and digitalisation of public administration while ensuring that it can attract the right skills. Furthermore, it is in line with the EU common priority “social and economic resilience”. The implementation of the reform is expected to be completed by the end of 2026.</w:t>
      </w:r>
    </w:p>
    <w:p w14:paraId="2628CE0F" w14:textId="52894549" w:rsidR="0020727F" w:rsidRPr="00920844" w:rsidRDefault="0020727F" w:rsidP="00920844">
      <w:pPr>
        <w:rPr>
          <w:rFonts w:eastAsia="Calibri"/>
          <w:lang w:val="en-US"/>
        </w:rPr>
      </w:pPr>
      <w:r w:rsidRPr="00920844">
        <w:rPr>
          <w:rFonts w:eastAsia="Calibri"/>
          <w:lang w:val="en-US"/>
        </w:rPr>
        <w:t>The reform</w:t>
      </w:r>
      <w:r w:rsidRPr="00920844">
        <w:rPr>
          <w:rFonts w:eastAsia="Calibri"/>
          <w:b/>
          <w:lang w:val="en-US"/>
        </w:rPr>
        <w:t xml:space="preserve"> “National Strategy for Public Procurement 2021 </w:t>
      </w:r>
      <w:r w:rsidR="005A0FAF">
        <w:rPr>
          <w:rFonts w:eastAsia="Calibri"/>
          <w:b/>
          <w:lang w:val="en-US"/>
        </w:rPr>
        <w:t>-</w:t>
      </w:r>
      <w:r w:rsidRPr="00920844">
        <w:rPr>
          <w:rFonts w:eastAsia="Calibri"/>
          <w:b/>
          <w:lang w:val="en-US"/>
        </w:rPr>
        <w:t xml:space="preserve"> 2025”</w:t>
      </w:r>
      <w:r w:rsidRPr="00920844">
        <w:rPr>
          <w:rFonts w:eastAsia="Calibri"/>
          <w:lang w:val="en-US"/>
        </w:rPr>
        <w:t xml:space="preserve"> aims to enhance the effectiveness, quality and transparency of the public procurement system. The National Strategy for Public Procurement 2021 – 2025, as revised and is in force, includes actions divided in 4 main axes: a) Empowering the regulatory environment for public procurement, b) further digitizing of public procurement procedures, c) pursuing strategic public procurement and enhancing the capacity of Central Purchasing Bodies and d) achieving professionalisation of the public procurement domain. According to its content, the reform is highly associated with the CSRs concerning the efficiency and digitalisation of public administration while ensuring that it can attract the right skills. In addition, it is in line with the EU common priority “social and economic resilience”.  The implementation of the reform is expected to be completed by the end of 2026.</w:t>
      </w:r>
    </w:p>
    <w:p w14:paraId="0675E6AD" w14:textId="77777777" w:rsidR="0020727F" w:rsidRPr="00920844" w:rsidRDefault="0020727F" w:rsidP="00920844">
      <w:pPr>
        <w:rPr>
          <w:rFonts w:eastAsia="Calibri"/>
          <w:lang w:val="en-US"/>
        </w:rPr>
      </w:pPr>
      <w:r w:rsidRPr="00920844">
        <w:rPr>
          <w:rFonts w:eastAsia="Calibri"/>
          <w:lang w:val="en-US"/>
        </w:rPr>
        <w:t>The reform “</w:t>
      </w:r>
      <w:r w:rsidRPr="00920844">
        <w:rPr>
          <w:rFonts w:eastAsia="Calibri"/>
          <w:b/>
          <w:lang w:val="en-US"/>
        </w:rPr>
        <w:t>National Strategy for Industry”</w:t>
      </w:r>
      <w:r w:rsidRPr="00920844">
        <w:rPr>
          <w:rFonts w:eastAsia="Calibri"/>
          <w:lang w:val="en-US"/>
        </w:rPr>
        <w:t xml:space="preserve"> aims to increase productivity and employment and promote private investments, while at the same time, is integrated into the wider framework of the European Industry Strategy and the implementation of the development plan of the European Green Deal. The Action Plan of the National Industrial Strategy (NIS) includes 43 interventions which are divided into four (4) categories depending on the type (funding </w:t>
      </w:r>
      <w:r w:rsidRPr="00920844">
        <w:rPr>
          <w:rFonts w:eastAsia="Calibri"/>
          <w:lang w:val="en-US"/>
        </w:rPr>
        <w:lastRenderedPageBreak/>
        <w:t>schemes, reforms, etc.) and the scope (collaborating agencies, intended changes, etc.) of each intervention. More specifically, the Action Plan includes: 4 Initiatives (large – scale interventions that require the cooperation of several parties and initiate significant changes in the domestic industry), 3 Flagship Projects (Investments or infrastucture projects with a significant effect in the industrial sector), 12 Programmes (financial support mainly to the SMEs) and 24 Actions (reforms and legislative initiatives that improve structures and services). According to its content, the reform is highly associated with the CSRs concerning the promotion of growth and the support of productive domestic investment, as well as green and digital transition, while it supports the EU common priorities, as it favors social and economic resilience. The implementation of the reform is expected to be completed by the end of 2030.</w:t>
      </w:r>
    </w:p>
    <w:p w14:paraId="741F2A6D" w14:textId="77777777" w:rsidR="0020727F" w:rsidRPr="00920844" w:rsidRDefault="0020727F" w:rsidP="00920844">
      <w:pPr>
        <w:rPr>
          <w:rFonts w:eastAsia="Calibri"/>
          <w:lang w:val="en-US"/>
        </w:rPr>
      </w:pPr>
      <w:r w:rsidRPr="00920844">
        <w:rPr>
          <w:rFonts w:eastAsia="Calibri"/>
          <w:lang w:val="en-US"/>
        </w:rPr>
        <w:t>The reform “</w:t>
      </w:r>
      <w:r w:rsidRPr="00920844">
        <w:rPr>
          <w:rFonts w:eastAsia="Calibri"/>
          <w:b/>
          <w:lang w:val="en-US"/>
        </w:rPr>
        <w:t>New round of reforms to facilitate entrepreneurship and simplify business regulation</w:t>
      </w:r>
      <w:r w:rsidRPr="00920844">
        <w:rPr>
          <w:rFonts w:eastAsia="Calibri"/>
          <w:lang w:val="en-US"/>
        </w:rPr>
        <w:t xml:space="preserve">” </w:t>
      </w:r>
      <w:r w:rsidRPr="00920844">
        <w:rPr>
          <w:rFonts w:eastAsia="Calibri"/>
          <w:b/>
          <w:i/>
          <w:iCs/>
          <w:lang w:val="en-US"/>
        </w:rPr>
        <w:t>(a new action compared to NRP submitted in Spring 2024)</w:t>
      </w:r>
      <w:r w:rsidRPr="00B67387">
        <w:rPr>
          <w:rFonts w:eastAsia="Calibri"/>
          <w:b/>
          <w:i/>
          <w:iCs/>
          <w:lang w:val="en-US"/>
        </w:rPr>
        <w:t xml:space="preserve"> </w:t>
      </w:r>
      <w:r w:rsidRPr="00920844">
        <w:rPr>
          <w:rFonts w:eastAsia="Calibri"/>
          <w:lang w:val="en-US"/>
        </w:rPr>
        <w:t>seeks to establish a new logic of continuous improvement of the business environment in Greece, via the systematic suppression of bureaucracy between businesses and public administration throughout the life cycle of businesses. To achieve this goal, an integrated and coherent mechanism will be created to monitor and simplify those processes that create administrative costs and adjustment costs for businesses during their contact with the public administration. The innovation of the reform is that it introduces, in a scientific way, the quantification of the bureaucracy and the prioritization of the legislative improvements required, in order to reduce in quantitative - tangible terms the administrative and adjustment costs of businesses, without limiting the scope of each legislative initiative. The reform has two axes of application: (a) With the first axis, the gradual reduction of the existing administrative costs and the costs of adaptation of businesses will be achieved, through the simplification of procedures foreseen - by legislative provisions - or the abolition of outdated provisions, in a measurable way. (b) With the second axis, an attempt is made to crush the bureaucracy before it is created. Central to this Axis is adherence to the “One in one out” Rule which ensures that “no legislation is enacted if it introduces more red tape than it removes”. According to its content, the reform is highly associated with the CSR concerning the promotion of growth and the support of productive domestic investment, while it is in line with the EU common priority “social and economic resilience”.</w:t>
      </w:r>
    </w:p>
    <w:p w14:paraId="6AAB7E8C" w14:textId="77777777" w:rsidR="0020727F" w:rsidRPr="00920844" w:rsidRDefault="0020727F" w:rsidP="00920844">
      <w:pPr>
        <w:rPr>
          <w:rFonts w:eastAsia="Calibri"/>
          <w:lang w:val="en-US"/>
        </w:rPr>
      </w:pPr>
      <w:r w:rsidRPr="00920844">
        <w:rPr>
          <w:rFonts w:eastAsia="Calibri"/>
          <w:lang w:val="en-US"/>
        </w:rPr>
        <w:t>The Government is planning the reform “</w:t>
      </w:r>
      <w:r w:rsidRPr="00920844">
        <w:rPr>
          <w:rFonts w:eastAsia="Calibri"/>
          <w:b/>
          <w:lang w:val="en-US"/>
        </w:rPr>
        <w:t>Golden Visa for financing start-ups</w:t>
      </w:r>
      <w:r w:rsidRPr="00920844">
        <w:rPr>
          <w:rFonts w:eastAsia="Calibri"/>
          <w:lang w:val="en-US"/>
        </w:rPr>
        <w:t xml:space="preserve">” </w:t>
      </w:r>
      <w:r w:rsidRPr="00920844">
        <w:rPr>
          <w:rFonts w:eastAsia="Calibri"/>
          <w:b/>
          <w:i/>
          <w:iCs/>
          <w:lang w:val="en-US"/>
        </w:rPr>
        <w:t>(a new action compared to NRP submitted in Spring 2024)</w:t>
      </w:r>
      <w:r w:rsidRPr="00B67387">
        <w:rPr>
          <w:rFonts w:eastAsia="Calibri"/>
          <w:b/>
          <w:i/>
          <w:iCs/>
          <w:lang w:val="en-US"/>
        </w:rPr>
        <w:t xml:space="preserve"> </w:t>
      </w:r>
      <w:r w:rsidRPr="00920844">
        <w:rPr>
          <w:rFonts w:eastAsia="Calibri"/>
          <w:lang w:val="en-US"/>
        </w:rPr>
        <w:t>with the aim to grant a "Golden Visa" for funds to be imported for the financing of startup companies, with at least 250,000 euros. The aim is to strengthen the country's business development footprint in cutting-edge technologies. The measure will support companies registered in the ELEVATE GREECE registry and thus, will empower the entrepreneurship and innovation ecosystem. According to its content, the reform is highly associated with the CSR concerning the promotion of growth and the support of productive domestic investment, as well as research and development, while it is in line with the EU common priority “social and economic resilience”.</w:t>
      </w:r>
    </w:p>
    <w:p w14:paraId="5022B0E0" w14:textId="77777777" w:rsidR="0020727F" w:rsidRPr="00920844" w:rsidRDefault="0020727F" w:rsidP="00920844">
      <w:pPr>
        <w:rPr>
          <w:rFonts w:eastAsia="Calibri"/>
          <w:lang w:val="en-US"/>
        </w:rPr>
      </w:pPr>
      <w:r w:rsidRPr="00920844">
        <w:rPr>
          <w:rFonts w:eastAsia="Calibri"/>
          <w:lang w:val="en-US"/>
        </w:rPr>
        <w:lastRenderedPageBreak/>
        <w:t xml:space="preserve">New legislation which is expected to be adopted by the end of 2025, is set to establish a </w:t>
      </w:r>
      <w:r w:rsidRPr="00920844">
        <w:rPr>
          <w:rFonts w:eastAsia="Calibri"/>
          <w:b/>
          <w:lang w:val="en-US"/>
        </w:rPr>
        <w:t>unified institutional framework for business transformations and innovation</w:t>
      </w:r>
      <w:r w:rsidRPr="00B67387">
        <w:rPr>
          <w:rFonts w:eastAsia="Calibri"/>
          <w:b/>
          <w:lang w:val="en-US"/>
        </w:rPr>
        <w:t xml:space="preserve"> </w:t>
      </w:r>
      <w:r w:rsidRPr="00920844">
        <w:rPr>
          <w:rFonts w:eastAsia="Calibri"/>
          <w:b/>
          <w:i/>
          <w:iCs/>
          <w:lang w:val="en-US"/>
        </w:rPr>
        <w:t>(a new action compared to NRP submitted in Spring 2024)</w:t>
      </w:r>
      <w:r w:rsidRPr="00920844">
        <w:rPr>
          <w:rFonts w:eastAsia="Calibri"/>
          <w:b/>
          <w:lang w:val="en-US"/>
        </w:rPr>
        <w:t xml:space="preserve">. </w:t>
      </w:r>
      <w:r w:rsidRPr="00920844">
        <w:rPr>
          <w:rFonts w:eastAsia="Calibri"/>
          <w:lang w:val="en-US"/>
        </w:rPr>
        <w:t>The new legislative framework, which will be compatible with the Union’s law, will be simplified to enhance legal certainty, while also making it more attractive to potential beneficiaries and to foreign investors. Regarding innovation, the new legislative framework aims to increase R&amp;D investment in the Greek economy relative to the European average, through a series of targeted measures. Key changes include increased tax incentives, building on the existing 200% deduction for research and technology expenses, with new measures potentially increasing deductions for specific cases such as collaborative projects with start-ups, collaborative projects with research institutions, and small and medium-sized enterprises with high knowledge intensity. In addition, the law aims to strengthen collaboration by promoting links between the labor market and the academic community, as well as by encouraging cooperation between group companies and start-ups. The framework will also expand incentives for the commercial exploitation of patents and expand tax incentives for angel investors who support startups. It also aims to rationalize and harmonize the tax regime for investment funds with European practices, thereby encouraging the creation of fully Greek-based investment schemes. According to its content, the reform is highly associated with the CSR concerning the promotion of growth and the support of productive domestic investment, as well as research and development, while it is in line with the EU common priority “social and economic resilience”.</w:t>
      </w:r>
    </w:p>
    <w:p w14:paraId="5DE8706B" w14:textId="77777777" w:rsidR="0020727F" w:rsidRPr="00920844" w:rsidRDefault="0020727F" w:rsidP="00920844">
      <w:pPr>
        <w:rPr>
          <w:rFonts w:eastAsia="Calibri"/>
          <w:lang w:val="en-US"/>
        </w:rPr>
      </w:pPr>
      <w:r w:rsidRPr="00920844">
        <w:rPr>
          <w:rFonts w:eastAsia="Calibri"/>
          <w:lang w:val="en-US"/>
        </w:rPr>
        <w:t>The RRF Investment “</w:t>
      </w:r>
      <w:r w:rsidRPr="00920844">
        <w:rPr>
          <w:rFonts w:eastAsia="Calibri"/>
          <w:b/>
          <w:lang w:val="en-US"/>
        </w:rPr>
        <w:t>Basic &amp; Applied Research (RRF 16618)”</w:t>
      </w:r>
      <w:r w:rsidRPr="00920844">
        <w:rPr>
          <w:rFonts w:eastAsia="Calibri"/>
          <w:lang w:val="en-US"/>
        </w:rPr>
        <w:t xml:space="preserve"> aims to create entities to support applied research in the long run, and promote a “deep-tech” innovation ecosystem through funding interdisciplinary R&amp;D activities with industry implications. The investment consists of seven sub-projects: (i) provision of horizontal financing for basic research; (ii) financial support to flagship research projects in interdisciplinary sectors with practical applications for the Greek economy; (iii) financial support to applied research for precision medicine; (iv) provision of funding for an unmanned systems research and development centre to support applied research on drones; (v) establishment of an applied R&amp;I institute on artificial intelligence, data processing and algorithm development; (vi) financial support for the delivery of market-translatable sustainable materials technologies; (vii) financial support for the participation in European partnerships, namely Euro-HPC (High Performance Computing) and Key Digital Technologies. Due to its content, the investment is highly associated with the CSRs concerning the promotion of growth and the support of productive domestic investment, as well as research and development, while it supports the EU common priorities, as it bolsters social and economic resilience. The implementation of the investment is expected to be completed by the end of 2026.</w:t>
      </w:r>
    </w:p>
    <w:p w14:paraId="392D9A0E" w14:textId="7C27C3E2" w:rsidR="0020727F" w:rsidRPr="00920844" w:rsidRDefault="0020727F" w:rsidP="00920844">
      <w:pPr>
        <w:rPr>
          <w:rFonts w:eastAsia="Calibri"/>
          <w:lang w:val="en-US"/>
        </w:rPr>
      </w:pPr>
      <w:r w:rsidRPr="00920844">
        <w:rPr>
          <w:rFonts w:eastAsia="Calibri"/>
          <w:lang w:val="en-US"/>
        </w:rPr>
        <w:t>The RRF Investment “</w:t>
      </w:r>
      <w:r w:rsidRPr="00920844">
        <w:rPr>
          <w:rFonts w:eastAsia="Calibri"/>
          <w:b/>
          <w:lang w:val="en-US"/>
        </w:rPr>
        <w:t xml:space="preserve">Creation - Expansion </w:t>
      </w:r>
      <w:r w:rsidR="004D34BC">
        <w:rPr>
          <w:rFonts w:eastAsia="Calibri"/>
          <w:b/>
          <w:lang w:val="en-US"/>
        </w:rPr>
        <w:t>-</w:t>
      </w:r>
      <w:r w:rsidRPr="00920844">
        <w:rPr>
          <w:rFonts w:eastAsia="Calibri"/>
          <w:b/>
          <w:lang w:val="en-US"/>
        </w:rPr>
        <w:t xml:space="preserve"> Upgrade of Infrastructures of Research Centers</w:t>
      </w:r>
      <w:r w:rsidRPr="00920844">
        <w:rPr>
          <w:rFonts w:eastAsia="Calibri"/>
          <w:lang w:val="en-US"/>
        </w:rPr>
        <w:t xml:space="preserve"> </w:t>
      </w:r>
      <w:r w:rsidRPr="00920844">
        <w:rPr>
          <w:rFonts w:eastAsia="Calibri"/>
          <w:b/>
          <w:lang w:val="en-US"/>
        </w:rPr>
        <w:t xml:space="preserve">supervised by the General Secretariat for Research and Innovation (GSRI) (RRF 16624)” </w:t>
      </w:r>
      <w:r w:rsidRPr="00920844">
        <w:rPr>
          <w:rFonts w:eastAsia="Calibri"/>
          <w:lang w:val="en-US"/>
        </w:rPr>
        <w:lastRenderedPageBreak/>
        <w:t>comprises an infrastructure upgrade of 11 research centres, in order to enhance their research capacity and capabilities in important scientific and technological areas. According to its content, the investment is highly associated with the CSRs concerning the promotion of growth and the support of productive domestic investment, as well as research and development, while it is in line with the EU common priority “social and economic resilience”. The implementation of the investment is expected to be completed by the end of 2026.</w:t>
      </w:r>
    </w:p>
    <w:p w14:paraId="257BD51E" w14:textId="77777777" w:rsidR="0020727F" w:rsidRPr="00920844" w:rsidRDefault="0020727F" w:rsidP="00920844">
      <w:pPr>
        <w:rPr>
          <w:rFonts w:eastAsia="Calibri"/>
          <w:lang w:val="en-US"/>
        </w:rPr>
      </w:pPr>
      <w:r w:rsidRPr="00920844">
        <w:rPr>
          <w:rFonts w:eastAsia="Calibri"/>
          <w:lang w:val="en-US"/>
        </w:rPr>
        <w:t>The RRF Investment “</w:t>
      </w:r>
      <w:r w:rsidRPr="00920844">
        <w:rPr>
          <w:rFonts w:eastAsia="Calibri"/>
          <w:b/>
          <w:lang w:val="en-US"/>
        </w:rPr>
        <w:t>New Industrial Parks (RRF 16634)”</w:t>
      </w:r>
      <w:r w:rsidRPr="00920844">
        <w:rPr>
          <w:rFonts w:eastAsia="Calibri"/>
          <w:lang w:val="en-US"/>
        </w:rPr>
        <w:t xml:space="preserve"> aims at transforming zones of high industrial activity into industrial parks and the expansion, upgrade, modernisation of existing industrial parks, for them to adapt to the needs of Industry 4.0, sustainable development and challenges such as the climate change and the occurring energy crisis. The investment comprises the provision of financial assistance for a) the establishment of new, next-generation industrial parks, b) expansion of the existing ones, with a view to increasing their readiness for transition to 5G and ultra-high bandwidth network infrastructure and use of renewable energy sources, smart energy management and energy saving interventions, and circular economy infrastructure, and c) the transformation of areas with high industrial concentration to green and digitalised industrial parks. The measure also includes a reform of the regulatory framework for industrial parks, including addressing legal uncertainties, resolving governance issues and providing effective incentives for the resolution of informal industrial concentrations. Due to its content the investment is highly associated with the CSRs concerning the promotion of growth and the support of productive domestic investment, as well as deployment of renewable energy and strengthening of environmental infrastructure, while it supports the EU common priorities, as it favors fair green &amp; digital transition. The implementation of the investment is expected to be completed by the end of 2026.</w:t>
      </w:r>
    </w:p>
    <w:p w14:paraId="1AABA50F" w14:textId="77777777" w:rsidR="0020727F" w:rsidRPr="00920844" w:rsidRDefault="0020727F" w:rsidP="00920844">
      <w:pPr>
        <w:rPr>
          <w:rFonts w:eastAsia="Calibri"/>
          <w:lang w:val="en-US"/>
        </w:rPr>
      </w:pPr>
      <w:r w:rsidRPr="00920844">
        <w:rPr>
          <w:rFonts w:eastAsia="Calibri"/>
          <w:lang w:val="en-US"/>
        </w:rPr>
        <w:t>The RRF investment “</w:t>
      </w:r>
      <w:r w:rsidRPr="00920844">
        <w:rPr>
          <w:rFonts w:eastAsia="Calibri"/>
          <w:b/>
          <w:lang w:val="en-US"/>
        </w:rPr>
        <w:t xml:space="preserve">TH2ORAX: Trellis Holistic &amp; Hybrid Operational Ruggedized Autonomous Exemplary system (RRF 16654)” </w:t>
      </w:r>
      <w:r w:rsidRPr="00920844">
        <w:rPr>
          <w:rFonts w:eastAsia="Calibri"/>
          <w:lang w:val="en-US"/>
        </w:rPr>
        <w:t>comprises the development of a “next generation” information system, which is expected to combine different types and forms of collaborative infrastructures to enhance institutions’ decision-making in real time. The system shall be composed of state-of-the-art technologies, such as artificial intelligence, and shall be designed to meet the needs of a diverse range of end users on a long-term basis. It is expected to contribute to border management, fight against crime and terrorism, cybersecurity, critical infrastructure protection and resilience, search and rescue and disaster resilience, therefore it is highly associated to the CSRs concerning the digitalisation of the public administration, as well as research and development, while it supports the EU common priorities, as it bolsters defense capabilities along with social and economic resilience. The implementation of the investment is expected to be completed by the end of 2026.</w:t>
      </w:r>
    </w:p>
    <w:p w14:paraId="45E7FD07" w14:textId="77777777" w:rsidR="0020727F" w:rsidRPr="00920844" w:rsidRDefault="0020727F" w:rsidP="00920844">
      <w:pPr>
        <w:rPr>
          <w:rFonts w:eastAsia="Calibri"/>
          <w:lang w:val="en-US"/>
        </w:rPr>
      </w:pPr>
      <w:r w:rsidRPr="00920844">
        <w:rPr>
          <w:rFonts w:eastAsia="Calibri"/>
          <w:lang w:val="en-US"/>
        </w:rPr>
        <w:t>The RRF Investment</w:t>
      </w:r>
      <w:r w:rsidRPr="00920844">
        <w:rPr>
          <w:rFonts w:eastAsia="Calibri"/>
          <w:b/>
          <w:lang w:val="en-US"/>
        </w:rPr>
        <w:t xml:space="preserve"> “Acceleration of smart manufacturing (RRF 16721)”</w:t>
      </w:r>
      <w:r w:rsidRPr="00920844">
        <w:rPr>
          <w:rFonts w:eastAsia="Calibri"/>
          <w:lang w:val="en-US"/>
        </w:rPr>
        <w:t xml:space="preserve"> aims to financially support very small, small, and medium manufacturing enterprises of the Greek industrial </w:t>
      </w:r>
      <w:r w:rsidRPr="00920844">
        <w:rPr>
          <w:rFonts w:eastAsia="Calibri"/>
          <w:lang w:val="en-US"/>
        </w:rPr>
        <w:lastRenderedPageBreak/>
        <w:t>ecosystem, for adapting to the needs of the digital, and green, transition in order to increase business competitiveness through the enhancement of technological/digital infrastructure and the upgrade of manufacturing equipment. The investment comprises financial support for small and medium-sized enterprises in the industrial sector to upgrade their manufacturing equipment and infrastructure with state-of-the-art smart technologies with a low environmental impact. The measure shall also support industrial schemes and clusters of enterprises in important industrial value chains that promote the competitiveness of the Greek industry and its transition to Industry 4.0. Due to its content, the investment is highly associated with the CSRs concerning the promotion of growth and the support of productive domestic investment, as well as the digital transformation of businesses, while it is in line with the EU common priority “fair green &amp; digital transition”. The implementation of the investment is expected to be completed by the end of 2026.</w:t>
      </w:r>
    </w:p>
    <w:p w14:paraId="6FE2C171" w14:textId="77777777" w:rsidR="0020727F" w:rsidRPr="00920844" w:rsidRDefault="0020727F" w:rsidP="00920844">
      <w:pPr>
        <w:rPr>
          <w:rFonts w:eastAsia="Calibri"/>
          <w:lang w:val="en-US"/>
        </w:rPr>
      </w:pPr>
      <w:r w:rsidRPr="00920844">
        <w:rPr>
          <w:rFonts w:eastAsia="Calibri"/>
          <w:lang w:val="en-US"/>
        </w:rPr>
        <w:t>The RRF Investment “</w:t>
      </w:r>
      <w:r w:rsidRPr="00920844">
        <w:rPr>
          <w:rFonts w:eastAsia="Calibri"/>
          <w:b/>
          <w:lang w:val="en-US"/>
        </w:rPr>
        <w:t>Research - Create - Innovate (RRF 16971)”</w:t>
      </w:r>
      <w:r w:rsidRPr="00920844">
        <w:rPr>
          <w:rFonts w:eastAsia="Calibri"/>
          <w:lang w:val="en-US"/>
        </w:rPr>
        <w:t xml:space="preserve"> aims to fund 36 project proposals that are evaluated with a very high score in the “excellence” criterion in smart specialisation (RIS3) sectors, but were not financed under previous EU financial instruments due to budgetary constraints. The main objective of "Research-Create-Innovate" is to link research and innovation with entrepreneurship and to enhance the competitiveness, productivity and extroversion of companies in international markets. All the above will subsequently contribute to the transition to high quality and innovative entrepreneurship and to the increase of domestic added value. Due to its content, the investment is highly associated with the CSRs concerning the promotion of growth and the support of productive domestic investment, as well as digital transformation of businesses and environmental protection, while it is in line with the EU common priority “social and economic resilience”. The implementation of the investment is expected to be completed by the end of 2026.</w:t>
      </w:r>
    </w:p>
    <w:p w14:paraId="69240C53" w14:textId="77777777" w:rsidR="0020727F" w:rsidRPr="00920844" w:rsidRDefault="0020727F" w:rsidP="00920844">
      <w:pPr>
        <w:rPr>
          <w:rFonts w:eastAsia="Calibri"/>
          <w:lang w:val="en-US"/>
        </w:rPr>
      </w:pPr>
      <w:r w:rsidRPr="00920844">
        <w:rPr>
          <w:rFonts w:eastAsia="Calibri"/>
          <w:lang w:val="en-US"/>
        </w:rPr>
        <w:t xml:space="preserve">The RRF Investment </w:t>
      </w:r>
      <w:r w:rsidRPr="00920844">
        <w:rPr>
          <w:rFonts w:eastAsia="Calibri"/>
          <w:b/>
          <w:lang w:val="en-US"/>
        </w:rPr>
        <w:t>HORIZON 2020 “Seal of Excellence”: financing top innovative companies (RRF 16622)</w:t>
      </w:r>
      <w:r w:rsidRPr="00920844">
        <w:rPr>
          <w:rFonts w:eastAsia="Calibri"/>
          <w:lang w:val="en-US"/>
        </w:rPr>
        <w:t xml:space="preserve"> concerns 13 project proposals by small and medium-sized enterprises that have received the HORIZON 2020 “Seal of Excellence” quality label and are eligible for a grant, but not financed under HORIZON 2020 due to budgetary constraints. The investment shall support these proposals, adding to private funding by the beneficiaries. The connection between R&amp;I and entrepreneurship is expected to strengthen qualitative and innovative entrepreneurship by increasing domestic added value in the productive sector. According to its content, the investment is highly associated with the CSRs concerning the promotion of growth and the support of productive domestic investment, as well as digital transformation of businesses and environmental protection, while it is in line with the EU common priority “social and economic resilience”. The implementation of the investment is expected to be completed by the end of 2026.</w:t>
      </w:r>
    </w:p>
    <w:p w14:paraId="26F9CB28" w14:textId="77777777" w:rsidR="0020727F" w:rsidRPr="00920844" w:rsidRDefault="0020727F" w:rsidP="00920844">
      <w:pPr>
        <w:rPr>
          <w:rFonts w:eastAsia="Calibri"/>
          <w:b/>
          <w:lang w:val="en-US"/>
        </w:rPr>
      </w:pPr>
      <w:r w:rsidRPr="00920844">
        <w:rPr>
          <w:rFonts w:eastAsia="Calibri"/>
          <w:lang w:val="en-US"/>
        </w:rPr>
        <w:lastRenderedPageBreak/>
        <w:t xml:space="preserve">The investment </w:t>
      </w:r>
      <w:r w:rsidRPr="00920844">
        <w:rPr>
          <w:rFonts w:eastAsia="Calibri"/>
          <w:b/>
          <w:lang w:val="en-US"/>
        </w:rPr>
        <w:t>“Research - Innovate”</w:t>
      </w:r>
      <w:r w:rsidRPr="00920844">
        <w:rPr>
          <w:rFonts w:eastAsia="Calibri"/>
          <w:lang w:val="en-US"/>
        </w:rPr>
        <w:t xml:space="preserve"> includes the financial support of research and innovation investments with the aim to address effectively the challenges related to low investment in R&amp;D, therefore it is highly associated to the CSRs concerning the promotion of growth and the support of productive domestic investment, as well as research and development, while it supports the EU common priorities, as it favors social and economic resilience. The implementation of the investment is expected to be completed by the end of 2027. </w:t>
      </w:r>
      <w:r w:rsidRPr="00920844">
        <w:rPr>
          <w:rFonts w:eastAsia="Calibri"/>
          <w:b/>
          <w:lang w:val="en-US"/>
        </w:rPr>
        <w:t xml:space="preserve"> </w:t>
      </w:r>
    </w:p>
    <w:p w14:paraId="57F392CC" w14:textId="77777777" w:rsidR="0020727F" w:rsidRPr="00920844" w:rsidRDefault="0020727F" w:rsidP="00920844">
      <w:pPr>
        <w:rPr>
          <w:rFonts w:eastAsia="Calibri"/>
          <w:lang w:val="en-US"/>
        </w:rPr>
      </w:pPr>
      <w:r w:rsidRPr="00920844">
        <w:rPr>
          <w:rFonts w:eastAsia="Calibri"/>
          <w:lang w:val="en-US"/>
        </w:rPr>
        <w:t>The investment</w:t>
      </w:r>
      <w:r w:rsidRPr="00920844">
        <w:rPr>
          <w:rFonts w:eastAsia="Calibri"/>
          <w:b/>
          <w:lang w:val="en-US"/>
        </w:rPr>
        <w:t xml:space="preserve"> Revision of the National Research Infrastructure Roadmap for the 2021-2027 Programming Period </w:t>
      </w:r>
      <w:r w:rsidRPr="00920844">
        <w:rPr>
          <w:rFonts w:eastAsia="Calibri"/>
          <w:lang w:val="en-US"/>
        </w:rPr>
        <w:t>aims to increase the national and international competitiveness and visibility of the National Research Infrastructures through the reshaping of the National Research Infrastructure Roadmap in accordance with the directions of the National Strategic Research, Technological Development and Innovation 2021-27 and the National Smart Specialization Strategy 2021-27. The investment is implemented through a call for expression of interest towards research entities, while eligible actions include: a) the provision of access to facilities and equipment for the implementation of high quality research projects for academia/research and business, b) the development of collaborative research projects and c) the networking at national and European/international level. According to its content, the investment addresses the CSRs concerning the promotion of growth and the support of productive domestic investment, as well as research and development and environmental protection, while it supports the EU common priorities, as it favors social and economic resilience. The implementation of the investment is expected to be completed by the end of 2027.</w:t>
      </w:r>
    </w:p>
    <w:p w14:paraId="36539113" w14:textId="77777777" w:rsidR="0020727F" w:rsidRPr="00920844" w:rsidRDefault="0020727F" w:rsidP="00920844">
      <w:pPr>
        <w:rPr>
          <w:rFonts w:eastAsia="Calibri"/>
          <w:lang w:val="en-US"/>
        </w:rPr>
      </w:pPr>
      <w:r w:rsidRPr="00920844">
        <w:rPr>
          <w:rFonts w:eastAsia="Calibri"/>
          <w:b/>
          <w:lang w:val="en-US"/>
        </w:rPr>
        <w:t xml:space="preserve">The implementation of the institutional framework for private investment </w:t>
      </w:r>
      <w:r w:rsidRPr="00920844">
        <w:rPr>
          <w:rFonts w:eastAsia="Calibri"/>
          <w:lang w:val="en-US"/>
        </w:rPr>
        <w:t>aims to stimulate private sector growth through the implementation of state aid schemes. The new Development Law 4887/2022 introduces specific thematic state aid schemes to promote private investments across various sectors, with a focus on digital transformation, green transition, and regional development. Key sectors include tourism, manufacturing, agri-food, new entrepreneurship etc. According to its content the above mentioned investment is highly associated with the CSRs concerning the promotion of private investments and also supports the EU’s common priorities, as it bolsters social and economic resilience. The implementation is ongoing with the tender of new state aid schemes every year.</w:t>
      </w:r>
      <w:r w:rsidRPr="00920844">
        <w:rPr>
          <w:rFonts w:eastAsia="Calibri"/>
          <w:lang w:val="en-US"/>
        </w:rPr>
        <w:tab/>
      </w:r>
    </w:p>
    <w:p w14:paraId="3EF14E22" w14:textId="77777777" w:rsidR="0020727F" w:rsidRPr="00920844" w:rsidRDefault="0020727F" w:rsidP="00920844">
      <w:pPr>
        <w:rPr>
          <w:rFonts w:eastAsia="Calibri"/>
          <w:lang w:val="en-US"/>
        </w:rPr>
      </w:pPr>
      <w:r w:rsidRPr="00920844">
        <w:rPr>
          <w:rFonts w:eastAsia="Calibri"/>
          <w:b/>
          <w:lang w:val="en-US"/>
        </w:rPr>
        <w:t>The implementation of the</w:t>
      </w:r>
      <w:r w:rsidRPr="00920844">
        <w:rPr>
          <w:rFonts w:eastAsia="Calibri"/>
          <w:lang w:val="en-US"/>
        </w:rPr>
        <w:t xml:space="preserve"> </w:t>
      </w:r>
      <w:r w:rsidRPr="00920844">
        <w:rPr>
          <w:rFonts w:eastAsia="Calibri"/>
          <w:b/>
          <w:lang w:val="en-US"/>
        </w:rPr>
        <w:t>institutional framework for strategic investments</w:t>
      </w:r>
      <w:r w:rsidRPr="00920844">
        <w:rPr>
          <w:rFonts w:eastAsia="Calibri"/>
          <w:lang w:val="en-US"/>
        </w:rPr>
        <w:t xml:space="preserve"> aims to streamline the approval and licensing of key projects that boost the national economy. Several notable strategic investments are underway, while others are awaiting approval. Divided into categories based on budget and impact, strategic investments focus on sectors such as agri-food, tourism, green economy and digital transformation. Incentives include tax breaks, accelerated depreciation, residence permits for executives and fast-track licensing. Additional subsidies are offered for employment, research and investment in delignification zones, with higher rates for emblematic projects. According to its content the above mentioned investment is highly </w:t>
      </w:r>
      <w:r w:rsidRPr="00920844">
        <w:rPr>
          <w:rFonts w:eastAsia="Calibri"/>
          <w:lang w:val="en-US"/>
        </w:rPr>
        <w:lastRenderedPageBreak/>
        <w:t>associated with the CSRs concerning the promotion of private investments and also supports the EU’s common priorities, as it favors social and economic resilience. The implementation is ongoing with the approval of new strategic investments every year.</w:t>
      </w:r>
    </w:p>
    <w:p w14:paraId="185CFA5B" w14:textId="77777777" w:rsidR="0020727F" w:rsidRPr="00920844" w:rsidRDefault="0020727F" w:rsidP="00987A40">
      <w:pPr>
        <w:pBdr>
          <w:top w:val="nil"/>
          <w:left w:val="nil"/>
          <w:bottom w:val="nil"/>
          <w:right w:val="nil"/>
          <w:between w:val="nil"/>
        </w:pBdr>
        <w:ind w:right="5"/>
        <w:rPr>
          <w:rFonts w:ascii="Calibri" w:eastAsia="Calibri" w:hAnsi="Calibri" w:cs="Calibri"/>
          <w:sz w:val="24"/>
          <w:szCs w:val="24"/>
          <w:lang w:val="en-US"/>
        </w:rPr>
      </w:pPr>
    </w:p>
    <w:p w14:paraId="5AD295CC" w14:textId="6DD49478" w:rsidR="00987A40" w:rsidRPr="000D4DE6" w:rsidRDefault="00075000" w:rsidP="00C33755">
      <w:pPr>
        <w:pStyle w:val="Heading2"/>
        <w:pBdr>
          <w:bottom w:val="single" w:sz="18" w:space="1" w:color="FF3300"/>
        </w:pBdr>
        <w:rPr>
          <w:lang w:val="en-US"/>
        </w:rPr>
      </w:pPr>
      <w:bookmarkStart w:id="79" w:name="_4q5cgyavvwuo" w:colFirst="0" w:colLast="0"/>
      <w:bookmarkStart w:id="80" w:name="_vzd0xvno4r1b" w:colFirst="0" w:colLast="0"/>
      <w:bookmarkStart w:id="81" w:name="_ie1ng675ctis" w:colFirst="0" w:colLast="0"/>
      <w:bookmarkStart w:id="82" w:name="_2exq95qo94eu" w:colFirst="0" w:colLast="0"/>
      <w:bookmarkStart w:id="83" w:name="_2yq9bi9m8e2r" w:colFirst="0" w:colLast="0"/>
      <w:bookmarkStart w:id="84" w:name="_mkr3luk54geb" w:colFirst="0" w:colLast="0"/>
      <w:bookmarkStart w:id="85" w:name="_6r6z09t7xo8z" w:colFirst="0" w:colLast="0"/>
      <w:bookmarkStart w:id="86" w:name="_p0cinn92kqvs" w:colFirst="0" w:colLast="0"/>
      <w:bookmarkStart w:id="87" w:name="_bc30fxuhkq0m" w:colFirst="0" w:colLast="0"/>
      <w:bookmarkStart w:id="88" w:name="_t0qsk96loyk1" w:colFirst="0" w:colLast="0"/>
      <w:bookmarkStart w:id="89" w:name="_3ax4hqj87l79" w:colFirst="0" w:colLast="0"/>
      <w:bookmarkStart w:id="90" w:name="_9t8hvvajsbil" w:colFirst="0" w:colLast="0"/>
      <w:bookmarkStart w:id="91" w:name="_2oqn5h6jaty1" w:colFirst="0" w:colLast="0"/>
      <w:bookmarkStart w:id="92" w:name="_lqje1kxstdll" w:colFirst="0" w:colLast="0"/>
      <w:bookmarkStart w:id="93" w:name="_5vki47fluli9" w:colFirst="0" w:colLast="0"/>
      <w:bookmarkStart w:id="94" w:name="_ukrh2t7gwr2t" w:colFirst="0" w:colLast="0"/>
      <w:bookmarkStart w:id="95" w:name="_yxa0m339cdwv" w:colFirst="0" w:colLast="0"/>
      <w:bookmarkStart w:id="96" w:name="_wyt3j6nnt0ee" w:colFirst="0" w:colLast="0"/>
      <w:bookmarkStart w:id="97" w:name="_Toc177496809"/>
      <w:bookmarkStart w:id="98" w:name="_Toc17807011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lang w:val="en-US"/>
        </w:rPr>
        <w:t>M</w:t>
      </w:r>
      <w:r w:rsidRPr="000D4DE6">
        <w:rPr>
          <w:lang w:val="en-US"/>
        </w:rPr>
        <w:t xml:space="preserve">inistry of </w:t>
      </w:r>
      <w:r>
        <w:rPr>
          <w:lang w:val="en-US"/>
        </w:rPr>
        <w:t>L</w:t>
      </w:r>
      <w:r w:rsidRPr="000D4DE6">
        <w:rPr>
          <w:lang w:val="en-US"/>
        </w:rPr>
        <w:t xml:space="preserve">abour and </w:t>
      </w:r>
      <w:r>
        <w:rPr>
          <w:lang w:val="en-US"/>
        </w:rPr>
        <w:t>S</w:t>
      </w:r>
      <w:r w:rsidRPr="000D4DE6">
        <w:rPr>
          <w:lang w:val="en-US"/>
        </w:rPr>
        <w:t xml:space="preserve">ocial </w:t>
      </w:r>
      <w:bookmarkEnd w:id="97"/>
      <w:r>
        <w:rPr>
          <w:lang w:val="en-US"/>
        </w:rPr>
        <w:t>S</w:t>
      </w:r>
      <w:r w:rsidRPr="000D4DE6">
        <w:rPr>
          <w:lang w:val="en-US"/>
        </w:rPr>
        <w:t>ecurity</w:t>
      </w:r>
      <w:bookmarkEnd w:id="98"/>
    </w:p>
    <w:p w14:paraId="5E91822A" w14:textId="1C737554" w:rsidR="00B9461D" w:rsidRPr="00920844" w:rsidRDefault="00B9461D" w:rsidP="008A627E">
      <w:pPr>
        <w:rPr>
          <w:rFonts w:eastAsia="Calibri"/>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926"/>
        <w:gridCol w:w="1285"/>
        <w:gridCol w:w="1531"/>
        <w:gridCol w:w="2330"/>
      </w:tblGrid>
      <w:tr w:rsidR="0020727F" w:rsidRPr="00EE72AB" w14:paraId="5A17CD16" w14:textId="77777777" w:rsidTr="00EE72AB">
        <w:trPr>
          <w:trHeight w:val="113"/>
          <w:jc w:val="center"/>
        </w:trPr>
        <w:tc>
          <w:tcPr>
            <w:tcW w:w="4050" w:type="dxa"/>
            <w:shd w:val="clear" w:color="auto" w:fill="CFE2F3"/>
            <w:tcMar>
              <w:top w:w="0" w:type="dxa"/>
              <w:left w:w="100" w:type="dxa"/>
              <w:bottom w:w="0" w:type="dxa"/>
              <w:right w:w="100" w:type="dxa"/>
            </w:tcMar>
          </w:tcPr>
          <w:p w14:paraId="1323853E" w14:textId="77777777" w:rsidR="0020727F" w:rsidRPr="00EE72AB" w:rsidRDefault="0020727F" w:rsidP="00EE72AB">
            <w:pPr>
              <w:pStyle w:val="Tabletext"/>
              <w:rPr>
                <w:rFonts w:eastAsia="Calibri"/>
                <w:b/>
              </w:rPr>
            </w:pPr>
            <w:r w:rsidRPr="00EE72AB">
              <w:rPr>
                <w:rFonts w:eastAsia="Calibri"/>
                <w:b/>
              </w:rPr>
              <w:t>REFORM / INVESTMENT</w:t>
            </w:r>
          </w:p>
        </w:tc>
        <w:tc>
          <w:tcPr>
            <w:tcW w:w="1320" w:type="dxa"/>
            <w:shd w:val="clear" w:color="auto" w:fill="CFE2F3"/>
            <w:tcMar>
              <w:top w:w="0" w:type="dxa"/>
              <w:left w:w="100" w:type="dxa"/>
              <w:bottom w:w="0" w:type="dxa"/>
              <w:right w:w="100" w:type="dxa"/>
            </w:tcMar>
          </w:tcPr>
          <w:p w14:paraId="54BB5165" w14:textId="77777777" w:rsidR="0020727F" w:rsidRPr="00EE72AB" w:rsidRDefault="0020727F" w:rsidP="00EE72AB">
            <w:pPr>
              <w:pStyle w:val="Tabletext"/>
              <w:rPr>
                <w:rFonts w:eastAsia="Calibri"/>
                <w:b/>
              </w:rPr>
            </w:pPr>
            <w:r w:rsidRPr="00EE72AB">
              <w:rPr>
                <w:rFonts w:eastAsia="Calibri"/>
                <w:b/>
              </w:rPr>
              <w:t>RRF/ΜFF</w:t>
            </w:r>
          </w:p>
        </w:tc>
        <w:tc>
          <w:tcPr>
            <w:tcW w:w="1575" w:type="dxa"/>
            <w:shd w:val="clear" w:color="auto" w:fill="CFE2F3"/>
            <w:tcMar>
              <w:top w:w="0" w:type="dxa"/>
              <w:left w:w="100" w:type="dxa"/>
              <w:bottom w:w="0" w:type="dxa"/>
              <w:right w:w="100" w:type="dxa"/>
            </w:tcMar>
          </w:tcPr>
          <w:p w14:paraId="312E8089" w14:textId="77777777" w:rsidR="0020727F" w:rsidRPr="00EE72AB" w:rsidRDefault="0020727F" w:rsidP="00EE72AB">
            <w:pPr>
              <w:pStyle w:val="Tabletext"/>
              <w:rPr>
                <w:rFonts w:eastAsia="Calibri"/>
                <w:b/>
              </w:rPr>
            </w:pPr>
            <w:r w:rsidRPr="00EE72AB">
              <w:rPr>
                <w:rFonts w:eastAsia="Calibri"/>
                <w:b/>
              </w:rPr>
              <w:t>CSR</w:t>
            </w:r>
          </w:p>
        </w:tc>
        <w:tc>
          <w:tcPr>
            <w:tcW w:w="2400" w:type="dxa"/>
            <w:shd w:val="clear" w:color="auto" w:fill="CFE2F3"/>
            <w:tcMar>
              <w:top w:w="0" w:type="dxa"/>
              <w:left w:w="100" w:type="dxa"/>
              <w:bottom w:w="0" w:type="dxa"/>
              <w:right w:w="100" w:type="dxa"/>
            </w:tcMar>
          </w:tcPr>
          <w:p w14:paraId="6005D060" w14:textId="77777777" w:rsidR="0020727F" w:rsidRPr="00EE72AB" w:rsidRDefault="0020727F" w:rsidP="00EE72AB">
            <w:pPr>
              <w:pStyle w:val="Tabletext"/>
              <w:rPr>
                <w:rFonts w:eastAsia="Calibri"/>
                <w:b/>
              </w:rPr>
            </w:pPr>
            <w:r w:rsidRPr="00EE72AB">
              <w:rPr>
                <w:rFonts w:eastAsia="Calibri"/>
                <w:b/>
              </w:rPr>
              <w:t>COMMON PRIORITIES</w:t>
            </w:r>
          </w:p>
        </w:tc>
      </w:tr>
      <w:tr w:rsidR="0020727F" w:rsidRPr="00EE72AB" w14:paraId="451C2CF4" w14:textId="77777777" w:rsidTr="00EE72AB">
        <w:trPr>
          <w:trHeight w:val="113"/>
          <w:jc w:val="center"/>
        </w:trPr>
        <w:tc>
          <w:tcPr>
            <w:tcW w:w="4050" w:type="dxa"/>
            <w:tcMar>
              <w:top w:w="0" w:type="dxa"/>
              <w:left w:w="40" w:type="dxa"/>
              <w:bottom w:w="0" w:type="dxa"/>
              <w:right w:w="40" w:type="dxa"/>
            </w:tcMar>
          </w:tcPr>
          <w:p w14:paraId="5E23B981" w14:textId="467A5399" w:rsidR="0020727F" w:rsidRPr="00EE72AB" w:rsidRDefault="00BA03C0" w:rsidP="00EE72AB">
            <w:pPr>
              <w:pStyle w:val="Tabletext"/>
              <w:rPr>
                <w:rFonts w:eastAsia="Calibri"/>
              </w:rPr>
            </w:pPr>
            <w:r w:rsidRPr="00BA03C0">
              <w:rPr>
                <w:rFonts w:eastAsia="Calibri"/>
                <w:b/>
              </w:rPr>
              <w:t>REFORM 1:</w:t>
            </w:r>
            <w:r w:rsidR="0020727F" w:rsidRPr="00EE72AB">
              <w:rPr>
                <w:rFonts w:eastAsia="Calibri"/>
              </w:rPr>
              <w:t xml:space="preserve"> Active Labour Market Policies</w:t>
            </w:r>
          </w:p>
        </w:tc>
        <w:tc>
          <w:tcPr>
            <w:tcW w:w="1320" w:type="dxa"/>
            <w:tcMar>
              <w:top w:w="0" w:type="dxa"/>
              <w:left w:w="40" w:type="dxa"/>
              <w:bottom w:w="0" w:type="dxa"/>
              <w:right w:w="40" w:type="dxa"/>
            </w:tcMar>
          </w:tcPr>
          <w:p w14:paraId="1B907503" w14:textId="77777777" w:rsidR="0020727F" w:rsidRPr="00EE72AB" w:rsidRDefault="0020727F" w:rsidP="00EE72AB">
            <w:pPr>
              <w:pStyle w:val="Tabletext"/>
              <w:rPr>
                <w:rFonts w:eastAsia="Calibri"/>
              </w:rPr>
            </w:pPr>
            <w:r w:rsidRPr="00EE72AB">
              <w:rPr>
                <w:rFonts w:eastAsia="Calibri"/>
              </w:rPr>
              <w:t>RRF 16747</w:t>
            </w:r>
          </w:p>
        </w:tc>
        <w:tc>
          <w:tcPr>
            <w:tcW w:w="1575" w:type="dxa"/>
            <w:tcMar>
              <w:top w:w="0" w:type="dxa"/>
              <w:left w:w="40" w:type="dxa"/>
              <w:bottom w:w="0" w:type="dxa"/>
              <w:right w:w="40" w:type="dxa"/>
            </w:tcMar>
          </w:tcPr>
          <w:p w14:paraId="0FE5C431" w14:textId="0BE5FEB0" w:rsidR="0020727F" w:rsidRPr="00EE72AB" w:rsidRDefault="0020727F" w:rsidP="00EE72AB">
            <w:pPr>
              <w:pStyle w:val="Tabletext"/>
              <w:rPr>
                <w:rFonts w:eastAsia="Calibri"/>
              </w:rPr>
            </w:pPr>
            <w:r w:rsidRPr="00EE72AB">
              <w:rPr>
                <w:rFonts w:eastAsia="Calibri"/>
              </w:rPr>
              <w:t>2024.CSR2.1</w:t>
            </w:r>
            <w:r w:rsidRPr="00EE72AB">
              <w:rPr>
                <w:rFonts w:eastAsia="Calibri"/>
              </w:rPr>
              <w:br/>
              <w:t>2023.CSR4.5</w:t>
            </w:r>
            <w:r w:rsidRPr="00EE72AB">
              <w:rPr>
                <w:rFonts w:eastAsia="Calibri"/>
              </w:rPr>
              <w:br/>
              <w:t xml:space="preserve">2020.CRS3.8                                                                                                     </w:t>
            </w:r>
            <w:r w:rsidRPr="00EE72AB">
              <w:rPr>
                <w:rFonts w:eastAsia="Calibri"/>
              </w:rPr>
              <w:br/>
              <w:t>2020.CSR2.2</w:t>
            </w:r>
            <w:r w:rsidRPr="00EE72AB">
              <w:rPr>
                <w:rFonts w:eastAsia="Calibri"/>
              </w:rPr>
              <w:br/>
              <w:t>2019.CSR2.7</w:t>
            </w:r>
          </w:p>
        </w:tc>
        <w:tc>
          <w:tcPr>
            <w:tcW w:w="2400" w:type="dxa"/>
            <w:tcMar>
              <w:top w:w="0" w:type="dxa"/>
              <w:left w:w="40" w:type="dxa"/>
              <w:bottom w:w="0" w:type="dxa"/>
              <w:right w:w="40" w:type="dxa"/>
            </w:tcMar>
          </w:tcPr>
          <w:p w14:paraId="7CA445F1"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10018B4C" w14:textId="77777777" w:rsidTr="00EE72AB">
        <w:trPr>
          <w:trHeight w:val="113"/>
          <w:jc w:val="center"/>
        </w:trPr>
        <w:tc>
          <w:tcPr>
            <w:tcW w:w="4050" w:type="dxa"/>
            <w:tcMar>
              <w:top w:w="0" w:type="dxa"/>
              <w:left w:w="40" w:type="dxa"/>
              <w:bottom w:w="0" w:type="dxa"/>
              <w:right w:w="40" w:type="dxa"/>
            </w:tcMar>
          </w:tcPr>
          <w:p w14:paraId="64F576F6" w14:textId="16C8DCD4" w:rsidR="0020727F" w:rsidRPr="00EE72AB" w:rsidRDefault="00BA03C0" w:rsidP="00EE72AB">
            <w:pPr>
              <w:pStyle w:val="Tabletext"/>
              <w:rPr>
                <w:rFonts w:eastAsia="Calibri"/>
              </w:rPr>
            </w:pPr>
            <w:r w:rsidRPr="00BA03C0">
              <w:rPr>
                <w:rFonts w:eastAsia="Calibri"/>
                <w:b/>
              </w:rPr>
              <w:t>REFORM 2:</w:t>
            </w:r>
            <w:r w:rsidR="0020727F" w:rsidRPr="00EE72AB">
              <w:rPr>
                <w:rFonts w:eastAsia="Calibri"/>
              </w:rPr>
              <w:t xml:space="preserve"> Strengthening the Apprenticeship System</w:t>
            </w:r>
          </w:p>
        </w:tc>
        <w:tc>
          <w:tcPr>
            <w:tcW w:w="1320" w:type="dxa"/>
            <w:tcMar>
              <w:top w:w="0" w:type="dxa"/>
              <w:left w:w="40" w:type="dxa"/>
              <w:bottom w:w="0" w:type="dxa"/>
              <w:right w:w="40" w:type="dxa"/>
            </w:tcMar>
          </w:tcPr>
          <w:p w14:paraId="37E1B1E8" w14:textId="77777777" w:rsidR="0020727F" w:rsidRPr="00EE72AB" w:rsidRDefault="0020727F" w:rsidP="00EE72AB">
            <w:pPr>
              <w:pStyle w:val="Tabletext"/>
              <w:rPr>
                <w:rFonts w:eastAsia="Calibri"/>
              </w:rPr>
            </w:pPr>
            <w:r w:rsidRPr="00EE72AB">
              <w:rPr>
                <w:rFonts w:eastAsia="Calibri"/>
              </w:rPr>
              <w:t>RRF 16794</w:t>
            </w:r>
          </w:p>
        </w:tc>
        <w:tc>
          <w:tcPr>
            <w:tcW w:w="1575" w:type="dxa"/>
            <w:tcMar>
              <w:top w:w="0" w:type="dxa"/>
              <w:left w:w="40" w:type="dxa"/>
              <w:bottom w:w="0" w:type="dxa"/>
              <w:right w:w="40" w:type="dxa"/>
            </w:tcMar>
          </w:tcPr>
          <w:p w14:paraId="6872D264" w14:textId="77777777" w:rsidR="0020727F" w:rsidRPr="00EE72AB" w:rsidRDefault="0020727F" w:rsidP="00EE72AB">
            <w:pPr>
              <w:pStyle w:val="Tabletext"/>
              <w:rPr>
                <w:rFonts w:eastAsia="Calibri"/>
              </w:rPr>
            </w:pPr>
            <w:r w:rsidRPr="00EE72AB">
              <w:rPr>
                <w:rFonts w:eastAsia="Calibri"/>
              </w:rPr>
              <w:t xml:space="preserve">2024.CSR2.1                                                                                                                  </w:t>
            </w:r>
            <w:r w:rsidRPr="00EE72AB">
              <w:rPr>
                <w:rFonts w:eastAsia="Calibri"/>
              </w:rPr>
              <w:br/>
              <w:t>2023.CSR4.5</w:t>
            </w:r>
            <w:r w:rsidRPr="00EE72AB">
              <w:rPr>
                <w:rFonts w:eastAsia="Calibri"/>
              </w:rPr>
              <w:br/>
              <w:t xml:space="preserve">2020.CSR3.9                                </w:t>
            </w:r>
            <w:r w:rsidRPr="00EE72AB">
              <w:rPr>
                <w:rFonts w:eastAsia="Calibri"/>
              </w:rPr>
              <w:br/>
              <w:t xml:space="preserve">2020.CSR3.8                                  </w:t>
            </w:r>
            <w:r w:rsidRPr="00EE72AB">
              <w:rPr>
                <w:rFonts w:eastAsia="Calibri"/>
              </w:rPr>
              <w:br/>
              <w:t>2020.CSR3.3               2019.CSR2.7               2019.CSR2.5</w:t>
            </w:r>
          </w:p>
        </w:tc>
        <w:tc>
          <w:tcPr>
            <w:tcW w:w="2400" w:type="dxa"/>
            <w:tcMar>
              <w:top w:w="0" w:type="dxa"/>
              <w:left w:w="40" w:type="dxa"/>
              <w:bottom w:w="0" w:type="dxa"/>
              <w:right w:w="40" w:type="dxa"/>
            </w:tcMar>
          </w:tcPr>
          <w:p w14:paraId="17FE409D"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26371F54" w14:textId="77777777" w:rsidTr="00EE72AB">
        <w:trPr>
          <w:trHeight w:val="113"/>
          <w:jc w:val="center"/>
        </w:trPr>
        <w:tc>
          <w:tcPr>
            <w:tcW w:w="4050" w:type="dxa"/>
            <w:tcMar>
              <w:top w:w="0" w:type="dxa"/>
              <w:left w:w="40" w:type="dxa"/>
              <w:bottom w:w="0" w:type="dxa"/>
              <w:right w:w="40" w:type="dxa"/>
            </w:tcMar>
          </w:tcPr>
          <w:p w14:paraId="2649A84B" w14:textId="49350D79" w:rsidR="0020727F" w:rsidRPr="00EE72AB" w:rsidRDefault="00BA03C0" w:rsidP="00EE72AB">
            <w:pPr>
              <w:pStyle w:val="Tabletext"/>
              <w:rPr>
                <w:rFonts w:eastAsia="Calibri"/>
              </w:rPr>
            </w:pPr>
            <w:r w:rsidRPr="00BA03C0">
              <w:rPr>
                <w:rFonts w:eastAsia="Calibri"/>
                <w:b/>
              </w:rPr>
              <w:t>REFORM 3:</w:t>
            </w:r>
            <w:r w:rsidR="0020727F" w:rsidRPr="00EE72AB">
              <w:rPr>
                <w:rFonts w:eastAsia="Calibri"/>
              </w:rPr>
              <w:t xml:space="preserve"> Labor force skilling, reskilling and upskilling through a reformed training model (Vocational Education &amp; Training REFORM)</w:t>
            </w:r>
          </w:p>
        </w:tc>
        <w:tc>
          <w:tcPr>
            <w:tcW w:w="1320" w:type="dxa"/>
            <w:tcMar>
              <w:top w:w="0" w:type="dxa"/>
              <w:left w:w="40" w:type="dxa"/>
              <w:bottom w:w="0" w:type="dxa"/>
              <w:right w:w="40" w:type="dxa"/>
            </w:tcMar>
          </w:tcPr>
          <w:p w14:paraId="72CA1C3C" w14:textId="77777777" w:rsidR="0020727F" w:rsidRPr="00EE72AB" w:rsidRDefault="0020727F" w:rsidP="00EE72AB">
            <w:pPr>
              <w:pStyle w:val="Tabletext"/>
              <w:rPr>
                <w:rFonts w:eastAsia="Calibri"/>
              </w:rPr>
            </w:pPr>
            <w:r w:rsidRPr="00EE72AB">
              <w:rPr>
                <w:rFonts w:eastAsia="Calibri"/>
              </w:rPr>
              <w:t>RRF 16792</w:t>
            </w:r>
          </w:p>
        </w:tc>
        <w:tc>
          <w:tcPr>
            <w:tcW w:w="1575" w:type="dxa"/>
            <w:tcMar>
              <w:top w:w="0" w:type="dxa"/>
              <w:left w:w="40" w:type="dxa"/>
              <w:bottom w:w="0" w:type="dxa"/>
              <w:right w:w="40" w:type="dxa"/>
            </w:tcMar>
          </w:tcPr>
          <w:p w14:paraId="4EAA2594" w14:textId="77777777" w:rsidR="0020727F" w:rsidRPr="00EE72AB" w:rsidRDefault="0020727F" w:rsidP="00EE72AB">
            <w:pPr>
              <w:pStyle w:val="Tabletext"/>
              <w:rPr>
                <w:rFonts w:eastAsia="Calibri"/>
              </w:rPr>
            </w:pPr>
            <w:r w:rsidRPr="00EE72AB">
              <w:rPr>
                <w:rFonts w:eastAsia="Calibri"/>
              </w:rPr>
              <w:t xml:space="preserve">2024.CSR2.1                                                                                                                                                                                                                                                                                                                                </w:t>
            </w:r>
            <w:r w:rsidRPr="00EE72AB">
              <w:rPr>
                <w:rFonts w:eastAsia="Calibri"/>
              </w:rPr>
              <w:br/>
              <w:t xml:space="preserve">2020.CSR3.9                                 </w:t>
            </w:r>
            <w:r w:rsidRPr="00EE72AB">
              <w:rPr>
                <w:rFonts w:eastAsia="Calibri"/>
              </w:rPr>
              <w:br/>
              <w:t xml:space="preserve">2020.CSR3.8 </w:t>
            </w:r>
            <w:r w:rsidRPr="00EE72AB">
              <w:rPr>
                <w:rFonts w:eastAsia="Calibri"/>
              </w:rPr>
              <w:tab/>
            </w:r>
            <w:r w:rsidRPr="00EE72AB">
              <w:rPr>
                <w:rFonts w:eastAsia="Calibri"/>
              </w:rPr>
              <w:br/>
              <w:t>2020.CSR2.2</w:t>
            </w:r>
            <w:r w:rsidRPr="00EE72AB">
              <w:rPr>
                <w:rFonts w:eastAsia="Calibri"/>
              </w:rPr>
              <w:br/>
              <w:t xml:space="preserve">2019.CSR2.3                                </w:t>
            </w:r>
            <w:r w:rsidRPr="00EE72AB">
              <w:rPr>
                <w:rFonts w:eastAsia="Calibri"/>
              </w:rPr>
              <w:br/>
              <w:t xml:space="preserve">2019.CSR2.7       </w:t>
            </w:r>
            <w:r w:rsidRPr="00EE72AB">
              <w:rPr>
                <w:rFonts w:eastAsia="Calibri"/>
              </w:rPr>
              <w:br/>
              <w:t>2019.CSR2.5</w:t>
            </w:r>
          </w:p>
        </w:tc>
        <w:tc>
          <w:tcPr>
            <w:tcW w:w="2400" w:type="dxa"/>
            <w:tcMar>
              <w:top w:w="0" w:type="dxa"/>
              <w:left w:w="40" w:type="dxa"/>
              <w:bottom w:w="0" w:type="dxa"/>
              <w:right w:w="40" w:type="dxa"/>
            </w:tcMar>
          </w:tcPr>
          <w:p w14:paraId="70707B4D"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118073AF" w14:textId="77777777" w:rsidTr="00EE72AB">
        <w:trPr>
          <w:trHeight w:val="113"/>
          <w:jc w:val="center"/>
        </w:trPr>
        <w:tc>
          <w:tcPr>
            <w:tcW w:w="4050" w:type="dxa"/>
            <w:tcMar>
              <w:top w:w="0" w:type="dxa"/>
              <w:left w:w="40" w:type="dxa"/>
              <w:bottom w:w="0" w:type="dxa"/>
              <w:right w:w="40" w:type="dxa"/>
            </w:tcMar>
          </w:tcPr>
          <w:p w14:paraId="2BB991CA" w14:textId="7C4E3F12" w:rsidR="0020727F" w:rsidRPr="00EE72AB" w:rsidRDefault="00BA03C0" w:rsidP="00EE72AB">
            <w:pPr>
              <w:pStyle w:val="Tabletext"/>
              <w:rPr>
                <w:rFonts w:eastAsia="Calibri"/>
              </w:rPr>
            </w:pPr>
            <w:r w:rsidRPr="00BA03C0">
              <w:rPr>
                <w:rFonts w:eastAsia="Calibri"/>
                <w:b/>
              </w:rPr>
              <w:t>REFORM 4:</w:t>
            </w:r>
            <w:r w:rsidR="0020727F" w:rsidRPr="00EE72AB">
              <w:rPr>
                <w:rFonts w:eastAsia="Calibri"/>
              </w:rPr>
              <w:t xml:space="preserve"> A New Strategy for Lifelong Skilling: Modernising and Upgrading Greece’s Upskilling and Reskilling System</w:t>
            </w:r>
          </w:p>
        </w:tc>
        <w:tc>
          <w:tcPr>
            <w:tcW w:w="1320" w:type="dxa"/>
            <w:tcMar>
              <w:top w:w="0" w:type="dxa"/>
              <w:left w:w="40" w:type="dxa"/>
              <w:bottom w:w="0" w:type="dxa"/>
              <w:right w:w="40" w:type="dxa"/>
            </w:tcMar>
          </w:tcPr>
          <w:p w14:paraId="091AB5AC" w14:textId="77777777" w:rsidR="0020727F" w:rsidRPr="00EE72AB" w:rsidRDefault="0020727F" w:rsidP="00EE72AB">
            <w:pPr>
              <w:pStyle w:val="Tabletext"/>
              <w:rPr>
                <w:rFonts w:eastAsia="Calibri"/>
              </w:rPr>
            </w:pPr>
            <w:r w:rsidRPr="00EE72AB">
              <w:rPr>
                <w:rFonts w:eastAsia="Calibri"/>
              </w:rPr>
              <w:t>RRF 16913</w:t>
            </w:r>
          </w:p>
        </w:tc>
        <w:tc>
          <w:tcPr>
            <w:tcW w:w="1575" w:type="dxa"/>
            <w:tcMar>
              <w:top w:w="0" w:type="dxa"/>
              <w:left w:w="40" w:type="dxa"/>
              <w:bottom w:w="0" w:type="dxa"/>
              <w:right w:w="40" w:type="dxa"/>
            </w:tcMar>
          </w:tcPr>
          <w:p w14:paraId="60B83F4E" w14:textId="77777777" w:rsidR="0020727F" w:rsidRPr="00EE72AB" w:rsidRDefault="0020727F" w:rsidP="00EE72AB">
            <w:pPr>
              <w:pStyle w:val="Tabletext"/>
              <w:rPr>
                <w:rFonts w:eastAsia="Calibri"/>
              </w:rPr>
            </w:pPr>
            <w:r w:rsidRPr="00EE72AB">
              <w:rPr>
                <w:rFonts w:eastAsia="Calibri"/>
              </w:rPr>
              <w:t>2024.CSR2.1 2023.CSR4.5 2020.CSR3.9 2020.CSR3.8 2020.CSR2.2 2019.CSR2.3 2019.CSR2.7</w:t>
            </w:r>
          </w:p>
        </w:tc>
        <w:tc>
          <w:tcPr>
            <w:tcW w:w="2400" w:type="dxa"/>
            <w:tcMar>
              <w:top w:w="0" w:type="dxa"/>
              <w:left w:w="40" w:type="dxa"/>
              <w:bottom w:w="0" w:type="dxa"/>
              <w:right w:w="40" w:type="dxa"/>
            </w:tcMar>
          </w:tcPr>
          <w:p w14:paraId="1761798A" w14:textId="77777777" w:rsidR="0020727F" w:rsidRPr="00EE72AB" w:rsidRDefault="0020727F" w:rsidP="00EE72AB">
            <w:pPr>
              <w:pStyle w:val="Tabletext"/>
              <w:rPr>
                <w:rFonts w:eastAsia="Calibri"/>
              </w:rPr>
            </w:pPr>
            <w:r w:rsidRPr="00EE72AB">
              <w:rPr>
                <w:rFonts w:eastAsia="Calibri"/>
              </w:rPr>
              <w:t>Fair green &amp; digital transition</w:t>
            </w:r>
          </w:p>
        </w:tc>
      </w:tr>
      <w:tr w:rsidR="0020727F" w:rsidRPr="00EE72AB" w14:paraId="05CC1B21" w14:textId="77777777" w:rsidTr="00EE72AB">
        <w:trPr>
          <w:trHeight w:val="113"/>
          <w:jc w:val="center"/>
        </w:trPr>
        <w:tc>
          <w:tcPr>
            <w:tcW w:w="4050" w:type="dxa"/>
            <w:tcMar>
              <w:top w:w="0" w:type="dxa"/>
              <w:left w:w="40" w:type="dxa"/>
              <w:bottom w:w="0" w:type="dxa"/>
              <w:right w:w="40" w:type="dxa"/>
            </w:tcMar>
          </w:tcPr>
          <w:p w14:paraId="07E2BE2B" w14:textId="6D0E4E22" w:rsidR="0020727F" w:rsidRPr="00EE72AB" w:rsidRDefault="00BA03C0" w:rsidP="00EE72AB">
            <w:pPr>
              <w:pStyle w:val="Tabletext"/>
              <w:rPr>
                <w:rFonts w:eastAsia="Calibri"/>
              </w:rPr>
            </w:pPr>
            <w:r w:rsidRPr="00BA03C0">
              <w:rPr>
                <w:rFonts w:eastAsia="Calibri"/>
                <w:b/>
              </w:rPr>
              <w:t>REFORM 5:</w:t>
            </w:r>
            <w:r w:rsidR="0020727F" w:rsidRPr="00EE72AB">
              <w:rPr>
                <w:rFonts w:eastAsia="Calibri"/>
              </w:rPr>
              <w:t xml:space="preserve"> Reform of Passive Labour Market Policies to Support Transitions to Employment</w:t>
            </w:r>
          </w:p>
        </w:tc>
        <w:tc>
          <w:tcPr>
            <w:tcW w:w="1320" w:type="dxa"/>
            <w:tcMar>
              <w:top w:w="0" w:type="dxa"/>
              <w:left w:w="40" w:type="dxa"/>
              <w:bottom w:w="0" w:type="dxa"/>
              <w:right w:w="40" w:type="dxa"/>
            </w:tcMar>
          </w:tcPr>
          <w:p w14:paraId="20A636F0" w14:textId="77777777" w:rsidR="0020727F" w:rsidRPr="00EE72AB" w:rsidRDefault="0020727F" w:rsidP="00EE72AB">
            <w:pPr>
              <w:pStyle w:val="Tabletext"/>
              <w:rPr>
                <w:rFonts w:eastAsia="Calibri"/>
              </w:rPr>
            </w:pPr>
            <w:r w:rsidRPr="00EE72AB">
              <w:rPr>
                <w:rFonts w:eastAsia="Calibri"/>
              </w:rPr>
              <w:t>RRF 16746</w:t>
            </w:r>
          </w:p>
        </w:tc>
        <w:tc>
          <w:tcPr>
            <w:tcW w:w="1575" w:type="dxa"/>
            <w:tcMar>
              <w:top w:w="0" w:type="dxa"/>
              <w:left w:w="40" w:type="dxa"/>
              <w:bottom w:w="0" w:type="dxa"/>
              <w:right w:w="40" w:type="dxa"/>
            </w:tcMar>
          </w:tcPr>
          <w:p w14:paraId="23965B53" w14:textId="77777777" w:rsidR="0020727F" w:rsidRPr="00EE72AB" w:rsidRDefault="0020727F" w:rsidP="00EE72AB">
            <w:pPr>
              <w:pStyle w:val="Tabletext"/>
              <w:rPr>
                <w:rFonts w:eastAsia="Calibri"/>
              </w:rPr>
            </w:pPr>
            <w:r w:rsidRPr="00EE72AB">
              <w:rPr>
                <w:rFonts w:eastAsia="Calibri"/>
              </w:rPr>
              <w:t>2024.CSR2.1 2024.CSR3.1 2020.CSR3.9 2020.CSR2.2 2020.CSR3.8 2019.CSR2.7</w:t>
            </w:r>
          </w:p>
        </w:tc>
        <w:tc>
          <w:tcPr>
            <w:tcW w:w="2400" w:type="dxa"/>
            <w:tcMar>
              <w:top w:w="0" w:type="dxa"/>
              <w:left w:w="40" w:type="dxa"/>
              <w:bottom w:w="0" w:type="dxa"/>
              <w:right w:w="40" w:type="dxa"/>
            </w:tcMar>
          </w:tcPr>
          <w:p w14:paraId="5A3A333A"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3A624380" w14:textId="77777777" w:rsidTr="00EE72AB">
        <w:trPr>
          <w:trHeight w:val="113"/>
          <w:jc w:val="center"/>
        </w:trPr>
        <w:tc>
          <w:tcPr>
            <w:tcW w:w="4050" w:type="dxa"/>
            <w:tcMar>
              <w:top w:w="0" w:type="dxa"/>
              <w:left w:w="40" w:type="dxa"/>
              <w:bottom w:w="0" w:type="dxa"/>
              <w:right w:w="40" w:type="dxa"/>
            </w:tcMar>
          </w:tcPr>
          <w:p w14:paraId="0239796A" w14:textId="0BE5EFE7" w:rsidR="0020727F" w:rsidRPr="00EE72AB" w:rsidRDefault="00BA03C0" w:rsidP="00EE72AB">
            <w:pPr>
              <w:pStyle w:val="Tabletext"/>
              <w:rPr>
                <w:rFonts w:eastAsia="Calibri"/>
              </w:rPr>
            </w:pPr>
            <w:r w:rsidRPr="00BA03C0">
              <w:rPr>
                <w:rFonts w:eastAsia="Calibri"/>
                <w:b/>
              </w:rPr>
              <w:t>INVESTMENT 1:</w:t>
            </w:r>
            <w:r w:rsidR="0020727F" w:rsidRPr="00EE72AB">
              <w:rPr>
                <w:rFonts w:eastAsia="Calibri"/>
              </w:rPr>
              <w:t xml:space="preserve"> Digital Transformation of Labour Systems</w:t>
            </w:r>
          </w:p>
        </w:tc>
        <w:tc>
          <w:tcPr>
            <w:tcW w:w="1320" w:type="dxa"/>
            <w:tcMar>
              <w:top w:w="0" w:type="dxa"/>
              <w:left w:w="40" w:type="dxa"/>
              <w:bottom w:w="0" w:type="dxa"/>
              <w:right w:w="40" w:type="dxa"/>
            </w:tcMar>
          </w:tcPr>
          <w:p w14:paraId="71F3825D" w14:textId="77777777" w:rsidR="0020727F" w:rsidRPr="00EE72AB" w:rsidRDefault="0020727F" w:rsidP="00EE72AB">
            <w:pPr>
              <w:pStyle w:val="Tabletext"/>
              <w:rPr>
                <w:rFonts w:eastAsia="Calibri"/>
              </w:rPr>
            </w:pPr>
            <w:r w:rsidRPr="00EE72AB">
              <w:rPr>
                <w:rFonts w:eastAsia="Calibri"/>
              </w:rPr>
              <w:t>RRF 16750</w:t>
            </w:r>
          </w:p>
        </w:tc>
        <w:tc>
          <w:tcPr>
            <w:tcW w:w="1575" w:type="dxa"/>
            <w:tcMar>
              <w:top w:w="0" w:type="dxa"/>
              <w:left w:w="40" w:type="dxa"/>
              <w:bottom w:w="0" w:type="dxa"/>
              <w:right w:w="40" w:type="dxa"/>
            </w:tcMar>
          </w:tcPr>
          <w:p w14:paraId="25DD2618" w14:textId="77777777" w:rsidR="0020727F" w:rsidRPr="00EE72AB" w:rsidRDefault="0020727F" w:rsidP="00EE72AB">
            <w:pPr>
              <w:pStyle w:val="Tabletext"/>
              <w:rPr>
                <w:rFonts w:eastAsia="Calibri"/>
              </w:rPr>
            </w:pPr>
            <w:r w:rsidRPr="00EE72AB">
              <w:rPr>
                <w:rFonts w:eastAsia="Calibri"/>
              </w:rPr>
              <w:t>2024.CSR2.1</w:t>
            </w:r>
            <w:r w:rsidRPr="00EE72AB">
              <w:rPr>
                <w:rFonts w:eastAsia="Calibri"/>
              </w:rPr>
              <w:br/>
              <w:t>2024.CSR1.3</w:t>
            </w:r>
            <w:r w:rsidRPr="00EE72AB">
              <w:rPr>
                <w:rFonts w:eastAsia="Calibri"/>
              </w:rPr>
              <w:br/>
              <w:t>2020.CSR3.9</w:t>
            </w:r>
            <w:r w:rsidRPr="00EE72AB">
              <w:rPr>
                <w:rFonts w:eastAsia="Calibri"/>
              </w:rPr>
              <w:br/>
              <w:t>2019.CSR2.3</w:t>
            </w:r>
          </w:p>
        </w:tc>
        <w:tc>
          <w:tcPr>
            <w:tcW w:w="2400" w:type="dxa"/>
            <w:tcMar>
              <w:top w:w="0" w:type="dxa"/>
              <w:left w:w="40" w:type="dxa"/>
              <w:bottom w:w="0" w:type="dxa"/>
              <w:right w:w="40" w:type="dxa"/>
            </w:tcMar>
          </w:tcPr>
          <w:p w14:paraId="300B3E50" w14:textId="77777777" w:rsidR="0020727F" w:rsidRPr="00EE72AB" w:rsidRDefault="0020727F" w:rsidP="00EE72AB">
            <w:pPr>
              <w:pStyle w:val="Tabletext"/>
              <w:rPr>
                <w:rFonts w:eastAsia="Calibri"/>
              </w:rPr>
            </w:pPr>
            <w:r w:rsidRPr="00EE72AB">
              <w:rPr>
                <w:rFonts w:eastAsia="Calibri"/>
              </w:rPr>
              <w:t>Fair green &amp; digital transition</w:t>
            </w:r>
          </w:p>
        </w:tc>
      </w:tr>
      <w:tr w:rsidR="0020727F" w:rsidRPr="00EE72AB" w14:paraId="133D0194" w14:textId="77777777" w:rsidTr="00EE72AB">
        <w:trPr>
          <w:trHeight w:val="113"/>
          <w:jc w:val="center"/>
        </w:trPr>
        <w:tc>
          <w:tcPr>
            <w:tcW w:w="4050" w:type="dxa"/>
            <w:tcMar>
              <w:top w:w="0" w:type="dxa"/>
              <w:left w:w="40" w:type="dxa"/>
              <w:bottom w:w="0" w:type="dxa"/>
              <w:right w:w="40" w:type="dxa"/>
            </w:tcMar>
          </w:tcPr>
          <w:p w14:paraId="66C4676E" w14:textId="20BE4AFC" w:rsidR="0020727F" w:rsidRPr="00EE72AB" w:rsidRDefault="00BA03C0" w:rsidP="00EE72AB">
            <w:pPr>
              <w:pStyle w:val="Tabletext"/>
              <w:rPr>
                <w:rFonts w:eastAsia="Calibri"/>
              </w:rPr>
            </w:pPr>
            <w:r w:rsidRPr="00BA03C0">
              <w:rPr>
                <w:rFonts w:eastAsia="Calibri"/>
                <w:b/>
              </w:rPr>
              <w:t>INVESTMENT 2:</w:t>
            </w:r>
            <w:r w:rsidR="0020727F" w:rsidRPr="00EE72AB">
              <w:rPr>
                <w:rFonts w:eastAsia="Calibri"/>
              </w:rPr>
              <w:t xml:space="preserve"> Restructuring and rebranding of DYPA local PES (KPA2)</w:t>
            </w:r>
          </w:p>
        </w:tc>
        <w:tc>
          <w:tcPr>
            <w:tcW w:w="1320" w:type="dxa"/>
            <w:tcMar>
              <w:top w:w="0" w:type="dxa"/>
              <w:left w:w="40" w:type="dxa"/>
              <w:bottom w:w="0" w:type="dxa"/>
              <w:right w:w="40" w:type="dxa"/>
            </w:tcMar>
          </w:tcPr>
          <w:p w14:paraId="17C0D050" w14:textId="77777777" w:rsidR="0020727F" w:rsidRPr="00EE72AB" w:rsidRDefault="0020727F" w:rsidP="00EE72AB">
            <w:pPr>
              <w:pStyle w:val="Tabletext"/>
              <w:rPr>
                <w:rFonts w:eastAsia="Calibri"/>
              </w:rPr>
            </w:pPr>
            <w:r w:rsidRPr="00EE72AB">
              <w:rPr>
                <w:rFonts w:eastAsia="Calibri"/>
              </w:rPr>
              <w:t>RRF 16941</w:t>
            </w:r>
          </w:p>
        </w:tc>
        <w:tc>
          <w:tcPr>
            <w:tcW w:w="1575" w:type="dxa"/>
            <w:tcMar>
              <w:top w:w="0" w:type="dxa"/>
              <w:left w:w="40" w:type="dxa"/>
              <w:bottom w:w="0" w:type="dxa"/>
              <w:right w:w="40" w:type="dxa"/>
            </w:tcMar>
          </w:tcPr>
          <w:p w14:paraId="5B044F5F" w14:textId="77777777" w:rsidR="0020727F" w:rsidRPr="00EE72AB" w:rsidRDefault="0020727F" w:rsidP="00EE72AB">
            <w:pPr>
              <w:pStyle w:val="Tabletext"/>
              <w:rPr>
                <w:rFonts w:eastAsia="Calibri"/>
              </w:rPr>
            </w:pPr>
            <w:r w:rsidRPr="00EE72AB">
              <w:rPr>
                <w:rFonts w:eastAsia="Calibri"/>
              </w:rPr>
              <w:t>2024.CSR2.1</w:t>
            </w:r>
            <w:r w:rsidRPr="00EE72AB">
              <w:rPr>
                <w:rFonts w:eastAsia="Calibri"/>
              </w:rPr>
              <w:br/>
              <w:t>2020.CSR2.2</w:t>
            </w:r>
            <w:r w:rsidRPr="00EE72AB">
              <w:rPr>
                <w:rFonts w:eastAsia="Calibri"/>
              </w:rPr>
              <w:br/>
              <w:t xml:space="preserve">2020.CSR3.9                                  </w:t>
            </w:r>
            <w:r w:rsidRPr="00EE72AB">
              <w:rPr>
                <w:rFonts w:eastAsia="Calibri"/>
              </w:rPr>
              <w:br/>
              <w:t xml:space="preserve">2020.CSR3.8                  </w:t>
            </w:r>
            <w:r w:rsidRPr="00EE72AB">
              <w:rPr>
                <w:rFonts w:eastAsia="Calibri"/>
              </w:rPr>
              <w:br/>
              <w:t xml:space="preserve">2019.CSR2.3                </w:t>
            </w:r>
            <w:r w:rsidRPr="00EE72AB">
              <w:rPr>
                <w:rFonts w:eastAsia="Calibri"/>
              </w:rPr>
              <w:br/>
              <w:t>2019.CSR2.7</w:t>
            </w:r>
          </w:p>
        </w:tc>
        <w:tc>
          <w:tcPr>
            <w:tcW w:w="2400" w:type="dxa"/>
            <w:tcMar>
              <w:top w:w="0" w:type="dxa"/>
              <w:left w:w="40" w:type="dxa"/>
              <w:bottom w:w="0" w:type="dxa"/>
              <w:right w:w="40" w:type="dxa"/>
            </w:tcMar>
          </w:tcPr>
          <w:p w14:paraId="4F65E633"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0E53CD81" w14:textId="77777777" w:rsidTr="00EE72AB">
        <w:trPr>
          <w:trHeight w:val="113"/>
          <w:jc w:val="center"/>
        </w:trPr>
        <w:tc>
          <w:tcPr>
            <w:tcW w:w="4050" w:type="dxa"/>
            <w:tcMar>
              <w:top w:w="0" w:type="dxa"/>
              <w:left w:w="40" w:type="dxa"/>
              <w:bottom w:w="0" w:type="dxa"/>
              <w:right w:w="40" w:type="dxa"/>
            </w:tcMar>
          </w:tcPr>
          <w:p w14:paraId="26725672" w14:textId="069A4710" w:rsidR="0020727F" w:rsidRPr="00EE72AB" w:rsidRDefault="00BA03C0" w:rsidP="00EE72AB">
            <w:pPr>
              <w:pStyle w:val="Tabletext"/>
              <w:rPr>
                <w:rFonts w:eastAsia="Calibri"/>
              </w:rPr>
            </w:pPr>
            <w:r w:rsidRPr="00BA03C0">
              <w:rPr>
                <w:rFonts w:eastAsia="Calibri"/>
                <w:b/>
              </w:rPr>
              <w:t>INVESTMENT 3:</w:t>
            </w:r>
            <w:r w:rsidR="0020727F" w:rsidRPr="00EE72AB">
              <w:rPr>
                <w:rFonts w:eastAsia="Calibri"/>
              </w:rPr>
              <w:t xml:space="preserve"> Digital transformation of the public employment service (DYPA)</w:t>
            </w:r>
          </w:p>
        </w:tc>
        <w:tc>
          <w:tcPr>
            <w:tcW w:w="1320" w:type="dxa"/>
            <w:tcMar>
              <w:top w:w="0" w:type="dxa"/>
              <w:left w:w="40" w:type="dxa"/>
              <w:bottom w:w="0" w:type="dxa"/>
              <w:right w:w="40" w:type="dxa"/>
            </w:tcMar>
          </w:tcPr>
          <w:p w14:paraId="0B6B186D" w14:textId="77777777" w:rsidR="0020727F" w:rsidRPr="00EE72AB" w:rsidRDefault="0020727F" w:rsidP="00EE72AB">
            <w:pPr>
              <w:pStyle w:val="Tabletext"/>
              <w:rPr>
                <w:rFonts w:eastAsia="Calibri"/>
              </w:rPr>
            </w:pPr>
            <w:r w:rsidRPr="00EE72AB">
              <w:rPr>
                <w:rFonts w:eastAsia="Calibri"/>
              </w:rPr>
              <w:t>RRF 16942</w:t>
            </w:r>
          </w:p>
        </w:tc>
        <w:tc>
          <w:tcPr>
            <w:tcW w:w="1575" w:type="dxa"/>
            <w:tcMar>
              <w:top w:w="0" w:type="dxa"/>
              <w:left w:w="40" w:type="dxa"/>
              <w:bottom w:w="0" w:type="dxa"/>
              <w:right w:w="40" w:type="dxa"/>
            </w:tcMar>
          </w:tcPr>
          <w:p w14:paraId="2694CC3D" w14:textId="77777777" w:rsidR="0020727F" w:rsidRPr="00EE72AB" w:rsidRDefault="0020727F" w:rsidP="00EE72AB">
            <w:pPr>
              <w:pStyle w:val="Tabletext"/>
              <w:rPr>
                <w:rFonts w:eastAsia="Calibri"/>
              </w:rPr>
            </w:pPr>
            <w:r w:rsidRPr="00EE72AB">
              <w:rPr>
                <w:rFonts w:eastAsia="Calibri"/>
              </w:rPr>
              <w:t>2024.CSR1.3</w:t>
            </w:r>
            <w:r w:rsidRPr="00EE72AB">
              <w:rPr>
                <w:rFonts w:eastAsia="Calibri"/>
              </w:rPr>
              <w:br/>
              <w:t xml:space="preserve">2024.CSR2.1 </w:t>
            </w:r>
            <w:r w:rsidRPr="00EE72AB">
              <w:rPr>
                <w:rFonts w:eastAsia="Calibri"/>
              </w:rPr>
              <w:lastRenderedPageBreak/>
              <w:t>2020.CSR3.9</w:t>
            </w:r>
            <w:r w:rsidRPr="00EE72AB">
              <w:rPr>
                <w:rFonts w:eastAsia="Calibri"/>
              </w:rPr>
              <w:br/>
              <w:t>2020.CSR2.2</w:t>
            </w:r>
            <w:r w:rsidRPr="00EE72AB">
              <w:rPr>
                <w:rFonts w:eastAsia="Calibri"/>
              </w:rPr>
              <w:br/>
              <w:t>2020.CSR3.8</w:t>
            </w:r>
            <w:r w:rsidRPr="00EE72AB">
              <w:rPr>
                <w:rFonts w:eastAsia="Calibri"/>
              </w:rPr>
              <w:br/>
              <w:t>2019.CSR2.3</w:t>
            </w:r>
            <w:r w:rsidRPr="00EE72AB">
              <w:rPr>
                <w:rFonts w:eastAsia="Calibri"/>
              </w:rPr>
              <w:br/>
              <w:t>2019.CSR2.7</w:t>
            </w:r>
          </w:p>
        </w:tc>
        <w:tc>
          <w:tcPr>
            <w:tcW w:w="2400" w:type="dxa"/>
            <w:tcMar>
              <w:top w:w="0" w:type="dxa"/>
              <w:left w:w="40" w:type="dxa"/>
              <w:bottom w:w="0" w:type="dxa"/>
              <w:right w:w="40" w:type="dxa"/>
            </w:tcMar>
          </w:tcPr>
          <w:p w14:paraId="356C144E" w14:textId="77777777" w:rsidR="0020727F" w:rsidRPr="00EE72AB" w:rsidRDefault="0020727F" w:rsidP="00EE72AB">
            <w:pPr>
              <w:pStyle w:val="Tabletext"/>
              <w:rPr>
                <w:rFonts w:eastAsia="Calibri"/>
              </w:rPr>
            </w:pPr>
            <w:r w:rsidRPr="00EE72AB">
              <w:rPr>
                <w:rFonts w:eastAsia="Calibri"/>
              </w:rPr>
              <w:lastRenderedPageBreak/>
              <w:t>Fair green &amp; digital transition</w:t>
            </w:r>
          </w:p>
        </w:tc>
      </w:tr>
      <w:tr w:rsidR="0020727F" w:rsidRPr="00EE72AB" w14:paraId="7EA1714F" w14:textId="77777777" w:rsidTr="00EE72AB">
        <w:trPr>
          <w:trHeight w:val="113"/>
          <w:jc w:val="center"/>
        </w:trPr>
        <w:tc>
          <w:tcPr>
            <w:tcW w:w="4050" w:type="dxa"/>
            <w:tcMar>
              <w:top w:w="0" w:type="dxa"/>
              <w:left w:w="40" w:type="dxa"/>
              <w:bottom w:w="0" w:type="dxa"/>
              <w:right w:w="40" w:type="dxa"/>
            </w:tcMar>
          </w:tcPr>
          <w:p w14:paraId="3FFF872F" w14:textId="4BEABBBB" w:rsidR="0020727F" w:rsidRPr="00EE72AB" w:rsidRDefault="00BA03C0" w:rsidP="00EE72AB">
            <w:pPr>
              <w:pStyle w:val="Tabletext"/>
              <w:rPr>
                <w:rFonts w:eastAsia="Calibri"/>
              </w:rPr>
            </w:pPr>
            <w:r w:rsidRPr="00BA03C0">
              <w:rPr>
                <w:rFonts w:eastAsia="Calibri"/>
                <w:b/>
              </w:rPr>
              <w:t>INVESTMENT 4:</w:t>
            </w:r>
            <w:r w:rsidR="0020727F" w:rsidRPr="00EE72AB">
              <w:rPr>
                <w:rFonts w:eastAsia="Calibri"/>
              </w:rPr>
              <w:t xml:space="preserve"> Mechanism of labour market diagnosis</w:t>
            </w:r>
          </w:p>
          <w:p w14:paraId="48F1EE31" w14:textId="77777777" w:rsidR="0020727F" w:rsidRPr="00EE72AB" w:rsidRDefault="0020727F" w:rsidP="00EE72AB">
            <w:pPr>
              <w:pStyle w:val="Tabletext"/>
              <w:rPr>
                <w:rFonts w:eastAsia="Calibri"/>
              </w:rPr>
            </w:pPr>
            <w:r w:rsidRPr="00EE72AB">
              <w:rPr>
                <w:rFonts w:eastAsia="Calibri"/>
              </w:rPr>
              <w:t xml:space="preserve"> </w:t>
            </w:r>
          </w:p>
        </w:tc>
        <w:tc>
          <w:tcPr>
            <w:tcW w:w="1320" w:type="dxa"/>
            <w:tcMar>
              <w:top w:w="0" w:type="dxa"/>
              <w:left w:w="40" w:type="dxa"/>
              <w:bottom w:w="0" w:type="dxa"/>
              <w:right w:w="40" w:type="dxa"/>
            </w:tcMar>
          </w:tcPr>
          <w:p w14:paraId="044B98A8" w14:textId="77777777" w:rsidR="0020727F" w:rsidRPr="00EE72AB" w:rsidRDefault="0020727F" w:rsidP="00EE72AB">
            <w:pPr>
              <w:pStyle w:val="Tabletext"/>
              <w:rPr>
                <w:rFonts w:eastAsia="Calibri"/>
              </w:rPr>
            </w:pPr>
            <w:r w:rsidRPr="00EE72AB">
              <w:rPr>
                <w:rFonts w:eastAsia="Calibri"/>
              </w:rPr>
              <w:t>MFF</w:t>
            </w:r>
          </w:p>
        </w:tc>
        <w:tc>
          <w:tcPr>
            <w:tcW w:w="1575" w:type="dxa"/>
            <w:tcMar>
              <w:top w:w="0" w:type="dxa"/>
              <w:left w:w="40" w:type="dxa"/>
              <w:bottom w:w="0" w:type="dxa"/>
              <w:right w:w="40" w:type="dxa"/>
            </w:tcMar>
          </w:tcPr>
          <w:p w14:paraId="632C2A1D" w14:textId="77777777" w:rsidR="0020727F" w:rsidRPr="00EE72AB" w:rsidRDefault="0020727F" w:rsidP="00EE72AB">
            <w:pPr>
              <w:pStyle w:val="Tabletext"/>
              <w:rPr>
                <w:rFonts w:eastAsia="Calibri"/>
              </w:rPr>
            </w:pPr>
            <w:r w:rsidRPr="00EE72AB">
              <w:rPr>
                <w:rFonts w:eastAsia="Calibri"/>
              </w:rPr>
              <w:t>2024 CSR 1.3</w:t>
            </w:r>
          </w:p>
          <w:p w14:paraId="30588682" w14:textId="77777777" w:rsidR="0020727F" w:rsidRPr="00EE72AB" w:rsidRDefault="0020727F" w:rsidP="00EE72AB">
            <w:pPr>
              <w:pStyle w:val="Tabletext"/>
              <w:rPr>
                <w:rFonts w:eastAsia="Calibri"/>
              </w:rPr>
            </w:pPr>
            <w:r w:rsidRPr="00EE72AB">
              <w:rPr>
                <w:rFonts w:eastAsia="Calibri"/>
              </w:rPr>
              <w:t>2020 CSR 3.8</w:t>
            </w:r>
          </w:p>
          <w:p w14:paraId="4F2CF940" w14:textId="77777777" w:rsidR="0020727F" w:rsidRPr="00EE72AB" w:rsidRDefault="0020727F" w:rsidP="00EE72AB">
            <w:pPr>
              <w:pStyle w:val="Tabletext"/>
              <w:rPr>
                <w:rFonts w:eastAsia="Calibri"/>
              </w:rPr>
            </w:pPr>
            <w:r w:rsidRPr="00EE72AB">
              <w:rPr>
                <w:rFonts w:eastAsia="Calibri"/>
              </w:rPr>
              <w:t>2020 CSR 3.9</w:t>
            </w:r>
          </w:p>
          <w:p w14:paraId="0B62E5CB" w14:textId="77777777" w:rsidR="0020727F" w:rsidRPr="00EE72AB" w:rsidRDefault="0020727F" w:rsidP="00EE72AB">
            <w:pPr>
              <w:pStyle w:val="Tabletext"/>
              <w:rPr>
                <w:rFonts w:eastAsia="Calibri"/>
              </w:rPr>
            </w:pPr>
            <w:r w:rsidRPr="00EE72AB">
              <w:rPr>
                <w:rFonts w:eastAsia="Calibri"/>
              </w:rPr>
              <w:t>2019 CSR 2.3</w:t>
            </w:r>
          </w:p>
          <w:p w14:paraId="6C16528B" w14:textId="77777777" w:rsidR="0020727F" w:rsidRPr="00EE72AB" w:rsidRDefault="0020727F" w:rsidP="00EE72AB">
            <w:pPr>
              <w:pStyle w:val="Tabletext"/>
              <w:rPr>
                <w:rFonts w:eastAsia="Calibri"/>
              </w:rPr>
            </w:pPr>
            <w:r w:rsidRPr="00EE72AB">
              <w:rPr>
                <w:rFonts w:eastAsia="Calibri"/>
              </w:rPr>
              <w:t>2019 CSR 2.7</w:t>
            </w:r>
          </w:p>
        </w:tc>
        <w:tc>
          <w:tcPr>
            <w:tcW w:w="2400" w:type="dxa"/>
            <w:tcMar>
              <w:top w:w="0" w:type="dxa"/>
              <w:left w:w="40" w:type="dxa"/>
              <w:bottom w:w="0" w:type="dxa"/>
              <w:right w:w="40" w:type="dxa"/>
            </w:tcMar>
          </w:tcPr>
          <w:p w14:paraId="2F69885F"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74E8E428" w14:textId="77777777" w:rsidTr="00EE72AB">
        <w:trPr>
          <w:trHeight w:val="113"/>
          <w:jc w:val="center"/>
        </w:trPr>
        <w:tc>
          <w:tcPr>
            <w:tcW w:w="4050" w:type="dxa"/>
            <w:tcMar>
              <w:top w:w="0" w:type="dxa"/>
              <w:left w:w="40" w:type="dxa"/>
              <w:bottom w:w="0" w:type="dxa"/>
              <w:right w:w="40" w:type="dxa"/>
            </w:tcMar>
          </w:tcPr>
          <w:p w14:paraId="1284EADF" w14:textId="1AE573EE" w:rsidR="0020727F" w:rsidRPr="00EE72AB" w:rsidRDefault="00BA03C0" w:rsidP="00EE72AB">
            <w:pPr>
              <w:pStyle w:val="Tabletext"/>
              <w:rPr>
                <w:rFonts w:eastAsia="Calibri"/>
              </w:rPr>
            </w:pPr>
            <w:r w:rsidRPr="00BA03C0">
              <w:rPr>
                <w:rFonts w:eastAsia="Calibri"/>
                <w:b/>
              </w:rPr>
              <w:t>INVESTMENT 5:</w:t>
            </w:r>
            <w:r w:rsidR="0020727F" w:rsidRPr="00EE72AB">
              <w:rPr>
                <w:rFonts w:eastAsia="Calibri"/>
              </w:rPr>
              <w:t xml:space="preserve"> Gaining professional/work experience for unemployed people aged 30 and over, through open-type programmes</w:t>
            </w:r>
          </w:p>
        </w:tc>
        <w:tc>
          <w:tcPr>
            <w:tcW w:w="1320" w:type="dxa"/>
            <w:tcMar>
              <w:top w:w="0" w:type="dxa"/>
              <w:left w:w="40" w:type="dxa"/>
              <w:bottom w:w="0" w:type="dxa"/>
              <w:right w:w="40" w:type="dxa"/>
            </w:tcMar>
          </w:tcPr>
          <w:p w14:paraId="10333A91" w14:textId="77777777" w:rsidR="0020727F" w:rsidRPr="00EE72AB" w:rsidRDefault="0020727F" w:rsidP="00EE72AB">
            <w:pPr>
              <w:pStyle w:val="Tabletext"/>
              <w:rPr>
                <w:rFonts w:eastAsia="Calibri"/>
              </w:rPr>
            </w:pPr>
            <w:r w:rsidRPr="00EE72AB">
              <w:rPr>
                <w:rFonts w:eastAsia="Calibri"/>
              </w:rPr>
              <w:t>MFF</w:t>
            </w:r>
          </w:p>
        </w:tc>
        <w:tc>
          <w:tcPr>
            <w:tcW w:w="1575" w:type="dxa"/>
            <w:tcMar>
              <w:top w:w="0" w:type="dxa"/>
              <w:left w:w="40" w:type="dxa"/>
              <w:bottom w:w="0" w:type="dxa"/>
              <w:right w:w="40" w:type="dxa"/>
            </w:tcMar>
          </w:tcPr>
          <w:p w14:paraId="185A8014" w14:textId="77777777" w:rsidR="0020727F" w:rsidRPr="00EE72AB" w:rsidRDefault="0020727F" w:rsidP="00EE72AB">
            <w:pPr>
              <w:pStyle w:val="Tabletext"/>
              <w:rPr>
                <w:rFonts w:eastAsia="Calibri"/>
              </w:rPr>
            </w:pPr>
            <w:r w:rsidRPr="00EE72AB">
              <w:rPr>
                <w:rFonts w:eastAsia="Calibri"/>
              </w:rPr>
              <w:t>2020 CSR 3.8</w:t>
            </w:r>
          </w:p>
          <w:p w14:paraId="62F049F8" w14:textId="77777777" w:rsidR="0020727F" w:rsidRPr="00EE72AB" w:rsidRDefault="0020727F" w:rsidP="00EE72AB">
            <w:pPr>
              <w:pStyle w:val="Tabletext"/>
              <w:rPr>
                <w:rFonts w:eastAsia="Calibri"/>
              </w:rPr>
            </w:pPr>
            <w:r w:rsidRPr="00EE72AB">
              <w:rPr>
                <w:rFonts w:eastAsia="Calibri"/>
              </w:rPr>
              <w:t>2019 CSR 2.7</w:t>
            </w:r>
          </w:p>
        </w:tc>
        <w:tc>
          <w:tcPr>
            <w:tcW w:w="2400" w:type="dxa"/>
            <w:tcMar>
              <w:top w:w="0" w:type="dxa"/>
              <w:left w:w="40" w:type="dxa"/>
              <w:bottom w:w="0" w:type="dxa"/>
              <w:right w:w="40" w:type="dxa"/>
            </w:tcMar>
          </w:tcPr>
          <w:p w14:paraId="37528C9B" w14:textId="77777777" w:rsidR="0020727F" w:rsidRPr="00EE72AB" w:rsidRDefault="0020727F" w:rsidP="00EE72AB">
            <w:pPr>
              <w:pStyle w:val="Tabletext"/>
              <w:rPr>
                <w:rFonts w:eastAsia="Calibri"/>
              </w:rPr>
            </w:pPr>
            <w:r w:rsidRPr="00EE72AB">
              <w:rPr>
                <w:rFonts w:eastAsia="Calibri"/>
              </w:rPr>
              <w:t>Social and Economic resilience</w:t>
            </w:r>
          </w:p>
        </w:tc>
      </w:tr>
    </w:tbl>
    <w:p w14:paraId="1468CA3F" w14:textId="41FD3BA4" w:rsidR="0020727F" w:rsidRDefault="0020727F" w:rsidP="008A627E">
      <w:pPr>
        <w:rPr>
          <w:rFonts w:eastAsia="Calibri"/>
        </w:rPr>
      </w:pPr>
    </w:p>
    <w:p w14:paraId="4DB200D7"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reform</w:t>
      </w:r>
      <w:r w:rsidRPr="00920844">
        <w:rPr>
          <w:rFonts w:eastAsia="Calibri"/>
          <w:lang w:val="en-US"/>
        </w:rPr>
        <w:t xml:space="preserve"> </w:t>
      </w:r>
      <w:r w:rsidRPr="00920844">
        <w:rPr>
          <w:rFonts w:eastAsia="Calibri"/>
          <w:b/>
          <w:lang w:val="en-US"/>
        </w:rPr>
        <w:t>“Active Labour Market Policies - ALMP”</w:t>
      </w:r>
      <w:r w:rsidRPr="00920844">
        <w:rPr>
          <w:rFonts w:eastAsia="Calibri"/>
          <w:lang w:val="en-US"/>
        </w:rPr>
        <w:t xml:space="preserve"> seeks to enhance the effectiveness of wage subsidy programs by redesigning and strengthening them, while gradually transitioning to a new model for the delivery of Active Labour Market Policies (ALMPs). It includes several key components aimed at both the improvement of employment opportunities in conformity with the fourth principle of the European Pillar of Social Rights which is referred to Active Support to Employment, as well as the provision and acquisition of skills and competences needed specifically for the green transition. First, it introduces five targeted short-term employment programs designed to subsidize private sector jobs for 41,500 unemployed individuals who face significant barriers to re-entering the labor market. Additionally, the reform will expand the implementation of a newly pilot-tested open framework model for ALMP delivery to three additional regions, which consistently experience the highest unemployment rates in Greece. To support this transition, 600 short-term employment counselors will be temporarily hired for a four-year period to increase the immediate capacity of the Public Employment Service (DYPA). Furthermore, a specialized training program will be provided to enhance the counseling skills of the existing counselor workforce, enabling them to better serve both job seekers and employers. Therefore, the identified CSRs’ focus on skills and competences development aiming to increase employability, matches with the reform actions taken so far and the planned actions for the following implementation period. The reform is scheduled for full implementation within 2026.</w:t>
      </w:r>
    </w:p>
    <w:p w14:paraId="40D7067B"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reform “Strengthening the Apprenticeship System”,</w:t>
      </w:r>
      <w:r w:rsidRPr="00920844">
        <w:rPr>
          <w:rFonts w:eastAsia="Calibri"/>
          <w:lang w:val="en-US"/>
        </w:rPr>
        <w:t xml:space="preserve">  a main contributing measure to the first principle of the European Pillar of Social Rights</w:t>
      </w:r>
      <w:r w:rsidRPr="00920844">
        <w:rPr>
          <w:rFonts w:eastAsia="Calibri"/>
          <w:b/>
          <w:lang w:val="en-US"/>
        </w:rPr>
        <w:t xml:space="preserve"> ‘’</w:t>
      </w:r>
      <w:r w:rsidRPr="00920844">
        <w:rPr>
          <w:rFonts w:eastAsia="Calibri"/>
          <w:lang w:val="en-US"/>
        </w:rPr>
        <w:t xml:space="preserve">Education, training and life-long learning’’, aims to reestablish the DYPA EPAS (Apprenticeship Vocational Schools) as an integral part of the governmental strategy towards ensuring effective VET delivery and reducing youth unemployment. More specifically, the key objectives of the reform are a) to support youth in updating their qualifications and skills, and/or acquiring new, especially green and digital; b) to benefit the employers with a skilled workforce, while encouraging productivity and innovation; c) to provide upskilling opportunities for teaching staff and trainers. The action includes 1) a new legal framework for the VET national system; 2) simplification of the learning processes and integration of new methodologies and tools such as e-learning platforms and digitalized training </w:t>
      </w:r>
      <w:r w:rsidRPr="00920844">
        <w:rPr>
          <w:rFonts w:eastAsia="Calibri"/>
          <w:lang w:val="en-US"/>
        </w:rPr>
        <w:lastRenderedPageBreak/>
        <w:t>content both for apprentices and trainers; 3) assessment, redesign and update of curricula in order to align them with the actual labour market needs; 4) renewal and modernization of VET infrastructure (laboratories and equipment); 5) renovation of EPAS buildings to improve energy efficiency and spatial functionality; 6) integration of virtual-reality technology into everyday learning modules; 7) implementation of an extensive “train the trainers” program in EPAS schools for DYPA’s educational personnel; 8) implementation of a communication campaign to promote the apprenticeship system. The identified CSRs that this reform corresponds to, aim for the improvement of the effectiveness and digitalisation of the public administration, the  provision and acquisitions of skills and competences needed for the green transition, with the eye on improving employability, activation, and education of the identified target groups, and are therefore strongly connected with this reform’s undertaken and planned actions. The reform is scheduled for full implementation within 2026.</w:t>
      </w:r>
    </w:p>
    <w:p w14:paraId="14207660"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 xml:space="preserve">RRF reform </w:t>
      </w:r>
      <w:r w:rsidRPr="00920844">
        <w:rPr>
          <w:rFonts w:eastAsia="Calibri"/>
          <w:lang w:val="en-US"/>
        </w:rPr>
        <w:t>‘’</w:t>
      </w:r>
      <w:r w:rsidRPr="00920844">
        <w:rPr>
          <w:rFonts w:eastAsia="Calibri"/>
          <w:b/>
          <w:lang w:val="en-US"/>
        </w:rPr>
        <w:t xml:space="preserve">Labor force skilling, reskilling and upskilling through a reformed training model (Vocational Education &amp; Training REFORM)’’ </w:t>
      </w:r>
      <w:r w:rsidRPr="00920844">
        <w:rPr>
          <w:rFonts w:eastAsia="Calibri"/>
          <w:lang w:val="en-US"/>
        </w:rPr>
        <w:t>aims to improve quality control within the vocational training units of the Public Employment Service (DYPA) by introducing evaluation systems to monitor trainees' progress and performance. It also aims to modernise training modules to align them with current and expected labour market needs, as part of a wider upgrading of DYPA's ALMPs and being in alignment with the first principle of the European Pillar of Social Rights which promotes ‘’Education, training and life-long learning’’. In addition, the reform promotes the integration of e-learning and the digitisation of training content. These efforts will be complemented by investments in the renovation of laboratories and the provision of new equipment. The actions of this reform aim to follow the identified CSRs by improving the effectiveness and digitalisation of the Public Employment Service, with the long-term target to improve the skills, activation, and employability of its target groups. The reform is expected to be fully implemented within 2026.</w:t>
      </w:r>
    </w:p>
    <w:p w14:paraId="3C6A049C"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reform ‘’A New Strategy for Lifelong Skilling: Modernising and Upgrading Greece’s Upskilling and Reskilling System’’</w:t>
      </w:r>
      <w:r w:rsidRPr="00920844">
        <w:rPr>
          <w:rFonts w:eastAsia="Calibri"/>
          <w:lang w:val="en-US"/>
        </w:rPr>
        <w:t xml:space="preserve"> aims to improve the framework for lifelong learning with a view to increasing its quality and relevance to the labour market. It aims to strengthen the monitoring of and alignment with labour market needs by modernising, upgrading and interconnecting existing datasets across different ministries and agencies, including the Labour Market Diagnostic Mechanism. The reform already introduced Lifelong Skilling Accounts (LSAs), which will serve as the main tool for the provision of continuous training tailored to individual needs, responding to the first principle of the European Pillar of Social Rights which concerns ‘’Education, training and life-long learning’’, and in addition it will create a new National List of Eligible Training Providers, applying minimum quality standards for trainers. This initiative will be supported by investment in horizontal skills programmes targeting different population groups and focusing on basic and intermediate digital skills, green skills and financial literacy. As the initiatives of this reform aim to modernise and interconnect the databases among ministries </w:t>
      </w:r>
      <w:r w:rsidRPr="00920844">
        <w:rPr>
          <w:rFonts w:eastAsia="Calibri"/>
          <w:lang w:val="en-US"/>
        </w:rPr>
        <w:lastRenderedPageBreak/>
        <w:t>and agencies with the ultimate target to increase activation support offered by the corresponding Agencies, employability and skills acquisitions for the labour force, the CSRs identified above which focus on digitisation of administration and improvement of skills and employability are satisfied.  The reform is expected to be fully implemented within 2026.</w:t>
      </w:r>
    </w:p>
    <w:p w14:paraId="4A3FB64E"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“Reform of Passive Labour Market Policies to Support Transitions to Employment’’</w:t>
      </w:r>
      <w:r w:rsidRPr="00920844">
        <w:rPr>
          <w:rFonts w:eastAsia="Calibri"/>
          <w:lang w:val="en-US"/>
        </w:rPr>
        <w:t xml:space="preserve"> is an RRF reform which includes  a forthcoming pilot project aimed at improving the unemployment insurance system, meeting the principle of the European Pillar of Social Rights which refers to  ‘’Unemployment benefits’’. This project will assess the labour market impact of unemployment benefits. In addition, the measure will introduce cost-neutral reforms aimed at implementing the framework of mutual obligations between the PES and jobseekers, consolidating unemployment benefits and allowances to improve the efficiency of public spending, and removing disincentives to upskilling or retraining by ensuring that unemployed people retain their entitlement to benefits while participating in training programmes. The identified CSRs connected to this reform focus on activation support of the unemployed target group, as well as boosting their competitiveness via skills development, and are therefore strongly connected to the actions, planned and taken, of this reform.  The reform is scheduled to be fully implemented by 2025.</w:t>
      </w:r>
    </w:p>
    <w:p w14:paraId="09419BD1"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 “Digital Transformation of Labour Systems”,</w:t>
      </w:r>
      <w:r w:rsidRPr="00920844">
        <w:rPr>
          <w:rFonts w:eastAsia="Calibri"/>
          <w:lang w:val="en-US"/>
        </w:rPr>
        <w:t xml:space="preserve"> in accordance with the principle of the European Pillar of Social Rights about ‘’Secure and adaptable employment’’, focuses on the modernisation of the public administration’s capacity in order to address key challenges including a) the minimization of the bureaucratic paperwork, b) the simplification of the labour market monitoring and c) the increase of its effectiveness. The investment consists of upgrading the digital infrastructure of e-EFKA (Unified Social Security Fund), including the Digital Pension Award system (ATLAS), and the interconnection of disparate IT systems (ERGANI, EFKA and SEPE) under a single system (ARIADNE). The main target of a unified IT system is to integrate the majority of the operations, contributing to lower administrative burden and costs. Finally, the investment will contribute to the development of an integrated IT system for occupational health and safety issues (HERIDANOS). The scope of the aforementioned system is to support the National Strategy for Health and Safety at Work (2021-2027) aiming to reduce occupational accidents and diseases and promote health and safety in small and medium-sized workplaces, which are the majority in the Greek economy. As this investment aims to increase the efficiency and administrative capacity of multiple public administration agencies by digitisation, it is strongly connected to the corresponding CSRs.  The investment is scheduled for full implementation within 2026.</w:t>
      </w:r>
    </w:p>
    <w:p w14:paraId="35034D5C"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 “Restructuring and rebranding of DYPA local PES (KPA2)”</w:t>
      </w:r>
      <w:r w:rsidRPr="00920844">
        <w:rPr>
          <w:rFonts w:eastAsia="Calibri"/>
          <w:lang w:val="en-US"/>
        </w:rPr>
        <w:t xml:space="preserve"> aims to upgrade Greece’s public employment service (DYPA) with a view to improving the quality of its services </w:t>
      </w:r>
      <w:r w:rsidRPr="00920844">
        <w:rPr>
          <w:rFonts w:eastAsia="Calibri"/>
          <w:lang w:val="en-US"/>
        </w:rPr>
        <w:lastRenderedPageBreak/>
        <w:t>in accordance with the first principle of the European Pillar of Social Rights ‘’Education, training and life-long learning’’, and its overall capacity and effectiveness including digitalization. The main components of the aforementioned investment are: a) an organizational reform of the Public Employment Service (DYPA) updating its governance model into a more flexible one and establishing a new organizational chart and financial management system;  b) the redesign and building renovation of DYPA’s 118 local branches for the promotion of employment (KPA2), with a renewed focus on customized matching services, enhanced counseling, and outreach; c) a new communication strategy of DYPA; d) the improvement of customer service quality control mechanisms, with a customer centered orientation; and e) the implementation of new modern forms of profiling and counseling services. This investment aims to increase the capacity and effectiveness of the local branches by taking initiatives for the digitisation and modernisation of their offered services, and is therefore connected to the identified CSRs with the same goals.  The investment is scheduled for full implementation within 2026.</w:t>
      </w:r>
    </w:p>
    <w:p w14:paraId="5ABB913F"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which focuses on the</w:t>
      </w:r>
      <w:r w:rsidRPr="00920844">
        <w:rPr>
          <w:rFonts w:eastAsia="Calibri"/>
          <w:b/>
          <w:lang w:val="en-US"/>
        </w:rPr>
        <w:t xml:space="preserve"> ‘’Digital transformation of the Public Employment Service (DYPA)’’ </w:t>
      </w:r>
      <w:r w:rsidRPr="00920844">
        <w:rPr>
          <w:rFonts w:eastAsia="Calibri"/>
          <w:lang w:val="en-US"/>
        </w:rPr>
        <w:t>aims to improve the effectiveness of its services. It already achieved the digitisation and storage of DYPA's archives, and is moving on to the development of new IT systems - including both web-based and native applications - and the redesign of certain existing operating systems. In addition, the investment will expand digital services through the DYPAapp, enabling the provision of e-services to both the unemployed and businesses via mobile phones and tablets, and develop a tool to optimise the matching of labour supply and demand.  The investment aims to improve data management and decision-making processes, maximise resources and increase customer satisfaction, in accordance with the principle of the European Pillar of Social Rights ‘’Education, training and life-long learning’’.  The completed and planned initiatives of this investment satisfy the identified CSRs as they aim to improve the capacities and quality of the offered services to the labour market target groups by digitising and modernising the infrastructures and processes of the Public Employment Service. The investment is expected to be fully implemented within 2026.</w:t>
      </w:r>
    </w:p>
    <w:p w14:paraId="68BFFB05" w14:textId="77777777" w:rsidR="0020727F" w:rsidRPr="00920844" w:rsidRDefault="0020727F" w:rsidP="00920844">
      <w:pPr>
        <w:rPr>
          <w:rFonts w:eastAsia="Calibri"/>
          <w:lang w:val="en-US"/>
        </w:rPr>
      </w:pPr>
      <w:r w:rsidRPr="00920844">
        <w:rPr>
          <w:rFonts w:eastAsia="Calibri"/>
          <w:lang w:val="en-US"/>
        </w:rPr>
        <w:t xml:space="preserve">An important investment of the Ministry that will be funded by the NSRF 2021-27, concerns the full development of the </w:t>
      </w:r>
      <w:r w:rsidRPr="00920844">
        <w:rPr>
          <w:rFonts w:eastAsia="Calibri"/>
          <w:b/>
          <w:lang w:val="en-US"/>
        </w:rPr>
        <w:t xml:space="preserve">Mechanism of labour market diagnosis. </w:t>
      </w:r>
      <w:r w:rsidRPr="00920844">
        <w:rPr>
          <w:rFonts w:eastAsia="Calibri"/>
          <w:lang w:val="en-US"/>
        </w:rPr>
        <w:t xml:space="preserve">The mechanism is already operational, ensuring the valid and timely identification of the supply and demand of occupations and skills by gender, age, educational level, sector of economic activity, employment status and type of contract, at Country level, Region, Regional Unit and Municipality, to support evidence-based policy making and the formulation of the National Skills Strategy. Next steps, projected to be completed by the end of NRSF programmatic period, include (inter alia): (a) the full development of a tool for highlighting the most dynamic technical skills clusters in each sector of economic activity, (b) the integration of the employment data of farmers, (c) the operation of a tool for real-time matching of occupational demand and skills and (d) the operation of an artificial intelligence tool to support lifelong study/career counseling for </w:t>
      </w:r>
      <w:r w:rsidRPr="00920844">
        <w:rPr>
          <w:rFonts w:eastAsia="Calibri"/>
          <w:lang w:val="en-US"/>
        </w:rPr>
        <w:lastRenderedPageBreak/>
        <w:t>different groups of beneficiaries and especially for youth. The action promotes principles and rights of the European Pillar of Social Rights, such as active support to employment as well as education, training and life-long learning.</w:t>
      </w:r>
    </w:p>
    <w:p w14:paraId="280DE68E" w14:textId="77777777" w:rsidR="0020727F" w:rsidRPr="00920844" w:rsidRDefault="0020727F" w:rsidP="00920844">
      <w:pPr>
        <w:rPr>
          <w:rFonts w:eastAsia="Calibri"/>
          <w:lang w:val="en-US"/>
        </w:rPr>
      </w:pPr>
      <w:r w:rsidRPr="00920844">
        <w:rPr>
          <w:rFonts w:eastAsia="Calibri"/>
          <w:lang w:val="en-US"/>
        </w:rPr>
        <w:t xml:space="preserve">An important investment of the Ministry concerns the </w:t>
      </w:r>
      <w:r w:rsidRPr="00920844">
        <w:rPr>
          <w:rFonts w:eastAsia="Calibri"/>
          <w:b/>
          <w:lang w:val="en-US"/>
        </w:rPr>
        <w:t>gaining of professional/work experience for unemployed people aged 30 years and above, through open framework programmes (OPEN FRAMEWORK MODEL).</w:t>
      </w:r>
      <w:r w:rsidRPr="00920844">
        <w:rPr>
          <w:rFonts w:eastAsia="Calibri"/>
          <w:lang w:val="en-US"/>
        </w:rPr>
        <w:t xml:space="preserve"> Emphasis will be placed on groups with a long absence from the labour market and groups particularly affected by unemployment, such as the long-term unemployed, unemployed women, recipients of guaranteed minimum income, and the middle-aged unemployed (45-64 years old). Beneficiaries will not fill existing jobs and will not replace employees/workers of the enterprise (redundancies) in which they will be placed. The action serves the principles of the European Pillar of Social Rights in terms of gender equality, equal opportunities, active support to employment and social protection - and will remain open for applications until the end of the NSRF 2021-27 programming period and the budget’s exhaustion.</w:t>
      </w:r>
    </w:p>
    <w:p w14:paraId="2AE5E077" w14:textId="77777777" w:rsidR="0020727F" w:rsidRPr="00920844" w:rsidRDefault="0020727F" w:rsidP="008A627E">
      <w:pPr>
        <w:rPr>
          <w:rFonts w:eastAsia="Calibri"/>
          <w:lang w:val="en-US"/>
        </w:rPr>
      </w:pPr>
    </w:p>
    <w:p w14:paraId="1F2C358F" w14:textId="2C69E9A4" w:rsidR="00987A40" w:rsidRPr="000D4DE6" w:rsidRDefault="00185C04" w:rsidP="00C33755">
      <w:pPr>
        <w:pStyle w:val="Heading2"/>
        <w:pBdr>
          <w:bottom w:val="single" w:sz="18" w:space="1" w:color="FF3300"/>
        </w:pBdr>
        <w:rPr>
          <w:lang w:val="en-US"/>
        </w:rPr>
      </w:pPr>
      <w:bookmarkStart w:id="99" w:name="_Toc177496810"/>
      <w:bookmarkStart w:id="100" w:name="_Toc178070112"/>
      <w:r>
        <w:rPr>
          <w:lang w:val="en-US"/>
        </w:rPr>
        <w:t>M</w:t>
      </w:r>
      <w:r w:rsidRPr="000D4DE6">
        <w:rPr>
          <w:lang w:val="en-US"/>
        </w:rPr>
        <w:t xml:space="preserve">inistry of </w:t>
      </w:r>
      <w:bookmarkEnd w:id="99"/>
      <w:r>
        <w:rPr>
          <w:lang w:val="en-US"/>
        </w:rPr>
        <w:t>J</w:t>
      </w:r>
      <w:r w:rsidRPr="000D4DE6">
        <w:rPr>
          <w:lang w:val="en-US"/>
        </w:rPr>
        <w:t>ustice</w:t>
      </w:r>
      <w:bookmarkEnd w:id="100"/>
    </w:p>
    <w:p w14:paraId="78C3B65E" w14:textId="3852931A" w:rsidR="00987A40" w:rsidRDefault="00987A40" w:rsidP="00987A40">
      <w:pPr>
        <w:spacing w:line="240" w:lineRule="auto"/>
        <w:rPr>
          <w:rFonts w:ascii="Calibri" w:eastAsia="Calibri" w:hAnsi="Calibri" w:cs="Calibri"/>
          <w:sz w:val="24"/>
          <w:szCs w:val="24"/>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485"/>
        <w:gridCol w:w="1514"/>
        <w:gridCol w:w="1457"/>
        <w:gridCol w:w="2616"/>
      </w:tblGrid>
      <w:tr w:rsidR="0020727F" w:rsidRPr="00EE72AB" w14:paraId="7032DC74" w14:textId="77777777" w:rsidTr="00EE72AB">
        <w:trPr>
          <w:trHeight w:val="113"/>
          <w:jc w:val="center"/>
        </w:trPr>
        <w:tc>
          <w:tcPr>
            <w:tcW w:w="3600" w:type="dxa"/>
            <w:shd w:val="clear" w:color="auto" w:fill="CFE2F3"/>
            <w:tcMar>
              <w:top w:w="0" w:type="dxa"/>
              <w:left w:w="100" w:type="dxa"/>
              <w:bottom w:w="0" w:type="dxa"/>
              <w:right w:w="100" w:type="dxa"/>
            </w:tcMar>
          </w:tcPr>
          <w:p w14:paraId="4ADCF83B" w14:textId="77777777" w:rsidR="0020727F" w:rsidRPr="00EE72AB" w:rsidRDefault="0020727F" w:rsidP="00EE72AB">
            <w:pPr>
              <w:pStyle w:val="Tabletext"/>
              <w:rPr>
                <w:rFonts w:eastAsia="Calibri"/>
                <w:b/>
              </w:rPr>
            </w:pPr>
            <w:r w:rsidRPr="00EE72AB">
              <w:rPr>
                <w:rFonts w:eastAsia="Calibri"/>
                <w:b/>
              </w:rPr>
              <w:t>REFORM / INVESTMENT</w:t>
            </w:r>
          </w:p>
        </w:tc>
        <w:tc>
          <w:tcPr>
            <w:tcW w:w="1560" w:type="dxa"/>
            <w:shd w:val="clear" w:color="auto" w:fill="CFE2F3"/>
            <w:tcMar>
              <w:top w:w="0" w:type="dxa"/>
              <w:left w:w="100" w:type="dxa"/>
              <w:bottom w:w="0" w:type="dxa"/>
              <w:right w:w="100" w:type="dxa"/>
            </w:tcMar>
          </w:tcPr>
          <w:p w14:paraId="1A2BDBEF" w14:textId="77777777" w:rsidR="0020727F" w:rsidRPr="00EE72AB" w:rsidRDefault="0020727F" w:rsidP="00EE72AB">
            <w:pPr>
              <w:pStyle w:val="Tabletext"/>
              <w:rPr>
                <w:rFonts w:eastAsia="Calibri"/>
                <w:b/>
              </w:rPr>
            </w:pPr>
            <w:r w:rsidRPr="00EE72AB">
              <w:rPr>
                <w:rFonts w:eastAsia="Calibri"/>
                <w:b/>
              </w:rPr>
              <w:t>RRF / MFF</w:t>
            </w:r>
          </w:p>
        </w:tc>
        <w:tc>
          <w:tcPr>
            <w:tcW w:w="1500" w:type="dxa"/>
            <w:shd w:val="clear" w:color="auto" w:fill="CFE2F3"/>
            <w:tcMar>
              <w:top w:w="0" w:type="dxa"/>
              <w:left w:w="100" w:type="dxa"/>
              <w:bottom w:w="0" w:type="dxa"/>
              <w:right w:w="100" w:type="dxa"/>
            </w:tcMar>
          </w:tcPr>
          <w:p w14:paraId="1FA113E7" w14:textId="77777777" w:rsidR="0020727F" w:rsidRPr="00EE72AB" w:rsidRDefault="0020727F" w:rsidP="00EE72AB">
            <w:pPr>
              <w:pStyle w:val="Tabletext"/>
              <w:rPr>
                <w:rFonts w:eastAsia="Calibri"/>
                <w:b/>
              </w:rPr>
            </w:pPr>
            <w:r w:rsidRPr="00EE72AB">
              <w:rPr>
                <w:rFonts w:eastAsia="Calibri"/>
                <w:b/>
              </w:rPr>
              <w:t>CSR</w:t>
            </w:r>
          </w:p>
        </w:tc>
        <w:tc>
          <w:tcPr>
            <w:tcW w:w="2700" w:type="dxa"/>
            <w:shd w:val="clear" w:color="auto" w:fill="CFE2F3"/>
            <w:tcMar>
              <w:top w:w="0" w:type="dxa"/>
              <w:left w:w="100" w:type="dxa"/>
              <w:bottom w:w="0" w:type="dxa"/>
              <w:right w:w="100" w:type="dxa"/>
            </w:tcMar>
          </w:tcPr>
          <w:p w14:paraId="0185419D" w14:textId="77777777" w:rsidR="0020727F" w:rsidRPr="00EE72AB" w:rsidRDefault="0020727F" w:rsidP="00EE72AB">
            <w:pPr>
              <w:pStyle w:val="Tabletext"/>
              <w:rPr>
                <w:rFonts w:eastAsia="Calibri"/>
                <w:b/>
              </w:rPr>
            </w:pPr>
            <w:r w:rsidRPr="00EE72AB">
              <w:rPr>
                <w:rFonts w:eastAsia="Calibri"/>
                <w:b/>
              </w:rPr>
              <w:t>COMMON PRIORITIES</w:t>
            </w:r>
          </w:p>
        </w:tc>
      </w:tr>
      <w:tr w:rsidR="0020727F" w:rsidRPr="00EE72AB" w14:paraId="77012C54" w14:textId="77777777" w:rsidTr="00EE72AB">
        <w:trPr>
          <w:trHeight w:val="113"/>
          <w:jc w:val="center"/>
        </w:trPr>
        <w:tc>
          <w:tcPr>
            <w:tcW w:w="3600" w:type="dxa"/>
            <w:tcMar>
              <w:top w:w="40" w:type="dxa"/>
              <w:left w:w="40" w:type="dxa"/>
              <w:bottom w:w="40" w:type="dxa"/>
              <w:right w:w="40" w:type="dxa"/>
            </w:tcMar>
          </w:tcPr>
          <w:p w14:paraId="6A4045BA" w14:textId="5A8AE4CD" w:rsidR="0020727F" w:rsidRPr="00EE72AB" w:rsidRDefault="00BA03C0" w:rsidP="00EE72AB">
            <w:pPr>
              <w:pStyle w:val="Tabletext"/>
              <w:rPr>
                <w:rFonts w:eastAsia="Calibri"/>
              </w:rPr>
            </w:pPr>
            <w:r w:rsidRPr="00BA03C0">
              <w:rPr>
                <w:rFonts w:eastAsia="Calibri"/>
                <w:b/>
              </w:rPr>
              <w:t>REFORM 1:</w:t>
            </w:r>
            <w:r w:rsidR="0020727F" w:rsidRPr="00EE72AB">
              <w:rPr>
                <w:rFonts w:eastAsia="Calibri"/>
              </w:rPr>
              <w:t xml:space="preserve"> Αccelerating the administration of justice _ Judicial Map</w:t>
            </w:r>
          </w:p>
        </w:tc>
        <w:tc>
          <w:tcPr>
            <w:tcW w:w="1560" w:type="dxa"/>
            <w:tcMar>
              <w:top w:w="40" w:type="dxa"/>
              <w:left w:w="40" w:type="dxa"/>
              <w:bottom w:w="40" w:type="dxa"/>
              <w:right w:w="40" w:type="dxa"/>
            </w:tcMar>
          </w:tcPr>
          <w:p w14:paraId="3EBFD20D" w14:textId="77777777" w:rsidR="0020727F" w:rsidRPr="00EE72AB" w:rsidRDefault="0020727F" w:rsidP="00EE72AB">
            <w:pPr>
              <w:pStyle w:val="Tabletext"/>
              <w:rPr>
                <w:rFonts w:eastAsia="Calibri"/>
              </w:rPr>
            </w:pPr>
            <w:r w:rsidRPr="00EE72AB">
              <w:rPr>
                <w:rFonts w:eastAsia="Calibri"/>
              </w:rPr>
              <w:t>RRF 16575</w:t>
            </w:r>
          </w:p>
        </w:tc>
        <w:tc>
          <w:tcPr>
            <w:tcW w:w="1500" w:type="dxa"/>
            <w:tcMar>
              <w:top w:w="40" w:type="dxa"/>
              <w:left w:w="40" w:type="dxa"/>
              <w:bottom w:w="40" w:type="dxa"/>
              <w:right w:w="40" w:type="dxa"/>
            </w:tcMar>
          </w:tcPr>
          <w:p w14:paraId="5FEA22A0" w14:textId="77777777" w:rsidR="0020727F" w:rsidRPr="00EE72AB" w:rsidRDefault="0020727F" w:rsidP="00EE72AB">
            <w:pPr>
              <w:pStyle w:val="Tabletext"/>
              <w:rPr>
                <w:rFonts w:eastAsia="Calibri"/>
              </w:rPr>
            </w:pPr>
            <w:r w:rsidRPr="00EE72AB">
              <w:rPr>
                <w:rFonts w:eastAsia="Calibri"/>
              </w:rPr>
              <w:t>2020 CSR 3.9</w:t>
            </w:r>
          </w:p>
        </w:tc>
        <w:tc>
          <w:tcPr>
            <w:tcW w:w="2700" w:type="dxa"/>
            <w:tcMar>
              <w:top w:w="40" w:type="dxa"/>
              <w:left w:w="40" w:type="dxa"/>
              <w:bottom w:w="40" w:type="dxa"/>
              <w:right w:w="40" w:type="dxa"/>
            </w:tcMar>
          </w:tcPr>
          <w:p w14:paraId="343F2F2A"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E72AB" w14:paraId="22E08DFC" w14:textId="77777777" w:rsidTr="00EE72AB">
        <w:trPr>
          <w:trHeight w:val="113"/>
          <w:jc w:val="center"/>
        </w:trPr>
        <w:tc>
          <w:tcPr>
            <w:tcW w:w="3600" w:type="dxa"/>
            <w:tcMar>
              <w:top w:w="40" w:type="dxa"/>
              <w:left w:w="40" w:type="dxa"/>
              <w:bottom w:w="40" w:type="dxa"/>
              <w:right w:w="40" w:type="dxa"/>
            </w:tcMar>
          </w:tcPr>
          <w:p w14:paraId="030E9D10" w14:textId="69A1E021" w:rsidR="0020727F" w:rsidRPr="00EE72AB" w:rsidRDefault="00BA03C0" w:rsidP="00EE72AB">
            <w:pPr>
              <w:pStyle w:val="Tabletext"/>
              <w:rPr>
                <w:rFonts w:eastAsia="Calibri"/>
              </w:rPr>
            </w:pPr>
            <w:r w:rsidRPr="00BA03C0">
              <w:rPr>
                <w:rFonts w:eastAsia="Calibri"/>
                <w:b/>
              </w:rPr>
              <w:t>REFORM 2:</w:t>
            </w:r>
            <w:r w:rsidR="0020727F" w:rsidRPr="00EE72AB">
              <w:rPr>
                <w:rFonts w:eastAsia="Calibri"/>
              </w:rPr>
              <w:t xml:space="preserve">  Judicial Police</w:t>
            </w:r>
          </w:p>
        </w:tc>
        <w:tc>
          <w:tcPr>
            <w:tcW w:w="1560" w:type="dxa"/>
            <w:tcMar>
              <w:top w:w="40" w:type="dxa"/>
              <w:left w:w="40" w:type="dxa"/>
              <w:bottom w:w="40" w:type="dxa"/>
              <w:right w:w="40" w:type="dxa"/>
            </w:tcMar>
          </w:tcPr>
          <w:p w14:paraId="62AC1CBE" w14:textId="77777777" w:rsidR="0020727F" w:rsidRPr="00EE72AB" w:rsidRDefault="0020727F" w:rsidP="00EE72AB">
            <w:pPr>
              <w:pStyle w:val="Tabletext"/>
              <w:rPr>
                <w:rFonts w:eastAsia="Calibri"/>
              </w:rPr>
            </w:pPr>
            <w:r w:rsidRPr="00EE72AB">
              <w:rPr>
                <w:rFonts w:eastAsia="Calibri"/>
              </w:rPr>
              <w:t>RRF 16575</w:t>
            </w:r>
          </w:p>
        </w:tc>
        <w:tc>
          <w:tcPr>
            <w:tcW w:w="1500" w:type="dxa"/>
            <w:tcMar>
              <w:top w:w="40" w:type="dxa"/>
              <w:left w:w="40" w:type="dxa"/>
              <w:bottom w:w="40" w:type="dxa"/>
              <w:right w:w="40" w:type="dxa"/>
            </w:tcMar>
          </w:tcPr>
          <w:p w14:paraId="7FD78C20" w14:textId="77777777" w:rsidR="0020727F" w:rsidRPr="00EE72AB" w:rsidRDefault="0020727F" w:rsidP="00EE72AB">
            <w:pPr>
              <w:pStyle w:val="Tabletext"/>
              <w:rPr>
                <w:rFonts w:eastAsia="Calibri"/>
              </w:rPr>
            </w:pPr>
            <w:r w:rsidRPr="00EE72AB">
              <w:rPr>
                <w:rFonts w:eastAsia="Calibri"/>
              </w:rPr>
              <w:t>2019 CSR 2.6</w:t>
            </w:r>
          </w:p>
          <w:p w14:paraId="0B279613" w14:textId="77777777" w:rsidR="0020727F" w:rsidRPr="00EE72AB" w:rsidRDefault="0020727F" w:rsidP="00EE72AB">
            <w:pPr>
              <w:pStyle w:val="Tabletext"/>
              <w:rPr>
                <w:rFonts w:eastAsia="Calibri"/>
              </w:rPr>
            </w:pPr>
            <w:r w:rsidRPr="00EE72AB">
              <w:rPr>
                <w:rFonts w:eastAsia="Calibri"/>
              </w:rPr>
              <w:t>2020 CSR 3.8</w:t>
            </w:r>
          </w:p>
        </w:tc>
        <w:tc>
          <w:tcPr>
            <w:tcW w:w="2700" w:type="dxa"/>
            <w:tcMar>
              <w:top w:w="40" w:type="dxa"/>
              <w:left w:w="40" w:type="dxa"/>
              <w:bottom w:w="40" w:type="dxa"/>
              <w:right w:w="40" w:type="dxa"/>
            </w:tcMar>
          </w:tcPr>
          <w:p w14:paraId="08B5007E" w14:textId="77777777" w:rsidR="0020727F" w:rsidRPr="00EE72AB" w:rsidRDefault="0020727F" w:rsidP="00EE72AB">
            <w:pPr>
              <w:pStyle w:val="Tabletext"/>
              <w:rPr>
                <w:rFonts w:eastAsia="Calibri"/>
              </w:rPr>
            </w:pPr>
            <w:r w:rsidRPr="00EE72AB">
              <w:rPr>
                <w:rFonts w:eastAsia="Calibri"/>
              </w:rPr>
              <w:t>Social and Economic resilience</w:t>
            </w:r>
          </w:p>
        </w:tc>
      </w:tr>
      <w:tr w:rsidR="0020727F" w:rsidRPr="00E204B7" w14:paraId="57A1C754" w14:textId="77777777" w:rsidTr="00EE72AB">
        <w:trPr>
          <w:trHeight w:val="113"/>
          <w:jc w:val="center"/>
        </w:trPr>
        <w:tc>
          <w:tcPr>
            <w:tcW w:w="3600" w:type="dxa"/>
            <w:tcMar>
              <w:top w:w="40" w:type="dxa"/>
              <w:left w:w="40" w:type="dxa"/>
              <w:bottom w:w="40" w:type="dxa"/>
              <w:right w:w="40" w:type="dxa"/>
            </w:tcMar>
          </w:tcPr>
          <w:p w14:paraId="1BB3B678" w14:textId="698F6984" w:rsidR="0020727F" w:rsidRPr="00EE72AB" w:rsidRDefault="00BA03C0" w:rsidP="00EE72AB">
            <w:pPr>
              <w:pStyle w:val="Tabletext"/>
              <w:rPr>
                <w:rFonts w:eastAsia="Calibri"/>
              </w:rPr>
            </w:pPr>
            <w:r w:rsidRPr="00BA03C0">
              <w:rPr>
                <w:rFonts w:eastAsia="Calibri"/>
                <w:b/>
              </w:rPr>
              <w:t>REFORM 3:</w:t>
            </w:r>
            <w:r w:rsidR="0020727F" w:rsidRPr="00EE72AB">
              <w:rPr>
                <w:rFonts w:eastAsia="Calibri"/>
              </w:rPr>
              <w:t xml:space="preserve"> Improve the efficiency of the justice system_Digital Transformation of Justice (E-Justice)</w:t>
            </w:r>
          </w:p>
        </w:tc>
        <w:tc>
          <w:tcPr>
            <w:tcW w:w="1560" w:type="dxa"/>
            <w:tcMar>
              <w:top w:w="40" w:type="dxa"/>
              <w:left w:w="40" w:type="dxa"/>
              <w:bottom w:w="40" w:type="dxa"/>
              <w:right w:w="40" w:type="dxa"/>
            </w:tcMar>
          </w:tcPr>
          <w:p w14:paraId="586BDCBA" w14:textId="77777777" w:rsidR="0020727F" w:rsidRPr="00EE72AB" w:rsidRDefault="0020727F" w:rsidP="00EE72AB">
            <w:pPr>
              <w:pStyle w:val="Tabletext"/>
              <w:rPr>
                <w:rFonts w:eastAsia="Calibri"/>
              </w:rPr>
            </w:pPr>
            <w:r w:rsidRPr="00EE72AB">
              <w:rPr>
                <w:rFonts w:eastAsia="Calibri"/>
              </w:rPr>
              <w:t>RRF 16727</w:t>
            </w:r>
          </w:p>
        </w:tc>
        <w:tc>
          <w:tcPr>
            <w:tcW w:w="1500" w:type="dxa"/>
            <w:tcMar>
              <w:top w:w="40" w:type="dxa"/>
              <w:left w:w="40" w:type="dxa"/>
              <w:bottom w:w="40" w:type="dxa"/>
              <w:right w:w="40" w:type="dxa"/>
            </w:tcMar>
          </w:tcPr>
          <w:p w14:paraId="3CFFC22F" w14:textId="77777777" w:rsidR="0020727F" w:rsidRPr="00EE72AB" w:rsidRDefault="0020727F" w:rsidP="00EE72AB">
            <w:pPr>
              <w:pStyle w:val="Tabletext"/>
              <w:rPr>
                <w:rFonts w:eastAsia="Calibri"/>
              </w:rPr>
            </w:pPr>
            <w:r w:rsidRPr="00EE72AB">
              <w:rPr>
                <w:rFonts w:eastAsia="Calibri"/>
              </w:rPr>
              <w:t>2019 CSR 2.3</w:t>
            </w:r>
          </w:p>
        </w:tc>
        <w:tc>
          <w:tcPr>
            <w:tcW w:w="2700" w:type="dxa"/>
            <w:tcMar>
              <w:top w:w="40" w:type="dxa"/>
              <w:left w:w="40" w:type="dxa"/>
              <w:bottom w:w="40" w:type="dxa"/>
              <w:right w:w="40" w:type="dxa"/>
            </w:tcMar>
          </w:tcPr>
          <w:p w14:paraId="3AC94D28" w14:textId="77777777" w:rsidR="0020727F" w:rsidRPr="00EE72AB" w:rsidRDefault="0020727F" w:rsidP="00EE72AB">
            <w:pPr>
              <w:pStyle w:val="Tabletext"/>
              <w:rPr>
                <w:rFonts w:eastAsia="Calibri"/>
              </w:rPr>
            </w:pPr>
            <w:r w:rsidRPr="00EE72AB">
              <w:rPr>
                <w:rFonts w:eastAsia="Calibri"/>
              </w:rPr>
              <w:t>A fair green and digital transition</w:t>
            </w:r>
          </w:p>
        </w:tc>
      </w:tr>
      <w:tr w:rsidR="0020727F" w:rsidRPr="00E204B7" w14:paraId="4A40D240" w14:textId="77777777" w:rsidTr="00EE72AB">
        <w:trPr>
          <w:trHeight w:val="113"/>
          <w:jc w:val="center"/>
        </w:trPr>
        <w:tc>
          <w:tcPr>
            <w:tcW w:w="3600" w:type="dxa"/>
            <w:tcMar>
              <w:top w:w="40" w:type="dxa"/>
              <w:left w:w="40" w:type="dxa"/>
              <w:bottom w:w="40" w:type="dxa"/>
              <w:right w:w="40" w:type="dxa"/>
            </w:tcMar>
          </w:tcPr>
          <w:p w14:paraId="7468CC83" w14:textId="24831D07" w:rsidR="0020727F" w:rsidRPr="00EE72AB" w:rsidRDefault="00BA03C0" w:rsidP="00EE72AB">
            <w:pPr>
              <w:pStyle w:val="Tabletext"/>
              <w:rPr>
                <w:rFonts w:eastAsia="Calibri"/>
              </w:rPr>
            </w:pPr>
            <w:r w:rsidRPr="00BA03C0">
              <w:rPr>
                <w:rFonts w:eastAsia="Calibri"/>
                <w:b/>
              </w:rPr>
              <w:t>REFORM 4:</w:t>
            </w:r>
            <w:r w:rsidR="0020727F" w:rsidRPr="00EE72AB">
              <w:rPr>
                <w:rFonts w:eastAsia="Calibri"/>
              </w:rPr>
              <w:t xml:space="preserve"> Case Management System for administrative records (‘’OSDDY-DD’’)</w:t>
            </w:r>
          </w:p>
        </w:tc>
        <w:tc>
          <w:tcPr>
            <w:tcW w:w="1560" w:type="dxa"/>
            <w:tcMar>
              <w:top w:w="40" w:type="dxa"/>
              <w:left w:w="40" w:type="dxa"/>
              <w:bottom w:w="40" w:type="dxa"/>
              <w:right w:w="40" w:type="dxa"/>
            </w:tcMar>
          </w:tcPr>
          <w:p w14:paraId="737AA61D" w14:textId="77777777" w:rsidR="0020727F" w:rsidRPr="00EE72AB" w:rsidRDefault="0020727F" w:rsidP="00EE72AB">
            <w:pPr>
              <w:pStyle w:val="Tabletext"/>
              <w:rPr>
                <w:rFonts w:eastAsia="Calibri"/>
              </w:rPr>
            </w:pPr>
            <w:r w:rsidRPr="00EE72AB">
              <w:rPr>
                <w:rFonts w:eastAsia="Calibri"/>
              </w:rPr>
              <w:t>MFF</w:t>
            </w:r>
          </w:p>
        </w:tc>
        <w:tc>
          <w:tcPr>
            <w:tcW w:w="1500" w:type="dxa"/>
            <w:tcMar>
              <w:top w:w="40" w:type="dxa"/>
              <w:left w:w="40" w:type="dxa"/>
              <w:bottom w:w="40" w:type="dxa"/>
              <w:right w:w="40" w:type="dxa"/>
            </w:tcMar>
          </w:tcPr>
          <w:p w14:paraId="43438F5C" w14:textId="77777777" w:rsidR="0020727F" w:rsidRPr="00EE72AB" w:rsidRDefault="0020727F" w:rsidP="00EE72AB">
            <w:pPr>
              <w:pStyle w:val="Tabletext"/>
              <w:rPr>
                <w:rFonts w:eastAsia="Calibri"/>
              </w:rPr>
            </w:pPr>
            <w:r w:rsidRPr="00EE72AB">
              <w:rPr>
                <w:rFonts w:eastAsia="Calibri"/>
              </w:rPr>
              <w:t>2019 CSR 2.3</w:t>
            </w:r>
          </w:p>
        </w:tc>
        <w:tc>
          <w:tcPr>
            <w:tcW w:w="2700" w:type="dxa"/>
            <w:tcMar>
              <w:top w:w="40" w:type="dxa"/>
              <w:left w:w="40" w:type="dxa"/>
              <w:bottom w:w="40" w:type="dxa"/>
              <w:right w:w="40" w:type="dxa"/>
            </w:tcMar>
          </w:tcPr>
          <w:p w14:paraId="11DF9AC2" w14:textId="77777777" w:rsidR="0020727F" w:rsidRPr="00EE72AB" w:rsidRDefault="0020727F" w:rsidP="00EE72AB">
            <w:pPr>
              <w:pStyle w:val="Tabletext"/>
              <w:rPr>
                <w:rFonts w:eastAsia="Calibri"/>
              </w:rPr>
            </w:pPr>
            <w:r w:rsidRPr="00EE72AB">
              <w:rPr>
                <w:rFonts w:eastAsia="Calibri"/>
              </w:rPr>
              <w:t>A fair green and digital transition</w:t>
            </w:r>
          </w:p>
        </w:tc>
      </w:tr>
      <w:tr w:rsidR="0020727F" w:rsidRPr="00E204B7" w14:paraId="3F0E7C36" w14:textId="77777777" w:rsidTr="00EE72AB">
        <w:trPr>
          <w:trHeight w:val="113"/>
          <w:jc w:val="center"/>
        </w:trPr>
        <w:tc>
          <w:tcPr>
            <w:tcW w:w="3600" w:type="dxa"/>
            <w:tcMar>
              <w:top w:w="40" w:type="dxa"/>
              <w:left w:w="40" w:type="dxa"/>
              <w:bottom w:w="40" w:type="dxa"/>
              <w:right w:w="40" w:type="dxa"/>
            </w:tcMar>
          </w:tcPr>
          <w:p w14:paraId="33CECFEC" w14:textId="26025311" w:rsidR="0020727F" w:rsidRPr="00EE72AB" w:rsidRDefault="0020727F" w:rsidP="00EE72AB">
            <w:pPr>
              <w:pStyle w:val="Tabletext"/>
              <w:rPr>
                <w:rFonts w:eastAsia="Calibri"/>
              </w:rPr>
            </w:pPr>
            <w:r w:rsidRPr="000A2698">
              <w:rPr>
                <w:rFonts w:eastAsia="Calibri"/>
                <w:b/>
              </w:rPr>
              <w:t>IΝVESTMENT</w:t>
            </w:r>
            <w:r w:rsidR="000A2698" w:rsidRPr="000A2698">
              <w:rPr>
                <w:rFonts w:eastAsia="Calibri"/>
                <w:b/>
              </w:rPr>
              <w:t xml:space="preserve"> </w:t>
            </w:r>
            <w:r w:rsidRPr="000A2698">
              <w:rPr>
                <w:rFonts w:eastAsia="Calibri"/>
                <w:b/>
              </w:rPr>
              <w:t>1:</w:t>
            </w:r>
            <w:r w:rsidRPr="00EE72AB">
              <w:rPr>
                <w:rFonts w:eastAsia="Calibri"/>
              </w:rPr>
              <w:t xml:space="preserve"> Improve the efficiency of the justice system_New Judicial Buildings</w:t>
            </w:r>
          </w:p>
        </w:tc>
        <w:tc>
          <w:tcPr>
            <w:tcW w:w="1560" w:type="dxa"/>
            <w:tcMar>
              <w:top w:w="40" w:type="dxa"/>
              <w:left w:w="40" w:type="dxa"/>
              <w:bottom w:w="40" w:type="dxa"/>
              <w:right w:w="40" w:type="dxa"/>
            </w:tcMar>
          </w:tcPr>
          <w:p w14:paraId="200B4F14" w14:textId="77777777" w:rsidR="0020727F" w:rsidRPr="00EE72AB" w:rsidRDefault="0020727F" w:rsidP="00EE72AB">
            <w:pPr>
              <w:pStyle w:val="Tabletext"/>
              <w:rPr>
                <w:rFonts w:eastAsia="Calibri"/>
              </w:rPr>
            </w:pPr>
            <w:r w:rsidRPr="00EE72AB">
              <w:rPr>
                <w:rFonts w:eastAsia="Calibri"/>
              </w:rPr>
              <w:t xml:space="preserve"> </w:t>
            </w:r>
          </w:p>
          <w:p w14:paraId="6CE56A89" w14:textId="77777777" w:rsidR="0020727F" w:rsidRPr="00EE72AB" w:rsidRDefault="0020727F" w:rsidP="00EE72AB">
            <w:pPr>
              <w:pStyle w:val="Tabletext"/>
              <w:rPr>
                <w:rFonts w:eastAsia="Calibri"/>
              </w:rPr>
            </w:pPr>
            <w:r w:rsidRPr="00EE72AB">
              <w:rPr>
                <w:rFonts w:eastAsia="Calibri"/>
              </w:rPr>
              <w:t>RRF 16292</w:t>
            </w:r>
          </w:p>
        </w:tc>
        <w:tc>
          <w:tcPr>
            <w:tcW w:w="1500" w:type="dxa"/>
            <w:tcMar>
              <w:top w:w="40" w:type="dxa"/>
              <w:left w:w="40" w:type="dxa"/>
              <w:bottom w:w="40" w:type="dxa"/>
              <w:right w:w="40" w:type="dxa"/>
            </w:tcMar>
          </w:tcPr>
          <w:p w14:paraId="3834F36B" w14:textId="77777777" w:rsidR="0020727F" w:rsidRPr="00EE72AB" w:rsidRDefault="0020727F" w:rsidP="00EE72AB">
            <w:pPr>
              <w:pStyle w:val="Tabletext"/>
              <w:rPr>
                <w:rFonts w:eastAsia="Calibri"/>
              </w:rPr>
            </w:pPr>
            <w:r w:rsidRPr="00EE72AB">
              <w:rPr>
                <w:rFonts w:eastAsia="Calibri"/>
              </w:rPr>
              <w:t>2022 CSR 4.5</w:t>
            </w:r>
          </w:p>
          <w:p w14:paraId="626B2E34" w14:textId="77777777" w:rsidR="0020727F" w:rsidRPr="00EE72AB" w:rsidRDefault="0020727F" w:rsidP="00EE72AB">
            <w:pPr>
              <w:pStyle w:val="Tabletext"/>
              <w:rPr>
                <w:rFonts w:eastAsia="Calibri"/>
              </w:rPr>
            </w:pPr>
            <w:r w:rsidRPr="00EE72AB">
              <w:rPr>
                <w:rFonts w:eastAsia="Calibri"/>
              </w:rPr>
              <w:t>2020 CSR 3.9</w:t>
            </w:r>
          </w:p>
        </w:tc>
        <w:tc>
          <w:tcPr>
            <w:tcW w:w="2700" w:type="dxa"/>
            <w:tcMar>
              <w:top w:w="40" w:type="dxa"/>
              <w:left w:w="40" w:type="dxa"/>
              <w:bottom w:w="40" w:type="dxa"/>
              <w:right w:w="40" w:type="dxa"/>
            </w:tcMar>
          </w:tcPr>
          <w:p w14:paraId="44D87508" w14:textId="77777777" w:rsidR="0020727F" w:rsidRPr="00EE72AB" w:rsidRDefault="0020727F" w:rsidP="00EE72AB">
            <w:pPr>
              <w:pStyle w:val="Tabletext"/>
              <w:rPr>
                <w:rFonts w:eastAsia="Calibri"/>
              </w:rPr>
            </w:pPr>
            <w:r w:rsidRPr="00EE72AB">
              <w:rPr>
                <w:rFonts w:eastAsia="Calibri"/>
              </w:rPr>
              <w:t>A fair green and digital transition</w:t>
            </w:r>
          </w:p>
        </w:tc>
      </w:tr>
    </w:tbl>
    <w:p w14:paraId="52E22B27" w14:textId="29C00853" w:rsidR="0020727F" w:rsidRDefault="0020727F" w:rsidP="00987A40">
      <w:pPr>
        <w:spacing w:line="240" w:lineRule="auto"/>
        <w:rPr>
          <w:rFonts w:ascii="Calibri" w:eastAsia="Calibri" w:hAnsi="Calibri" w:cs="Calibri"/>
          <w:sz w:val="24"/>
          <w:szCs w:val="24"/>
          <w:lang w:val="en-US"/>
        </w:rPr>
      </w:pPr>
    </w:p>
    <w:p w14:paraId="01480502" w14:textId="77777777" w:rsidR="0020727F" w:rsidRPr="00920844" w:rsidRDefault="0020727F" w:rsidP="00920844">
      <w:pPr>
        <w:rPr>
          <w:rFonts w:eastAsia="Calibri"/>
          <w:lang w:val="en-US"/>
        </w:rPr>
      </w:pPr>
      <w:r w:rsidRPr="00920844">
        <w:rPr>
          <w:rFonts w:eastAsia="Calibri"/>
          <w:lang w:val="en-US"/>
        </w:rPr>
        <w:t xml:space="preserve">The nationwide reform of the </w:t>
      </w:r>
      <w:r w:rsidRPr="00920844">
        <w:rPr>
          <w:rFonts w:eastAsia="Calibri"/>
          <w:b/>
          <w:lang w:val="en-US"/>
        </w:rPr>
        <w:t>judicial map revision</w:t>
      </w:r>
      <w:r w:rsidRPr="00920844">
        <w:rPr>
          <w:rFonts w:eastAsia="Calibri"/>
          <w:lang w:val="en-US"/>
        </w:rPr>
        <w:t>, under RRF,</w:t>
      </w:r>
      <w:r w:rsidRPr="00920844">
        <w:rPr>
          <w:rFonts w:eastAsia="Calibri"/>
          <w:b/>
          <w:lang w:val="en-US"/>
        </w:rPr>
        <w:t xml:space="preserve"> </w:t>
      </w:r>
      <w:r w:rsidRPr="00920844">
        <w:rPr>
          <w:rFonts w:eastAsia="Calibri"/>
          <w:lang w:val="en-US"/>
        </w:rPr>
        <w:t xml:space="preserve">aims to enhance the efficiency of judicial district organization. This initiative includes the establishment, abolition, or redistribution of judicial structures based on objective criteria. Relevant legislation has already been enacted, including Laws 5028/2023, and 5108/2024. Additionally, law 5134/2024, titled "Amendments to the Code of Civil Procedure, the Code on the Organization of Courts &amp; Status of Judicial Officers, and the Code of Criminal Procedure, Provisions for the Judicial Police", </w:t>
      </w:r>
      <w:r w:rsidRPr="00920844">
        <w:rPr>
          <w:rFonts w:eastAsia="Calibri"/>
          <w:lang w:val="en-US"/>
        </w:rPr>
        <w:lastRenderedPageBreak/>
        <w:t>initiates critical amendments to the Code of Civil Procedure and the Code on the Organization of Courts, which serve as prerequisites for the implementation of the revised judicial map. The measures are designed to reduce the backlog of court cases while improving the efficiency of justice and are expected to be fully implemented by the end of 2025.</w:t>
      </w:r>
    </w:p>
    <w:p w14:paraId="42F4CB6F" w14:textId="77777777" w:rsidR="0020727F" w:rsidRPr="00920844" w:rsidRDefault="0020727F" w:rsidP="00920844">
      <w:pPr>
        <w:rPr>
          <w:rFonts w:eastAsia="Calibri"/>
          <w:lang w:val="en-US"/>
        </w:rPr>
      </w:pPr>
      <w:r w:rsidRPr="00920844">
        <w:rPr>
          <w:rFonts w:eastAsia="Calibri"/>
          <w:lang w:val="en-US"/>
        </w:rPr>
        <w:t xml:space="preserve">The acceleration of the administration of justice goes hand in hand with the </w:t>
      </w:r>
      <w:r w:rsidRPr="00920844">
        <w:rPr>
          <w:rFonts w:eastAsia="Calibri"/>
          <w:b/>
          <w:lang w:val="en-US"/>
        </w:rPr>
        <w:t>RRF project concerning the creation of a judicial police</w:t>
      </w:r>
      <w:r w:rsidRPr="00920844">
        <w:rPr>
          <w:rFonts w:eastAsia="Calibri"/>
          <w:lang w:val="en-US"/>
        </w:rPr>
        <w:t xml:space="preserve"> to support and enhance the functioning of Justice, by contributing know-how to the investigation of complex crime (including financial crime, corruption and money laundering) and by providing a wide array of services of judicial assistance (assisting in the conduct of preliminary examinations and investigations, the enforcement of judgments and the service of documents and procedural acts, executing warrants, maintaining court order, assisting in the submittal of, or response to, requests for judicial assistance and carrying out mandates entrusted to it by the competent courts and public prosecutors). The operationalization of the judicial police in all its competences, both at central administration level and at regional level within the courts, is expected to be completed by 2025.</w:t>
      </w:r>
    </w:p>
    <w:p w14:paraId="442D3386" w14:textId="77777777" w:rsidR="0020727F" w:rsidRPr="00920844" w:rsidRDefault="0020727F" w:rsidP="00920844">
      <w:pPr>
        <w:rPr>
          <w:rFonts w:eastAsia="Calibri"/>
          <w:lang w:val="en-US"/>
        </w:rPr>
      </w:pPr>
      <w:r w:rsidRPr="00920844">
        <w:rPr>
          <w:rFonts w:eastAsia="Calibri"/>
          <w:lang w:val="en-US"/>
        </w:rPr>
        <w:t xml:space="preserve">The </w:t>
      </w:r>
      <w:r w:rsidRPr="00920844">
        <w:rPr>
          <w:rFonts w:eastAsia="Calibri"/>
          <w:b/>
          <w:lang w:val="en-US"/>
        </w:rPr>
        <w:t>RRF e-justice reform</w:t>
      </w:r>
      <w:r w:rsidRPr="00920844">
        <w:rPr>
          <w:rFonts w:eastAsia="Calibri"/>
          <w:lang w:val="en-US"/>
        </w:rPr>
        <w:t xml:space="preserve"> aims to improve the efficiency of the justice system, accelerate judicial administration, and enhance the quality of services for citizens, legal practitioners, and judges. In line with this objective, the project focuses on upgrading the courts' record-keeping system and expanding Information Systems within the Justice Sector, including OSDDY-PP II, the Court of Audits, and the National Criminal Records Register System. Additionally, the project seeks to introduce an information system for implementing electronic dockets (e-dockets) and facilitating remote trials (tele-trials). The project is currently in progress and is expected to be completed by 2025.</w:t>
      </w:r>
    </w:p>
    <w:p w14:paraId="151E6496" w14:textId="77777777" w:rsidR="0020727F" w:rsidRPr="00920844" w:rsidRDefault="0020727F" w:rsidP="00920844">
      <w:pPr>
        <w:rPr>
          <w:rFonts w:eastAsia="Calibri"/>
          <w:lang w:val="en-US"/>
        </w:rPr>
      </w:pPr>
      <w:r w:rsidRPr="00920844">
        <w:rPr>
          <w:rFonts w:eastAsia="Calibri"/>
          <w:lang w:val="en-US"/>
        </w:rPr>
        <w:t xml:space="preserve">To address the challenge of insufficient digitization in court proceedings, records, and decisions, an </w:t>
      </w:r>
      <w:r w:rsidRPr="00920844">
        <w:rPr>
          <w:rFonts w:eastAsia="Calibri"/>
          <w:b/>
          <w:lang w:val="en-US"/>
        </w:rPr>
        <w:t>Integrated Case Management System for Administrative Justice</w:t>
      </w:r>
      <w:r w:rsidRPr="00920844">
        <w:rPr>
          <w:rFonts w:eastAsia="Calibri"/>
          <w:lang w:val="en-US"/>
        </w:rPr>
        <w:t>, known as "</w:t>
      </w:r>
      <w:r w:rsidRPr="00920844">
        <w:rPr>
          <w:rFonts w:eastAsia="Calibri"/>
          <w:b/>
          <w:lang w:val="en-US"/>
        </w:rPr>
        <w:t>OSDDY-DD</w:t>
      </w:r>
      <w:r w:rsidRPr="00920844">
        <w:rPr>
          <w:rFonts w:eastAsia="Calibri"/>
          <w:lang w:val="en-US"/>
        </w:rPr>
        <w:t>," was implemented. The project to enhance the services and support operations of this system is funded by the National Strategic Reference Framework (NSRF). It encompasses all administrative courts, including the Council of State and the General Committee of State of the Regular Administrative Courts. This project aims to streamline and improve the efficiency of the judiciary, benefiting citizens, legal practitioners, and judicial staff. The system's enhancements are expected to be completed by 2025.</w:t>
      </w:r>
    </w:p>
    <w:p w14:paraId="470C106C" w14:textId="0306725F" w:rsidR="0020727F" w:rsidRDefault="0020727F" w:rsidP="00F62104">
      <w:pPr>
        <w:rPr>
          <w:rFonts w:eastAsia="Calibri"/>
          <w:lang w:val="en-US"/>
        </w:rPr>
      </w:pPr>
      <w:r w:rsidRPr="00920844">
        <w:rPr>
          <w:rFonts w:eastAsia="Calibri"/>
          <w:lang w:val="en-US"/>
        </w:rPr>
        <w:t xml:space="preserve">To streamline judicial efficiency and minimize unnecessary expenses and efforts, the RRF will provide partial financing for the construction of </w:t>
      </w:r>
      <w:r w:rsidRPr="00920844">
        <w:rPr>
          <w:rFonts w:eastAsia="Calibri"/>
          <w:b/>
          <w:lang w:val="en-US"/>
        </w:rPr>
        <w:t>new judicial buildings</w:t>
      </w:r>
      <w:r w:rsidRPr="00920844">
        <w:rPr>
          <w:rFonts w:eastAsia="Calibri"/>
          <w:lang w:val="en-US"/>
        </w:rPr>
        <w:t xml:space="preserve">, court relocations and energy-efficient upgrades. In early 2024, renovation and construction contracts were signed for all courthouses co - funded by RRF, including the new Piraeus Courthouse, which is designed to become Greece's first “green” public building. The construction phase is advancing as planned on most projects and is expected to be completed by 2026. Additionally, the construction of the new Athens Morgue will contribute to accelerating the administration of justice and improving </w:t>
      </w:r>
      <w:r w:rsidRPr="00920844">
        <w:rPr>
          <w:rFonts w:eastAsia="Calibri"/>
          <w:lang w:val="en-US"/>
        </w:rPr>
        <w:lastRenderedPageBreak/>
        <w:t>its quality. This will be supported by the development and implementation of forensic software, which aims to reduce delays in forensic reports and court decisions.</w:t>
      </w:r>
    </w:p>
    <w:p w14:paraId="3D09E3CC" w14:textId="7B50D6D2" w:rsidR="00987A40" w:rsidRPr="000D4DE6" w:rsidRDefault="00F12E07" w:rsidP="0037349B">
      <w:pPr>
        <w:pStyle w:val="Heading2"/>
        <w:pBdr>
          <w:bottom w:val="single" w:sz="18" w:space="1" w:color="FF3300"/>
        </w:pBdr>
        <w:spacing w:after="360"/>
        <w:rPr>
          <w:lang w:val="en-US"/>
        </w:rPr>
      </w:pPr>
      <w:bookmarkStart w:id="101" w:name="_ou6b89ky4ybz" w:colFirst="0" w:colLast="0"/>
      <w:bookmarkStart w:id="102" w:name="_5u7r15s45axp" w:colFirst="0" w:colLast="0"/>
      <w:bookmarkStart w:id="103" w:name="_mgrdx689vrr" w:colFirst="0" w:colLast="0"/>
      <w:bookmarkStart w:id="104" w:name="_Toc177496811"/>
      <w:bookmarkStart w:id="105" w:name="_Toc178070113"/>
      <w:bookmarkEnd w:id="101"/>
      <w:bookmarkEnd w:id="102"/>
      <w:bookmarkEnd w:id="103"/>
      <w:r>
        <w:rPr>
          <w:lang w:val="en-US"/>
        </w:rPr>
        <w:t>M</w:t>
      </w:r>
      <w:r w:rsidRPr="000D4DE6">
        <w:rPr>
          <w:lang w:val="en-US"/>
        </w:rPr>
        <w:t xml:space="preserve">inistry of </w:t>
      </w:r>
      <w:r>
        <w:rPr>
          <w:lang w:val="en-US"/>
        </w:rPr>
        <w:t>R</w:t>
      </w:r>
      <w:r w:rsidRPr="000D4DE6">
        <w:rPr>
          <w:lang w:val="en-US"/>
        </w:rPr>
        <w:t xml:space="preserve">ural </w:t>
      </w:r>
      <w:r>
        <w:rPr>
          <w:lang w:val="en-US"/>
        </w:rPr>
        <w:t>D</w:t>
      </w:r>
      <w:r w:rsidRPr="000D4DE6">
        <w:rPr>
          <w:lang w:val="en-US"/>
        </w:rPr>
        <w:t xml:space="preserve">evelopment and </w:t>
      </w:r>
      <w:bookmarkEnd w:id="104"/>
      <w:r>
        <w:rPr>
          <w:lang w:val="en-US"/>
        </w:rPr>
        <w:t>F</w:t>
      </w:r>
      <w:r w:rsidRPr="000D4DE6">
        <w:rPr>
          <w:lang w:val="en-US"/>
        </w:rPr>
        <w:t>ood</w:t>
      </w:r>
      <w:bookmarkEnd w:id="105"/>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864"/>
        <w:gridCol w:w="1594"/>
        <w:gridCol w:w="1490"/>
        <w:gridCol w:w="2124"/>
      </w:tblGrid>
      <w:tr w:rsidR="0020727F" w:rsidRPr="00EE72AB" w14:paraId="4561213E" w14:textId="77777777" w:rsidTr="00EE72AB">
        <w:trPr>
          <w:trHeight w:val="113"/>
          <w:jc w:val="center"/>
        </w:trPr>
        <w:tc>
          <w:tcPr>
            <w:tcW w:w="3864" w:type="dxa"/>
            <w:shd w:val="clear" w:color="auto" w:fill="CFE2F3"/>
            <w:tcMar>
              <w:top w:w="0" w:type="dxa"/>
              <w:left w:w="40" w:type="dxa"/>
              <w:bottom w:w="0" w:type="dxa"/>
              <w:right w:w="40" w:type="dxa"/>
            </w:tcMar>
          </w:tcPr>
          <w:p w14:paraId="4313E114" w14:textId="77777777" w:rsidR="0020727F" w:rsidRPr="00EE72AB" w:rsidRDefault="0020727F" w:rsidP="00EE72AB">
            <w:pPr>
              <w:pStyle w:val="Tabletext"/>
              <w:rPr>
                <w:rFonts w:eastAsia="Calibri"/>
                <w:b/>
              </w:rPr>
            </w:pPr>
            <w:r w:rsidRPr="00EE72AB">
              <w:rPr>
                <w:rFonts w:eastAsia="Calibri"/>
                <w:b/>
              </w:rPr>
              <w:t>REFORM / INVESTMENT</w:t>
            </w:r>
          </w:p>
        </w:tc>
        <w:tc>
          <w:tcPr>
            <w:tcW w:w="1594" w:type="dxa"/>
            <w:shd w:val="clear" w:color="auto" w:fill="CFE2F3"/>
            <w:tcMar>
              <w:top w:w="0" w:type="dxa"/>
              <w:left w:w="40" w:type="dxa"/>
              <w:bottom w:w="0" w:type="dxa"/>
              <w:right w:w="40" w:type="dxa"/>
            </w:tcMar>
          </w:tcPr>
          <w:p w14:paraId="6CAE8FE2" w14:textId="77777777" w:rsidR="0020727F" w:rsidRPr="00EE72AB" w:rsidRDefault="0020727F" w:rsidP="00EE72AB">
            <w:pPr>
              <w:pStyle w:val="Tabletext"/>
              <w:rPr>
                <w:rFonts w:eastAsia="Calibri"/>
                <w:b/>
              </w:rPr>
            </w:pPr>
            <w:r w:rsidRPr="00EE72AB">
              <w:rPr>
                <w:rFonts w:eastAsia="Calibri"/>
                <w:b/>
              </w:rPr>
              <w:t>RRF / MFF</w:t>
            </w:r>
          </w:p>
        </w:tc>
        <w:tc>
          <w:tcPr>
            <w:tcW w:w="1490" w:type="dxa"/>
            <w:shd w:val="clear" w:color="auto" w:fill="CFE2F3"/>
            <w:tcMar>
              <w:top w:w="0" w:type="dxa"/>
              <w:left w:w="40" w:type="dxa"/>
              <w:bottom w:w="0" w:type="dxa"/>
              <w:right w:w="40" w:type="dxa"/>
            </w:tcMar>
          </w:tcPr>
          <w:p w14:paraId="7FD2C636" w14:textId="77777777" w:rsidR="0020727F" w:rsidRPr="00EE72AB" w:rsidRDefault="0020727F" w:rsidP="00EE72AB">
            <w:pPr>
              <w:pStyle w:val="Tabletext"/>
              <w:rPr>
                <w:rFonts w:eastAsia="Calibri"/>
                <w:b/>
              </w:rPr>
            </w:pPr>
            <w:r w:rsidRPr="00EE72AB">
              <w:rPr>
                <w:rFonts w:eastAsia="Calibri"/>
                <w:b/>
              </w:rPr>
              <w:t>CSR</w:t>
            </w:r>
          </w:p>
        </w:tc>
        <w:tc>
          <w:tcPr>
            <w:tcW w:w="2124" w:type="dxa"/>
            <w:shd w:val="clear" w:color="auto" w:fill="CFE2F3"/>
            <w:tcMar>
              <w:top w:w="0" w:type="dxa"/>
              <w:left w:w="40" w:type="dxa"/>
              <w:bottom w:w="0" w:type="dxa"/>
              <w:right w:w="40" w:type="dxa"/>
            </w:tcMar>
          </w:tcPr>
          <w:p w14:paraId="540B0239" w14:textId="77777777" w:rsidR="0020727F" w:rsidRPr="00EE72AB" w:rsidRDefault="0020727F" w:rsidP="00EE72AB">
            <w:pPr>
              <w:pStyle w:val="Tabletext"/>
              <w:rPr>
                <w:rFonts w:eastAsia="Calibri"/>
                <w:b/>
              </w:rPr>
            </w:pPr>
            <w:r w:rsidRPr="00EE72AB">
              <w:rPr>
                <w:rFonts w:eastAsia="Calibri"/>
                <w:b/>
              </w:rPr>
              <w:t>COMMON PRIORITIES</w:t>
            </w:r>
          </w:p>
        </w:tc>
      </w:tr>
      <w:tr w:rsidR="0020727F" w:rsidRPr="00EE72AB" w14:paraId="683D753E" w14:textId="77777777" w:rsidTr="00EE72AB">
        <w:trPr>
          <w:trHeight w:val="113"/>
          <w:jc w:val="center"/>
        </w:trPr>
        <w:tc>
          <w:tcPr>
            <w:tcW w:w="3864" w:type="dxa"/>
            <w:shd w:val="clear" w:color="auto" w:fill="FFFFFF"/>
            <w:tcMar>
              <w:top w:w="0" w:type="dxa"/>
              <w:left w:w="40" w:type="dxa"/>
              <w:bottom w:w="0" w:type="dxa"/>
              <w:right w:w="40" w:type="dxa"/>
            </w:tcMar>
          </w:tcPr>
          <w:p w14:paraId="3A452DE0" w14:textId="2EAF2019" w:rsidR="0020727F" w:rsidRPr="00EE72AB" w:rsidRDefault="00BA03C0" w:rsidP="00EE72AB">
            <w:pPr>
              <w:pStyle w:val="Tabletext"/>
              <w:rPr>
                <w:rFonts w:eastAsia="Calibri"/>
                <w:highlight w:val="white"/>
              </w:rPr>
            </w:pPr>
            <w:r w:rsidRPr="00BA03C0">
              <w:rPr>
                <w:rFonts w:eastAsia="Calibri"/>
                <w:b/>
              </w:rPr>
              <w:t>REFORM 1:</w:t>
            </w:r>
            <w:r w:rsidR="0020727F" w:rsidRPr="00EE72AB">
              <w:rPr>
                <w:rFonts w:eastAsia="Calibri"/>
                <w:highlight w:val="white"/>
              </w:rPr>
              <w:t xml:space="preserve"> Modernization of the institutional operating framework of the Hellenic Agricultural Insurance Organization (ELGA)</w:t>
            </w:r>
          </w:p>
        </w:tc>
        <w:tc>
          <w:tcPr>
            <w:tcW w:w="1594" w:type="dxa"/>
            <w:shd w:val="clear" w:color="auto" w:fill="FFFFFF"/>
            <w:tcMar>
              <w:top w:w="0" w:type="dxa"/>
              <w:left w:w="40" w:type="dxa"/>
              <w:bottom w:w="0" w:type="dxa"/>
              <w:right w:w="40" w:type="dxa"/>
            </w:tcMar>
          </w:tcPr>
          <w:p w14:paraId="0AFDC8DD" w14:textId="77777777" w:rsidR="0020727F" w:rsidRPr="00EE72AB" w:rsidRDefault="0020727F" w:rsidP="00EE72AB">
            <w:pPr>
              <w:pStyle w:val="Tabletext"/>
              <w:rPr>
                <w:rFonts w:eastAsia="Calibri"/>
                <w:highlight w:val="white"/>
              </w:rPr>
            </w:pPr>
            <w:r w:rsidRPr="00EE72AB">
              <w:rPr>
                <w:rFonts w:eastAsia="Calibri"/>
                <w:highlight w:val="white"/>
              </w:rPr>
              <w:t xml:space="preserve"> </w:t>
            </w:r>
          </w:p>
        </w:tc>
        <w:tc>
          <w:tcPr>
            <w:tcW w:w="1490" w:type="dxa"/>
            <w:shd w:val="clear" w:color="auto" w:fill="FFFFFF"/>
            <w:tcMar>
              <w:top w:w="0" w:type="dxa"/>
              <w:left w:w="40" w:type="dxa"/>
              <w:bottom w:w="0" w:type="dxa"/>
              <w:right w:w="40" w:type="dxa"/>
            </w:tcMar>
          </w:tcPr>
          <w:p w14:paraId="450F7BA2" w14:textId="77777777" w:rsidR="0020727F" w:rsidRPr="00EE72AB" w:rsidRDefault="0020727F" w:rsidP="00EE72AB">
            <w:pPr>
              <w:pStyle w:val="Tabletext"/>
              <w:rPr>
                <w:rFonts w:eastAsia="Calibri"/>
                <w:highlight w:val="white"/>
              </w:rPr>
            </w:pPr>
            <w:r w:rsidRPr="00EE72AB">
              <w:rPr>
                <w:rFonts w:eastAsia="Calibri"/>
                <w:highlight w:val="white"/>
              </w:rPr>
              <w:t>2024.CSR2.1</w:t>
            </w:r>
          </w:p>
        </w:tc>
        <w:tc>
          <w:tcPr>
            <w:tcW w:w="2124" w:type="dxa"/>
            <w:shd w:val="clear" w:color="auto" w:fill="FFFFFF"/>
            <w:tcMar>
              <w:top w:w="0" w:type="dxa"/>
              <w:left w:w="40" w:type="dxa"/>
              <w:bottom w:w="0" w:type="dxa"/>
              <w:right w:w="40" w:type="dxa"/>
            </w:tcMar>
          </w:tcPr>
          <w:p w14:paraId="7E06DC46" w14:textId="77777777" w:rsidR="0020727F" w:rsidRPr="00EE72AB" w:rsidRDefault="0020727F" w:rsidP="00EE72AB">
            <w:pPr>
              <w:pStyle w:val="Tabletext"/>
              <w:rPr>
                <w:rFonts w:eastAsia="Calibri"/>
                <w:highlight w:val="white"/>
              </w:rPr>
            </w:pPr>
            <w:r w:rsidRPr="00EE72AB">
              <w:rPr>
                <w:rFonts w:eastAsia="Calibri"/>
                <w:highlight w:val="white"/>
              </w:rPr>
              <w:t>Social and economic resilience</w:t>
            </w:r>
          </w:p>
        </w:tc>
      </w:tr>
      <w:tr w:rsidR="0020727F" w:rsidRPr="00E204B7" w14:paraId="4911E938" w14:textId="77777777" w:rsidTr="00EE72AB">
        <w:trPr>
          <w:trHeight w:val="113"/>
          <w:jc w:val="center"/>
        </w:trPr>
        <w:tc>
          <w:tcPr>
            <w:tcW w:w="3864" w:type="dxa"/>
            <w:tcMar>
              <w:top w:w="0" w:type="dxa"/>
              <w:left w:w="40" w:type="dxa"/>
              <w:bottom w:w="0" w:type="dxa"/>
              <w:right w:w="40" w:type="dxa"/>
            </w:tcMar>
          </w:tcPr>
          <w:p w14:paraId="18C7C9A1" w14:textId="6C3C9DA0" w:rsidR="0020727F" w:rsidRPr="00EE72AB" w:rsidRDefault="00BA03C0" w:rsidP="00EE72AB">
            <w:pPr>
              <w:pStyle w:val="Tabletext"/>
              <w:rPr>
                <w:rFonts w:eastAsia="Calibri"/>
              </w:rPr>
            </w:pPr>
            <w:r w:rsidRPr="00BA03C0">
              <w:rPr>
                <w:rFonts w:eastAsia="Calibri"/>
                <w:b/>
              </w:rPr>
              <w:t>INVESTMENT 1:</w:t>
            </w:r>
            <w:r w:rsidR="0020727F" w:rsidRPr="00EE72AB">
              <w:rPr>
                <w:rFonts w:eastAsia="Calibri"/>
              </w:rPr>
              <w:t xml:space="preserve"> Economic transformation on the Agricultural Sector</w:t>
            </w:r>
          </w:p>
        </w:tc>
        <w:tc>
          <w:tcPr>
            <w:tcW w:w="1594" w:type="dxa"/>
            <w:tcMar>
              <w:top w:w="0" w:type="dxa"/>
              <w:left w:w="40" w:type="dxa"/>
              <w:bottom w:w="0" w:type="dxa"/>
              <w:right w:w="40" w:type="dxa"/>
            </w:tcMar>
          </w:tcPr>
          <w:p w14:paraId="438EF3DD" w14:textId="77777777" w:rsidR="0020727F" w:rsidRPr="00EE72AB" w:rsidRDefault="0020727F" w:rsidP="00EE72AB">
            <w:pPr>
              <w:pStyle w:val="Tabletext"/>
              <w:rPr>
                <w:rFonts w:eastAsia="Calibri"/>
              </w:rPr>
            </w:pPr>
            <w:r w:rsidRPr="00EE72AB">
              <w:rPr>
                <w:rFonts w:eastAsia="Calibri"/>
              </w:rPr>
              <w:t>RRF 16626</w:t>
            </w:r>
          </w:p>
        </w:tc>
        <w:tc>
          <w:tcPr>
            <w:tcW w:w="1490" w:type="dxa"/>
            <w:tcMar>
              <w:top w:w="0" w:type="dxa"/>
              <w:left w:w="40" w:type="dxa"/>
              <w:bottom w:w="0" w:type="dxa"/>
              <w:right w:w="40" w:type="dxa"/>
            </w:tcMar>
          </w:tcPr>
          <w:p w14:paraId="5E2E3EF9" w14:textId="77777777" w:rsidR="0020727F" w:rsidRPr="00EE72AB" w:rsidRDefault="0020727F" w:rsidP="00EE72AB">
            <w:pPr>
              <w:pStyle w:val="Tabletext"/>
              <w:rPr>
                <w:rFonts w:eastAsia="Calibri"/>
              </w:rPr>
            </w:pPr>
            <w:r w:rsidRPr="00EE72AB">
              <w:rPr>
                <w:rFonts w:eastAsia="Calibri"/>
              </w:rPr>
              <w:t>2024.CSR2.1</w:t>
            </w:r>
            <w:r w:rsidRPr="00EE72AB">
              <w:rPr>
                <w:rFonts w:eastAsia="Calibri"/>
              </w:rPr>
              <w:br/>
              <w:t>2023.CSR4.3</w:t>
            </w:r>
            <w:r w:rsidRPr="00EE72AB">
              <w:rPr>
                <w:rFonts w:eastAsia="Calibri"/>
              </w:rPr>
              <w:br/>
              <w:t>2023.CSR4.4</w:t>
            </w:r>
            <w:r w:rsidRPr="00EE72AB">
              <w:rPr>
                <w:rFonts w:eastAsia="Calibri"/>
              </w:rPr>
              <w:br/>
              <w:t>2023.CSR4.6</w:t>
            </w:r>
            <w:r w:rsidRPr="00EE72AB">
              <w:rPr>
                <w:rFonts w:eastAsia="Calibri"/>
              </w:rPr>
              <w:br/>
              <w:t>2022.CSR4.6</w:t>
            </w:r>
            <w:r w:rsidRPr="00EE72AB">
              <w:rPr>
                <w:rFonts w:eastAsia="Calibri"/>
              </w:rPr>
              <w:br/>
              <w:t>2022.CSR4.5</w:t>
            </w:r>
            <w:r w:rsidRPr="00EE72AB">
              <w:rPr>
                <w:rFonts w:eastAsia="Calibri"/>
              </w:rPr>
              <w:br/>
              <w:t>2022.CSR4.2</w:t>
            </w:r>
          </w:p>
        </w:tc>
        <w:tc>
          <w:tcPr>
            <w:tcW w:w="2124" w:type="dxa"/>
            <w:tcMar>
              <w:top w:w="0" w:type="dxa"/>
              <w:left w:w="40" w:type="dxa"/>
              <w:bottom w:w="0" w:type="dxa"/>
              <w:right w:w="40" w:type="dxa"/>
            </w:tcMar>
          </w:tcPr>
          <w:p w14:paraId="2F32C08F" w14:textId="77777777" w:rsidR="0020727F" w:rsidRPr="00EE72AB" w:rsidRDefault="0020727F" w:rsidP="00EE72AB">
            <w:pPr>
              <w:pStyle w:val="Tabletext"/>
              <w:rPr>
                <w:rFonts w:eastAsia="Calibri"/>
              </w:rPr>
            </w:pPr>
            <w:r w:rsidRPr="00EE72AB">
              <w:rPr>
                <w:rFonts w:eastAsia="Calibri"/>
              </w:rPr>
              <w:t>A fair green and digital transition</w:t>
            </w:r>
          </w:p>
        </w:tc>
      </w:tr>
      <w:tr w:rsidR="0020727F" w:rsidRPr="00E204B7" w14:paraId="7316E142" w14:textId="77777777" w:rsidTr="00EE72AB">
        <w:trPr>
          <w:trHeight w:val="113"/>
          <w:jc w:val="center"/>
        </w:trPr>
        <w:tc>
          <w:tcPr>
            <w:tcW w:w="3864" w:type="dxa"/>
            <w:tcMar>
              <w:top w:w="0" w:type="dxa"/>
              <w:left w:w="40" w:type="dxa"/>
              <w:bottom w:w="0" w:type="dxa"/>
              <w:right w:w="40" w:type="dxa"/>
            </w:tcMar>
          </w:tcPr>
          <w:p w14:paraId="4F2CD6D2" w14:textId="66051F96" w:rsidR="0020727F" w:rsidRPr="00EE72AB" w:rsidRDefault="00BA03C0" w:rsidP="00EE72AB">
            <w:pPr>
              <w:pStyle w:val="Tabletext"/>
              <w:rPr>
                <w:rFonts w:eastAsia="Calibri"/>
              </w:rPr>
            </w:pPr>
            <w:r w:rsidRPr="00BA03C0">
              <w:rPr>
                <w:rFonts w:eastAsia="Calibri"/>
                <w:b/>
              </w:rPr>
              <w:t>INVESTMENT 2:</w:t>
            </w:r>
            <w:r w:rsidR="0020727F" w:rsidRPr="00EE72AB">
              <w:rPr>
                <w:rFonts w:eastAsia="Calibri"/>
              </w:rPr>
              <w:t xml:space="preserve"> Digital Transformation of the Agri-Food Sector</w:t>
            </w:r>
          </w:p>
        </w:tc>
        <w:tc>
          <w:tcPr>
            <w:tcW w:w="1594" w:type="dxa"/>
            <w:tcMar>
              <w:top w:w="0" w:type="dxa"/>
              <w:left w:w="40" w:type="dxa"/>
              <w:bottom w:w="0" w:type="dxa"/>
              <w:right w:w="40" w:type="dxa"/>
            </w:tcMar>
          </w:tcPr>
          <w:p w14:paraId="063A0917" w14:textId="77777777" w:rsidR="0020727F" w:rsidRPr="00EE72AB" w:rsidRDefault="0020727F" w:rsidP="00EE72AB">
            <w:pPr>
              <w:pStyle w:val="Tabletext"/>
              <w:rPr>
                <w:rFonts w:eastAsia="Calibri"/>
              </w:rPr>
            </w:pPr>
            <w:r w:rsidRPr="00EE72AB">
              <w:rPr>
                <w:rFonts w:eastAsia="Calibri"/>
              </w:rPr>
              <w:t>RRF 16653</w:t>
            </w:r>
          </w:p>
        </w:tc>
        <w:tc>
          <w:tcPr>
            <w:tcW w:w="1490" w:type="dxa"/>
            <w:tcMar>
              <w:top w:w="0" w:type="dxa"/>
              <w:left w:w="40" w:type="dxa"/>
              <w:bottom w:w="0" w:type="dxa"/>
              <w:right w:w="40" w:type="dxa"/>
            </w:tcMar>
          </w:tcPr>
          <w:p w14:paraId="7B7B5FD0" w14:textId="4ED4308F" w:rsidR="0020727F" w:rsidRPr="00EE72AB" w:rsidRDefault="0020727F" w:rsidP="00EE72AB">
            <w:pPr>
              <w:pStyle w:val="Tabletext"/>
              <w:rPr>
                <w:rFonts w:eastAsia="Calibri"/>
              </w:rPr>
            </w:pPr>
            <w:r w:rsidRPr="00EE72AB">
              <w:rPr>
                <w:rFonts w:eastAsia="Calibri"/>
              </w:rPr>
              <w:t>2024.CSR2.1</w:t>
            </w:r>
            <w:r w:rsidRPr="00EE72AB">
              <w:rPr>
                <w:rFonts w:eastAsia="Calibri"/>
              </w:rPr>
              <w:br/>
              <w:t>2020.CSR3.3</w:t>
            </w:r>
            <w:r w:rsidRPr="00EE72AB">
              <w:rPr>
                <w:rFonts w:eastAsia="Calibri"/>
              </w:rPr>
              <w:br/>
              <w:t>2020.CSR3.9</w:t>
            </w:r>
          </w:p>
        </w:tc>
        <w:tc>
          <w:tcPr>
            <w:tcW w:w="2124" w:type="dxa"/>
            <w:tcMar>
              <w:top w:w="0" w:type="dxa"/>
              <w:left w:w="40" w:type="dxa"/>
              <w:bottom w:w="0" w:type="dxa"/>
              <w:right w:w="40" w:type="dxa"/>
            </w:tcMar>
          </w:tcPr>
          <w:p w14:paraId="4717B210" w14:textId="77777777" w:rsidR="0020727F" w:rsidRPr="00EE72AB" w:rsidRDefault="0020727F" w:rsidP="00EE72AB">
            <w:pPr>
              <w:pStyle w:val="Tabletext"/>
              <w:rPr>
                <w:rFonts w:eastAsia="Calibri"/>
              </w:rPr>
            </w:pPr>
            <w:r w:rsidRPr="00EE72AB">
              <w:rPr>
                <w:rFonts w:eastAsia="Calibri"/>
              </w:rPr>
              <w:t>A fair green and digital transition</w:t>
            </w:r>
          </w:p>
        </w:tc>
      </w:tr>
      <w:tr w:rsidR="0020727F" w:rsidRPr="00E204B7" w14:paraId="4D8C034F" w14:textId="77777777" w:rsidTr="00EE72AB">
        <w:trPr>
          <w:trHeight w:val="113"/>
          <w:jc w:val="center"/>
        </w:trPr>
        <w:tc>
          <w:tcPr>
            <w:tcW w:w="3864" w:type="dxa"/>
            <w:tcMar>
              <w:top w:w="0" w:type="dxa"/>
              <w:left w:w="40" w:type="dxa"/>
              <w:bottom w:w="0" w:type="dxa"/>
              <w:right w:w="40" w:type="dxa"/>
            </w:tcMar>
          </w:tcPr>
          <w:p w14:paraId="4FCC8BD3" w14:textId="3C15F9B6" w:rsidR="0020727F" w:rsidRPr="00EE72AB" w:rsidRDefault="00BA03C0" w:rsidP="00EE72AB">
            <w:pPr>
              <w:pStyle w:val="Tabletext"/>
              <w:rPr>
                <w:rFonts w:eastAsia="Calibri"/>
              </w:rPr>
            </w:pPr>
            <w:r w:rsidRPr="00BA03C0">
              <w:rPr>
                <w:rFonts w:eastAsia="Calibri"/>
                <w:b/>
              </w:rPr>
              <w:t>INVESTMENT 3:</w:t>
            </w:r>
            <w:r w:rsidR="0020727F" w:rsidRPr="00EE72AB">
              <w:rPr>
                <w:rFonts w:eastAsia="Calibri"/>
              </w:rPr>
              <w:t xml:space="preserve"> Proposals for actions in the Aquaculture Sector</w:t>
            </w:r>
          </w:p>
        </w:tc>
        <w:tc>
          <w:tcPr>
            <w:tcW w:w="1594" w:type="dxa"/>
            <w:tcMar>
              <w:top w:w="0" w:type="dxa"/>
              <w:left w:w="40" w:type="dxa"/>
              <w:bottom w:w="0" w:type="dxa"/>
              <w:right w:w="40" w:type="dxa"/>
            </w:tcMar>
          </w:tcPr>
          <w:p w14:paraId="751CF863" w14:textId="77777777" w:rsidR="0020727F" w:rsidRPr="00EE72AB" w:rsidRDefault="0020727F" w:rsidP="00EE72AB">
            <w:pPr>
              <w:pStyle w:val="Tabletext"/>
              <w:rPr>
                <w:rFonts w:eastAsia="Calibri"/>
              </w:rPr>
            </w:pPr>
            <w:r w:rsidRPr="00EE72AB">
              <w:rPr>
                <w:rFonts w:eastAsia="Calibri"/>
              </w:rPr>
              <w:t>RRF 16584</w:t>
            </w:r>
          </w:p>
        </w:tc>
        <w:tc>
          <w:tcPr>
            <w:tcW w:w="1490" w:type="dxa"/>
            <w:tcMar>
              <w:top w:w="0" w:type="dxa"/>
              <w:left w:w="40" w:type="dxa"/>
              <w:bottom w:w="0" w:type="dxa"/>
              <w:right w:w="40" w:type="dxa"/>
            </w:tcMar>
          </w:tcPr>
          <w:p w14:paraId="5BEF3664" w14:textId="77777777" w:rsidR="0020727F" w:rsidRPr="00EE72AB" w:rsidRDefault="0020727F" w:rsidP="00EE72AB">
            <w:pPr>
              <w:pStyle w:val="Tabletext"/>
              <w:rPr>
                <w:rFonts w:eastAsia="Calibri"/>
              </w:rPr>
            </w:pPr>
            <w:r w:rsidRPr="00EE72AB">
              <w:rPr>
                <w:rFonts w:eastAsia="Calibri"/>
              </w:rPr>
              <w:t>2024.CSR2.1</w:t>
            </w:r>
            <w:r w:rsidRPr="00EE72AB">
              <w:rPr>
                <w:rFonts w:eastAsia="Calibri"/>
              </w:rPr>
              <w:br/>
              <w:t>2020.CSR3.3</w:t>
            </w:r>
          </w:p>
          <w:p w14:paraId="7371ECE4" w14:textId="780E696B" w:rsidR="00F62104" w:rsidRPr="00EE72AB" w:rsidRDefault="00F62104" w:rsidP="00EE72AB">
            <w:pPr>
              <w:pStyle w:val="Tabletext"/>
              <w:rPr>
                <w:rFonts w:eastAsia="Calibri"/>
              </w:rPr>
            </w:pPr>
          </w:p>
        </w:tc>
        <w:tc>
          <w:tcPr>
            <w:tcW w:w="2124" w:type="dxa"/>
            <w:tcMar>
              <w:top w:w="0" w:type="dxa"/>
              <w:left w:w="40" w:type="dxa"/>
              <w:bottom w:w="0" w:type="dxa"/>
              <w:right w:w="40" w:type="dxa"/>
            </w:tcMar>
          </w:tcPr>
          <w:p w14:paraId="7499DBA3" w14:textId="77777777" w:rsidR="0020727F" w:rsidRPr="00EE72AB" w:rsidRDefault="0020727F" w:rsidP="00EE72AB">
            <w:pPr>
              <w:pStyle w:val="Tabletext"/>
              <w:rPr>
                <w:rFonts w:eastAsia="Calibri"/>
              </w:rPr>
            </w:pPr>
            <w:r w:rsidRPr="00EE72AB">
              <w:rPr>
                <w:rFonts w:eastAsia="Calibri"/>
              </w:rPr>
              <w:t>A fair green and digital transition</w:t>
            </w:r>
          </w:p>
        </w:tc>
      </w:tr>
      <w:tr w:rsidR="0020727F" w:rsidRPr="00E204B7" w14:paraId="3C6E1AD3" w14:textId="77777777" w:rsidTr="00EE72AB">
        <w:trPr>
          <w:trHeight w:val="113"/>
          <w:jc w:val="center"/>
        </w:trPr>
        <w:tc>
          <w:tcPr>
            <w:tcW w:w="3864" w:type="dxa"/>
            <w:tcMar>
              <w:top w:w="0" w:type="dxa"/>
              <w:left w:w="40" w:type="dxa"/>
              <w:bottom w:w="0" w:type="dxa"/>
              <w:right w:w="40" w:type="dxa"/>
            </w:tcMar>
          </w:tcPr>
          <w:p w14:paraId="0F67DAB9" w14:textId="77651FFF" w:rsidR="0020727F" w:rsidRPr="00EE72AB" w:rsidRDefault="00BA03C0" w:rsidP="00EE72AB">
            <w:pPr>
              <w:pStyle w:val="Tabletext"/>
              <w:rPr>
                <w:rFonts w:eastAsia="Calibri"/>
              </w:rPr>
            </w:pPr>
            <w:r w:rsidRPr="00BA03C0">
              <w:rPr>
                <w:rFonts w:eastAsia="Calibri"/>
                <w:b/>
              </w:rPr>
              <w:t>INVESTMENT 4:</w:t>
            </w:r>
            <w:r w:rsidR="0020727F" w:rsidRPr="00EE72AB">
              <w:rPr>
                <w:rFonts w:eastAsia="Calibri"/>
              </w:rPr>
              <w:t xml:space="preserve"> Investments in the national irrigation network through PPP schemes</w:t>
            </w:r>
          </w:p>
        </w:tc>
        <w:tc>
          <w:tcPr>
            <w:tcW w:w="1594" w:type="dxa"/>
            <w:tcMar>
              <w:top w:w="0" w:type="dxa"/>
              <w:left w:w="40" w:type="dxa"/>
              <w:bottom w:w="0" w:type="dxa"/>
              <w:right w:w="40" w:type="dxa"/>
            </w:tcMar>
          </w:tcPr>
          <w:p w14:paraId="1E3EA9B3" w14:textId="77777777" w:rsidR="0020727F" w:rsidRPr="00EE72AB" w:rsidRDefault="0020727F" w:rsidP="00EE72AB">
            <w:pPr>
              <w:pStyle w:val="Tabletext"/>
              <w:rPr>
                <w:rFonts w:eastAsia="Calibri"/>
              </w:rPr>
            </w:pPr>
            <w:r w:rsidRPr="00EE72AB">
              <w:rPr>
                <w:rFonts w:eastAsia="Calibri"/>
              </w:rPr>
              <w:t>RRF 16285</w:t>
            </w:r>
          </w:p>
        </w:tc>
        <w:tc>
          <w:tcPr>
            <w:tcW w:w="1490" w:type="dxa"/>
            <w:tcMar>
              <w:top w:w="0" w:type="dxa"/>
              <w:left w:w="40" w:type="dxa"/>
              <w:bottom w:w="0" w:type="dxa"/>
              <w:right w:w="40" w:type="dxa"/>
            </w:tcMar>
          </w:tcPr>
          <w:p w14:paraId="6500FE3C" w14:textId="77777777" w:rsidR="0020727F" w:rsidRPr="00EE72AB" w:rsidRDefault="0020727F" w:rsidP="00EE72AB">
            <w:pPr>
              <w:pStyle w:val="Tabletext"/>
              <w:rPr>
                <w:rFonts w:eastAsia="Calibri"/>
              </w:rPr>
            </w:pPr>
            <w:r w:rsidRPr="00EE72AB">
              <w:rPr>
                <w:rFonts w:eastAsia="Calibri"/>
              </w:rPr>
              <w:t>2024.CSR2.1</w:t>
            </w:r>
            <w:r w:rsidRPr="00EE72AB">
              <w:rPr>
                <w:rFonts w:eastAsia="Calibri"/>
              </w:rPr>
              <w:br/>
              <w:t>2020.CSR3.6</w:t>
            </w:r>
            <w:r w:rsidRPr="00EE72AB">
              <w:rPr>
                <w:rFonts w:eastAsia="Calibri"/>
              </w:rPr>
              <w:br/>
              <w:t>2020.CSR3.3</w:t>
            </w:r>
            <w:r w:rsidRPr="00EE72AB">
              <w:rPr>
                <w:rFonts w:eastAsia="Calibri"/>
              </w:rPr>
              <w:br/>
              <w:t>2020.CSR3.9</w:t>
            </w:r>
            <w:r w:rsidRPr="00EE72AB">
              <w:rPr>
                <w:rFonts w:eastAsia="Calibri"/>
              </w:rPr>
              <w:br/>
            </w:r>
            <w:r w:rsidRPr="00EE72AB">
              <w:rPr>
                <w:rFonts w:eastAsia="Calibri"/>
              </w:rPr>
              <w:br/>
            </w:r>
          </w:p>
        </w:tc>
        <w:tc>
          <w:tcPr>
            <w:tcW w:w="2124" w:type="dxa"/>
            <w:tcMar>
              <w:top w:w="0" w:type="dxa"/>
              <w:left w:w="40" w:type="dxa"/>
              <w:bottom w:w="0" w:type="dxa"/>
              <w:right w:w="40" w:type="dxa"/>
            </w:tcMar>
          </w:tcPr>
          <w:p w14:paraId="72262533" w14:textId="77777777" w:rsidR="0020727F" w:rsidRPr="00EE72AB" w:rsidRDefault="0020727F" w:rsidP="00EE72AB">
            <w:pPr>
              <w:pStyle w:val="Tabletext"/>
              <w:rPr>
                <w:rFonts w:eastAsia="Calibri"/>
              </w:rPr>
            </w:pPr>
            <w:r w:rsidRPr="00EE72AB">
              <w:rPr>
                <w:rFonts w:eastAsia="Calibri"/>
              </w:rPr>
              <w:t>A fair green and digital transition</w:t>
            </w:r>
          </w:p>
        </w:tc>
      </w:tr>
      <w:tr w:rsidR="0020727F" w:rsidRPr="00E204B7" w14:paraId="29200423" w14:textId="77777777" w:rsidTr="00EE72AB">
        <w:trPr>
          <w:trHeight w:val="113"/>
          <w:jc w:val="center"/>
        </w:trPr>
        <w:tc>
          <w:tcPr>
            <w:tcW w:w="3864" w:type="dxa"/>
            <w:tcMar>
              <w:top w:w="0" w:type="dxa"/>
              <w:left w:w="40" w:type="dxa"/>
              <w:bottom w:w="0" w:type="dxa"/>
              <w:right w:w="40" w:type="dxa"/>
            </w:tcMar>
          </w:tcPr>
          <w:p w14:paraId="6707EFE2" w14:textId="7B53F4B5" w:rsidR="0020727F" w:rsidRPr="00EE72AB" w:rsidRDefault="00BA03C0" w:rsidP="00EE72AB">
            <w:pPr>
              <w:pStyle w:val="Tabletext"/>
              <w:rPr>
                <w:rFonts w:eastAsia="Calibri"/>
              </w:rPr>
            </w:pPr>
            <w:r w:rsidRPr="00BA03C0">
              <w:rPr>
                <w:rFonts w:eastAsia="Calibri"/>
                <w:b/>
              </w:rPr>
              <w:t>INVESTMENT 5:</w:t>
            </w:r>
            <w:r w:rsidR="0020727F" w:rsidRPr="00EE72AB">
              <w:rPr>
                <w:rFonts w:eastAsia="Calibri"/>
              </w:rPr>
              <w:t xml:space="preserve"> Ground improvement infrastructure</w:t>
            </w:r>
          </w:p>
        </w:tc>
        <w:tc>
          <w:tcPr>
            <w:tcW w:w="1594" w:type="dxa"/>
            <w:tcMar>
              <w:top w:w="0" w:type="dxa"/>
              <w:left w:w="40" w:type="dxa"/>
              <w:bottom w:w="0" w:type="dxa"/>
              <w:right w:w="40" w:type="dxa"/>
            </w:tcMar>
          </w:tcPr>
          <w:p w14:paraId="368AAC22" w14:textId="77777777" w:rsidR="0020727F" w:rsidRPr="00EE72AB" w:rsidRDefault="0020727F" w:rsidP="00EE72AB">
            <w:pPr>
              <w:pStyle w:val="Tabletext"/>
              <w:rPr>
                <w:rFonts w:eastAsia="Calibri"/>
              </w:rPr>
            </w:pPr>
            <w:r w:rsidRPr="00EE72AB">
              <w:rPr>
                <w:rFonts w:eastAsia="Calibri"/>
              </w:rPr>
              <w:t xml:space="preserve"> </w:t>
            </w:r>
          </w:p>
        </w:tc>
        <w:tc>
          <w:tcPr>
            <w:tcW w:w="1490" w:type="dxa"/>
            <w:tcMar>
              <w:top w:w="0" w:type="dxa"/>
              <w:left w:w="40" w:type="dxa"/>
              <w:bottom w:w="0" w:type="dxa"/>
              <w:right w:w="40" w:type="dxa"/>
            </w:tcMar>
          </w:tcPr>
          <w:p w14:paraId="00FA77EF" w14:textId="77777777" w:rsidR="0020727F" w:rsidRPr="00EE72AB" w:rsidRDefault="0020727F" w:rsidP="00EE72AB">
            <w:pPr>
              <w:pStyle w:val="Tabletext"/>
              <w:rPr>
                <w:rFonts w:eastAsia="Calibri"/>
              </w:rPr>
            </w:pPr>
            <w:r w:rsidRPr="00EE72AB">
              <w:rPr>
                <w:rFonts w:eastAsia="Calibri"/>
              </w:rPr>
              <w:t>2024.CSR2.2</w:t>
            </w:r>
          </w:p>
        </w:tc>
        <w:tc>
          <w:tcPr>
            <w:tcW w:w="2124" w:type="dxa"/>
            <w:tcMar>
              <w:top w:w="0" w:type="dxa"/>
              <w:left w:w="40" w:type="dxa"/>
              <w:bottom w:w="0" w:type="dxa"/>
              <w:right w:w="40" w:type="dxa"/>
            </w:tcMar>
          </w:tcPr>
          <w:p w14:paraId="23D7CEAA" w14:textId="77777777" w:rsidR="0020727F" w:rsidRPr="00EE72AB" w:rsidRDefault="0020727F" w:rsidP="00EE72AB">
            <w:pPr>
              <w:pStyle w:val="Tabletext"/>
              <w:rPr>
                <w:rFonts w:eastAsia="Calibri"/>
              </w:rPr>
            </w:pPr>
            <w:r w:rsidRPr="00EE72AB">
              <w:rPr>
                <w:rFonts w:eastAsia="Calibri"/>
              </w:rPr>
              <w:t>A fair green and digital transition</w:t>
            </w:r>
          </w:p>
        </w:tc>
      </w:tr>
    </w:tbl>
    <w:p w14:paraId="475D33B2" w14:textId="4C4B706B" w:rsidR="0020727F" w:rsidRDefault="0020727F" w:rsidP="0020727F">
      <w:pPr>
        <w:rPr>
          <w:rFonts w:eastAsia="Calibri"/>
          <w:lang w:val="en-US"/>
        </w:rPr>
      </w:pPr>
    </w:p>
    <w:p w14:paraId="216442BC" w14:textId="77777777" w:rsidR="002E2131" w:rsidRPr="00920844" w:rsidRDefault="002E2131" w:rsidP="00920844">
      <w:pPr>
        <w:rPr>
          <w:rFonts w:eastAsia="Calibri"/>
          <w:highlight w:val="white"/>
          <w:lang w:val="en-US"/>
        </w:rPr>
      </w:pPr>
      <w:r w:rsidRPr="00920844">
        <w:rPr>
          <w:rFonts w:eastAsia="Calibri"/>
          <w:lang w:val="en-US"/>
        </w:rPr>
        <w:t>“</w:t>
      </w:r>
      <w:r w:rsidRPr="00920844">
        <w:rPr>
          <w:rFonts w:eastAsia="Calibri"/>
          <w:b/>
          <w:lang w:val="en-US"/>
        </w:rPr>
        <w:t>The amendment of the institutional framework for the Hellenic Agricultural Insurance Organization</w:t>
      </w:r>
      <w:r w:rsidRPr="00920844">
        <w:rPr>
          <w:rFonts w:eastAsia="Calibri"/>
          <w:lang w:val="en-US"/>
        </w:rPr>
        <w:t xml:space="preserve"> (</w:t>
      </w:r>
      <w:r w:rsidRPr="00920844">
        <w:rPr>
          <w:rFonts w:eastAsia="Calibri"/>
          <w:b/>
          <w:lang w:val="en-US"/>
        </w:rPr>
        <w:t>ELGA</w:t>
      </w:r>
      <w:r w:rsidRPr="00920844">
        <w:rPr>
          <w:rFonts w:eastAsia="Calibri"/>
          <w:lang w:val="en-US"/>
        </w:rPr>
        <w:t>)” is a major reform that aims, firstly, to ensure sustainability so that the financial organizations of the compensations are covered and the balance sheet of its fund is achieved, and secondly, to cover the possibility of compensatio</w:t>
      </w:r>
      <w:r w:rsidRPr="00920844">
        <w:rPr>
          <w:rFonts w:eastAsia="Calibri"/>
          <w:highlight w:val="white"/>
          <w:lang w:val="en-US"/>
        </w:rPr>
        <w:t>n for new loss-making causes that result from the climate crisis.</w:t>
      </w:r>
    </w:p>
    <w:p w14:paraId="1E60EFF4" w14:textId="77777777" w:rsidR="002E2131" w:rsidRPr="00920844" w:rsidRDefault="002E2131" w:rsidP="00920844">
      <w:pPr>
        <w:rPr>
          <w:rFonts w:eastAsia="Calibri"/>
          <w:lang w:val="en-US"/>
        </w:rPr>
      </w:pPr>
      <w:r w:rsidRPr="00920844">
        <w:rPr>
          <w:rFonts w:eastAsia="Calibri"/>
          <w:lang w:val="en-US"/>
        </w:rPr>
        <w:t xml:space="preserve">The RRF Investment </w:t>
      </w:r>
      <w:r w:rsidRPr="00920844">
        <w:rPr>
          <w:rFonts w:eastAsia="Calibri"/>
          <w:b/>
          <w:lang w:val="en-US"/>
        </w:rPr>
        <w:t>“Economic transformation of the Agricultural Sector”</w:t>
      </w:r>
      <w:r w:rsidRPr="00920844">
        <w:rPr>
          <w:rFonts w:eastAsia="Calibri"/>
          <w:lang w:val="en-US"/>
        </w:rPr>
        <w:t xml:space="preserve"> aims at strengthening and promoting the development of the agricultural sector in Greece, with investments that will lead to strong and sustainable entities with the ability to promote exports. It will address the structural issues of the primary sector (small and fragmented plots) and will provide opportunities to diversify the rural economy. Encouraging production and distribution of new high quality agricultural products with the added support of agricultural advisors, will not only enhance the sector’s competitiveness but will also facilitate the entry to new markets while </w:t>
      </w:r>
      <w:r w:rsidRPr="00920844">
        <w:rPr>
          <w:rFonts w:eastAsia="Calibri"/>
          <w:lang w:val="en-US"/>
        </w:rPr>
        <w:lastRenderedPageBreak/>
        <w:t>meeting the new nutritional demands of consumers. The project is expected to be completed by 2026.</w:t>
      </w:r>
    </w:p>
    <w:p w14:paraId="07E22C53" w14:textId="77777777" w:rsidR="002E2131" w:rsidRPr="00920844" w:rsidRDefault="002E2131" w:rsidP="00920844">
      <w:pPr>
        <w:rPr>
          <w:rFonts w:eastAsia="Calibri"/>
          <w:lang w:val="en-US"/>
        </w:rPr>
      </w:pPr>
      <w:r w:rsidRPr="00920844">
        <w:rPr>
          <w:rFonts w:eastAsia="Calibri"/>
          <w:lang w:val="en-US"/>
        </w:rPr>
        <w:t xml:space="preserve">A multilevel intervention for the RRF Investment </w:t>
      </w:r>
      <w:r w:rsidRPr="00920844">
        <w:rPr>
          <w:rFonts w:eastAsia="Calibri"/>
          <w:b/>
          <w:lang w:val="en-US"/>
        </w:rPr>
        <w:t>“Digital Transformation of the Agri-Food Sector”</w:t>
      </w:r>
      <w:r w:rsidRPr="00920844">
        <w:rPr>
          <w:rFonts w:eastAsia="Calibri"/>
          <w:lang w:val="en-US"/>
        </w:rPr>
        <w:t xml:space="preserve"> includes the development of a large-scale open digital agricultural infrastructure, with cloud infrastructure and processing capabilities of earth observation data, and multidisciplinary technologies. The project composes a cognitive agriculture environment for the technological support of the production process and the intelligent management of natural resources, both at a collective level and individually at parcel level. At the same time a holistic approach will be taken to the development of the extroverted nature of Greek Agriculture, both with the development of information systems to control and facilitate the regulatory audit work, and with the adoption of innovative technologies and initiatives for the promotion of the Greek brand and the connection of Greek agri-food products with foreign markets. It is expected to be completed by 2026.</w:t>
      </w:r>
    </w:p>
    <w:p w14:paraId="0ACB26FA" w14:textId="77777777" w:rsidR="002E2131" w:rsidRPr="00920844" w:rsidRDefault="002E2131"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“Proposals for actions in the Aquaculture Sector”</w:t>
      </w:r>
      <w:r w:rsidRPr="00920844">
        <w:rPr>
          <w:rFonts w:eastAsia="Calibri"/>
          <w:lang w:val="en-US"/>
        </w:rPr>
        <w:t xml:space="preserve"> comprises of innovative equipment solutions, research, know-how transfer and training of human resources with a view to modernize and diversify aquaculture production. It also creates a genetic material database for endangered species and commercial species of freshwater fish. The objective of the investment is to support environmentally friendly production processes and resource efficiency leading to increased trade and job creation in the sector. In addition, aquaculture is one of the main pillars of the Blue Growth Strategy. The Common Fisheries Policy promotes the sustainable development of European aquaculture which is a key priority. It is expected to be completed by 2026.</w:t>
      </w:r>
    </w:p>
    <w:p w14:paraId="2EA2E87D" w14:textId="77777777" w:rsidR="002E2131" w:rsidRPr="00920844" w:rsidRDefault="002E2131" w:rsidP="00920844">
      <w:pPr>
        <w:rPr>
          <w:rFonts w:eastAsia="Calibri"/>
          <w:lang w:val="en-US"/>
        </w:rPr>
      </w:pPr>
      <w:r w:rsidRPr="00920844">
        <w:rPr>
          <w:rFonts w:eastAsia="Calibri"/>
          <w:lang w:val="en-US"/>
        </w:rPr>
        <w:t xml:space="preserve">Towards improving water treatment and water infrastructure, the RRF </w:t>
      </w:r>
      <w:r w:rsidRPr="00920844">
        <w:rPr>
          <w:rFonts w:eastAsia="Calibri"/>
          <w:b/>
          <w:lang w:val="en-US"/>
        </w:rPr>
        <w:t>“Investments in the national irrigation network through PPP schemes”</w:t>
      </w:r>
      <w:r w:rsidRPr="00920844">
        <w:rPr>
          <w:rFonts w:eastAsia="Calibri"/>
          <w:lang w:val="en-US"/>
        </w:rPr>
        <w:t xml:space="preserve"> aim not only to the upgrade and modernization of the national agri-environmental, land improvement and remediation framework, but requires also the reform of the institutional, organisational and operational framework of the collective irrigation networks. As the Greek agriculture sector is known to be the largest consumer of water (80- 85% of the total consumption of water resources), the implementation of sustainable agricultural practices targeting productivity increase, maintaining ecosystems, enhancing adaptation to climate change, and improving soil quality, is deemed necessary. This investment is expected to be completed by 2026.</w:t>
      </w:r>
    </w:p>
    <w:p w14:paraId="15A51F64" w14:textId="6C8D6875" w:rsidR="00943CB9" w:rsidRPr="00920844" w:rsidRDefault="002E2131" w:rsidP="00920844">
      <w:pPr>
        <w:rPr>
          <w:rFonts w:eastAsia="Calibri"/>
          <w:lang w:val="en-US"/>
        </w:rPr>
      </w:pPr>
      <w:r w:rsidRPr="00920844">
        <w:rPr>
          <w:rFonts w:eastAsia="Calibri"/>
          <w:lang w:val="en-US"/>
        </w:rPr>
        <w:t xml:space="preserve">The </w:t>
      </w:r>
      <w:r w:rsidRPr="00920844">
        <w:rPr>
          <w:rFonts w:eastAsia="Calibri"/>
          <w:b/>
          <w:lang w:val="en-US"/>
        </w:rPr>
        <w:t>“ground improvement infrastructure projects”</w:t>
      </w:r>
      <w:r w:rsidRPr="00920844">
        <w:rPr>
          <w:rFonts w:eastAsia="Calibri"/>
          <w:lang w:val="en-US"/>
        </w:rPr>
        <w:t xml:space="preserve">, are based on the Strategic Plan for Common Agricultural Policy 2023-2027, and concern securing and saving water to cover the irrigation needs of crops, the rational management of soil and water resources, and the care for the quality of irrigation water and soil protection. In order to tackle the strong seasonal imbalance between water availability and of its demand for irrigation use, this intervention finances local improvement infrastructures that are primarily aimed at increasing the efficiency </w:t>
      </w:r>
      <w:r w:rsidRPr="00920844">
        <w:rPr>
          <w:rFonts w:eastAsia="Calibri"/>
          <w:lang w:val="en-US"/>
        </w:rPr>
        <w:lastRenderedPageBreak/>
        <w:t>of water use in agriculture through conservation interventions of winter runoff (reservoirs, ponds), and the modernization of irrigation networks with the aim of reducing losses. It is scheduled to be completed by the end of 2029.</w:t>
      </w:r>
    </w:p>
    <w:p w14:paraId="7322E959" w14:textId="3A6D5E72" w:rsidR="00987A40" w:rsidRPr="00C33755" w:rsidRDefault="00B8225C" w:rsidP="00C33755">
      <w:pPr>
        <w:pStyle w:val="Heading2"/>
        <w:pBdr>
          <w:bottom w:val="single" w:sz="18" w:space="1" w:color="FF3300"/>
        </w:pBdr>
      </w:pPr>
      <w:bookmarkStart w:id="106" w:name="_ddmha3se2kpz" w:colFirst="0" w:colLast="0"/>
      <w:bookmarkStart w:id="107" w:name="_ptu2v9ody32t" w:colFirst="0" w:colLast="0"/>
      <w:bookmarkStart w:id="108" w:name="_Toc177496812"/>
      <w:bookmarkStart w:id="109" w:name="_Toc178070114"/>
      <w:bookmarkEnd w:id="106"/>
      <w:bookmarkEnd w:id="107"/>
      <w:r>
        <w:rPr>
          <w:lang w:val="en-US"/>
        </w:rPr>
        <w:t>M</w:t>
      </w:r>
      <w:r w:rsidRPr="00C33755">
        <w:t xml:space="preserve">inistry of </w:t>
      </w:r>
      <w:bookmarkEnd w:id="108"/>
      <w:r>
        <w:rPr>
          <w:lang w:val="en-US"/>
        </w:rPr>
        <w:t>C</w:t>
      </w:r>
      <w:r w:rsidRPr="00C33755">
        <w:t>ulture</w:t>
      </w:r>
      <w:bookmarkEnd w:id="109"/>
    </w:p>
    <w:p w14:paraId="4061C100" w14:textId="1DC4559E" w:rsidR="00987A40" w:rsidRDefault="00987A40" w:rsidP="00987A40">
      <w:pPr>
        <w:spacing w:line="240" w:lineRule="auto"/>
        <w:rPr>
          <w:rFonts w:ascii="Calibri" w:eastAsia="Calibri" w:hAnsi="Calibri" w:cs="Calibri"/>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628"/>
        <w:gridCol w:w="1708"/>
        <w:gridCol w:w="1417"/>
        <w:gridCol w:w="2319"/>
      </w:tblGrid>
      <w:tr w:rsidR="002E2131" w:rsidRPr="00EE72AB" w14:paraId="6849538E" w14:textId="77777777" w:rsidTr="00EE72AB">
        <w:trPr>
          <w:trHeight w:val="113"/>
          <w:jc w:val="center"/>
        </w:trPr>
        <w:tc>
          <w:tcPr>
            <w:tcW w:w="3735" w:type="dxa"/>
            <w:shd w:val="clear" w:color="auto" w:fill="CFE2F3"/>
            <w:tcMar>
              <w:top w:w="0" w:type="dxa"/>
              <w:left w:w="100" w:type="dxa"/>
              <w:bottom w:w="0" w:type="dxa"/>
              <w:right w:w="100" w:type="dxa"/>
            </w:tcMar>
          </w:tcPr>
          <w:p w14:paraId="4EDB056C" w14:textId="77777777" w:rsidR="002E2131" w:rsidRPr="00EE72AB" w:rsidRDefault="002E2131" w:rsidP="00EE72AB">
            <w:pPr>
              <w:pStyle w:val="Tabletext"/>
              <w:rPr>
                <w:rFonts w:eastAsia="Calibri"/>
                <w:b/>
              </w:rPr>
            </w:pPr>
            <w:r w:rsidRPr="00EE72AB">
              <w:rPr>
                <w:rFonts w:eastAsia="Calibri"/>
                <w:b/>
              </w:rPr>
              <w:t>REFORM / INVESTMENT</w:t>
            </w:r>
          </w:p>
        </w:tc>
        <w:tc>
          <w:tcPr>
            <w:tcW w:w="1755" w:type="dxa"/>
            <w:shd w:val="clear" w:color="auto" w:fill="CFE2F3"/>
            <w:tcMar>
              <w:top w:w="0" w:type="dxa"/>
              <w:left w:w="100" w:type="dxa"/>
              <w:bottom w:w="0" w:type="dxa"/>
              <w:right w:w="100" w:type="dxa"/>
            </w:tcMar>
          </w:tcPr>
          <w:p w14:paraId="436BDF18" w14:textId="77777777" w:rsidR="002E2131" w:rsidRPr="00EE72AB" w:rsidRDefault="002E2131" w:rsidP="00EE72AB">
            <w:pPr>
              <w:pStyle w:val="Tabletext"/>
              <w:rPr>
                <w:rFonts w:eastAsia="Calibri"/>
                <w:b/>
              </w:rPr>
            </w:pPr>
            <w:r w:rsidRPr="00EE72AB">
              <w:rPr>
                <w:rFonts w:eastAsia="Calibri"/>
                <w:b/>
              </w:rPr>
              <w:t>RRF / MFF</w:t>
            </w:r>
          </w:p>
        </w:tc>
        <w:tc>
          <w:tcPr>
            <w:tcW w:w="1455" w:type="dxa"/>
            <w:shd w:val="clear" w:color="auto" w:fill="CFE2F3"/>
            <w:tcMar>
              <w:top w:w="0" w:type="dxa"/>
              <w:left w:w="100" w:type="dxa"/>
              <w:bottom w:w="0" w:type="dxa"/>
              <w:right w:w="100" w:type="dxa"/>
            </w:tcMar>
          </w:tcPr>
          <w:p w14:paraId="1C5A73E9" w14:textId="77777777" w:rsidR="002E2131" w:rsidRPr="00EE72AB" w:rsidRDefault="002E2131" w:rsidP="00EE72AB">
            <w:pPr>
              <w:pStyle w:val="Tabletext"/>
              <w:rPr>
                <w:rFonts w:eastAsia="Calibri"/>
                <w:b/>
              </w:rPr>
            </w:pPr>
            <w:r w:rsidRPr="00EE72AB">
              <w:rPr>
                <w:rFonts w:eastAsia="Calibri"/>
                <w:b/>
              </w:rPr>
              <w:t>CSR</w:t>
            </w:r>
          </w:p>
        </w:tc>
        <w:tc>
          <w:tcPr>
            <w:tcW w:w="2385" w:type="dxa"/>
            <w:shd w:val="clear" w:color="auto" w:fill="CFE2F3"/>
            <w:tcMar>
              <w:top w:w="0" w:type="dxa"/>
              <w:left w:w="100" w:type="dxa"/>
              <w:bottom w:w="0" w:type="dxa"/>
              <w:right w:w="100" w:type="dxa"/>
            </w:tcMar>
          </w:tcPr>
          <w:p w14:paraId="551D8377" w14:textId="77777777" w:rsidR="002E2131" w:rsidRPr="00EE72AB" w:rsidRDefault="002E2131" w:rsidP="00EE72AB">
            <w:pPr>
              <w:pStyle w:val="Tabletext"/>
              <w:rPr>
                <w:rFonts w:eastAsia="Calibri"/>
                <w:b/>
              </w:rPr>
            </w:pPr>
            <w:r w:rsidRPr="00EE72AB">
              <w:rPr>
                <w:rFonts w:eastAsia="Calibri"/>
                <w:b/>
              </w:rPr>
              <w:t>COMMON PRIORITIES</w:t>
            </w:r>
          </w:p>
        </w:tc>
      </w:tr>
      <w:tr w:rsidR="002E2131" w:rsidRPr="00EE72AB" w14:paraId="6572CF3C" w14:textId="77777777" w:rsidTr="00EE72AB">
        <w:trPr>
          <w:trHeight w:val="113"/>
          <w:jc w:val="center"/>
        </w:trPr>
        <w:tc>
          <w:tcPr>
            <w:tcW w:w="3735" w:type="dxa"/>
            <w:tcMar>
              <w:top w:w="40" w:type="dxa"/>
              <w:left w:w="40" w:type="dxa"/>
              <w:bottom w:w="40" w:type="dxa"/>
              <w:right w:w="40" w:type="dxa"/>
            </w:tcMar>
          </w:tcPr>
          <w:p w14:paraId="60175AEE" w14:textId="538EDA67" w:rsidR="002E2131" w:rsidRPr="00EE72AB" w:rsidRDefault="00BA03C0" w:rsidP="00EE72AB">
            <w:pPr>
              <w:pStyle w:val="Tabletext"/>
              <w:rPr>
                <w:rFonts w:eastAsia="Calibri"/>
              </w:rPr>
            </w:pPr>
            <w:r w:rsidRPr="00BA03C0">
              <w:rPr>
                <w:rFonts w:eastAsia="Calibri"/>
                <w:b/>
              </w:rPr>
              <w:t>INVESTMENT 1:</w:t>
            </w:r>
            <w:r w:rsidR="002E2131" w:rsidRPr="00EE72AB">
              <w:rPr>
                <w:rFonts w:eastAsia="Calibri"/>
              </w:rPr>
              <w:t xml:space="preserve"> Culture as a driver of growth</w:t>
            </w:r>
          </w:p>
          <w:p w14:paraId="7B084F53" w14:textId="77777777" w:rsidR="002E2131" w:rsidRPr="00EE72AB" w:rsidRDefault="002E2131" w:rsidP="00EE72AB">
            <w:pPr>
              <w:pStyle w:val="Tabletext"/>
              <w:rPr>
                <w:rFonts w:eastAsia="Calibri"/>
              </w:rPr>
            </w:pPr>
            <w:r w:rsidRPr="00EE72AB">
              <w:rPr>
                <w:rFonts w:eastAsia="Calibri"/>
              </w:rPr>
              <w:t xml:space="preserve"> </w:t>
            </w:r>
          </w:p>
          <w:p w14:paraId="08D80E74" w14:textId="77777777" w:rsidR="002E2131" w:rsidRPr="00EE72AB" w:rsidRDefault="002E2131" w:rsidP="00EE72AB">
            <w:pPr>
              <w:pStyle w:val="Tabletext"/>
              <w:rPr>
                <w:rFonts w:eastAsia="Calibri"/>
              </w:rPr>
            </w:pPr>
            <w:r w:rsidRPr="00EE72AB">
              <w:rPr>
                <w:rFonts w:eastAsia="Calibri"/>
              </w:rPr>
              <w:t xml:space="preserve"> </w:t>
            </w:r>
          </w:p>
          <w:p w14:paraId="63AF2FCF" w14:textId="77777777" w:rsidR="002E2131" w:rsidRPr="00EE72AB" w:rsidRDefault="002E2131" w:rsidP="00EE72AB">
            <w:pPr>
              <w:pStyle w:val="Tabletext"/>
              <w:rPr>
                <w:rFonts w:eastAsia="Calibri"/>
              </w:rPr>
            </w:pPr>
            <w:r w:rsidRPr="00EE72AB">
              <w:rPr>
                <w:rFonts w:eastAsia="Calibri"/>
              </w:rPr>
              <w:t xml:space="preserve"> </w:t>
            </w:r>
          </w:p>
        </w:tc>
        <w:tc>
          <w:tcPr>
            <w:tcW w:w="1755" w:type="dxa"/>
            <w:tcMar>
              <w:top w:w="40" w:type="dxa"/>
              <w:left w:w="40" w:type="dxa"/>
              <w:bottom w:w="40" w:type="dxa"/>
              <w:right w:w="40" w:type="dxa"/>
            </w:tcMar>
          </w:tcPr>
          <w:p w14:paraId="52CA16D4" w14:textId="77777777" w:rsidR="002E2131" w:rsidRPr="00EE72AB" w:rsidRDefault="002E2131" w:rsidP="00EE72AB">
            <w:pPr>
              <w:pStyle w:val="Tabletext"/>
              <w:rPr>
                <w:rFonts w:eastAsia="Calibri"/>
              </w:rPr>
            </w:pPr>
            <w:r w:rsidRPr="00EE72AB">
              <w:rPr>
                <w:rFonts w:eastAsia="Calibri"/>
              </w:rPr>
              <w:t>RRF 16293</w:t>
            </w:r>
          </w:p>
          <w:p w14:paraId="2DDA9BCF" w14:textId="77777777" w:rsidR="002E2131" w:rsidRPr="00EE72AB" w:rsidRDefault="002E2131" w:rsidP="00EE72AB">
            <w:pPr>
              <w:pStyle w:val="Tabletext"/>
              <w:rPr>
                <w:rFonts w:eastAsia="Calibri"/>
              </w:rPr>
            </w:pPr>
            <w:r w:rsidRPr="00EE72AB">
              <w:rPr>
                <w:rFonts w:eastAsia="Calibri"/>
              </w:rPr>
              <w:t xml:space="preserve"> </w:t>
            </w:r>
          </w:p>
          <w:p w14:paraId="3698110B" w14:textId="77777777" w:rsidR="002E2131" w:rsidRPr="00EE72AB" w:rsidRDefault="002E2131" w:rsidP="00EE72AB">
            <w:pPr>
              <w:pStyle w:val="Tabletext"/>
              <w:rPr>
                <w:rFonts w:eastAsia="Calibri"/>
              </w:rPr>
            </w:pPr>
            <w:r w:rsidRPr="00EE72AB">
              <w:rPr>
                <w:rFonts w:eastAsia="Calibri"/>
              </w:rPr>
              <w:t xml:space="preserve"> </w:t>
            </w:r>
          </w:p>
          <w:p w14:paraId="02D2995C" w14:textId="77777777" w:rsidR="002E2131" w:rsidRPr="00EE72AB" w:rsidRDefault="002E2131" w:rsidP="00EE72AB">
            <w:pPr>
              <w:pStyle w:val="Tabletext"/>
              <w:rPr>
                <w:rFonts w:eastAsia="Calibri"/>
              </w:rPr>
            </w:pPr>
            <w:r w:rsidRPr="00EE72AB">
              <w:rPr>
                <w:rFonts w:eastAsia="Calibri"/>
              </w:rPr>
              <w:t xml:space="preserve"> </w:t>
            </w:r>
          </w:p>
          <w:p w14:paraId="64520109" w14:textId="77777777" w:rsidR="002E2131" w:rsidRPr="00EE72AB" w:rsidRDefault="002E2131" w:rsidP="00EE72AB">
            <w:pPr>
              <w:pStyle w:val="Tabletext"/>
              <w:rPr>
                <w:rFonts w:eastAsia="Calibri"/>
              </w:rPr>
            </w:pPr>
            <w:r w:rsidRPr="00EE72AB">
              <w:rPr>
                <w:rFonts w:eastAsia="Calibri"/>
              </w:rPr>
              <w:t xml:space="preserve"> </w:t>
            </w:r>
          </w:p>
        </w:tc>
        <w:tc>
          <w:tcPr>
            <w:tcW w:w="1455" w:type="dxa"/>
            <w:tcMar>
              <w:top w:w="40" w:type="dxa"/>
              <w:left w:w="40" w:type="dxa"/>
              <w:bottom w:w="40" w:type="dxa"/>
              <w:right w:w="40" w:type="dxa"/>
            </w:tcMar>
          </w:tcPr>
          <w:p w14:paraId="38FEB354" w14:textId="61E69114" w:rsidR="002E2131" w:rsidRPr="00EE72AB" w:rsidRDefault="002E2131" w:rsidP="00EE72AB">
            <w:pPr>
              <w:pStyle w:val="Tabletext"/>
              <w:rPr>
                <w:rFonts w:eastAsia="Calibri"/>
              </w:rPr>
            </w:pPr>
            <w:r w:rsidRPr="00EE72AB">
              <w:rPr>
                <w:rFonts w:eastAsia="Calibri"/>
              </w:rPr>
              <w:t>2024 CSR1.4</w:t>
            </w:r>
            <w:r w:rsidRPr="00EE72AB">
              <w:rPr>
                <w:rFonts w:eastAsia="Calibri"/>
              </w:rPr>
              <w:br/>
              <w:t>2024 CSR2.1</w:t>
            </w:r>
            <w:r w:rsidRPr="00EE72AB">
              <w:rPr>
                <w:rFonts w:eastAsia="Calibri"/>
              </w:rPr>
              <w:br/>
              <w:t>2024 CSR3.1</w:t>
            </w:r>
            <w:r w:rsidRPr="00EE72AB">
              <w:rPr>
                <w:rFonts w:eastAsia="Calibri"/>
              </w:rPr>
              <w:br/>
              <w:t>2023 CSR4.1</w:t>
            </w:r>
            <w:r w:rsidRPr="00EE72AB">
              <w:rPr>
                <w:rFonts w:eastAsia="Calibri"/>
              </w:rPr>
              <w:br/>
              <w:t>2023 CSR4.4</w:t>
            </w:r>
            <w:r w:rsidRPr="00EE72AB">
              <w:rPr>
                <w:rFonts w:eastAsia="Calibri"/>
              </w:rPr>
              <w:br/>
              <w:t>2022 CSR4.1</w:t>
            </w:r>
            <w:r w:rsidRPr="00EE72AB">
              <w:rPr>
                <w:rFonts w:eastAsia="Calibri"/>
              </w:rPr>
              <w:br/>
              <w:t>2022 CSR4.5</w:t>
            </w:r>
            <w:r w:rsidRPr="00EE72AB">
              <w:rPr>
                <w:rFonts w:eastAsia="Calibri"/>
              </w:rPr>
              <w:br/>
              <w:t>2020 CSR3.3</w:t>
            </w:r>
            <w:r w:rsidRPr="00EE72AB">
              <w:rPr>
                <w:rFonts w:eastAsia="Calibri"/>
              </w:rPr>
              <w:br/>
              <w:t>2020 CSR3.8</w:t>
            </w:r>
            <w:r w:rsidRPr="00EE72AB">
              <w:rPr>
                <w:rFonts w:eastAsia="Calibri"/>
              </w:rPr>
              <w:br/>
              <w:t>2019 CSR2.3</w:t>
            </w:r>
            <w:r w:rsidRPr="00EE72AB">
              <w:rPr>
                <w:rFonts w:eastAsia="Calibri"/>
              </w:rPr>
              <w:br/>
              <w:t>2019 CSR2.6</w:t>
            </w:r>
            <w:r w:rsidRPr="00EE72AB">
              <w:rPr>
                <w:rFonts w:eastAsia="Calibri"/>
              </w:rPr>
              <w:br/>
              <w:t>2019 CSR2.7</w:t>
            </w:r>
          </w:p>
        </w:tc>
        <w:tc>
          <w:tcPr>
            <w:tcW w:w="2385" w:type="dxa"/>
            <w:tcMar>
              <w:top w:w="40" w:type="dxa"/>
              <w:left w:w="40" w:type="dxa"/>
              <w:bottom w:w="40" w:type="dxa"/>
              <w:right w:w="40" w:type="dxa"/>
            </w:tcMar>
          </w:tcPr>
          <w:p w14:paraId="1E326E11" w14:textId="77777777" w:rsidR="002E2131" w:rsidRPr="00EE72AB" w:rsidRDefault="002E2131" w:rsidP="00EE72AB">
            <w:pPr>
              <w:pStyle w:val="Tabletext"/>
              <w:rPr>
                <w:rFonts w:eastAsia="Calibri"/>
              </w:rPr>
            </w:pPr>
            <w:r w:rsidRPr="00EE72AB">
              <w:rPr>
                <w:rFonts w:eastAsia="Calibri"/>
              </w:rPr>
              <w:t>Social and Economic resilience</w:t>
            </w:r>
          </w:p>
          <w:p w14:paraId="0FB53FC5" w14:textId="77777777" w:rsidR="002E2131" w:rsidRPr="00EE72AB" w:rsidRDefault="002E2131" w:rsidP="00EE72AB">
            <w:pPr>
              <w:pStyle w:val="Tabletext"/>
              <w:rPr>
                <w:rFonts w:eastAsia="Calibri"/>
              </w:rPr>
            </w:pPr>
            <w:r w:rsidRPr="00EE72AB">
              <w:rPr>
                <w:rFonts w:eastAsia="Calibri"/>
              </w:rPr>
              <w:t xml:space="preserve"> </w:t>
            </w:r>
          </w:p>
          <w:p w14:paraId="375C27E2" w14:textId="77777777" w:rsidR="002E2131" w:rsidRPr="00EE72AB" w:rsidRDefault="002E2131" w:rsidP="00EE72AB">
            <w:pPr>
              <w:pStyle w:val="Tabletext"/>
              <w:rPr>
                <w:rFonts w:eastAsia="Calibri"/>
              </w:rPr>
            </w:pPr>
            <w:r w:rsidRPr="00EE72AB">
              <w:rPr>
                <w:rFonts w:eastAsia="Calibri"/>
              </w:rPr>
              <w:t xml:space="preserve"> </w:t>
            </w:r>
          </w:p>
        </w:tc>
      </w:tr>
      <w:tr w:rsidR="002E2131" w:rsidRPr="00EE72AB" w14:paraId="0C8B176B" w14:textId="77777777" w:rsidTr="00EE72AB">
        <w:trPr>
          <w:trHeight w:val="113"/>
          <w:jc w:val="center"/>
        </w:trPr>
        <w:tc>
          <w:tcPr>
            <w:tcW w:w="3735" w:type="dxa"/>
            <w:tcMar>
              <w:top w:w="40" w:type="dxa"/>
              <w:left w:w="40" w:type="dxa"/>
              <w:bottom w:w="40" w:type="dxa"/>
              <w:right w:w="40" w:type="dxa"/>
            </w:tcMar>
          </w:tcPr>
          <w:p w14:paraId="00850B3D" w14:textId="3A8E4FB0" w:rsidR="002E2131" w:rsidRPr="00EE72AB" w:rsidRDefault="00BA03C0" w:rsidP="00EE72AB">
            <w:pPr>
              <w:pStyle w:val="Tabletext"/>
              <w:rPr>
                <w:rFonts w:eastAsia="Calibri"/>
              </w:rPr>
            </w:pPr>
            <w:r w:rsidRPr="00BA03C0">
              <w:rPr>
                <w:rFonts w:eastAsia="Calibri"/>
                <w:b/>
              </w:rPr>
              <w:t>INVESTMENT 2:</w:t>
            </w:r>
            <w:r w:rsidR="002E2131" w:rsidRPr="00EE72AB">
              <w:rPr>
                <w:rFonts w:eastAsia="Calibri"/>
              </w:rPr>
              <w:t xml:space="preserve"> Protection of Cultural Monuments and Archaeological Sites from Climate Change</w:t>
            </w:r>
          </w:p>
          <w:p w14:paraId="0B0CDFDB" w14:textId="77777777" w:rsidR="002E2131" w:rsidRPr="00EE72AB" w:rsidRDefault="002E2131" w:rsidP="00EE72AB">
            <w:pPr>
              <w:pStyle w:val="Tabletext"/>
              <w:rPr>
                <w:rFonts w:eastAsia="Calibri"/>
              </w:rPr>
            </w:pPr>
            <w:r w:rsidRPr="00EE72AB">
              <w:rPr>
                <w:rFonts w:eastAsia="Calibri"/>
              </w:rPr>
              <w:t xml:space="preserve"> </w:t>
            </w:r>
          </w:p>
        </w:tc>
        <w:tc>
          <w:tcPr>
            <w:tcW w:w="1755" w:type="dxa"/>
            <w:tcMar>
              <w:top w:w="0" w:type="dxa"/>
              <w:left w:w="100" w:type="dxa"/>
              <w:bottom w:w="0" w:type="dxa"/>
              <w:right w:w="100" w:type="dxa"/>
            </w:tcMar>
          </w:tcPr>
          <w:p w14:paraId="07F48CFC" w14:textId="77777777" w:rsidR="002E2131" w:rsidRPr="00EE72AB" w:rsidRDefault="002E2131" w:rsidP="00EE72AB">
            <w:pPr>
              <w:pStyle w:val="Tabletext"/>
              <w:rPr>
                <w:rFonts w:eastAsia="Calibri"/>
              </w:rPr>
            </w:pPr>
            <w:r w:rsidRPr="00EE72AB">
              <w:rPr>
                <w:rFonts w:eastAsia="Calibri"/>
              </w:rPr>
              <w:t>RRF 16433</w:t>
            </w:r>
          </w:p>
        </w:tc>
        <w:tc>
          <w:tcPr>
            <w:tcW w:w="1455" w:type="dxa"/>
            <w:tcMar>
              <w:top w:w="0" w:type="dxa"/>
              <w:left w:w="100" w:type="dxa"/>
              <w:bottom w:w="0" w:type="dxa"/>
              <w:right w:w="100" w:type="dxa"/>
            </w:tcMar>
          </w:tcPr>
          <w:p w14:paraId="4BD155E8" w14:textId="68FDCC98" w:rsidR="002E2131" w:rsidRPr="00EE72AB" w:rsidRDefault="002E2131" w:rsidP="00EE72AB">
            <w:pPr>
              <w:pStyle w:val="Tabletext"/>
              <w:rPr>
                <w:rFonts w:eastAsia="Calibri"/>
              </w:rPr>
            </w:pPr>
            <w:r w:rsidRPr="00EE72AB">
              <w:rPr>
                <w:rFonts w:eastAsia="Calibri"/>
              </w:rPr>
              <w:t>2024 CSR2.1</w:t>
            </w:r>
            <w:r w:rsidRPr="00EE72AB">
              <w:rPr>
                <w:rFonts w:eastAsia="Calibri"/>
              </w:rPr>
              <w:br/>
              <w:t>2020 CSR3.6</w:t>
            </w:r>
            <w:r w:rsidRPr="00EE72AB">
              <w:rPr>
                <w:rFonts w:eastAsia="Calibri"/>
              </w:rPr>
              <w:br/>
              <w:t>2020.CSR3.9</w:t>
            </w:r>
            <w:r w:rsidRPr="00EE72AB">
              <w:rPr>
                <w:rFonts w:eastAsia="Calibri"/>
              </w:rPr>
              <w:br/>
              <w:t>2019 CSR2.2</w:t>
            </w:r>
          </w:p>
        </w:tc>
        <w:tc>
          <w:tcPr>
            <w:tcW w:w="2385" w:type="dxa"/>
            <w:tcMar>
              <w:top w:w="0" w:type="dxa"/>
              <w:left w:w="100" w:type="dxa"/>
              <w:bottom w:w="0" w:type="dxa"/>
              <w:right w:w="100" w:type="dxa"/>
            </w:tcMar>
          </w:tcPr>
          <w:p w14:paraId="38D989E0"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3955FA7E" w14:textId="77777777" w:rsidTr="00EE72AB">
        <w:trPr>
          <w:trHeight w:val="113"/>
          <w:jc w:val="center"/>
        </w:trPr>
        <w:tc>
          <w:tcPr>
            <w:tcW w:w="3735" w:type="dxa"/>
            <w:tcMar>
              <w:top w:w="40" w:type="dxa"/>
              <w:left w:w="40" w:type="dxa"/>
              <w:bottom w:w="40" w:type="dxa"/>
              <w:right w:w="40" w:type="dxa"/>
            </w:tcMar>
          </w:tcPr>
          <w:p w14:paraId="4F0E0A75" w14:textId="184C6582" w:rsidR="002E2131" w:rsidRPr="00EE72AB" w:rsidRDefault="00BA03C0" w:rsidP="00EE72AB">
            <w:pPr>
              <w:pStyle w:val="Tabletext"/>
              <w:rPr>
                <w:rFonts w:eastAsia="Calibri"/>
              </w:rPr>
            </w:pPr>
            <w:r w:rsidRPr="00BA03C0">
              <w:rPr>
                <w:rFonts w:eastAsia="Calibri"/>
                <w:b/>
              </w:rPr>
              <w:t>INVESTMENT 3:</w:t>
            </w:r>
            <w:r w:rsidR="002E2131" w:rsidRPr="00EE72AB">
              <w:rPr>
                <w:rFonts w:eastAsia="Calibri"/>
              </w:rPr>
              <w:t xml:space="preserve"> Cultural Routes at Emblematic Archaeological Sites and Monuments</w:t>
            </w:r>
          </w:p>
          <w:p w14:paraId="68B4193F" w14:textId="77777777" w:rsidR="002E2131" w:rsidRPr="00EE72AB" w:rsidRDefault="002E2131" w:rsidP="00EE72AB">
            <w:pPr>
              <w:pStyle w:val="Tabletext"/>
              <w:rPr>
                <w:rFonts w:eastAsia="Calibri"/>
              </w:rPr>
            </w:pPr>
            <w:r w:rsidRPr="00EE72AB">
              <w:rPr>
                <w:rFonts w:eastAsia="Calibri"/>
              </w:rPr>
              <w:t xml:space="preserve"> </w:t>
            </w:r>
          </w:p>
        </w:tc>
        <w:tc>
          <w:tcPr>
            <w:tcW w:w="1755" w:type="dxa"/>
            <w:tcMar>
              <w:top w:w="0" w:type="dxa"/>
              <w:left w:w="100" w:type="dxa"/>
              <w:bottom w:w="0" w:type="dxa"/>
              <w:right w:w="100" w:type="dxa"/>
            </w:tcMar>
          </w:tcPr>
          <w:p w14:paraId="6039718F" w14:textId="77777777" w:rsidR="002E2131" w:rsidRPr="00EE72AB" w:rsidRDefault="002E2131" w:rsidP="00EE72AB">
            <w:pPr>
              <w:pStyle w:val="Tabletext"/>
              <w:rPr>
                <w:rFonts w:eastAsia="Calibri"/>
              </w:rPr>
            </w:pPr>
            <w:r w:rsidRPr="00EE72AB">
              <w:rPr>
                <w:rFonts w:eastAsia="Calibri"/>
              </w:rPr>
              <w:t>RRF 16485</w:t>
            </w:r>
          </w:p>
        </w:tc>
        <w:tc>
          <w:tcPr>
            <w:tcW w:w="1455" w:type="dxa"/>
            <w:tcMar>
              <w:top w:w="0" w:type="dxa"/>
              <w:left w:w="100" w:type="dxa"/>
              <w:bottom w:w="0" w:type="dxa"/>
              <w:right w:w="100" w:type="dxa"/>
            </w:tcMar>
          </w:tcPr>
          <w:p w14:paraId="16C65577" w14:textId="48178876" w:rsidR="002E2131" w:rsidRPr="00EE72AB" w:rsidRDefault="002E2131" w:rsidP="00EE72AB">
            <w:pPr>
              <w:pStyle w:val="Tabletext"/>
              <w:rPr>
                <w:rFonts w:eastAsia="Calibri"/>
              </w:rPr>
            </w:pPr>
            <w:r w:rsidRPr="00EE72AB">
              <w:rPr>
                <w:rFonts w:eastAsia="Calibri"/>
              </w:rPr>
              <w:t>2024 CSR2.1</w:t>
            </w:r>
            <w:r w:rsidRPr="00EE72AB">
              <w:rPr>
                <w:rFonts w:eastAsia="Calibri"/>
              </w:rPr>
              <w:br/>
              <w:t>2020 CSR3.9</w:t>
            </w:r>
            <w:r w:rsidRPr="00EE72AB">
              <w:rPr>
                <w:rFonts w:eastAsia="Calibri"/>
              </w:rPr>
              <w:br/>
              <w:t>2019 CSR2.3</w:t>
            </w:r>
          </w:p>
        </w:tc>
        <w:tc>
          <w:tcPr>
            <w:tcW w:w="2385" w:type="dxa"/>
            <w:tcMar>
              <w:top w:w="0" w:type="dxa"/>
              <w:left w:w="100" w:type="dxa"/>
              <w:bottom w:w="0" w:type="dxa"/>
              <w:right w:w="100" w:type="dxa"/>
            </w:tcMar>
          </w:tcPr>
          <w:p w14:paraId="51C979E4"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63CE9BA4" w14:textId="77777777" w:rsidTr="00EE72AB">
        <w:trPr>
          <w:trHeight w:val="113"/>
          <w:jc w:val="center"/>
        </w:trPr>
        <w:tc>
          <w:tcPr>
            <w:tcW w:w="3735" w:type="dxa"/>
            <w:tcMar>
              <w:top w:w="40" w:type="dxa"/>
              <w:left w:w="40" w:type="dxa"/>
              <w:bottom w:w="40" w:type="dxa"/>
              <w:right w:w="40" w:type="dxa"/>
            </w:tcMar>
          </w:tcPr>
          <w:p w14:paraId="3277855F" w14:textId="1DC0A2AE" w:rsidR="002E2131" w:rsidRPr="00EE72AB" w:rsidRDefault="00BA03C0" w:rsidP="00EE72AB">
            <w:pPr>
              <w:pStyle w:val="Tabletext"/>
              <w:rPr>
                <w:rFonts w:eastAsia="Calibri"/>
              </w:rPr>
            </w:pPr>
            <w:r w:rsidRPr="00BA03C0">
              <w:rPr>
                <w:rFonts w:eastAsia="Calibri"/>
                <w:b/>
              </w:rPr>
              <w:t>INVESTMENT 4:</w:t>
            </w:r>
            <w:r w:rsidR="002E2131" w:rsidRPr="00EE72AB">
              <w:rPr>
                <w:rFonts w:eastAsia="Calibri"/>
              </w:rPr>
              <w:t xml:space="preserve"> Utilising “arts on prescription”, promoting social cohesion, and tapping on the silver economy</w:t>
            </w:r>
          </w:p>
          <w:p w14:paraId="2E445FEF" w14:textId="77777777" w:rsidR="002E2131" w:rsidRPr="00EE72AB" w:rsidRDefault="002E2131" w:rsidP="00EE72AB">
            <w:pPr>
              <w:pStyle w:val="Tabletext"/>
              <w:rPr>
                <w:rFonts w:eastAsia="Calibri"/>
              </w:rPr>
            </w:pPr>
            <w:r w:rsidRPr="00EE72AB">
              <w:rPr>
                <w:rFonts w:eastAsia="Calibri"/>
              </w:rPr>
              <w:t xml:space="preserve"> </w:t>
            </w:r>
          </w:p>
        </w:tc>
        <w:tc>
          <w:tcPr>
            <w:tcW w:w="1755" w:type="dxa"/>
            <w:tcMar>
              <w:top w:w="0" w:type="dxa"/>
              <w:left w:w="100" w:type="dxa"/>
              <w:bottom w:w="0" w:type="dxa"/>
              <w:right w:w="100" w:type="dxa"/>
            </w:tcMar>
          </w:tcPr>
          <w:p w14:paraId="1021262C" w14:textId="77777777" w:rsidR="002E2131" w:rsidRPr="00EE72AB" w:rsidRDefault="002E2131" w:rsidP="00EE72AB">
            <w:pPr>
              <w:pStyle w:val="Tabletext"/>
              <w:rPr>
                <w:rFonts w:eastAsia="Calibri"/>
              </w:rPr>
            </w:pPr>
            <w:r w:rsidRPr="00EE72AB">
              <w:rPr>
                <w:rFonts w:eastAsia="Calibri"/>
              </w:rPr>
              <w:t>RRF 16735</w:t>
            </w:r>
          </w:p>
        </w:tc>
        <w:tc>
          <w:tcPr>
            <w:tcW w:w="1455" w:type="dxa"/>
            <w:tcMar>
              <w:top w:w="0" w:type="dxa"/>
              <w:left w:w="100" w:type="dxa"/>
              <w:bottom w:w="0" w:type="dxa"/>
              <w:right w:w="100" w:type="dxa"/>
            </w:tcMar>
          </w:tcPr>
          <w:p w14:paraId="62C2315C" w14:textId="7A947B5D" w:rsidR="002E2131" w:rsidRPr="00EE72AB" w:rsidRDefault="002E2131" w:rsidP="00EE72AB">
            <w:pPr>
              <w:pStyle w:val="Tabletext"/>
              <w:rPr>
                <w:rFonts w:eastAsia="Calibri"/>
              </w:rPr>
            </w:pPr>
            <w:r w:rsidRPr="00EE72AB">
              <w:rPr>
                <w:rFonts w:eastAsia="Calibri"/>
              </w:rPr>
              <w:t>2024 CSR1.4</w:t>
            </w:r>
            <w:r w:rsidRPr="00EE72AB">
              <w:rPr>
                <w:rFonts w:eastAsia="Calibri"/>
              </w:rPr>
              <w:br/>
              <w:t>2024 CSR2.1</w:t>
            </w:r>
            <w:r w:rsidRPr="00EE72AB">
              <w:rPr>
                <w:rFonts w:eastAsia="Calibri"/>
              </w:rPr>
              <w:br/>
              <w:t>2020 CSR3.3</w:t>
            </w:r>
            <w:r w:rsidRPr="00EE72AB">
              <w:rPr>
                <w:rFonts w:eastAsia="Calibri"/>
              </w:rPr>
              <w:br/>
              <w:t>2020 CSR3.9</w:t>
            </w:r>
            <w:r w:rsidRPr="00EE72AB">
              <w:rPr>
                <w:rFonts w:eastAsia="Calibri"/>
              </w:rPr>
              <w:br/>
              <w:t>2019 CSR2.6</w:t>
            </w:r>
            <w:r w:rsidRPr="00EE72AB">
              <w:rPr>
                <w:rFonts w:eastAsia="Calibri"/>
              </w:rPr>
              <w:br/>
              <w:t>2019 CSR2.7</w:t>
            </w:r>
          </w:p>
        </w:tc>
        <w:tc>
          <w:tcPr>
            <w:tcW w:w="2385" w:type="dxa"/>
            <w:tcMar>
              <w:top w:w="0" w:type="dxa"/>
              <w:left w:w="100" w:type="dxa"/>
              <w:bottom w:w="0" w:type="dxa"/>
              <w:right w:w="100" w:type="dxa"/>
            </w:tcMar>
          </w:tcPr>
          <w:p w14:paraId="4EEC8C49"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0340288F" w14:textId="77777777" w:rsidTr="00EE72AB">
        <w:trPr>
          <w:trHeight w:val="113"/>
          <w:jc w:val="center"/>
        </w:trPr>
        <w:tc>
          <w:tcPr>
            <w:tcW w:w="3735" w:type="dxa"/>
            <w:tcMar>
              <w:top w:w="40" w:type="dxa"/>
              <w:left w:w="40" w:type="dxa"/>
              <w:bottom w:w="40" w:type="dxa"/>
              <w:right w:w="40" w:type="dxa"/>
            </w:tcMar>
          </w:tcPr>
          <w:p w14:paraId="0835DB97" w14:textId="4AB51102" w:rsidR="002E2131" w:rsidRPr="00EE72AB" w:rsidRDefault="00BA03C0" w:rsidP="00EE72AB">
            <w:pPr>
              <w:pStyle w:val="Tabletext"/>
              <w:rPr>
                <w:rFonts w:eastAsia="Calibri"/>
              </w:rPr>
            </w:pPr>
            <w:r w:rsidRPr="00BA03C0">
              <w:rPr>
                <w:rFonts w:eastAsia="Calibri"/>
                <w:b/>
              </w:rPr>
              <w:t>INVESTMENT 5:</w:t>
            </w:r>
            <w:r w:rsidR="002E2131" w:rsidRPr="00EE72AB">
              <w:rPr>
                <w:rFonts w:eastAsia="Calibri"/>
              </w:rPr>
              <w:t xml:space="preserve"> Upgrading higher arts education</w:t>
            </w:r>
          </w:p>
        </w:tc>
        <w:tc>
          <w:tcPr>
            <w:tcW w:w="1755" w:type="dxa"/>
            <w:tcMar>
              <w:top w:w="0" w:type="dxa"/>
              <w:left w:w="100" w:type="dxa"/>
              <w:bottom w:w="0" w:type="dxa"/>
              <w:right w:w="100" w:type="dxa"/>
            </w:tcMar>
          </w:tcPr>
          <w:p w14:paraId="1535F0BF" w14:textId="77777777" w:rsidR="002E2131" w:rsidRPr="00EE72AB" w:rsidRDefault="002E2131" w:rsidP="00EE72AB">
            <w:pPr>
              <w:pStyle w:val="Tabletext"/>
              <w:rPr>
                <w:rFonts w:eastAsia="Calibri"/>
              </w:rPr>
            </w:pPr>
            <w:r w:rsidRPr="00EE72AB">
              <w:rPr>
                <w:rFonts w:eastAsia="Calibri"/>
              </w:rPr>
              <w:t>RRF 16725</w:t>
            </w:r>
          </w:p>
        </w:tc>
        <w:tc>
          <w:tcPr>
            <w:tcW w:w="1455" w:type="dxa"/>
            <w:tcMar>
              <w:top w:w="0" w:type="dxa"/>
              <w:left w:w="100" w:type="dxa"/>
              <w:bottom w:w="0" w:type="dxa"/>
              <w:right w:w="100" w:type="dxa"/>
            </w:tcMar>
          </w:tcPr>
          <w:p w14:paraId="51618E67" w14:textId="37F07386" w:rsidR="002E2131" w:rsidRPr="00EE72AB" w:rsidRDefault="002E2131" w:rsidP="00EE72AB">
            <w:pPr>
              <w:pStyle w:val="Tabletext"/>
              <w:rPr>
                <w:rFonts w:eastAsia="Calibri"/>
              </w:rPr>
            </w:pPr>
            <w:r w:rsidRPr="00EE72AB">
              <w:rPr>
                <w:rFonts w:eastAsia="Calibri"/>
              </w:rPr>
              <w:t>2024 CSR2.1</w:t>
            </w:r>
            <w:r w:rsidRPr="00EE72AB">
              <w:rPr>
                <w:rFonts w:eastAsia="Calibri"/>
              </w:rPr>
              <w:br/>
              <w:t>2020 CSR3.3</w:t>
            </w:r>
            <w:r w:rsidRPr="00EE72AB">
              <w:rPr>
                <w:rFonts w:eastAsia="Calibri"/>
              </w:rPr>
              <w:br/>
              <w:t>2020 CSR3.8</w:t>
            </w:r>
            <w:r w:rsidRPr="00EE72AB">
              <w:rPr>
                <w:rFonts w:eastAsia="Calibri"/>
              </w:rPr>
              <w:br/>
              <w:t>2020 CSR3.9</w:t>
            </w:r>
            <w:r w:rsidRPr="00EE72AB">
              <w:rPr>
                <w:rFonts w:eastAsia="Calibri"/>
              </w:rPr>
              <w:br/>
              <w:t>2019 CSR2.5</w:t>
            </w:r>
            <w:r w:rsidRPr="00EE72AB">
              <w:rPr>
                <w:rFonts w:eastAsia="Calibri"/>
              </w:rPr>
              <w:br/>
              <w:t>2019 CSR2.6</w:t>
            </w:r>
          </w:p>
        </w:tc>
        <w:tc>
          <w:tcPr>
            <w:tcW w:w="2385" w:type="dxa"/>
            <w:tcMar>
              <w:top w:w="0" w:type="dxa"/>
              <w:left w:w="100" w:type="dxa"/>
              <w:bottom w:w="0" w:type="dxa"/>
              <w:right w:w="100" w:type="dxa"/>
            </w:tcMar>
          </w:tcPr>
          <w:p w14:paraId="26A0D60B"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2C586DBC" w14:textId="77777777" w:rsidTr="00EE72AB">
        <w:trPr>
          <w:trHeight w:val="113"/>
          <w:jc w:val="center"/>
        </w:trPr>
        <w:tc>
          <w:tcPr>
            <w:tcW w:w="3735" w:type="dxa"/>
            <w:tcMar>
              <w:top w:w="40" w:type="dxa"/>
              <w:left w:w="40" w:type="dxa"/>
              <w:bottom w:w="40" w:type="dxa"/>
              <w:right w:w="40" w:type="dxa"/>
            </w:tcMar>
          </w:tcPr>
          <w:p w14:paraId="4F60B124" w14:textId="3B06C1B7" w:rsidR="002E2131" w:rsidRPr="00EE72AB" w:rsidRDefault="00BA03C0" w:rsidP="00EE72AB">
            <w:pPr>
              <w:pStyle w:val="Tabletext"/>
              <w:rPr>
                <w:rFonts w:eastAsia="Calibri"/>
              </w:rPr>
            </w:pPr>
            <w:r w:rsidRPr="00BA03C0">
              <w:rPr>
                <w:rFonts w:eastAsia="Calibri"/>
                <w:b/>
              </w:rPr>
              <w:t>INVESTMENT 6:</w:t>
            </w:r>
            <w:r w:rsidR="002E2131" w:rsidRPr="00EE72AB">
              <w:rPr>
                <w:rFonts w:eastAsia="Calibri"/>
              </w:rPr>
              <w:t xml:space="preserve"> Infrastructure development and buildings’ restoration in the former royal estate in Tatoi</w:t>
            </w:r>
          </w:p>
        </w:tc>
        <w:tc>
          <w:tcPr>
            <w:tcW w:w="1755" w:type="dxa"/>
            <w:tcMar>
              <w:top w:w="0" w:type="dxa"/>
              <w:left w:w="100" w:type="dxa"/>
              <w:bottom w:w="0" w:type="dxa"/>
              <w:right w:w="100" w:type="dxa"/>
            </w:tcMar>
          </w:tcPr>
          <w:p w14:paraId="4B789EF3" w14:textId="77777777" w:rsidR="002E2131" w:rsidRPr="00EE72AB" w:rsidRDefault="002E2131" w:rsidP="00EE72AB">
            <w:pPr>
              <w:pStyle w:val="Tabletext"/>
              <w:rPr>
                <w:rFonts w:eastAsia="Calibri"/>
              </w:rPr>
            </w:pPr>
            <w:r w:rsidRPr="00EE72AB">
              <w:rPr>
                <w:rFonts w:eastAsia="Calibri"/>
              </w:rPr>
              <w:t>RRF 16875</w:t>
            </w:r>
          </w:p>
        </w:tc>
        <w:tc>
          <w:tcPr>
            <w:tcW w:w="1455" w:type="dxa"/>
            <w:tcMar>
              <w:top w:w="0" w:type="dxa"/>
              <w:left w:w="100" w:type="dxa"/>
              <w:bottom w:w="0" w:type="dxa"/>
              <w:right w:w="100" w:type="dxa"/>
            </w:tcMar>
          </w:tcPr>
          <w:p w14:paraId="6D76BE32" w14:textId="17290A46" w:rsidR="002E2131" w:rsidRPr="00EE72AB" w:rsidRDefault="002E2131" w:rsidP="00EE72AB">
            <w:pPr>
              <w:pStyle w:val="Tabletext"/>
              <w:rPr>
                <w:rFonts w:eastAsia="Calibri"/>
              </w:rPr>
            </w:pPr>
            <w:r w:rsidRPr="00EE72AB">
              <w:rPr>
                <w:rFonts w:eastAsia="Calibri"/>
              </w:rPr>
              <w:t>2024 CSR2.1</w:t>
            </w:r>
            <w:r w:rsidRPr="00EE72AB">
              <w:rPr>
                <w:rFonts w:eastAsia="Calibri"/>
              </w:rPr>
              <w:br/>
              <w:t>2023 CSR4.1</w:t>
            </w:r>
            <w:r w:rsidRPr="00EE72AB">
              <w:rPr>
                <w:rFonts w:eastAsia="Calibri"/>
              </w:rPr>
              <w:br/>
              <w:t>2023 CSR4.4</w:t>
            </w:r>
            <w:r w:rsidRPr="00EE72AB">
              <w:rPr>
                <w:rFonts w:eastAsia="Calibri"/>
              </w:rPr>
              <w:br/>
              <w:t>2022 CSR4.1</w:t>
            </w:r>
            <w:r w:rsidRPr="00EE72AB">
              <w:rPr>
                <w:rFonts w:eastAsia="Calibri"/>
              </w:rPr>
              <w:br/>
              <w:t>2022 CSR4.5</w:t>
            </w:r>
            <w:r w:rsidRPr="00EE72AB">
              <w:rPr>
                <w:rFonts w:eastAsia="Calibri"/>
              </w:rPr>
              <w:br/>
              <w:t>2020 CSR3.3</w:t>
            </w:r>
          </w:p>
          <w:p w14:paraId="7F6B6FE8" w14:textId="57A70550" w:rsidR="002E2131" w:rsidRPr="00EE72AB" w:rsidRDefault="00943CB9" w:rsidP="00EE72AB">
            <w:pPr>
              <w:pStyle w:val="Tabletext"/>
              <w:rPr>
                <w:rFonts w:eastAsia="Calibri"/>
              </w:rPr>
            </w:pPr>
            <w:r w:rsidRPr="00EE72AB">
              <w:rPr>
                <w:rFonts w:eastAsia="Calibri"/>
              </w:rPr>
              <w:t>2</w:t>
            </w:r>
            <w:r w:rsidR="002E2131" w:rsidRPr="00EE72AB">
              <w:rPr>
                <w:rFonts w:eastAsia="Calibri"/>
              </w:rPr>
              <w:t>020 CSR3.5</w:t>
            </w:r>
          </w:p>
          <w:p w14:paraId="57B11F46" w14:textId="3D83A282" w:rsidR="002E2131" w:rsidRPr="00EE72AB" w:rsidRDefault="002E2131" w:rsidP="00EE72AB">
            <w:pPr>
              <w:pStyle w:val="Tabletext"/>
              <w:rPr>
                <w:rFonts w:eastAsia="Calibri"/>
              </w:rPr>
            </w:pPr>
            <w:r w:rsidRPr="00EE72AB">
              <w:rPr>
                <w:rFonts w:eastAsia="Calibri"/>
              </w:rPr>
              <w:t>2019 CSR2.2</w:t>
            </w:r>
            <w:r w:rsidRPr="00EE72AB">
              <w:rPr>
                <w:rFonts w:eastAsia="Calibri"/>
              </w:rPr>
              <w:br/>
              <w:t>2019 CSR2.9</w:t>
            </w:r>
          </w:p>
        </w:tc>
        <w:tc>
          <w:tcPr>
            <w:tcW w:w="2385" w:type="dxa"/>
            <w:tcMar>
              <w:top w:w="0" w:type="dxa"/>
              <w:left w:w="100" w:type="dxa"/>
              <w:bottom w:w="0" w:type="dxa"/>
              <w:right w:w="100" w:type="dxa"/>
            </w:tcMar>
          </w:tcPr>
          <w:p w14:paraId="4109B458"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452C3EAE" w14:textId="77777777" w:rsidTr="00EE72AB">
        <w:trPr>
          <w:trHeight w:val="113"/>
          <w:jc w:val="center"/>
        </w:trPr>
        <w:tc>
          <w:tcPr>
            <w:tcW w:w="3735" w:type="dxa"/>
            <w:tcMar>
              <w:top w:w="40" w:type="dxa"/>
              <w:left w:w="40" w:type="dxa"/>
              <w:bottom w:w="40" w:type="dxa"/>
              <w:right w:w="40" w:type="dxa"/>
            </w:tcMar>
          </w:tcPr>
          <w:p w14:paraId="57769000" w14:textId="2210917B" w:rsidR="002E2131" w:rsidRPr="00EE72AB" w:rsidRDefault="00BA03C0" w:rsidP="00EE72AB">
            <w:pPr>
              <w:pStyle w:val="Tabletext"/>
              <w:rPr>
                <w:rFonts w:eastAsia="Calibri"/>
              </w:rPr>
            </w:pPr>
            <w:r w:rsidRPr="00BA03C0">
              <w:rPr>
                <w:rFonts w:eastAsia="Calibri"/>
                <w:b/>
              </w:rPr>
              <w:lastRenderedPageBreak/>
              <w:t>INVESTMENT 7:</w:t>
            </w:r>
            <w:r w:rsidR="002E2131" w:rsidRPr="00EE72AB">
              <w:rPr>
                <w:rFonts w:eastAsia="Calibri"/>
              </w:rPr>
              <w:t xml:space="preserve"> The Restoration-Conservation-Enhancement of the Acropolis </w:t>
            </w:r>
            <w:r w:rsidR="005035E4" w:rsidRPr="00EE72AB">
              <w:rPr>
                <w:rFonts w:eastAsia="Calibri"/>
              </w:rPr>
              <w:t>Monument</w:t>
            </w:r>
          </w:p>
        </w:tc>
        <w:tc>
          <w:tcPr>
            <w:tcW w:w="1755" w:type="dxa"/>
            <w:tcMar>
              <w:top w:w="0" w:type="dxa"/>
              <w:left w:w="100" w:type="dxa"/>
              <w:bottom w:w="0" w:type="dxa"/>
              <w:right w:w="100" w:type="dxa"/>
            </w:tcMar>
          </w:tcPr>
          <w:p w14:paraId="7A7F2D82" w14:textId="77777777" w:rsidR="002E2131" w:rsidRPr="00EE72AB" w:rsidRDefault="002E2131" w:rsidP="00EE72AB">
            <w:pPr>
              <w:pStyle w:val="Tabletext"/>
              <w:rPr>
                <w:rFonts w:eastAsia="Calibri"/>
              </w:rPr>
            </w:pPr>
            <w:r w:rsidRPr="00EE72AB">
              <w:rPr>
                <w:rFonts w:eastAsia="Calibri"/>
              </w:rPr>
              <w:t>RRF 16435</w:t>
            </w:r>
          </w:p>
        </w:tc>
        <w:tc>
          <w:tcPr>
            <w:tcW w:w="1455" w:type="dxa"/>
            <w:tcMar>
              <w:top w:w="0" w:type="dxa"/>
              <w:left w:w="100" w:type="dxa"/>
              <w:bottom w:w="0" w:type="dxa"/>
              <w:right w:w="100" w:type="dxa"/>
            </w:tcMar>
          </w:tcPr>
          <w:p w14:paraId="7C01C870" w14:textId="7DFE23E6" w:rsidR="002E2131" w:rsidRPr="00EE72AB" w:rsidRDefault="002E2131" w:rsidP="00EE72AB">
            <w:pPr>
              <w:pStyle w:val="Tabletext"/>
              <w:rPr>
                <w:rFonts w:eastAsia="Calibri"/>
              </w:rPr>
            </w:pPr>
            <w:r w:rsidRPr="00EE72AB">
              <w:rPr>
                <w:rFonts w:eastAsia="Calibri"/>
              </w:rPr>
              <w:t>2024 CSR2.1</w:t>
            </w:r>
            <w:r w:rsidRPr="00EE72AB">
              <w:rPr>
                <w:rFonts w:eastAsia="Calibri"/>
              </w:rPr>
              <w:br/>
              <w:t>2020 CSR3.9</w:t>
            </w:r>
          </w:p>
        </w:tc>
        <w:tc>
          <w:tcPr>
            <w:tcW w:w="2385" w:type="dxa"/>
            <w:tcMar>
              <w:top w:w="0" w:type="dxa"/>
              <w:left w:w="100" w:type="dxa"/>
              <w:bottom w:w="0" w:type="dxa"/>
              <w:right w:w="100" w:type="dxa"/>
            </w:tcMar>
          </w:tcPr>
          <w:p w14:paraId="6B736666"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4BF73308" w14:textId="77777777" w:rsidTr="00EE72AB">
        <w:trPr>
          <w:trHeight w:val="113"/>
          <w:jc w:val="center"/>
        </w:trPr>
        <w:tc>
          <w:tcPr>
            <w:tcW w:w="3735" w:type="dxa"/>
            <w:tcMar>
              <w:top w:w="40" w:type="dxa"/>
              <w:left w:w="40" w:type="dxa"/>
              <w:bottom w:w="40" w:type="dxa"/>
              <w:right w:w="40" w:type="dxa"/>
            </w:tcMar>
          </w:tcPr>
          <w:p w14:paraId="4D6D7B24" w14:textId="41AADA80" w:rsidR="002E2131" w:rsidRPr="00EE72AB" w:rsidRDefault="00BA03C0" w:rsidP="00EE72AB">
            <w:pPr>
              <w:pStyle w:val="Tabletext"/>
              <w:rPr>
                <w:rFonts w:eastAsia="Calibri"/>
              </w:rPr>
            </w:pPr>
            <w:r w:rsidRPr="00BA03C0">
              <w:rPr>
                <w:rFonts w:eastAsia="Calibri"/>
                <w:b/>
              </w:rPr>
              <w:t>INVESTMENT 8:</w:t>
            </w:r>
            <w:r w:rsidR="002E2131" w:rsidRPr="00EE72AB">
              <w:rPr>
                <w:rFonts w:eastAsia="Calibri"/>
              </w:rPr>
              <w:t xml:space="preserve"> Museum of underwater antiquities</w:t>
            </w:r>
          </w:p>
        </w:tc>
        <w:tc>
          <w:tcPr>
            <w:tcW w:w="1755" w:type="dxa"/>
            <w:tcMar>
              <w:top w:w="0" w:type="dxa"/>
              <w:left w:w="100" w:type="dxa"/>
              <w:bottom w:w="0" w:type="dxa"/>
              <w:right w:w="100" w:type="dxa"/>
            </w:tcMar>
          </w:tcPr>
          <w:p w14:paraId="7C19FD6D" w14:textId="77777777" w:rsidR="002E2131" w:rsidRPr="00EE72AB" w:rsidRDefault="002E2131" w:rsidP="00EE72AB">
            <w:pPr>
              <w:pStyle w:val="Tabletext"/>
              <w:rPr>
                <w:rFonts w:eastAsia="Calibri"/>
              </w:rPr>
            </w:pPr>
            <w:r w:rsidRPr="00EE72AB">
              <w:rPr>
                <w:rFonts w:eastAsia="Calibri"/>
              </w:rPr>
              <w:t>RRF 16486</w:t>
            </w:r>
          </w:p>
        </w:tc>
        <w:tc>
          <w:tcPr>
            <w:tcW w:w="1455" w:type="dxa"/>
            <w:tcMar>
              <w:top w:w="0" w:type="dxa"/>
              <w:left w:w="100" w:type="dxa"/>
              <w:bottom w:w="0" w:type="dxa"/>
              <w:right w:w="100" w:type="dxa"/>
            </w:tcMar>
          </w:tcPr>
          <w:p w14:paraId="0C1C2747" w14:textId="5711A27C" w:rsidR="002E2131" w:rsidRPr="00EE72AB" w:rsidRDefault="002E2131" w:rsidP="00EE72AB">
            <w:pPr>
              <w:pStyle w:val="Tabletext"/>
              <w:rPr>
                <w:rFonts w:eastAsia="Calibri"/>
              </w:rPr>
            </w:pPr>
            <w:r w:rsidRPr="00EE72AB">
              <w:rPr>
                <w:rFonts w:eastAsia="Calibri"/>
              </w:rPr>
              <w:t>2024 CSR2.1</w:t>
            </w:r>
            <w:r w:rsidRPr="00EE72AB">
              <w:rPr>
                <w:rFonts w:eastAsia="Calibri"/>
              </w:rPr>
              <w:br/>
              <w:t>2023 CSR4.4</w:t>
            </w:r>
            <w:r w:rsidRPr="00EE72AB">
              <w:rPr>
                <w:rFonts w:eastAsia="Calibri"/>
              </w:rPr>
              <w:br/>
              <w:t>2022 CSR4.5</w:t>
            </w:r>
            <w:r w:rsidRPr="00EE72AB">
              <w:rPr>
                <w:rFonts w:eastAsia="Calibri"/>
              </w:rPr>
              <w:br/>
              <w:t>2019 CSR2.2</w:t>
            </w:r>
            <w:r w:rsidRPr="00EE72AB">
              <w:rPr>
                <w:rFonts w:eastAsia="Calibri"/>
              </w:rPr>
              <w:br/>
              <w:t>2019 CSR2.9</w:t>
            </w:r>
          </w:p>
        </w:tc>
        <w:tc>
          <w:tcPr>
            <w:tcW w:w="2385" w:type="dxa"/>
            <w:tcMar>
              <w:top w:w="0" w:type="dxa"/>
              <w:left w:w="100" w:type="dxa"/>
              <w:bottom w:w="0" w:type="dxa"/>
              <w:right w:w="100" w:type="dxa"/>
            </w:tcMar>
          </w:tcPr>
          <w:p w14:paraId="2F1B78D4" w14:textId="77777777" w:rsidR="002E2131" w:rsidRPr="00EE72AB" w:rsidRDefault="002E2131" w:rsidP="00EE72AB">
            <w:pPr>
              <w:pStyle w:val="Tabletext"/>
              <w:rPr>
                <w:rFonts w:eastAsia="Calibri"/>
              </w:rPr>
            </w:pPr>
            <w:r w:rsidRPr="00EE72AB">
              <w:rPr>
                <w:rFonts w:eastAsia="Calibri"/>
              </w:rPr>
              <w:t>Social and Economic resilience</w:t>
            </w:r>
          </w:p>
        </w:tc>
      </w:tr>
      <w:tr w:rsidR="002E2131" w:rsidRPr="00EE72AB" w14:paraId="076E448B" w14:textId="77777777" w:rsidTr="00EE72AB">
        <w:trPr>
          <w:trHeight w:val="113"/>
          <w:jc w:val="center"/>
        </w:trPr>
        <w:tc>
          <w:tcPr>
            <w:tcW w:w="3735" w:type="dxa"/>
            <w:tcMar>
              <w:top w:w="40" w:type="dxa"/>
              <w:left w:w="40" w:type="dxa"/>
              <w:bottom w:w="40" w:type="dxa"/>
              <w:right w:w="40" w:type="dxa"/>
            </w:tcMar>
          </w:tcPr>
          <w:p w14:paraId="656DA7D3" w14:textId="72839548" w:rsidR="002E2131" w:rsidRPr="00EE72AB" w:rsidRDefault="00BA03C0" w:rsidP="00EE72AB">
            <w:pPr>
              <w:pStyle w:val="Tabletext"/>
              <w:rPr>
                <w:rFonts w:eastAsia="Calibri"/>
              </w:rPr>
            </w:pPr>
            <w:r w:rsidRPr="00BA03C0">
              <w:rPr>
                <w:rFonts w:eastAsia="Calibri"/>
                <w:b/>
              </w:rPr>
              <w:t>INVESTMENT 9:</w:t>
            </w:r>
            <w:r w:rsidR="002E2131" w:rsidRPr="00EE72AB">
              <w:rPr>
                <w:rFonts w:eastAsia="Calibri"/>
              </w:rPr>
              <w:t xml:space="preserve"> Upgrade of infrastructure, renewal of equipment and upgrade of quality of services provided by the HOCRED Stores - former ARF Stores (On-spot and electronic).</w:t>
            </w:r>
          </w:p>
        </w:tc>
        <w:tc>
          <w:tcPr>
            <w:tcW w:w="1755" w:type="dxa"/>
            <w:tcMar>
              <w:top w:w="0" w:type="dxa"/>
              <w:left w:w="100" w:type="dxa"/>
              <w:bottom w:w="0" w:type="dxa"/>
              <w:right w:w="100" w:type="dxa"/>
            </w:tcMar>
          </w:tcPr>
          <w:p w14:paraId="3ACC3566" w14:textId="77777777" w:rsidR="002E2131" w:rsidRPr="00EE72AB" w:rsidRDefault="002E2131" w:rsidP="00EE72AB">
            <w:pPr>
              <w:pStyle w:val="Tabletext"/>
              <w:rPr>
                <w:rFonts w:eastAsia="Calibri"/>
              </w:rPr>
            </w:pPr>
            <w:r w:rsidRPr="00EE72AB">
              <w:rPr>
                <w:rFonts w:eastAsia="Calibri"/>
              </w:rPr>
              <w:t>RRF 16536</w:t>
            </w:r>
          </w:p>
          <w:p w14:paraId="47296B89" w14:textId="77777777" w:rsidR="002E2131" w:rsidRPr="00EE72AB" w:rsidRDefault="002E2131" w:rsidP="00EE72AB">
            <w:pPr>
              <w:pStyle w:val="Tabletext"/>
              <w:rPr>
                <w:rFonts w:eastAsia="Calibri"/>
              </w:rPr>
            </w:pPr>
            <w:r w:rsidRPr="00EE72AB">
              <w:rPr>
                <w:rFonts w:eastAsia="Calibri"/>
              </w:rPr>
              <w:t xml:space="preserve"> </w:t>
            </w:r>
          </w:p>
        </w:tc>
        <w:tc>
          <w:tcPr>
            <w:tcW w:w="1455" w:type="dxa"/>
            <w:tcMar>
              <w:top w:w="0" w:type="dxa"/>
              <w:left w:w="100" w:type="dxa"/>
              <w:bottom w:w="0" w:type="dxa"/>
              <w:right w:w="100" w:type="dxa"/>
            </w:tcMar>
          </w:tcPr>
          <w:p w14:paraId="1B0F4CAD" w14:textId="34C375E7" w:rsidR="002E2131" w:rsidRPr="00EE72AB" w:rsidRDefault="002E2131" w:rsidP="00EE72AB">
            <w:pPr>
              <w:pStyle w:val="Tabletext"/>
              <w:rPr>
                <w:rFonts w:eastAsia="Calibri"/>
              </w:rPr>
            </w:pPr>
            <w:r w:rsidRPr="00EE72AB">
              <w:rPr>
                <w:rFonts w:eastAsia="Calibri"/>
              </w:rPr>
              <w:t>2024 CSR2.1</w:t>
            </w:r>
            <w:r w:rsidRPr="00EE72AB">
              <w:rPr>
                <w:rFonts w:eastAsia="Calibri"/>
              </w:rPr>
              <w:br/>
              <w:t>2023 CSR4.1</w:t>
            </w:r>
            <w:r w:rsidRPr="00EE72AB">
              <w:rPr>
                <w:rFonts w:eastAsia="Calibri"/>
              </w:rPr>
              <w:br/>
              <w:t>2023 CSR4.4</w:t>
            </w:r>
            <w:r w:rsidRPr="00EE72AB">
              <w:rPr>
                <w:rFonts w:eastAsia="Calibri"/>
              </w:rPr>
              <w:br/>
              <w:t>2022 CSR4.1</w:t>
            </w:r>
            <w:r w:rsidRPr="00EE72AB">
              <w:rPr>
                <w:rFonts w:eastAsia="Calibri"/>
              </w:rPr>
              <w:br/>
              <w:t>2022 CSR4.5</w:t>
            </w:r>
            <w:r w:rsidRPr="00EE72AB">
              <w:rPr>
                <w:rFonts w:eastAsia="Calibri"/>
              </w:rPr>
              <w:br/>
              <w:t>2020 CSR3.9</w:t>
            </w:r>
            <w:r w:rsidRPr="00EE72AB">
              <w:rPr>
                <w:rFonts w:eastAsia="Calibri"/>
              </w:rPr>
              <w:br/>
              <w:t>2019 CSR2.2</w:t>
            </w:r>
            <w:r w:rsidRPr="00EE72AB">
              <w:rPr>
                <w:rFonts w:eastAsia="Calibri"/>
              </w:rPr>
              <w:br/>
              <w:t>2019 CSR2.3</w:t>
            </w:r>
          </w:p>
        </w:tc>
        <w:tc>
          <w:tcPr>
            <w:tcW w:w="2385" w:type="dxa"/>
            <w:tcMar>
              <w:top w:w="0" w:type="dxa"/>
              <w:left w:w="100" w:type="dxa"/>
              <w:bottom w:w="0" w:type="dxa"/>
              <w:right w:w="100" w:type="dxa"/>
            </w:tcMar>
          </w:tcPr>
          <w:p w14:paraId="34FD3D86" w14:textId="77777777" w:rsidR="002E2131" w:rsidRPr="00EE72AB" w:rsidRDefault="002E2131" w:rsidP="00EE72AB">
            <w:pPr>
              <w:pStyle w:val="Tabletext"/>
              <w:rPr>
                <w:rFonts w:eastAsia="Calibri"/>
              </w:rPr>
            </w:pPr>
            <w:r w:rsidRPr="00EE72AB">
              <w:rPr>
                <w:rFonts w:eastAsia="Calibri"/>
              </w:rPr>
              <w:t>Fair green &amp; digital transition</w:t>
            </w:r>
          </w:p>
          <w:p w14:paraId="722E0BC1" w14:textId="77777777" w:rsidR="002E2131" w:rsidRPr="00EE72AB" w:rsidRDefault="002E2131" w:rsidP="00EE72AB">
            <w:pPr>
              <w:pStyle w:val="Tabletext"/>
              <w:rPr>
                <w:rFonts w:eastAsia="Calibri"/>
              </w:rPr>
            </w:pPr>
            <w:r w:rsidRPr="00EE72AB">
              <w:rPr>
                <w:rFonts w:eastAsia="Calibri"/>
              </w:rPr>
              <w:t xml:space="preserve"> </w:t>
            </w:r>
          </w:p>
          <w:p w14:paraId="6B85CF4A" w14:textId="77777777" w:rsidR="002E2131" w:rsidRPr="00EE72AB" w:rsidRDefault="002E2131" w:rsidP="00EE72AB">
            <w:pPr>
              <w:pStyle w:val="Tabletext"/>
              <w:rPr>
                <w:rFonts w:eastAsia="Calibri"/>
              </w:rPr>
            </w:pPr>
            <w:r w:rsidRPr="00EE72AB">
              <w:rPr>
                <w:rFonts w:eastAsia="Calibri"/>
              </w:rPr>
              <w:t xml:space="preserve"> </w:t>
            </w:r>
          </w:p>
        </w:tc>
      </w:tr>
      <w:tr w:rsidR="002E2131" w:rsidRPr="00EE72AB" w14:paraId="46E71389" w14:textId="77777777" w:rsidTr="00EE72AB">
        <w:trPr>
          <w:trHeight w:val="113"/>
          <w:jc w:val="center"/>
        </w:trPr>
        <w:tc>
          <w:tcPr>
            <w:tcW w:w="3735" w:type="dxa"/>
            <w:tcMar>
              <w:top w:w="40" w:type="dxa"/>
              <w:left w:w="40" w:type="dxa"/>
              <w:bottom w:w="40" w:type="dxa"/>
              <w:right w:w="40" w:type="dxa"/>
            </w:tcMar>
          </w:tcPr>
          <w:p w14:paraId="2C484950" w14:textId="0A0F4FC4" w:rsidR="002E2131" w:rsidRPr="00EE72AB" w:rsidRDefault="00BA03C0" w:rsidP="00EE72AB">
            <w:pPr>
              <w:pStyle w:val="Tabletext"/>
              <w:rPr>
                <w:rFonts w:eastAsia="Calibri"/>
              </w:rPr>
            </w:pPr>
            <w:r w:rsidRPr="00BA03C0">
              <w:rPr>
                <w:rFonts w:eastAsia="Calibri"/>
                <w:b/>
              </w:rPr>
              <w:t>INVESTMENT 10:</w:t>
            </w:r>
            <w:r w:rsidR="002E2131" w:rsidRPr="00EE72AB">
              <w:rPr>
                <w:rFonts w:eastAsia="Calibri"/>
              </w:rPr>
              <w:t xml:space="preserve"> Smart infrastructure with environmental and cultural focus</w:t>
            </w:r>
          </w:p>
        </w:tc>
        <w:tc>
          <w:tcPr>
            <w:tcW w:w="1755" w:type="dxa"/>
            <w:tcMar>
              <w:top w:w="0" w:type="dxa"/>
              <w:left w:w="100" w:type="dxa"/>
              <w:bottom w:w="0" w:type="dxa"/>
              <w:right w:w="100" w:type="dxa"/>
            </w:tcMar>
          </w:tcPr>
          <w:p w14:paraId="6C313A1B" w14:textId="77777777" w:rsidR="002E2131" w:rsidRPr="00EE72AB" w:rsidRDefault="002E2131" w:rsidP="00EE72AB">
            <w:pPr>
              <w:pStyle w:val="Tabletext"/>
              <w:rPr>
                <w:rFonts w:eastAsia="Calibri"/>
              </w:rPr>
            </w:pPr>
            <w:r w:rsidRPr="00EE72AB">
              <w:rPr>
                <w:rFonts w:eastAsia="Calibri"/>
              </w:rPr>
              <w:t>RRF 16960</w:t>
            </w:r>
          </w:p>
        </w:tc>
        <w:tc>
          <w:tcPr>
            <w:tcW w:w="1455" w:type="dxa"/>
            <w:tcMar>
              <w:top w:w="0" w:type="dxa"/>
              <w:left w:w="100" w:type="dxa"/>
              <w:bottom w:w="0" w:type="dxa"/>
              <w:right w:w="100" w:type="dxa"/>
            </w:tcMar>
          </w:tcPr>
          <w:p w14:paraId="378F18EB" w14:textId="498EE98C" w:rsidR="002E2131" w:rsidRPr="00EE72AB" w:rsidRDefault="002E2131" w:rsidP="00EE72AB">
            <w:pPr>
              <w:pStyle w:val="Tabletext"/>
              <w:rPr>
                <w:rFonts w:eastAsia="Calibri"/>
              </w:rPr>
            </w:pPr>
            <w:r w:rsidRPr="00EE72AB">
              <w:rPr>
                <w:rFonts w:eastAsia="Calibri"/>
              </w:rPr>
              <w:t>2020 CSR3.9</w:t>
            </w:r>
            <w:r w:rsidRPr="00EE72AB">
              <w:rPr>
                <w:rFonts w:eastAsia="Calibri"/>
              </w:rPr>
              <w:br/>
              <w:t>2019 CSR2.3</w:t>
            </w:r>
          </w:p>
        </w:tc>
        <w:tc>
          <w:tcPr>
            <w:tcW w:w="2385" w:type="dxa"/>
            <w:tcMar>
              <w:top w:w="0" w:type="dxa"/>
              <w:left w:w="100" w:type="dxa"/>
              <w:bottom w:w="0" w:type="dxa"/>
              <w:right w:w="100" w:type="dxa"/>
            </w:tcMar>
          </w:tcPr>
          <w:p w14:paraId="07BBB3A2" w14:textId="77777777" w:rsidR="002E2131" w:rsidRPr="00EE72AB" w:rsidRDefault="002E2131" w:rsidP="00EE72AB">
            <w:pPr>
              <w:pStyle w:val="Tabletext"/>
              <w:rPr>
                <w:rFonts w:eastAsia="Calibri"/>
              </w:rPr>
            </w:pPr>
            <w:r w:rsidRPr="00EE72AB">
              <w:rPr>
                <w:rFonts w:eastAsia="Calibri"/>
              </w:rPr>
              <w:t>Fair green &amp; digital transition</w:t>
            </w:r>
          </w:p>
        </w:tc>
      </w:tr>
    </w:tbl>
    <w:p w14:paraId="10155A4E" w14:textId="77777777" w:rsidR="002E2131" w:rsidRDefault="002E2131" w:rsidP="00987A40">
      <w:pPr>
        <w:spacing w:line="240" w:lineRule="auto"/>
        <w:rPr>
          <w:rFonts w:ascii="Calibri" w:eastAsia="Calibri" w:hAnsi="Calibri" w:cs="Calibri"/>
        </w:rPr>
      </w:pPr>
    </w:p>
    <w:p w14:paraId="5DA034B4" w14:textId="77777777" w:rsidR="002E2131" w:rsidRPr="00920844" w:rsidRDefault="002E2131" w:rsidP="00920844">
      <w:pPr>
        <w:rPr>
          <w:rFonts w:eastAsia="Calibri"/>
          <w:lang w:val="en-US"/>
        </w:rPr>
      </w:pPr>
      <w:r w:rsidRPr="00920844">
        <w:rPr>
          <w:rFonts w:eastAsia="Calibri"/>
          <w:lang w:val="en-US"/>
        </w:rPr>
        <w:t xml:space="preserve">The RRF investment </w:t>
      </w:r>
      <w:r w:rsidRPr="00920844">
        <w:rPr>
          <w:rFonts w:eastAsia="Calibri"/>
          <w:b/>
          <w:lang w:val="en-US"/>
        </w:rPr>
        <w:t xml:space="preserve">“Culture as a driver of growth” </w:t>
      </w:r>
      <w:r w:rsidRPr="00920844">
        <w:rPr>
          <w:rFonts w:eastAsia="Calibri"/>
          <w:lang w:val="en-US"/>
        </w:rPr>
        <w:t>aims to promote the contribution of culture to smart and sustainable growth, and economic, social and territorial cohesion. There are several sub - projects under the RRF investment which, among others, provide support to Cultural and Creative Industries (CCIs) regional strategies, broaden the use of archaeological sites and monuments as venues and events sites, provide support to the digital transformation of CCIs and the development of digital models of cultural production and distribution, promote the film industry as a driver of growth and creativity, and promote the greek cultural brand and trade. According to its content, the investment not only contributes to fostering economic growth by encouraging private investment to this economic sector, but also boosts competitiveness through tackling underachievement in basic skills, enhances employability and improves the utilization of digital technologies, thus contributing to growth and to the EU’s common priority on social and economic resilience. The completion of the investment is expected by the end of 2026.</w:t>
      </w:r>
    </w:p>
    <w:p w14:paraId="6612B9C6" w14:textId="77777777" w:rsidR="002E2131" w:rsidRPr="00920844" w:rsidRDefault="002E2131" w:rsidP="00920844">
      <w:pPr>
        <w:rPr>
          <w:rFonts w:eastAsia="Calibri"/>
          <w:lang w:val="en-US"/>
        </w:rPr>
      </w:pPr>
      <w:r w:rsidRPr="00920844">
        <w:rPr>
          <w:rFonts w:eastAsia="Calibri"/>
          <w:lang w:val="en-US"/>
        </w:rPr>
        <w:t xml:space="preserve">The RRF investment under the title </w:t>
      </w:r>
      <w:r w:rsidRPr="00920844">
        <w:rPr>
          <w:rFonts w:eastAsia="Calibri"/>
          <w:b/>
          <w:lang w:val="en-US"/>
        </w:rPr>
        <w:t xml:space="preserve">“Protection of Cultural Monuments and Archaeological Sites from Climate Change” </w:t>
      </w:r>
      <w:r w:rsidRPr="00920844">
        <w:rPr>
          <w:rFonts w:eastAsia="Calibri"/>
          <w:lang w:val="en-US"/>
        </w:rPr>
        <w:t xml:space="preserve">intends to safeguard Greece’s cultural heritage, improve its resilience to climate change, thus sustaining the contribution of cultural heritage sites to economic activity. The investment comprises the development of climate change adaptation plans for cultural heritage sites and shall include spatial and temporal assessments of the climate risks and identification of vulnerabilities faced by cultural heritage sites. Investing in the protection of cultural heritage is crucial for economic development and environmental sustainability. The investment is highly associated with the CSR concerning the environmental protection and infrastructure, as well as the improvement of effectiveness of public administration. Furthermore, it is in line with the EU’s common priority on social and economic </w:t>
      </w:r>
      <w:r w:rsidRPr="00920844">
        <w:rPr>
          <w:rFonts w:eastAsia="Calibri"/>
          <w:lang w:val="en-US"/>
        </w:rPr>
        <w:lastRenderedPageBreak/>
        <w:t>resilience. The implementation of the investment is expected to be completed by the end of 2026.</w:t>
      </w:r>
    </w:p>
    <w:p w14:paraId="776DDFB5" w14:textId="77777777" w:rsidR="002E2131" w:rsidRPr="00920844" w:rsidRDefault="002E2131" w:rsidP="00920844">
      <w:pPr>
        <w:rPr>
          <w:rFonts w:eastAsia="Calibri"/>
          <w:lang w:val="en-US"/>
        </w:rPr>
      </w:pPr>
      <w:r w:rsidRPr="00920844">
        <w:rPr>
          <w:rFonts w:eastAsia="Calibri"/>
          <w:lang w:val="en-US"/>
        </w:rPr>
        <w:t>The RRF investment “</w:t>
      </w:r>
      <w:r w:rsidRPr="00920844">
        <w:rPr>
          <w:rFonts w:eastAsia="Calibri"/>
          <w:b/>
          <w:lang w:val="en-US"/>
        </w:rPr>
        <w:t xml:space="preserve">Cultural Routes at Emblematic Archaeological Sites and Monuments” </w:t>
      </w:r>
      <w:r w:rsidRPr="00920844">
        <w:rPr>
          <w:rFonts w:eastAsia="Calibri"/>
          <w:lang w:val="en-US"/>
        </w:rPr>
        <w:t>aims to design five emblematic cultural routes with thematic narratives, covering all periods of Greek history. The routes are expected to be geographically spread throughout the country. The investment shall also comprise the preservation and restoration of selected monuments, the upgrade of services and infrastructure, the development of interactive digital applications, and the inclusion of arts and cultural events. The monuments and sites included in the routes shall create synergies with tourist destinations, thus acting as a driver of sustainable growth and economic, social and territorial cohesion. The investment is highly associated with the CSR concerning the effectiveness and the digitalization of public administration, while it is in line with the EU’s common priority on social and economic resilience. The implementation of the investment is expected to be completed by the end of 2026.</w:t>
      </w:r>
    </w:p>
    <w:p w14:paraId="4D2C097B" w14:textId="77777777" w:rsidR="002E2131" w:rsidRPr="00920844" w:rsidRDefault="002E2131" w:rsidP="00920844">
      <w:pPr>
        <w:rPr>
          <w:rFonts w:eastAsia="Calibri"/>
          <w:lang w:val="en-US"/>
        </w:rPr>
      </w:pPr>
      <w:r w:rsidRPr="00920844">
        <w:rPr>
          <w:rFonts w:eastAsia="Calibri"/>
          <w:lang w:val="en-US"/>
        </w:rPr>
        <w:t xml:space="preserve">The RRF investment </w:t>
      </w:r>
      <w:r w:rsidRPr="00920844">
        <w:rPr>
          <w:rFonts w:eastAsia="Calibri"/>
          <w:b/>
          <w:lang w:val="en-US"/>
        </w:rPr>
        <w:t>Utilising “arts on prescription”, promoting social cohesion, and tapping on the silver economy”</w:t>
      </w:r>
      <w:r w:rsidRPr="00920844">
        <w:rPr>
          <w:rFonts w:eastAsia="Calibri"/>
          <w:lang w:val="en-US"/>
        </w:rPr>
        <w:t xml:space="preserve"> aims to attract visitors aged 65 and over, as well as visitors with disabilities to cultural venues such as museums, theaters, festivals, archaeological sites and monuments, by improving physical access to these venues and developing guided tour systems with hearing and vision aids. The investment shall promote “arts on prescription” programmes, as described by the World Health Organisation, which utilizes arts and culture as an integral part of medical support, especially in the realm of mental health. The investment complies with the CSR concerning the promotion of private investment to foster the economic recovery, as well as the improvement of skills and employability respectively, but also the digitalisation of the public administration. Furthermore, the abovementioned investment is in line with the EU’s common priority on social and economic resilience. The implementation of the investment is expected to be completed by the end of 2026.</w:t>
      </w:r>
    </w:p>
    <w:p w14:paraId="2D748EB9" w14:textId="77777777" w:rsidR="002E2131" w:rsidRPr="00920844" w:rsidRDefault="002E2131" w:rsidP="00920844">
      <w:pPr>
        <w:rPr>
          <w:rFonts w:eastAsia="Calibri"/>
          <w:lang w:val="en-US"/>
        </w:rPr>
      </w:pPr>
      <w:r w:rsidRPr="00920844">
        <w:rPr>
          <w:rFonts w:eastAsia="Calibri"/>
          <w:lang w:val="en-US"/>
        </w:rPr>
        <w:t xml:space="preserve">The RRF investment </w:t>
      </w:r>
      <w:r w:rsidRPr="00920844">
        <w:rPr>
          <w:rFonts w:eastAsia="Calibri"/>
          <w:b/>
          <w:lang w:val="en-US"/>
        </w:rPr>
        <w:t>“Upgrading higher arts education”</w:t>
      </w:r>
      <w:r w:rsidRPr="00920844">
        <w:rPr>
          <w:rFonts w:eastAsia="Calibri"/>
          <w:lang w:val="en-US"/>
        </w:rPr>
        <w:t xml:space="preserve"> upgrades higher art education in Greece by tackling legal, academic, institutional, and other obstacles. It shall be accompanied by a review and update of all curricula. In addition, the investment is expected to support schools of art education by upgrading their physical and technical infrastructure and supporting their transition to modern digital infrastructure. Finally, it shall review their operating model with the aim of upgrading studies and ensuring the quality of art education provided by municipal entities. The investment comprises: a) the review and updating the programs of artistic higher education, b) the establishment of a National School on Performing Arts and c) the upgrade of physical and digital infrastructures of major state art education institutions (Drama School of the National Theatre, State Theater of Northern Greece, Preparatory and Vocational School of Fine Arts of Panormos Tinos). The investment shall also establish equivalence of art education in </w:t>
      </w:r>
      <w:r w:rsidRPr="00920844">
        <w:rPr>
          <w:rFonts w:eastAsia="Calibri"/>
          <w:lang w:val="en-US"/>
        </w:rPr>
        <w:lastRenderedPageBreak/>
        <w:t>Greece with higher education degrees provided by other EU countries. According to its content, the investment is highly associated with the CSR concerning the effectiveness and digitalization of the public administration. Furthermore, it is in line with the EU’s common priority on social and economic resilience. The implementation of the investment is expected to be completed by the end of 2026.</w:t>
      </w:r>
    </w:p>
    <w:p w14:paraId="6B941D48" w14:textId="77777777" w:rsidR="002E2131" w:rsidRPr="00920844" w:rsidRDefault="002E2131" w:rsidP="00920844">
      <w:pPr>
        <w:rPr>
          <w:rFonts w:eastAsia="Calibri"/>
          <w:lang w:val="en-US"/>
        </w:rPr>
      </w:pPr>
      <w:r w:rsidRPr="00920844">
        <w:rPr>
          <w:rFonts w:eastAsia="Calibri"/>
          <w:lang w:val="en-US"/>
        </w:rPr>
        <w:t>The RRF investment “</w:t>
      </w:r>
      <w:r w:rsidRPr="00920844">
        <w:rPr>
          <w:rFonts w:eastAsia="Calibri"/>
          <w:b/>
          <w:lang w:val="en-US"/>
        </w:rPr>
        <w:t>Infrastructure development and buildings’ restoration in the former royal estate in Tatoi</w:t>
      </w:r>
      <w:r w:rsidRPr="00920844">
        <w:rPr>
          <w:rFonts w:eastAsia="Calibri"/>
          <w:lang w:val="en-US"/>
        </w:rPr>
        <w:t>” aims at the general redevelopment of the former Royal Estate of Tatoi in Attica, through the creation of a modern metropolitan theme park, inspired by history, culture, recreation, environmental awareness and education, in order to deliver a green, renovated and freely accessible area for recreation to the inhabitants of Attica, as well as a new landmark for tourists to visit. The abovementioned investment comprises the renovation of buildings and the upgrade of their energy efficiency and infrastructure networks at the Tatoi estate. The investment is highly associated with the CSR concerning the promotion of private investment to foster the economic recovery, the improvement of energy efficiency, as well as the environmental protection. Moreover, it is in line with the EU’s common priority on social and economic resilience. The implementation of the investment is expected to be completed by the end of 2026.</w:t>
      </w:r>
    </w:p>
    <w:p w14:paraId="2C343756" w14:textId="77777777" w:rsidR="002E2131" w:rsidRPr="00920844" w:rsidRDefault="002E2131" w:rsidP="00920844">
      <w:pPr>
        <w:rPr>
          <w:rFonts w:eastAsia="Calibri"/>
          <w:lang w:val="en-US"/>
        </w:rPr>
      </w:pPr>
      <w:r w:rsidRPr="00920844">
        <w:rPr>
          <w:rFonts w:eastAsia="Calibri"/>
          <w:lang w:val="en-US"/>
        </w:rPr>
        <w:t>The RRF investment “</w:t>
      </w:r>
      <w:r w:rsidRPr="00920844">
        <w:rPr>
          <w:rFonts w:eastAsia="Calibri"/>
          <w:b/>
          <w:lang w:val="en-US"/>
        </w:rPr>
        <w:t>Restoration-Conservation-Enhancement of the Acropolis Monuments</w:t>
      </w:r>
      <w:r w:rsidRPr="00920844">
        <w:rPr>
          <w:rFonts w:eastAsia="Calibri"/>
          <w:lang w:val="en-US"/>
        </w:rPr>
        <w:t>”, aims to preserve the monument against climate change, including restoration work for the Parthenon and Walls, conservation of specific parts of the site, consolidation and stabilization of rock masses and improved visitor access works. It contains multiple sub- projects, such as: a) Interventions for the restoration, conservation and enhancement of the Acropolis monuments, b) Photogrammetric surveys/ Digital documentation of the monuments, c) Bedrock stabilization, d) Configuration of visitors' accessibility. The investment is highly associated with the CSR concerning the improvement of the effectiveness and the digitalization of the public administration, while is in line with the EU’s common priority on social and economic resilience. The implementation of the investment is expected to be completed by the end of 2026.</w:t>
      </w:r>
    </w:p>
    <w:p w14:paraId="6A3BB289" w14:textId="77777777" w:rsidR="002E2131" w:rsidRPr="00920844" w:rsidRDefault="002E2131" w:rsidP="00920844">
      <w:pPr>
        <w:rPr>
          <w:rFonts w:eastAsia="Calibri"/>
          <w:lang w:val="en-US"/>
        </w:rPr>
      </w:pPr>
      <w:r w:rsidRPr="00920844">
        <w:rPr>
          <w:rFonts w:eastAsia="Calibri"/>
          <w:lang w:val="en-US"/>
        </w:rPr>
        <w:t xml:space="preserve">The investment </w:t>
      </w:r>
      <w:r w:rsidRPr="00920844">
        <w:rPr>
          <w:rFonts w:eastAsia="Calibri"/>
          <w:b/>
          <w:lang w:val="en-US"/>
        </w:rPr>
        <w:t>“Museum of underwater antiquities (16486)”</w:t>
      </w:r>
      <w:r w:rsidRPr="00920844">
        <w:rPr>
          <w:rFonts w:eastAsia="Calibri"/>
          <w:lang w:val="en-US"/>
        </w:rPr>
        <w:t xml:space="preserve"> shall restore through an energy efficient renovation an industrial building in Piraeus and shall reopen it as a museum of underwater antiquities. The investment aims to create added value from a cultural and tourism standpoint for the port city of Piraeus and the wider Athens area and </w:t>
      </w:r>
      <w:r w:rsidRPr="00920844">
        <w:rPr>
          <w:rFonts w:eastAsia="Calibri"/>
          <w:highlight w:val="white"/>
          <w:lang w:val="en-US"/>
        </w:rPr>
        <w:t>become a pole of cultural and economic development of the wider region.</w:t>
      </w:r>
      <w:r w:rsidRPr="00920844">
        <w:rPr>
          <w:rFonts w:eastAsia="Calibri"/>
          <w:lang w:val="en-US"/>
        </w:rPr>
        <w:t xml:space="preserve"> The main elements of the investment include all the necessary preparations required for the restoration and conversion of the existing industrial building into a museum, the construction of new additional building infrastructure, as well as the organization of the permanent exhibition. The investment is highly associated with the CSR concerning the renewal of urban areas and the energy efficiency-enhancing measures, </w:t>
      </w:r>
      <w:r w:rsidRPr="00920844">
        <w:rPr>
          <w:rFonts w:eastAsia="Calibri"/>
          <w:lang w:val="en-US"/>
        </w:rPr>
        <w:lastRenderedPageBreak/>
        <w:t>while it is in line with the EU’s common priority on social and economic resilience. The completion of the investment is expected by the end of 2026.</w:t>
      </w:r>
    </w:p>
    <w:p w14:paraId="0F3D18E0" w14:textId="77777777" w:rsidR="002E2131" w:rsidRPr="00920844" w:rsidRDefault="002E2131" w:rsidP="00920844">
      <w:pPr>
        <w:rPr>
          <w:rFonts w:eastAsia="Calibri"/>
          <w:lang w:val="en-US"/>
        </w:rPr>
      </w:pPr>
      <w:r w:rsidRPr="00920844">
        <w:rPr>
          <w:rFonts w:eastAsia="Calibri"/>
          <w:lang w:val="en-US"/>
        </w:rPr>
        <w:t>The RRF investment  “</w:t>
      </w:r>
      <w:r w:rsidRPr="00920844">
        <w:rPr>
          <w:rFonts w:eastAsia="Calibri"/>
          <w:b/>
          <w:lang w:val="en-US"/>
        </w:rPr>
        <w:t xml:space="preserve">Upgrade of infrastructure, renewal of equipment and upgrade of quality of services provided by the HOCRED Stores - former ARF Stores (On-spot and electronic) (16536)” </w:t>
      </w:r>
      <w:r w:rsidRPr="00920844">
        <w:rPr>
          <w:rFonts w:eastAsia="Calibri"/>
          <w:lang w:val="en-US"/>
        </w:rPr>
        <w:t>is an investment that</w:t>
      </w:r>
      <w:r w:rsidRPr="00920844">
        <w:rPr>
          <w:rFonts w:eastAsia="Calibri"/>
          <w:b/>
          <w:lang w:val="en-US"/>
        </w:rPr>
        <w:t xml:space="preserve"> </w:t>
      </w:r>
      <w:r w:rsidRPr="00920844">
        <w:rPr>
          <w:rFonts w:eastAsia="Calibri"/>
          <w:lang w:val="en-US"/>
        </w:rPr>
        <w:t xml:space="preserve">aims at expanding the network of stores inside and outside of archaeological sites and museums, operate an e-shop, upgrade the infrastructure and equipment, renew and expand the products, as well as modernize their operating mode and strengthen the HOCRED’s cooperation with the private sector. This investment comprises energy efficiency measures, renovations, construction of the shops and workshops and provision of equipment for the physical and on-line stores and upgrades of the quality of services provided by the Hellenic Organization of Cultural Resources Development (HOCRED), which collects the proceeds from archaeological sites, historical sites, monuments and archaeological museums in Greece and manages these resources to support Greece’s cultural heritage. The investment is highly associated with the CSR concerning the improvement of energy efficiency, as well as the environmental protection and digitalization of the public administration. In addition, it is in line with the EU’s common priority on fair green and digital transition. The implementation of the investment is expected to be completed by the end of 2026.  In the same context, the investment </w:t>
      </w:r>
      <w:r w:rsidRPr="00920844">
        <w:rPr>
          <w:rFonts w:eastAsia="Calibri"/>
          <w:b/>
          <w:lang w:val="en-US"/>
        </w:rPr>
        <w:t xml:space="preserve">“Smart Infrastructure with environmental and cultural focus (16960)” </w:t>
      </w:r>
      <w:r w:rsidRPr="00920844">
        <w:rPr>
          <w:rFonts w:eastAsia="Calibri"/>
          <w:lang w:val="en-US"/>
        </w:rPr>
        <w:t>includes the development and implementation of new digital interactive services that aim to highlight the cultural stock of the Ministry of Culture and upgrade the visitor's experience in Archaeological Sites, Museums, Monuments and Historical Sites with the use of Innovative Technologies and Open Systems. As part of the project, a new E-ticketing and Access Control system will be installed, while digital services/personalized information applications will be developed and connected to the e-ticket system using innovative interactive tools and storytelling applications for high-traffic sites and museums. The investment is highly associated with the CSR concerning digital technologies, as well as the digitalization of the public administration. In addition, it is in line with the EU’s common priority on fair green and digital transition. The implementation of the investment is expected to be completed by the end of 2026.</w:t>
      </w:r>
    </w:p>
    <w:p w14:paraId="5ABDBDA1" w14:textId="5DE7AD93" w:rsidR="00987A40" w:rsidRDefault="00987A40" w:rsidP="00987A40">
      <w:pPr>
        <w:rPr>
          <w:lang w:val="en-US"/>
        </w:rPr>
      </w:pPr>
    </w:p>
    <w:p w14:paraId="1BFACC27" w14:textId="77777777" w:rsidR="00943D74" w:rsidRPr="00987A40" w:rsidRDefault="00943D74" w:rsidP="00987A40">
      <w:pPr>
        <w:rPr>
          <w:lang w:val="en-US"/>
        </w:rPr>
      </w:pPr>
    </w:p>
    <w:p w14:paraId="3C20BE27" w14:textId="1BB3DC15" w:rsidR="00987A40" w:rsidRPr="00E77D7E" w:rsidRDefault="00B8225C" w:rsidP="00C33755">
      <w:pPr>
        <w:pStyle w:val="Heading2"/>
        <w:pBdr>
          <w:bottom w:val="single" w:sz="18" w:space="1" w:color="FF3300"/>
        </w:pBdr>
        <w:rPr>
          <w:lang w:val="en-US"/>
        </w:rPr>
      </w:pPr>
      <w:bookmarkStart w:id="110" w:name="_Toc177496813"/>
      <w:bookmarkStart w:id="111" w:name="_Toc178070115"/>
      <w:r>
        <w:rPr>
          <w:lang w:val="en-US"/>
        </w:rPr>
        <w:t>M</w:t>
      </w:r>
      <w:r w:rsidRPr="00E77D7E">
        <w:rPr>
          <w:lang w:val="en-US"/>
        </w:rPr>
        <w:t xml:space="preserve">inistry of </w:t>
      </w:r>
      <w:r>
        <w:rPr>
          <w:lang w:val="en-US"/>
        </w:rPr>
        <w:t>M</w:t>
      </w:r>
      <w:r w:rsidRPr="00E77D7E">
        <w:rPr>
          <w:lang w:val="en-US"/>
        </w:rPr>
        <w:t xml:space="preserve">igration and </w:t>
      </w:r>
      <w:bookmarkEnd w:id="110"/>
      <w:r>
        <w:rPr>
          <w:lang w:val="en-US"/>
        </w:rPr>
        <w:t>A</w:t>
      </w:r>
      <w:r w:rsidRPr="00E77D7E">
        <w:rPr>
          <w:lang w:val="en-US"/>
        </w:rPr>
        <w:t>sylum</w:t>
      </w:r>
      <w:bookmarkEnd w:id="111"/>
    </w:p>
    <w:p w14:paraId="7BA7E5F1" w14:textId="35EFFA74" w:rsidR="00987A40" w:rsidRDefault="00987A40" w:rsidP="00987A40">
      <w:pPr>
        <w:spacing w:after="160" w:line="259" w:lineRule="auto"/>
        <w:rPr>
          <w:rFonts w:ascii="Calibri" w:eastAsia="Calibri" w:hAnsi="Calibri" w:cs="Calibri"/>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275"/>
        <w:gridCol w:w="1357"/>
        <w:gridCol w:w="1241"/>
        <w:gridCol w:w="102"/>
        <w:gridCol w:w="2097"/>
      </w:tblGrid>
      <w:tr w:rsidR="005D4AB0" w:rsidRPr="00EE72AB" w14:paraId="2EF7E781" w14:textId="77777777" w:rsidTr="00EE72AB">
        <w:trPr>
          <w:trHeight w:val="113"/>
          <w:jc w:val="center"/>
        </w:trPr>
        <w:tc>
          <w:tcPr>
            <w:tcW w:w="4410" w:type="dxa"/>
            <w:shd w:val="clear" w:color="auto" w:fill="CFE2F3"/>
          </w:tcPr>
          <w:p w14:paraId="45F813DE" w14:textId="77777777" w:rsidR="005D4AB0" w:rsidRPr="00EE72AB" w:rsidRDefault="005D4AB0" w:rsidP="00EE72AB">
            <w:pPr>
              <w:pStyle w:val="Tabletext"/>
              <w:rPr>
                <w:rFonts w:eastAsia="Calibri"/>
                <w:b/>
              </w:rPr>
            </w:pPr>
            <w:r w:rsidRPr="00EE72AB">
              <w:rPr>
                <w:rFonts w:eastAsia="Calibri"/>
                <w:b/>
              </w:rPr>
              <w:t>REFORM / INVESTMENT</w:t>
            </w:r>
          </w:p>
        </w:tc>
        <w:tc>
          <w:tcPr>
            <w:tcW w:w="1395" w:type="dxa"/>
            <w:shd w:val="clear" w:color="auto" w:fill="CFE2F3"/>
          </w:tcPr>
          <w:p w14:paraId="591EF6E0" w14:textId="77777777" w:rsidR="005D4AB0" w:rsidRPr="00EE72AB" w:rsidRDefault="005D4AB0" w:rsidP="00EE72AB">
            <w:pPr>
              <w:pStyle w:val="Tabletext"/>
              <w:rPr>
                <w:rFonts w:eastAsia="Calibri"/>
                <w:b/>
              </w:rPr>
            </w:pPr>
            <w:r w:rsidRPr="00EE72AB">
              <w:rPr>
                <w:rFonts w:eastAsia="Calibri"/>
                <w:b/>
              </w:rPr>
              <w:t xml:space="preserve">RRF / MFF </w:t>
            </w:r>
          </w:p>
        </w:tc>
        <w:tc>
          <w:tcPr>
            <w:tcW w:w="1275" w:type="dxa"/>
            <w:shd w:val="clear" w:color="auto" w:fill="CFE2F3"/>
          </w:tcPr>
          <w:p w14:paraId="13F1D74E" w14:textId="77777777" w:rsidR="005D4AB0" w:rsidRPr="00EE72AB" w:rsidRDefault="005D4AB0" w:rsidP="00EE72AB">
            <w:pPr>
              <w:pStyle w:val="Tabletext"/>
              <w:rPr>
                <w:rFonts w:eastAsia="Calibri"/>
                <w:b/>
              </w:rPr>
            </w:pPr>
            <w:r w:rsidRPr="00EE72AB">
              <w:rPr>
                <w:rFonts w:eastAsia="Calibri"/>
                <w:b/>
              </w:rPr>
              <w:t xml:space="preserve">CSR </w:t>
            </w:r>
          </w:p>
        </w:tc>
        <w:tc>
          <w:tcPr>
            <w:tcW w:w="2265" w:type="dxa"/>
            <w:gridSpan w:val="2"/>
            <w:shd w:val="clear" w:color="auto" w:fill="CFE2F3"/>
          </w:tcPr>
          <w:p w14:paraId="3FDD7C57" w14:textId="77777777" w:rsidR="005D4AB0" w:rsidRPr="00EE72AB" w:rsidRDefault="005D4AB0" w:rsidP="00EE72AB">
            <w:pPr>
              <w:pStyle w:val="Tabletext"/>
              <w:rPr>
                <w:rFonts w:eastAsia="Calibri"/>
                <w:b/>
              </w:rPr>
            </w:pPr>
            <w:r w:rsidRPr="00EE72AB">
              <w:rPr>
                <w:rFonts w:eastAsia="Calibri"/>
                <w:b/>
              </w:rPr>
              <w:t>COMMON PRIORITIES</w:t>
            </w:r>
          </w:p>
        </w:tc>
      </w:tr>
      <w:tr w:rsidR="005D4AB0" w:rsidRPr="00EE72AB" w14:paraId="1229EF3A" w14:textId="77777777" w:rsidTr="00EE72AB">
        <w:trPr>
          <w:trHeight w:val="113"/>
          <w:jc w:val="center"/>
        </w:trPr>
        <w:tc>
          <w:tcPr>
            <w:tcW w:w="4410" w:type="dxa"/>
            <w:tcMar>
              <w:top w:w="30" w:type="dxa"/>
              <w:left w:w="45" w:type="dxa"/>
              <w:bottom w:w="30" w:type="dxa"/>
              <w:right w:w="45" w:type="dxa"/>
            </w:tcMar>
          </w:tcPr>
          <w:p w14:paraId="777907CB" w14:textId="37A595E4" w:rsidR="005D4AB0" w:rsidRPr="00EE72AB" w:rsidRDefault="00BA03C0" w:rsidP="00EE72AB">
            <w:pPr>
              <w:pStyle w:val="Tabletext"/>
              <w:rPr>
                <w:rFonts w:eastAsia="Calibri"/>
              </w:rPr>
            </w:pPr>
            <w:r w:rsidRPr="00BA03C0">
              <w:rPr>
                <w:rFonts w:eastAsia="Calibri"/>
                <w:b/>
              </w:rPr>
              <w:lastRenderedPageBreak/>
              <w:t>REFORM 1:</w:t>
            </w:r>
            <w:r w:rsidR="005D4AB0" w:rsidRPr="00EE72AB">
              <w:rPr>
                <w:rFonts w:eastAsia="Calibri"/>
              </w:rPr>
              <w:t xml:space="preserve"> Open shelter for vulnerable women "A Step Forward"</w:t>
            </w:r>
          </w:p>
        </w:tc>
        <w:tc>
          <w:tcPr>
            <w:tcW w:w="1395" w:type="dxa"/>
            <w:tcMar>
              <w:top w:w="30" w:type="dxa"/>
              <w:left w:w="45" w:type="dxa"/>
              <w:bottom w:w="30" w:type="dxa"/>
              <w:right w:w="45" w:type="dxa"/>
            </w:tcMar>
          </w:tcPr>
          <w:p w14:paraId="792CDEF8" w14:textId="77777777" w:rsidR="005D4AB0" w:rsidRPr="00EE72AB" w:rsidRDefault="005D4AB0" w:rsidP="00EE72AB">
            <w:pPr>
              <w:pStyle w:val="Tabletext"/>
              <w:rPr>
                <w:rFonts w:eastAsia="Calibri"/>
              </w:rPr>
            </w:pPr>
            <w:r w:rsidRPr="00EE72AB">
              <w:rPr>
                <w:rFonts w:eastAsia="Calibri"/>
              </w:rPr>
              <w:t>-</w:t>
            </w:r>
          </w:p>
        </w:tc>
        <w:tc>
          <w:tcPr>
            <w:tcW w:w="1380" w:type="dxa"/>
            <w:gridSpan w:val="2"/>
            <w:tcMar>
              <w:top w:w="30" w:type="dxa"/>
              <w:left w:w="45" w:type="dxa"/>
              <w:bottom w:w="30" w:type="dxa"/>
              <w:right w:w="45" w:type="dxa"/>
            </w:tcMar>
          </w:tcPr>
          <w:p w14:paraId="4972C368" w14:textId="77777777" w:rsidR="005D4AB0" w:rsidRPr="00EE72AB" w:rsidRDefault="005D4AB0" w:rsidP="00EE72AB">
            <w:pPr>
              <w:pStyle w:val="Tabletext"/>
              <w:rPr>
                <w:rFonts w:eastAsia="Calibri"/>
              </w:rPr>
            </w:pPr>
            <w:r w:rsidRPr="00EE72AB">
              <w:rPr>
                <w:rFonts w:eastAsia="Calibri"/>
              </w:rPr>
              <w:t>-</w:t>
            </w:r>
          </w:p>
        </w:tc>
        <w:tc>
          <w:tcPr>
            <w:tcW w:w="2160" w:type="dxa"/>
            <w:tcMar>
              <w:top w:w="30" w:type="dxa"/>
              <w:left w:w="45" w:type="dxa"/>
              <w:bottom w:w="30" w:type="dxa"/>
              <w:right w:w="45" w:type="dxa"/>
            </w:tcMar>
          </w:tcPr>
          <w:p w14:paraId="52BF5B99" w14:textId="77777777" w:rsidR="005D4AB0" w:rsidRPr="00EE72AB" w:rsidRDefault="005D4AB0" w:rsidP="00EE72AB">
            <w:pPr>
              <w:pStyle w:val="Tabletext"/>
              <w:rPr>
                <w:rFonts w:eastAsia="Calibri"/>
              </w:rPr>
            </w:pPr>
            <w:r w:rsidRPr="00EE72AB">
              <w:rPr>
                <w:rFonts w:eastAsia="Calibri"/>
              </w:rPr>
              <w:t>Social and Economic resilience</w:t>
            </w:r>
          </w:p>
        </w:tc>
      </w:tr>
      <w:tr w:rsidR="005D4AB0" w:rsidRPr="00EE72AB" w14:paraId="2D2F492C" w14:textId="77777777" w:rsidTr="00EE72AB">
        <w:trPr>
          <w:trHeight w:val="113"/>
          <w:jc w:val="center"/>
        </w:trPr>
        <w:tc>
          <w:tcPr>
            <w:tcW w:w="4410" w:type="dxa"/>
            <w:tcMar>
              <w:top w:w="30" w:type="dxa"/>
              <w:left w:w="45" w:type="dxa"/>
              <w:bottom w:w="30" w:type="dxa"/>
              <w:right w:w="45" w:type="dxa"/>
            </w:tcMar>
          </w:tcPr>
          <w:p w14:paraId="6DCB3419" w14:textId="2926DFB4" w:rsidR="005D4AB0" w:rsidRPr="00EE72AB" w:rsidRDefault="00BA03C0" w:rsidP="00EE72AB">
            <w:pPr>
              <w:pStyle w:val="Tabletext"/>
              <w:rPr>
                <w:rFonts w:eastAsia="Calibri"/>
              </w:rPr>
            </w:pPr>
            <w:r w:rsidRPr="00BA03C0">
              <w:rPr>
                <w:rFonts w:eastAsia="Calibri"/>
                <w:b/>
              </w:rPr>
              <w:t>REFORM 2:</w:t>
            </w:r>
            <w:r w:rsidR="005D4AB0" w:rsidRPr="00EE72AB">
              <w:rPr>
                <w:rFonts w:eastAsia="Calibri"/>
              </w:rPr>
              <w:t xml:space="preserve"> Operation of day centers in Athens, Thessaloniki, Lesvos, Ioannina and Larissa for Unaccompanied Minors </w:t>
            </w:r>
          </w:p>
        </w:tc>
        <w:tc>
          <w:tcPr>
            <w:tcW w:w="1395" w:type="dxa"/>
            <w:tcMar>
              <w:top w:w="30" w:type="dxa"/>
              <w:left w:w="45" w:type="dxa"/>
              <w:bottom w:w="30" w:type="dxa"/>
              <w:right w:w="45" w:type="dxa"/>
            </w:tcMar>
          </w:tcPr>
          <w:p w14:paraId="279A8D7B" w14:textId="77777777" w:rsidR="005D4AB0" w:rsidRPr="00EE72AB" w:rsidRDefault="005D4AB0" w:rsidP="00EE72AB">
            <w:pPr>
              <w:pStyle w:val="Tabletext"/>
              <w:rPr>
                <w:rFonts w:eastAsia="Calibri"/>
              </w:rPr>
            </w:pPr>
            <w:r w:rsidRPr="00EE72AB">
              <w:rPr>
                <w:rFonts w:eastAsia="Calibri"/>
              </w:rPr>
              <w:t>MFF</w:t>
            </w:r>
          </w:p>
        </w:tc>
        <w:tc>
          <w:tcPr>
            <w:tcW w:w="1380" w:type="dxa"/>
            <w:gridSpan w:val="2"/>
            <w:tcMar>
              <w:top w:w="30" w:type="dxa"/>
              <w:left w:w="45" w:type="dxa"/>
              <w:bottom w:w="30" w:type="dxa"/>
              <w:right w:w="45" w:type="dxa"/>
            </w:tcMar>
          </w:tcPr>
          <w:p w14:paraId="6F327ED3" w14:textId="77777777" w:rsidR="005D4AB0" w:rsidRPr="00EE72AB" w:rsidRDefault="005D4AB0" w:rsidP="00EE72AB">
            <w:pPr>
              <w:pStyle w:val="Tabletext"/>
              <w:rPr>
                <w:rFonts w:eastAsia="Calibri"/>
              </w:rPr>
            </w:pPr>
            <w:r w:rsidRPr="00EE72AB">
              <w:rPr>
                <w:rFonts w:eastAsia="Calibri"/>
              </w:rPr>
              <w:t>-</w:t>
            </w:r>
          </w:p>
        </w:tc>
        <w:tc>
          <w:tcPr>
            <w:tcW w:w="2160" w:type="dxa"/>
            <w:tcMar>
              <w:top w:w="30" w:type="dxa"/>
              <w:left w:w="45" w:type="dxa"/>
              <w:bottom w:w="30" w:type="dxa"/>
              <w:right w:w="45" w:type="dxa"/>
            </w:tcMar>
          </w:tcPr>
          <w:p w14:paraId="7F384801" w14:textId="77777777" w:rsidR="005D4AB0" w:rsidRPr="00EE72AB" w:rsidRDefault="005D4AB0" w:rsidP="00EE72AB">
            <w:pPr>
              <w:pStyle w:val="Tabletext"/>
              <w:rPr>
                <w:rFonts w:eastAsia="Calibri"/>
              </w:rPr>
            </w:pPr>
            <w:r w:rsidRPr="00EE72AB">
              <w:rPr>
                <w:rFonts w:eastAsia="Calibri"/>
              </w:rPr>
              <w:t>Social and Economic resilience</w:t>
            </w:r>
          </w:p>
        </w:tc>
      </w:tr>
      <w:tr w:rsidR="005D4AB0" w:rsidRPr="00EE72AB" w14:paraId="51463359" w14:textId="77777777" w:rsidTr="00EE72AB">
        <w:trPr>
          <w:trHeight w:val="113"/>
          <w:jc w:val="center"/>
        </w:trPr>
        <w:tc>
          <w:tcPr>
            <w:tcW w:w="4410" w:type="dxa"/>
            <w:tcMar>
              <w:top w:w="30" w:type="dxa"/>
              <w:left w:w="45" w:type="dxa"/>
              <w:bottom w:w="30" w:type="dxa"/>
              <w:right w:w="45" w:type="dxa"/>
            </w:tcMar>
          </w:tcPr>
          <w:p w14:paraId="0A16EBBD" w14:textId="6BEF7308" w:rsidR="005D4AB0" w:rsidRPr="00EE72AB" w:rsidRDefault="00BA03C0" w:rsidP="00EE72AB">
            <w:pPr>
              <w:pStyle w:val="Tabletext"/>
              <w:rPr>
                <w:rFonts w:eastAsia="Calibri"/>
              </w:rPr>
            </w:pPr>
            <w:r w:rsidRPr="00BA03C0">
              <w:rPr>
                <w:rFonts w:eastAsia="Calibri"/>
                <w:b/>
              </w:rPr>
              <w:t>REFORM 3:</w:t>
            </w:r>
            <w:r w:rsidR="005D4AB0" w:rsidRPr="00EE72AB">
              <w:rPr>
                <w:rFonts w:eastAsia="Calibri"/>
              </w:rPr>
              <w:t xml:space="preserve"> Social Integration of Former Unaccompanied Minors in Greece" (Helios Junior) </w:t>
            </w:r>
          </w:p>
        </w:tc>
        <w:tc>
          <w:tcPr>
            <w:tcW w:w="1395" w:type="dxa"/>
            <w:tcMar>
              <w:top w:w="30" w:type="dxa"/>
              <w:left w:w="45" w:type="dxa"/>
              <w:bottom w:w="30" w:type="dxa"/>
              <w:right w:w="45" w:type="dxa"/>
            </w:tcMar>
          </w:tcPr>
          <w:p w14:paraId="2C5E6177" w14:textId="77777777" w:rsidR="005D4AB0" w:rsidRPr="00EE72AB" w:rsidRDefault="005D4AB0" w:rsidP="00EE72AB">
            <w:pPr>
              <w:pStyle w:val="Tabletext"/>
              <w:rPr>
                <w:rFonts w:eastAsia="Calibri"/>
              </w:rPr>
            </w:pPr>
            <w:r w:rsidRPr="00EE72AB">
              <w:rPr>
                <w:rFonts w:eastAsia="Calibri"/>
              </w:rPr>
              <w:t>MFF</w:t>
            </w:r>
          </w:p>
        </w:tc>
        <w:tc>
          <w:tcPr>
            <w:tcW w:w="1380" w:type="dxa"/>
            <w:gridSpan w:val="2"/>
            <w:tcMar>
              <w:top w:w="30" w:type="dxa"/>
              <w:left w:w="45" w:type="dxa"/>
              <w:bottom w:w="30" w:type="dxa"/>
              <w:right w:w="45" w:type="dxa"/>
            </w:tcMar>
          </w:tcPr>
          <w:p w14:paraId="3BCDE7B9" w14:textId="77777777" w:rsidR="005D4AB0" w:rsidRPr="00EE72AB" w:rsidRDefault="005D4AB0" w:rsidP="00EE72AB">
            <w:pPr>
              <w:pStyle w:val="Tabletext"/>
              <w:rPr>
                <w:rFonts w:eastAsia="Calibri"/>
              </w:rPr>
            </w:pPr>
            <w:r w:rsidRPr="00EE72AB">
              <w:rPr>
                <w:rFonts w:eastAsia="Calibri"/>
              </w:rPr>
              <w:t>2020 CSR 3.8</w:t>
            </w:r>
            <w:r w:rsidRPr="00EE72AB">
              <w:rPr>
                <w:rFonts w:eastAsia="Calibri"/>
              </w:rPr>
              <w:br/>
              <w:t>2019 CSR 2.6</w:t>
            </w:r>
          </w:p>
        </w:tc>
        <w:tc>
          <w:tcPr>
            <w:tcW w:w="2160" w:type="dxa"/>
            <w:tcMar>
              <w:top w:w="30" w:type="dxa"/>
              <w:left w:w="45" w:type="dxa"/>
              <w:bottom w:w="30" w:type="dxa"/>
              <w:right w:w="45" w:type="dxa"/>
            </w:tcMar>
          </w:tcPr>
          <w:p w14:paraId="653F87B6" w14:textId="77777777" w:rsidR="005D4AB0" w:rsidRPr="00EE72AB" w:rsidRDefault="005D4AB0" w:rsidP="00EE72AB">
            <w:pPr>
              <w:pStyle w:val="Tabletext"/>
              <w:rPr>
                <w:rFonts w:eastAsia="Calibri"/>
              </w:rPr>
            </w:pPr>
            <w:r w:rsidRPr="00EE72AB">
              <w:rPr>
                <w:rFonts w:eastAsia="Calibri"/>
              </w:rPr>
              <w:t>Social and Economic resilience</w:t>
            </w:r>
          </w:p>
        </w:tc>
      </w:tr>
      <w:tr w:rsidR="005D4AB0" w:rsidRPr="00EE72AB" w14:paraId="3720EB58" w14:textId="77777777" w:rsidTr="00EE72AB">
        <w:trPr>
          <w:trHeight w:val="113"/>
          <w:jc w:val="center"/>
        </w:trPr>
        <w:tc>
          <w:tcPr>
            <w:tcW w:w="4410" w:type="dxa"/>
            <w:tcMar>
              <w:top w:w="30" w:type="dxa"/>
              <w:left w:w="45" w:type="dxa"/>
              <w:bottom w:w="30" w:type="dxa"/>
              <w:right w:w="45" w:type="dxa"/>
            </w:tcMar>
          </w:tcPr>
          <w:p w14:paraId="0D2CBC32" w14:textId="1936B952" w:rsidR="005D4AB0" w:rsidRPr="00EE72AB" w:rsidRDefault="00BA03C0" w:rsidP="00EE72AB">
            <w:pPr>
              <w:pStyle w:val="Tabletext"/>
              <w:rPr>
                <w:rFonts w:eastAsia="Calibri"/>
              </w:rPr>
            </w:pPr>
            <w:r w:rsidRPr="00BA03C0">
              <w:rPr>
                <w:rFonts w:eastAsia="Calibri"/>
                <w:b/>
              </w:rPr>
              <w:t>REFORM 4:</w:t>
            </w:r>
            <w:r w:rsidR="005D4AB0" w:rsidRPr="00EE72AB">
              <w:rPr>
                <w:rFonts w:eastAsia="Calibri"/>
              </w:rPr>
              <w:t xml:space="preserve"> Strengthening the implementation of the National Strategy for the Protection of Unaccompanied Minors (PYXIDA) </w:t>
            </w:r>
          </w:p>
        </w:tc>
        <w:tc>
          <w:tcPr>
            <w:tcW w:w="1395" w:type="dxa"/>
            <w:tcMar>
              <w:top w:w="30" w:type="dxa"/>
              <w:left w:w="45" w:type="dxa"/>
              <w:bottom w:w="30" w:type="dxa"/>
              <w:right w:w="45" w:type="dxa"/>
            </w:tcMar>
          </w:tcPr>
          <w:p w14:paraId="083C7BFF" w14:textId="77777777" w:rsidR="005D4AB0" w:rsidRPr="00EE72AB" w:rsidRDefault="005D4AB0" w:rsidP="00EE72AB">
            <w:pPr>
              <w:pStyle w:val="Tabletext"/>
              <w:rPr>
                <w:rFonts w:eastAsia="Calibri"/>
              </w:rPr>
            </w:pPr>
            <w:r w:rsidRPr="00EE72AB">
              <w:rPr>
                <w:rFonts w:eastAsia="Calibri"/>
              </w:rPr>
              <w:t>MFF</w:t>
            </w:r>
          </w:p>
        </w:tc>
        <w:tc>
          <w:tcPr>
            <w:tcW w:w="1380" w:type="dxa"/>
            <w:gridSpan w:val="2"/>
            <w:tcMar>
              <w:top w:w="30" w:type="dxa"/>
              <w:left w:w="45" w:type="dxa"/>
              <w:bottom w:w="30" w:type="dxa"/>
              <w:right w:w="45" w:type="dxa"/>
            </w:tcMar>
          </w:tcPr>
          <w:p w14:paraId="136D9119" w14:textId="77777777" w:rsidR="005D4AB0" w:rsidRPr="00EE72AB" w:rsidRDefault="005D4AB0" w:rsidP="00EE72AB">
            <w:pPr>
              <w:pStyle w:val="Tabletext"/>
              <w:rPr>
                <w:rFonts w:eastAsia="Calibri"/>
              </w:rPr>
            </w:pPr>
            <w:r w:rsidRPr="00EE72AB">
              <w:rPr>
                <w:rFonts w:eastAsia="Calibri"/>
              </w:rPr>
              <w:t>-</w:t>
            </w:r>
          </w:p>
        </w:tc>
        <w:tc>
          <w:tcPr>
            <w:tcW w:w="2160" w:type="dxa"/>
            <w:tcMar>
              <w:top w:w="30" w:type="dxa"/>
              <w:left w:w="45" w:type="dxa"/>
              <w:bottom w:w="30" w:type="dxa"/>
              <w:right w:w="45" w:type="dxa"/>
            </w:tcMar>
          </w:tcPr>
          <w:p w14:paraId="6D642D0B" w14:textId="77777777" w:rsidR="005D4AB0" w:rsidRPr="00EE72AB" w:rsidRDefault="005D4AB0" w:rsidP="00EE72AB">
            <w:pPr>
              <w:pStyle w:val="Tabletext"/>
              <w:rPr>
                <w:rFonts w:eastAsia="Calibri"/>
              </w:rPr>
            </w:pPr>
            <w:r w:rsidRPr="00EE72AB">
              <w:rPr>
                <w:rFonts w:eastAsia="Calibri"/>
              </w:rPr>
              <w:t>Social and Economic resilience</w:t>
            </w:r>
          </w:p>
        </w:tc>
      </w:tr>
      <w:tr w:rsidR="005D4AB0" w:rsidRPr="00EE72AB" w14:paraId="256217C1" w14:textId="77777777" w:rsidTr="00EE72AB">
        <w:trPr>
          <w:trHeight w:val="113"/>
          <w:jc w:val="center"/>
        </w:trPr>
        <w:tc>
          <w:tcPr>
            <w:tcW w:w="4410" w:type="dxa"/>
            <w:tcMar>
              <w:top w:w="30" w:type="dxa"/>
              <w:left w:w="45" w:type="dxa"/>
              <w:bottom w:w="30" w:type="dxa"/>
              <w:right w:w="45" w:type="dxa"/>
            </w:tcMar>
          </w:tcPr>
          <w:p w14:paraId="04F15BA0" w14:textId="01529822" w:rsidR="005D4AB0" w:rsidRPr="00EE72AB" w:rsidRDefault="00BA03C0" w:rsidP="00EE72AB">
            <w:pPr>
              <w:pStyle w:val="Tabletext"/>
              <w:rPr>
                <w:rFonts w:eastAsia="Calibri"/>
              </w:rPr>
            </w:pPr>
            <w:r w:rsidRPr="00BA03C0">
              <w:rPr>
                <w:rFonts w:eastAsia="Calibri"/>
                <w:b/>
              </w:rPr>
              <w:t>REFORM 5:</w:t>
            </w:r>
            <w:r w:rsidR="005D4AB0" w:rsidRPr="00EE72AB">
              <w:rPr>
                <w:rFonts w:eastAsia="Calibri"/>
              </w:rPr>
              <w:t xml:space="preserve"> Provision of primary medical health services, epidemiological surveillance and psychosocial services to asylum seekers -Programme “Hippocrates” (I,II)</w:t>
            </w:r>
          </w:p>
        </w:tc>
        <w:tc>
          <w:tcPr>
            <w:tcW w:w="1395" w:type="dxa"/>
            <w:tcMar>
              <w:top w:w="30" w:type="dxa"/>
              <w:left w:w="45" w:type="dxa"/>
              <w:bottom w:w="30" w:type="dxa"/>
              <w:right w:w="45" w:type="dxa"/>
            </w:tcMar>
          </w:tcPr>
          <w:p w14:paraId="3A54B5A2" w14:textId="77777777" w:rsidR="005D4AB0" w:rsidRPr="00EE72AB" w:rsidRDefault="005D4AB0" w:rsidP="00EE72AB">
            <w:pPr>
              <w:pStyle w:val="Tabletext"/>
              <w:rPr>
                <w:rFonts w:eastAsia="Calibri"/>
              </w:rPr>
            </w:pPr>
            <w:r w:rsidRPr="00EE72AB">
              <w:rPr>
                <w:rFonts w:eastAsia="Calibri"/>
              </w:rPr>
              <w:t>MFF</w:t>
            </w:r>
          </w:p>
        </w:tc>
        <w:tc>
          <w:tcPr>
            <w:tcW w:w="1380" w:type="dxa"/>
            <w:gridSpan w:val="2"/>
            <w:tcMar>
              <w:top w:w="30" w:type="dxa"/>
              <w:left w:w="45" w:type="dxa"/>
              <w:bottom w:w="30" w:type="dxa"/>
              <w:right w:w="45" w:type="dxa"/>
            </w:tcMar>
          </w:tcPr>
          <w:p w14:paraId="5EC8DDA5" w14:textId="77777777" w:rsidR="005D4AB0" w:rsidRPr="00EE72AB" w:rsidRDefault="005D4AB0" w:rsidP="00EE72AB">
            <w:pPr>
              <w:pStyle w:val="Tabletext"/>
              <w:rPr>
                <w:rFonts w:eastAsia="Calibri"/>
              </w:rPr>
            </w:pPr>
            <w:r w:rsidRPr="00EE72AB">
              <w:rPr>
                <w:rFonts w:eastAsia="Calibri"/>
              </w:rPr>
              <w:t>2020 CSR 1.3</w:t>
            </w:r>
            <w:r w:rsidRPr="00EE72AB">
              <w:rPr>
                <w:rFonts w:eastAsia="Calibri"/>
              </w:rPr>
              <w:br/>
              <w:t>2019 CSR 2.8</w:t>
            </w:r>
          </w:p>
        </w:tc>
        <w:tc>
          <w:tcPr>
            <w:tcW w:w="2160" w:type="dxa"/>
            <w:tcMar>
              <w:top w:w="30" w:type="dxa"/>
              <w:left w:w="45" w:type="dxa"/>
              <w:bottom w:w="30" w:type="dxa"/>
              <w:right w:w="45" w:type="dxa"/>
            </w:tcMar>
          </w:tcPr>
          <w:p w14:paraId="5AEBDBF4" w14:textId="77777777" w:rsidR="005D4AB0" w:rsidRPr="00EE72AB" w:rsidRDefault="005D4AB0" w:rsidP="00EE72AB">
            <w:pPr>
              <w:pStyle w:val="Tabletext"/>
              <w:rPr>
                <w:rFonts w:eastAsia="Calibri"/>
              </w:rPr>
            </w:pPr>
            <w:r w:rsidRPr="00EE72AB">
              <w:rPr>
                <w:rFonts w:eastAsia="Calibri"/>
              </w:rPr>
              <w:t>Social and Economic resilience</w:t>
            </w:r>
          </w:p>
        </w:tc>
      </w:tr>
      <w:tr w:rsidR="005D4AB0" w:rsidRPr="00EE72AB" w14:paraId="7A41D613" w14:textId="77777777" w:rsidTr="00EE72AB">
        <w:trPr>
          <w:trHeight w:val="113"/>
          <w:jc w:val="center"/>
        </w:trPr>
        <w:tc>
          <w:tcPr>
            <w:tcW w:w="4410" w:type="dxa"/>
            <w:tcMar>
              <w:top w:w="30" w:type="dxa"/>
              <w:left w:w="45" w:type="dxa"/>
              <w:bottom w:w="30" w:type="dxa"/>
              <w:right w:w="45" w:type="dxa"/>
            </w:tcMar>
          </w:tcPr>
          <w:p w14:paraId="3F36011C" w14:textId="336D48AF" w:rsidR="005D4AB0" w:rsidRPr="00EE72AB" w:rsidRDefault="00BA03C0" w:rsidP="00EE72AB">
            <w:pPr>
              <w:pStyle w:val="Tabletext"/>
              <w:rPr>
                <w:rFonts w:eastAsia="Calibri"/>
              </w:rPr>
            </w:pPr>
            <w:r w:rsidRPr="00BA03C0">
              <w:rPr>
                <w:rFonts w:eastAsia="Calibri"/>
                <w:b/>
              </w:rPr>
              <w:t>REFORM 6:</w:t>
            </w:r>
            <w:r w:rsidR="005D4AB0" w:rsidRPr="00EE72AB">
              <w:rPr>
                <w:rFonts w:eastAsia="Calibri"/>
              </w:rPr>
              <w:t xml:space="preserve"> Promote integration of the refugee population into the labor market </w:t>
            </w:r>
          </w:p>
        </w:tc>
        <w:tc>
          <w:tcPr>
            <w:tcW w:w="1395" w:type="dxa"/>
            <w:tcMar>
              <w:top w:w="30" w:type="dxa"/>
              <w:left w:w="45" w:type="dxa"/>
              <w:bottom w:w="30" w:type="dxa"/>
              <w:right w:w="45" w:type="dxa"/>
            </w:tcMar>
          </w:tcPr>
          <w:p w14:paraId="15D55947" w14:textId="77777777" w:rsidR="005D4AB0" w:rsidRPr="00EE72AB" w:rsidRDefault="005D4AB0" w:rsidP="00EE72AB">
            <w:pPr>
              <w:pStyle w:val="Tabletext"/>
              <w:rPr>
                <w:rFonts w:eastAsia="Calibri"/>
              </w:rPr>
            </w:pPr>
            <w:r w:rsidRPr="00EE72AB">
              <w:rPr>
                <w:rFonts w:eastAsia="Calibri"/>
              </w:rPr>
              <w:t>RRF 16688</w:t>
            </w:r>
          </w:p>
        </w:tc>
        <w:tc>
          <w:tcPr>
            <w:tcW w:w="1380" w:type="dxa"/>
            <w:gridSpan w:val="2"/>
            <w:tcMar>
              <w:top w:w="30" w:type="dxa"/>
              <w:left w:w="45" w:type="dxa"/>
              <w:bottom w:w="30" w:type="dxa"/>
              <w:right w:w="45" w:type="dxa"/>
            </w:tcMar>
          </w:tcPr>
          <w:p w14:paraId="34CEC4EC" w14:textId="77777777" w:rsidR="005D4AB0" w:rsidRPr="00EE72AB" w:rsidRDefault="005D4AB0" w:rsidP="00EE72AB">
            <w:pPr>
              <w:pStyle w:val="Tabletext"/>
              <w:rPr>
                <w:rFonts w:eastAsia="Calibri"/>
              </w:rPr>
            </w:pPr>
            <w:r w:rsidRPr="00EE72AB">
              <w:rPr>
                <w:rFonts w:eastAsia="Calibri"/>
              </w:rPr>
              <w:t>2024 CSR 3.1                   2020 CSR 3.8</w:t>
            </w:r>
            <w:r w:rsidRPr="00EE72AB">
              <w:rPr>
                <w:rFonts w:eastAsia="Calibri"/>
              </w:rPr>
              <w:br/>
              <w:t>2019 CSR 2.6</w:t>
            </w:r>
            <w:r w:rsidRPr="00EE72AB">
              <w:rPr>
                <w:rFonts w:eastAsia="Calibri"/>
              </w:rPr>
              <w:br/>
              <w:t>2019 CSR 2.7</w:t>
            </w:r>
          </w:p>
        </w:tc>
        <w:tc>
          <w:tcPr>
            <w:tcW w:w="2160" w:type="dxa"/>
            <w:tcMar>
              <w:top w:w="30" w:type="dxa"/>
              <w:left w:w="45" w:type="dxa"/>
              <w:bottom w:w="30" w:type="dxa"/>
              <w:right w:w="45" w:type="dxa"/>
            </w:tcMar>
          </w:tcPr>
          <w:p w14:paraId="7B655A30" w14:textId="77777777" w:rsidR="005D4AB0" w:rsidRPr="00EE72AB" w:rsidRDefault="005D4AB0" w:rsidP="00EE72AB">
            <w:pPr>
              <w:pStyle w:val="Tabletext"/>
              <w:rPr>
                <w:rFonts w:eastAsia="Calibri"/>
              </w:rPr>
            </w:pPr>
            <w:r w:rsidRPr="00EE72AB">
              <w:rPr>
                <w:rFonts w:eastAsia="Calibri"/>
              </w:rPr>
              <w:t>Social and Economic resilience</w:t>
            </w:r>
          </w:p>
        </w:tc>
      </w:tr>
      <w:tr w:rsidR="005D4AB0" w:rsidRPr="000A2698" w14:paraId="2D40D4B6" w14:textId="77777777" w:rsidTr="00EE72AB">
        <w:trPr>
          <w:trHeight w:val="113"/>
          <w:jc w:val="center"/>
        </w:trPr>
        <w:tc>
          <w:tcPr>
            <w:tcW w:w="4410" w:type="dxa"/>
            <w:tcMar>
              <w:top w:w="30" w:type="dxa"/>
              <w:left w:w="45" w:type="dxa"/>
              <w:bottom w:w="30" w:type="dxa"/>
              <w:right w:w="45" w:type="dxa"/>
            </w:tcMar>
          </w:tcPr>
          <w:p w14:paraId="4ABE93CF" w14:textId="0A863E9E" w:rsidR="005D4AB0" w:rsidRPr="000A2698" w:rsidRDefault="00996F8A" w:rsidP="00EE72AB">
            <w:pPr>
              <w:pStyle w:val="Tabletext"/>
              <w:rPr>
                <w:rFonts w:eastAsia="Calibri"/>
                <w:i/>
              </w:rPr>
            </w:pPr>
            <w:r w:rsidRPr="000A2698">
              <w:rPr>
                <w:rFonts w:eastAsia="Calibri"/>
                <w:b/>
                <w:i/>
              </w:rPr>
              <w:t>REFORM 7:</w:t>
            </w:r>
            <w:r w:rsidR="005D4AB0" w:rsidRPr="000A2698">
              <w:rPr>
                <w:rFonts w:eastAsia="Calibri"/>
                <w:i/>
              </w:rPr>
              <w:t xml:space="preserve"> Socio-economic integration project HELIOS+ for beneficiaries of international and temporary protection</w:t>
            </w:r>
          </w:p>
        </w:tc>
        <w:tc>
          <w:tcPr>
            <w:tcW w:w="1395" w:type="dxa"/>
            <w:tcMar>
              <w:top w:w="30" w:type="dxa"/>
              <w:left w:w="45" w:type="dxa"/>
              <w:bottom w:w="30" w:type="dxa"/>
              <w:right w:w="45" w:type="dxa"/>
            </w:tcMar>
          </w:tcPr>
          <w:p w14:paraId="0C393E40" w14:textId="77777777" w:rsidR="005D4AB0" w:rsidRPr="000A2698" w:rsidRDefault="005D4AB0" w:rsidP="00EE72AB">
            <w:pPr>
              <w:pStyle w:val="Tabletext"/>
              <w:rPr>
                <w:rFonts w:eastAsia="Calibri"/>
                <w:i/>
              </w:rPr>
            </w:pPr>
            <w:r w:rsidRPr="000A2698">
              <w:rPr>
                <w:rFonts w:eastAsia="Calibri"/>
                <w:i/>
              </w:rPr>
              <w:t>MFF</w:t>
            </w:r>
          </w:p>
        </w:tc>
        <w:tc>
          <w:tcPr>
            <w:tcW w:w="1380" w:type="dxa"/>
            <w:gridSpan w:val="2"/>
            <w:tcMar>
              <w:top w:w="30" w:type="dxa"/>
              <w:left w:w="45" w:type="dxa"/>
              <w:bottom w:w="30" w:type="dxa"/>
              <w:right w:w="45" w:type="dxa"/>
            </w:tcMar>
          </w:tcPr>
          <w:p w14:paraId="0B15CCC2" w14:textId="77777777" w:rsidR="005D4AB0" w:rsidRPr="000A2698" w:rsidRDefault="005D4AB0" w:rsidP="00EE72AB">
            <w:pPr>
              <w:pStyle w:val="Tabletext"/>
              <w:rPr>
                <w:rFonts w:eastAsia="Calibri"/>
                <w:i/>
              </w:rPr>
            </w:pPr>
            <w:r w:rsidRPr="000A2698">
              <w:rPr>
                <w:rFonts w:eastAsia="Calibri"/>
                <w:i/>
              </w:rPr>
              <w:t>2024 CSR 3.1                   2020 CSR 3.8</w:t>
            </w:r>
            <w:r w:rsidRPr="000A2698">
              <w:rPr>
                <w:rFonts w:eastAsia="Calibri"/>
                <w:i/>
              </w:rPr>
              <w:br/>
              <w:t>2019 CSR 2.6</w:t>
            </w:r>
            <w:r w:rsidRPr="000A2698">
              <w:rPr>
                <w:rFonts w:eastAsia="Calibri"/>
                <w:i/>
              </w:rPr>
              <w:br/>
              <w:t>2019 CSR 2.7</w:t>
            </w:r>
          </w:p>
        </w:tc>
        <w:tc>
          <w:tcPr>
            <w:tcW w:w="2160" w:type="dxa"/>
            <w:tcMar>
              <w:top w:w="30" w:type="dxa"/>
              <w:left w:w="45" w:type="dxa"/>
              <w:bottom w:w="30" w:type="dxa"/>
              <w:right w:w="45" w:type="dxa"/>
            </w:tcMar>
          </w:tcPr>
          <w:p w14:paraId="5E5CE818" w14:textId="77777777" w:rsidR="005D4AB0" w:rsidRPr="000A2698" w:rsidRDefault="005D4AB0" w:rsidP="00EE72AB">
            <w:pPr>
              <w:pStyle w:val="Tabletext"/>
              <w:rPr>
                <w:rFonts w:eastAsia="Calibri"/>
                <w:i/>
              </w:rPr>
            </w:pPr>
            <w:r w:rsidRPr="000A2698">
              <w:rPr>
                <w:rFonts w:eastAsia="Calibri"/>
                <w:i/>
              </w:rPr>
              <w:t>Social and Economic resilience</w:t>
            </w:r>
          </w:p>
        </w:tc>
      </w:tr>
      <w:tr w:rsidR="005D4AB0" w:rsidRPr="00EE72AB" w14:paraId="1AE7C59D" w14:textId="77777777" w:rsidTr="00EE72AB">
        <w:trPr>
          <w:trHeight w:val="113"/>
          <w:jc w:val="center"/>
        </w:trPr>
        <w:tc>
          <w:tcPr>
            <w:tcW w:w="4410" w:type="dxa"/>
            <w:tcMar>
              <w:top w:w="30" w:type="dxa"/>
              <w:left w:w="45" w:type="dxa"/>
              <w:bottom w:w="30" w:type="dxa"/>
              <w:right w:w="45" w:type="dxa"/>
            </w:tcMar>
          </w:tcPr>
          <w:p w14:paraId="2B2D047D" w14:textId="5F65639D" w:rsidR="005D4AB0" w:rsidRPr="00EE72AB" w:rsidRDefault="00BA03C0" w:rsidP="00EE72AB">
            <w:pPr>
              <w:pStyle w:val="Tabletext"/>
              <w:rPr>
                <w:rFonts w:eastAsia="Calibri"/>
              </w:rPr>
            </w:pPr>
            <w:r w:rsidRPr="00BA03C0">
              <w:rPr>
                <w:rFonts w:eastAsia="Calibri"/>
                <w:b/>
              </w:rPr>
              <w:t>INVESTMENT 1:</w:t>
            </w:r>
            <w:r w:rsidR="005D4AB0" w:rsidRPr="00EE72AB">
              <w:rPr>
                <w:rFonts w:eastAsia="Calibri"/>
              </w:rPr>
              <w:t xml:space="preserve"> Digital Transformation of the Immigration and Asylum System including the digitalization of archives   </w:t>
            </w:r>
          </w:p>
        </w:tc>
        <w:tc>
          <w:tcPr>
            <w:tcW w:w="1395" w:type="dxa"/>
            <w:tcMar>
              <w:top w:w="30" w:type="dxa"/>
              <w:left w:w="45" w:type="dxa"/>
              <w:bottom w:w="30" w:type="dxa"/>
              <w:right w:w="45" w:type="dxa"/>
            </w:tcMar>
          </w:tcPr>
          <w:p w14:paraId="7911F5FD" w14:textId="77777777" w:rsidR="005D4AB0" w:rsidRPr="00EE72AB" w:rsidRDefault="005D4AB0" w:rsidP="00EE72AB">
            <w:pPr>
              <w:pStyle w:val="Tabletext"/>
              <w:rPr>
                <w:rFonts w:eastAsia="Calibri"/>
              </w:rPr>
            </w:pPr>
            <w:r w:rsidRPr="00EE72AB">
              <w:rPr>
                <w:rFonts w:eastAsia="Calibri"/>
              </w:rPr>
              <w:t xml:space="preserve">RRF 16763, 16778 </w:t>
            </w:r>
          </w:p>
        </w:tc>
        <w:tc>
          <w:tcPr>
            <w:tcW w:w="1380" w:type="dxa"/>
            <w:gridSpan w:val="2"/>
            <w:tcMar>
              <w:top w:w="30" w:type="dxa"/>
              <w:left w:w="45" w:type="dxa"/>
              <w:bottom w:w="30" w:type="dxa"/>
              <w:right w:w="45" w:type="dxa"/>
            </w:tcMar>
          </w:tcPr>
          <w:p w14:paraId="4116EF29" w14:textId="77777777" w:rsidR="005D4AB0" w:rsidRPr="00EE72AB" w:rsidRDefault="005D4AB0" w:rsidP="00EE72AB">
            <w:pPr>
              <w:pStyle w:val="Tabletext"/>
              <w:rPr>
                <w:rFonts w:eastAsia="Calibri"/>
              </w:rPr>
            </w:pPr>
            <w:r w:rsidRPr="00EE72AB">
              <w:rPr>
                <w:rFonts w:eastAsia="Calibri"/>
              </w:rPr>
              <w:t>2020 CSR 3.9</w:t>
            </w:r>
            <w:r w:rsidRPr="00EE72AB">
              <w:rPr>
                <w:rFonts w:eastAsia="Calibri"/>
              </w:rPr>
              <w:br/>
              <w:t>2019 CSR 2.3</w:t>
            </w:r>
          </w:p>
        </w:tc>
        <w:tc>
          <w:tcPr>
            <w:tcW w:w="2160" w:type="dxa"/>
            <w:tcMar>
              <w:top w:w="30" w:type="dxa"/>
              <w:left w:w="45" w:type="dxa"/>
              <w:bottom w:w="30" w:type="dxa"/>
              <w:right w:w="45" w:type="dxa"/>
            </w:tcMar>
          </w:tcPr>
          <w:p w14:paraId="27E1C24D" w14:textId="77777777" w:rsidR="005D4AB0" w:rsidRPr="00EE72AB" w:rsidRDefault="005D4AB0" w:rsidP="00EE72AB">
            <w:pPr>
              <w:pStyle w:val="Tabletext"/>
              <w:rPr>
                <w:rFonts w:eastAsia="Calibri"/>
              </w:rPr>
            </w:pPr>
            <w:r w:rsidRPr="00EE72AB">
              <w:rPr>
                <w:rFonts w:eastAsia="Calibri"/>
              </w:rPr>
              <w:t>Fair green &amp; digital transition</w:t>
            </w:r>
          </w:p>
        </w:tc>
      </w:tr>
    </w:tbl>
    <w:p w14:paraId="52680D01" w14:textId="7CC7C989" w:rsidR="002E2131" w:rsidRDefault="002E2131" w:rsidP="00987A40">
      <w:pPr>
        <w:spacing w:after="160" w:line="259" w:lineRule="auto"/>
        <w:rPr>
          <w:rFonts w:ascii="Calibri" w:eastAsia="Calibri" w:hAnsi="Calibri" w:cs="Calibri"/>
        </w:rPr>
      </w:pPr>
    </w:p>
    <w:p w14:paraId="0D1ED38B" w14:textId="77777777" w:rsidR="005D4AB0" w:rsidRPr="00920844" w:rsidRDefault="005D4AB0" w:rsidP="00920844">
      <w:pPr>
        <w:rPr>
          <w:rFonts w:eastAsia="Calibri"/>
          <w:lang w:val="en-US"/>
        </w:rPr>
      </w:pPr>
      <w:r w:rsidRPr="00920844">
        <w:rPr>
          <w:rFonts w:eastAsia="Calibri"/>
          <w:lang w:val="en-US"/>
        </w:rPr>
        <w:t xml:space="preserve">In alignment with the EU's common priority of Social and Economic resilience and respectively aiming at the social protection and inclusion of refugees and migrants, as well as gender equality, the reform </w:t>
      </w:r>
      <w:r w:rsidRPr="00920844">
        <w:rPr>
          <w:rFonts w:eastAsia="Calibri"/>
          <w:b/>
          <w:lang w:val="en-US"/>
        </w:rPr>
        <w:t xml:space="preserve">'One Step Forward' </w:t>
      </w:r>
      <w:r w:rsidRPr="00920844">
        <w:rPr>
          <w:rFonts w:eastAsia="Calibri"/>
          <w:lang w:val="en-US"/>
        </w:rPr>
        <w:t xml:space="preserve">reflects a strategic effort to offer safe housing and protection to women with major traumatic experiences, who are at risk of abuse, marginalization and exploitation by organized crime. Notably, the new Centre provides psychosocial assistance and counseling, support, language tuition, social orientation and creative employment, as well as legal counseling, following good practices, as regards reception and integration into Greek society. The reform will be held until 31 March 2025.  </w:t>
      </w:r>
    </w:p>
    <w:p w14:paraId="72A625AE" w14:textId="77777777" w:rsidR="005D4AB0" w:rsidRPr="00920844" w:rsidRDefault="005D4AB0" w:rsidP="00920844">
      <w:pPr>
        <w:rPr>
          <w:rFonts w:eastAsia="Calibri"/>
          <w:lang w:val="en-US"/>
        </w:rPr>
      </w:pPr>
      <w:r w:rsidRPr="00920844">
        <w:rPr>
          <w:rFonts w:eastAsia="Calibri"/>
          <w:lang w:val="en-US"/>
        </w:rPr>
        <w:t xml:space="preserve">Furthermore, in line with the priority of Social and Economic resilience, as regards the protection and social inclusion of </w:t>
      </w:r>
      <w:r w:rsidRPr="00920844">
        <w:rPr>
          <w:rFonts w:eastAsia="Calibri"/>
          <w:b/>
          <w:lang w:val="en-US"/>
        </w:rPr>
        <w:t>unaccompanied minors</w:t>
      </w:r>
      <w:r w:rsidRPr="00920844">
        <w:rPr>
          <w:rFonts w:eastAsia="Calibri"/>
          <w:lang w:val="en-US"/>
        </w:rPr>
        <w:t xml:space="preserve"> and support to children, Greece has introduced a major reform to enhance the effectiveness of the existing System for the Protection of Unaccompanied Minors through the creation of an </w:t>
      </w:r>
      <w:r w:rsidRPr="00920844">
        <w:rPr>
          <w:rFonts w:eastAsia="Calibri"/>
          <w:b/>
          <w:lang w:val="en-US"/>
        </w:rPr>
        <w:t xml:space="preserve">integrated complementary mechanism -“COMPASS-COMPlementAry Mechanism (PYXIDA)”. </w:t>
      </w:r>
      <w:r w:rsidRPr="00920844">
        <w:rPr>
          <w:rFonts w:eastAsia="Calibri"/>
          <w:lang w:val="en-US"/>
        </w:rPr>
        <w:t xml:space="preserve">The overall goal is to meet the needs and structural deficiencies identified during the implementation of the relevant National Strategy. The action includes, among other initiatives, the Operation of Day Centers in 5 cities which provide specialized mental health services to support approximately 3.000 UAMs and 500 UAMs recently turned into adults (18 – 21 years old), transport and escort services to unaccompanied children with medical needs and clinical supervision – psychological support to 1.742 </w:t>
      </w:r>
      <w:r w:rsidRPr="00920844">
        <w:rPr>
          <w:rFonts w:eastAsia="Calibri"/>
          <w:lang w:val="en-US"/>
        </w:rPr>
        <w:lastRenderedPageBreak/>
        <w:t xml:space="preserve">professionals in the field (staff members and guardianship mandated persons).The reform is financed by MFF and shall be completed by 31 December 2027. In parallel, an innovative initiative that promotes the </w:t>
      </w:r>
      <w:r w:rsidRPr="00920844">
        <w:rPr>
          <w:rFonts w:eastAsia="Calibri"/>
          <w:b/>
          <w:lang w:val="en-US"/>
        </w:rPr>
        <w:t>"Social Integration of Former Unaccompanied Minors in Greece" (Helios Junior)</w:t>
      </w:r>
      <w:r w:rsidRPr="00920844">
        <w:rPr>
          <w:rFonts w:eastAsia="Calibri"/>
          <w:lang w:val="en-US"/>
        </w:rPr>
        <w:t xml:space="preserve"> aims to shelter and create a customized integration pathway for around 2,000 young adults, who were previously unaccompanied minors so as to facilitate their transition to independent living and their integration into the labor market. This reform not only addresses the EU's common priority ‘Social and Economic resilience’, but also reflects a strategic effort to enhance vocational education and training as well as improving skills. The implementation of the reform is expected to be completed by 2027.</w:t>
      </w:r>
    </w:p>
    <w:p w14:paraId="6B00682A" w14:textId="77777777" w:rsidR="005D4AB0" w:rsidRPr="00920844" w:rsidRDefault="005D4AB0" w:rsidP="00920844">
      <w:pPr>
        <w:rPr>
          <w:rFonts w:eastAsia="Calibri"/>
          <w:lang w:val="en-US"/>
        </w:rPr>
      </w:pPr>
      <w:r w:rsidRPr="00920844">
        <w:rPr>
          <w:rFonts w:eastAsia="Calibri"/>
          <w:lang w:val="en-US"/>
        </w:rPr>
        <w:t xml:space="preserve">Recognizing the vital need for adequate and equal access to healthcare in the context of the European priority of Social and Economic resilience (healthcare), the reform </w:t>
      </w:r>
      <w:r w:rsidRPr="00920844">
        <w:rPr>
          <w:rFonts w:eastAsia="Calibri"/>
          <w:b/>
          <w:lang w:val="en-US"/>
        </w:rPr>
        <w:t>Project “Hippocrates” (I &amp;II)</w:t>
      </w:r>
      <w:r w:rsidRPr="00920844">
        <w:rPr>
          <w:rFonts w:eastAsia="Calibri"/>
          <w:lang w:val="en-US"/>
        </w:rPr>
        <w:t xml:space="preserve"> is specifically developed in order to provide primary medical health services, epidemiological surveillance and psychosocial services to asylum seekers residing in state accommodation facilities, in accordance with the provisions of the Directive on reception conditions (2013/33/EU). In this respect, the project also aims to achieve early detection of infectious diseases, ensuring a prompt public health preparedness based on response protocols. The project is funded by MFF/AMIF until 2026.</w:t>
      </w:r>
    </w:p>
    <w:p w14:paraId="09A8F917" w14:textId="77777777" w:rsidR="005D4AB0" w:rsidRPr="00920844" w:rsidRDefault="005D4AB0" w:rsidP="00920844">
      <w:pPr>
        <w:rPr>
          <w:rFonts w:eastAsia="Calibri"/>
          <w:lang w:val="en-US"/>
        </w:rPr>
      </w:pPr>
      <w:r w:rsidRPr="00920844">
        <w:rPr>
          <w:rFonts w:eastAsia="Calibri"/>
          <w:lang w:val="en-US"/>
        </w:rPr>
        <w:t>Likewise the objective of the RRF reform “</w:t>
      </w:r>
      <w:r w:rsidRPr="00920844">
        <w:rPr>
          <w:rFonts w:eastAsia="Calibri"/>
          <w:b/>
          <w:lang w:val="en-US"/>
        </w:rPr>
        <w:t>Promote integration of the refugee population into the labour market</w:t>
      </w:r>
      <w:r w:rsidRPr="00920844">
        <w:rPr>
          <w:rFonts w:eastAsia="Calibri"/>
          <w:lang w:val="en-US"/>
        </w:rPr>
        <w:t>” is to support sustainable integration of third country nationals (TCN’s) in the labour market as a key to ensure their effective inclusion in the host societies, in line with the EU’s common priorities of Social and Economic resilience, as regards both “social protection and inclusion” and “equal opportunities and access to the labour market”. Moreover, it directly applies to the Country Specific Recommendations concerning employability and skills, whereas the main goal of this initiative is the completion of traineeship programs in firms for at least 8,000 TCN’s. Traineeships shall support refugees in their effort to acquire work experience and facilitate their subsequent integration into the labour market, while a flexible, lasting and tailored to the needs of beneficiaries and enterprises, mechanism of job integration, will be developed. The project is complementary to other EU funded projects and is expected to be completed by 2026.</w:t>
      </w:r>
    </w:p>
    <w:p w14:paraId="32689523" w14:textId="77777777" w:rsidR="005D4AB0" w:rsidRPr="00920844" w:rsidRDefault="005D4AB0" w:rsidP="00920844">
      <w:pPr>
        <w:rPr>
          <w:rFonts w:eastAsia="Calibri"/>
          <w:lang w:val="en-US"/>
        </w:rPr>
      </w:pPr>
      <w:bookmarkStart w:id="112" w:name="_heading=h.gjdgxs" w:colFirst="0" w:colLast="0"/>
      <w:bookmarkEnd w:id="112"/>
      <w:r w:rsidRPr="00920844">
        <w:rPr>
          <w:rFonts w:eastAsia="Calibri"/>
          <w:lang w:val="en-US"/>
        </w:rPr>
        <w:t xml:space="preserve">Additionally, aligned with the common priority of Social and Economic resilience and the core principles of the EU's Social Rights Pillar, the Ministry of Migration and Asylum plans to implement the </w:t>
      </w:r>
      <w:r w:rsidRPr="00920844">
        <w:rPr>
          <w:rFonts w:eastAsia="Calibri"/>
          <w:b/>
          <w:lang w:val="en-US"/>
        </w:rPr>
        <w:t>HELIOS+ project</w:t>
      </w:r>
      <w:r w:rsidRPr="00920844">
        <w:rPr>
          <w:rFonts w:eastAsia="Calibri"/>
          <w:lang w:val="en-US"/>
        </w:rPr>
        <w:t xml:space="preserve"> which addresses both “social protection and inclusion” and “equal opportunities and access to the labor market” </w:t>
      </w:r>
      <w:r w:rsidRPr="00920844">
        <w:rPr>
          <w:rFonts w:eastAsia="Calibri"/>
          <w:b/>
          <w:i/>
          <w:iCs/>
          <w:lang w:val="en-US"/>
        </w:rPr>
        <w:t>(a new action compared to NRP submitted in Spring 2024)</w:t>
      </w:r>
      <w:r w:rsidRPr="00920844">
        <w:rPr>
          <w:rFonts w:eastAsia="Calibri"/>
          <w:lang w:val="en-US"/>
        </w:rPr>
        <w:t xml:space="preserve">. Moreover, it addresses the Country Specific Recommendations concerning employability and skills. The HELIOS+ Project aims to promote the socio-economic integration of beneficiaries of international and temporary protection into the Greek society and the Greek </w:t>
      </w:r>
      <w:r w:rsidRPr="00920844">
        <w:rPr>
          <w:rFonts w:eastAsia="Calibri"/>
          <w:lang w:val="en-US"/>
        </w:rPr>
        <w:lastRenderedPageBreak/>
        <w:t>labor market. To effectively address the specific needs of both the beneficiaries and the local communities in which they live, HELIOS+ will be implemented across all 13 regions of Greece, and is co-financed by the European Social Fund+ under the Regional Programs for the 2021-2027 programming period and it is expected to finish by the end of 2027.  The implementation incorporates tailored services to enhance beneficiaries' access to the labor market through career counseling, vocational training, and support at various stages of integration. The abovementioned services also include fostering community interactions, enabling independent access to social and public services, strengthening independent living through Greek language courses, providing housing support and empowering host communities and stakeholders to promote social and economic integration.</w:t>
      </w:r>
    </w:p>
    <w:p w14:paraId="712E38E0" w14:textId="77777777" w:rsidR="005D4AB0" w:rsidRPr="00920844" w:rsidRDefault="005D4AB0" w:rsidP="00920844">
      <w:pPr>
        <w:rPr>
          <w:rFonts w:eastAsia="Calibri"/>
          <w:lang w:val="en-US"/>
        </w:rPr>
      </w:pPr>
      <w:r w:rsidRPr="00920844">
        <w:rPr>
          <w:rFonts w:eastAsia="Calibri"/>
          <w:lang w:val="en-US"/>
        </w:rPr>
        <w:t xml:space="preserve">In compliance with the EU's common priority of digital transition and the Country Specific Recommendations, as regards digitalization, efficient and effective administration processes in migration management, the representative reforms involve the implementation of the RRF investment </w:t>
      </w:r>
      <w:r w:rsidRPr="00920844">
        <w:rPr>
          <w:rFonts w:eastAsia="Calibri"/>
          <w:b/>
          <w:lang w:val="en-US"/>
        </w:rPr>
        <w:t>“Digital Transformation of the Immigration and Asylum System”</w:t>
      </w:r>
      <w:r w:rsidRPr="00920844">
        <w:rPr>
          <w:rFonts w:eastAsia="Calibri"/>
          <w:lang w:val="en-US"/>
        </w:rPr>
        <w:t xml:space="preserve"> including </w:t>
      </w:r>
      <w:r w:rsidRPr="00920844">
        <w:rPr>
          <w:rFonts w:eastAsia="Calibri"/>
          <w:b/>
          <w:lang w:val="en-US"/>
        </w:rPr>
        <w:t>the digitization of archives</w:t>
      </w:r>
      <w:r w:rsidRPr="00920844">
        <w:rPr>
          <w:rFonts w:eastAsia="Calibri"/>
          <w:lang w:val="en-US"/>
        </w:rPr>
        <w:t xml:space="preserve"> and shall result in significantly better quality of services. Specifically, through the digitization of the migration and asylum system, the following critical issues will be addressed: 1) Unified management of the whole life cycle of the procedures related to refugee flows, from the First Reception to the completion of the examination of an Asylum case, 2) Integrated collection of information in real time by all involved authorities, 3) Identification of persons entering the country, through procedures involving the receipt of biometric data and Verification via the Eurodac System, and 4) A Web &amp; mobile app to interact and communicate and provide information to the asylum seekers.. Furthermore, the digitization of archives and related services as regards individual files of Third Country citizens and their integration in the relevant IT systems, will improve case processing times, reduce administrative burdens and increase human resource efficiency, while minimizing the risk of document loss and ensuring the protection of sensitive personal data. The project is expected to be completed by the end of 2025.</w:t>
      </w:r>
    </w:p>
    <w:p w14:paraId="1548EF6D" w14:textId="77777777" w:rsidR="005D4AB0" w:rsidRPr="00920844" w:rsidRDefault="005D4AB0" w:rsidP="00920844">
      <w:pPr>
        <w:rPr>
          <w:rFonts w:eastAsia="Calibri"/>
          <w:lang w:val="en-US"/>
        </w:rPr>
      </w:pPr>
      <w:r w:rsidRPr="00920844">
        <w:rPr>
          <w:rFonts w:eastAsia="Calibri"/>
          <w:lang w:val="en-US"/>
        </w:rPr>
        <w:t xml:space="preserve">Finally, the RRF investment </w:t>
      </w:r>
      <w:r w:rsidRPr="00920844">
        <w:rPr>
          <w:rFonts w:eastAsia="Calibri"/>
          <w:b/>
          <w:lang w:val="en-US"/>
        </w:rPr>
        <w:t>“Creation of an integrated fire detection and warning system in the forest area of Vastria Lesvos</w:t>
      </w:r>
      <w:r w:rsidRPr="00920844">
        <w:rPr>
          <w:rFonts w:eastAsia="Calibri"/>
          <w:lang w:val="en-US"/>
        </w:rPr>
        <w:t>”, represents a subproject of the greater investment “Digitalisation of the migration and asylum system”, addressing the critical need to create an integrated fire detection and early warning system in the forest area of Vastria in Lesvos, that will host a Reception and Identification Center (Controlled Access Center) for asylum seekers. The implementation of the investment is expected to be completed by 2025.</w:t>
      </w:r>
    </w:p>
    <w:p w14:paraId="178B755F" w14:textId="77777777" w:rsidR="002E2131" w:rsidRPr="00920844" w:rsidRDefault="002E2131" w:rsidP="00987A40">
      <w:pPr>
        <w:spacing w:after="160" w:line="259" w:lineRule="auto"/>
        <w:rPr>
          <w:rFonts w:ascii="Calibri" w:eastAsia="Calibri" w:hAnsi="Calibri" w:cs="Calibri"/>
          <w:lang w:val="en-US"/>
        </w:rPr>
      </w:pPr>
    </w:p>
    <w:p w14:paraId="3FC031F3" w14:textId="3F465110" w:rsidR="00987A40" w:rsidRPr="000D4DE6" w:rsidRDefault="00FA3F19" w:rsidP="00C33755">
      <w:pPr>
        <w:pStyle w:val="Heading2"/>
        <w:pBdr>
          <w:bottom w:val="single" w:sz="18" w:space="1" w:color="FF3300"/>
        </w:pBdr>
        <w:rPr>
          <w:lang w:val="en-US"/>
        </w:rPr>
      </w:pPr>
      <w:bookmarkStart w:id="113" w:name="_Toc177496814"/>
      <w:bookmarkStart w:id="114" w:name="_Toc178070116"/>
      <w:r>
        <w:rPr>
          <w:lang w:val="en-US"/>
        </w:rPr>
        <w:lastRenderedPageBreak/>
        <w:t>M</w:t>
      </w:r>
      <w:r w:rsidRPr="000D4DE6">
        <w:rPr>
          <w:lang w:val="en-US"/>
        </w:rPr>
        <w:t xml:space="preserve">inistry of </w:t>
      </w:r>
      <w:r>
        <w:rPr>
          <w:lang w:val="en-US"/>
        </w:rPr>
        <w:t>S</w:t>
      </w:r>
      <w:r w:rsidRPr="000D4DE6">
        <w:rPr>
          <w:lang w:val="en-US"/>
        </w:rPr>
        <w:t xml:space="preserve">ocial </w:t>
      </w:r>
      <w:r>
        <w:rPr>
          <w:lang w:val="en-US"/>
        </w:rPr>
        <w:t>C</w:t>
      </w:r>
      <w:r w:rsidRPr="000D4DE6">
        <w:rPr>
          <w:lang w:val="en-US"/>
        </w:rPr>
        <w:t xml:space="preserve">ohesion and </w:t>
      </w:r>
      <w:r>
        <w:rPr>
          <w:lang w:val="en-US"/>
        </w:rPr>
        <w:t>F</w:t>
      </w:r>
      <w:r w:rsidRPr="000D4DE6">
        <w:rPr>
          <w:lang w:val="en-US"/>
        </w:rPr>
        <w:t xml:space="preserve">amily </w:t>
      </w:r>
      <w:bookmarkEnd w:id="113"/>
      <w:r>
        <w:rPr>
          <w:lang w:val="en-US"/>
        </w:rPr>
        <w:t>A</w:t>
      </w:r>
      <w:r w:rsidRPr="000D4DE6">
        <w:rPr>
          <w:lang w:val="en-US"/>
        </w:rPr>
        <w:t>ffairs</w:t>
      </w:r>
      <w:bookmarkEnd w:id="114"/>
    </w:p>
    <w:p w14:paraId="71E3830A" w14:textId="2A15DA6D" w:rsidR="008A627E" w:rsidRDefault="008A627E" w:rsidP="003B0199">
      <w:pPr>
        <w:rPr>
          <w:rFonts w:eastAsia="Calibri"/>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2862"/>
        <w:gridCol w:w="1564"/>
        <w:gridCol w:w="2031"/>
        <w:gridCol w:w="2615"/>
      </w:tblGrid>
      <w:tr w:rsidR="00C61056" w:rsidRPr="00EE72AB" w14:paraId="212969F4" w14:textId="77777777" w:rsidTr="00EE72AB">
        <w:trPr>
          <w:trHeight w:val="113"/>
          <w:jc w:val="center"/>
        </w:trPr>
        <w:tc>
          <w:tcPr>
            <w:tcW w:w="2940" w:type="dxa"/>
            <w:shd w:val="clear" w:color="auto" w:fill="CFE2F3"/>
            <w:tcMar>
              <w:top w:w="0" w:type="dxa"/>
              <w:left w:w="40" w:type="dxa"/>
              <w:bottom w:w="0" w:type="dxa"/>
              <w:right w:w="40" w:type="dxa"/>
            </w:tcMar>
          </w:tcPr>
          <w:p w14:paraId="051B6C6F" w14:textId="77777777" w:rsidR="00C61056" w:rsidRPr="00EE72AB" w:rsidRDefault="00C61056" w:rsidP="00EE72AB">
            <w:pPr>
              <w:pStyle w:val="Tabletext"/>
              <w:rPr>
                <w:rFonts w:eastAsia="Calibri"/>
                <w:b/>
              </w:rPr>
            </w:pPr>
            <w:r w:rsidRPr="00EE72AB">
              <w:rPr>
                <w:rFonts w:eastAsia="Calibri"/>
                <w:b/>
              </w:rPr>
              <w:t>REFORM / INVESTMENT</w:t>
            </w:r>
          </w:p>
        </w:tc>
        <w:tc>
          <w:tcPr>
            <w:tcW w:w="1605" w:type="dxa"/>
            <w:shd w:val="clear" w:color="auto" w:fill="CFE2F3"/>
            <w:tcMar>
              <w:top w:w="0" w:type="dxa"/>
              <w:left w:w="40" w:type="dxa"/>
              <w:bottom w:w="0" w:type="dxa"/>
              <w:right w:w="40" w:type="dxa"/>
            </w:tcMar>
          </w:tcPr>
          <w:p w14:paraId="081B8AE9" w14:textId="77777777" w:rsidR="00C61056" w:rsidRPr="00EE72AB" w:rsidRDefault="00C61056" w:rsidP="00EE72AB">
            <w:pPr>
              <w:pStyle w:val="Tabletext"/>
              <w:rPr>
                <w:rFonts w:eastAsia="Calibri"/>
                <w:b/>
              </w:rPr>
            </w:pPr>
            <w:r w:rsidRPr="00EE72AB">
              <w:rPr>
                <w:rFonts w:eastAsia="Calibri"/>
                <w:b/>
              </w:rPr>
              <w:t>RRF / MFF</w:t>
            </w:r>
          </w:p>
        </w:tc>
        <w:tc>
          <w:tcPr>
            <w:tcW w:w="2085" w:type="dxa"/>
            <w:shd w:val="clear" w:color="auto" w:fill="CFE2F3"/>
            <w:tcMar>
              <w:top w:w="0" w:type="dxa"/>
              <w:left w:w="40" w:type="dxa"/>
              <w:bottom w:w="0" w:type="dxa"/>
              <w:right w:w="40" w:type="dxa"/>
            </w:tcMar>
          </w:tcPr>
          <w:p w14:paraId="23ACC30B" w14:textId="77777777" w:rsidR="00C61056" w:rsidRPr="00EE72AB" w:rsidRDefault="00C61056" w:rsidP="00EE72AB">
            <w:pPr>
              <w:pStyle w:val="Tabletext"/>
              <w:rPr>
                <w:rFonts w:eastAsia="Calibri"/>
                <w:b/>
              </w:rPr>
            </w:pPr>
            <w:r w:rsidRPr="00EE72AB">
              <w:rPr>
                <w:rFonts w:eastAsia="Calibri"/>
                <w:b/>
              </w:rPr>
              <w:t>CSR</w:t>
            </w:r>
          </w:p>
        </w:tc>
        <w:tc>
          <w:tcPr>
            <w:tcW w:w="2685" w:type="dxa"/>
            <w:shd w:val="clear" w:color="auto" w:fill="CFE2F3"/>
            <w:tcMar>
              <w:top w:w="0" w:type="dxa"/>
              <w:left w:w="40" w:type="dxa"/>
              <w:bottom w:w="0" w:type="dxa"/>
              <w:right w:w="40" w:type="dxa"/>
            </w:tcMar>
          </w:tcPr>
          <w:p w14:paraId="35C351E4" w14:textId="77777777" w:rsidR="00C61056" w:rsidRPr="00EE72AB" w:rsidRDefault="00C61056" w:rsidP="00EE72AB">
            <w:pPr>
              <w:pStyle w:val="Tabletext"/>
              <w:rPr>
                <w:rFonts w:eastAsia="Calibri"/>
                <w:b/>
              </w:rPr>
            </w:pPr>
            <w:r w:rsidRPr="00EE72AB">
              <w:rPr>
                <w:rFonts w:eastAsia="Calibri"/>
                <w:b/>
              </w:rPr>
              <w:t>COMMON PRIORITIES</w:t>
            </w:r>
          </w:p>
        </w:tc>
      </w:tr>
      <w:tr w:rsidR="00C61056" w:rsidRPr="00EE72AB" w14:paraId="61B7C209" w14:textId="77777777" w:rsidTr="00EE72AB">
        <w:trPr>
          <w:trHeight w:val="113"/>
          <w:jc w:val="center"/>
        </w:trPr>
        <w:tc>
          <w:tcPr>
            <w:tcW w:w="2940" w:type="dxa"/>
            <w:tcMar>
              <w:top w:w="0" w:type="dxa"/>
              <w:left w:w="40" w:type="dxa"/>
              <w:bottom w:w="0" w:type="dxa"/>
              <w:right w:w="40" w:type="dxa"/>
            </w:tcMar>
          </w:tcPr>
          <w:p w14:paraId="4CD26C1D" w14:textId="10F2A181" w:rsidR="00C61056" w:rsidRPr="00EE72AB" w:rsidRDefault="00BA03C0" w:rsidP="00EE72AB">
            <w:pPr>
              <w:pStyle w:val="Tabletext"/>
              <w:rPr>
                <w:rFonts w:eastAsia="Calibri"/>
              </w:rPr>
            </w:pPr>
            <w:r w:rsidRPr="00BA03C0">
              <w:rPr>
                <w:rFonts w:eastAsia="Calibri"/>
                <w:b/>
              </w:rPr>
              <w:t>REFORM 1:</w:t>
            </w:r>
            <w:r w:rsidR="00C61056" w:rsidRPr="00EE72AB">
              <w:rPr>
                <w:rFonts w:eastAsia="Calibri"/>
              </w:rPr>
              <w:t xml:space="preserve"> Child Protection</w:t>
            </w:r>
          </w:p>
        </w:tc>
        <w:tc>
          <w:tcPr>
            <w:tcW w:w="1605" w:type="dxa"/>
            <w:tcMar>
              <w:top w:w="0" w:type="dxa"/>
              <w:left w:w="40" w:type="dxa"/>
              <w:bottom w:w="0" w:type="dxa"/>
              <w:right w:w="40" w:type="dxa"/>
            </w:tcMar>
          </w:tcPr>
          <w:p w14:paraId="3F8A7066" w14:textId="77777777" w:rsidR="00C61056" w:rsidRPr="00EE72AB" w:rsidRDefault="00C61056" w:rsidP="00EE72AB">
            <w:pPr>
              <w:pStyle w:val="Tabletext"/>
              <w:rPr>
                <w:rFonts w:eastAsia="Calibri"/>
              </w:rPr>
            </w:pPr>
            <w:r w:rsidRPr="00EE72AB">
              <w:rPr>
                <w:rFonts w:eastAsia="Calibri"/>
              </w:rPr>
              <w:t>RRF 16919</w:t>
            </w:r>
          </w:p>
        </w:tc>
        <w:tc>
          <w:tcPr>
            <w:tcW w:w="2085" w:type="dxa"/>
            <w:tcMar>
              <w:top w:w="0" w:type="dxa"/>
              <w:left w:w="40" w:type="dxa"/>
              <w:bottom w:w="0" w:type="dxa"/>
              <w:right w:w="40" w:type="dxa"/>
            </w:tcMar>
          </w:tcPr>
          <w:p w14:paraId="3D06C70E" w14:textId="77777777" w:rsidR="00C61056" w:rsidRPr="00EE72AB" w:rsidRDefault="00C61056" w:rsidP="00EE72AB">
            <w:pPr>
              <w:pStyle w:val="Tabletext"/>
              <w:rPr>
                <w:rFonts w:eastAsia="Calibri"/>
              </w:rPr>
            </w:pPr>
            <w:r w:rsidRPr="00EE72AB">
              <w:rPr>
                <w:rFonts w:eastAsia="Calibri"/>
              </w:rPr>
              <w:t>2024.CSR2.1</w:t>
            </w:r>
          </w:p>
          <w:p w14:paraId="480F414C" w14:textId="590AFEA7" w:rsidR="00C61056" w:rsidRPr="00EE72AB" w:rsidRDefault="00C61056" w:rsidP="00EE72AB">
            <w:pPr>
              <w:pStyle w:val="Tabletext"/>
              <w:rPr>
                <w:rFonts w:eastAsia="Calibri"/>
              </w:rPr>
            </w:pPr>
            <w:r w:rsidRPr="00EE72AB">
              <w:rPr>
                <w:rFonts w:eastAsia="Calibri"/>
              </w:rPr>
              <w:t>2020.CSR2.2</w:t>
            </w:r>
            <w:r w:rsidRPr="00EE72AB">
              <w:rPr>
                <w:rFonts w:eastAsia="Calibri"/>
              </w:rPr>
              <w:br/>
              <w:t>2019.CSR2.5</w:t>
            </w:r>
            <w:r w:rsidRPr="00EE72AB">
              <w:rPr>
                <w:rFonts w:eastAsia="Calibri"/>
              </w:rPr>
              <w:br/>
              <w:t>2019.CSR2.7</w:t>
            </w:r>
          </w:p>
        </w:tc>
        <w:tc>
          <w:tcPr>
            <w:tcW w:w="2685" w:type="dxa"/>
            <w:tcMar>
              <w:top w:w="0" w:type="dxa"/>
              <w:left w:w="40" w:type="dxa"/>
              <w:bottom w:w="0" w:type="dxa"/>
              <w:right w:w="40" w:type="dxa"/>
            </w:tcMar>
          </w:tcPr>
          <w:p w14:paraId="0C48D8F4"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1E9A1361" w14:textId="77777777" w:rsidTr="00EE72AB">
        <w:trPr>
          <w:trHeight w:val="113"/>
          <w:jc w:val="center"/>
        </w:trPr>
        <w:tc>
          <w:tcPr>
            <w:tcW w:w="2940" w:type="dxa"/>
            <w:tcMar>
              <w:top w:w="0" w:type="dxa"/>
              <w:left w:w="40" w:type="dxa"/>
              <w:bottom w:w="0" w:type="dxa"/>
              <w:right w:w="40" w:type="dxa"/>
            </w:tcMar>
          </w:tcPr>
          <w:p w14:paraId="619BB25A" w14:textId="43751037" w:rsidR="00C61056" w:rsidRPr="00EE72AB" w:rsidRDefault="00BA03C0" w:rsidP="00EE72AB">
            <w:pPr>
              <w:pStyle w:val="Tabletext"/>
              <w:rPr>
                <w:rFonts w:eastAsia="Calibri"/>
              </w:rPr>
            </w:pPr>
            <w:r w:rsidRPr="00BA03C0">
              <w:rPr>
                <w:rFonts w:eastAsia="Calibri"/>
                <w:b/>
              </w:rPr>
              <w:t>REFORM 2:</w:t>
            </w:r>
            <w:r w:rsidR="00C61056" w:rsidRPr="00EE72AB">
              <w:rPr>
                <w:rFonts w:eastAsia="Calibri"/>
              </w:rPr>
              <w:t xml:space="preserve"> Disability</w:t>
            </w:r>
          </w:p>
        </w:tc>
        <w:tc>
          <w:tcPr>
            <w:tcW w:w="1605" w:type="dxa"/>
            <w:tcMar>
              <w:top w:w="0" w:type="dxa"/>
              <w:left w:w="40" w:type="dxa"/>
              <w:bottom w:w="0" w:type="dxa"/>
              <w:right w:w="40" w:type="dxa"/>
            </w:tcMar>
          </w:tcPr>
          <w:p w14:paraId="2D1613CB" w14:textId="77777777" w:rsidR="00C61056" w:rsidRPr="00EE72AB" w:rsidRDefault="00C61056" w:rsidP="00EE72AB">
            <w:pPr>
              <w:pStyle w:val="Tabletext"/>
              <w:rPr>
                <w:rFonts w:eastAsia="Calibri"/>
              </w:rPr>
            </w:pPr>
            <w:r w:rsidRPr="00EE72AB">
              <w:rPr>
                <w:rFonts w:eastAsia="Calibri"/>
              </w:rPr>
              <w:t>RRF 16904</w:t>
            </w:r>
          </w:p>
        </w:tc>
        <w:tc>
          <w:tcPr>
            <w:tcW w:w="2085" w:type="dxa"/>
            <w:tcMar>
              <w:top w:w="0" w:type="dxa"/>
              <w:left w:w="40" w:type="dxa"/>
              <w:bottom w:w="0" w:type="dxa"/>
              <w:right w:w="40" w:type="dxa"/>
            </w:tcMar>
          </w:tcPr>
          <w:p w14:paraId="43021834" w14:textId="77777777" w:rsidR="00C61056" w:rsidRPr="00EE72AB" w:rsidRDefault="00C61056" w:rsidP="00EE72AB">
            <w:pPr>
              <w:pStyle w:val="Tabletext"/>
              <w:rPr>
                <w:rFonts w:eastAsia="Calibri"/>
              </w:rPr>
            </w:pPr>
            <w:r w:rsidRPr="00EE72AB">
              <w:rPr>
                <w:rFonts w:eastAsia="Calibri"/>
              </w:rPr>
              <w:t>2024.CSR2.1</w:t>
            </w:r>
          </w:p>
          <w:p w14:paraId="42676B57" w14:textId="77777777" w:rsidR="00C61056" w:rsidRPr="00EE72AB" w:rsidRDefault="00C61056" w:rsidP="00EE72AB">
            <w:pPr>
              <w:pStyle w:val="Tabletext"/>
              <w:rPr>
                <w:rFonts w:eastAsia="Calibri"/>
              </w:rPr>
            </w:pPr>
            <w:r w:rsidRPr="00EE72AB">
              <w:rPr>
                <w:rFonts w:eastAsia="Calibri"/>
              </w:rPr>
              <w:t>2020.CSR2.2</w:t>
            </w:r>
            <w:r w:rsidRPr="00EE72AB">
              <w:rPr>
                <w:rFonts w:eastAsia="Calibri"/>
              </w:rPr>
              <w:br/>
              <w:t>2019.CSR2.7</w:t>
            </w:r>
          </w:p>
        </w:tc>
        <w:tc>
          <w:tcPr>
            <w:tcW w:w="2685" w:type="dxa"/>
            <w:tcMar>
              <w:top w:w="0" w:type="dxa"/>
              <w:left w:w="40" w:type="dxa"/>
              <w:bottom w:w="0" w:type="dxa"/>
              <w:right w:w="40" w:type="dxa"/>
            </w:tcMar>
          </w:tcPr>
          <w:p w14:paraId="148DCA64"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2F7C159F" w14:textId="77777777" w:rsidTr="00EE72AB">
        <w:trPr>
          <w:trHeight w:val="113"/>
          <w:jc w:val="center"/>
        </w:trPr>
        <w:tc>
          <w:tcPr>
            <w:tcW w:w="2940" w:type="dxa"/>
            <w:tcMar>
              <w:top w:w="0" w:type="dxa"/>
              <w:left w:w="40" w:type="dxa"/>
              <w:bottom w:w="0" w:type="dxa"/>
              <w:right w:w="40" w:type="dxa"/>
            </w:tcMar>
          </w:tcPr>
          <w:p w14:paraId="17E63ACB" w14:textId="59D44E0B" w:rsidR="00C61056" w:rsidRPr="00EE72AB" w:rsidRDefault="00BA03C0" w:rsidP="00EE72AB">
            <w:pPr>
              <w:pStyle w:val="Tabletext"/>
              <w:rPr>
                <w:rFonts w:eastAsia="Calibri"/>
              </w:rPr>
            </w:pPr>
            <w:r w:rsidRPr="00BA03C0">
              <w:rPr>
                <w:rFonts w:eastAsia="Calibri"/>
                <w:b/>
              </w:rPr>
              <w:t>REFORM 3:</w:t>
            </w:r>
            <w:r w:rsidR="00C61056" w:rsidRPr="00EE72AB">
              <w:rPr>
                <w:rFonts w:eastAsia="Calibri"/>
              </w:rPr>
              <w:t xml:space="preserve"> Social Benefits framework revision</w:t>
            </w:r>
          </w:p>
        </w:tc>
        <w:tc>
          <w:tcPr>
            <w:tcW w:w="1605" w:type="dxa"/>
            <w:tcMar>
              <w:top w:w="0" w:type="dxa"/>
              <w:left w:w="40" w:type="dxa"/>
              <w:bottom w:w="0" w:type="dxa"/>
              <w:right w:w="40" w:type="dxa"/>
            </w:tcMar>
          </w:tcPr>
          <w:p w14:paraId="766A4D51" w14:textId="77777777" w:rsidR="00C61056" w:rsidRPr="00EE72AB" w:rsidRDefault="00C61056" w:rsidP="00EE72AB">
            <w:pPr>
              <w:pStyle w:val="Tabletext"/>
              <w:rPr>
                <w:rFonts w:eastAsia="Calibri"/>
              </w:rPr>
            </w:pPr>
            <w:r w:rsidRPr="00EE72AB">
              <w:rPr>
                <w:rFonts w:eastAsia="Calibri"/>
              </w:rPr>
              <w:t>-</w:t>
            </w:r>
          </w:p>
        </w:tc>
        <w:tc>
          <w:tcPr>
            <w:tcW w:w="2085" w:type="dxa"/>
            <w:tcMar>
              <w:top w:w="0" w:type="dxa"/>
              <w:left w:w="40" w:type="dxa"/>
              <w:bottom w:w="0" w:type="dxa"/>
              <w:right w:w="40" w:type="dxa"/>
            </w:tcMar>
          </w:tcPr>
          <w:p w14:paraId="672518E1" w14:textId="77777777" w:rsidR="00C61056" w:rsidRPr="00EE72AB" w:rsidRDefault="00C61056" w:rsidP="00EE72AB">
            <w:pPr>
              <w:pStyle w:val="Tabletext"/>
              <w:rPr>
                <w:rFonts w:eastAsia="Calibri"/>
              </w:rPr>
            </w:pPr>
            <w:r w:rsidRPr="00EE72AB">
              <w:rPr>
                <w:rFonts w:eastAsia="Calibri"/>
              </w:rPr>
              <w:t>2024.CSR1.3</w:t>
            </w:r>
          </w:p>
        </w:tc>
        <w:tc>
          <w:tcPr>
            <w:tcW w:w="2685" w:type="dxa"/>
            <w:tcMar>
              <w:top w:w="0" w:type="dxa"/>
              <w:left w:w="40" w:type="dxa"/>
              <w:bottom w:w="0" w:type="dxa"/>
              <w:right w:w="40" w:type="dxa"/>
            </w:tcMar>
          </w:tcPr>
          <w:p w14:paraId="153864B4"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06B3D29B" w14:textId="77777777" w:rsidTr="00EE72AB">
        <w:trPr>
          <w:trHeight w:val="113"/>
          <w:jc w:val="center"/>
        </w:trPr>
        <w:tc>
          <w:tcPr>
            <w:tcW w:w="2940" w:type="dxa"/>
            <w:tcMar>
              <w:top w:w="0" w:type="dxa"/>
              <w:left w:w="40" w:type="dxa"/>
              <w:bottom w:w="0" w:type="dxa"/>
              <w:right w:w="40" w:type="dxa"/>
            </w:tcMar>
          </w:tcPr>
          <w:p w14:paraId="4656527F" w14:textId="634AC09B" w:rsidR="00C61056" w:rsidRPr="00EE72AB" w:rsidRDefault="00BA03C0" w:rsidP="00EE72AB">
            <w:pPr>
              <w:pStyle w:val="Tabletext"/>
              <w:rPr>
                <w:rFonts w:eastAsia="Calibri"/>
              </w:rPr>
            </w:pPr>
            <w:r w:rsidRPr="00BA03C0">
              <w:rPr>
                <w:rFonts w:eastAsia="Calibri"/>
                <w:b/>
              </w:rPr>
              <w:t>REFORM 4:</w:t>
            </w:r>
            <w:r w:rsidR="00C61056" w:rsidRPr="00EE72AB">
              <w:rPr>
                <w:rFonts w:eastAsia="Calibri"/>
              </w:rPr>
              <w:t xml:space="preserve"> Social Benefits Optimization</w:t>
            </w:r>
          </w:p>
        </w:tc>
        <w:tc>
          <w:tcPr>
            <w:tcW w:w="1605" w:type="dxa"/>
            <w:tcMar>
              <w:top w:w="0" w:type="dxa"/>
              <w:left w:w="40" w:type="dxa"/>
              <w:bottom w:w="0" w:type="dxa"/>
              <w:right w:w="40" w:type="dxa"/>
            </w:tcMar>
          </w:tcPr>
          <w:p w14:paraId="78A7B4E4" w14:textId="77777777" w:rsidR="00C61056" w:rsidRPr="00EE72AB" w:rsidRDefault="00C61056" w:rsidP="00EE72AB">
            <w:pPr>
              <w:pStyle w:val="Tabletext"/>
              <w:rPr>
                <w:rFonts w:eastAsia="Calibri"/>
              </w:rPr>
            </w:pPr>
            <w:r w:rsidRPr="00EE72AB">
              <w:rPr>
                <w:rFonts w:eastAsia="Calibri"/>
              </w:rPr>
              <w:t>RRF 16726</w:t>
            </w:r>
          </w:p>
        </w:tc>
        <w:tc>
          <w:tcPr>
            <w:tcW w:w="2085" w:type="dxa"/>
            <w:tcMar>
              <w:top w:w="0" w:type="dxa"/>
              <w:left w:w="40" w:type="dxa"/>
              <w:bottom w:w="0" w:type="dxa"/>
              <w:right w:w="40" w:type="dxa"/>
            </w:tcMar>
          </w:tcPr>
          <w:p w14:paraId="54D3781A" w14:textId="77777777" w:rsidR="00C61056" w:rsidRPr="00EE72AB" w:rsidRDefault="00C61056" w:rsidP="00EE72AB">
            <w:pPr>
              <w:pStyle w:val="Tabletext"/>
              <w:rPr>
                <w:rFonts w:eastAsia="Calibri"/>
              </w:rPr>
            </w:pPr>
            <w:r w:rsidRPr="00EE72AB">
              <w:rPr>
                <w:rFonts w:eastAsia="Calibri"/>
              </w:rPr>
              <w:t>2024.CSR2.1</w:t>
            </w:r>
          </w:p>
          <w:p w14:paraId="4FB35F3A" w14:textId="77777777" w:rsidR="00C61056" w:rsidRPr="00EE72AB" w:rsidRDefault="00C61056" w:rsidP="00EE72AB">
            <w:pPr>
              <w:pStyle w:val="Tabletext"/>
              <w:rPr>
                <w:rFonts w:eastAsia="Calibri"/>
              </w:rPr>
            </w:pPr>
            <w:r w:rsidRPr="00EE72AB">
              <w:rPr>
                <w:rFonts w:eastAsia="Calibri"/>
              </w:rPr>
              <w:t>2020.CSR3.9</w:t>
            </w:r>
            <w:r w:rsidRPr="00EE72AB">
              <w:rPr>
                <w:rFonts w:eastAsia="Calibri"/>
              </w:rPr>
              <w:br/>
              <w:t>2019.CSR2.3</w:t>
            </w:r>
          </w:p>
        </w:tc>
        <w:tc>
          <w:tcPr>
            <w:tcW w:w="2685" w:type="dxa"/>
            <w:tcMar>
              <w:top w:w="0" w:type="dxa"/>
              <w:left w:w="40" w:type="dxa"/>
              <w:bottom w:w="0" w:type="dxa"/>
              <w:right w:w="40" w:type="dxa"/>
            </w:tcMar>
          </w:tcPr>
          <w:p w14:paraId="2F590F7C"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255267E8" w14:textId="77777777" w:rsidTr="00EE72AB">
        <w:trPr>
          <w:trHeight w:val="113"/>
          <w:jc w:val="center"/>
        </w:trPr>
        <w:tc>
          <w:tcPr>
            <w:tcW w:w="2940" w:type="dxa"/>
            <w:tcMar>
              <w:top w:w="0" w:type="dxa"/>
              <w:left w:w="40" w:type="dxa"/>
              <w:bottom w:w="0" w:type="dxa"/>
              <w:right w:w="40" w:type="dxa"/>
            </w:tcMar>
          </w:tcPr>
          <w:p w14:paraId="3BA32D85" w14:textId="7DD17079" w:rsidR="00C61056" w:rsidRPr="00EE72AB" w:rsidRDefault="00BA03C0" w:rsidP="00EE72AB">
            <w:pPr>
              <w:pStyle w:val="Tabletext"/>
              <w:rPr>
                <w:rFonts w:eastAsia="Calibri"/>
              </w:rPr>
            </w:pPr>
            <w:r w:rsidRPr="00BA03C0">
              <w:rPr>
                <w:rFonts w:eastAsia="Calibri"/>
                <w:b/>
              </w:rPr>
              <w:t>REFORM 5:</w:t>
            </w:r>
            <w:r w:rsidR="00C61056" w:rsidRPr="00EE72AB">
              <w:rPr>
                <w:rFonts w:eastAsia="Calibri"/>
              </w:rPr>
              <w:t xml:space="preserve"> New Housing policy</w:t>
            </w:r>
          </w:p>
        </w:tc>
        <w:tc>
          <w:tcPr>
            <w:tcW w:w="1605" w:type="dxa"/>
            <w:tcMar>
              <w:top w:w="0" w:type="dxa"/>
              <w:left w:w="40" w:type="dxa"/>
              <w:bottom w:w="0" w:type="dxa"/>
              <w:right w:w="40" w:type="dxa"/>
            </w:tcMar>
          </w:tcPr>
          <w:p w14:paraId="7E161D68" w14:textId="77777777" w:rsidR="00C61056" w:rsidRPr="00EE72AB" w:rsidRDefault="00C61056" w:rsidP="00EE72AB">
            <w:pPr>
              <w:pStyle w:val="Tabletext"/>
              <w:rPr>
                <w:rFonts w:eastAsia="Calibri"/>
              </w:rPr>
            </w:pPr>
            <w:r w:rsidRPr="00EE72AB">
              <w:rPr>
                <w:rFonts w:eastAsia="Calibri"/>
              </w:rPr>
              <w:t>-</w:t>
            </w:r>
          </w:p>
        </w:tc>
        <w:tc>
          <w:tcPr>
            <w:tcW w:w="2085" w:type="dxa"/>
            <w:tcMar>
              <w:top w:w="0" w:type="dxa"/>
              <w:left w:w="40" w:type="dxa"/>
              <w:bottom w:w="0" w:type="dxa"/>
              <w:right w:w="40" w:type="dxa"/>
            </w:tcMar>
          </w:tcPr>
          <w:p w14:paraId="317313AC" w14:textId="77777777" w:rsidR="00C61056" w:rsidRPr="00EE72AB" w:rsidRDefault="00C61056" w:rsidP="00EE72AB">
            <w:pPr>
              <w:pStyle w:val="Tabletext"/>
              <w:rPr>
                <w:rFonts w:eastAsia="Calibri"/>
              </w:rPr>
            </w:pPr>
            <w:r w:rsidRPr="00EE72AB">
              <w:rPr>
                <w:rFonts w:eastAsia="Calibri"/>
              </w:rPr>
              <w:t>2023.CSR.4</w:t>
            </w:r>
          </w:p>
          <w:p w14:paraId="26C66EC0" w14:textId="77777777" w:rsidR="00C61056" w:rsidRPr="00EE72AB" w:rsidRDefault="00C61056" w:rsidP="00EE72AB">
            <w:pPr>
              <w:pStyle w:val="Tabletext"/>
              <w:rPr>
                <w:rFonts w:eastAsia="Calibri"/>
              </w:rPr>
            </w:pPr>
            <w:r w:rsidRPr="00EE72AB">
              <w:rPr>
                <w:rFonts w:eastAsia="Calibri"/>
              </w:rPr>
              <w:t>2019.CSR2.9</w:t>
            </w:r>
          </w:p>
        </w:tc>
        <w:tc>
          <w:tcPr>
            <w:tcW w:w="2685" w:type="dxa"/>
            <w:tcMar>
              <w:top w:w="0" w:type="dxa"/>
              <w:left w:w="40" w:type="dxa"/>
              <w:bottom w:w="0" w:type="dxa"/>
              <w:right w:w="40" w:type="dxa"/>
            </w:tcMar>
          </w:tcPr>
          <w:p w14:paraId="2593773F"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14665571" w14:textId="77777777" w:rsidTr="00EE72AB">
        <w:trPr>
          <w:trHeight w:val="113"/>
          <w:jc w:val="center"/>
        </w:trPr>
        <w:tc>
          <w:tcPr>
            <w:tcW w:w="2940" w:type="dxa"/>
            <w:tcMar>
              <w:top w:w="0" w:type="dxa"/>
              <w:left w:w="40" w:type="dxa"/>
              <w:bottom w:w="0" w:type="dxa"/>
              <w:right w:w="40" w:type="dxa"/>
            </w:tcMar>
          </w:tcPr>
          <w:p w14:paraId="6568F5B6" w14:textId="0BE54562" w:rsidR="00C61056" w:rsidRPr="00EE72AB" w:rsidRDefault="00BA03C0" w:rsidP="00EE72AB">
            <w:pPr>
              <w:pStyle w:val="Tabletext"/>
              <w:rPr>
                <w:rFonts w:eastAsia="Calibri"/>
              </w:rPr>
            </w:pPr>
            <w:r w:rsidRPr="00BA03C0">
              <w:rPr>
                <w:rFonts w:eastAsia="Calibri"/>
                <w:b/>
              </w:rPr>
              <w:t>REFORM 6:</w:t>
            </w:r>
            <w:r w:rsidR="00C61056" w:rsidRPr="00EE72AB">
              <w:rPr>
                <w:rFonts w:eastAsia="Calibri"/>
              </w:rPr>
              <w:t xml:space="preserve"> Social Housing/ Antiparochi Program</w:t>
            </w:r>
          </w:p>
        </w:tc>
        <w:tc>
          <w:tcPr>
            <w:tcW w:w="1605" w:type="dxa"/>
            <w:tcMar>
              <w:top w:w="0" w:type="dxa"/>
              <w:left w:w="40" w:type="dxa"/>
              <w:bottom w:w="0" w:type="dxa"/>
              <w:right w:w="40" w:type="dxa"/>
            </w:tcMar>
          </w:tcPr>
          <w:p w14:paraId="06A73D6F" w14:textId="77777777" w:rsidR="00C61056" w:rsidRPr="00EE72AB" w:rsidRDefault="00C61056" w:rsidP="00EE72AB">
            <w:pPr>
              <w:pStyle w:val="Tabletext"/>
              <w:rPr>
                <w:rFonts w:eastAsia="Calibri"/>
              </w:rPr>
            </w:pPr>
            <w:r w:rsidRPr="00EE72AB">
              <w:rPr>
                <w:rFonts w:eastAsia="Calibri"/>
              </w:rPr>
              <w:t>-</w:t>
            </w:r>
          </w:p>
        </w:tc>
        <w:tc>
          <w:tcPr>
            <w:tcW w:w="2085" w:type="dxa"/>
            <w:tcMar>
              <w:top w:w="0" w:type="dxa"/>
              <w:left w:w="40" w:type="dxa"/>
              <w:bottom w:w="0" w:type="dxa"/>
              <w:right w:w="40" w:type="dxa"/>
            </w:tcMar>
          </w:tcPr>
          <w:p w14:paraId="58EC7788" w14:textId="77777777" w:rsidR="00C61056" w:rsidRPr="00EE72AB" w:rsidRDefault="00C61056" w:rsidP="00EE72AB">
            <w:pPr>
              <w:pStyle w:val="Tabletext"/>
              <w:rPr>
                <w:rFonts w:eastAsia="Calibri"/>
              </w:rPr>
            </w:pPr>
            <w:r w:rsidRPr="00EE72AB">
              <w:rPr>
                <w:rFonts w:eastAsia="Calibri"/>
              </w:rPr>
              <w:t>2020.CSR2.2</w:t>
            </w:r>
            <w:r w:rsidRPr="00EE72AB">
              <w:rPr>
                <w:rFonts w:eastAsia="Calibri"/>
              </w:rPr>
              <w:br/>
              <w:t>2020.CSR3.3</w:t>
            </w:r>
            <w:r w:rsidRPr="00EE72AB">
              <w:rPr>
                <w:rFonts w:eastAsia="Calibri"/>
              </w:rPr>
              <w:br/>
              <w:t>2019.CSR2.9</w:t>
            </w:r>
          </w:p>
        </w:tc>
        <w:tc>
          <w:tcPr>
            <w:tcW w:w="2685" w:type="dxa"/>
            <w:tcMar>
              <w:top w:w="0" w:type="dxa"/>
              <w:left w:w="40" w:type="dxa"/>
              <w:bottom w:w="0" w:type="dxa"/>
              <w:right w:w="40" w:type="dxa"/>
            </w:tcMar>
          </w:tcPr>
          <w:p w14:paraId="02B27CB1"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72CAB8EF" w14:textId="77777777" w:rsidTr="00EE72AB">
        <w:trPr>
          <w:trHeight w:val="113"/>
          <w:jc w:val="center"/>
        </w:trPr>
        <w:tc>
          <w:tcPr>
            <w:tcW w:w="2940" w:type="dxa"/>
            <w:tcMar>
              <w:top w:w="0" w:type="dxa"/>
              <w:left w:w="40" w:type="dxa"/>
              <w:bottom w:w="0" w:type="dxa"/>
              <w:right w:w="40" w:type="dxa"/>
            </w:tcMar>
          </w:tcPr>
          <w:p w14:paraId="34E879F0" w14:textId="7FD78546" w:rsidR="00C61056" w:rsidRPr="00EE72AB" w:rsidRDefault="00996F8A" w:rsidP="00EE72AB">
            <w:pPr>
              <w:pStyle w:val="Tabletext"/>
              <w:rPr>
                <w:rFonts w:eastAsia="Calibri"/>
              </w:rPr>
            </w:pPr>
            <w:r w:rsidRPr="00996F8A">
              <w:rPr>
                <w:rFonts w:eastAsia="Calibri"/>
                <w:b/>
              </w:rPr>
              <w:t>REFORM 7:</w:t>
            </w:r>
            <w:r w:rsidR="00C61056" w:rsidRPr="00EE72AB">
              <w:rPr>
                <w:rFonts w:eastAsia="Calibri"/>
              </w:rPr>
              <w:t xml:space="preserve"> National Demographic Strategy</w:t>
            </w:r>
          </w:p>
        </w:tc>
        <w:tc>
          <w:tcPr>
            <w:tcW w:w="1605" w:type="dxa"/>
            <w:tcMar>
              <w:top w:w="0" w:type="dxa"/>
              <w:left w:w="40" w:type="dxa"/>
              <w:bottom w:w="0" w:type="dxa"/>
              <w:right w:w="40" w:type="dxa"/>
            </w:tcMar>
          </w:tcPr>
          <w:p w14:paraId="559ACB45" w14:textId="77777777" w:rsidR="00C61056" w:rsidRPr="00EE72AB" w:rsidRDefault="00C61056" w:rsidP="00EE72AB">
            <w:pPr>
              <w:pStyle w:val="Tabletext"/>
              <w:rPr>
                <w:rFonts w:eastAsia="Calibri"/>
              </w:rPr>
            </w:pPr>
            <w:r w:rsidRPr="00EE72AB">
              <w:rPr>
                <w:rFonts w:eastAsia="Calibri"/>
              </w:rPr>
              <w:t>-</w:t>
            </w:r>
          </w:p>
        </w:tc>
        <w:tc>
          <w:tcPr>
            <w:tcW w:w="2085" w:type="dxa"/>
            <w:tcMar>
              <w:top w:w="0" w:type="dxa"/>
              <w:left w:w="40" w:type="dxa"/>
              <w:bottom w:w="0" w:type="dxa"/>
              <w:right w:w="40" w:type="dxa"/>
            </w:tcMar>
          </w:tcPr>
          <w:p w14:paraId="2E75032A" w14:textId="77777777" w:rsidR="00C61056" w:rsidRPr="00EE72AB" w:rsidRDefault="00C61056" w:rsidP="00EE72AB">
            <w:pPr>
              <w:pStyle w:val="Tabletext"/>
              <w:rPr>
                <w:rFonts w:eastAsia="Calibri"/>
              </w:rPr>
            </w:pPr>
            <w:r w:rsidRPr="00EE72AB">
              <w:rPr>
                <w:rFonts w:eastAsia="Calibri"/>
              </w:rPr>
              <w:t>2024 CSR 1.3</w:t>
            </w:r>
          </w:p>
          <w:p w14:paraId="5A0727B7" w14:textId="77777777" w:rsidR="00C61056" w:rsidRPr="00EE72AB" w:rsidRDefault="00C61056" w:rsidP="00EE72AB">
            <w:pPr>
              <w:pStyle w:val="Tabletext"/>
              <w:rPr>
                <w:rFonts w:eastAsia="Calibri"/>
              </w:rPr>
            </w:pPr>
            <w:r w:rsidRPr="00EE72AB">
              <w:rPr>
                <w:rFonts w:eastAsia="Calibri"/>
              </w:rPr>
              <w:t>2020 CSR 2.2</w:t>
            </w:r>
          </w:p>
          <w:p w14:paraId="5F8B7FEE" w14:textId="77777777" w:rsidR="00C61056" w:rsidRPr="00EE72AB" w:rsidRDefault="00C61056" w:rsidP="00EE72AB">
            <w:pPr>
              <w:pStyle w:val="Tabletext"/>
              <w:rPr>
                <w:rFonts w:eastAsia="Calibri"/>
              </w:rPr>
            </w:pPr>
            <w:r w:rsidRPr="00EE72AB">
              <w:rPr>
                <w:rFonts w:eastAsia="Calibri"/>
              </w:rPr>
              <w:t>2019 CSR 2.9</w:t>
            </w:r>
          </w:p>
        </w:tc>
        <w:tc>
          <w:tcPr>
            <w:tcW w:w="2685" w:type="dxa"/>
            <w:tcMar>
              <w:top w:w="0" w:type="dxa"/>
              <w:left w:w="40" w:type="dxa"/>
              <w:bottom w:w="0" w:type="dxa"/>
              <w:right w:w="40" w:type="dxa"/>
            </w:tcMar>
          </w:tcPr>
          <w:p w14:paraId="05B7AF3F"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3395CF57" w14:textId="77777777" w:rsidTr="00EE72AB">
        <w:trPr>
          <w:trHeight w:val="113"/>
          <w:jc w:val="center"/>
        </w:trPr>
        <w:tc>
          <w:tcPr>
            <w:tcW w:w="2940" w:type="dxa"/>
            <w:tcMar>
              <w:top w:w="0" w:type="dxa"/>
              <w:left w:w="40" w:type="dxa"/>
              <w:bottom w:w="0" w:type="dxa"/>
              <w:right w:w="40" w:type="dxa"/>
            </w:tcMar>
          </w:tcPr>
          <w:p w14:paraId="662599BD" w14:textId="1BF5502D" w:rsidR="00C61056" w:rsidRPr="00EE72AB" w:rsidRDefault="00BA03C0" w:rsidP="00EE72AB">
            <w:pPr>
              <w:pStyle w:val="Tabletext"/>
              <w:rPr>
                <w:rFonts w:eastAsia="Calibri"/>
              </w:rPr>
            </w:pPr>
            <w:r w:rsidRPr="00BA03C0">
              <w:rPr>
                <w:rFonts w:eastAsia="Calibri"/>
                <w:b/>
              </w:rPr>
              <w:t>REFORM 8:</w:t>
            </w:r>
            <w:r w:rsidR="00C61056" w:rsidRPr="00EE72AB">
              <w:rPr>
                <w:rFonts w:eastAsia="Calibri"/>
              </w:rPr>
              <w:t xml:space="preserve"> </w:t>
            </w:r>
            <w:r w:rsidR="00C96E61" w:rsidRPr="00EE72AB">
              <w:rPr>
                <w:rFonts w:eastAsia="Calibri"/>
              </w:rPr>
              <w:t>Neighborhood</w:t>
            </w:r>
            <w:r w:rsidR="00C61056" w:rsidRPr="00EE72AB">
              <w:rPr>
                <w:rFonts w:eastAsia="Calibri"/>
              </w:rPr>
              <w:t xml:space="preserve"> Nannies</w:t>
            </w:r>
          </w:p>
        </w:tc>
        <w:tc>
          <w:tcPr>
            <w:tcW w:w="1605" w:type="dxa"/>
            <w:tcMar>
              <w:top w:w="0" w:type="dxa"/>
              <w:left w:w="40" w:type="dxa"/>
              <w:bottom w:w="0" w:type="dxa"/>
              <w:right w:w="40" w:type="dxa"/>
            </w:tcMar>
          </w:tcPr>
          <w:p w14:paraId="4B87DDAC" w14:textId="77777777" w:rsidR="00C61056" w:rsidRPr="00EE72AB" w:rsidRDefault="00C61056" w:rsidP="00EE72AB">
            <w:pPr>
              <w:pStyle w:val="Tabletext"/>
              <w:rPr>
                <w:rFonts w:eastAsia="Calibri"/>
              </w:rPr>
            </w:pPr>
            <w:r w:rsidRPr="00EE72AB">
              <w:rPr>
                <w:rFonts w:eastAsia="Calibri"/>
              </w:rPr>
              <w:t>MFF</w:t>
            </w:r>
          </w:p>
        </w:tc>
        <w:tc>
          <w:tcPr>
            <w:tcW w:w="2085" w:type="dxa"/>
            <w:tcMar>
              <w:top w:w="0" w:type="dxa"/>
              <w:left w:w="40" w:type="dxa"/>
              <w:bottom w:w="0" w:type="dxa"/>
              <w:right w:w="40" w:type="dxa"/>
            </w:tcMar>
          </w:tcPr>
          <w:p w14:paraId="364FEC8C" w14:textId="77777777" w:rsidR="00C61056" w:rsidRPr="00EE72AB" w:rsidRDefault="00C61056" w:rsidP="00EE72AB">
            <w:pPr>
              <w:pStyle w:val="Tabletext"/>
              <w:rPr>
                <w:rFonts w:eastAsia="Calibri"/>
              </w:rPr>
            </w:pPr>
            <w:r w:rsidRPr="00EE72AB">
              <w:rPr>
                <w:rFonts w:eastAsia="Calibri"/>
              </w:rPr>
              <w:t>2019.CSR2.7</w:t>
            </w:r>
          </w:p>
        </w:tc>
        <w:tc>
          <w:tcPr>
            <w:tcW w:w="2685" w:type="dxa"/>
            <w:tcMar>
              <w:top w:w="0" w:type="dxa"/>
              <w:left w:w="40" w:type="dxa"/>
              <w:bottom w:w="0" w:type="dxa"/>
              <w:right w:w="40" w:type="dxa"/>
            </w:tcMar>
          </w:tcPr>
          <w:p w14:paraId="33328144"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2B6BC285" w14:textId="77777777" w:rsidTr="00EE72AB">
        <w:trPr>
          <w:trHeight w:val="113"/>
          <w:jc w:val="center"/>
        </w:trPr>
        <w:tc>
          <w:tcPr>
            <w:tcW w:w="2940" w:type="dxa"/>
            <w:tcMar>
              <w:top w:w="0" w:type="dxa"/>
              <w:left w:w="40" w:type="dxa"/>
              <w:bottom w:w="0" w:type="dxa"/>
              <w:right w:w="40" w:type="dxa"/>
            </w:tcMar>
          </w:tcPr>
          <w:p w14:paraId="15401AF1" w14:textId="4EE54045" w:rsidR="00C61056" w:rsidRPr="00EE72AB" w:rsidRDefault="00996F8A" w:rsidP="00EE72AB">
            <w:pPr>
              <w:pStyle w:val="Tabletext"/>
              <w:rPr>
                <w:rFonts w:eastAsia="Calibri"/>
              </w:rPr>
            </w:pPr>
            <w:r w:rsidRPr="00996F8A">
              <w:rPr>
                <w:rFonts w:eastAsia="Calibri"/>
                <w:b/>
              </w:rPr>
              <w:t>REFORM 9:</w:t>
            </w:r>
            <w:r w:rsidR="00C61056" w:rsidRPr="00EE72AB">
              <w:rPr>
                <w:rFonts w:eastAsia="Calibri"/>
              </w:rPr>
              <w:t xml:space="preserve"> Observatory for Demography and the Family</w:t>
            </w:r>
          </w:p>
        </w:tc>
        <w:tc>
          <w:tcPr>
            <w:tcW w:w="1605" w:type="dxa"/>
            <w:tcMar>
              <w:top w:w="0" w:type="dxa"/>
              <w:left w:w="40" w:type="dxa"/>
              <w:bottom w:w="0" w:type="dxa"/>
              <w:right w:w="40" w:type="dxa"/>
            </w:tcMar>
          </w:tcPr>
          <w:p w14:paraId="57565D53" w14:textId="77777777" w:rsidR="00C61056" w:rsidRPr="00EE72AB" w:rsidRDefault="00C61056" w:rsidP="00EE72AB">
            <w:pPr>
              <w:pStyle w:val="Tabletext"/>
              <w:rPr>
                <w:rFonts w:eastAsia="Calibri"/>
              </w:rPr>
            </w:pPr>
            <w:r w:rsidRPr="00EE72AB">
              <w:rPr>
                <w:rFonts w:eastAsia="Calibri"/>
              </w:rPr>
              <w:t>MFF</w:t>
            </w:r>
          </w:p>
        </w:tc>
        <w:tc>
          <w:tcPr>
            <w:tcW w:w="2085" w:type="dxa"/>
            <w:tcMar>
              <w:top w:w="0" w:type="dxa"/>
              <w:left w:w="40" w:type="dxa"/>
              <w:bottom w:w="0" w:type="dxa"/>
              <w:right w:w="40" w:type="dxa"/>
            </w:tcMar>
          </w:tcPr>
          <w:p w14:paraId="274727D3" w14:textId="77777777" w:rsidR="00C61056" w:rsidRPr="00EE72AB" w:rsidRDefault="00C61056" w:rsidP="00EE72AB">
            <w:pPr>
              <w:pStyle w:val="Tabletext"/>
              <w:rPr>
                <w:rFonts w:eastAsia="Calibri"/>
              </w:rPr>
            </w:pPr>
            <w:r w:rsidRPr="00EE72AB">
              <w:rPr>
                <w:rFonts w:eastAsia="Calibri"/>
              </w:rPr>
              <w:t>2024 CSR 1.3</w:t>
            </w:r>
          </w:p>
          <w:p w14:paraId="6FCF87FD" w14:textId="77777777" w:rsidR="00C61056" w:rsidRPr="00EE72AB" w:rsidRDefault="00C61056" w:rsidP="00EE72AB">
            <w:pPr>
              <w:pStyle w:val="Tabletext"/>
              <w:rPr>
                <w:rFonts w:eastAsia="Calibri"/>
              </w:rPr>
            </w:pPr>
            <w:r w:rsidRPr="00EE72AB">
              <w:rPr>
                <w:rFonts w:eastAsia="Calibri"/>
              </w:rPr>
              <w:t>2020 CSR 2.2</w:t>
            </w:r>
          </w:p>
          <w:p w14:paraId="07A0F9E9" w14:textId="77777777" w:rsidR="00C61056" w:rsidRPr="00EE72AB" w:rsidRDefault="00C61056" w:rsidP="00EE72AB">
            <w:pPr>
              <w:pStyle w:val="Tabletext"/>
              <w:rPr>
                <w:rFonts w:eastAsia="Calibri"/>
              </w:rPr>
            </w:pPr>
            <w:r w:rsidRPr="00EE72AB">
              <w:rPr>
                <w:rFonts w:eastAsia="Calibri"/>
              </w:rPr>
              <w:t>2019 CSR 2.9</w:t>
            </w:r>
          </w:p>
        </w:tc>
        <w:tc>
          <w:tcPr>
            <w:tcW w:w="2685" w:type="dxa"/>
            <w:tcMar>
              <w:top w:w="0" w:type="dxa"/>
              <w:left w:w="40" w:type="dxa"/>
              <w:bottom w:w="0" w:type="dxa"/>
              <w:right w:w="40" w:type="dxa"/>
            </w:tcMar>
          </w:tcPr>
          <w:p w14:paraId="45A02301"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257383A6" w14:textId="77777777" w:rsidTr="00EE72AB">
        <w:trPr>
          <w:trHeight w:val="113"/>
          <w:jc w:val="center"/>
        </w:trPr>
        <w:tc>
          <w:tcPr>
            <w:tcW w:w="2940" w:type="dxa"/>
            <w:tcMar>
              <w:top w:w="0" w:type="dxa"/>
              <w:left w:w="40" w:type="dxa"/>
              <w:bottom w:w="0" w:type="dxa"/>
              <w:right w:w="40" w:type="dxa"/>
            </w:tcMar>
          </w:tcPr>
          <w:p w14:paraId="60122408" w14:textId="7C14B582" w:rsidR="00C61056" w:rsidRPr="00EE72AB" w:rsidRDefault="00BA03C0" w:rsidP="00EE72AB">
            <w:pPr>
              <w:pStyle w:val="Tabletext"/>
              <w:rPr>
                <w:rFonts w:eastAsia="Calibri"/>
              </w:rPr>
            </w:pPr>
            <w:r w:rsidRPr="00BA03C0">
              <w:rPr>
                <w:rFonts w:eastAsia="Calibri"/>
                <w:b/>
              </w:rPr>
              <w:t>INVESTMENT 1:</w:t>
            </w:r>
            <w:r w:rsidR="00C61056" w:rsidRPr="00EE72AB">
              <w:rPr>
                <w:rFonts w:eastAsia="Calibri"/>
              </w:rPr>
              <w:t xml:space="preserve"> Diversity Awareness</w:t>
            </w:r>
          </w:p>
        </w:tc>
        <w:tc>
          <w:tcPr>
            <w:tcW w:w="1605" w:type="dxa"/>
            <w:tcMar>
              <w:top w:w="0" w:type="dxa"/>
              <w:left w:w="40" w:type="dxa"/>
              <w:bottom w:w="0" w:type="dxa"/>
              <w:right w:w="40" w:type="dxa"/>
            </w:tcMar>
          </w:tcPr>
          <w:p w14:paraId="32FD3E31" w14:textId="77777777" w:rsidR="00C61056" w:rsidRPr="00EE72AB" w:rsidRDefault="00C61056" w:rsidP="00EE72AB">
            <w:pPr>
              <w:pStyle w:val="Tabletext"/>
              <w:rPr>
                <w:rFonts w:eastAsia="Calibri"/>
              </w:rPr>
            </w:pPr>
            <w:r w:rsidRPr="00EE72AB">
              <w:rPr>
                <w:rFonts w:eastAsia="Calibri"/>
              </w:rPr>
              <w:t>RRF 16685</w:t>
            </w:r>
          </w:p>
        </w:tc>
        <w:tc>
          <w:tcPr>
            <w:tcW w:w="2085" w:type="dxa"/>
            <w:tcMar>
              <w:top w:w="0" w:type="dxa"/>
              <w:left w:w="40" w:type="dxa"/>
              <w:bottom w:w="0" w:type="dxa"/>
              <w:right w:w="40" w:type="dxa"/>
            </w:tcMar>
          </w:tcPr>
          <w:p w14:paraId="3847BE3C" w14:textId="77777777" w:rsidR="00C61056" w:rsidRPr="00EE72AB" w:rsidRDefault="00C61056" w:rsidP="00EE72AB">
            <w:pPr>
              <w:pStyle w:val="Tabletext"/>
              <w:rPr>
                <w:rFonts w:eastAsia="Calibri"/>
              </w:rPr>
            </w:pPr>
            <w:r w:rsidRPr="00EE72AB">
              <w:rPr>
                <w:rFonts w:eastAsia="Calibri"/>
              </w:rPr>
              <w:t>2024.CSR2.1</w:t>
            </w:r>
          </w:p>
          <w:p w14:paraId="3359D4DF" w14:textId="77777777" w:rsidR="00C61056" w:rsidRPr="00EE72AB" w:rsidRDefault="00C61056" w:rsidP="00EE72AB">
            <w:pPr>
              <w:pStyle w:val="Tabletext"/>
              <w:rPr>
                <w:rFonts w:eastAsia="Calibri"/>
              </w:rPr>
            </w:pPr>
            <w:r w:rsidRPr="00EE72AB">
              <w:rPr>
                <w:rFonts w:eastAsia="Calibri"/>
              </w:rPr>
              <w:t>2020.CSR3.9</w:t>
            </w:r>
            <w:r w:rsidRPr="00EE72AB">
              <w:rPr>
                <w:rFonts w:eastAsia="Calibri"/>
              </w:rPr>
              <w:br/>
              <w:t>2020.CSR2.2</w:t>
            </w:r>
            <w:r w:rsidRPr="00EE72AB">
              <w:rPr>
                <w:rFonts w:eastAsia="Calibri"/>
              </w:rPr>
              <w:br/>
              <w:t>2020.CSR3.8</w:t>
            </w:r>
            <w:r w:rsidRPr="00EE72AB">
              <w:rPr>
                <w:rFonts w:eastAsia="Calibri"/>
              </w:rPr>
              <w:br/>
              <w:t>2019.CSR2.7</w:t>
            </w:r>
          </w:p>
        </w:tc>
        <w:tc>
          <w:tcPr>
            <w:tcW w:w="2685" w:type="dxa"/>
            <w:tcMar>
              <w:top w:w="0" w:type="dxa"/>
              <w:left w:w="40" w:type="dxa"/>
              <w:bottom w:w="0" w:type="dxa"/>
              <w:right w:w="40" w:type="dxa"/>
            </w:tcMar>
          </w:tcPr>
          <w:p w14:paraId="18483705"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230D137C" w14:textId="77777777" w:rsidTr="00EE72AB">
        <w:trPr>
          <w:trHeight w:val="113"/>
          <w:jc w:val="center"/>
        </w:trPr>
        <w:tc>
          <w:tcPr>
            <w:tcW w:w="2940" w:type="dxa"/>
            <w:tcMar>
              <w:top w:w="0" w:type="dxa"/>
              <w:left w:w="40" w:type="dxa"/>
              <w:bottom w:w="0" w:type="dxa"/>
              <w:right w:w="40" w:type="dxa"/>
            </w:tcMar>
          </w:tcPr>
          <w:p w14:paraId="5B8E400F" w14:textId="431B008E" w:rsidR="00C61056" w:rsidRPr="00EE72AB" w:rsidRDefault="00BA03C0" w:rsidP="00EE72AB">
            <w:pPr>
              <w:pStyle w:val="Tabletext"/>
              <w:rPr>
                <w:rFonts w:eastAsia="Calibri"/>
              </w:rPr>
            </w:pPr>
            <w:r w:rsidRPr="00BA03C0">
              <w:rPr>
                <w:rFonts w:eastAsia="Calibri"/>
                <w:b/>
              </w:rPr>
              <w:t>INVESTMENT 2:</w:t>
            </w:r>
            <w:r w:rsidR="00C61056" w:rsidRPr="00EE72AB">
              <w:rPr>
                <w:rFonts w:eastAsia="Calibri"/>
              </w:rPr>
              <w:t xml:space="preserve"> Digital Transformation of the social support system</w:t>
            </w:r>
          </w:p>
        </w:tc>
        <w:tc>
          <w:tcPr>
            <w:tcW w:w="1605" w:type="dxa"/>
            <w:tcMar>
              <w:top w:w="0" w:type="dxa"/>
              <w:left w:w="40" w:type="dxa"/>
              <w:bottom w:w="0" w:type="dxa"/>
              <w:right w:w="40" w:type="dxa"/>
            </w:tcMar>
          </w:tcPr>
          <w:p w14:paraId="7B3C6799" w14:textId="77777777" w:rsidR="00C61056" w:rsidRPr="00EE72AB" w:rsidRDefault="00C61056" w:rsidP="00EE72AB">
            <w:pPr>
              <w:pStyle w:val="Tabletext"/>
              <w:rPr>
                <w:rFonts w:eastAsia="Calibri"/>
              </w:rPr>
            </w:pPr>
            <w:r w:rsidRPr="00EE72AB">
              <w:rPr>
                <w:rFonts w:eastAsia="Calibri"/>
              </w:rPr>
              <w:t>RRF 16925</w:t>
            </w:r>
          </w:p>
        </w:tc>
        <w:tc>
          <w:tcPr>
            <w:tcW w:w="2085" w:type="dxa"/>
            <w:tcMar>
              <w:top w:w="0" w:type="dxa"/>
              <w:left w:w="40" w:type="dxa"/>
              <w:bottom w:w="0" w:type="dxa"/>
              <w:right w:w="40" w:type="dxa"/>
            </w:tcMar>
          </w:tcPr>
          <w:p w14:paraId="575F44DA" w14:textId="77777777" w:rsidR="00C61056" w:rsidRPr="00EE72AB" w:rsidRDefault="00C61056" w:rsidP="00EE72AB">
            <w:pPr>
              <w:pStyle w:val="Tabletext"/>
              <w:rPr>
                <w:rFonts w:eastAsia="Calibri"/>
              </w:rPr>
            </w:pPr>
            <w:r w:rsidRPr="00EE72AB">
              <w:rPr>
                <w:rFonts w:eastAsia="Calibri"/>
              </w:rPr>
              <w:t>2024.CSR2.1</w:t>
            </w:r>
          </w:p>
          <w:p w14:paraId="7CE14B2A" w14:textId="77777777" w:rsidR="00C61056" w:rsidRPr="00EE72AB" w:rsidRDefault="00C61056" w:rsidP="00EE72AB">
            <w:pPr>
              <w:pStyle w:val="Tabletext"/>
              <w:rPr>
                <w:rFonts w:eastAsia="Calibri"/>
              </w:rPr>
            </w:pPr>
            <w:r w:rsidRPr="00EE72AB">
              <w:rPr>
                <w:rFonts w:eastAsia="Calibri"/>
              </w:rPr>
              <w:t>2020.CSR3.8</w:t>
            </w:r>
            <w:r w:rsidRPr="00EE72AB">
              <w:rPr>
                <w:rFonts w:eastAsia="Calibri"/>
              </w:rPr>
              <w:br/>
              <w:t>2020.CSR3.9</w:t>
            </w:r>
            <w:r w:rsidRPr="00EE72AB">
              <w:rPr>
                <w:rFonts w:eastAsia="Calibri"/>
              </w:rPr>
              <w:br/>
              <w:t>2019.CSR2.3</w:t>
            </w:r>
          </w:p>
        </w:tc>
        <w:tc>
          <w:tcPr>
            <w:tcW w:w="2685" w:type="dxa"/>
            <w:tcMar>
              <w:top w:w="0" w:type="dxa"/>
              <w:left w:w="40" w:type="dxa"/>
              <w:bottom w:w="0" w:type="dxa"/>
              <w:right w:w="40" w:type="dxa"/>
            </w:tcMar>
          </w:tcPr>
          <w:p w14:paraId="6A0D80A4" w14:textId="77777777" w:rsidR="00C61056" w:rsidRPr="00EE72AB" w:rsidRDefault="00C61056" w:rsidP="00EE72AB">
            <w:pPr>
              <w:pStyle w:val="Tabletext"/>
              <w:rPr>
                <w:rFonts w:eastAsia="Calibri"/>
              </w:rPr>
            </w:pPr>
            <w:r w:rsidRPr="00EE72AB">
              <w:rPr>
                <w:rFonts w:eastAsia="Calibri"/>
              </w:rPr>
              <w:t>Social and Economic resilience</w:t>
            </w:r>
          </w:p>
        </w:tc>
      </w:tr>
      <w:tr w:rsidR="00C61056" w:rsidRPr="00EE72AB" w14:paraId="72C17628" w14:textId="77777777" w:rsidTr="00EE72AB">
        <w:trPr>
          <w:trHeight w:val="113"/>
          <w:jc w:val="center"/>
        </w:trPr>
        <w:tc>
          <w:tcPr>
            <w:tcW w:w="2940" w:type="dxa"/>
            <w:tcMar>
              <w:top w:w="0" w:type="dxa"/>
              <w:left w:w="40" w:type="dxa"/>
              <w:bottom w:w="0" w:type="dxa"/>
              <w:right w:w="40" w:type="dxa"/>
            </w:tcMar>
          </w:tcPr>
          <w:p w14:paraId="47B131D8" w14:textId="15BF6575" w:rsidR="00C61056" w:rsidRPr="00EE72AB" w:rsidRDefault="00BA03C0" w:rsidP="00EE72AB">
            <w:pPr>
              <w:pStyle w:val="Tabletext"/>
              <w:rPr>
                <w:rFonts w:eastAsia="Calibri"/>
              </w:rPr>
            </w:pPr>
            <w:r w:rsidRPr="00BA03C0">
              <w:rPr>
                <w:rFonts w:eastAsia="Calibri"/>
                <w:b/>
              </w:rPr>
              <w:t>INVESTMENT 3:</w:t>
            </w:r>
            <w:r w:rsidR="00C61056" w:rsidRPr="00EE72AB">
              <w:rPr>
                <w:rFonts w:eastAsia="Calibri"/>
              </w:rPr>
              <w:t xml:space="preserve"> Social Integration</w:t>
            </w:r>
          </w:p>
        </w:tc>
        <w:tc>
          <w:tcPr>
            <w:tcW w:w="1605" w:type="dxa"/>
            <w:tcMar>
              <w:top w:w="0" w:type="dxa"/>
              <w:left w:w="40" w:type="dxa"/>
              <w:bottom w:w="0" w:type="dxa"/>
              <w:right w:w="40" w:type="dxa"/>
            </w:tcMar>
          </w:tcPr>
          <w:p w14:paraId="73D21557" w14:textId="77777777" w:rsidR="00C61056" w:rsidRPr="00EE72AB" w:rsidRDefault="00C61056" w:rsidP="00EE72AB">
            <w:pPr>
              <w:pStyle w:val="Tabletext"/>
              <w:rPr>
                <w:rFonts w:eastAsia="Calibri"/>
              </w:rPr>
            </w:pPr>
            <w:r w:rsidRPr="00EE72AB">
              <w:rPr>
                <w:rFonts w:eastAsia="Calibri"/>
              </w:rPr>
              <w:t>RRF 16922</w:t>
            </w:r>
          </w:p>
        </w:tc>
        <w:tc>
          <w:tcPr>
            <w:tcW w:w="2085" w:type="dxa"/>
            <w:tcMar>
              <w:top w:w="0" w:type="dxa"/>
              <w:left w:w="40" w:type="dxa"/>
              <w:bottom w:w="0" w:type="dxa"/>
              <w:right w:w="40" w:type="dxa"/>
            </w:tcMar>
          </w:tcPr>
          <w:p w14:paraId="5D899DB2" w14:textId="77777777" w:rsidR="00C61056" w:rsidRPr="00EE72AB" w:rsidRDefault="00C61056" w:rsidP="00EE72AB">
            <w:pPr>
              <w:pStyle w:val="Tabletext"/>
              <w:rPr>
                <w:rFonts w:eastAsia="Calibri"/>
              </w:rPr>
            </w:pPr>
            <w:r w:rsidRPr="00EE72AB">
              <w:rPr>
                <w:rFonts w:eastAsia="Calibri"/>
              </w:rPr>
              <w:t>2024.CSR2.1</w:t>
            </w:r>
          </w:p>
          <w:p w14:paraId="03738F82" w14:textId="77777777" w:rsidR="00C61056" w:rsidRPr="00EE72AB" w:rsidRDefault="00C61056" w:rsidP="00EE72AB">
            <w:pPr>
              <w:pStyle w:val="Tabletext"/>
              <w:rPr>
                <w:rFonts w:eastAsia="Calibri"/>
              </w:rPr>
            </w:pPr>
            <w:r w:rsidRPr="00EE72AB">
              <w:rPr>
                <w:rFonts w:eastAsia="Calibri"/>
              </w:rPr>
              <w:t>2024.CSR3.1</w:t>
            </w:r>
            <w:r w:rsidRPr="00EE72AB">
              <w:rPr>
                <w:rFonts w:eastAsia="Calibri"/>
              </w:rPr>
              <w:br/>
              <w:t>2020.CSR3.8</w:t>
            </w:r>
            <w:r w:rsidRPr="00EE72AB">
              <w:rPr>
                <w:rFonts w:eastAsia="Calibri"/>
              </w:rPr>
              <w:br/>
              <w:t>2020.CSR2.2</w:t>
            </w:r>
            <w:r w:rsidRPr="00EE72AB">
              <w:rPr>
                <w:rFonts w:eastAsia="Calibri"/>
              </w:rPr>
              <w:br/>
              <w:t>2019.CSR2.7</w:t>
            </w:r>
          </w:p>
        </w:tc>
        <w:tc>
          <w:tcPr>
            <w:tcW w:w="2685" w:type="dxa"/>
            <w:tcMar>
              <w:top w:w="0" w:type="dxa"/>
              <w:left w:w="40" w:type="dxa"/>
              <w:bottom w:w="0" w:type="dxa"/>
              <w:right w:w="40" w:type="dxa"/>
            </w:tcMar>
          </w:tcPr>
          <w:p w14:paraId="0355198A" w14:textId="77777777" w:rsidR="00C61056" w:rsidRPr="00EE72AB" w:rsidRDefault="00C61056" w:rsidP="00EE72AB">
            <w:pPr>
              <w:pStyle w:val="Tabletext"/>
              <w:rPr>
                <w:rFonts w:eastAsia="Calibri"/>
              </w:rPr>
            </w:pPr>
            <w:r w:rsidRPr="00EE72AB">
              <w:rPr>
                <w:rFonts w:eastAsia="Calibri"/>
              </w:rPr>
              <w:t>Social and Economic resilience</w:t>
            </w:r>
          </w:p>
        </w:tc>
      </w:tr>
    </w:tbl>
    <w:p w14:paraId="2369596C" w14:textId="3ADDE39A" w:rsidR="005D4AB0" w:rsidRDefault="005D4AB0" w:rsidP="003B0199">
      <w:pPr>
        <w:rPr>
          <w:rFonts w:eastAsia="Calibri"/>
          <w:lang w:val="en-US"/>
        </w:rPr>
      </w:pPr>
    </w:p>
    <w:p w14:paraId="0E8A877A" w14:textId="77777777" w:rsidR="00C61056" w:rsidRPr="00920844" w:rsidRDefault="00C61056">
      <w:pPr>
        <w:rPr>
          <w:rFonts w:eastAsia="Calibri"/>
          <w:lang w:val="en-US"/>
        </w:rPr>
      </w:pPr>
      <w:r w:rsidRPr="00920844">
        <w:rPr>
          <w:rFonts w:eastAsia="Calibri"/>
          <w:lang w:val="en-US"/>
        </w:rPr>
        <w:t xml:space="preserve">The RRF measure of </w:t>
      </w:r>
      <w:r w:rsidRPr="00920844">
        <w:rPr>
          <w:rFonts w:eastAsia="Calibri"/>
          <w:b/>
          <w:lang w:val="en-US"/>
        </w:rPr>
        <w:t>“Child Protection”</w:t>
      </w:r>
      <w:r w:rsidRPr="00920844">
        <w:rPr>
          <w:rFonts w:eastAsia="Calibri"/>
          <w:lang w:val="en-US"/>
        </w:rPr>
        <w:t xml:space="preserve"> involves the reform of the curriculum and educational programs for children aged 3 months to 4 years, aimed at enhancing their cognitive development and facilitating their transition into primary education. Additionally, it includes a series of investments focused on combating discrimination and improving independent living programs for adolescents and minors with severe disabilities and/or severe mental disorders, according to the principle of the European Pillar of Social Rights that refers to Social Protection. </w:t>
      </w:r>
      <w:r w:rsidRPr="00920844">
        <w:rPr>
          <w:rFonts w:eastAsia="Calibri"/>
          <w:lang w:val="en-US"/>
        </w:rPr>
        <w:lastRenderedPageBreak/>
        <w:t xml:space="preserve">The majority of investments will support initiatives such as the placement of minors with severe disabilities (exceeding 67%) and/or severe mental disorders in the care of professional foster families. Furthermore, young individuals up to the age of 26 will be transferred from Child Protection Units (CPUs) to Supported Independent Living (SIL) apartments to promote deinstitutionalization, self-sufficiency, skills development, and employability. The plan, with the intention to be consistent with the principle of the European Pillar of Social Rights which focuses on  Childcare and Support to Children also includes the creation or expansion of early childhood “Baby Centers” for children aged 2 months to 2.5 years, which will assist parents of newborns in returning to work by providing specialized childcare that supports cognitive.  Lastly, the creation of Science, Technology, Engineering, and Mathematics (STEM) Creative Centers for children aged 12 to 15 will foster critical thinking and expand future career opportunities by giving access to modern science and technology. </w:t>
      </w:r>
      <w:r>
        <w:rPr>
          <w:rFonts w:eastAsia="Calibri"/>
        </w:rPr>
        <w:t>Τ</w:t>
      </w:r>
      <w:r w:rsidRPr="00920844">
        <w:rPr>
          <w:rFonts w:eastAsia="Calibri"/>
          <w:lang w:val="en-US"/>
        </w:rPr>
        <w:t>he reform is scheduled for full implementation by 2026.</w:t>
      </w:r>
    </w:p>
    <w:p w14:paraId="737C0D16" w14:textId="77777777" w:rsidR="00C61056" w:rsidRPr="00920844" w:rsidRDefault="00C61056" w:rsidP="00920844">
      <w:pPr>
        <w:rPr>
          <w:rFonts w:eastAsia="Calibri"/>
          <w:lang w:val="en-US"/>
        </w:rPr>
      </w:pPr>
      <w:r w:rsidRPr="00920844">
        <w:rPr>
          <w:rFonts w:eastAsia="Calibri"/>
          <w:lang w:val="en-US"/>
        </w:rPr>
        <w:t xml:space="preserve">The </w:t>
      </w:r>
      <w:r w:rsidRPr="00920844">
        <w:rPr>
          <w:rFonts w:eastAsia="Calibri"/>
          <w:b/>
          <w:lang w:val="en-US"/>
        </w:rPr>
        <w:t>RRF reform</w:t>
      </w:r>
      <w:r w:rsidRPr="00920844">
        <w:rPr>
          <w:rFonts w:eastAsia="Calibri"/>
          <w:lang w:val="en-US"/>
        </w:rPr>
        <w:t xml:space="preserve"> of “</w:t>
      </w:r>
      <w:r w:rsidRPr="00920844">
        <w:rPr>
          <w:rFonts w:eastAsia="Calibri"/>
          <w:b/>
          <w:lang w:val="en-US"/>
        </w:rPr>
        <w:t>Disability”</w:t>
      </w:r>
      <w:r w:rsidRPr="00920844">
        <w:rPr>
          <w:rFonts w:eastAsia="Calibri"/>
          <w:lang w:val="en-US"/>
        </w:rPr>
        <w:t xml:space="preserve"> consists of two sub-projects aimed at enhancing social inclusion, independent living, employability, and early childhood intervention for individuals with disabilities in line with the principle of the European Pillar of Social Rights that refers to Inclusion of people with disabilities.</w:t>
      </w:r>
      <w:r w:rsidRPr="00920844">
        <w:rPr>
          <w:rFonts w:eastAsia="Calibri"/>
          <w:b/>
          <w:lang w:val="en-US"/>
        </w:rPr>
        <w:t xml:space="preserve">  </w:t>
      </w:r>
      <w:r w:rsidRPr="00920844">
        <w:rPr>
          <w:rFonts w:eastAsia="Calibri"/>
          <w:lang w:val="en-US"/>
        </w:rPr>
        <w:t xml:space="preserve"> These sub-projects specifically address the following areas: First, improving independent living through the enhancement of accessibility and support infrastructure for individuals with mobility and sensory impairments. This includes independent living assistance and implementing an eligibility process based on both medical and functional evaluations, conducted by a multidisciplinary committee. The initiative has already begun with a pilot project that is currently underway and will be followed by a national roll-out. Second, supporting the employment integration of people with Autism Spectrum Disorder (ASD) by providing counselling support to employers and subsidising wage costs and employer contributions. Finally, implementing early childhood intervention programs, initially through a pilot project. The reform is scheduled for full implementation by 2026.</w:t>
      </w:r>
    </w:p>
    <w:p w14:paraId="790F06EA" w14:textId="77777777" w:rsidR="00C61056" w:rsidRPr="00920844" w:rsidRDefault="00C61056" w:rsidP="00920844">
      <w:pPr>
        <w:rPr>
          <w:rFonts w:eastAsia="Calibri"/>
          <w:lang w:val="en-US"/>
        </w:rPr>
      </w:pPr>
      <w:r w:rsidRPr="00920844">
        <w:rPr>
          <w:rFonts w:eastAsia="Calibri"/>
          <w:lang w:val="en-US"/>
        </w:rPr>
        <w:t>The basic objective of the “</w:t>
      </w:r>
      <w:r w:rsidRPr="00920844">
        <w:rPr>
          <w:rFonts w:eastAsia="Calibri"/>
          <w:b/>
          <w:lang w:val="en-US"/>
        </w:rPr>
        <w:t>Social Benefits framework revision”</w:t>
      </w:r>
      <w:r w:rsidRPr="00920844">
        <w:rPr>
          <w:rFonts w:eastAsia="Calibri"/>
          <w:lang w:val="en-US"/>
        </w:rPr>
        <w:t xml:space="preserve">, responding to the principle of the European Pillar of Social Rights ‘’Social Protection’’, is the redesign and reform of the main social benefits, in order to better support and strengthen the family, especially the most vulnerable and with regard to the child benefit of middle class families. The reform of the benefits will be implemented based on improved beneficiary targeting. Thus, the available amount will be allocated to those who need it more. The reallocation of benefits will also provide the beneficiaries with incentives for entering the labor market. The reform will be concluded by  Q1 2025.         </w:t>
      </w:r>
      <w:r w:rsidRPr="00920844">
        <w:rPr>
          <w:rFonts w:eastAsia="Calibri"/>
          <w:lang w:val="en-US"/>
        </w:rPr>
        <w:tab/>
      </w:r>
    </w:p>
    <w:p w14:paraId="50893E03" w14:textId="77777777" w:rsidR="00C61056" w:rsidRPr="00920844" w:rsidRDefault="00C61056" w:rsidP="00920844">
      <w:pPr>
        <w:rPr>
          <w:rFonts w:eastAsia="Calibri"/>
          <w:lang w:val="en-US"/>
        </w:rPr>
      </w:pPr>
      <w:r w:rsidRPr="00920844">
        <w:rPr>
          <w:rFonts w:eastAsia="Calibri"/>
          <w:lang w:val="en-US"/>
        </w:rPr>
        <w:t xml:space="preserve">The </w:t>
      </w:r>
      <w:r w:rsidRPr="00920844">
        <w:rPr>
          <w:rFonts w:eastAsia="Calibri"/>
          <w:b/>
          <w:lang w:val="en-US"/>
        </w:rPr>
        <w:t>RRF reform</w:t>
      </w:r>
      <w:r w:rsidRPr="00920844">
        <w:rPr>
          <w:rFonts w:eastAsia="Calibri"/>
          <w:lang w:val="en-US"/>
        </w:rPr>
        <w:t xml:space="preserve"> of</w:t>
      </w:r>
      <w:r w:rsidRPr="00920844">
        <w:rPr>
          <w:rFonts w:eastAsia="Calibri"/>
          <w:b/>
          <w:lang w:val="en-US"/>
        </w:rPr>
        <w:t xml:space="preserve"> “Social Benefits Optimization”</w:t>
      </w:r>
      <w:r w:rsidRPr="00920844">
        <w:rPr>
          <w:rFonts w:eastAsia="Calibri"/>
          <w:lang w:val="en-US"/>
        </w:rPr>
        <w:t xml:space="preserve"> includes the provision of social benefits to beneficiaries via prepaid cards for the online purchase of goods and services with a cash withdrawal limit, in accordance with the social protection principle of the European Pillar of Social Rights.  It aims to ensure the provision of benefits without distorting incentives to enter </w:t>
      </w:r>
      <w:r w:rsidRPr="00920844">
        <w:rPr>
          <w:rFonts w:eastAsia="Calibri"/>
          <w:lang w:val="en-US"/>
        </w:rPr>
        <w:lastRenderedPageBreak/>
        <w:t>the labour market. The digitization feature contributes to the improvement of the payment control system through automated verification according to appropriate criteria and the creation of a database containing all relevant information on benefits.  Emphasis has been placed on informing citizens about the new features of the procedure through an awareness campaign. Apart from the introduction of the prepaid cards, the reform, in addition, will provide incentives to beneficiaries for using the cards for the purchase of specific goods and services. The reform is scheduled for full implementation by 2026.</w:t>
      </w:r>
    </w:p>
    <w:p w14:paraId="3C1CCE6F" w14:textId="41849437" w:rsidR="00C61056" w:rsidRPr="00920844" w:rsidRDefault="00C61056" w:rsidP="00920844">
      <w:pPr>
        <w:rPr>
          <w:rFonts w:eastAsia="Calibri"/>
          <w:lang w:val="en-US"/>
        </w:rPr>
      </w:pPr>
      <w:r w:rsidRPr="00920844">
        <w:rPr>
          <w:rFonts w:eastAsia="Calibri"/>
          <w:lang w:val="en-US"/>
        </w:rPr>
        <w:t xml:space="preserve">Recognising the need to tackle the soaring housing costs that affect </w:t>
      </w:r>
      <w:r w:rsidR="00AA56B4" w:rsidRPr="00920844">
        <w:rPr>
          <w:rFonts w:eastAsia="Calibri"/>
          <w:lang w:val="en-US"/>
        </w:rPr>
        <w:t>Greek</w:t>
      </w:r>
      <w:r w:rsidRPr="00920844">
        <w:rPr>
          <w:rFonts w:eastAsia="Calibri"/>
          <w:lang w:val="en-US"/>
        </w:rPr>
        <w:t xml:space="preserve"> society, same as in other european countries, the government launched in 2022 a “</w:t>
      </w:r>
      <w:r w:rsidRPr="00920844">
        <w:rPr>
          <w:rFonts w:eastAsia="Calibri"/>
          <w:b/>
          <w:lang w:val="en-US"/>
        </w:rPr>
        <w:t>New Housing Policy”</w:t>
      </w:r>
      <w:r w:rsidRPr="00920844">
        <w:rPr>
          <w:rFonts w:eastAsia="Calibri"/>
          <w:lang w:val="en-US"/>
        </w:rPr>
        <w:t xml:space="preserve"> reform, in alignment with the principle of the European Pillar of Social Rights "Housing and assistance for the homeless". An important component of the new strategy is “Spiti mou II”, an affordable housing initiative that follows “Spiti mou I”. Significant adjustments to “Spiti mou II” will come into effect in January. The new Housing Policy comprises measures that aim at providing housing solutions by reducing high housing costs, increasing youth homeownership, supporting young people and young couples for housing rehabilitation. The program is expected to be completed by the end of 2026.</w:t>
      </w:r>
    </w:p>
    <w:p w14:paraId="38284DE5" w14:textId="77777777" w:rsidR="00C61056" w:rsidRPr="00920844" w:rsidRDefault="00C61056" w:rsidP="00920844">
      <w:pPr>
        <w:rPr>
          <w:rFonts w:eastAsia="Calibri"/>
          <w:lang w:val="en-US"/>
        </w:rPr>
      </w:pPr>
      <w:r w:rsidRPr="00920844">
        <w:rPr>
          <w:rFonts w:eastAsia="Calibri"/>
          <w:lang w:val="en-US"/>
        </w:rPr>
        <w:t>Towards a comprehensive reform of the National Strategy for Housing, the government plans to enhance the legislative framework of the “</w:t>
      </w:r>
      <w:r w:rsidRPr="00920844">
        <w:rPr>
          <w:rFonts w:eastAsia="Calibri"/>
          <w:b/>
          <w:lang w:val="en-US"/>
        </w:rPr>
        <w:t>Social Housing/Antiparochi</w:t>
      </w:r>
      <w:r w:rsidRPr="00920844">
        <w:rPr>
          <w:rFonts w:eastAsia="Calibri"/>
          <w:lang w:val="en-US"/>
        </w:rPr>
        <w:t>” program, in alignment with the principle of the European Pillar of Social Rights which refers to Housing and assistance for the homeless. The new framework will facilitate the “transfer” of unused state-owned properties to private real estate developers for the purpose of new construction or renovation. This will enable the achievement of the program’s primary objective: providing affordable social rental housing for the most vulnerable populations. This reform will also lead to much more efficient management of the Greek public property.</w:t>
      </w:r>
    </w:p>
    <w:p w14:paraId="7D410E4C" w14:textId="77777777" w:rsidR="00C61056" w:rsidRPr="00920844" w:rsidRDefault="00C61056" w:rsidP="00920844">
      <w:pPr>
        <w:rPr>
          <w:rFonts w:eastAsia="Calibri"/>
          <w:lang w:val="en-US"/>
        </w:rPr>
      </w:pPr>
      <w:r w:rsidRPr="00920844">
        <w:rPr>
          <w:rFonts w:eastAsia="Calibri"/>
          <w:lang w:val="en-US"/>
        </w:rPr>
        <w:t>The implementation of the new “</w:t>
      </w:r>
      <w:r w:rsidRPr="00920844">
        <w:rPr>
          <w:rFonts w:eastAsia="Calibri"/>
          <w:b/>
          <w:lang w:val="en-US"/>
        </w:rPr>
        <w:t>National Demographic and Family Policy”</w:t>
      </w:r>
      <w:r w:rsidRPr="00920844">
        <w:rPr>
          <w:rFonts w:eastAsia="Calibri"/>
          <w:lang w:val="en-US"/>
        </w:rPr>
        <w:t xml:space="preserve"> , in accordance with the principles of the European Pillar of Social Rights ‘’Gender equality’’ and ‘’Work-life balance’’ is considered as a crucial reform that will provide for social resilience, will ensure the viability of the social security system and will sustain the labor market growth. The new national plan is almost ready and it will be publicly presented within 2024. The primary focus areas of this new National Policy are work-life balance and parent support initiatives, new job opportunities primarily for women and young people, housing programs primarily for vulnerable populations and youth, infertility initiatives, and the repatriation of young people who have left the country in the past years. The implementation of the measures described in the strategy will commence in 2025 with a ten-year horizon.</w:t>
      </w:r>
    </w:p>
    <w:p w14:paraId="43CE7E15" w14:textId="77777777" w:rsidR="00C61056" w:rsidRPr="00920844" w:rsidRDefault="00C61056" w:rsidP="00920844">
      <w:pPr>
        <w:rPr>
          <w:rFonts w:eastAsia="Calibri"/>
          <w:lang w:val="en-US"/>
        </w:rPr>
      </w:pPr>
      <w:r w:rsidRPr="00920844">
        <w:rPr>
          <w:rFonts w:eastAsia="Calibri"/>
          <w:lang w:val="en-US"/>
        </w:rPr>
        <w:t xml:space="preserve">The objective of the </w:t>
      </w:r>
      <w:r w:rsidRPr="00920844">
        <w:rPr>
          <w:rFonts w:eastAsia="Calibri"/>
          <w:b/>
          <w:lang w:val="en-US"/>
        </w:rPr>
        <w:t>Neighbourhood Nannies</w:t>
      </w:r>
      <w:r w:rsidRPr="00920844">
        <w:rPr>
          <w:rFonts w:eastAsia="Calibri"/>
          <w:lang w:val="en-US"/>
        </w:rPr>
        <w:t xml:space="preserve"> initiative is to support employed and self-employed parents by offering home-based childcare services for young children, aged between </w:t>
      </w:r>
      <w:r w:rsidRPr="00920844">
        <w:rPr>
          <w:rFonts w:eastAsia="Calibri"/>
          <w:lang w:val="en-US"/>
        </w:rPr>
        <w:lastRenderedPageBreak/>
        <w:t>2 months and 2.5 years, provided by officially registered childminders or nannies. To be included in the Nannies Register, caregivers must possess the qualifications mandated by current legislation. Beneficiary parents, who receive vouchers under this scheme, are also required to meet the eligibility criteria established by law. This initiative aims to foster the principle of the pillar of social rights that concerns gender equality, by helping parents balance their professional and family responsibilities, thus facilitating women’s access to, and advancement within, the labor market. The pilot phase of the program will be concluded by December 30, 2024, while full-scale implementation will be funded through secured funding under the National Strategic Reference Framework (NSRF) 2021-2027. Full implementation is expected by the end of the programming period.</w:t>
      </w:r>
    </w:p>
    <w:p w14:paraId="63C7CADC" w14:textId="77777777" w:rsidR="00C61056" w:rsidRPr="00920844" w:rsidRDefault="00C61056" w:rsidP="00920844">
      <w:pPr>
        <w:rPr>
          <w:rFonts w:eastAsia="Calibri"/>
          <w:lang w:val="en-US"/>
        </w:rPr>
      </w:pPr>
      <w:r w:rsidRPr="00920844">
        <w:rPr>
          <w:rFonts w:eastAsia="Calibri"/>
          <w:lang w:val="en-US"/>
        </w:rPr>
        <w:t xml:space="preserve">An important action of the Ministry with secured funding from the NSRF 2021-27, operating in the context of efforts to address the demographic crisis, is the creation of the </w:t>
      </w:r>
      <w:r w:rsidRPr="00920844">
        <w:rPr>
          <w:rFonts w:eastAsia="Calibri"/>
          <w:b/>
          <w:lang w:val="en-US"/>
        </w:rPr>
        <w:t>Observatory for Demography and the Family.</w:t>
      </w:r>
      <w:r w:rsidRPr="00920844">
        <w:rPr>
          <w:rFonts w:eastAsia="Calibri"/>
          <w:lang w:val="en-US"/>
        </w:rPr>
        <w:t xml:space="preserve"> The aim of the Observatory is to collect and evaluate demographic information and data in order to identify the relevant needs and plan corresponding measures. The action promotes the principles and social rights of the European Pillar, such as gender equality and equal opportunities in the labour market, work-life balance, but also long-term care, ensuring the mapping and collection of relevant needs and demographic data, with geographical distribution and emphasis on regional development. The Observatory will be the single national mechanism for the collection and dissemination of demographic indicators, in order to monitor over time the trends and critical demographic data in Greece, aligned with international trends.  The action involves the establishment of the Observatory, the employment of specialised experts, the development and interconnection of an information system interoperable with other systems, and the preparation of specialized research, studies and national reports. The action will be implemented by the end of the programming period in 2027.</w:t>
      </w:r>
    </w:p>
    <w:p w14:paraId="02BE54F5" w14:textId="77777777" w:rsidR="00C61056" w:rsidRPr="00920844" w:rsidRDefault="00C61056" w:rsidP="00920844">
      <w:pPr>
        <w:rPr>
          <w:rFonts w:eastAsia="Calibri"/>
          <w:lang w:val="en-US"/>
        </w:rPr>
      </w:pPr>
      <w:r w:rsidRPr="00920844">
        <w:rPr>
          <w:rFonts w:eastAsia="Calibri"/>
          <w:lang w:val="en-US"/>
        </w:rPr>
        <w:t xml:space="preserve">The </w:t>
      </w:r>
      <w:r w:rsidRPr="00920844">
        <w:rPr>
          <w:rFonts w:eastAsia="Calibri"/>
          <w:b/>
          <w:lang w:val="en-US"/>
        </w:rPr>
        <w:t xml:space="preserve">RRF investment </w:t>
      </w:r>
      <w:r w:rsidRPr="00920844">
        <w:rPr>
          <w:rFonts w:eastAsia="Calibri"/>
          <w:lang w:val="en-US"/>
        </w:rPr>
        <w:t xml:space="preserve">of </w:t>
      </w:r>
      <w:r w:rsidRPr="00920844">
        <w:rPr>
          <w:rFonts w:eastAsia="Calibri"/>
          <w:b/>
          <w:lang w:val="en-US"/>
        </w:rPr>
        <w:t>Diversity Awareness</w:t>
      </w:r>
      <w:r w:rsidRPr="00920844">
        <w:rPr>
          <w:rFonts w:eastAsia="Calibri"/>
          <w:lang w:val="en-US"/>
        </w:rPr>
        <w:t xml:space="preserve"> comprises two interconnected sub-projects aimed at raising awareness of diversity in the workplace. The first subproject involves the development and implementation of diversity training programs for employees in businesses. The second subproject focuses on establishing a robust mechanism for collecting relevant statistical data on equality and discrimination, advancing the objectives of the principles of the European Pillar of Social Rights ‘’Gender equality’’ and ‘’Equal opportunities’’.  To support these efforts, the role of the Equality Observatory—an operational branch of the Ministry of Social Cohesion and Family Affairs—will be strengthened to produce comprehensive reports on the state of equal opportunities. Additionally, a certification mechanism and an award system will be introduced to reward enterprises and organisations that promote exemplary diversity and inclusion practices. The actions will be completed by 2026.</w:t>
      </w:r>
    </w:p>
    <w:p w14:paraId="5ACDF838" w14:textId="77777777" w:rsidR="00C61056" w:rsidRPr="00920844" w:rsidRDefault="00C61056"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of </w:t>
      </w:r>
      <w:r w:rsidRPr="00920844">
        <w:rPr>
          <w:rFonts w:eastAsia="Calibri"/>
          <w:b/>
          <w:lang w:val="en-US"/>
        </w:rPr>
        <w:t>Digital Transformation of the social support system</w:t>
      </w:r>
      <w:r w:rsidRPr="00920844">
        <w:rPr>
          <w:rFonts w:eastAsia="Calibri"/>
          <w:lang w:val="en-US"/>
        </w:rPr>
        <w:t xml:space="preserve"> focuses on developing digital tools aimed at improving and simplifying access to social care services and </w:t>
      </w:r>
      <w:r w:rsidRPr="00920844">
        <w:rPr>
          <w:rFonts w:eastAsia="Calibri"/>
          <w:lang w:val="en-US"/>
        </w:rPr>
        <w:lastRenderedPageBreak/>
        <w:t>benefits, with particular attention to individuals with disabilities, in the context of the principle of the European Pillar of Social Rights ‘’Social Protection’’. Additionally, the investment aims to improve the monitoring of both public and private social care providers, while also enhancing the skills of those working within public welfare institutions. Key components of this investment include the creation of a Single Digital Access Portal for Social Protection, which will integrate existing electronic applications for cash social assistance benefits into one platform. A National Portal for disability benefits will also be established, allowing beneficiaries to access personal data, manage benefits, and issue certificates online. Furthermore, a disability card will be introduced, and the Single Welfare Benefits Payment Authority (OPEKA) will undergo digital transformation. The initiative also includes digital training for welfare service employees and the creation of a comprehensive inventory of public real estate related to social protection services. The investment is scheduled for full implementation by 2026.</w:t>
      </w:r>
    </w:p>
    <w:p w14:paraId="6D71592B" w14:textId="08FDD57D" w:rsidR="00C61056" w:rsidRPr="00C2631D" w:rsidRDefault="00C61056" w:rsidP="003B0199">
      <w:pPr>
        <w:rPr>
          <w:rFonts w:eastAsia="Calibri"/>
          <w:lang w:val="en-US"/>
        </w:rPr>
      </w:pPr>
      <w:r w:rsidRPr="00920844">
        <w:rPr>
          <w:rFonts w:eastAsia="Calibri"/>
          <w:lang w:val="en-US"/>
        </w:rPr>
        <w:t xml:space="preserve">The </w:t>
      </w:r>
      <w:r w:rsidRPr="00920844">
        <w:rPr>
          <w:rFonts w:eastAsia="Calibri"/>
          <w:b/>
          <w:lang w:val="en-US"/>
        </w:rPr>
        <w:t xml:space="preserve">RRF investment </w:t>
      </w:r>
      <w:r w:rsidRPr="00920844">
        <w:rPr>
          <w:rFonts w:eastAsia="Calibri"/>
          <w:lang w:val="en-US"/>
        </w:rPr>
        <w:t xml:space="preserve">of </w:t>
      </w:r>
      <w:r w:rsidRPr="00920844">
        <w:rPr>
          <w:rFonts w:eastAsia="Calibri"/>
          <w:b/>
          <w:lang w:val="en-US"/>
        </w:rPr>
        <w:t>Social Integration</w:t>
      </w:r>
      <w:r w:rsidRPr="00920844">
        <w:rPr>
          <w:rFonts w:eastAsia="Calibri"/>
          <w:lang w:val="en-US"/>
        </w:rPr>
        <w:t xml:space="preserve"> encompasses three key sub-projects. The first focuses on the social reintegration of the most vulnerable groups, including recipients of the guaranteed minimum income, Roma communities and homeless individuals. It aims to support these groups in reintegrating into the labour market through a comprehensive training and employment program, enhancing their employability, reducing their reliance on social assistance and mitigating the risk of marginalisation and poverty. The second sub-project provides digital training for the elderly and individuals with disabilities, equipping them with skills in new technologies. This includes activities such as making electronic payments, submitting applications via digital platforms, and using social media. The third sub-project addresses social housing, offering housing support to vulnerable groups at risk of homelessness, in accordance with the principles of the European Pillar of Social Rights ’’Social Protection’’ and ‘’Housing and assistance for the homeless’’.  It includes plans to encourage property owners to participate in a pool of social rental housing, making these properties available through housing assistance programs with long-term, reduced rent/leases for vulnerable populations. </w:t>
      </w:r>
      <w:r>
        <w:rPr>
          <w:rFonts w:eastAsia="Calibri"/>
        </w:rPr>
        <w:t>Τ</w:t>
      </w:r>
      <w:r w:rsidRPr="00C2631D">
        <w:rPr>
          <w:rFonts w:eastAsia="Calibri"/>
          <w:lang w:val="en-US"/>
        </w:rPr>
        <w:t>he investment is scheduled for full implementation by 2026.</w:t>
      </w:r>
    </w:p>
    <w:p w14:paraId="02172EAA" w14:textId="77777777" w:rsidR="00C61056" w:rsidRDefault="00C61056" w:rsidP="003B0199">
      <w:pPr>
        <w:rPr>
          <w:rFonts w:eastAsia="Calibri"/>
          <w:lang w:val="en-US"/>
        </w:rPr>
      </w:pPr>
    </w:p>
    <w:p w14:paraId="2FA07C0E" w14:textId="6CA93DC6" w:rsidR="00987A40" w:rsidRPr="000D4DE6" w:rsidRDefault="003C748F" w:rsidP="00C33755">
      <w:pPr>
        <w:pStyle w:val="Heading2"/>
        <w:pBdr>
          <w:bottom w:val="single" w:sz="18" w:space="1" w:color="FF3300"/>
        </w:pBdr>
        <w:rPr>
          <w:lang w:val="en-US"/>
        </w:rPr>
      </w:pPr>
      <w:bookmarkStart w:id="115" w:name="_Toc177496815"/>
      <w:bookmarkStart w:id="116" w:name="_Toc178070117"/>
      <w:r>
        <w:rPr>
          <w:lang w:val="en-US"/>
        </w:rPr>
        <w:t>M</w:t>
      </w:r>
      <w:r w:rsidRPr="000D4DE6">
        <w:rPr>
          <w:lang w:val="en-US"/>
        </w:rPr>
        <w:t xml:space="preserve">inistry of </w:t>
      </w:r>
      <w:r>
        <w:rPr>
          <w:lang w:val="en-US"/>
        </w:rPr>
        <w:t>M</w:t>
      </w:r>
      <w:r w:rsidRPr="000D4DE6">
        <w:rPr>
          <w:lang w:val="en-US"/>
        </w:rPr>
        <w:t xml:space="preserve">aritime </w:t>
      </w:r>
      <w:r>
        <w:rPr>
          <w:lang w:val="en-US"/>
        </w:rPr>
        <w:t>A</w:t>
      </w:r>
      <w:r w:rsidRPr="000D4DE6">
        <w:rPr>
          <w:lang w:val="en-US"/>
        </w:rPr>
        <w:t xml:space="preserve">ffairs and </w:t>
      </w:r>
      <w:r>
        <w:rPr>
          <w:lang w:val="en-US"/>
        </w:rPr>
        <w:t>I</w:t>
      </w:r>
      <w:r w:rsidRPr="000D4DE6">
        <w:rPr>
          <w:lang w:val="en-US"/>
        </w:rPr>
        <w:t xml:space="preserve">nsular </w:t>
      </w:r>
      <w:bookmarkEnd w:id="115"/>
      <w:r>
        <w:rPr>
          <w:lang w:val="en-US"/>
        </w:rPr>
        <w:t>P</w:t>
      </w:r>
      <w:r w:rsidRPr="000D4DE6">
        <w:rPr>
          <w:lang w:val="en-US"/>
        </w:rPr>
        <w:t>olicy</w:t>
      </w:r>
      <w:bookmarkEnd w:id="116"/>
    </w:p>
    <w:p w14:paraId="21E23794" w14:textId="4E65D898" w:rsidR="008A627E" w:rsidRDefault="008A627E" w:rsidP="00A769F9">
      <w:pPr>
        <w:rPr>
          <w:rFonts w:eastAsia="Calibri"/>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583"/>
        <w:gridCol w:w="1552"/>
        <w:gridCol w:w="1362"/>
        <w:gridCol w:w="2575"/>
      </w:tblGrid>
      <w:tr w:rsidR="00C61056" w:rsidRPr="00EE72AB" w14:paraId="638E3712" w14:textId="77777777" w:rsidTr="00EE72AB">
        <w:trPr>
          <w:trHeight w:val="113"/>
          <w:jc w:val="center"/>
        </w:trPr>
        <w:tc>
          <w:tcPr>
            <w:tcW w:w="3675" w:type="dxa"/>
            <w:shd w:val="clear" w:color="auto" w:fill="CFE2F3"/>
            <w:tcMar>
              <w:top w:w="0" w:type="dxa"/>
              <w:left w:w="40" w:type="dxa"/>
              <w:bottom w:w="0" w:type="dxa"/>
              <w:right w:w="40" w:type="dxa"/>
            </w:tcMar>
          </w:tcPr>
          <w:p w14:paraId="7E4EC873" w14:textId="77777777" w:rsidR="00C61056" w:rsidRPr="00EE72AB" w:rsidRDefault="00C61056" w:rsidP="00EE72AB">
            <w:pPr>
              <w:pStyle w:val="Tabletext"/>
              <w:rPr>
                <w:rFonts w:eastAsia="Calibri"/>
                <w:b/>
              </w:rPr>
            </w:pPr>
            <w:r w:rsidRPr="00EE72AB">
              <w:rPr>
                <w:rFonts w:eastAsia="Calibri"/>
                <w:b/>
              </w:rPr>
              <w:t>REFORM / INVESTMENT</w:t>
            </w:r>
          </w:p>
        </w:tc>
        <w:tc>
          <w:tcPr>
            <w:tcW w:w="1590" w:type="dxa"/>
            <w:shd w:val="clear" w:color="auto" w:fill="CFE2F3"/>
            <w:tcMar>
              <w:top w:w="0" w:type="dxa"/>
              <w:left w:w="40" w:type="dxa"/>
              <w:bottom w:w="0" w:type="dxa"/>
              <w:right w:w="40" w:type="dxa"/>
            </w:tcMar>
          </w:tcPr>
          <w:p w14:paraId="2F6CD359" w14:textId="77777777" w:rsidR="00C61056" w:rsidRPr="00EE72AB" w:rsidRDefault="00C61056" w:rsidP="00EE72AB">
            <w:pPr>
              <w:pStyle w:val="Tabletext"/>
              <w:rPr>
                <w:rFonts w:eastAsia="Calibri"/>
                <w:b/>
              </w:rPr>
            </w:pPr>
            <w:r w:rsidRPr="00EE72AB">
              <w:rPr>
                <w:rFonts w:eastAsia="Calibri"/>
                <w:b/>
              </w:rPr>
              <w:t>RRF / MFF</w:t>
            </w:r>
          </w:p>
        </w:tc>
        <w:tc>
          <w:tcPr>
            <w:tcW w:w="1395" w:type="dxa"/>
            <w:shd w:val="clear" w:color="auto" w:fill="CFE2F3"/>
            <w:tcMar>
              <w:top w:w="0" w:type="dxa"/>
              <w:left w:w="40" w:type="dxa"/>
              <w:bottom w:w="0" w:type="dxa"/>
              <w:right w:w="40" w:type="dxa"/>
            </w:tcMar>
          </w:tcPr>
          <w:p w14:paraId="7CF4D991" w14:textId="77777777" w:rsidR="00C61056" w:rsidRPr="00EE72AB" w:rsidRDefault="00C61056" w:rsidP="00EE72AB">
            <w:pPr>
              <w:pStyle w:val="Tabletext"/>
              <w:rPr>
                <w:rFonts w:eastAsia="Calibri"/>
                <w:b/>
              </w:rPr>
            </w:pPr>
            <w:r w:rsidRPr="00EE72AB">
              <w:rPr>
                <w:rFonts w:eastAsia="Calibri"/>
                <w:b/>
              </w:rPr>
              <w:t>CSR</w:t>
            </w:r>
          </w:p>
        </w:tc>
        <w:tc>
          <w:tcPr>
            <w:tcW w:w="2640" w:type="dxa"/>
            <w:shd w:val="clear" w:color="auto" w:fill="CFE2F3"/>
            <w:tcMar>
              <w:top w:w="0" w:type="dxa"/>
              <w:left w:w="40" w:type="dxa"/>
              <w:bottom w:w="0" w:type="dxa"/>
              <w:right w:w="40" w:type="dxa"/>
            </w:tcMar>
          </w:tcPr>
          <w:p w14:paraId="584B8084" w14:textId="77777777" w:rsidR="00C61056" w:rsidRPr="00EE72AB" w:rsidRDefault="00C61056" w:rsidP="00EE72AB">
            <w:pPr>
              <w:pStyle w:val="Tabletext"/>
              <w:rPr>
                <w:rFonts w:eastAsia="Calibri"/>
                <w:b/>
              </w:rPr>
            </w:pPr>
            <w:r w:rsidRPr="00EE72AB">
              <w:rPr>
                <w:rFonts w:eastAsia="Calibri"/>
                <w:b/>
              </w:rPr>
              <w:t>COMMON PRIORITIES</w:t>
            </w:r>
          </w:p>
        </w:tc>
      </w:tr>
      <w:tr w:rsidR="00C61056" w:rsidRPr="00EE72AB" w14:paraId="3DA570F0" w14:textId="77777777" w:rsidTr="00EE72AB">
        <w:trPr>
          <w:trHeight w:val="113"/>
          <w:jc w:val="center"/>
        </w:trPr>
        <w:tc>
          <w:tcPr>
            <w:tcW w:w="3675" w:type="dxa"/>
            <w:tcMar>
              <w:top w:w="40" w:type="dxa"/>
              <w:left w:w="40" w:type="dxa"/>
              <w:bottom w:w="40" w:type="dxa"/>
              <w:right w:w="40" w:type="dxa"/>
            </w:tcMar>
          </w:tcPr>
          <w:p w14:paraId="61E395B0" w14:textId="0879A070" w:rsidR="00C61056" w:rsidRPr="00EE72AB" w:rsidRDefault="00BA03C0" w:rsidP="00EE72AB">
            <w:pPr>
              <w:pStyle w:val="Tabletext"/>
              <w:rPr>
                <w:rFonts w:eastAsia="Calibri"/>
              </w:rPr>
            </w:pPr>
            <w:r w:rsidRPr="00BA03C0">
              <w:rPr>
                <w:rFonts w:eastAsia="Calibri"/>
                <w:b/>
              </w:rPr>
              <w:t>INVESTMENT 1:</w:t>
            </w:r>
            <w:r w:rsidR="00C61056" w:rsidRPr="00EE72AB">
              <w:rPr>
                <w:rFonts w:eastAsia="Calibri"/>
              </w:rPr>
              <w:t xml:space="preserve"> Master plan for the renewal of the Greek passenger shipping fleet</w:t>
            </w:r>
          </w:p>
        </w:tc>
        <w:tc>
          <w:tcPr>
            <w:tcW w:w="1590" w:type="dxa"/>
            <w:tcMar>
              <w:top w:w="40" w:type="dxa"/>
              <w:left w:w="40" w:type="dxa"/>
              <w:bottom w:w="40" w:type="dxa"/>
              <w:right w:w="40" w:type="dxa"/>
            </w:tcMar>
          </w:tcPr>
          <w:p w14:paraId="72F26D35" w14:textId="77777777" w:rsidR="00C61056" w:rsidRPr="00EE72AB" w:rsidRDefault="00C61056" w:rsidP="00EE72AB">
            <w:pPr>
              <w:pStyle w:val="Tabletext"/>
              <w:rPr>
                <w:rFonts w:eastAsia="Calibri"/>
              </w:rPr>
            </w:pPr>
            <w:r w:rsidRPr="00EE72AB">
              <w:rPr>
                <w:rFonts w:eastAsia="Calibri"/>
              </w:rPr>
              <w:t>RRF 16944</w:t>
            </w:r>
          </w:p>
        </w:tc>
        <w:tc>
          <w:tcPr>
            <w:tcW w:w="1395" w:type="dxa"/>
            <w:tcMar>
              <w:top w:w="40" w:type="dxa"/>
              <w:left w:w="40" w:type="dxa"/>
              <w:bottom w:w="40" w:type="dxa"/>
              <w:right w:w="40" w:type="dxa"/>
            </w:tcMar>
          </w:tcPr>
          <w:p w14:paraId="59547626" w14:textId="77777777" w:rsidR="00C61056" w:rsidRPr="00EE72AB" w:rsidRDefault="00C61056" w:rsidP="00EE72AB">
            <w:pPr>
              <w:pStyle w:val="Tabletext"/>
              <w:rPr>
                <w:rFonts w:eastAsia="Calibri"/>
              </w:rPr>
            </w:pPr>
            <w:r w:rsidRPr="00EE72AB">
              <w:rPr>
                <w:rFonts w:eastAsia="Calibri"/>
              </w:rPr>
              <w:t>2024.CSR 2.1</w:t>
            </w:r>
          </w:p>
          <w:p w14:paraId="18457F3A" w14:textId="77777777" w:rsidR="00C61056" w:rsidRPr="00EE72AB" w:rsidRDefault="00C61056" w:rsidP="00EE72AB">
            <w:pPr>
              <w:pStyle w:val="Tabletext"/>
              <w:rPr>
                <w:rFonts w:eastAsia="Calibri"/>
              </w:rPr>
            </w:pPr>
            <w:r w:rsidRPr="00EE72AB">
              <w:rPr>
                <w:rFonts w:eastAsia="Calibri"/>
              </w:rPr>
              <w:t xml:space="preserve">2023.CSR4.6 2022.CSR4.6 2020.CSR3.4 </w:t>
            </w:r>
            <w:r w:rsidRPr="00EE72AB">
              <w:rPr>
                <w:rFonts w:eastAsia="Calibri"/>
              </w:rPr>
              <w:lastRenderedPageBreak/>
              <w:t>2020.CSR3.3 2019.CSR2.1</w:t>
            </w:r>
          </w:p>
        </w:tc>
        <w:tc>
          <w:tcPr>
            <w:tcW w:w="2640" w:type="dxa"/>
            <w:tcMar>
              <w:top w:w="40" w:type="dxa"/>
              <w:left w:w="40" w:type="dxa"/>
              <w:bottom w:w="40" w:type="dxa"/>
              <w:right w:w="40" w:type="dxa"/>
            </w:tcMar>
          </w:tcPr>
          <w:p w14:paraId="3D2E8B5E" w14:textId="77777777" w:rsidR="00C61056" w:rsidRPr="00EE72AB" w:rsidRDefault="00C61056" w:rsidP="00EE72AB">
            <w:pPr>
              <w:pStyle w:val="Tabletext"/>
              <w:rPr>
                <w:rFonts w:eastAsia="Calibri"/>
              </w:rPr>
            </w:pPr>
            <w:r w:rsidRPr="00EE72AB">
              <w:rPr>
                <w:rFonts w:eastAsia="Calibri"/>
              </w:rPr>
              <w:lastRenderedPageBreak/>
              <w:t>Fair green &amp; digital transition</w:t>
            </w:r>
          </w:p>
        </w:tc>
      </w:tr>
      <w:tr w:rsidR="00C61056" w:rsidRPr="00EE72AB" w14:paraId="60B7D2D6" w14:textId="77777777" w:rsidTr="00EE72AB">
        <w:trPr>
          <w:trHeight w:val="113"/>
          <w:jc w:val="center"/>
        </w:trPr>
        <w:tc>
          <w:tcPr>
            <w:tcW w:w="3675" w:type="dxa"/>
            <w:tcMar>
              <w:top w:w="40" w:type="dxa"/>
              <w:left w:w="40" w:type="dxa"/>
              <w:bottom w:w="40" w:type="dxa"/>
              <w:right w:w="40" w:type="dxa"/>
            </w:tcMar>
          </w:tcPr>
          <w:p w14:paraId="0EEA6E39" w14:textId="26F26BDB" w:rsidR="00C61056" w:rsidRPr="00EE72AB" w:rsidRDefault="00BA03C0" w:rsidP="00EE72AB">
            <w:pPr>
              <w:pStyle w:val="Tabletext"/>
              <w:rPr>
                <w:rFonts w:eastAsia="Calibri"/>
              </w:rPr>
            </w:pPr>
            <w:r w:rsidRPr="00BA03C0">
              <w:rPr>
                <w:rFonts w:eastAsia="Calibri"/>
                <w:b/>
              </w:rPr>
              <w:t>INVESTMENT 2:</w:t>
            </w:r>
            <w:r w:rsidR="00C61056" w:rsidRPr="00EE72AB">
              <w:rPr>
                <w:rFonts w:eastAsia="Calibri"/>
              </w:rPr>
              <w:t xml:space="preserve"> Upgrade Interventions for Regional Ports</w:t>
            </w:r>
          </w:p>
        </w:tc>
        <w:tc>
          <w:tcPr>
            <w:tcW w:w="1590" w:type="dxa"/>
            <w:tcMar>
              <w:top w:w="40" w:type="dxa"/>
              <w:left w:w="40" w:type="dxa"/>
              <w:bottom w:w="40" w:type="dxa"/>
              <w:right w:w="40" w:type="dxa"/>
            </w:tcMar>
          </w:tcPr>
          <w:p w14:paraId="52933BAD" w14:textId="77777777" w:rsidR="00C61056" w:rsidRPr="00EE72AB" w:rsidRDefault="00C61056" w:rsidP="00EE72AB">
            <w:pPr>
              <w:pStyle w:val="Tabletext"/>
              <w:rPr>
                <w:rFonts w:eastAsia="Calibri"/>
              </w:rPr>
            </w:pPr>
            <w:r w:rsidRPr="00EE72AB">
              <w:rPr>
                <w:rFonts w:eastAsia="Calibri"/>
              </w:rPr>
              <w:t>RRF 16975</w:t>
            </w:r>
          </w:p>
        </w:tc>
        <w:tc>
          <w:tcPr>
            <w:tcW w:w="1395" w:type="dxa"/>
            <w:tcMar>
              <w:top w:w="40" w:type="dxa"/>
              <w:left w:w="40" w:type="dxa"/>
              <w:bottom w:w="40" w:type="dxa"/>
              <w:right w:w="40" w:type="dxa"/>
            </w:tcMar>
          </w:tcPr>
          <w:p w14:paraId="756533CF" w14:textId="77777777" w:rsidR="00C61056" w:rsidRPr="00EE72AB" w:rsidRDefault="00C61056" w:rsidP="00EE72AB">
            <w:pPr>
              <w:pStyle w:val="Tabletext"/>
              <w:rPr>
                <w:rFonts w:eastAsia="Calibri"/>
              </w:rPr>
            </w:pPr>
            <w:r w:rsidRPr="00EE72AB">
              <w:rPr>
                <w:rFonts w:eastAsia="Calibri"/>
              </w:rPr>
              <w:t>2024.CSR 2.1</w:t>
            </w:r>
          </w:p>
          <w:p w14:paraId="468195D8" w14:textId="77777777" w:rsidR="00C61056" w:rsidRPr="00EE72AB" w:rsidRDefault="00C61056" w:rsidP="00EE72AB">
            <w:pPr>
              <w:pStyle w:val="Tabletext"/>
              <w:rPr>
                <w:rFonts w:eastAsia="Calibri"/>
              </w:rPr>
            </w:pPr>
            <w:r w:rsidRPr="00EE72AB">
              <w:rPr>
                <w:rFonts w:eastAsia="Calibri"/>
              </w:rPr>
              <w:t>2023.CSR4.6 2022.CSR4.6 2020.CSR3.4 2019.CSR2.1</w:t>
            </w:r>
          </w:p>
        </w:tc>
        <w:tc>
          <w:tcPr>
            <w:tcW w:w="2640" w:type="dxa"/>
            <w:tcMar>
              <w:top w:w="40" w:type="dxa"/>
              <w:left w:w="40" w:type="dxa"/>
              <w:bottom w:w="40" w:type="dxa"/>
              <w:right w:w="40" w:type="dxa"/>
            </w:tcMar>
          </w:tcPr>
          <w:p w14:paraId="745E4CDE" w14:textId="77777777" w:rsidR="00C61056" w:rsidRPr="00EE72AB" w:rsidRDefault="00C61056" w:rsidP="00EE72AB">
            <w:pPr>
              <w:pStyle w:val="Tabletext"/>
              <w:rPr>
                <w:rFonts w:eastAsia="Calibri"/>
              </w:rPr>
            </w:pPr>
            <w:r w:rsidRPr="00EE72AB">
              <w:rPr>
                <w:rFonts w:eastAsia="Calibri"/>
              </w:rPr>
              <w:t>Fair green &amp; digital transition</w:t>
            </w:r>
          </w:p>
        </w:tc>
      </w:tr>
      <w:tr w:rsidR="00C61056" w:rsidRPr="00EE72AB" w14:paraId="13D92A8B" w14:textId="77777777" w:rsidTr="00EE72AB">
        <w:trPr>
          <w:trHeight w:val="113"/>
          <w:jc w:val="center"/>
        </w:trPr>
        <w:tc>
          <w:tcPr>
            <w:tcW w:w="3675" w:type="dxa"/>
            <w:tcMar>
              <w:top w:w="40" w:type="dxa"/>
              <w:left w:w="40" w:type="dxa"/>
              <w:bottom w:w="40" w:type="dxa"/>
              <w:right w:w="40" w:type="dxa"/>
            </w:tcMar>
          </w:tcPr>
          <w:p w14:paraId="0720550E" w14:textId="2F4299C9" w:rsidR="00C61056" w:rsidRPr="00EE72AB" w:rsidRDefault="00BA03C0" w:rsidP="00EE72AB">
            <w:pPr>
              <w:pStyle w:val="Tabletext"/>
              <w:rPr>
                <w:rFonts w:eastAsia="Calibri"/>
              </w:rPr>
            </w:pPr>
            <w:r w:rsidRPr="00BA03C0">
              <w:rPr>
                <w:rFonts w:eastAsia="Calibri"/>
                <w:b/>
              </w:rPr>
              <w:t>INVESTMENT 3:</w:t>
            </w:r>
            <w:r w:rsidR="00C61056" w:rsidRPr="00EE72AB">
              <w:rPr>
                <w:rFonts w:eastAsia="Calibri"/>
              </w:rPr>
              <w:t xml:space="preserve"> Improvement of the accessibility of the islands by developing a coastal transport system</w:t>
            </w:r>
          </w:p>
        </w:tc>
        <w:tc>
          <w:tcPr>
            <w:tcW w:w="1590" w:type="dxa"/>
            <w:tcMar>
              <w:top w:w="40" w:type="dxa"/>
              <w:left w:w="40" w:type="dxa"/>
              <w:bottom w:w="40" w:type="dxa"/>
              <w:right w:w="40" w:type="dxa"/>
            </w:tcMar>
          </w:tcPr>
          <w:p w14:paraId="7E6BB07B" w14:textId="77777777" w:rsidR="00C61056" w:rsidRPr="00EE72AB" w:rsidRDefault="00C61056" w:rsidP="00EE72AB">
            <w:pPr>
              <w:pStyle w:val="Tabletext"/>
              <w:rPr>
                <w:rFonts w:eastAsia="Calibri"/>
              </w:rPr>
            </w:pPr>
            <w:r w:rsidRPr="00EE72AB">
              <w:rPr>
                <w:rFonts w:eastAsia="Calibri"/>
              </w:rPr>
              <w:t>MFF</w:t>
            </w:r>
          </w:p>
        </w:tc>
        <w:tc>
          <w:tcPr>
            <w:tcW w:w="1395" w:type="dxa"/>
            <w:tcMar>
              <w:top w:w="40" w:type="dxa"/>
              <w:left w:w="40" w:type="dxa"/>
              <w:bottom w:w="40" w:type="dxa"/>
              <w:right w:w="40" w:type="dxa"/>
            </w:tcMar>
          </w:tcPr>
          <w:p w14:paraId="045E59F2" w14:textId="77777777" w:rsidR="00C61056" w:rsidRPr="00EE72AB" w:rsidRDefault="00C61056" w:rsidP="00EE72AB">
            <w:pPr>
              <w:pStyle w:val="Tabletext"/>
              <w:rPr>
                <w:rFonts w:eastAsia="Calibri"/>
              </w:rPr>
            </w:pPr>
            <w:r w:rsidRPr="00EE72AB">
              <w:rPr>
                <w:rFonts w:eastAsia="Calibri"/>
              </w:rPr>
              <w:t>2023 CSR 4.1</w:t>
            </w:r>
          </w:p>
          <w:p w14:paraId="32AD44C0" w14:textId="77777777" w:rsidR="00C61056" w:rsidRPr="00EE72AB" w:rsidRDefault="00C61056" w:rsidP="00EE72AB">
            <w:pPr>
              <w:pStyle w:val="Tabletext"/>
              <w:rPr>
                <w:rFonts w:eastAsia="Calibri"/>
              </w:rPr>
            </w:pPr>
            <w:r w:rsidRPr="00EE72AB">
              <w:rPr>
                <w:rFonts w:eastAsia="Calibri"/>
              </w:rPr>
              <w:t>2022 CSR 4.1</w:t>
            </w:r>
          </w:p>
        </w:tc>
        <w:tc>
          <w:tcPr>
            <w:tcW w:w="2640" w:type="dxa"/>
            <w:tcMar>
              <w:top w:w="40" w:type="dxa"/>
              <w:left w:w="40" w:type="dxa"/>
              <w:bottom w:w="40" w:type="dxa"/>
              <w:right w:w="40" w:type="dxa"/>
            </w:tcMar>
          </w:tcPr>
          <w:p w14:paraId="3C333731" w14:textId="77777777" w:rsidR="00C61056" w:rsidRPr="00EE72AB" w:rsidRDefault="00C61056" w:rsidP="00EE72AB">
            <w:pPr>
              <w:pStyle w:val="Tabletext"/>
              <w:rPr>
                <w:rFonts w:eastAsia="Calibri"/>
              </w:rPr>
            </w:pPr>
            <w:r w:rsidRPr="00EE72AB">
              <w:rPr>
                <w:rFonts w:eastAsia="Calibri"/>
              </w:rPr>
              <w:t>Fair green &amp; digital transition</w:t>
            </w:r>
          </w:p>
        </w:tc>
      </w:tr>
      <w:tr w:rsidR="00C61056" w:rsidRPr="00EE72AB" w14:paraId="4A7B6774" w14:textId="77777777" w:rsidTr="00EE72AB">
        <w:trPr>
          <w:trHeight w:val="113"/>
          <w:jc w:val="center"/>
        </w:trPr>
        <w:tc>
          <w:tcPr>
            <w:tcW w:w="3675" w:type="dxa"/>
            <w:tcMar>
              <w:top w:w="40" w:type="dxa"/>
              <w:left w:w="40" w:type="dxa"/>
              <w:bottom w:w="40" w:type="dxa"/>
              <w:right w:w="40" w:type="dxa"/>
            </w:tcMar>
          </w:tcPr>
          <w:p w14:paraId="0D41E4E0" w14:textId="2E2C3293" w:rsidR="00C61056" w:rsidRPr="00EE72AB" w:rsidRDefault="00BA03C0" w:rsidP="00EE72AB">
            <w:pPr>
              <w:pStyle w:val="Tabletext"/>
              <w:rPr>
                <w:rFonts w:eastAsia="Calibri"/>
              </w:rPr>
            </w:pPr>
            <w:r w:rsidRPr="00BA03C0">
              <w:rPr>
                <w:rFonts w:eastAsia="Calibri"/>
                <w:b/>
              </w:rPr>
              <w:t>INVESTMENT 4:</w:t>
            </w:r>
            <w:r w:rsidR="00C61056" w:rsidRPr="00EE72AB">
              <w:rPr>
                <w:rFonts w:eastAsia="Calibri"/>
              </w:rPr>
              <w:t xml:space="preserve"> Upgrade of port infrastructures on islands</w:t>
            </w:r>
          </w:p>
        </w:tc>
        <w:tc>
          <w:tcPr>
            <w:tcW w:w="1590" w:type="dxa"/>
            <w:tcMar>
              <w:top w:w="40" w:type="dxa"/>
              <w:left w:w="40" w:type="dxa"/>
              <w:bottom w:w="40" w:type="dxa"/>
              <w:right w:w="40" w:type="dxa"/>
            </w:tcMar>
          </w:tcPr>
          <w:p w14:paraId="33F618B4" w14:textId="77777777" w:rsidR="00C61056" w:rsidRPr="00EE72AB" w:rsidRDefault="00C61056" w:rsidP="00EE72AB">
            <w:pPr>
              <w:pStyle w:val="Tabletext"/>
              <w:rPr>
                <w:rFonts w:eastAsia="Calibri"/>
              </w:rPr>
            </w:pPr>
            <w:r w:rsidRPr="00EE72AB">
              <w:rPr>
                <w:rFonts w:eastAsia="Calibri"/>
              </w:rPr>
              <w:t>MFF</w:t>
            </w:r>
          </w:p>
        </w:tc>
        <w:tc>
          <w:tcPr>
            <w:tcW w:w="1395" w:type="dxa"/>
            <w:tcMar>
              <w:top w:w="40" w:type="dxa"/>
              <w:left w:w="40" w:type="dxa"/>
              <w:bottom w:w="40" w:type="dxa"/>
              <w:right w:w="40" w:type="dxa"/>
            </w:tcMar>
          </w:tcPr>
          <w:p w14:paraId="031E7521" w14:textId="77777777" w:rsidR="00C61056" w:rsidRPr="00EE72AB" w:rsidRDefault="00C61056" w:rsidP="00EE72AB">
            <w:pPr>
              <w:pStyle w:val="Tabletext"/>
              <w:rPr>
                <w:rFonts w:eastAsia="Calibri"/>
              </w:rPr>
            </w:pPr>
            <w:r w:rsidRPr="00EE72AB">
              <w:rPr>
                <w:rFonts w:eastAsia="Calibri"/>
              </w:rPr>
              <w:t xml:space="preserve"> </w:t>
            </w:r>
          </w:p>
        </w:tc>
        <w:tc>
          <w:tcPr>
            <w:tcW w:w="2640" w:type="dxa"/>
            <w:tcMar>
              <w:top w:w="40" w:type="dxa"/>
              <w:left w:w="40" w:type="dxa"/>
              <w:bottom w:w="40" w:type="dxa"/>
              <w:right w:w="40" w:type="dxa"/>
            </w:tcMar>
          </w:tcPr>
          <w:p w14:paraId="42802E42" w14:textId="77777777" w:rsidR="00C61056" w:rsidRPr="00EE72AB" w:rsidRDefault="00C61056" w:rsidP="00EE72AB">
            <w:pPr>
              <w:pStyle w:val="Tabletext"/>
              <w:rPr>
                <w:rFonts w:eastAsia="Calibri"/>
              </w:rPr>
            </w:pPr>
            <w:r w:rsidRPr="00EE72AB">
              <w:rPr>
                <w:rFonts w:eastAsia="Calibri"/>
              </w:rPr>
              <w:t>Fair green &amp; digital transition</w:t>
            </w:r>
          </w:p>
        </w:tc>
      </w:tr>
      <w:tr w:rsidR="00C61056" w:rsidRPr="00EE72AB" w14:paraId="7B013A19" w14:textId="77777777" w:rsidTr="00EE72AB">
        <w:trPr>
          <w:trHeight w:val="113"/>
          <w:jc w:val="center"/>
        </w:trPr>
        <w:tc>
          <w:tcPr>
            <w:tcW w:w="3675" w:type="dxa"/>
            <w:tcMar>
              <w:top w:w="40" w:type="dxa"/>
              <w:left w:w="40" w:type="dxa"/>
              <w:bottom w:w="40" w:type="dxa"/>
              <w:right w:w="40" w:type="dxa"/>
            </w:tcMar>
          </w:tcPr>
          <w:p w14:paraId="7B3CB6F0" w14:textId="66D49864" w:rsidR="00C61056" w:rsidRPr="00EE72AB" w:rsidRDefault="00BA03C0" w:rsidP="00EE72AB">
            <w:pPr>
              <w:pStyle w:val="Tabletext"/>
              <w:rPr>
                <w:rFonts w:eastAsia="Calibri"/>
              </w:rPr>
            </w:pPr>
            <w:r w:rsidRPr="00BA03C0">
              <w:rPr>
                <w:rFonts w:eastAsia="Calibri"/>
                <w:b/>
              </w:rPr>
              <w:t>INVESTMENT 5:</w:t>
            </w:r>
            <w:r w:rsidR="00C61056" w:rsidRPr="00EE72AB">
              <w:rPr>
                <w:rFonts w:eastAsia="Calibri"/>
              </w:rPr>
              <w:t xml:space="preserve"> Digital tools for monitoring arrivals and departures of ships at ports and facilitating passengers and vehicles transportation</w:t>
            </w:r>
          </w:p>
        </w:tc>
        <w:tc>
          <w:tcPr>
            <w:tcW w:w="1590" w:type="dxa"/>
            <w:tcMar>
              <w:top w:w="40" w:type="dxa"/>
              <w:left w:w="40" w:type="dxa"/>
              <w:bottom w:w="40" w:type="dxa"/>
              <w:right w:w="40" w:type="dxa"/>
            </w:tcMar>
          </w:tcPr>
          <w:p w14:paraId="6343014F" w14:textId="77777777" w:rsidR="00C61056" w:rsidRPr="00EE72AB" w:rsidRDefault="00C61056" w:rsidP="00EE72AB">
            <w:pPr>
              <w:pStyle w:val="Tabletext"/>
              <w:rPr>
                <w:rFonts w:eastAsia="Calibri"/>
              </w:rPr>
            </w:pPr>
            <w:r w:rsidRPr="00EE72AB">
              <w:rPr>
                <w:rFonts w:eastAsia="Calibri"/>
              </w:rPr>
              <w:t>MFF</w:t>
            </w:r>
          </w:p>
        </w:tc>
        <w:tc>
          <w:tcPr>
            <w:tcW w:w="1395" w:type="dxa"/>
            <w:tcMar>
              <w:top w:w="40" w:type="dxa"/>
              <w:left w:w="40" w:type="dxa"/>
              <w:bottom w:w="40" w:type="dxa"/>
              <w:right w:w="40" w:type="dxa"/>
            </w:tcMar>
          </w:tcPr>
          <w:p w14:paraId="1C9611BD" w14:textId="77777777" w:rsidR="00C61056" w:rsidRPr="00EE72AB" w:rsidRDefault="00C61056" w:rsidP="00EE72AB">
            <w:pPr>
              <w:pStyle w:val="Tabletext"/>
              <w:rPr>
                <w:rFonts w:eastAsia="Calibri"/>
              </w:rPr>
            </w:pPr>
            <w:r w:rsidRPr="00EE72AB">
              <w:rPr>
                <w:rFonts w:eastAsia="Calibri"/>
              </w:rPr>
              <w:t xml:space="preserve"> </w:t>
            </w:r>
          </w:p>
        </w:tc>
        <w:tc>
          <w:tcPr>
            <w:tcW w:w="2640" w:type="dxa"/>
            <w:tcMar>
              <w:top w:w="40" w:type="dxa"/>
              <w:left w:w="40" w:type="dxa"/>
              <w:bottom w:w="40" w:type="dxa"/>
              <w:right w:w="40" w:type="dxa"/>
            </w:tcMar>
          </w:tcPr>
          <w:p w14:paraId="44333190" w14:textId="77777777" w:rsidR="00C61056" w:rsidRPr="00EE72AB" w:rsidRDefault="00C61056" w:rsidP="00EE72AB">
            <w:pPr>
              <w:pStyle w:val="Tabletext"/>
              <w:rPr>
                <w:rFonts w:eastAsia="Calibri"/>
              </w:rPr>
            </w:pPr>
            <w:r w:rsidRPr="00EE72AB">
              <w:rPr>
                <w:rFonts w:eastAsia="Calibri"/>
              </w:rPr>
              <w:t>Fair green &amp; digital transition</w:t>
            </w:r>
          </w:p>
        </w:tc>
      </w:tr>
    </w:tbl>
    <w:p w14:paraId="343318D6" w14:textId="791EDAA6" w:rsidR="00C61056" w:rsidRDefault="00C61056" w:rsidP="00A769F9">
      <w:pPr>
        <w:rPr>
          <w:rFonts w:eastAsia="Calibri"/>
          <w:lang w:val="en-US"/>
        </w:rPr>
      </w:pPr>
    </w:p>
    <w:p w14:paraId="513091F9" w14:textId="77777777" w:rsidR="007C3704" w:rsidRPr="00920844" w:rsidRDefault="007C3704" w:rsidP="00920844">
      <w:pPr>
        <w:rPr>
          <w:rFonts w:eastAsia="Calibri"/>
          <w:lang w:val="en-US"/>
        </w:rPr>
      </w:pPr>
      <w:r w:rsidRPr="00920844">
        <w:rPr>
          <w:rFonts w:eastAsia="Calibri"/>
          <w:lang w:val="en-US"/>
        </w:rPr>
        <w:t xml:space="preserve">In the shipping and maritime public policy field, the emblematic RRF investment </w:t>
      </w:r>
      <w:r w:rsidRPr="00920844">
        <w:rPr>
          <w:rFonts w:eastAsia="Calibri"/>
          <w:b/>
          <w:lang w:val="en-US"/>
        </w:rPr>
        <w:t>“Master Plan for the renewal of the Greek passenger shipping fleet”</w:t>
      </w:r>
      <w:r w:rsidRPr="00920844">
        <w:rPr>
          <w:rFonts w:eastAsia="Calibri"/>
          <w:lang w:val="en-US"/>
        </w:rPr>
        <w:t xml:space="preserve"> supports the preparation of a detailed study, along with a strategy and a financing mechanism for the gradual renewal of the country's passenger ship fleet, so that it can respond to the new environmental standards. The study shall define the needs for the ship fleet upgrade as well as the timeline of the investment, the financing needs of the operators and the potential revenue that will be generated through the renewal plan. Moreover, it will define the necessary upgrade of ports` infrastructure to cope with the new vessel hosting and operation as well as the appropriate financing scheme. The implementation of the action is expected to be completed by 2026.</w:t>
      </w:r>
    </w:p>
    <w:p w14:paraId="4F5CF079" w14:textId="77777777" w:rsidR="007C3704" w:rsidRPr="00920844" w:rsidRDefault="007C3704" w:rsidP="00920844">
      <w:pPr>
        <w:rPr>
          <w:rFonts w:eastAsia="Calibri"/>
          <w:lang w:val="en-US"/>
        </w:rPr>
      </w:pPr>
      <w:r w:rsidRPr="00920844">
        <w:rPr>
          <w:rFonts w:eastAsia="Calibri"/>
          <w:lang w:val="en-US"/>
        </w:rPr>
        <w:t xml:space="preserve">The </w:t>
      </w:r>
      <w:r w:rsidRPr="00920844">
        <w:rPr>
          <w:rFonts w:eastAsia="Calibri"/>
          <w:b/>
          <w:lang w:val="en-US"/>
        </w:rPr>
        <w:t>RRF investment</w:t>
      </w:r>
      <w:r w:rsidRPr="00920844">
        <w:rPr>
          <w:rFonts w:eastAsia="Calibri"/>
          <w:lang w:val="en-US"/>
        </w:rPr>
        <w:t xml:space="preserve"> </w:t>
      </w:r>
      <w:r w:rsidRPr="00920844">
        <w:rPr>
          <w:rFonts w:eastAsia="Calibri"/>
          <w:b/>
          <w:lang w:val="en-US"/>
        </w:rPr>
        <w:t>“Upgrade Interventions for Regional Ports”</w:t>
      </w:r>
      <w:r w:rsidRPr="00920844">
        <w:rPr>
          <w:rFonts w:eastAsia="Calibri"/>
          <w:lang w:val="en-US"/>
        </w:rPr>
        <w:t xml:space="preserve"> comprises of interventions to upgrade regional ports in islands and areas with developed tourism activity. The interventions shall be made in twelve ports throughout the country and consist of infrastructure improvements such as upgrading of the quays of ports to facilitate embarkation, wave-breaks, installation of floating piers, construction of service ramps, quay walls and coastal protection works. The investment is expected to be completed by 2026.</w:t>
      </w:r>
    </w:p>
    <w:p w14:paraId="3B8224D4" w14:textId="77777777" w:rsidR="007C3704" w:rsidRPr="00920844" w:rsidRDefault="007C3704" w:rsidP="00920844">
      <w:pPr>
        <w:rPr>
          <w:rFonts w:eastAsia="Calibri"/>
          <w:lang w:val="en-US"/>
        </w:rPr>
      </w:pPr>
      <w:r w:rsidRPr="00920844">
        <w:rPr>
          <w:rFonts w:eastAsia="Calibri"/>
          <w:lang w:val="en-US"/>
        </w:rPr>
        <w:t>Concerning the green transition of the passenger fleet, an innovative action entitled “</w:t>
      </w:r>
      <w:r w:rsidRPr="00920844">
        <w:rPr>
          <w:rFonts w:eastAsia="Calibri"/>
          <w:b/>
          <w:lang w:val="en-US"/>
        </w:rPr>
        <w:t>Improvement of the accessibility of the islands by developing a coastal transport system</w:t>
      </w:r>
      <w:r w:rsidRPr="00920844">
        <w:rPr>
          <w:rFonts w:eastAsia="Calibri"/>
          <w:lang w:val="en-US"/>
        </w:rPr>
        <w:t>”, co-funded under the European Regional Development Fund (ERDF) through “Transport 2021-2027” program, is on track. This project aims to launch “green” ships that do not use fossil fuels for their propulsion, to ensure coastal connections with particular regard to remote and small islands, thus promoting territorial and social cohesion in a sustainable way, fostering the renewal of the fleet and the development of low-emission ro-ro passenger ships. The investment, which will be implemented through a public-private partnership scheme, is expected to be completed by 2029.</w:t>
      </w:r>
    </w:p>
    <w:p w14:paraId="0ACBAED0" w14:textId="77777777" w:rsidR="007C3704" w:rsidRPr="00920844" w:rsidRDefault="007C3704" w:rsidP="00920844">
      <w:pPr>
        <w:rPr>
          <w:rFonts w:eastAsia="Calibri"/>
          <w:lang w:val="en-US"/>
        </w:rPr>
      </w:pPr>
      <w:r w:rsidRPr="00920844">
        <w:rPr>
          <w:rFonts w:eastAsia="Calibri"/>
          <w:lang w:val="en-US"/>
        </w:rPr>
        <w:lastRenderedPageBreak/>
        <w:t>Under the same priority of “Transport 2021-2027” program, referring to the “connectivity and accessibility of islands” an additional action regarding the “</w:t>
      </w:r>
      <w:r w:rsidRPr="00920844">
        <w:rPr>
          <w:rFonts w:eastAsia="Calibri"/>
          <w:b/>
          <w:lang w:val="en-US"/>
        </w:rPr>
        <w:t>upgrade of port infrastructures on islands</w:t>
      </w:r>
      <w:r w:rsidRPr="00920844">
        <w:rPr>
          <w:rFonts w:eastAsia="Calibri"/>
          <w:lang w:val="en-US"/>
        </w:rPr>
        <w:t xml:space="preserve">” is also co-funded under European Regional Development Fund (ERDF). This action includes multiple projects at over thirty island ports, not included in the TEN-T network, emphasizing on infrastructure safety issues, thus improving coastal passenger water transport. The investment, which is vital for the territorial, social and economic cohesion of the Greek island districts, is expected to be completed by 2029. </w:t>
      </w:r>
    </w:p>
    <w:p w14:paraId="2FB6FF07" w14:textId="259D071E" w:rsidR="00C61056" w:rsidRDefault="007C3704" w:rsidP="00A769F9">
      <w:pPr>
        <w:rPr>
          <w:rFonts w:eastAsia="Calibri"/>
          <w:lang w:val="en-US"/>
        </w:rPr>
      </w:pPr>
      <w:r w:rsidRPr="00920844">
        <w:rPr>
          <w:rFonts w:eastAsia="Calibri"/>
          <w:lang w:val="en-US"/>
        </w:rPr>
        <w:t>In the context of the upgrade of the coastal passenger water transport services, an action of high significance entitled “</w:t>
      </w:r>
      <w:r w:rsidRPr="00920844">
        <w:rPr>
          <w:rFonts w:eastAsia="Calibri"/>
          <w:b/>
          <w:lang w:val="en-US"/>
        </w:rPr>
        <w:t xml:space="preserve">Digital tools for monitoring arrivals and departures </w:t>
      </w:r>
      <w:r>
        <w:rPr>
          <w:rFonts w:eastAsia="Calibri"/>
          <w:b/>
        </w:rPr>
        <w:t>ο</w:t>
      </w:r>
      <w:r w:rsidRPr="00920844">
        <w:rPr>
          <w:rFonts w:eastAsia="Calibri"/>
          <w:b/>
          <w:lang w:val="en-US"/>
        </w:rPr>
        <w:t>f ships at ports and facilitating passengers and vehicles transportation</w:t>
      </w:r>
      <w:r w:rsidRPr="00920844">
        <w:rPr>
          <w:rFonts w:eastAsia="Calibri"/>
          <w:lang w:val="en-US"/>
        </w:rPr>
        <w:t>” is under way, co-funded under the Cohesion Fund (CF) through “Transport 2021-2027” program. This project, which aims to improve both efficiency and safety in the field of coastal transport in Greece, fostering short sea connections and territorial cohesion, is expected to be completed by 2026.</w:t>
      </w:r>
    </w:p>
    <w:p w14:paraId="1426BF1A" w14:textId="77777777" w:rsidR="00DB3136" w:rsidRDefault="00DB3136" w:rsidP="00A769F9">
      <w:pPr>
        <w:rPr>
          <w:rFonts w:eastAsia="Calibri"/>
          <w:lang w:val="en-US"/>
        </w:rPr>
      </w:pPr>
    </w:p>
    <w:p w14:paraId="4578CCF0" w14:textId="523C7830" w:rsidR="00987A40" w:rsidRPr="00C33755" w:rsidRDefault="003C748F" w:rsidP="00C33755">
      <w:pPr>
        <w:pStyle w:val="Heading2"/>
        <w:pBdr>
          <w:bottom w:val="single" w:sz="18" w:space="1" w:color="FF3300"/>
        </w:pBdr>
      </w:pPr>
      <w:bookmarkStart w:id="117" w:name="_Toc177496816"/>
      <w:bookmarkStart w:id="118" w:name="_Toc178070118"/>
      <w:r>
        <w:rPr>
          <w:lang w:val="en-US"/>
        </w:rPr>
        <w:t>M</w:t>
      </w:r>
      <w:r w:rsidRPr="00C33755">
        <w:t xml:space="preserve">inistry of </w:t>
      </w:r>
      <w:bookmarkEnd w:id="117"/>
      <w:r>
        <w:rPr>
          <w:lang w:val="en-US"/>
        </w:rPr>
        <w:t>T</w:t>
      </w:r>
      <w:r w:rsidRPr="00C33755">
        <w:t>ourism</w:t>
      </w:r>
      <w:bookmarkEnd w:id="118"/>
    </w:p>
    <w:p w14:paraId="654CA4C9" w14:textId="285A53BB" w:rsidR="00987A40" w:rsidRDefault="00987A40" w:rsidP="00987A40">
      <w:pPr>
        <w:widowControl w:val="0"/>
        <w:spacing w:after="160" w:line="240" w:lineRule="auto"/>
        <w:rPr>
          <w:rFonts w:ascii="Calibri" w:eastAsia="Calibri" w:hAnsi="Calibri" w:cs="Calibri"/>
          <w:sz w:val="24"/>
          <w:szCs w:val="24"/>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644"/>
        <w:gridCol w:w="1399"/>
        <w:gridCol w:w="1399"/>
        <w:gridCol w:w="2630"/>
      </w:tblGrid>
      <w:tr w:rsidR="00E4286E" w:rsidRPr="00EE72AB" w14:paraId="4DAF2CCD" w14:textId="77777777" w:rsidTr="00EE72AB">
        <w:trPr>
          <w:trHeight w:val="113"/>
          <w:jc w:val="center"/>
        </w:trPr>
        <w:tc>
          <w:tcPr>
            <w:tcW w:w="3765" w:type="dxa"/>
            <w:shd w:val="clear" w:color="auto" w:fill="CFE2F3"/>
            <w:tcMar>
              <w:top w:w="0" w:type="dxa"/>
              <w:left w:w="100" w:type="dxa"/>
              <w:bottom w:w="0" w:type="dxa"/>
              <w:right w:w="100" w:type="dxa"/>
            </w:tcMar>
          </w:tcPr>
          <w:p w14:paraId="53AF19C2" w14:textId="77777777" w:rsidR="00E4286E" w:rsidRPr="00EE72AB" w:rsidRDefault="00E4286E" w:rsidP="00EE72AB">
            <w:pPr>
              <w:pStyle w:val="Tabletext"/>
              <w:rPr>
                <w:rFonts w:eastAsia="Calibri"/>
                <w:b/>
              </w:rPr>
            </w:pPr>
            <w:r w:rsidRPr="00EE72AB">
              <w:rPr>
                <w:rFonts w:eastAsia="Calibri"/>
                <w:b/>
              </w:rPr>
              <w:t>REFORM / INVESTMENT</w:t>
            </w:r>
          </w:p>
        </w:tc>
        <w:tc>
          <w:tcPr>
            <w:tcW w:w="1440" w:type="dxa"/>
            <w:shd w:val="clear" w:color="auto" w:fill="CFE2F3"/>
            <w:tcMar>
              <w:top w:w="0" w:type="dxa"/>
              <w:left w:w="100" w:type="dxa"/>
              <w:bottom w:w="0" w:type="dxa"/>
              <w:right w:w="100" w:type="dxa"/>
            </w:tcMar>
          </w:tcPr>
          <w:p w14:paraId="7F7C0E33" w14:textId="77777777" w:rsidR="00E4286E" w:rsidRPr="00EE72AB" w:rsidRDefault="00E4286E" w:rsidP="00EE72AB">
            <w:pPr>
              <w:pStyle w:val="Tabletext"/>
              <w:rPr>
                <w:rFonts w:eastAsia="Calibri"/>
                <w:b/>
              </w:rPr>
            </w:pPr>
            <w:r w:rsidRPr="00EE72AB">
              <w:rPr>
                <w:rFonts w:eastAsia="Calibri"/>
                <w:b/>
              </w:rPr>
              <w:t>RRF / MFF</w:t>
            </w:r>
          </w:p>
        </w:tc>
        <w:tc>
          <w:tcPr>
            <w:tcW w:w="1440" w:type="dxa"/>
            <w:shd w:val="clear" w:color="auto" w:fill="CFE2F3"/>
            <w:tcMar>
              <w:top w:w="0" w:type="dxa"/>
              <w:left w:w="100" w:type="dxa"/>
              <w:bottom w:w="0" w:type="dxa"/>
              <w:right w:w="100" w:type="dxa"/>
            </w:tcMar>
          </w:tcPr>
          <w:p w14:paraId="5539BBDA" w14:textId="77777777" w:rsidR="00E4286E" w:rsidRPr="00EE72AB" w:rsidRDefault="00E4286E" w:rsidP="00EE72AB">
            <w:pPr>
              <w:pStyle w:val="Tabletext"/>
              <w:rPr>
                <w:rFonts w:eastAsia="Calibri"/>
                <w:b/>
              </w:rPr>
            </w:pPr>
            <w:r w:rsidRPr="00EE72AB">
              <w:rPr>
                <w:rFonts w:eastAsia="Calibri"/>
                <w:b/>
              </w:rPr>
              <w:t>CSR</w:t>
            </w:r>
          </w:p>
        </w:tc>
        <w:tc>
          <w:tcPr>
            <w:tcW w:w="2715" w:type="dxa"/>
            <w:shd w:val="clear" w:color="auto" w:fill="CFE2F3"/>
            <w:tcMar>
              <w:top w:w="0" w:type="dxa"/>
              <w:left w:w="100" w:type="dxa"/>
              <w:bottom w:w="0" w:type="dxa"/>
              <w:right w:w="100" w:type="dxa"/>
            </w:tcMar>
          </w:tcPr>
          <w:p w14:paraId="22E887D1" w14:textId="77777777" w:rsidR="00E4286E" w:rsidRPr="00EE72AB" w:rsidRDefault="00E4286E" w:rsidP="00EE72AB">
            <w:pPr>
              <w:pStyle w:val="Tabletext"/>
              <w:rPr>
                <w:rFonts w:eastAsia="Calibri"/>
                <w:b/>
              </w:rPr>
            </w:pPr>
            <w:r w:rsidRPr="00EE72AB">
              <w:rPr>
                <w:rFonts w:eastAsia="Calibri"/>
                <w:b/>
              </w:rPr>
              <w:t>COMMON PRIORITIES</w:t>
            </w:r>
          </w:p>
        </w:tc>
      </w:tr>
      <w:tr w:rsidR="00E4286E" w:rsidRPr="00EE72AB" w14:paraId="507ACCD8" w14:textId="77777777" w:rsidTr="00EE72AB">
        <w:trPr>
          <w:trHeight w:val="113"/>
          <w:jc w:val="center"/>
        </w:trPr>
        <w:tc>
          <w:tcPr>
            <w:tcW w:w="3765" w:type="dxa"/>
            <w:tcMar>
              <w:top w:w="40" w:type="dxa"/>
              <w:left w:w="40" w:type="dxa"/>
              <w:bottom w:w="40" w:type="dxa"/>
              <w:right w:w="40" w:type="dxa"/>
            </w:tcMar>
          </w:tcPr>
          <w:p w14:paraId="54568013" w14:textId="44CBB1F8" w:rsidR="00E4286E" w:rsidRPr="00EE72AB" w:rsidRDefault="00BA03C0" w:rsidP="00EE72AB">
            <w:pPr>
              <w:pStyle w:val="Tabletext"/>
              <w:rPr>
                <w:rFonts w:eastAsia="Calibri"/>
              </w:rPr>
            </w:pPr>
            <w:r w:rsidRPr="00BA03C0">
              <w:rPr>
                <w:rFonts w:eastAsia="Calibri"/>
                <w:b/>
              </w:rPr>
              <w:t>REFORM 1:</w:t>
            </w:r>
            <w:r w:rsidR="00E4286E" w:rsidRPr="00EE72AB">
              <w:rPr>
                <w:rFonts w:eastAsia="Calibri"/>
              </w:rPr>
              <w:t xml:space="preserve"> Systematic showcasing of thematic and special forms of tourism is an action which aims at completing the legal and/or regulatory framework for business activities in thematic tourism and setting up strategies/action plans for the development and promotion of thematic tourism</w:t>
            </w:r>
          </w:p>
        </w:tc>
        <w:tc>
          <w:tcPr>
            <w:tcW w:w="1440" w:type="dxa"/>
            <w:tcMar>
              <w:top w:w="40" w:type="dxa"/>
              <w:left w:w="40" w:type="dxa"/>
              <w:bottom w:w="40" w:type="dxa"/>
              <w:right w:w="40" w:type="dxa"/>
            </w:tcMar>
          </w:tcPr>
          <w:p w14:paraId="157C3D4F" w14:textId="77777777" w:rsidR="00E4286E" w:rsidRPr="00EE72AB" w:rsidRDefault="00E4286E" w:rsidP="00EE72AB">
            <w:pPr>
              <w:pStyle w:val="Tabletext"/>
              <w:rPr>
                <w:rFonts w:eastAsia="Calibri"/>
              </w:rPr>
            </w:pPr>
            <w:r w:rsidRPr="00EE72AB">
              <w:rPr>
                <w:rFonts w:eastAsia="Calibri"/>
              </w:rPr>
              <w:t>-</w:t>
            </w:r>
          </w:p>
        </w:tc>
        <w:tc>
          <w:tcPr>
            <w:tcW w:w="1440" w:type="dxa"/>
            <w:tcMar>
              <w:top w:w="40" w:type="dxa"/>
              <w:left w:w="40" w:type="dxa"/>
              <w:bottom w:w="40" w:type="dxa"/>
              <w:right w:w="40" w:type="dxa"/>
            </w:tcMar>
          </w:tcPr>
          <w:p w14:paraId="5A48C276" w14:textId="77777777" w:rsidR="00E4286E" w:rsidRPr="00EE72AB" w:rsidRDefault="00E4286E" w:rsidP="00EE72AB">
            <w:pPr>
              <w:pStyle w:val="Tabletext"/>
              <w:rPr>
                <w:rFonts w:eastAsia="Calibri"/>
              </w:rPr>
            </w:pPr>
            <w:r w:rsidRPr="00EE72AB">
              <w:rPr>
                <w:rFonts w:eastAsia="Calibri"/>
              </w:rPr>
              <w:t>2024 CSR1.4</w:t>
            </w:r>
          </w:p>
          <w:p w14:paraId="3458FCA3" w14:textId="77777777" w:rsidR="00E4286E" w:rsidRPr="00EE72AB" w:rsidRDefault="00E4286E" w:rsidP="00EE72AB">
            <w:pPr>
              <w:pStyle w:val="Tabletext"/>
              <w:rPr>
                <w:rFonts w:eastAsia="Calibri"/>
              </w:rPr>
            </w:pPr>
            <w:r w:rsidRPr="00EE72AB">
              <w:rPr>
                <w:rFonts w:eastAsia="Calibri"/>
              </w:rPr>
              <w:t>2020 CSR3.3</w:t>
            </w:r>
          </w:p>
        </w:tc>
        <w:tc>
          <w:tcPr>
            <w:tcW w:w="2715" w:type="dxa"/>
            <w:tcMar>
              <w:top w:w="40" w:type="dxa"/>
              <w:left w:w="40" w:type="dxa"/>
              <w:bottom w:w="40" w:type="dxa"/>
              <w:right w:w="40" w:type="dxa"/>
            </w:tcMar>
          </w:tcPr>
          <w:p w14:paraId="54E0D5E6" w14:textId="77777777" w:rsidR="00E4286E" w:rsidRPr="00EE72AB" w:rsidRDefault="00E4286E" w:rsidP="00EE72AB">
            <w:pPr>
              <w:pStyle w:val="Tabletext"/>
              <w:rPr>
                <w:rFonts w:eastAsia="Calibri"/>
              </w:rPr>
            </w:pPr>
            <w:r w:rsidRPr="00EE72AB">
              <w:rPr>
                <w:rFonts w:eastAsia="Calibri"/>
              </w:rPr>
              <w:t>Social and Economic resilience</w:t>
            </w:r>
          </w:p>
        </w:tc>
      </w:tr>
      <w:tr w:rsidR="00E4286E" w:rsidRPr="00EE72AB" w14:paraId="2C75D018" w14:textId="77777777" w:rsidTr="00EE72AB">
        <w:trPr>
          <w:trHeight w:val="113"/>
          <w:jc w:val="center"/>
        </w:trPr>
        <w:tc>
          <w:tcPr>
            <w:tcW w:w="3765" w:type="dxa"/>
            <w:tcMar>
              <w:top w:w="40" w:type="dxa"/>
              <w:left w:w="40" w:type="dxa"/>
              <w:bottom w:w="40" w:type="dxa"/>
              <w:right w:w="40" w:type="dxa"/>
            </w:tcMar>
          </w:tcPr>
          <w:p w14:paraId="121150B7" w14:textId="26687919" w:rsidR="00E4286E" w:rsidRPr="00EE72AB" w:rsidRDefault="00BA03C0" w:rsidP="00EE72AB">
            <w:pPr>
              <w:pStyle w:val="Tabletext"/>
              <w:rPr>
                <w:rFonts w:eastAsia="Calibri"/>
              </w:rPr>
            </w:pPr>
            <w:r w:rsidRPr="00BA03C0">
              <w:rPr>
                <w:rFonts w:eastAsia="Calibri"/>
                <w:b/>
              </w:rPr>
              <w:t>INVESTMENT 1:</w:t>
            </w:r>
            <w:r w:rsidR="00E4286E" w:rsidRPr="00EE72AB">
              <w:rPr>
                <w:rFonts w:eastAsia="Calibri"/>
              </w:rPr>
              <w:t xml:space="preserve"> Tourism Registry e-MHTE</w:t>
            </w:r>
          </w:p>
          <w:p w14:paraId="3D523294" w14:textId="77777777" w:rsidR="00E4286E" w:rsidRPr="00EE72AB" w:rsidRDefault="00E4286E" w:rsidP="00EE72AB">
            <w:pPr>
              <w:pStyle w:val="Tabletext"/>
              <w:rPr>
                <w:rFonts w:eastAsia="Calibri"/>
              </w:rPr>
            </w:pPr>
            <w:r w:rsidRPr="00EE72AB">
              <w:rPr>
                <w:rFonts w:eastAsia="Calibri"/>
              </w:rPr>
              <w:t xml:space="preserve"> </w:t>
            </w:r>
          </w:p>
          <w:p w14:paraId="156B3727" w14:textId="77777777" w:rsidR="00E4286E" w:rsidRPr="00EE72AB" w:rsidRDefault="00E4286E" w:rsidP="00EE72AB">
            <w:pPr>
              <w:pStyle w:val="Tabletext"/>
              <w:rPr>
                <w:rFonts w:eastAsia="Calibri"/>
              </w:rPr>
            </w:pPr>
            <w:r w:rsidRPr="00EE72AB">
              <w:rPr>
                <w:rFonts w:eastAsia="Calibri"/>
              </w:rPr>
              <w:t xml:space="preserve"> </w:t>
            </w:r>
          </w:p>
          <w:p w14:paraId="4D2F8F69" w14:textId="77777777" w:rsidR="00E4286E" w:rsidRPr="00EE72AB" w:rsidRDefault="00E4286E" w:rsidP="00EE72AB">
            <w:pPr>
              <w:pStyle w:val="Tabletext"/>
              <w:rPr>
                <w:rFonts w:eastAsia="Calibri"/>
              </w:rPr>
            </w:pPr>
            <w:r w:rsidRPr="00EE72AB">
              <w:rPr>
                <w:rFonts w:eastAsia="Calibri"/>
              </w:rPr>
              <w:t xml:space="preserve"> </w:t>
            </w:r>
          </w:p>
        </w:tc>
        <w:tc>
          <w:tcPr>
            <w:tcW w:w="1440" w:type="dxa"/>
            <w:tcMar>
              <w:top w:w="40" w:type="dxa"/>
              <w:left w:w="40" w:type="dxa"/>
              <w:bottom w:w="40" w:type="dxa"/>
              <w:right w:w="40" w:type="dxa"/>
            </w:tcMar>
          </w:tcPr>
          <w:p w14:paraId="349D8A7C" w14:textId="77777777" w:rsidR="00E4286E" w:rsidRPr="00EE72AB" w:rsidRDefault="00E4286E" w:rsidP="00EE72AB">
            <w:pPr>
              <w:pStyle w:val="Tabletext"/>
              <w:rPr>
                <w:rFonts w:eastAsia="Calibri"/>
              </w:rPr>
            </w:pPr>
            <w:r w:rsidRPr="00EE72AB">
              <w:rPr>
                <w:rFonts w:eastAsia="Calibri"/>
              </w:rPr>
              <w:t>RRF 16785</w:t>
            </w:r>
          </w:p>
          <w:p w14:paraId="1AD67AA3" w14:textId="77777777" w:rsidR="00E4286E" w:rsidRPr="00EE72AB" w:rsidRDefault="00E4286E" w:rsidP="00EE72AB">
            <w:pPr>
              <w:pStyle w:val="Tabletext"/>
              <w:rPr>
                <w:rFonts w:eastAsia="Calibri"/>
              </w:rPr>
            </w:pPr>
            <w:r w:rsidRPr="00EE72AB">
              <w:rPr>
                <w:rFonts w:eastAsia="Calibri"/>
              </w:rPr>
              <w:t xml:space="preserve"> </w:t>
            </w:r>
          </w:p>
          <w:p w14:paraId="312B6C8C" w14:textId="77777777" w:rsidR="00E4286E" w:rsidRPr="00EE72AB" w:rsidRDefault="00E4286E" w:rsidP="00EE72AB">
            <w:pPr>
              <w:pStyle w:val="Tabletext"/>
              <w:rPr>
                <w:rFonts w:eastAsia="Calibri"/>
              </w:rPr>
            </w:pPr>
            <w:r w:rsidRPr="00EE72AB">
              <w:rPr>
                <w:rFonts w:eastAsia="Calibri"/>
              </w:rPr>
              <w:t xml:space="preserve"> </w:t>
            </w:r>
          </w:p>
          <w:p w14:paraId="69F00C93" w14:textId="77777777" w:rsidR="00E4286E" w:rsidRPr="00EE72AB" w:rsidRDefault="00E4286E" w:rsidP="00EE72AB">
            <w:pPr>
              <w:pStyle w:val="Tabletext"/>
              <w:rPr>
                <w:rFonts w:eastAsia="Calibri"/>
              </w:rPr>
            </w:pPr>
            <w:r w:rsidRPr="00EE72AB">
              <w:rPr>
                <w:rFonts w:eastAsia="Calibri"/>
              </w:rPr>
              <w:t xml:space="preserve"> </w:t>
            </w:r>
          </w:p>
        </w:tc>
        <w:tc>
          <w:tcPr>
            <w:tcW w:w="1440" w:type="dxa"/>
            <w:tcMar>
              <w:top w:w="40" w:type="dxa"/>
              <w:left w:w="40" w:type="dxa"/>
              <w:bottom w:w="40" w:type="dxa"/>
              <w:right w:w="40" w:type="dxa"/>
            </w:tcMar>
          </w:tcPr>
          <w:p w14:paraId="391F5BD0" w14:textId="77777777" w:rsidR="00E4286E" w:rsidRPr="00EE72AB" w:rsidRDefault="00E4286E" w:rsidP="00EE72AB">
            <w:pPr>
              <w:pStyle w:val="Tabletext"/>
              <w:rPr>
                <w:rFonts w:eastAsia="Calibri"/>
              </w:rPr>
            </w:pPr>
            <w:r w:rsidRPr="00EE72AB">
              <w:rPr>
                <w:rFonts w:eastAsia="Calibri"/>
              </w:rPr>
              <w:t>2024 CSR2.1</w:t>
            </w:r>
          </w:p>
          <w:p w14:paraId="0312106F" w14:textId="77777777" w:rsidR="00E4286E" w:rsidRPr="00EE72AB" w:rsidRDefault="00E4286E" w:rsidP="00EE72AB">
            <w:pPr>
              <w:pStyle w:val="Tabletext"/>
              <w:rPr>
                <w:rFonts w:eastAsia="Calibri"/>
              </w:rPr>
            </w:pPr>
            <w:r w:rsidRPr="00EE72AB">
              <w:rPr>
                <w:rFonts w:eastAsia="Calibri"/>
              </w:rPr>
              <w:t>2020 CSR3.9</w:t>
            </w:r>
          </w:p>
          <w:p w14:paraId="670D2BF1" w14:textId="77777777" w:rsidR="00E4286E" w:rsidRPr="00EE72AB" w:rsidRDefault="00E4286E" w:rsidP="00EE72AB">
            <w:pPr>
              <w:pStyle w:val="Tabletext"/>
              <w:rPr>
                <w:rFonts w:eastAsia="Calibri"/>
              </w:rPr>
            </w:pPr>
            <w:r w:rsidRPr="00EE72AB">
              <w:rPr>
                <w:rFonts w:eastAsia="Calibri"/>
              </w:rPr>
              <w:t>2019 CSR2.3</w:t>
            </w:r>
          </w:p>
          <w:p w14:paraId="7F5BB08A" w14:textId="77777777" w:rsidR="00E4286E" w:rsidRPr="00EE72AB" w:rsidRDefault="00E4286E" w:rsidP="00EE72AB">
            <w:pPr>
              <w:pStyle w:val="Tabletext"/>
              <w:rPr>
                <w:rFonts w:eastAsia="Calibri"/>
              </w:rPr>
            </w:pPr>
            <w:r w:rsidRPr="00EE72AB">
              <w:rPr>
                <w:rFonts w:eastAsia="Calibri"/>
              </w:rPr>
              <w:t xml:space="preserve"> </w:t>
            </w:r>
          </w:p>
        </w:tc>
        <w:tc>
          <w:tcPr>
            <w:tcW w:w="2715" w:type="dxa"/>
            <w:tcMar>
              <w:top w:w="40" w:type="dxa"/>
              <w:left w:w="40" w:type="dxa"/>
              <w:bottom w:w="40" w:type="dxa"/>
              <w:right w:w="40" w:type="dxa"/>
            </w:tcMar>
          </w:tcPr>
          <w:p w14:paraId="7B9095DD" w14:textId="77777777" w:rsidR="00E4286E" w:rsidRPr="00EE72AB" w:rsidRDefault="00E4286E" w:rsidP="00EE72AB">
            <w:pPr>
              <w:pStyle w:val="Tabletext"/>
              <w:rPr>
                <w:rFonts w:eastAsia="Calibri"/>
              </w:rPr>
            </w:pPr>
            <w:r w:rsidRPr="00EE72AB">
              <w:rPr>
                <w:rFonts w:eastAsia="Calibri"/>
              </w:rPr>
              <w:t>Fair green &amp; digital Transition</w:t>
            </w:r>
          </w:p>
          <w:p w14:paraId="74D249AD" w14:textId="77777777" w:rsidR="00E4286E" w:rsidRPr="00EE72AB" w:rsidRDefault="00E4286E" w:rsidP="00EE72AB">
            <w:pPr>
              <w:pStyle w:val="Tabletext"/>
              <w:rPr>
                <w:rFonts w:eastAsia="Calibri"/>
              </w:rPr>
            </w:pPr>
            <w:r w:rsidRPr="00EE72AB">
              <w:rPr>
                <w:rFonts w:eastAsia="Calibri"/>
              </w:rPr>
              <w:t xml:space="preserve"> </w:t>
            </w:r>
          </w:p>
          <w:p w14:paraId="42615E92" w14:textId="77777777" w:rsidR="00E4286E" w:rsidRPr="00EE72AB" w:rsidRDefault="00E4286E" w:rsidP="00EE72AB">
            <w:pPr>
              <w:pStyle w:val="Tabletext"/>
              <w:rPr>
                <w:rFonts w:eastAsia="Calibri"/>
              </w:rPr>
            </w:pPr>
            <w:r w:rsidRPr="00EE72AB">
              <w:rPr>
                <w:rFonts w:eastAsia="Calibri"/>
              </w:rPr>
              <w:t xml:space="preserve"> </w:t>
            </w:r>
          </w:p>
        </w:tc>
      </w:tr>
      <w:tr w:rsidR="00E4286E" w:rsidRPr="00EE72AB" w14:paraId="0D1C38E6" w14:textId="77777777" w:rsidTr="00EE72AB">
        <w:trPr>
          <w:trHeight w:val="113"/>
          <w:jc w:val="center"/>
        </w:trPr>
        <w:tc>
          <w:tcPr>
            <w:tcW w:w="3765" w:type="dxa"/>
            <w:tcMar>
              <w:top w:w="40" w:type="dxa"/>
              <w:left w:w="40" w:type="dxa"/>
              <w:bottom w:w="40" w:type="dxa"/>
              <w:right w:w="40" w:type="dxa"/>
            </w:tcMar>
          </w:tcPr>
          <w:p w14:paraId="3EBD0661" w14:textId="21E099F5" w:rsidR="00E4286E" w:rsidRPr="00EE72AB" w:rsidRDefault="00BA03C0" w:rsidP="00EE72AB">
            <w:pPr>
              <w:pStyle w:val="Tabletext"/>
              <w:rPr>
                <w:rFonts w:eastAsia="Calibri"/>
              </w:rPr>
            </w:pPr>
            <w:r w:rsidRPr="00BA03C0">
              <w:rPr>
                <w:rFonts w:eastAsia="Calibri"/>
                <w:b/>
              </w:rPr>
              <w:t>INVESTMENT 2:</w:t>
            </w:r>
            <w:r w:rsidR="00E4286E" w:rsidRPr="00EE72AB">
              <w:rPr>
                <w:rFonts w:eastAsia="Calibri"/>
              </w:rPr>
              <w:t xml:space="preserve"> Digital Transformation of the Greek National Tourism Organisation</w:t>
            </w:r>
          </w:p>
        </w:tc>
        <w:tc>
          <w:tcPr>
            <w:tcW w:w="1440" w:type="dxa"/>
            <w:tcMar>
              <w:top w:w="40" w:type="dxa"/>
              <w:left w:w="40" w:type="dxa"/>
              <w:bottom w:w="40" w:type="dxa"/>
              <w:right w:w="40" w:type="dxa"/>
            </w:tcMar>
          </w:tcPr>
          <w:p w14:paraId="74AA9306" w14:textId="77777777" w:rsidR="00E4286E" w:rsidRPr="00EE72AB" w:rsidRDefault="00E4286E" w:rsidP="00EE72AB">
            <w:pPr>
              <w:pStyle w:val="Tabletext"/>
              <w:rPr>
                <w:rFonts w:eastAsia="Calibri"/>
              </w:rPr>
            </w:pPr>
            <w:r w:rsidRPr="00EE72AB">
              <w:rPr>
                <w:rFonts w:eastAsia="Calibri"/>
              </w:rPr>
              <w:t>RRF 16791</w:t>
            </w:r>
          </w:p>
          <w:p w14:paraId="4ED73A93" w14:textId="77777777" w:rsidR="00E4286E" w:rsidRPr="00EE72AB" w:rsidRDefault="00E4286E" w:rsidP="00EE72AB">
            <w:pPr>
              <w:pStyle w:val="Tabletext"/>
              <w:rPr>
                <w:rFonts w:eastAsia="Calibri"/>
              </w:rPr>
            </w:pPr>
            <w:r w:rsidRPr="00EE72AB">
              <w:rPr>
                <w:rFonts w:eastAsia="Calibri"/>
              </w:rPr>
              <w:t xml:space="preserve"> </w:t>
            </w:r>
          </w:p>
        </w:tc>
        <w:tc>
          <w:tcPr>
            <w:tcW w:w="1440" w:type="dxa"/>
            <w:tcMar>
              <w:top w:w="40" w:type="dxa"/>
              <w:left w:w="40" w:type="dxa"/>
              <w:bottom w:w="40" w:type="dxa"/>
              <w:right w:w="40" w:type="dxa"/>
            </w:tcMar>
          </w:tcPr>
          <w:p w14:paraId="31EEFABC" w14:textId="77777777" w:rsidR="00E4286E" w:rsidRPr="00EE72AB" w:rsidRDefault="00E4286E" w:rsidP="00EE72AB">
            <w:pPr>
              <w:pStyle w:val="Tabletext"/>
              <w:rPr>
                <w:rFonts w:eastAsia="Calibri"/>
              </w:rPr>
            </w:pPr>
            <w:r w:rsidRPr="00EE72AB">
              <w:rPr>
                <w:rFonts w:eastAsia="Calibri"/>
              </w:rPr>
              <w:t>2024 CSR2.1</w:t>
            </w:r>
          </w:p>
          <w:p w14:paraId="3815D643" w14:textId="77777777" w:rsidR="00E4286E" w:rsidRPr="00EE72AB" w:rsidRDefault="00E4286E" w:rsidP="00EE72AB">
            <w:pPr>
              <w:pStyle w:val="Tabletext"/>
              <w:rPr>
                <w:rFonts w:eastAsia="Calibri"/>
              </w:rPr>
            </w:pPr>
            <w:r w:rsidRPr="00EE72AB">
              <w:rPr>
                <w:rFonts w:eastAsia="Calibri"/>
              </w:rPr>
              <w:t>2020 CSR3.9</w:t>
            </w:r>
          </w:p>
          <w:p w14:paraId="38C9AB9F" w14:textId="77777777" w:rsidR="00E4286E" w:rsidRPr="00EE72AB" w:rsidRDefault="00E4286E" w:rsidP="00EE72AB">
            <w:pPr>
              <w:pStyle w:val="Tabletext"/>
              <w:rPr>
                <w:rFonts w:eastAsia="Calibri"/>
              </w:rPr>
            </w:pPr>
            <w:r w:rsidRPr="00EE72AB">
              <w:rPr>
                <w:rFonts w:eastAsia="Calibri"/>
              </w:rPr>
              <w:t>2019 CSR2.3</w:t>
            </w:r>
          </w:p>
        </w:tc>
        <w:tc>
          <w:tcPr>
            <w:tcW w:w="2715" w:type="dxa"/>
            <w:tcMar>
              <w:top w:w="40" w:type="dxa"/>
              <w:left w:w="40" w:type="dxa"/>
              <w:bottom w:w="40" w:type="dxa"/>
              <w:right w:w="40" w:type="dxa"/>
            </w:tcMar>
          </w:tcPr>
          <w:p w14:paraId="2BC9C017" w14:textId="77777777" w:rsidR="00E4286E" w:rsidRPr="00EE72AB" w:rsidRDefault="00E4286E" w:rsidP="00EE72AB">
            <w:pPr>
              <w:pStyle w:val="Tabletext"/>
              <w:rPr>
                <w:rFonts w:eastAsia="Calibri"/>
              </w:rPr>
            </w:pPr>
            <w:r w:rsidRPr="00EE72AB">
              <w:rPr>
                <w:rFonts w:eastAsia="Calibri"/>
              </w:rPr>
              <w:t>Fair green &amp; digital Transition</w:t>
            </w:r>
          </w:p>
          <w:p w14:paraId="75DAF736" w14:textId="77777777" w:rsidR="00E4286E" w:rsidRPr="00EE72AB" w:rsidRDefault="00E4286E" w:rsidP="00EE72AB">
            <w:pPr>
              <w:pStyle w:val="Tabletext"/>
              <w:rPr>
                <w:rFonts w:eastAsia="Calibri"/>
              </w:rPr>
            </w:pPr>
            <w:r w:rsidRPr="00EE72AB">
              <w:rPr>
                <w:rFonts w:eastAsia="Calibri"/>
              </w:rPr>
              <w:t xml:space="preserve"> </w:t>
            </w:r>
          </w:p>
          <w:p w14:paraId="6C4AD00B" w14:textId="77777777" w:rsidR="00E4286E" w:rsidRPr="00EE72AB" w:rsidRDefault="00E4286E" w:rsidP="00EE72AB">
            <w:pPr>
              <w:pStyle w:val="Tabletext"/>
              <w:rPr>
                <w:rFonts w:eastAsia="Calibri"/>
              </w:rPr>
            </w:pPr>
            <w:r w:rsidRPr="00EE72AB">
              <w:rPr>
                <w:rFonts w:eastAsia="Calibri"/>
              </w:rPr>
              <w:t xml:space="preserve"> </w:t>
            </w:r>
          </w:p>
        </w:tc>
      </w:tr>
      <w:tr w:rsidR="00E4286E" w:rsidRPr="00EE72AB" w14:paraId="322B53D2" w14:textId="77777777" w:rsidTr="00EE72AB">
        <w:trPr>
          <w:trHeight w:val="113"/>
          <w:jc w:val="center"/>
        </w:trPr>
        <w:tc>
          <w:tcPr>
            <w:tcW w:w="3765" w:type="dxa"/>
            <w:tcMar>
              <w:top w:w="40" w:type="dxa"/>
              <w:left w:w="40" w:type="dxa"/>
              <w:bottom w:w="40" w:type="dxa"/>
              <w:right w:w="40" w:type="dxa"/>
            </w:tcMar>
          </w:tcPr>
          <w:p w14:paraId="0EBF8F9F" w14:textId="77777777" w:rsidR="00E4286E" w:rsidRPr="00EE72AB" w:rsidRDefault="00E4286E" w:rsidP="00EE72AB">
            <w:pPr>
              <w:pStyle w:val="Tabletext"/>
              <w:rPr>
                <w:rFonts w:eastAsia="Calibri"/>
              </w:rPr>
            </w:pPr>
            <w:r w:rsidRPr="00350B08">
              <w:rPr>
                <w:rFonts w:eastAsia="Calibri"/>
                <w:b/>
              </w:rPr>
              <w:t>IΝVESTMENT 3:</w:t>
            </w:r>
            <w:r w:rsidRPr="00EE72AB">
              <w:rPr>
                <w:rFonts w:eastAsia="Calibri"/>
              </w:rPr>
              <w:t xml:space="preserve"> Reskilling and Upskilling Tourism</w:t>
            </w:r>
          </w:p>
          <w:p w14:paraId="65F585D9" w14:textId="77777777" w:rsidR="00E4286E" w:rsidRPr="00EE72AB" w:rsidRDefault="00E4286E" w:rsidP="00EE72AB">
            <w:pPr>
              <w:pStyle w:val="Tabletext"/>
              <w:rPr>
                <w:rFonts w:eastAsia="Calibri"/>
              </w:rPr>
            </w:pPr>
            <w:r w:rsidRPr="00EE72AB">
              <w:rPr>
                <w:rFonts w:eastAsia="Calibri"/>
              </w:rPr>
              <w:t xml:space="preserve"> </w:t>
            </w:r>
          </w:p>
          <w:p w14:paraId="171CD3CA" w14:textId="77777777" w:rsidR="00E4286E" w:rsidRPr="00EE72AB" w:rsidRDefault="00E4286E" w:rsidP="00EE72AB">
            <w:pPr>
              <w:pStyle w:val="Tabletext"/>
              <w:rPr>
                <w:rFonts w:eastAsia="Calibri"/>
              </w:rPr>
            </w:pPr>
            <w:r w:rsidRPr="00EE72AB">
              <w:rPr>
                <w:rFonts w:eastAsia="Calibri"/>
              </w:rPr>
              <w:t xml:space="preserve"> </w:t>
            </w:r>
          </w:p>
        </w:tc>
        <w:tc>
          <w:tcPr>
            <w:tcW w:w="1440" w:type="dxa"/>
            <w:tcMar>
              <w:top w:w="40" w:type="dxa"/>
              <w:left w:w="40" w:type="dxa"/>
              <w:bottom w:w="40" w:type="dxa"/>
              <w:right w:w="40" w:type="dxa"/>
            </w:tcMar>
          </w:tcPr>
          <w:p w14:paraId="47F5ACD2" w14:textId="77777777" w:rsidR="00E4286E" w:rsidRPr="00EE72AB" w:rsidRDefault="00E4286E" w:rsidP="00EE72AB">
            <w:pPr>
              <w:pStyle w:val="Tabletext"/>
              <w:rPr>
                <w:rFonts w:eastAsia="Calibri"/>
              </w:rPr>
            </w:pPr>
            <w:r w:rsidRPr="00EE72AB">
              <w:rPr>
                <w:rFonts w:eastAsia="Calibri"/>
              </w:rPr>
              <w:t xml:space="preserve"> </w:t>
            </w:r>
          </w:p>
          <w:p w14:paraId="36F3D639" w14:textId="77777777" w:rsidR="00E4286E" w:rsidRPr="00EE72AB" w:rsidRDefault="00E4286E" w:rsidP="00EE72AB">
            <w:pPr>
              <w:pStyle w:val="Tabletext"/>
              <w:rPr>
                <w:rFonts w:eastAsia="Calibri"/>
              </w:rPr>
            </w:pPr>
            <w:r w:rsidRPr="00EE72AB">
              <w:rPr>
                <w:rFonts w:eastAsia="Calibri"/>
              </w:rPr>
              <w:t>RRF 16921</w:t>
            </w:r>
          </w:p>
          <w:p w14:paraId="436E0BB1" w14:textId="77777777" w:rsidR="00E4286E" w:rsidRPr="00EE72AB" w:rsidRDefault="00E4286E" w:rsidP="00EE72AB">
            <w:pPr>
              <w:pStyle w:val="Tabletext"/>
              <w:rPr>
                <w:rFonts w:eastAsia="Calibri"/>
              </w:rPr>
            </w:pPr>
            <w:r w:rsidRPr="00EE72AB">
              <w:rPr>
                <w:rFonts w:eastAsia="Calibri"/>
              </w:rPr>
              <w:t xml:space="preserve"> </w:t>
            </w:r>
          </w:p>
          <w:p w14:paraId="6FC36DF9" w14:textId="77777777" w:rsidR="00E4286E" w:rsidRPr="00EE72AB" w:rsidRDefault="00E4286E" w:rsidP="00EE72AB">
            <w:pPr>
              <w:pStyle w:val="Tabletext"/>
              <w:rPr>
                <w:rFonts w:eastAsia="Calibri"/>
              </w:rPr>
            </w:pPr>
            <w:r w:rsidRPr="00EE72AB">
              <w:rPr>
                <w:rFonts w:eastAsia="Calibri"/>
              </w:rPr>
              <w:t xml:space="preserve"> </w:t>
            </w:r>
          </w:p>
        </w:tc>
        <w:tc>
          <w:tcPr>
            <w:tcW w:w="1440" w:type="dxa"/>
            <w:tcMar>
              <w:top w:w="40" w:type="dxa"/>
              <w:left w:w="40" w:type="dxa"/>
              <w:bottom w:w="40" w:type="dxa"/>
              <w:right w:w="40" w:type="dxa"/>
            </w:tcMar>
          </w:tcPr>
          <w:p w14:paraId="375EE025" w14:textId="77777777" w:rsidR="00E4286E" w:rsidRPr="00EE72AB" w:rsidRDefault="00E4286E" w:rsidP="00EE72AB">
            <w:pPr>
              <w:pStyle w:val="Tabletext"/>
              <w:rPr>
                <w:rFonts w:eastAsia="Calibri"/>
              </w:rPr>
            </w:pPr>
            <w:r w:rsidRPr="00EE72AB">
              <w:rPr>
                <w:rFonts w:eastAsia="Calibri"/>
              </w:rPr>
              <w:t>2024 CSR1.4</w:t>
            </w:r>
          </w:p>
          <w:p w14:paraId="4DC9BA7E" w14:textId="77777777" w:rsidR="00E4286E" w:rsidRPr="00EE72AB" w:rsidRDefault="00E4286E" w:rsidP="00EE72AB">
            <w:pPr>
              <w:pStyle w:val="Tabletext"/>
              <w:rPr>
                <w:rFonts w:eastAsia="Calibri"/>
              </w:rPr>
            </w:pPr>
            <w:r w:rsidRPr="00EE72AB">
              <w:rPr>
                <w:rFonts w:eastAsia="Calibri"/>
              </w:rPr>
              <w:t>2024 CSR2.1</w:t>
            </w:r>
          </w:p>
          <w:p w14:paraId="4F043F73" w14:textId="77777777" w:rsidR="00E4286E" w:rsidRPr="00EE72AB" w:rsidRDefault="00E4286E" w:rsidP="00EE72AB">
            <w:pPr>
              <w:pStyle w:val="Tabletext"/>
              <w:rPr>
                <w:rFonts w:eastAsia="Calibri"/>
              </w:rPr>
            </w:pPr>
            <w:r w:rsidRPr="00EE72AB">
              <w:rPr>
                <w:rFonts w:eastAsia="Calibri"/>
              </w:rPr>
              <w:t>2020 CSR3.3</w:t>
            </w:r>
          </w:p>
          <w:p w14:paraId="71030A26" w14:textId="77777777" w:rsidR="00E4286E" w:rsidRPr="00EE72AB" w:rsidRDefault="00E4286E" w:rsidP="00EE72AB">
            <w:pPr>
              <w:pStyle w:val="Tabletext"/>
              <w:rPr>
                <w:rFonts w:eastAsia="Calibri"/>
              </w:rPr>
            </w:pPr>
            <w:r w:rsidRPr="00EE72AB">
              <w:rPr>
                <w:rFonts w:eastAsia="Calibri"/>
              </w:rPr>
              <w:t>2020 CSR3.8</w:t>
            </w:r>
          </w:p>
          <w:p w14:paraId="1CA938CF" w14:textId="77777777" w:rsidR="00E4286E" w:rsidRPr="00EE72AB" w:rsidRDefault="00E4286E" w:rsidP="00EE72AB">
            <w:pPr>
              <w:pStyle w:val="Tabletext"/>
              <w:rPr>
                <w:rFonts w:eastAsia="Calibri"/>
              </w:rPr>
            </w:pPr>
            <w:r w:rsidRPr="00EE72AB">
              <w:rPr>
                <w:rFonts w:eastAsia="Calibri"/>
              </w:rPr>
              <w:t>2019 CSR2.6</w:t>
            </w:r>
          </w:p>
          <w:p w14:paraId="22F53159" w14:textId="77777777" w:rsidR="00E4286E" w:rsidRPr="00EE72AB" w:rsidRDefault="00E4286E" w:rsidP="00EE72AB">
            <w:pPr>
              <w:pStyle w:val="Tabletext"/>
              <w:rPr>
                <w:rFonts w:eastAsia="Calibri"/>
              </w:rPr>
            </w:pPr>
            <w:r w:rsidRPr="00EE72AB">
              <w:rPr>
                <w:rFonts w:eastAsia="Calibri"/>
              </w:rPr>
              <w:t>2019 CSR2.7</w:t>
            </w:r>
          </w:p>
          <w:p w14:paraId="3372D622" w14:textId="77777777" w:rsidR="00E4286E" w:rsidRPr="00EE72AB" w:rsidRDefault="00E4286E" w:rsidP="00EE72AB">
            <w:pPr>
              <w:pStyle w:val="Tabletext"/>
              <w:rPr>
                <w:rFonts w:eastAsia="Calibri"/>
              </w:rPr>
            </w:pPr>
            <w:r w:rsidRPr="00EE72AB">
              <w:rPr>
                <w:rFonts w:eastAsia="Calibri"/>
              </w:rPr>
              <w:t xml:space="preserve"> </w:t>
            </w:r>
          </w:p>
        </w:tc>
        <w:tc>
          <w:tcPr>
            <w:tcW w:w="2715" w:type="dxa"/>
            <w:tcMar>
              <w:top w:w="40" w:type="dxa"/>
              <w:left w:w="40" w:type="dxa"/>
              <w:bottom w:w="40" w:type="dxa"/>
              <w:right w:w="40" w:type="dxa"/>
            </w:tcMar>
          </w:tcPr>
          <w:p w14:paraId="578DB609" w14:textId="77777777" w:rsidR="00E4286E" w:rsidRPr="00EE72AB" w:rsidRDefault="00E4286E" w:rsidP="00EE72AB">
            <w:pPr>
              <w:pStyle w:val="Tabletext"/>
              <w:rPr>
                <w:rFonts w:eastAsia="Calibri"/>
              </w:rPr>
            </w:pPr>
            <w:r w:rsidRPr="00EE72AB">
              <w:rPr>
                <w:rFonts w:eastAsia="Calibri"/>
              </w:rPr>
              <w:t>Social and Economic resilience</w:t>
            </w:r>
          </w:p>
          <w:p w14:paraId="728D4F62" w14:textId="77777777" w:rsidR="00E4286E" w:rsidRPr="00EE72AB" w:rsidRDefault="00E4286E" w:rsidP="00EE72AB">
            <w:pPr>
              <w:pStyle w:val="Tabletext"/>
              <w:rPr>
                <w:rFonts w:eastAsia="Calibri"/>
              </w:rPr>
            </w:pPr>
            <w:r w:rsidRPr="00EE72AB">
              <w:rPr>
                <w:rFonts w:eastAsia="Calibri"/>
              </w:rPr>
              <w:t xml:space="preserve"> </w:t>
            </w:r>
          </w:p>
        </w:tc>
      </w:tr>
      <w:tr w:rsidR="00E4286E" w:rsidRPr="00EE72AB" w14:paraId="0974A6F3" w14:textId="77777777" w:rsidTr="00EE72AB">
        <w:trPr>
          <w:trHeight w:val="113"/>
          <w:jc w:val="center"/>
        </w:trPr>
        <w:tc>
          <w:tcPr>
            <w:tcW w:w="3765" w:type="dxa"/>
            <w:tcMar>
              <w:top w:w="40" w:type="dxa"/>
              <w:left w:w="40" w:type="dxa"/>
              <w:bottom w:w="40" w:type="dxa"/>
              <w:right w:w="40" w:type="dxa"/>
            </w:tcMar>
          </w:tcPr>
          <w:p w14:paraId="433B6473" w14:textId="77777777" w:rsidR="00E4286E" w:rsidRPr="00EE72AB" w:rsidRDefault="00E4286E" w:rsidP="00EE72AB">
            <w:pPr>
              <w:pStyle w:val="Tabletext"/>
              <w:rPr>
                <w:rFonts w:eastAsia="Calibri"/>
              </w:rPr>
            </w:pPr>
            <w:r w:rsidRPr="00350B08">
              <w:rPr>
                <w:rFonts w:eastAsia="Calibri"/>
                <w:b/>
              </w:rPr>
              <w:t>IΝVESTMENT 4:</w:t>
            </w:r>
            <w:r w:rsidRPr="00EE72AB">
              <w:rPr>
                <w:rFonts w:eastAsia="Calibri"/>
              </w:rPr>
              <w:t xml:space="preserve"> Tourism Development</w:t>
            </w:r>
          </w:p>
          <w:p w14:paraId="58895C5A" w14:textId="77777777" w:rsidR="00E4286E" w:rsidRPr="00EE72AB" w:rsidRDefault="00E4286E" w:rsidP="00EE72AB">
            <w:pPr>
              <w:pStyle w:val="Tabletext"/>
              <w:rPr>
                <w:rFonts w:eastAsia="Calibri"/>
              </w:rPr>
            </w:pPr>
            <w:r w:rsidRPr="00EE72AB">
              <w:rPr>
                <w:rFonts w:eastAsia="Calibri"/>
              </w:rPr>
              <w:t xml:space="preserve"> </w:t>
            </w:r>
          </w:p>
          <w:p w14:paraId="28A8DAF6" w14:textId="77777777" w:rsidR="00E4286E" w:rsidRPr="00EE72AB" w:rsidRDefault="00E4286E" w:rsidP="00EE72AB">
            <w:pPr>
              <w:pStyle w:val="Tabletext"/>
              <w:rPr>
                <w:rFonts w:eastAsia="Calibri"/>
              </w:rPr>
            </w:pPr>
            <w:r w:rsidRPr="00EE72AB">
              <w:rPr>
                <w:rFonts w:eastAsia="Calibri"/>
              </w:rPr>
              <w:lastRenderedPageBreak/>
              <w:t xml:space="preserve"> </w:t>
            </w:r>
          </w:p>
          <w:p w14:paraId="70E4E947" w14:textId="77777777" w:rsidR="00E4286E" w:rsidRPr="00EE72AB" w:rsidRDefault="00E4286E" w:rsidP="00EE72AB">
            <w:pPr>
              <w:pStyle w:val="Tabletext"/>
              <w:rPr>
                <w:rFonts w:eastAsia="Calibri"/>
              </w:rPr>
            </w:pPr>
            <w:r w:rsidRPr="00EE72AB">
              <w:rPr>
                <w:rFonts w:eastAsia="Calibri"/>
              </w:rPr>
              <w:t xml:space="preserve"> </w:t>
            </w:r>
          </w:p>
          <w:p w14:paraId="18D647CD" w14:textId="77777777" w:rsidR="00E4286E" w:rsidRPr="00EE72AB" w:rsidRDefault="00E4286E" w:rsidP="00EE72AB">
            <w:pPr>
              <w:pStyle w:val="Tabletext"/>
              <w:rPr>
                <w:rFonts w:eastAsia="Calibri"/>
              </w:rPr>
            </w:pPr>
            <w:r w:rsidRPr="00EE72AB">
              <w:rPr>
                <w:rFonts w:eastAsia="Calibri"/>
              </w:rPr>
              <w:t xml:space="preserve"> </w:t>
            </w:r>
          </w:p>
          <w:p w14:paraId="6F8D3273" w14:textId="77777777" w:rsidR="00E4286E" w:rsidRPr="00EE72AB" w:rsidRDefault="00E4286E" w:rsidP="00EE72AB">
            <w:pPr>
              <w:pStyle w:val="Tabletext"/>
              <w:rPr>
                <w:rFonts w:eastAsia="Calibri"/>
              </w:rPr>
            </w:pPr>
          </w:p>
        </w:tc>
        <w:tc>
          <w:tcPr>
            <w:tcW w:w="1440" w:type="dxa"/>
            <w:tcMar>
              <w:top w:w="40" w:type="dxa"/>
              <w:left w:w="40" w:type="dxa"/>
              <w:bottom w:w="40" w:type="dxa"/>
              <w:right w:w="40" w:type="dxa"/>
            </w:tcMar>
          </w:tcPr>
          <w:p w14:paraId="16D561B6" w14:textId="77777777" w:rsidR="00E4286E" w:rsidRPr="00EE72AB" w:rsidRDefault="00E4286E" w:rsidP="00EE72AB">
            <w:pPr>
              <w:pStyle w:val="Tabletext"/>
              <w:rPr>
                <w:rFonts w:eastAsia="Calibri"/>
              </w:rPr>
            </w:pPr>
            <w:r w:rsidRPr="00EE72AB">
              <w:rPr>
                <w:rFonts w:eastAsia="Calibri"/>
              </w:rPr>
              <w:lastRenderedPageBreak/>
              <w:t>RRF 16931</w:t>
            </w:r>
          </w:p>
          <w:p w14:paraId="13124761" w14:textId="77777777" w:rsidR="00E4286E" w:rsidRPr="00EE72AB" w:rsidRDefault="00E4286E" w:rsidP="00EE72AB">
            <w:pPr>
              <w:pStyle w:val="Tabletext"/>
              <w:rPr>
                <w:rFonts w:eastAsia="Calibri"/>
              </w:rPr>
            </w:pPr>
            <w:r w:rsidRPr="00EE72AB">
              <w:rPr>
                <w:rFonts w:eastAsia="Calibri"/>
              </w:rPr>
              <w:t xml:space="preserve"> </w:t>
            </w:r>
          </w:p>
          <w:p w14:paraId="3F4919EC" w14:textId="77777777" w:rsidR="00E4286E" w:rsidRPr="00EE72AB" w:rsidRDefault="00E4286E" w:rsidP="00EE72AB">
            <w:pPr>
              <w:pStyle w:val="Tabletext"/>
              <w:rPr>
                <w:rFonts w:eastAsia="Calibri"/>
              </w:rPr>
            </w:pPr>
            <w:r w:rsidRPr="00EE72AB">
              <w:rPr>
                <w:rFonts w:eastAsia="Calibri"/>
              </w:rPr>
              <w:lastRenderedPageBreak/>
              <w:t xml:space="preserve"> </w:t>
            </w:r>
          </w:p>
          <w:p w14:paraId="727449B9" w14:textId="77777777" w:rsidR="00E4286E" w:rsidRPr="00EE72AB" w:rsidRDefault="00E4286E" w:rsidP="00EE72AB">
            <w:pPr>
              <w:pStyle w:val="Tabletext"/>
              <w:rPr>
                <w:rFonts w:eastAsia="Calibri"/>
              </w:rPr>
            </w:pPr>
            <w:r w:rsidRPr="00EE72AB">
              <w:rPr>
                <w:rFonts w:eastAsia="Calibri"/>
              </w:rPr>
              <w:t xml:space="preserve"> </w:t>
            </w:r>
          </w:p>
          <w:p w14:paraId="723D39FC" w14:textId="77777777" w:rsidR="00E4286E" w:rsidRPr="00EE72AB" w:rsidRDefault="00E4286E" w:rsidP="00EE72AB">
            <w:pPr>
              <w:pStyle w:val="Tabletext"/>
              <w:rPr>
                <w:rFonts w:eastAsia="Calibri"/>
              </w:rPr>
            </w:pPr>
          </w:p>
          <w:p w14:paraId="31E67B73" w14:textId="77777777" w:rsidR="00E4286E" w:rsidRPr="00EE72AB" w:rsidRDefault="00E4286E" w:rsidP="00EE72AB">
            <w:pPr>
              <w:pStyle w:val="Tabletext"/>
              <w:rPr>
                <w:rFonts w:eastAsia="Calibri"/>
              </w:rPr>
            </w:pPr>
            <w:r w:rsidRPr="00EE72AB">
              <w:rPr>
                <w:rFonts w:eastAsia="Calibri"/>
              </w:rPr>
              <w:t xml:space="preserve"> </w:t>
            </w:r>
          </w:p>
        </w:tc>
        <w:tc>
          <w:tcPr>
            <w:tcW w:w="1440" w:type="dxa"/>
            <w:tcMar>
              <w:top w:w="40" w:type="dxa"/>
              <w:left w:w="40" w:type="dxa"/>
              <w:bottom w:w="40" w:type="dxa"/>
              <w:right w:w="40" w:type="dxa"/>
            </w:tcMar>
          </w:tcPr>
          <w:p w14:paraId="721AAAD7" w14:textId="77777777" w:rsidR="00E4286E" w:rsidRPr="00EE72AB" w:rsidRDefault="00E4286E" w:rsidP="00EE72AB">
            <w:pPr>
              <w:pStyle w:val="Tabletext"/>
              <w:rPr>
                <w:rFonts w:eastAsia="Calibri"/>
              </w:rPr>
            </w:pPr>
            <w:r w:rsidRPr="00EE72AB">
              <w:rPr>
                <w:rFonts w:eastAsia="Calibri"/>
              </w:rPr>
              <w:lastRenderedPageBreak/>
              <w:t>2024 CSR1.4</w:t>
            </w:r>
          </w:p>
          <w:p w14:paraId="0418DF90" w14:textId="77777777" w:rsidR="00E4286E" w:rsidRPr="00EE72AB" w:rsidRDefault="00E4286E" w:rsidP="00EE72AB">
            <w:pPr>
              <w:pStyle w:val="Tabletext"/>
              <w:rPr>
                <w:rFonts w:eastAsia="Calibri"/>
              </w:rPr>
            </w:pPr>
            <w:r w:rsidRPr="00EE72AB">
              <w:rPr>
                <w:rFonts w:eastAsia="Calibri"/>
              </w:rPr>
              <w:t>2024 CSR2.1</w:t>
            </w:r>
          </w:p>
          <w:p w14:paraId="494548B1" w14:textId="77777777" w:rsidR="00E4286E" w:rsidRPr="00EE72AB" w:rsidRDefault="00E4286E" w:rsidP="00EE72AB">
            <w:pPr>
              <w:pStyle w:val="Tabletext"/>
              <w:rPr>
                <w:rFonts w:eastAsia="Calibri"/>
              </w:rPr>
            </w:pPr>
            <w:r w:rsidRPr="00EE72AB">
              <w:rPr>
                <w:rFonts w:eastAsia="Calibri"/>
              </w:rPr>
              <w:lastRenderedPageBreak/>
              <w:t>2023 CSR4.1</w:t>
            </w:r>
          </w:p>
          <w:p w14:paraId="02027CAE" w14:textId="77777777" w:rsidR="00E4286E" w:rsidRPr="00EE72AB" w:rsidRDefault="00E4286E" w:rsidP="00EE72AB">
            <w:pPr>
              <w:pStyle w:val="Tabletext"/>
              <w:rPr>
                <w:rFonts w:eastAsia="Calibri"/>
              </w:rPr>
            </w:pPr>
            <w:r w:rsidRPr="00EE72AB">
              <w:rPr>
                <w:rFonts w:eastAsia="Calibri"/>
              </w:rPr>
              <w:t>2023 CSR4.3</w:t>
            </w:r>
          </w:p>
          <w:p w14:paraId="3475D28A" w14:textId="77777777" w:rsidR="00E4286E" w:rsidRPr="00EE72AB" w:rsidRDefault="00E4286E" w:rsidP="00EE72AB">
            <w:pPr>
              <w:pStyle w:val="Tabletext"/>
              <w:rPr>
                <w:rFonts w:eastAsia="Calibri"/>
              </w:rPr>
            </w:pPr>
            <w:r w:rsidRPr="00EE72AB">
              <w:rPr>
                <w:rFonts w:eastAsia="Calibri"/>
              </w:rPr>
              <w:t>2023 CSR4.4</w:t>
            </w:r>
          </w:p>
          <w:p w14:paraId="271ABBDF" w14:textId="77777777" w:rsidR="00E4286E" w:rsidRPr="00EE72AB" w:rsidRDefault="00E4286E" w:rsidP="00EE72AB">
            <w:pPr>
              <w:pStyle w:val="Tabletext"/>
              <w:rPr>
                <w:rFonts w:eastAsia="Calibri"/>
              </w:rPr>
            </w:pPr>
            <w:r w:rsidRPr="00EE72AB">
              <w:rPr>
                <w:rFonts w:eastAsia="Calibri"/>
              </w:rPr>
              <w:t>2022 CSR4.1</w:t>
            </w:r>
          </w:p>
          <w:p w14:paraId="47A62C48" w14:textId="77777777" w:rsidR="00E4286E" w:rsidRPr="00EE72AB" w:rsidRDefault="00E4286E" w:rsidP="00EE72AB">
            <w:pPr>
              <w:pStyle w:val="Tabletext"/>
              <w:rPr>
                <w:rFonts w:eastAsia="Calibri"/>
              </w:rPr>
            </w:pPr>
            <w:r w:rsidRPr="00EE72AB">
              <w:rPr>
                <w:rFonts w:eastAsia="Calibri"/>
              </w:rPr>
              <w:t>2022 CSR4.2</w:t>
            </w:r>
          </w:p>
          <w:p w14:paraId="4CFDB0EE" w14:textId="77777777" w:rsidR="00E4286E" w:rsidRPr="00EE72AB" w:rsidRDefault="00E4286E" w:rsidP="00EE72AB">
            <w:pPr>
              <w:pStyle w:val="Tabletext"/>
              <w:rPr>
                <w:rFonts w:eastAsia="Calibri"/>
              </w:rPr>
            </w:pPr>
            <w:r w:rsidRPr="00EE72AB">
              <w:rPr>
                <w:rFonts w:eastAsia="Calibri"/>
              </w:rPr>
              <w:t>2022 CSR4.5</w:t>
            </w:r>
          </w:p>
          <w:p w14:paraId="3B796E15" w14:textId="77777777" w:rsidR="00E4286E" w:rsidRPr="00EE72AB" w:rsidRDefault="00E4286E" w:rsidP="00EE72AB">
            <w:pPr>
              <w:pStyle w:val="Tabletext"/>
              <w:rPr>
                <w:rFonts w:eastAsia="Calibri"/>
              </w:rPr>
            </w:pPr>
            <w:r w:rsidRPr="00EE72AB">
              <w:rPr>
                <w:rFonts w:eastAsia="Calibri"/>
              </w:rPr>
              <w:t>2020 CSR3.3</w:t>
            </w:r>
          </w:p>
          <w:p w14:paraId="3C80EA61" w14:textId="77777777" w:rsidR="00E4286E" w:rsidRPr="00EE72AB" w:rsidRDefault="00E4286E" w:rsidP="00EE72AB">
            <w:pPr>
              <w:pStyle w:val="Tabletext"/>
              <w:rPr>
                <w:rFonts w:eastAsia="Calibri"/>
              </w:rPr>
            </w:pPr>
            <w:r w:rsidRPr="00EE72AB">
              <w:rPr>
                <w:rFonts w:eastAsia="Calibri"/>
              </w:rPr>
              <w:t>2020 CSR3.4</w:t>
            </w:r>
          </w:p>
          <w:p w14:paraId="38AC6168" w14:textId="77777777" w:rsidR="00E4286E" w:rsidRPr="00EE72AB" w:rsidRDefault="00E4286E" w:rsidP="00EE72AB">
            <w:pPr>
              <w:pStyle w:val="Tabletext"/>
              <w:rPr>
                <w:rFonts w:eastAsia="Calibri"/>
              </w:rPr>
            </w:pPr>
            <w:r w:rsidRPr="00EE72AB">
              <w:rPr>
                <w:rFonts w:eastAsia="Calibri"/>
              </w:rPr>
              <w:t>2020 CSR3.9</w:t>
            </w:r>
          </w:p>
          <w:p w14:paraId="4821A846" w14:textId="77777777" w:rsidR="00E4286E" w:rsidRPr="00EE72AB" w:rsidRDefault="00E4286E" w:rsidP="00EE72AB">
            <w:pPr>
              <w:pStyle w:val="Tabletext"/>
              <w:rPr>
                <w:rFonts w:eastAsia="Calibri"/>
              </w:rPr>
            </w:pPr>
            <w:r w:rsidRPr="00EE72AB">
              <w:rPr>
                <w:rFonts w:eastAsia="Calibri"/>
              </w:rPr>
              <w:t>2019 CSR2.1</w:t>
            </w:r>
          </w:p>
          <w:p w14:paraId="4E4168EF" w14:textId="77777777" w:rsidR="00E4286E" w:rsidRPr="00EE72AB" w:rsidRDefault="00E4286E" w:rsidP="00EE72AB">
            <w:pPr>
              <w:pStyle w:val="Tabletext"/>
              <w:rPr>
                <w:rFonts w:eastAsia="Calibri"/>
              </w:rPr>
            </w:pPr>
            <w:r w:rsidRPr="00EE72AB">
              <w:rPr>
                <w:rFonts w:eastAsia="Calibri"/>
              </w:rPr>
              <w:t>2019 CSR2.2</w:t>
            </w:r>
          </w:p>
        </w:tc>
        <w:tc>
          <w:tcPr>
            <w:tcW w:w="2715" w:type="dxa"/>
            <w:tcMar>
              <w:top w:w="40" w:type="dxa"/>
              <w:left w:w="40" w:type="dxa"/>
              <w:bottom w:w="40" w:type="dxa"/>
              <w:right w:w="40" w:type="dxa"/>
            </w:tcMar>
          </w:tcPr>
          <w:p w14:paraId="3E637B0E" w14:textId="77777777" w:rsidR="00E4286E" w:rsidRPr="00EE72AB" w:rsidRDefault="00E4286E" w:rsidP="00EE72AB">
            <w:pPr>
              <w:pStyle w:val="Tabletext"/>
              <w:rPr>
                <w:rFonts w:eastAsia="Calibri"/>
              </w:rPr>
            </w:pPr>
            <w:r w:rsidRPr="00EE72AB">
              <w:rPr>
                <w:rFonts w:eastAsia="Calibri"/>
              </w:rPr>
              <w:lastRenderedPageBreak/>
              <w:t>Social and Economic resilience</w:t>
            </w:r>
          </w:p>
        </w:tc>
      </w:tr>
      <w:tr w:rsidR="00E4286E" w:rsidRPr="00EE72AB" w14:paraId="0E56B2D1" w14:textId="77777777" w:rsidTr="00EE72AB">
        <w:trPr>
          <w:trHeight w:val="113"/>
          <w:jc w:val="center"/>
        </w:trPr>
        <w:tc>
          <w:tcPr>
            <w:tcW w:w="3765" w:type="dxa"/>
            <w:tcMar>
              <w:top w:w="40" w:type="dxa"/>
              <w:left w:w="40" w:type="dxa"/>
              <w:bottom w:w="40" w:type="dxa"/>
              <w:right w:w="40" w:type="dxa"/>
            </w:tcMar>
          </w:tcPr>
          <w:p w14:paraId="5B356A1A" w14:textId="301CED87" w:rsidR="00E4286E" w:rsidRPr="00EE72AB" w:rsidRDefault="00BA03C0" w:rsidP="00EE72AB">
            <w:pPr>
              <w:pStyle w:val="Tabletext"/>
              <w:rPr>
                <w:rFonts w:eastAsia="Calibri"/>
              </w:rPr>
            </w:pPr>
            <w:r w:rsidRPr="00BA03C0">
              <w:rPr>
                <w:rFonts w:eastAsia="Calibri"/>
                <w:b/>
              </w:rPr>
              <w:t>INVESTMENT 5:</w:t>
            </w:r>
            <w:r w:rsidR="00E4286E" w:rsidRPr="00EE72AB">
              <w:rPr>
                <w:rFonts w:eastAsia="Calibri"/>
              </w:rPr>
              <w:t xml:space="preserve"> GNTO’s core project is to promote Greece as a year- round tourism destination and further solidify Greece’s position as an attractive, modern, and evolving country</w:t>
            </w:r>
          </w:p>
        </w:tc>
        <w:tc>
          <w:tcPr>
            <w:tcW w:w="1440" w:type="dxa"/>
            <w:tcMar>
              <w:top w:w="40" w:type="dxa"/>
              <w:left w:w="40" w:type="dxa"/>
              <w:bottom w:w="40" w:type="dxa"/>
              <w:right w:w="40" w:type="dxa"/>
            </w:tcMar>
          </w:tcPr>
          <w:p w14:paraId="2B345FA2" w14:textId="77777777" w:rsidR="00E4286E" w:rsidRPr="00EE72AB" w:rsidRDefault="00E4286E" w:rsidP="00EE72AB">
            <w:pPr>
              <w:pStyle w:val="Tabletext"/>
              <w:rPr>
                <w:rFonts w:eastAsia="Calibri"/>
              </w:rPr>
            </w:pPr>
            <w:r w:rsidRPr="00EE72AB">
              <w:rPr>
                <w:rFonts w:eastAsia="Calibri"/>
              </w:rPr>
              <w:t>-</w:t>
            </w:r>
          </w:p>
        </w:tc>
        <w:tc>
          <w:tcPr>
            <w:tcW w:w="1440" w:type="dxa"/>
            <w:tcMar>
              <w:top w:w="40" w:type="dxa"/>
              <w:left w:w="40" w:type="dxa"/>
              <w:bottom w:w="40" w:type="dxa"/>
              <w:right w:w="40" w:type="dxa"/>
            </w:tcMar>
          </w:tcPr>
          <w:p w14:paraId="13458AD1" w14:textId="77777777" w:rsidR="00E4286E" w:rsidRPr="00EE72AB" w:rsidRDefault="00E4286E" w:rsidP="00EE72AB">
            <w:pPr>
              <w:pStyle w:val="Tabletext"/>
              <w:rPr>
                <w:rFonts w:eastAsia="Calibri"/>
              </w:rPr>
            </w:pPr>
            <w:r w:rsidRPr="00EE72AB">
              <w:rPr>
                <w:rFonts w:eastAsia="Calibri"/>
              </w:rPr>
              <w:t>2024 CSR1.4</w:t>
            </w:r>
          </w:p>
          <w:p w14:paraId="6DEB39E8" w14:textId="77777777" w:rsidR="00E4286E" w:rsidRPr="00EE72AB" w:rsidRDefault="00E4286E" w:rsidP="00EE72AB">
            <w:pPr>
              <w:pStyle w:val="Tabletext"/>
              <w:rPr>
                <w:rFonts w:eastAsia="Calibri"/>
              </w:rPr>
            </w:pPr>
            <w:r w:rsidRPr="00EE72AB">
              <w:rPr>
                <w:rFonts w:eastAsia="Calibri"/>
              </w:rPr>
              <w:t>2020 CSR3.3</w:t>
            </w:r>
          </w:p>
        </w:tc>
        <w:tc>
          <w:tcPr>
            <w:tcW w:w="2715" w:type="dxa"/>
            <w:tcMar>
              <w:top w:w="40" w:type="dxa"/>
              <w:left w:w="40" w:type="dxa"/>
              <w:bottom w:w="40" w:type="dxa"/>
              <w:right w:w="40" w:type="dxa"/>
            </w:tcMar>
          </w:tcPr>
          <w:p w14:paraId="74196C25" w14:textId="77777777" w:rsidR="00E4286E" w:rsidRPr="00EE72AB" w:rsidRDefault="00E4286E" w:rsidP="00EE72AB">
            <w:pPr>
              <w:pStyle w:val="Tabletext"/>
              <w:rPr>
                <w:rFonts w:eastAsia="Calibri"/>
              </w:rPr>
            </w:pPr>
            <w:r w:rsidRPr="00EE72AB">
              <w:rPr>
                <w:rFonts w:eastAsia="Calibri"/>
              </w:rPr>
              <w:t>Social and Economic resilience</w:t>
            </w:r>
          </w:p>
        </w:tc>
      </w:tr>
    </w:tbl>
    <w:p w14:paraId="2C4AE6EE" w14:textId="0C3E5B59" w:rsidR="007C3704" w:rsidRDefault="007C3704" w:rsidP="00987A40">
      <w:pPr>
        <w:widowControl w:val="0"/>
        <w:spacing w:after="160" w:line="240" w:lineRule="auto"/>
        <w:rPr>
          <w:rFonts w:ascii="Calibri" w:eastAsia="Calibri" w:hAnsi="Calibri" w:cs="Calibri"/>
          <w:sz w:val="24"/>
          <w:szCs w:val="24"/>
        </w:rPr>
      </w:pPr>
    </w:p>
    <w:p w14:paraId="73AE2800" w14:textId="77777777" w:rsidR="00E4286E" w:rsidRPr="00920844" w:rsidRDefault="00E4286E" w:rsidP="00920844">
      <w:pPr>
        <w:rPr>
          <w:rFonts w:eastAsia="Calibri"/>
          <w:lang w:val="en-US"/>
        </w:rPr>
      </w:pPr>
      <w:r w:rsidRPr="00920844">
        <w:rPr>
          <w:rFonts w:eastAsia="Calibri"/>
          <w:lang w:val="en-US"/>
        </w:rPr>
        <w:t xml:space="preserve">The reform of </w:t>
      </w:r>
      <w:r w:rsidRPr="00920844">
        <w:rPr>
          <w:rFonts w:eastAsia="Calibri"/>
          <w:b/>
          <w:lang w:val="en-US"/>
        </w:rPr>
        <w:t>systematic showcasing of thematic and special forms of tourism</w:t>
      </w:r>
      <w:r w:rsidRPr="00920844">
        <w:rPr>
          <w:rFonts w:eastAsia="Calibri"/>
          <w:lang w:val="en-US"/>
        </w:rPr>
        <w:t xml:space="preserve"> is an action which aims at establishing the legal and/or regulatory framework for business activities in thematic tourism and setting up measures for the development and promotion of thematic tourism. Most actions are based on collaboration among competent authorities, Ministries, and tourism stakeholders. According to its content the above mentioned reform is highly associated with the CSR concerning the improvement of external balances and the promotion of private investment. Moreover, it directly supports the EU’s common priorities, as it favors social and economic resilience by focusing on the extension of tourism season and tackling the seasonality of tourism demand through promotion of thematic and special forms of tourism. The reform is expected to be completed by 2028.</w:t>
      </w:r>
    </w:p>
    <w:p w14:paraId="7B4187D3" w14:textId="77777777" w:rsidR="00E4286E" w:rsidRPr="00920844" w:rsidRDefault="00E4286E" w:rsidP="00920844">
      <w:pPr>
        <w:rPr>
          <w:rFonts w:eastAsia="Calibri"/>
          <w:lang w:val="en-US"/>
        </w:rPr>
      </w:pPr>
      <w:r w:rsidRPr="00920844">
        <w:rPr>
          <w:rFonts w:eastAsia="Calibri"/>
          <w:lang w:val="en-US"/>
        </w:rPr>
        <w:t xml:space="preserve">The RRF investment involving data and functions transfer of the current Registry of Tourism Enterprises (MHTE) </w:t>
      </w:r>
      <w:r w:rsidRPr="00920844">
        <w:rPr>
          <w:rFonts w:eastAsia="Calibri"/>
          <w:b/>
          <w:lang w:val="en-US"/>
        </w:rPr>
        <w:t xml:space="preserve">to the new "My Digital Tourism" platform (known as e-MHTE Platform) </w:t>
      </w:r>
      <w:r w:rsidRPr="00920844">
        <w:rPr>
          <w:rFonts w:eastAsia="Calibri"/>
          <w:lang w:val="en-US"/>
        </w:rPr>
        <w:t>represents a significant modernization effort which aims to ensure interoperability with public registries and IT systems, in order to provide better and improved services, the issuance of new licenses for the operation of enterprises and the renewal of the existing ones. The project also includes digitization of administrative procedures, database interconnection, a system for recording arrivals and departures and other statistical data concerning tourist accommodation, as well as digitization of files. By establishing the new platform, the project will contribute to the improvement of the effectiveness and digitalisation of the public administration. Moreover, it directly supports the EU’s common priorities, as it bolsters fair green and digital transition by reducing administrative burdens through digitization of administrative procedures. The implementation of the investment is expected to be completed by 2026.</w:t>
      </w:r>
    </w:p>
    <w:p w14:paraId="1C04A55D" w14:textId="77777777" w:rsidR="00E4286E" w:rsidRPr="00920844" w:rsidRDefault="00E4286E" w:rsidP="00920844">
      <w:pPr>
        <w:rPr>
          <w:rFonts w:eastAsia="Calibri"/>
          <w:lang w:val="en-US"/>
        </w:rPr>
      </w:pPr>
      <w:r w:rsidRPr="00920844">
        <w:rPr>
          <w:rFonts w:eastAsia="Calibri"/>
          <w:lang w:val="en-US"/>
        </w:rPr>
        <w:t xml:space="preserve">The RRF investment referring to </w:t>
      </w:r>
      <w:r w:rsidRPr="00920844">
        <w:rPr>
          <w:rFonts w:eastAsia="Calibri"/>
          <w:b/>
          <w:lang w:val="en-US"/>
        </w:rPr>
        <w:t xml:space="preserve">digital transformation of the Greek National Tourism Organisation and its main assets </w:t>
      </w:r>
      <w:r w:rsidRPr="00920844">
        <w:rPr>
          <w:rFonts w:eastAsia="Calibri"/>
          <w:lang w:val="en-US"/>
        </w:rPr>
        <w:t xml:space="preserve">concerns the implementation of a digital tourist map and a digital repository of Greece’s cultural assets, and the development of an innovative system that </w:t>
      </w:r>
      <w:r w:rsidRPr="00920844">
        <w:rPr>
          <w:rFonts w:eastAsia="Calibri"/>
          <w:lang w:val="en-US"/>
        </w:rPr>
        <w:lastRenderedPageBreak/>
        <w:t>will provide information to tourists and citizens based on 2nd generation Artificial Intelligence technology. The digital transformation project aims to improve access to information about Greece’s tourism ecosystem, while promoting upskilling across the industry, boosting entrepreneurship and prioritising green growth and sustainability. By completing the digital transformation of GNTO, the project will improve the effectiveness and digitalisation of the public administration in line with the relevant Country - Specific Recommendation (CSR). Moreover, it directly supports the EU’s common priorities, as it favors fair green and digital transition with the creation of new modern tools that aim to highlight and further exploit the country's tourism industry. The implementation of this project is expected to be completed by 2026.</w:t>
      </w:r>
    </w:p>
    <w:p w14:paraId="79489010" w14:textId="77777777" w:rsidR="00E4286E" w:rsidRPr="00920844" w:rsidRDefault="00E4286E" w:rsidP="00920844">
      <w:pPr>
        <w:rPr>
          <w:rFonts w:eastAsia="Calibri"/>
          <w:lang w:val="en-US"/>
        </w:rPr>
      </w:pPr>
      <w:r w:rsidRPr="00920844">
        <w:rPr>
          <w:rFonts w:eastAsia="Calibri"/>
          <w:lang w:val="en-US"/>
        </w:rPr>
        <w:t xml:space="preserve">The RRF investment concerning </w:t>
      </w:r>
      <w:r w:rsidRPr="00920844">
        <w:rPr>
          <w:rFonts w:eastAsia="Calibri"/>
          <w:b/>
          <w:lang w:val="en-US"/>
        </w:rPr>
        <w:t>the upskilling and reskilling of human resources in the tourism industry</w:t>
      </w:r>
      <w:r w:rsidRPr="00920844">
        <w:rPr>
          <w:rFonts w:eastAsia="Calibri"/>
          <w:lang w:val="en-US"/>
        </w:rPr>
        <w:t>, aims to equip the workforce of any age with the skills needed in the labour market as well as with skills in line with the green and digital transition of the EU, by means of brief vocational programs. The investment comprises upskilling and reskilling of seasonal workers, long-term unemployed as well as the workers in the tourism sector whose labour contract has been suspended during the pandemic. The continuing professional programs will be addressed to at least 18,000 trainees. By providing professional training programs, the project will contribute to fostering employability and to the enhancement of skills, in line with the relevant Country - Specific Recommendations (CSRs). Moreover, it directly supports the EU’s common priorities, as it bolsters social and economic resilience through upgrading trainees’ skills. The implementation of this project is scheduled to be completed by 2026.</w:t>
      </w:r>
    </w:p>
    <w:p w14:paraId="6FCBA740" w14:textId="77777777" w:rsidR="00E4286E" w:rsidRPr="00920844" w:rsidRDefault="00E4286E" w:rsidP="00920844">
      <w:pPr>
        <w:rPr>
          <w:rFonts w:eastAsia="Calibri"/>
          <w:lang w:val="en-US"/>
        </w:rPr>
      </w:pPr>
      <w:r w:rsidRPr="00920844">
        <w:rPr>
          <w:rFonts w:eastAsia="Calibri"/>
          <w:lang w:val="en-US"/>
        </w:rPr>
        <w:t>The RRF investment “</w:t>
      </w:r>
      <w:r w:rsidRPr="00920844">
        <w:rPr>
          <w:rFonts w:eastAsia="Calibri"/>
          <w:b/>
          <w:lang w:val="en-US"/>
        </w:rPr>
        <w:t>Tourism Development</w:t>
      </w:r>
      <w:r w:rsidRPr="00920844">
        <w:rPr>
          <w:rFonts w:eastAsia="Calibri"/>
          <w:lang w:val="en-US"/>
        </w:rPr>
        <w:t>”</w:t>
      </w:r>
      <w:r w:rsidRPr="00920844">
        <w:rPr>
          <w:rFonts w:eastAsia="Calibri"/>
          <w:b/>
          <w:lang w:val="en-US"/>
        </w:rPr>
        <w:t xml:space="preserve"> </w:t>
      </w:r>
      <w:r w:rsidRPr="00920844">
        <w:rPr>
          <w:rFonts w:eastAsia="Calibri"/>
          <w:lang w:val="en-US"/>
        </w:rPr>
        <w:t>is a measure that aims to extend the tourism season in Greece beyond the summer months and promote alternative forms of tourism, contributing to the economic resilience and sustainable development of a key sector in the Greek economy. The investment comprises Green and Blue development through which the authorities aim to improve mountain tourism facilities and tourism ports and, in general, enhance thematic tourism forms that could create spill-over effects and enhance territorial cohesion. To this end, the measure includes interventions in the following areas: (i) Destination management, (ii) Mountain tourism, (iii) Health &amp; Wellness Tourism through thermal spring utilization, (iv) Agrotourism and Gastronomy, (v) Upgrade of tourist ports, (vi) Accessible beaches and (vii) Diving and underwater tourism. According to its content the investment is highly associated with the CSRs concerning environmental protection, energy efficiency and renewable energy. It also promotes private investment, investment in the green and digital transition and improves the effectiveness and digitalisation of the public administration</w:t>
      </w:r>
      <w:r w:rsidRPr="00920844">
        <w:rPr>
          <w:rFonts w:eastAsia="Calibri"/>
          <w:i/>
          <w:lang w:val="en-US"/>
        </w:rPr>
        <w:t>.</w:t>
      </w:r>
      <w:r w:rsidRPr="00920844">
        <w:rPr>
          <w:rFonts w:eastAsia="Calibri"/>
          <w:lang w:val="en-US"/>
        </w:rPr>
        <w:t xml:space="preserve"> Moreover, it directly supports the EU’s common priorities, as it favors social and economic resilience. The implementation of this project is expected to be completed by 2026.</w:t>
      </w:r>
    </w:p>
    <w:p w14:paraId="4F431F07" w14:textId="43F6DF83" w:rsidR="00E4286E" w:rsidRPr="00BB0F36" w:rsidRDefault="00E4286E" w:rsidP="00BB0F36">
      <w:pPr>
        <w:rPr>
          <w:rFonts w:eastAsia="Calibri"/>
          <w:sz w:val="38"/>
          <w:szCs w:val="38"/>
          <w:lang w:val="en-US"/>
        </w:rPr>
      </w:pPr>
      <w:r w:rsidRPr="00920844">
        <w:rPr>
          <w:rFonts w:eastAsia="Calibri"/>
          <w:lang w:val="en-US"/>
        </w:rPr>
        <w:lastRenderedPageBreak/>
        <w:t xml:space="preserve">The investment of </w:t>
      </w:r>
      <w:r w:rsidRPr="00920844">
        <w:rPr>
          <w:rFonts w:eastAsia="Calibri"/>
          <w:b/>
          <w:lang w:val="en-US"/>
        </w:rPr>
        <w:t>promoting Greece as a year - round tourism destination</w:t>
      </w:r>
      <w:r w:rsidRPr="00920844">
        <w:rPr>
          <w:rFonts w:eastAsia="Calibri"/>
          <w:lang w:val="en-US"/>
        </w:rPr>
        <w:t xml:space="preserve"> and further solidifying Greece’s position as an attractive, modern, and evolving country is the core project of GNTO. It includes an annual advertising and co-advertising plan, as well as PR activities &amp; exhibitions plan. GNTO designs and implements marketing plans and advertising campaigns for international, national and regional audiences, creating a new narrative for Greek tourism. This action contributes to the improvement of external balances and to the promotion of private investment, in line with the relevant Country - Specific Recommendations (CSRs). Moreover, it directly supports the EU’s common priorities, as it boosts social and economic resilience by focusing on the extension of tourism season and facing the seasonality of tourism demand. The action is expected to be completed by 2028.</w:t>
      </w:r>
    </w:p>
    <w:p w14:paraId="3FAE2958" w14:textId="4CC8722F" w:rsidR="00987A40" w:rsidRDefault="00987A40" w:rsidP="00987A40">
      <w:pPr>
        <w:widowControl w:val="0"/>
        <w:pBdr>
          <w:top w:val="nil"/>
          <w:left w:val="nil"/>
          <w:bottom w:val="nil"/>
          <w:right w:val="nil"/>
          <w:between w:val="nil"/>
        </w:pBdr>
        <w:spacing w:before="208" w:line="280" w:lineRule="auto"/>
        <w:ind w:right="-136"/>
        <w:rPr>
          <w:rFonts w:ascii="Calibri" w:eastAsia="Calibri" w:hAnsi="Calibri" w:cs="Calibri"/>
          <w:sz w:val="24"/>
          <w:szCs w:val="24"/>
          <w:lang w:val="en-US"/>
        </w:rPr>
      </w:pPr>
    </w:p>
    <w:p w14:paraId="1774FBEC" w14:textId="460F9693" w:rsidR="00987A40" w:rsidRPr="000D4DE6" w:rsidRDefault="00E74DBE" w:rsidP="00C33755">
      <w:pPr>
        <w:pStyle w:val="Heading2"/>
        <w:pBdr>
          <w:bottom w:val="single" w:sz="18" w:space="1" w:color="FF3300"/>
        </w:pBdr>
        <w:rPr>
          <w:lang w:val="en-US"/>
        </w:rPr>
      </w:pPr>
      <w:bookmarkStart w:id="119" w:name="_Toc177496817"/>
      <w:bookmarkStart w:id="120" w:name="_Toc178070119"/>
      <w:r>
        <w:rPr>
          <w:lang w:val="en-US"/>
        </w:rPr>
        <w:t>M</w:t>
      </w:r>
      <w:r w:rsidRPr="000D4DE6">
        <w:rPr>
          <w:lang w:val="en-US"/>
        </w:rPr>
        <w:t xml:space="preserve">inistry of </w:t>
      </w:r>
      <w:r>
        <w:rPr>
          <w:lang w:val="en-US"/>
        </w:rPr>
        <w:t>D</w:t>
      </w:r>
      <w:r w:rsidRPr="000D4DE6">
        <w:rPr>
          <w:lang w:val="en-US"/>
        </w:rPr>
        <w:t xml:space="preserve">igital </w:t>
      </w:r>
      <w:bookmarkEnd w:id="119"/>
      <w:r>
        <w:rPr>
          <w:lang w:val="en-US"/>
        </w:rPr>
        <w:t>G</w:t>
      </w:r>
      <w:r w:rsidRPr="000D4DE6">
        <w:rPr>
          <w:lang w:val="en-US"/>
        </w:rPr>
        <w:t>overnance</w:t>
      </w:r>
      <w:bookmarkEnd w:id="120"/>
    </w:p>
    <w:p w14:paraId="00DC5294" w14:textId="0F6F0F04" w:rsidR="000A0370" w:rsidRPr="00920844" w:rsidRDefault="000A0370" w:rsidP="00F741DD">
      <w:pPr>
        <w:rPr>
          <w:rFonts w:eastAsia="Calibri"/>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3484"/>
        <w:gridCol w:w="1486"/>
        <w:gridCol w:w="1603"/>
        <w:gridCol w:w="2499"/>
      </w:tblGrid>
      <w:tr w:rsidR="00E4286E" w:rsidRPr="00EE72AB" w14:paraId="4099A8C5" w14:textId="77777777" w:rsidTr="00EE72AB">
        <w:trPr>
          <w:trHeight w:val="113"/>
          <w:jc w:val="center"/>
        </w:trPr>
        <w:tc>
          <w:tcPr>
            <w:tcW w:w="3555" w:type="dxa"/>
            <w:shd w:val="clear" w:color="auto" w:fill="CFE2F3"/>
            <w:tcMar>
              <w:top w:w="0" w:type="dxa"/>
              <w:left w:w="40" w:type="dxa"/>
              <w:bottom w:w="0" w:type="dxa"/>
              <w:right w:w="40" w:type="dxa"/>
            </w:tcMar>
          </w:tcPr>
          <w:p w14:paraId="3905576E" w14:textId="77777777" w:rsidR="00E4286E" w:rsidRPr="00EE72AB" w:rsidRDefault="00E4286E" w:rsidP="00EE72AB">
            <w:pPr>
              <w:pStyle w:val="Tabletext"/>
              <w:rPr>
                <w:rFonts w:eastAsia="Calibri"/>
                <w:b/>
              </w:rPr>
            </w:pPr>
            <w:r w:rsidRPr="00EE72AB">
              <w:rPr>
                <w:rFonts w:eastAsia="Calibri"/>
                <w:b/>
              </w:rPr>
              <w:t>REFORM / INVESTMENT</w:t>
            </w:r>
          </w:p>
        </w:tc>
        <w:tc>
          <w:tcPr>
            <w:tcW w:w="1515" w:type="dxa"/>
            <w:shd w:val="clear" w:color="auto" w:fill="CFE2F3"/>
            <w:tcMar>
              <w:top w:w="0" w:type="dxa"/>
              <w:left w:w="40" w:type="dxa"/>
              <w:bottom w:w="0" w:type="dxa"/>
              <w:right w:w="40" w:type="dxa"/>
            </w:tcMar>
          </w:tcPr>
          <w:p w14:paraId="1CF7F12D" w14:textId="77777777" w:rsidR="00E4286E" w:rsidRPr="00EE72AB" w:rsidRDefault="00E4286E" w:rsidP="00EE72AB">
            <w:pPr>
              <w:pStyle w:val="Tabletext"/>
              <w:rPr>
                <w:rFonts w:eastAsia="Calibri"/>
                <w:b/>
              </w:rPr>
            </w:pPr>
            <w:r w:rsidRPr="00EE72AB">
              <w:rPr>
                <w:rFonts w:eastAsia="Calibri"/>
                <w:b/>
              </w:rPr>
              <w:t>RRF / MFF</w:t>
            </w:r>
          </w:p>
        </w:tc>
        <w:tc>
          <w:tcPr>
            <w:tcW w:w="1635" w:type="dxa"/>
            <w:shd w:val="clear" w:color="auto" w:fill="CFE2F3"/>
            <w:tcMar>
              <w:top w:w="0" w:type="dxa"/>
              <w:left w:w="40" w:type="dxa"/>
              <w:bottom w:w="0" w:type="dxa"/>
              <w:right w:w="40" w:type="dxa"/>
            </w:tcMar>
          </w:tcPr>
          <w:p w14:paraId="6EEC197F" w14:textId="77777777" w:rsidR="00E4286E" w:rsidRPr="00EE72AB" w:rsidRDefault="00E4286E" w:rsidP="00EE72AB">
            <w:pPr>
              <w:pStyle w:val="Tabletext"/>
              <w:rPr>
                <w:rFonts w:eastAsia="Calibri"/>
                <w:b/>
              </w:rPr>
            </w:pPr>
            <w:r w:rsidRPr="00EE72AB">
              <w:rPr>
                <w:rFonts w:eastAsia="Calibri"/>
                <w:b/>
              </w:rPr>
              <w:t>CSR</w:t>
            </w:r>
          </w:p>
        </w:tc>
        <w:tc>
          <w:tcPr>
            <w:tcW w:w="2550" w:type="dxa"/>
            <w:shd w:val="clear" w:color="auto" w:fill="CFE2F3"/>
            <w:tcMar>
              <w:top w:w="0" w:type="dxa"/>
              <w:left w:w="40" w:type="dxa"/>
              <w:bottom w:w="0" w:type="dxa"/>
              <w:right w:w="40" w:type="dxa"/>
            </w:tcMar>
          </w:tcPr>
          <w:p w14:paraId="729B0848" w14:textId="77777777" w:rsidR="00E4286E" w:rsidRPr="00EE72AB" w:rsidRDefault="00E4286E" w:rsidP="00EE72AB">
            <w:pPr>
              <w:pStyle w:val="Tabletext"/>
              <w:rPr>
                <w:rFonts w:eastAsia="Calibri"/>
                <w:b/>
              </w:rPr>
            </w:pPr>
            <w:r w:rsidRPr="00EE72AB">
              <w:rPr>
                <w:rFonts w:eastAsia="Calibri"/>
                <w:b/>
              </w:rPr>
              <w:t>COMMON PRIORITIES</w:t>
            </w:r>
          </w:p>
        </w:tc>
      </w:tr>
      <w:tr w:rsidR="00E4286E" w:rsidRPr="00EE72AB" w14:paraId="74A90785" w14:textId="77777777" w:rsidTr="00EE72AB">
        <w:trPr>
          <w:trHeight w:val="113"/>
          <w:jc w:val="center"/>
        </w:trPr>
        <w:tc>
          <w:tcPr>
            <w:tcW w:w="3555" w:type="dxa"/>
            <w:tcMar>
              <w:top w:w="0" w:type="dxa"/>
              <w:left w:w="40" w:type="dxa"/>
              <w:bottom w:w="0" w:type="dxa"/>
              <w:right w:w="40" w:type="dxa"/>
            </w:tcMar>
          </w:tcPr>
          <w:p w14:paraId="61EC55B8" w14:textId="5BC50560" w:rsidR="00E4286E" w:rsidRPr="00EE72AB" w:rsidRDefault="00BA03C0" w:rsidP="00EE72AB">
            <w:pPr>
              <w:pStyle w:val="Tabletext"/>
              <w:rPr>
                <w:rFonts w:eastAsia="Calibri"/>
              </w:rPr>
            </w:pPr>
            <w:r w:rsidRPr="00BA03C0">
              <w:rPr>
                <w:rFonts w:eastAsia="Calibri"/>
                <w:b/>
              </w:rPr>
              <w:t>REFORM 1:</w:t>
            </w:r>
            <w:r w:rsidR="00E4286E" w:rsidRPr="00EE72AB">
              <w:rPr>
                <w:rFonts w:eastAsia="Calibri"/>
              </w:rPr>
              <w:t xml:space="preserve">  Personal Identification Number</w:t>
            </w:r>
          </w:p>
        </w:tc>
        <w:tc>
          <w:tcPr>
            <w:tcW w:w="1515" w:type="dxa"/>
            <w:tcMar>
              <w:top w:w="0" w:type="dxa"/>
              <w:left w:w="40" w:type="dxa"/>
              <w:bottom w:w="0" w:type="dxa"/>
              <w:right w:w="40" w:type="dxa"/>
            </w:tcMar>
          </w:tcPr>
          <w:p w14:paraId="42A170F9" w14:textId="77777777" w:rsidR="00E4286E" w:rsidRPr="00EE72AB" w:rsidRDefault="00E4286E" w:rsidP="00EE72AB">
            <w:pPr>
              <w:pStyle w:val="Tabletext"/>
              <w:rPr>
                <w:rFonts w:eastAsia="Calibri"/>
              </w:rPr>
            </w:pPr>
            <w:r w:rsidRPr="00EE72AB">
              <w:rPr>
                <w:rFonts w:eastAsia="Calibri"/>
              </w:rPr>
              <w:t>-</w:t>
            </w:r>
          </w:p>
        </w:tc>
        <w:tc>
          <w:tcPr>
            <w:tcW w:w="1635" w:type="dxa"/>
            <w:tcMar>
              <w:top w:w="0" w:type="dxa"/>
              <w:left w:w="40" w:type="dxa"/>
              <w:bottom w:w="0" w:type="dxa"/>
              <w:right w:w="40" w:type="dxa"/>
            </w:tcMar>
          </w:tcPr>
          <w:p w14:paraId="4677E755" w14:textId="77777777" w:rsidR="00E4286E" w:rsidRPr="00EE72AB" w:rsidRDefault="00E4286E" w:rsidP="00EE72AB">
            <w:pPr>
              <w:pStyle w:val="Tabletext"/>
              <w:rPr>
                <w:rFonts w:eastAsia="Calibri"/>
              </w:rPr>
            </w:pPr>
            <w:r w:rsidRPr="00EE72AB">
              <w:rPr>
                <w:rFonts w:eastAsia="Calibri"/>
              </w:rPr>
              <w:t>2020 CSR 3.9</w:t>
            </w:r>
          </w:p>
        </w:tc>
        <w:tc>
          <w:tcPr>
            <w:tcW w:w="2550" w:type="dxa"/>
            <w:tcMar>
              <w:top w:w="0" w:type="dxa"/>
              <w:left w:w="40" w:type="dxa"/>
              <w:bottom w:w="0" w:type="dxa"/>
              <w:right w:w="40" w:type="dxa"/>
            </w:tcMar>
          </w:tcPr>
          <w:p w14:paraId="00F290C8"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70B8113A" w14:textId="77777777" w:rsidTr="00EE72AB">
        <w:trPr>
          <w:trHeight w:val="113"/>
          <w:jc w:val="center"/>
        </w:trPr>
        <w:tc>
          <w:tcPr>
            <w:tcW w:w="3555" w:type="dxa"/>
            <w:tcMar>
              <w:top w:w="0" w:type="dxa"/>
              <w:left w:w="40" w:type="dxa"/>
              <w:bottom w:w="0" w:type="dxa"/>
              <w:right w:w="40" w:type="dxa"/>
            </w:tcMar>
          </w:tcPr>
          <w:p w14:paraId="1392625F" w14:textId="65C5A2CC" w:rsidR="00E4286E" w:rsidRPr="00EE72AB" w:rsidRDefault="00BA03C0" w:rsidP="00EE72AB">
            <w:pPr>
              <w:pStyle w:val="Tabletext"/>
              <w:rPr>
                <w:rFonts w:eastAsia="Calibri"/>
              </w:rPr>
            </w:pPr>
            <w:r w:rsidRPr="00BA03C0">
              <w:rPr>
                <w:rFonts w:eastAsia="Calibri"/>
                <w:b/>
              </w:rPr>
              <w:t>REFORM 2:</w:t>
            </w:r>
            <w:r w:rsidR="00E4286E" w:rsidRPr="00EE72AB">
              <w:rPr>
                <w:rFonts w:eastAsia="Calibri"/>
              </w:rPr>
              <w:t xml:space="preserve"> Completion of the national cadastre</w:t>
            </w:r>
          </w:p>
        </w:tc>
        <w:tc>
          <w:tcPr>
            <w:tcW w:w="1515" w:type="dxa"/>
            <w:tcMar>
              <w:top w:w="0" w:type="dxa"/>
              <w:left w:w="40" w:type="dxa"/>
              <w:bottom w:w="0" w:type="dxa"/>
              <w:right w:w="40" w:type="dxa"/>
            </w:tcMar>
          </w:tcPr>
          <w:p w14:paraId="71D4887C" w14:textId="77777777" w:rsidR="00E4286E" w:rsidRPr="00EE72AB" w:rsidRDefault="00E4286E" w:rsidP="00EE72AB">
            <w:pPr>
              <w:pStyle w:val="Tabletext"/>
              <w:rPr>
                <w:rFonts w:eastAsia="Calibri"/>
              </w:rPr>
            </w:pPr>
            <w:r w:rsidRPr="00EE72AB">
              <w:rPr>
                <w:rFonts w:eastAsia="Calibri"/>
              </w:rPr>
              <w:t>RRF 16986</w:t>
            </w:r>
          </w:p>
        </w:tc>
        <w:tc>
          <w:tcPr>
            <w:tcW w:w="1635" w:type="dxa"/>
            <w:tcMar>
              <w:top w:w="0" w:type="dxa"/>
              <w:left w:w="40" w:type="dxa"/>
              <w:bottom w:w="0" w:type="dxa"/>
              <w:right w:w="40" w:type="dxa"/>
            </w:tcMar>
          </w:tcPr>
          <w:p w14:paraId="0185032C" w14:textId="77777777" w:rsidR="00E4286E" w:rsidRPr="00EE72AB" w:rsidRDefault="00E4286E" w:rsidP="00EE72AB">
            <w:pPr>
              <w:pStyle w:val="Tabletext"/>
              <w:rPr>
                <w:rFonts w:eastAsia="Calibri"/>
              </w:rPr>
            </w:pPr>
            <w:r w:rsidRPr="00EE72AB">
              <w:rPr>
                <w:rFonts w:eastAsia="Calibri"/>
              </w:rPr>
              <w:t>2023 CSR 3.2</w:t>
            </w:r>
          </w:p>
        </w:tc>
        <w:tc>
          <w:tcPr>
            <w:tcW w:w="2550" w:type="dxa"/>
            <w:tcMar>
              <w:top w:w="0" w:type="dxa"/>
              <w:left w:w="40" w:type="dxa"/>
              <w:bottom w:w="0" w:type="dxa"/>
              <w:right w:w="40" w:type="dxa"/>
            </w:tcMar>
          </w:tcPr>
          <w:p w14:paraId="66D767DA"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09AADF89" w14:textId="77777777" w:rsidTr="00EE72AB">
        <w:trPr>
          <w:trHeight w:val="113"/>
          <w:jc w:val="center"/>
        </w:trPr>
        <w:tc>
          <w:tcPr>
            <w:tcW w:w="3555" w:type="dxa"/>
            <w:tcMar>
              <w:top w:w="0" w:type="dxa"/>
              <w:left w:w="40" w:type="dxa"/>
              <w:bottom w:w="0" w:type="dxa"/>
              <w:right w:w="40" w:type="dxa"/>
            </w:tcMar>
          </w:tcPr>
          <w:p w14:paraId="6079CD1D" w14:textId="73C7EF12" w:rsidR="00E4286E" w:rsidRPr="00EE72AB" w:rsidRDefault="00BA03C0" w:rsidP="00EE72AB">
            <w:pPr>
              <w:pStyle w:val="Tabletext"/>
              <w:rPr>
                <w:rFonts w:eastAsia="Calibri"/>
              </w:rPr>
            </w:pPr>
            <w:r w:rsidRPr="00BA03C0">
              <w:rPr>
                <w:rFonts w:eastAsia="Calibri"/>
                <w:b/>
              </w:rPr>
              <w:t>INVESTMENT 1:</w:t>
            </w:r>
            <w:r w:rsidR="00E4286E" w:rsidRPr="00EE72AB">
              <w:rPr>
                <w:rFonts w:eastAsia="Calibri"/>
              </w:rPr>
              <w:t xml:space="preserve"> Digital Transformation of SMEs</w:t>
            </w:r>
          </w:p>
        </w:tc>
        <w:tc>
          <w:tcPr>
            <w:tcW w:w="1515" w:type="dxa"/>
            <w:tcMar>
              <w:top w:w="0" w:type="dxa"/>
              <w:left w:w="40" w:type="dxa"/>
              <w:bottom w:w="0" w:type="dxa"/>
              <w:right w:w="40" w:type="dxa"/>
            </w:tcMar>
          </w:tcPr>
          <w:p w14:paraId="3BBEB2DE" w14:textId="77777777" w:rsidR="00E4286E" w:rsidRPr="00EE72AB" w:rsidRDefault="00E4286E" w:rsidP="00EE72AB">
            <w:pPr>
              <w:pStyle w:val="Tabletext"/>
              <w:rPr>
                <w:rFonts w:eastAsia="Calibri"/>
              </w:rPr>
            </w:pPr>
            <w:r w:rsidRPr="00EE72AB">
              <w:rPr>
                <w:rFonts w:eastAsia="Calibri"/>
              </w:rPr>
              <w:t>RRF 16706</w:t>
            </w:r>
          </w:p>
        </w:tc>
        <w:tc>
          <w:tcPr>
            <w:tcW w:w="1635" w:type="dxa"/>
            <w:tcMar>
              <w:top w:w="0" w:type="dxa"/>
              <w:left w:w="40" w:type="dxa"/>
              <w:bottom w:w="0" w:type="dxa"/>
              <w:right w:w="40" w:type="dxa"/>
            </w:tcMar>
          </w:tcPr>
          <w:p w14:paraId="1DE0C69E" w14:textId="77777777" w:rsidR="00E4286E" w:rsidRPr="00EE72AB" w:rsidRDefault="00E4286E" w:rsidP="00EE72AB">
            <w:pPr>
              <w:pStyle w:val="Tabletext"/>
              <w:rPr>
                <w:rFonts w:eastAsia="Calibri"/>
              </w:rPr>
            </w:pPr>
            <w:r w:rsidRPr="00EE72AB">
              <w:rPr>
                <w:rFonts w:eastAsia="Calibri"/>
              </w:rPr>
              <w:t>2020 CSR 3.3</w:t>
            </w:r>
          </w:p>
          <w:p w14:paraId="53305850" w14:textId="77777777" w:rsidR="00E4286E" w:rsidRPr="00EE72AB" w:rsidRDefault="00E4286E" w:rsidP="00EE72AB">
            <w:pPr>
              <w:pStyle w:val="Tabletext"/>
              <w:rPr>
                <w:rFonts w:eastAsia="Calibri"/>
              </w:rPr>
            </w:pPr>
            <w:r w:rsidRPr="00EE72AB">
              <w:rPr>
                <w:rFonts w:eastAsia="Calibri"/>
              </w:rPr>
              <w:t>2020 CSR 3.8</w:t>
            </w:r>
          </w:p>
          <w:p w14:paraId="00B8E8C2" w14:textId="77777777" w:rsidR="00E4286E" w:rsidRPr="00EE72AB" w:rsidRDefault="00E4286E" w:rsidP="00EE72AB">
            <w:pPr>
              <w:pStyle w:val="Tabletext"/>
              <w:rPr>
                <w:rFonts w:eastAsia="Calibri"/>
              </w:rPr>
            </w:pPr>
            <w:r w:rsidRPr="00EE72AB">
              <w:rPr>
                <w:rFonts w:eastAsia="Calibri"/>
              </w:rPr>
              <w:t>2020 CSR 3.10</w:t>
            </w:r>
          </w:p>
          <w:p w14:paraId="50C5F8F9" w14:textId="77777777" w:rsidR="00E4286E" w:rsidRPr="00EE72AB" w:rsidRDefault="00E4286E" w:rsidP="00EE72AB">
            <w:pPr>
              <w:pStyle w:val="Tabletext"/>
              <w:rPr>
                <w:rFonts w:eastAsia="Calibri"/>
              </w:rPr>
            </w:pPr>
            <w:r w:rsidRPr="00EE72AB">
              <w:rPr>
                <w:rFonts w:eastAsia="Calibri"/>
              </w:rPr>
              <w:t>2019 CSR 2.3 2019 CSR 2.6</w:t>
            </w:r>
          </w:p>
        </w:tc>
        <w:tc>
          <w:tcPr>
            <w:tcW w:w="2550" w:type="dxa"/>
            <w:tcMar>
              <w:top w:w="0" w:type="dxa"/>
              <w:left w:w="40" w:type="dxa"/>
              <w:bottom w:w="0" w:type="dxa"/>
              <w:right w:w="40" w:type="dxa"/>
            </w:tcMar>
          </w:tcPr>
          <w:p w14:paraId="55ED3F86"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7DFFCC5F" w14:textId="77777777" w:rsidTr="00EE72AB">
        <w:trPr>
          <w:trHeight w:val="113"/>
          <w:jc w:val="center"/>
        </w:trPr>
        <w:tc>
          <w:tcPr>
            <w:tcW w:w="3555" w:type="dxa"/>
            <w:tcMar>
              <w:top w:w="0" w:type="dxa"/>
              <w:left w:w="40" w:type="dxa"/>
              <w:bottom w:w="0" w:type="dxa"/>
              <w:right w:w="40" w:type="dxa"/>
            </w:tcMar>
          </w:tcPr>
          <w:p w14:paraId="7B4E34CD" w14:textId="64A2D1C4" w:rsidR="00E4286E" w:rsidRPr="00EE72AB" w:rsidRDefault="00BA03C0" w:rsidP="00EE72AB">
            <w:pPr>
              <w:pStyle w:val="Tabletext"/>
              <w:rPr>
                <w:rFonts w:eastAsia="Calibri"/>
              </w:rPr>
            </w:pPr>
            <w:r w:rsidRPr="00BA03C0">
              <w:rPr>
                <w:rFonts w:eastAsia="Calibri"/>
                <w:b/>
              </w:rPr>
              <w:t>INVESTMENT 2:</w:t>
            </w:r>
            <w:r w:rsidR="00E4286E" w:rsidRPr="00EE72AB">
              <w:rPr>
                <w:rFonts w:eastAsia="Calibri"/>
              </w:rPr>
              <w:t xml:space="preserve"> Smart Readiness / Gigabit Voucher</w:t>
            </w:r>
          </w:p>
        </w:tc>
        <w:tc>
          <w:tcPr>
            <w:tcW w:w="1515" w:type="dxa"/>
            <w:tcMar>
              <w:top w:w="0" w:type="dxa"/>
              <w:left w:w="40" w:type="dxa"/>
              <w:bottom w:w="0" w:type="dxa"/>
              <w:right w:w="40" w:type="dxa"/>
            </w:tcMar>
          </w:tcPr>
          <w:p w14:paraId="024C98DC" w14:textId="77777777" w:rsidR="00E4286E" w:rsidRPr="00EE72AB" w:rsidRDefault="00E4286E" w:rsidP="00EE72AB">
            <w:pPr>
              <w:pStyle w:val="Tabletext"/>
              <w:rPr>
                <w:rFonts w:eastAsia="Calibri"/>
              </w:rPr>
            </w:pPr>
            <w:r w:rsidRPr="00EE72AB">
              <w:rPr>
                <w:rFonts w:eastAsia="Calibri"/>
              </w:rPr>
              <w:t>RRF 16818</w:t>
            </w:r>
          </w:p>
        </w:tc>
        <w:tc>
          <w:tcPr>
            <w:tcW w:w="1635" w:type="dxa"/>
            <w:tcMar>
              <w:top w:w="0" w:type="dxa"/>
              <w:left w:w="40" w:type="dxa"/>
              <w:bottom w:w="0" w:type="dxa"/>
              <w:right w:w="40" w:type="dxa"/>
            </w:tcMar>
          </w:tcPr>
          <w:p w14:paraId="4F90D11D" w14:textId="77777777" w:rsidR="00E4286E" w:rsidRPr="00EE72AB" w:rsidRDefault="00E4286E" w:rsidP="00EE72AB">
            <w:pPr>
              <w:pStyle w:val="Tabletext"/>
              <w:rPr>
                <w:rFonts w:eastAsia="Calibri"/>
              </w:rPr>
            </w:pPr>
            <w:r w:rsidRPr="00EE72AB">
              <w:rPr>
                <w:rFonts w:eastAsia="Calibri"/>
              </w:rPr>
              <w:t>2023 CSR 4.4</w:t>
            </w:r>
          </w:p>
          <w:p w14:paraId="01B3314A" w14:textId="77777777" w:rsidR="00E4286E" w:rsidRPr="00EE72AB" w:rsidRDefault="00E4286E" w:rsidP="00EE72AB">
            <w:pPr>
              <w:pStyle w:val="Tabletext"/>
              <w:rPr>
                <w:rFonts w:eastAsia="Calibri"/>
              </w:rPr>
            </w:pPr>
            <w:r w:rsidRPr="00EE72AB">
              <w:rPr>
                <w:rFonts w:eastAsia="Calibri"/>
              </w:rPr>
              <w:t>2020 CSR 3.7</w:t>
            </w:r>
          </w:p>
          <w:p w14:paraId="52768FA4" w14:textId="77777777" w:rsidR="00E4286E" w:rsidRPr="00EE72AB" w:rsidRDefault="00E4286E" w:rsidP="00EE72AB">
            <w:pPr>
              <w:pStyle w:val="Tabletext"/>
              <w:rPr>
                <w:rFonts w:eastAsia="Calibri"/>
              </w:rPr>
            </w:pPr>
            <w:r w:rsidRPr="00EE72AB">
              <w:rPr>
                <w:rFonts w:eastAsia="Calibri"/>
              </w:rPr>
              <w:t>2019 CSR 2.3</w:t>
            </w:r>
          </w:p>
        </w:tc>
        <w:tc>
          <w:tcPr>
            <w:tcW w:w="2550" w:type="dxa"/>
            <w:tcMar>
              <w:top w:w="0" w:type="dxa"/>
              <w:left w:w="40" w:type="dxa"/>
              <w:bottom w:w="0" w:type="dxa"/>
              <w:right w:w="40" w:type="dxa"/>
            </w:tcMar>
          </w:tcPr>
          <w:p w14:paraId="2971636B"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3FB964E4" w14:textId="77777777" w:rsidTr="00EE72AB">
        <w:trPr>
          <w:trHeight w:val="113"/>
          <w:jc w:val="center"/>
        </w:trPr>
        <w:tc>
          <w:tcPr>
            <w:tcW w:w="3555" w:type="dxa"/>
            <w:tcMar>
              <w:top w:w="0" w:type="dxa"/>
              <w:left w:w="40" w:type="dxa"/>
              <w:bottom w:w="0" w:type="dxa"/>
              <w:right w:w="40" w:type="dxa"/>
            </w:tcMar>
          </w:tcPr>
          <w:p w14:paraId="595043CF" w14:textId="46BF4F44" w:rsidR="00E4286E" w:rsidRPr="00EE72AB" w:rsidRDefault="00BA03C0" w:rsidP="00EE72AB">
            <w:pPr>
              <w:pStyle w:val="Tabletext"/>
              <w:rPr>
                <w:rFonts w:eastAsia="Calibri"/>
              </w:rPr>
            </w:pPr>
            <w:r w:rsidRPr="00BA03C0">
              <w:rPr>
                <w:rFonts w:eastAsia="Calibri"/>
                <w:b/>
              </w:rPr>
              <w:t>INVESTMENT 3:</w:t>
            </w:r>
            <w:r w:rsidR="00E4286E" w:rsidRPr="00EE72AB">
              <w:rPr>
                <w:rFonts w:eastAsia="Calibri"/>
              </w:rPr>
              <w:t xml:space="preserve"> Ultra-Fast Broadband</w:t>
            </w:r>
          </w:p>
        </w:tc>
        <w:tc>
          <w:tcPr>
            <w:tcW w:w="1515" w:type="dxa"/>
            <w:tcMar>
              <w:top w:w="0" w:type="dxa"/>
              <w:left w:w="40" w:type="dxa"/>
              <w:bottom w:w="0" w:type="dxa"/>
              <w:right w:w="40" w:type="dxa"/>
            </w:tcMar>
          </w:tcPr>
          <w:p w14:paraId="77463A3B" w14:textId="77777777" w:rsidR="00E4286E" w:rsidRPr="00EE72AB" w:rsidRDefault="00E4286E" w:rsidP="00EE72AB">
            <w:pPr>
              <w:pStyle w:val="Tabletext"/>
              <w:rPr>
                <w:rFonts w:eastAsia="Calibri"/>
              </w:rPr>
            </w:pPr>
            <w:r w:rsidRPr="00EE72AB">
              <w:rPr>
                <w:rFonts w:eastAsia="Calibri"/>
              </w:rPr>
              <w:t>MFF</w:t>
            </w:r>
          </w:p>
        </w:tc>
        <w:tc>
          <w:tcPr>
            <w:tcW w:w="1635" w:type="dxa"/>
            <w:tcMar>
              <w:top w:w="0" w:type="dxa"/>
              <w:left w:w="40" w:type="dxa"/>
              <w:bottom w:w="0" w:type="dxa"/>
              <w:right w:w="40" w:type="dxa"/>
            </w:tcMar>
          </w:tcPr>
          <w:p w14:paraId="5C34E810" w14:textId="77777777" w:rsidR="00E4286E" w:rsidRPr="00EE72AB" w:rsidRDefault="00E4286E" w:rsidP="00EE72AB">
            <w:pPr>
              <w:pStyle w:val="Tabletext"/>
              <w:rPr>
                <w:rFonts w:eastAsia="Calibri"/>
              </w:rPr>
            </w:pPr>
            <w:r w:rsidRPr="00EE72AB">
              <w:rPr>
                <w:rFonts w:eastAsia="Calibri"/>
              </w:rPr>
              <w:t>2020 CSR 3.7</w:t>
            </w:r>
          </w:p>
        </w:tc>
        <w:tc>
          <w:tcPr>
            <w:tcW w:w="2550" w:type="dxa"/>
            <w:tcMar>
              <w:top w:w="0" w:type="dxa"/>
              <w:left w:w="40" w:type="dxa"/>
              <w:bottom w:w="0" w:type="dxa"/>
              <w:right w:w="40" w:type="dxa"/>
            </w:tcMar>
          </w:tcPr>
          <w:p w14:paraId="74B786C0"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1CB1ABBC" w14:textId="77777777" w:rsidTr="00EE72AB">
        <w:trPr>
          <w:trHeight w:val="113"/>
          <w:jc w:val="center"/>
        </w:trPr>
        <w:tc>
          <w:tcPr>
            <w:tcW w:w="3555" w:type="dxa"/>
            <w:tcMar>
              <w:top w:w="0" w:type="dxa"/>
              <w:left w:w="40" w:type="dxa"/>
              <w:bottom w:w="0" w:type="dxa"/>
              <w:right w:w="40" w:type="dxa"/>
            </w:tcMar>
          </w:tcPr>
          <w:p w14:paraId="46606375" w14:textId="4F3626B4" w:rsidR="00E4286E" w:rsidRPr="00EE72AB" w:rsidRDefault="00BA03C0" w:rsidP="00EE72AB">
            <w:pPr>
              <w:pStyle w:val="Tabletext"/>
              <w:rPr>
                <w:rFonts w:eastAsia="Calibri"/>
              </w:rPr>
            </w:pPr>
            <w:r w:rsidRPr="00BA03C0">
              <w:rPr>
                <w:rFonts w:eastAsia="Calibri"/>
                <w:b/>
              </w:rPr>
              <w:t>INVESTMENT 4:</w:t>
            </w:r>
            <w:r w:rsidR="00E4286E" w:rsidRPr="00EE72AB">
              <w:rPr>
                <w:rFonts w:eastAsia="Calibri"/>
              </w:rPr>
              <w:t xml:space="preserve"> Microsatellites</w:t>
            </w:r>
          </w:p>
        </w:tc>
        <w:tc>
          <w:tcPr>
            <w:tcW w:w="1515" w:type="dxa"/>
            <w:tcMar>
              <w:top w:w="0" w:type="dxa"/>
              <w:left w:w="40" w:type="dxa"/>
              <w:bottom w:w="0" w:type="dxa"/>
              <w:right w:w="40" w:type="dxa"/>
            </w:tcMar>
          </w:tcPr>
          <w:p w14:paraId="7AD4572B" w14:textId="77777777" w:rsidR="00E4286E" w:rsidRPr="00EE72AB" w:rsidRDefault="00E4286E" w:rsidP="00EE72AB">
            <w:pPr>
              <w:pStyle w:val="Tabletext"/>
              <w:rPr>
                <w:rFonts w:eastAsia="Calibri"/>
              </w:rPr>
            </w:pPr>
            <w:r w:rsidRPr="00EE72AB">
              <w:rPr>
                <w:rFonts w:eastAsia="Calibri"/>
              </w:rPr>
              <w:t>RRF 16855</w:t>
            </w:r>
          </w:p>
        </w:tc>
        <w:tc>
          <w:tcPr>
            <w:tcW w:w="1635" w:type="dxa"/>
            <w:tcMar>
              <w:top w:w="0" w:type="dxa"/>
              <w:left w:w="40" w:type="dxa"/>
              <w:bottom w:w="0" w:type="dxa"/>
              <w:right w:w="40" w:type="dxa"/>
            </w:tcMar>
          </w:tcPr>
          <w:p w14:paraId="3F20FA64" w14:textId="77777777" w:rsidR="00E4286E" w:rsidRPr="00EE72AB" w:rsidRDefault="00E4286E" w:rsidP="00EE72AB">
            <w:pPr>
              <w:pStyle w:val="Tabletext"/>
              <w:rPr>
                <w:rFonts w:eastAsia="Calibri"/>
              </w:rPr>
            </w:pPr>
            <w:r w:rsidRPr="00EE72AB">
              <w:rPr>
                <w:rFonts w:eastAsia="Calibri"/>
              </w:rPr>
              <w:t>2024 CSR 4.2</w:t>
            </w:r>
          </w:p>
          <w:p w14:paraId="6F32AC36" w14:textId="77777777" w:rsidR="00E4286E" w:rsidRPr="00EE72AB" w:rsidRDefault="00E4286E" w:rsidP="00EE72AB">
            <w:pPr>
              <w:pStyle w:val="Tabletext"/>
              <w:rPr>
                <w:rFonts w:eastAsia="Calibri"/>
              </w:rPr>
            </w:pPr>
            <w:r w:rsidRPr="00EE72AB">
              <w:rPr>
                <w:rFonts w:eastAsia="Calibri"/>
              </w:rPr>
              <w:t>2019 CSR 2.3</w:t>
            </w:r>
          </w:p>
        </w:tc>
        <w:tc>
          <w:tcPr>
            <w:tcW w:w="2550" w:type="dxa"/>
            <w:tcMar>
              <w:top w:w="0" w:type="dxa"/>
              <w:left w:w="40" w:type="dxa"/>
              <w:bottom w:w="0" w:type="dxa"/>
              <w:right w:w="40" w:type="dxa"/>
            </w:tcMar>
          </w:tcPr>
          <w:p w14:paraId="06058450"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517D2513" w14:textId="77777777" w:rsidTr="00EE72AB">
        <w:trPr>
          <w:trHeight w:val="113"/>
          <w:jc w:val="center"/>
        </w:trPr>
        <w:tc>
          <w:tcPr>
            <w:tcW w:w="3555" w:type="dxa"/>
            <w:tcMar>
              <w:top w:w="0" w:type="dxa"/>
              <w:left w:w="40" w:type="dxa"/>
              <w:bottom w:w="0" w:type="dxa"/>
              <w:right w:w="40" w:type="dxa"/>
            </w:tcMar>
          </w:tcPr>
          <w:p w14:paraId="67160763" w14:textId="4F539CE4" w:rsidR="00E4286E" w:rsidRPr="00EE72AB" w:rsidRDefault="00BA03C0" w:rsidP="00EE72AB">
            <w:pPr>
              <w:pStyle w:val="Tabletext"/>
              <w:rPr>
                <w:rFonts w:eastAsia="Calibri"/>
              </w:rPr>
            </w:pPr>
            <w:r w:rsidRPr="00BA03C0">
              <w:rPr>
                <w:rFonts w:eastAsia="Calibri"/>
                <w:b/>
              </w:rPr>
              <w:t>INVESTMENT 5:</w:t>
            </w:r>
            <w:r w:rsidR="00E4286E" w:rsidRPr="00EE72AB">
              <w:rPr>
                <w:rFonts w:eastAsia="Calibri"/>
              </w:rPr>
              <w:t xml:space="preserve"> Upgrade of cloud computing infrastructure and services for the National Infrastructures for Research and Technology (GRNET)</w:t>
            </w:r>
          </w:p>
        </w:tc>
        <w:tc>
          <w:tcPr>
            <w:tcW w:w="1515" w:type="dxa"/>
            <w:tcMar>
              <w:top w:w="0" w:type="dxa"/>
              <w:left w:w="40" w:type="dxa"/>
              <w:bottom w:w="0" w:type="dxa"/>
              <w:right w:w="40" w:type="dxa"/>
            </w:tcMar>
          </w:tcPr>
          <w:p w14:paraId="532654BA" w14:textId="77777777" w:rsidR="00E4286E" w:rsidRPr="00EE72AB" w:rsidRDefault="00E4286E" w:rsidP="00EE72AB">
            <w:pPr>
              <w:pStyle w:val="Tabletext"/>
              <w:rPr>
                <w:rFonts w:eastAsia="Calibri"/>
              </w:rPr>
            </w:pPr>
            <w:r w:rsidRPr="00EE72AB">
              <w:rPr>
                <w:rFonts w:eastAsia="Calibri"/>
              </w:rPr>
              <w:t>RRF 16955</w:t>
            </w:r>
          </w:p>
          <w:p w14:paraId="008D55C4" w14:textId="77777777" w:rsidR="00E4286E" w:rsidRPr="00EE72AB" w:rsidRDefault="00E4286E" w:rsidP="00EE72AB">
            <w:pPr>
              <w:pStyle w:val="Tabletext"/>
              <w:rPr>
                <w:rFonts w:eastAsia="Calibri"/>
              </w:rPr>
            </w:pPr>
            <w:r w:rsidRPr="00EE72AB">
              <w:rPr>
                <w:rFonts w:eastAsia="Calibri"/>
              </w:rPr>
              <w:t xml:space="preserve"> </w:t>
            </w:r>
          </w:p>
        </w:tc>
        <w:tc>
          <w:tcPr>
            <w:tcW w:w="1635" w:type="dxa"/>
            <w:tcMar>
              <w:top w:w="0" w:type="dxa"/>
              <w:left w:w="40" w:type="dxa"/>
              <w:bottom w:w="0" w:type="dxa"/>
              <w:right w:w="40" w:type="dxa"/>
            </w:tcMar>
          </w:tcPr>
          <w:p w14:paraId="491FECC9" w14:textId="77777777" w:rsidR="00E4286E" w:rsidRPr="00EE72AB" w:rsidRDefault="00E4286E" w:rsidP="00EE72AB">
            <w:pPr>
              <w:pStyle w:val="Tabletext"/>
              <w:rPr>
                <w:rFonts w:eastAsia="Calibri"/>
              </w:rPr>
            </w:pPr>
            <w:r w:rsidRPr="00EE72AB">
              <w:rPr>
                <w:rFonts w:eastAsia="Calibri"/>
              </w:rPr>
              <w:t>2020 CSR 3.9</w:t>
            </w:r>
          </w:p>
          <w:p w14:paraId="68CBB7C8" w14:textId="77777777" w:rsidR="00E4286E" w:rsidRPr="00EE72AB" w:rsidRDefault="00E4286E" w:rsidP="00EE72AB">
            <w:pPr>
              <w:pStyle w:val="Tabletext"/>
              <w:rPr>
                <w:rFonts w:eastAsia="Calibri"/>
              </w:rPr>
            </w:pPr>
            <w:r w:rsidRPr="00EE72AB">
              <w:rPr>
                <w:rFonts w:eastAsia="Calibri"/>
              </w:rPr>
              <w:t>2019 CSR 2.3</w:t>
            </w:r>
          </w:p>
          <w:p w14:paraId="6A565403" w14:textId="77777777" w:rsidR="00E4286E" w:rsidRPr="00EE72AB" w:rsidRDefault="00E4286E" w:rsidP="00EE72AB">
            <w:pPr>
              <w:pStyle w:val="Tabletext"/>
              <w:rPr>
                <w:rFonts w:eastAsia="Calibri"/>
              </w:rPr>
            </w:pPr>
            <w:r w:rsidRPr="00EE72AB">
              <w:rPr>
                <w:rFonts w:eastAsia="Calibri"/>
              </w:rPr>
              <w:t>2019 CSR 2.4</w:t>
            </w:r>
          </w:p>
        </w:tc>
        <w:tc>
          <w:tcPr>
            <w:tcW w:w="2550" w:type="dxa"/>
            <w:tcMar>
              <w:top w:w="0" w:type="dxa"/>
              <w:left w:w="40" w:type="dxa"/>
              <w:bottom w:w="0" w:type="dxa"/>
              <w:right w:w="40" w:type="dxa"/>
            </w:tcMar>
          </w:tcPr>
          <w:p w14:paraId="0CE1E790"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396DC1C8" w14:textId="77777777" w:rsidTr="00EE72AB">
        <w:trPr>
          <w:trHeight w:val="113"/>
          <w:jc w:val="center"/>
        </w:trPr>
        <w:tc>
          <w:tcPr>
            <w:tcW w:w="3555" w:type="dxa"/>
            <w:tcMar>
              <w:top w:w="0" w:type="dxa"/>
              <w:left w:w="40" w:type="dxa"/>
              <w:bottom w:w="0" w:type="dxa"/>
              <w:right w:w="40" w:type="dxa"/>
            </w:tcMar>
          </w:tcPr>
          <w:p w14:paraId="490438B9" w14:textId="4656790E" w:rsidR="00E4286E" w:rsidRPr="00EE72AB" w:rsidRDefault="00BA03C0" w:rsidP="00EE72AB">
            <w:pPr>
              <w:pStyle w:val="Tabletext"/>
              <w:rPr>
                <w:rFonts w:eastAsia="Calibri"/>
              </w:rPr>
            </w:pPr>
            <w:r w:rsidRPr="00BA03C0">
              <w:rPr>
                <w:rFonts w:eastAsia="Calibri"/>
                <w:b/>
              </w:rPr>
              <w:t>INVESTMENT 6:</w:t>
            </w:r>
            <w:r w:rsidR="00E4286E" w:rsidRPr="00EE72AB">
              <w:rPr>
                <w:rFonts w:eastAsia="Calibri"/>
              </w:rPr>
              <w:t xml:space="preserve"> Cloud Computing Infrastructure and Service</w:t>
            </w:r>
          </w:p>
        </w:tc>
        <w:tc>
          <w:tcPr>
            <w:tcW w:w="1515" w:type="dxa"/>
            <w:tcMar>
              <w:top w:w="0" w:type="dxa"/>
              <w:left w:w="40" w:type="dxa"/>
              <w:bottom w:w="0" w:type="dxa"/>
              <w:right w:w="40" w:type="dxa"/>
            </w:tcMar>
          </w:tcPr>
          <w:p w14:paraId="4200DD7C" w14:textId="77777777" w:rsidR="00E4286E" w:rsidRPr="00EE72AB" w:rsidRDefault="00E4286E" w:rsidP="00EE72AB">
            <w:pPr>
              <w:pStyle w:val="Tabletext"/>
              <w:rPr>
                <w:rFonts w:eastAsia="Calibri"/>
              </w:rPr>
            </w:pPr>
            <w:r w:rsidRPr="00EE72AB">
              <w:rPr>
                <w:rFonts w:eastAsia="Calibri"/>
              </w:rPr>
              <w:t>RRF 16853</w:t>
            </w:r>
          </w:p>
        </w:tc>
        <w:tc>
          <w:tcPr>
            <w:tcW w:w="1635" w:type="dxa"/>
            <w:tcMar>
              <w:top w:w="0" w:type="dxa"/>
              <w:left w:w="40" w:type="dxa"/>
              <w:bottom w:w="0" w:type="dxa"/>
              <w:right w:w="40" w:type="dxa"/>
            </w:tcMar>
          </w:tcPr>
          <w:p w14:paraId="363DB471" w14:textId="77777777" w:rsidR="00E4286E" w:rsidRPr="00EE72AB" w:rsidRDefault="00E4286E" w:rsidP="00EE72AB">
            <w:pPr>
              <w:pStyle w:val="Tabletext"/>
              <w:rPr>
                <w:rFonts w:eastAsia="Calibri"/>
              </w:rPr>
            </w:pPr>
            <w:r w:rsidRPr="00EE72AB">
              <w:rPr>
                <w:rFonts w:eastAsia="Calibri"/>
              </w:rPr>
              <w:t>2020 CSR 3.9</w:t>
            </w:r>
          </w:p>
          <w:p w14:paraId="78401715" w14:textId="77777777" w:rsidR="00E4286E" w:rsidRPr="00EE72AB" w:rsidRDefault="00E4286E" w:rsidP="00EE72AB">
            <w:pPr>
              <w:pStyle w:val="Tabletext"/>
              <w:rPr>
                <w:rFonts w:eastAsia="Calibri"/>
              </w:rPr>
            </w:pPr>
            <w:r w:rsidRPr="00EE72AB">
              <w:rPr>
                <w:rFonts w:eastAsia="Calibri"/>
              </w:rPr>
              <w:t>2019 CSR 2.3</w:t>
            </w:r>
          </w:p>
        </w:tc>
        <w:tc>
          <w:tcPr>
            <w:tcW w:w="2550" w:type="dxa"/>
            <w:tcMar>
              <w:top w:w="0" w:type="dxa"/>
              <w:left w:w="40" w:type="dxa"/>
              <w:bottom w:w="0" w:type="dxa"/>
              <w:right w:w="40" w:type="dxa"/>
            </w:tcMar>
          </w:tcPr>
          <w:p w14:paraId="4DC27E22"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5364489F" w14:textId="77777777" w:rsidTr="00EE72AB">
        <w:trPr>
          <w:trHeight w:val="113"/>
          <w:jc w:val="center"/>
        </w:trPr>
        <w:tc>
          <w:tcPr>
            <w:tcW w:w="3555" w:type="dxa"/>
            <w:tcMar>
              <w:top w:w="0" w:type="dxa"/>
              <w:left w:w="40" w:type="dxa"/>
              <w:bottom w:w="0" w:type="dxa"/>
              <w:right w:w="40" w:type="dxa"/>
            </w:tcMar>
          </w:tcPr>
          <w:p w14:paraId="42AFF0EB" w14:textId="3577CCA5" w:rsidR="00E4286E" w:rsidRPr="00EE72AB" w:rsidRDefault="00BA03C0" w:rsidP="00EE72AB">
            <w:pPr>
              <w:pStyle w:val="Tabletext"/>
              <w:rPr>
                <w:rFonts w:eastAsia="Calibri"/>
              </w:rPr>
            </w:pPr>
            <w:r w:rsidRPr="00BA03C0">
              <w:rPr>
                <w:rFonts w:eastAsia="Calibri"/>
                <w:b/>
              </w:rPr>
              <w:t>INVESTMENT 7:</w:t>
            </w:r>
            <w:r w:rsidR="00E4286E" w:rsidRPr="00EE72AB">
              <w:rPr>
                <w:rFonts w:eastAsia="Calibri"/>
              </w:rPr>
              <w:t xml:space="preserve"> National Public Sector Network (Syzefxis II)</w:t>
            </w:r>
          </w:p>
        </w:tc>
        <w:tc>
          <w:tcPr>
            <w:tcW w:w="1515" w:type="dxa"/>
            <w:tcMar>
              <w:top w:w="0" w:type="dxa"/>
              <w:left w:w="40" w:type="dxa"/>
              <w:bottom w:w="0" w:type="dxa"/>
              <w:right w:w="40" w:type="dxa"/>
            </w:tcMar>
          </w:tcPr>
          <w:p w14:paraId="72BA4A59" w14:textId="77777777" w:rsidR="00E4286E" w:rsidRPr="00EE72AB" w:rsidRDefault="00E4286E" w:rsidP="00EE72AB">
            <w:pPr>
              <w:pStyle w:val="Tabletext"/>
              <w:rPr>
                <w:rFonts w:eastAsia="Calibri"/>
              </w:rPr>
            </w:pPr>
            <w:r w:rsidRPr="00EE72AB">
              <w:rPr>
                <w:rFonts w:eastAsia="Calibri"/>
              </w:rPr>
              <w:t>RRF 16956</w:t>
            </w:r>
          </w:p>
          <w:p w14:paraId="6FC33682" w14:textId="77777777" w:rsidR="00E4286E" w:rsidRPr="00EE72AB" w:rsidRDefault="00E4286E" w:rsidP="00EE72AB">
            <w:pPr>
              <w:pStyle w:val="Tabletext"/>
              <w:rPr>
                <w:rFonts w:eastAsia="Calibri"/>
              </w:rPr>
            </w:pPr>
            <w:r w:rsidRPr="00EE72AB">
              <w:rPr>
                <w:rFonts w:eastAsia="Calibri"/>
              </w:rPr>
              <w:t>MFF</w:t>
            </w:r>
          </w:p>
        </w:tc>
        <w:tc>
          <w:tcPr>
            <w:tcW w:w="1635" w:type="dxa"/>
            <w:tcMar>
              <w:top w:w="0" w:type="dxa"/>
              <w:left w:w="40" w:type="dxa"/>
              <w:bottom w:w="0" w:type="dxa"/>
              <w:right w:w="40" w:type="dxa"/>
            </w:tcMar>
          </w:tcPr>
          <w:p w14:paraId="2F0F14EF" w14:textId="77777777" w:rsidR="00E4286E" w:rsidRPr="00EE72AB" w:rsidRDefault="00E4286E" w:rsidP="00EE72AB">
            <w:pPr>
              <w:pStyle w:val="Tabletext"/>
              <w:rPr>
                <w:rFonts w:eastAsia="Calibri"/>
              </w:rPr>
            </w:pPr>
            <w:r w:rsidRPr="00EE72AB">
              <w:rPr>
                <w:rFonts w:eastAsia="Calibri"/>
              </w:rPr>
              <w:t>2020 CSR 3.9</w:t>
            </w:r>
          </w:p>
          <w:p w14:paraId="70A2EA77" w14:textId="77777777" w:rsidR="00E4286E" w:rsidRPr="00EE72AB" w:rsidRDefault="00E4286E" w:rsidP="00EE72AB">
            <w:pPr>
              <w:pStyle w:val="Tabletext"/>
              <w:rPr>
                <w:rFonts w:eastAsia="Calibri"/>
              </w:rPr>
            </w:pPr>
            <w:r w:rsidRPr="00EE72AB">
              <w:rPr>
                <w:rFonts w:eastAsia="Calibri"/>
              </w:rPr>
              <w:t>2019 CSR 2.3</w:t>
            </w:r>
          </w:p>
        </w:tc>
        <w:tc>
          <w:tcPr>
            <w:tcW w:w="2550" w:type="dxa"/>
            <w:tcMar>
              <w:top w:w="0" w:type="dxa"/>
              <w:left w:w="40" w:type="dxa"/>
              <w:bottom w:w="0" w:type="dxa"/>
              <w:right w:w="40" w:type="dxa"/>
            </w:tcMar>
          </w:tcPr>
          <w:p w14:paraId="3509C8AC"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443A6CE8" w14:textId="77777777" w:rsidTr="00EE72AB">
        <w:trPr>
          <w:trHeight w:val="113"/>
          <w:jc w:val="center"/>
        </w:trPr>
        <w:tc>
          <w:tcPr>
            <w:tcW w:w="3555" w:type="dxa"/>
            <w:tcMar>
              <w:top w:w="0" w:type="dxa"/>
              <w:left w:w="40" w:type="dxa"/>
              <w:bottom w:w="0" w:type="dxa"/>
              <w:right w:w="40" w:type="dxa"/>
            </w:tcMar>
          </w:tcPr>
          <w:p w14:paraId="4942E94E" w14:textId="0DA81CEE" w:rsidR="00E4286E" w:rsidRPr="00EE72AB" w:rsidRDefault="00BA03C0" w:rsidP="00EE72AB">
            <w:pPr>
              <w:pStyle w:val="Tabletext"/>
              <w:rPr>
                <w:rFonts w:eastAsia="Calibri"/>
                <w:highlight w:val="white"/>
              </w:rPr>
            </w:pPr>
            <w:r w:rsidRPr="00BA03C0">
              <w:rPr>
                <w:rFonts w:eastAsia="Calibri"/>
                <w:b/>
              </w:rPr>
              <w:t>INVESTMENT 8:</w:t>
            </w:r>
            <w:r w:rsidR="00E4286E" w:rsidRPr="00EE72AB">
              <w:rPr>
                <w:rFonts w:eastAsia="Calibri"/>
              </w:rPr>
              <w:t xml:space="preserve">  </w:t>
            </w:r>
            <w:r w:rsidR="00E4286E" w:rsidRPr="00EE72AB">
              <w:rPr>
                <w:rFonts w:eastAsia="Calibri"/>
                <w:highlight w:val="white"/>
              </w:rPr>
              <w:t>Digitalisation of archives</w:t>
            </w:r>
          </w:p>
        </w:tc>
        <w:tc>
          <w:tcPr>
            <w:tcW w:w="1515" w:type="dxa"/>
            <w:tcMar>
              <w:top w:w="0" w:type="dxa"/>
              <w:left w:w="40" w:type="dxa"/>
              <w:bottom w:w="0" w:type="dxa"/>
              <w:right w:w="40" w:type="dxa"/>
            </w:tcMar>
          </w:tcPr>
          <w:p w14:paraId="26FD449B" w14:textId="77777777" w:rsidR="00E4286E" w:rsidRPr="00EE72AB" w:rsidRDefault="00E4286E" w:rsidP="00EE72AB">
            <w:pPr>
              <w:pStyle w:val="Tabletext"/>
              <w:rPr>
                <w:rFonts w:eastAsia="Calibri"/>
              </w:rPr>
            </w:pPr>
            <w:r w:rsidRPr="00EE72AB">
              <w:rPr>
                <w:rFonts w:eastAsia="Calibri"/>
              </w:rPr>
              <w:t>RRF 16778</w:t>
            </w:r>
          </w:p>
        </w:tc>
        <w:tc>
          <w:tcPr>
            <w:tcW w:w="1635" w:type="dxa"/>
            <w:tcMar>
              <w:top w:w="0" w:type="dxa"/>
              <w:left w:w="40" w:type="dxa"/>
              <w:bottom w:w="0" w:type="dxa"/>
              <w:right w:w="40" w:type="dxa"/>
            </w:tcMar>
          </w:tcPr>
          <w:p w14:paraId="5D3DBE08" w14:textId="77777777" w:rsidR="00E4286E" w:rsidRPr="00EE72AB" w:rsidRDefault="00E4286E" w:rsidP="00EE72AB">
            <w:pPr>
              <w:pStyle w:val="Tabletext"/>
              <w:rPr>
                <w:rFonts w:eastAsia="Calibri"/>
              </w:rPr>
            </w:pPr>
            <w:r w:rsidRPr="00EE72AB">
              <w:rPr>
                <w:rFonts w:eastAsia="Calibri"/>
              </w:rPr>
              <w:t>2019 CSR 2.3</w:t>
            </w:r>
          </w:p>
          <w:p w14:paraId="24B01CF0" w14:textId="77777777" w:rsidR="00E4286E" w:rsidRPr="00EE72AB" w:rsidRDefault="00E4286E" w:rsidP="00EE72AB">
            <w:pPr>
              <w:pStyle w:val="Tabletext"/>
              <w:rPr>
                <w:rFonts w:eastAsia="Calibri"/>
              </w:rPr>
            </w:pPr>
            <w:r w:rsidRPr="00EE72AB">
              <w:rPr>
                <w:rFonts w:eastAsia="Calibri"/>
              </w:rPr>
              <w:t>2020 CSR 3.9</w:t>
            </w:r>
          </w:p>
          <w:p w14:paraId="1352E979" w14:textId="77777777" w:rsidR="00E4286E" w:rsidRPr="00EE72AB" w:rsidRDefault="00E4286E" w:rsidP="00EE72AB">
            <w:pPr>
              <w:pStyle w:val="Tabletext"/>
              <w:rPr>
                <w:rFonts w:eastAsia="Calibri"/>
              </w:rPr>
            </w:pPr>
            <w:r w:rsidRPr="00EE72AB">
              <w:rPr>
                <w:rFonts w:eastAsia="Calibri"/>
              </w:rPr>
              <w:t>2023 CSR 3.2</w:t>
            </w:r>
          </w:p>
        </w:tc>
        <w:tc>
          <w:tcPr>
            <w:tcW w:w="2550" w:type="dxa"/>
            <w:tcMar>
              <w:top w:w="0" w:type="dxa"/>
              <w:left w:w="40" w:type="dxa"/>
              <w:bottom w:w="0" w:type="dxa"/>
              <w:right w:w="40" w:type="dxa"/>
            </w:tcMar>
          </w:tcPr>
          <w:p w14:paraId="6ED388F7"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14728499" w14:textId="77777777" w:rsidTr="00EE72AB">
        <w:trPr>
          <w:trHeight w:val="113"/>
          <w:jc w:val="center"/>
        </w:trPr>
        <w:tc>
          <w:tcPr>
            <w:tcW w:w="3555" w:type="dxa"/>
            <w:tcMar>
              <w:top w:w="0" w:type="dxa"/>
              <w:left w:w="40" w:type="dxa"/>
              <w:bottom w:w="0" w:type="dxa"/>
              <w:right w:w="40" w:type="dxa"/>
            </w:tcMar>
          </w:tcPr>
          <w:p w14:paraId="1070DFD1" w14:textId="33BE5D96" w:rsidR="00E4286E" w:rsidRPr="00EE72AB" w:rsidRDefault="00BA03C0" w:rsidP="00EE72AB">
            <w:pPr>
              <w:pStyle w:val="Tabletext"/>
              <w:rPr>
                <w:rFonts w:eastAsia="Calibri"/>
              </w:rPr>
            </w:pPr>
            <w:r w:rsidRPr="00BA03C0">
              <w:rPr>
                <w:rFonts w:eastAsia="Calibri"/>
                <w:b/>
              </w:rPr>
              <w:t>INVESTMENT 9:</w:t>
            </w:r>
            <w:r w:rsidR="00E4286E" w:rsidRPr="00EE72AB">
              <w:rPr>
                <w:rFonts w:eastAsia="Calibri"/>
              </w:rPr>
              <w:t xml:space="preserve"> Vehicle Registry Clearance</w:t>
            </w:r>
          </w:p>
        </w:tc>
        <w:tc>
          <w:tcPr>
            <w:tcW w:w="1515" w:type="dxa"/>
            <w:tcMar>
              <w:top w:w="0" w:type="dxa"/>
              <w:left w:w="40" w:type="dxa"/>
              <w:bottom w:w="0" w:type="dxa"/>
              <w:right w:w="40" w:type="dxa"/>
            </w:tcMar>
          </w:tcPr>
          <w:p w14:paraId="55471F1B" w14:textId="77777777" w:rsidR="00E4286E" w:rsidRPr="00EE72AB" w:rsidRDefault="00E4286E" w:rsidP="00EE72AB">
            <w:pPr>
              <w:pStyle w:val="Tabletext"/>
              <w:rPr>
                <w:rFonts w:eastAsia="Calibri"/>
              </w:rPr>
            </w:pPr>
            <w:r w:rsidRPr="00EE72AB">
              <w:rPr>
                <w:rFonts w:eastAsia="Calibri"/>
              </w:rPr>
              <w:t>-</w:t>
            </w:r>
          </w:p>
        </w:tc>
        <w:tc>
          <w:tcPr>
            <w:tcW w:w="1635" w:type="dxa"/>
            <w:tcMar>
              <w:top w:w="0" w:type="dxa"/>
              <w:left w:w="40" w:type="dxa"/>
              <w:bottom w:w="0" w:type="dxa"/>
              <w:right w:w="40" w:type="dxa"/>
            </w:tcMar>
          </w:tcPr>
          <w:p w14:paraId="248121E8" w14:textId="77777777" w:rsidR="00E4286E" w:rsidRPr="00EE72AB" w:rsidRDefault="00E4286E" w:rsidP="00EE72AB">
            <w:pPr>
              <w:pStyle w:val="Tabletext"/>
              <w:rPr>
                <w:rFonts w:eastAsia="Calibri"/>
              </w:rPr>
            </w:pPr>
            <w:r w:rsidRPr="00EE72AB">
              <w:rPr>
                <w:rFonts w:eastAsia="Calibri"/>
              </w:rPr>
              <w:t>2020 CSR 3.4</w:t>
            </w:r>
          </w:p>
          <w:p w14:paraId="08FE859F" w14:textId="77777777" w:rsidR="00E4286E" w:rsidRPr="00EE72AB" w:rsidRDefault="00E4286E" w:rsidP="00EE72AB">
            <w:pPr>
              <w:pStyle w:val="Tabletext"/>
              <w:rPr>
                <w:rFonts w:eastAsia="Calibri"/>
              </w:rPr>
            </w:pPr>
            <w:r w:rsidRPr="00EE72AB">
              <w:rPr>
                <w:rFonts w:eastAsia="Calibri"/>
              </w:rPr>
              <w:t>2020 CSR 3.9</w:t>
            </w:r>
          </w:p>
        </w:tc>
        <w:tc>
          <w:tcPr>
            <w:tcW w:w="2550" w:type="dxa"/>
            <w:tcMar>
              <w:top w:w="0" w:type="dxa"/>
              <w:left w:w="40" w:type="dxa"/>
              <w:bottom w:w="0" w:type="dxa"/>
              <w:right w:w="40" w:type="dxa"/>
            </w:tcMar>
          </w:tcPr>
          <w:p w14:paraId="2758CB0D"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EE72AB" w14:paraId="47ADDAF2" w14:textId="77777777" w:rsidTr="00EE72AB">
        <w:trPr>
          <w:trHeight w:val="113"/>
          <w:jc w:val="center"/>
        </w:trPr>
        <w:tc>
          <w:tcPr>
            <w:tcW w:w="3555" w:type="dxa"/>
            <w:tcMar>
              <w:top w:w="0" w:type="dxa"/>
              <w:left w:w="40" w:type="dxa"/>
              <w:bottom w:w="0" w:type="dxa"/>
              <w:right w:w="40" w:type="dxa"/>
            </w:tcMar>
          </w:tcPr>
          <w:p w14:paraId="08559104" w14:textId="5C429814" w:rsidR="00E4286E" w:rsidRPr="00EE72AB" w:rsidRDefault="00BA03C0" w:rsidP="00EE72AB">
            <w:pPr>
              <w:pStyle w:val="Tabletext"/>
              <w:rPr>
                <w:rFonts w:eastAsia="Calibri"/>
              </w:rPr>
            </w:pPr>
            <w:r w:rsidRPr="00BA03C0">
              <w:rPr>
                <w:rFonts w:eastAsia="Calibri"/>
                <w:b/>
              </w:rPr>
              <w:t>INVESTMENT 10:</w:t>
            </w:r>
            <w:r w:rsidR="00E4286E" w:rsidRPr="00EE72AB">
              <w:rPr>
                <w:rFonts w:eastAsia="Calibri"/>
              </w:rPr>
              <w:t xml:space="preserve"> Digital certificates of traffic offenses</w:t>
            </w:r>
          </w:p>
        </w:tc>
        <w:tc>
          <w:tcPr>
            <w:tcW w:w="1515" w:type="dxa"/>
            <w:tcMar>
              <w:top w:w="0" w:type="dxa"/>
              <w:left w:w="40" w:type="dxa"/>
              <w:bottom w:w="0" w:type="dxa"/>
              <w:right w:w="40" w:type="dxa"/>
            </w:tcMar>
          </w:tcPr>
          <w:p w14:paraId="55A8F91B" w14:textId="77777777" w:rsidR="00E4286E" w:rsidRPr="00EE72AB" w:rsidRDefault="00E4286E" w:rsidP="00EE72AB">
            <w:pPr>
              <w:pStyle w:val="Tabletext"/>
              <w:rPr>
                <w:rFonts w:eastAsia="Calibri"/>
              </w:rPr>
            </w:pPr>
            <w:r w:rsidRPr="00EE72AB">
              <w:rPr>
                <w:rFonts w:eastAsia="Calibri"/>
              </w:rPr>
              <w:t>-</w:t>
            </w:r>
          </w:p>
        </w:tc>
        <w:tc>
          <w:tcPr>
            <w:tcW w:w="1635" w:type="dxa"/>
            <w:tcMar>
              <w:top w:w="0" w:type="dxa"/>
              <w:left w:w="40" w:type="dxa"/>
              <w:bottom w:w="0" w:type="dxa"/>
              <w:right w:w="40" w:type="dxa"/>
            </w:tcMar>
          </w:tcPr>
          <w:p w14:paraId="4E69528E" w14:textId="77777777" w:rsidR="00E4286E" w:rsidRPr="00EE72AB" w:rsidRDefault="00E4286E" w:rsidP="00EE72AB">
            <w:pPr>
              <w:pStyle w:val="Tabletext"/>
              <w:rPr>
                <w:rFonts w:eastAsia="Calibri"/>
              </w:rPr>
            </w:pPr>
            <w:r w:rsidRPr="00EE72AB">
              <w:rPr>
                <w:rFonts w:eastAsia="Calibri"/>
              </w:rPr>
              <w:t>2020 CSR 3.4</w:t>
            </w:r>
          </w:p>
          <w:p w14:paraId="3990F1F2" w14:textId="77777777" w:rsidR="00E4286E" w:rsidRPr="00EE72AB" w:rsidRDefault="00E4286E" w:rsidP="00EE72AB">
            <w:pPr>
              <w:pStyle w:val="Tabletext"/>
              <w:rPr>
                <w:rFonts w:eastAsia="Calibri"/>
              </w:rPr>
            </w:pPr>
            <w:r w:rsidRPr="00EE72AB">
              <w:rPr>
                <w:rFonts w:eastAsia="Calibri"/>
              </w:rPr>
              <w:t>2020 CSR 3.9</w:t>
            </w:r>
          </w:p>
        </w:tc>
        <w:tc>
          <w:tcPr>
            <w:tcW w:w="2550" w:type="dxa"/>
            <w:tcMar>
              <w:top w:w="0" w:type="dxa"/>
              <w:left w:w="40" w:type="dxa"/>
              <w:bottom w:w="0" w:type="dxa"/>
              <w:right w:w="40" w:type="dxa"/>
            </w:tcMar>
          </w:tcPr>
          <w:p w14:paraId="089E9B06" w14:textId="77777777" w:rsidR="00E4286E" w:rsidRPr="00EE72AB" w:rsidRDefault="00E4286E" w:rsidP="00EE72AB">
            <w:pPr>
              <w:pStyle w:val="Tabletext"/>
              <w:rPr>
                <w:rFonts w:eastAsia="Calibri"/>
              </w:rPr>
            </w:pPr>
            <w:r w:rsidRPr="00EE72AB">
              <w:rPr>
                <w:rFonts w:eastAsia="Calibri"/>
              </w:rPr>
              <w:t>Fair green &amp; digital transition</w:t>
            </w:r>
          </w:p>
        </w:tc>
      </w:tr>
    </w:tbl>
    <w:p w14:paraId="329FD6EF" w14:textId="6140B1EC" w:rsidR="00E4286E" w:rsidRDefault="00E4286E" w:rsidP="00F741DD">
      <w:pPr>
        <w:rPr>
          <w:rFonts w:eastAsia="Calibri"/>
        </w:rPr>
      </w:pPr>
    </w:p>
    <w:p w14:paraId="50A79E96" w14:textId="77777777" w:rsidR="00E4286E" w:rsidRPr="00920844" w:rsidRDefault="00E4286E" w:rsidP="00920844">
      <w:pPr>
        <w:rPr>
          <w:rFonts w:eastAsia="Calibri"/>
          <w:lang w:val="en-US"/>
        </w:rPr>
      </w:pPr>
      <w:r>
        <w:rPr>
          <w:rFonts w:eastAsia="Calibri"/>
        </w:rPr>
        <w:lastRenderedPageBreak/>
        <w:t>Τ</w:t>
      </w:r>
      <w:r w:rsidRPr="00920844">
        <w:rPr>
          <w:rFonts w:eastAsia="Calibri"/>
          <w:lang w:val="en-US"/>
        </w:rPr>
        <w:t xml:space="preserve">he government will initiate the project </w:t>
      </w:r>
      <w:r w:rsidRPr="00920844">
        <w:rPr>
          <w:rFonts w:eastAsia="Calibri"/>
          <w:b/>
          <w:lang w:val="en-US"/>
        </w:rPr>
        <w:t>Personal Identification Number Register (PIN Register)</w:t>
      </w:r>
      <w:r w:rsidRPr="00920844">
        <w:rPr>
          <w:rFonts w:eastAsia="Calibri"/>
          <w:lang w:val="en-US"/>
        </w:rPr>
        <w:t xml:space="preserve"> to provide identity verification services for individuals interacting with public sector bodies. It also seeks to link the PIN with identification numbers from various public sector registers (special sectoral numbers), facilitating the interoperability of these bodies' information systems through the Interoperability Centre. The Citizen's PIN has been designed to be mandatory for all transactions with public sector bodies and is set to gradually replace existing identification numbers, such as the Tax Identification Number (TIN), ID number, and Social Security Number (AMKA). Additionally, it will address and correct any data discrepancies across public sector registers. This important reform is expected to simplify and enhance citizens' interactions with the state, ultimately improving the efficiency of the public sector.</w:t>
      </w:r>
    </w:p>
    <w:p w14:paraId="497BBD1A" w14:textId="77777777" w:rsidR="00E4286E" w:rsidRPr="00920844" w:rsidRDefault="00E4286E" w:rsidP="00920844">
      <w:pPr>
        <w:rPr>
          <w:rFonts w:eastAsia="Calibri"/>
          <w:lang w:val="en-US"/>
        </w:rPr>
      </w:pPr>
      <w:r w:rsidRPr="00920844">
        <w:rPr>
          <w:rFonts w:eastAsia="Calibri"/>
          <w:lang w:val="en-US"/>
        </w:rPr>
        <w:t xml:space="preserve">The </w:t>
      </w:r>
      <w:r w:rsidRPr="00920844">
        <w:rPr>
          <w:rFonts w:eastAsia="Calibri"/>
          <w:b/>
          <w:lang w:val="en-US"/>
        </w:rPr>
        <w:t>RRF</w:t>
      </w:r>
      <w:r w:rsidRPr="00920844">
        <w:rPr>
          <w:rFonts w:eastAsia="Calibri"/>
          <w:lang w:val="en-US"/>
        </w:rPr>
        <w:t xml:space="preserve"> "</w:t>
      </w:r>
      <w:r w:rsidRPr="00920844">
        <w:rPr>
          <w:rFonts w:eastAsia="Calibri"/>
          <w:b/>
          <w:lang w:val="en-US"/>
        </w:rPr>
        <w:t>Hellenic Cadastre" reform</w:t>
      </w:r>
      <w:r w:rsidRPr="00920844">
        <w:rPr>
          <w:rFonts w:eastAsia="Calibri"/>
          <w:lang w:val="en-US"/>
        </w:rPr>
        <w:t xml:space="preserve"> represents a significant development project in Greece, aimed at creating a uniform and updated system for recording real estate property owned by both citizens and the state. This reform is designed to enhance transparency and security in property transactions. As part of its ongoing digital transformation, the project includes the development of new digital services, an expanded organizational structure, recruitment of new personnel, and the digitization of mortgage office archives. These efforts will improve the efficiency of property transactions and strengthen legal certainty, ultimately enhancing Greece’s business environment. Upon completion of the reform, the cadastre map will cover the entire country, all regional cadastral offices will be fully operational, and a comprehensive network of branches will be established nationwide.</w:t>
      </w:r>
    </w:p>
    <w:p w14:paraId="2B127BC4" w14:textId="77777777" w:rsidR="00E4286E" w:rsidRPr="00920844" w:rsidRDefault="00E4286E" w:rsidP="00920844">
      <w:pPr>
        <w:rPr>
          <w:rFonts w:eastAsia="Calibri"/>
          <w:lang w:val="en-US"/>
        </w:rPr>
      </w:pPr>
      <w:r w:rsidRPr="00920844">
        <w:rPr>
          <w:rFonts w:eastAsia="Calibri"/>
          <w:lang w:val="en-US"/>
        </w:rPr>
        <w:t xml:space="preserve">The </w:t>
      </w:r>
      <w:r w:rsidRPr="00920844">
        <w:rPr>
          <w:rFonts w:eastAsia="Calibri"/>
          <w:b/>
          <w:lang w:val="en-US"/>
        </w:rPr>
        <w:t>RRF</w:t>
      </w:r>
      <w:r w:rsidRPr="00920844">
        <w:rPr>
          <w:rFonts w:eastAsia="Calibri"/>
          <w:lang w:val="en-US"/>
        </w:rPr>
        <w:t xml:space="preserve"> "</w:t>
      </w:r>
      <w:r w:rsidRPr="00920844">
        <w:rPr>
          <w:rFonts w:eastAsia="Calibri"/>
          <w:b/>
          <w:lang w:val="en-US"/>
        </w:rPr>
        <w:t>Digital Transformation of SMEs</w:t>
      </w:r>
      <w:r w:rsidRPr="00920844">
        <w:rPr>
          <w:rFonts w:eastAsia="Calibri"/>
          <w:lang w:val="en-US"/>
        </w:rPr>
        <w:t xml:space="preserve">" </w:t>
      </w:r>
      <w:r w:rsidRPr="00920844">
        <w:rPr>
          <w:rFonts w:eastAsia="Calibri"/>
          <w:b/>
          <w:lang w:val="en-US"/>
        </w:rPr>
        <w:t>investment</w:t>
      </w:r>
      <w:r w:rsidRPr="00920844">
        <w:rPr>
          <w:rFonts w:eastAsia="Calibri"/>
          <w:lang w:val="en-US"/>
        </w:rPr>
        <w:t xml:space="preserve"> initiative is designed to address the existing digital gap and enhance the competitiveness of Small and Medium-sized Enterprises (SMEs) in Greece. The project is structured around three core components:</w:t>
      </w:r>
    </w:p>
    <w:p w14:paraId="7F22E890" w14:textId="5A2B1150" w:rsidR="00E4286E" w:rsidRPr="00920844" w:rsidRDefault="00E4286E" w:rsidP="00920844">
      <w:pPr>
        <w:rPr>
          <w:rFonts w:eastAsia="Calibri"/>
          <w:lang w:val="en-US"/>
        </w:rPr>
      </w:pPr>
      <w:r w:rsidRPr="00920844">
        <w:rPr>
          <w:rFonts w:eastAsia="Calibri"/>
          <w:lang w:val="en-US"/>
        </w:rPr>
        <w:t>1.  Digital Tools for SMEs: This program aims to improve the digital maturity of SMEs across various sectors of the economy. Participating businesses will be equipped to modernize their operational, commercial, and administrative functions.</w:t>
      </w:r>
    </w:p>
    <w:p w14:paraId="7940DEC2" w14:textId="4143FDFC" w:rsidR="00E4286E" w:rsidRPr="00920844" w:rsidRDefault="00E4286E" w:rsidP="00920844">
      <w:pPr>
        <w:rPr>
          <w:rFonts w:eastAsia="Calibri"/>
          <w:lang w:val="en-US"/>
        </w:rPr>
      </w:pPr>
      <w:r w:rsidRPr="00920844">
        <w:rPr>
          <w:rFonts w:eastAsia="Calibri"/>
          <w:lang w:val="en-US"/>
        </w:rPr>
        <w:t>2. Development of Digital Products and Services: This program focuses on supporting investments in the creation of innovative digital products and services within the ICT sector. Financial support, in the form of grants, will be provided to implement investment plans that encompass the entire development cycle of these digital offerings.</w:t>
      </w:r>
    </w:p>
    <w:p w14:paraId="48AEC1D2" w14:textId="32A49041" w:rsidR="00E4286E" w:rsidRPr="00920844" w:rsidRDefault="00E4286E" w:rsidP="00920844">
      <w:pPr>
        <w:rPr>
          <w:rFonts w:eastAsia="Calibri"/>
          <w:lang w:val="en-US"/>
        </w:rPr>
      </w:pPr>
      <w:r w:rsidRPr="00920844">
        <w:rPr>
          <w:rFonts w:eastAsia="Calibri"/>
          <w:lang w:val="en-US"/>
        </w:rPr>
        <w:t xml:space="preserve">3. </w:t>
      </w:r>
      <w:r w:rsidR="009F59CC">
        <w:rPr>
          <w:rFonts w:eastAsia="Calibri"/>
          <w:lang w:val="en-US"/>
        </w:rPr>
        <w:t>D</w:t>
      </w:r>
      <w:r w:rsidRPr="00920844">
        <w:rPr>
          <w:rFonts w:eastAsia="Calibri"/>
          <w:lang w:val="en-US"/>
        </w:rPr>
        <w:t>igital Transactions: This program promotes the adoption of modern digital tools to streamline processes related to invoicing, tax document issuance and processing, and electronic payments.</w:t>
      </w:r>
    </w:p>
    <w:p w14:paraId="734E6D2D" w14:textId="77777777" w:rsidR="00E4286E" w:rsidRPr="00920844" w:rsidRDefault="00E4286E" w:rsidP="00920844">
      <w:pPr>
        <w:rPr>
          <w:rFonts w:eastAsia="Calibri"/>
          <w:lang w:val="en-US"/>
        </w:rPr>
      </w:pPr>
      <w:r w:rsidRPr="00920844">
        <w:rPr>
          <w:rFonts w:eastAsia="Calibri"/>
          <w:lang w:val="en-US"/>
        </w:rPr>
        <w:t>Through these initiatives, the project aims to foster a more digitally advanced landscape for SMEs, ultimately contributing to their growth and sustainability.</w:t>
      </w:r>
    </w:p>
    <w:p w14:paraId="22BF5A06" w14:textId="77777777" w:rsidR="00E4286E" w:rsidRPr="00920844" w:rsidRDefault="00E4286E" w:rsidP="00920844">
      <w:pPr>
        <w:rPr>
          <w:rFonts w:eastAsia="Calibri"/>
          <w:lang w:val="en-US"/>
        </w:rPr>
      </w:pPr>
      <w:r w:rsidRPr="00920844">
        <w:rPr>
          <w:rFonts w:eastAsia="Calibri"/>
          <w:lang w:val="en-US"/>
        </w:rPr>
        <w:lastRenderedPageBreak/>
        <w:t xml:space="preserve">The </w:t>
      </w:r>
      <w:r w:rsidRPr="00920844">
        <w:rPr>
          <w:rFonts w:eastAsia="Calibri"/>
          <w:b/>
          <w:lang w:val="en-US"/>
        </w:rPr>
        <w:t>RRF</w:t>
      </w:r>
      <w:r w:rsidRPr="00920844">
        <w:rPr>
          <w:rFonts w:eastAsia="Calibri"/>
          <w:lang w:val="en-US"/>
        </w:rPr>
        <w:t xml:space="preserve"> "</w:t>
      </w:r>
      <w:r w:rsidRPr="00920844">
        <w:rPr>
          <w:rFonts w:eastAsia="Calibri"/>
          <w:b/>
          <w:lang w:val="en-US"/>
        </w:rPr>
        <w:t>Smart Readiness</w:t>
      </w:r>
      <w:r w:rsidRPr="00920844">
        <w:rPr>
          <w:rFonts w:eastAsia="Calibri"/>
          <w:lang w:val="en-US"/>
        </w:rPr>
        <w:t xml:space="preserve">" </w:t>
      </w:r>
      <w:r w:rsidRPr="00920844">
        <w:rPr>
          <w:rFonts w:eastAsia="Calibri"/>
          <w:b/>
          <w:lang w:val="en-US"/>
        </w:rPr>
        <w:t>voucher scheme investment</w:t>
      </w:r>
      <w:r w:rsidRPr="00920844">
        <w:rPr>
          <w:rFonts w:eastAsia="Calibri"/>
          <w:lang w:val="en-US"/>
        </w:rPr>
        <w:t xml:space="preserve"> aims to modernize existing buildings into "smart" buildings and integrate them into utility networks using new smart meters. This initiative is structured as a general administrative measure, allowing any interested operator in various sectors of the economy to utilize the infrastructure where this is technically feasible. The vouchers subsidize a portion of the costs associated with general civil engineering works, structured cabling, and the acquisition of smart meters. Importantly, building managers' use of these vouchers does not restrict end-users, who retain the freedom to choose their preferred service providers. The objective is to equip 120,000 private buildings with Fibre-to-the-Home (FTTH) infrastructure by the project's completion in December 2025. A closely related initiative, the "Gigabit Voucher Scheme," is designed to stimulate demand for ultra-high-speed broadband networks. Despite the availability of such networks, low demand poses a challenge that impacts investment strategies. This project aims to assist households and SMEs in accessing ultra-high-speed broadband by subsidizing initial connection costs and reducing monthly fees for 24 months. The goal is to create a critical mass of subscribers capable of driving broader service adoption and encouraging sustainable network infrastructure development. Both initiatives are expected to significantly enhance the expansion and improvement of high-speed broadband connectivity throughout the country, addressing relevant recommendations.</w:t>
      </w:r>
    </w:p>
    <w:p w14:paraId="21ED69A1" w14:textId="77777777" w:rsidR="00E4286E" w:rsidRPr="00920844" w:rsidRDefault="00E4286E" w:rsidP="00920844">
      <w:pPr>
        <w:rPr>
          <w:rFonts w:eastAsia="Calibri"/>
          <w:lang w:val="en-US"/>
        </w:rPr>
      </w:pPr>
      <w:r w:rsidRPr="00920844">
        <w:rPr>
          <w:rFonts w:eastAsia="Calibri"/>
          <w:lang w:val="en-US"/>
        </w:rPr>
        <w:t xml:space="preserve">The </w:t>
      </w:r>
      <w:r w:rsidRPr="00920844">
        <w:rPr>
          <w:rFonts w:eastAsia="Calibri"/>
          <w:b/>
          <w:lang w:val="en-US"/>
        </w:rPr>
        <w:t xml:space="preserve">Ultra-Fast Broadband (UFBB) </w:t>
      </w:r>
      <w:r w:rsidRPr="00920844">
        <w:rPr>
          <w:rFonts w:eastAsia="Calibri"/>
          <w:lang w:val="en-US"/>
        </w:rPr>
        <w:t>investment is a large-scale initiative aimed at expanding access to next-generation broadband services throughout Greece, particularly in areas that lack significant market interest. Established as a Public-Private Partnership (PPP), the project is funded through national resources, the Structural and Investment Funds of the European Union within the ESIF 2021-2027 framework (phasing project), and private investments. The primary goal of the UFBB project is to provide high-speed broadband connectivity to approximately 2.4 million Greek citizens, covering nearly 18% of the population across 68 regional units. The initiative aims to establish a comprehensive network infrastructure capable of delivering internet speeds of at least 100 Mbps, with provisions for future upgrades to 1 Gbps. As a key component of the "National Broadband Plan 2021-2027," this project is expected to significantly reduce the digital divide and promote social and economic development in the targeted regions.</w:t>
      </w:r>
    </w:p>
    <w:p w14:paraId="2BFA09F9" w14:textId="77777777" w:rsidR="00E4286E" w:rsidRPr="00920844" w:rsidRDefault="00E4286E" w:rsidP="00920844">
      <w:pPr>
        <w:rPr>
          <w:rFonts w:eastAsia="Calibri"/>
          <w:lang w:val="en-US"/>
        </w:rPr>
      </w:pPr>
      <w:r w:rsidRPr="00920844">
        <w:rPr>
          <w:rFonts w:eastAsia="Calibri"/>
          <w:lang w:val="en-US"/>
        </w:rPr>
        <w:t xml:space="preserve">The </w:t>
      </w:r>
      <w:r w:rsidRPr="00920844">
        <w:rPr>
          <w:rFonts w:eastAsia="Calibri"/>
          <w:b/>
          <w:lang w:val="en-US"/>
        </w:rPr>
        <w:t>RRF "Microsatellites" investment</w:t>
      </w:r>
      <w:r w:rsidRPr="00920844">
        <w:rPr>
          <w:rFonts w:eastAsia="Calibri"/>
          <w:lang w:val="en-US"/>
        </w:rPr>
        <w:t xml:space="preserve"> initiative aims to design, produce, and launch small satellites capable of accommodating multiple payloads to facilitate secure connectivity and various auxiliary services. This investment represents a significant step toward realizing Greece's goal of leveraging space technology and applications to provide advanced telecommunications services, effectively integrating these capabilities into the Greek economy. By the end of 2025, the development of these small satellites, both in space and on the ground, is expected to enhance the capabilities of Greek high-tech firms in creating advanced digital services. Additionally, the project includes the delivery of a forest fire management system that will feature ground-based systems and processing services, along with a swarm of thermal imaging </w:t>
      </w:r>
      <w:r w:rsidRPr="00920844">
        <w:rPr>
          <w:rFonts w:eastAsia="Calibri"/>
          <w:lang w:val="en-US"/>
        </w:rPr>
        <w:lastRenderedPageBreak/>
        <w:t>satellites to monitor the entire country for potential fire outbreaks. This initiative positions Greece as the first country to establish a national satellite-based forest fire detection system.</w:t>
      </w:r>
    </w:p>
    <w:p w14:paraId="325D700C" w14:textId="77777777" w:rsidR="00E4286E" w:rsidRPr="00920844" w:rsidRDefault="00E4286E" w:rsidP="00920844">
      <w:pPr>
        <w:rPr>
          <w:rFonts w:eastAsia="Calibri"/>
          <w:lang w:val="en-US"/>
        </w:rPr>
      </w:pPr>
      <w:r w:rsidRPr="00920844">
        <w:rPr>
          <w:rFonts w:eastAsia="Calibri"/>
          <w:lang w:val="en-US"/>
        </w:rPr>
        <w:t xml:space="preserve">The </w:t>
      </w:r>
      <w:r w:rsidRPr="00920844">
        <w:rPr>
          <w:rFonts w:eastAsia="Calibri"/>
          <w:b/>
          <w:lang w:val="en-US"/>
        </w:rPr>
        <w:t>RRF</w:t>
      </w:r>
      <w:r w:rsidRPr="00920844">
        <w:rPr>
          <w:rFonts w:eastAsia="Calibri"/>
          <w:lang w:val="en-US"/>
        </w:rPr>
        <w:t xml:space="preserve"> "</w:t>
      </w:r>
      <w:r w:rsidRPr="00920844">
        <w:rPr>
          <w:rFonts w:eastAsia="Calibri"/>
          <w:b/>
          <w:lang w:val="en-US"/>
        </w:rPr>
        <w:t>Upgrade of cloud computing infrastructure and services for the National Infrastructures for Research and Technology (GRNET)" investment</w:t>
      </w:r>
      <w:r w:rsidRPr="00920844">
        <w:rPr>
          <w:rFonts w:eastAsia="Calibri"/>
          <w:lang w:val="en-US"/>
        </w:rPr>
        <w:t xml:space="preserve"> focuses on enhancing GRNET's capabilities. This initiative involves upgrading software and cloud computing services primarily targeted at the research and academic community, expanding the National High-Performance Computing System, and leasing fiber optic infrastructure. The implementation of this project is scheduled for completion by the end of 2025, with data centers required to comply with the European Code of Conduct on Data Centre Energy Efficiency. This initiative aligns with EU regulations that support the green transition and aim to achieve 2030 climate targets while fostering economic and social convergence. A significant aspect of this project is the EuroHPC funding for the upgrade of high-performance computing infrastructure, specifically the implementation of the Daedalus Supercomputer. This enhancement is expected to strengthen the country's research and development capabilities and improve its participation in major European research programs.</w:t>
      </w:r>
    </w:p>
    <w:p w14:paraId="45A046FD" w14:textId="77777777" w:rsidR="00E4286E" w:rsidRPr="00920844" w:rsidRDefault="00E4286E" w:rsidP="00920844">
      <w:pPr>
        <w:rPr>
          <w:rFonts w:eastAsia="Calibri"/>
          <w:lang w:val="en-US"/>
        </w:rPr>
      </w:pPr>
      <w:r w:rsidRPr="00920844">
        <w:rPr>
          <w:rFonts w:eastAsia="Calibri"/>
          <w:lang w:val="en-US"/>
        </w:rPr>
        <w:t xml:space="preserve">Government clouds consist of computing infrastructures that require upgrades to serve as the foundation for the state's digital transformation. The </w:t>
      </w:r>
      <w:r w:rsidRPr="00920844">
        <w:rPr>
          <w:rFonts w:eastAsia="Calibri"/>
          <w:b/>
          <w:lang w:val="en-US"/>
        </w:rPr>
        <w:t>RRF</w:t>
      </w:r>
      <w:r w:rsidRPr="00920844">
        <w:rPr>
          <w:rFonts w:eastAsia="Calibri"/>
          <w:lang w:val="en-US"/>
        </w:rPr>
        <w:t xml:space="preserve"> "</w:t>
      </w:r>
      <w:r w:rsidRPr="00920844">
        <w:rPr>
          <w:rFonts w:eastAsia="Calibri"/>
          <w:b/>
          <w:lang w:val="en-US"/>
        </w:rPr>
        <w:t>Supply of Central Cloud Computing Infrastructure and Service</w:t>
      </w:r>
      <w:r w:rsidRPr="00920844">
        <w:rPr>
          <w:rFonts w:eastAsia="Calibri"/>
          <w:lang w:val="en-US"/>
        </w:rPr>
        <w:t xml:space="preserve">" </w:t>
      </w:r>
      <w:r w:rsidRPr="00920844">
        <w:rPr>
          <w:rFonts w:eastAsia="Calibri"/>
          <w:b/>
          <w:lang w:val="en-US"/>
        </w:rPr>
        <w:t>investment</w:t>
      </w:r>
      <w:r w:rsidRPr="00920844">
        <w:rPr>
          <w:rFonts w:eastAsia="Calibri"/>
          <w:lang w:val="en-US"/>
        </w:rPr>
        <w:t xml:space="preserve"> aims to enhance the operations of the Ministry of Digital Governance's institutions, specifically the General Secretariat of Information Systems and Digital Governance (GSISDG) and the Electronic Governance of Social Security (IDIKA SA). This will be achieved through the deployment of essential computing infrastructure and services, adhering to international best practices for implementing government cloud solutions. The project will deliver a modern Hybrid Cloud Infrastructure consisting of two tenants: one for the Government Cloud and another for the Health Cloud. Each tenant will feature both a private cloud component and a public cloud component within a unified management and service delivery environment. This setup will enable each tenant to offer a comprehensive range of modern cloud services, with the on-premise aspect of the Hybrid Cloud primarily used for data storage. To ensure seamless migrations from on-premise to public cloud, the project will utilize open and interoperable frameworks and systems, preventing vendor lock-in. The scope of the project involves expanding the existing computing infrastructure for both GSISDG and IDIKA SA, with a particular focus on Infrastructure as a Service (IaaS) and Platform as a Service (PaaS) solutions. To develop the Hybrid Cloud, the acquisition of computing infrastructure from a public cloud provider will be undertaken to enhance the current Government Clouds. The project is expected to be completed by June 2026, significantly contributing to the public sector's digital infrastructure capacity.</w:t>
      </w:r>
    </w:p>
    <w:p w14:paraId="30D02E74" w14:textId="77777777" w:rsidR="00E4286E" w:rsidRPr="00920844" w:rsidRDefault="00E4286E" w:rsidP="00920844">
      <w:pPr>
        <w:rPr>
          <w:rFonts w:eastAsia="Calibri"/>
          <w:lang w:val="en-US"/>
        </w:rPr>
      </w:pPr>
      <w:r w:rsidRPr="00920844">
        <w:rPr>
          <w:rFonts w:eastAsia="Calibri"/>
          <w:lang w:val="en-US"/>
        </w:rPr>
        <w:lastRenderedPageBreak/>
        <w:t xml:space="preserve">The </w:t>
      </w:r>
      <w:r w:rsidRPr="00920844">
        <w:rPr>
          <w:rFonts w:eastAsia="Calibri"/>
          <w:b/>
          <w:lang w:val="en-US"/>
        </w:rPr>
        <w:t>"SYZEFXIS II" project</w:t>
      </w:r>
      <w:r w:rsidRPr="00920844">
        <w:rPr>
          <w:rFonts w:eastAsia="Calibri"/>
          <w:lang w:val="en-US"/>
        </w:rPr>
        <w:t xml:space="preserve"> is a key initiative aimed at establishing the Public Sector Network, addressing telecommunication connection needs, upgrading broadband, and enhancing central services. The project is divided into subprojects, each responsible for implementing a specific section of the overall initiative. The central infrastructure subprojects focus on establishing central interface infrastructure, hosting services, interconnection services, internet provision, and a Central Security System. The regional infrastructure and services subprojects include the Telecommunication Islands, which provide access and telephony services to institutions, and the Infrastructure Subproject, which involves the installation of access, telephony, and teleconferencing equipment. The project is funded by the MFF, with additional funding from the RRF supporting the expansion of the existing network. The continuation and completion of the transition for a total of 34,000 entities involved in SYZEFXIS II will occur alongside the gradual pilot and productive operation of the services. By the project's completion at the end of 2025, public institutions are expected to have upgraded telecommunication services with increased internet access speeds, enabling them to operate more efficiently and provide better services to citizens.</w:t>
      </w:r>
    </w:p>
    <w:p w14:paraId="3D92EA1D" w14:textId="77777777" w:rsidR="00E4286E" w:rsidRPr="00920844" w:rsidRDefault="00E4286E" w:rsidP="00920844">
      <w:pPr>
        <w:rPr>
          <w:rFonts w:eastAsia="Calibri"/>
          <w:lang w:val="en-US"/>
        </w:rPr>
      </w:pPr>
      <w:r w:rsidRPr="00920844">
        <w:rPr>
          <w:rFonts w:eastAsia="Calibri"/>
          <w:lang w:val="en-US"/>
        </w:rPr>
        <w:t>One of the largest projects funded by the RRP is the “</w:t>
      </w:r>
      <w:r w:rsidRPr="00920844">
        <w:rPr>
          <w:rFonts w:eastAsia="Calibri"/>
          <w:b/>
          <w:lang w:val="en-US"/>
        </w:rPr>
        <w:t>Digitalisation of Archives</w:t>
      </w:r>
      <w:r w:rsidRPr="00920844">
        <w:rPr>
          <w:rFonts w:eastAsia="Calibri"/>
          <w:lang w:val="en-US"/>
        </w:rPr>
        <w:t>,” which consists of nine sub-projects aiming to digitize nearly 1.68 billion pages across various sectors, including cadastre records, justice and health files, and urban planning archives. Digitizing these public sector archives not only enhances accessibility and efficiency but also supports fiscal stability and advances the digital transformation of the state by reducing administrative costs and improving data management. The first major milestone for this project is reaching the 30% target, which is expected to be achieved in the first semester of 2025.</w:t>
      </w:r>
    </w:p>
    <w:p w14:paraId="482C296F" w14:textId="77777777" w:rsidR="00E4286E" w:rsidRPr="00920844" w:rsidRDefault="00E4286E" w:rsidP="00920844">
      <w:pPr>
        <w:rPr>
          <w:rFonts w:eastAsia="Calibri"/>
          <w:highlight w:val="white"/>
          <w:lang w:val="en-US"/>
        </w:rPr>
      </w:pPr>
      <w:r w:rsidRPr="00920844">
        <w:rPr>
          <w:rFonts w:eastAsia="Calibri"/>
          <w:lang w:val="en-US"/>
        </w:rPr>
        <w:t xml:space="preserve">The new </w:t>
      </w:r>
      <w:r w:rsidRPr="00920844">
        <w:rPr>
          <w:rFonts w:eastAsia="Calibri"/>
          <w:b/>
          <w:lang w:val="en-US"/>
        </w:rPr>
        <w:t>Central Vehicle Registry</w:t>
      </w:r>
      <w:r w:rsidRPr="00920844">
        <w:rPr>
          <w:rFonts w:eastAsia="Calibri"/>
          <w:lang w:val="en-US"/>
        </w:rPr>
        <w:t xml:space="preserve"> will consolidate and manage all information about vehicles in the country by integrating data from various existing registries and systems. This initiative aims to improve data accuracy, provide comprehensive services to citizens, and enable effective regulatory controls. Key objectives include collecting and processing data through interoperability or file exchange, identifying and removing inactive vehicles from the registry after notifying owners, and automating the enforcement of fines with the ability to review appeals. Expected benefits include increased transparency by preventing fraud and tax evasion, enhanced safety for drivers, passengers, and pedestrians, and simplified administrative and commercial processes. Additionally, the system will ensure compliance with European and international standards for data exchange. </w:t>
      </w:r>
      <w:r w:rsidRPr="00920844">
        <w:rPr>
          <w:rFonts w:eastAsia="Calibri"/>
          <w:highlight w:val="white"/>
          <w:lang w:val="en-US"/>
        </w:rPr>
        <w:t>The new registry is set to launch at the end of 2024.</w:t>
      </w:r>
    </w:p>
    <w:p w14:paraId="613E6B6D" w14:textId="77777777" w:rsidR="00E4286E" w:rsidRPr="00920844" w:rsidRDefault="00E4286E" w:rsidP="00920844">
      <w:pPr>
        <w:rPr>
          <w:rFonts w:eastAsia="Calibri"/>
          <w:highlight w:val="white"/>
          <w:lang w:val="en-US"/>
        </w:rPr>
      </w:pPr>
      <w:r w:rsidRPr="00920844">
        <w:rPr>
          <w:rFonts w:eastAsia="Calibri"/>
          <w:lang w:val="en-US"/>
        </w:rPr>
        <w:t>The</w:t>
      </w:r>
      <w:r w:rsidRPr="00920844">
        <w:rPr>
          <w:rFonts w:eastAsia="Calibri"/>
          <w:highlight w:val="white"/>
          <w:lang w:val="en-US"/>
        </w:rPr>
        <w:t xml:space="preserve"> government will launch the </w:t>
      </w:r>
      <w:r w:rsidRPr="00920844">
        <w:rPr>
          <w:rFonts w:eastAsia="Calibri"/>
          <w:b/>
          <w:highlight w:val="white"/>
          <w:lang w:val="en-US"/>
        </w:rPr>
        <w:t>Digital Certificates of Traffic Offenses</w:t>
      </w:r>
      <w:r w:rsidRPr="00920844">
        <w:rPr>
          <w:rFonts w:eastAsia="Calibri"/>
          <w:highlight w:val="white"/>
          <w:lang w:val="en-US"/>
        </w:rPr>
        <w:t xml:space="preserve">, a system designed for the uniform recording of traffic violations. Under this system, all tickets will be collected and digitally recorded. The process will involve extracting data from various information system registries, including the vehicle register, the citizens' register, and the national communication register, to enable electronic processing. Ultimately, citizens will be able to pay their tickets </w:t>
      </w:r>
      <w:r w:rsidRPr="00920844">
        <w:rPr>
          <w:rFonts w:eastAsia="Calibri"/>
          <w:highlight w:val="white"/>
          <w:lang w:val="en-US"/>
        </w:rPr>
        <w:lastRenderedPageBreak/>
        <w:t>through a unified payment system within the same application, before final certification by the Independent Public Revenue Authority.</w:t>
      </w:r>
    </w:p>
    <w:p w14:paraId="09F6A313" w14:textId="77777777" w:rsidR="00E4286E" w:rsidRPr="00920844" w:rsidRDefault="00E4286E" w:rsidP="00F741DD">
      <w:pPr>
        <w:rPr>
          <w:rFonts w:eastAsia="Calibri"/>
          <w:lang w:val="en-US"/>
        </w:rPr>
      </w:pPr>
    </w:p>
    <w:p w14:paraId="061EF8C4" w14:textId="24A73F88" w:rsidR="00987A40" w:rsidRPr="000D4DE6" w:rsidRDefault="00524D73" w:rsidP="00C33755">
      <w:pPr>
        <w:pStyle w:val="Heading2"/>
        <w:pBdr>
          <w:bottom w:val="single" w:sz="18" w:space="1" w:color="FF3300"/>
        </w:pBdr>
        <w:rPr>
          <w:lang w:val="en-US"/>
        </w:rPr>
      </w:pPr>
      <w:bookmarkStart w:id="121" w:name="_Toc177496818"/>
      <w:bookmarkStart w:id="122" w:name="_Toc178070120"/>
      <w:r>
        <w:rPr>
          <w:lang w:val="en-US"/>
        </w:rPr>
        <w:t>M</w:t>
      </w:r>
      <w:r w:rsidRPr="000D4DE6">
        <w:rPr>
          <w:lang w:val="en-US"/>
        </w:rPr>
        <w:t xml:space="preserve">inistry of </w:t>
      </w:r>
      <w:r>
        <w:rPr>
          <w:lang w:val="en-US"/>
        </w:rPr>
        <w:t>C</w:t>
      </w:r>
      <w:r w:rsidRPr="000D4DE6">
        <w:rPr>
          <w:lang w:val="en-US"/>
        </w:rPr>
        <w:t xml:space="preserve">limate </w:t>
      </w:r>
      <w:r>
        <w:rPr>
          <w:lang w:val="en-US"/>
        </w:rPr>
        <w:t>C</w:t>
      </w:r>
      <w:r w:rsidRPr="000D4DE6">
        <w:rPr>
          <w:lang w:val="en-US"/>
        </w:rPr>
        <w:t xml:space="preserve">risis and </w:t>
      </w:r>
      <w:r>
        <w:rPr>
          <w:lang w:val="en-US"/>
        </w:rPr>
        <w:t>C</w:t>
      </w:r>
      <w:r w:rsidRPr="000D4DE6">
        <w:rPr>
          <w:lang w:val="en-US"/>
        </w:rPr>
        <w:t xml:space="preserve">ivil </w:t>
      </w:r>
      <w:bookmarkEnd w:id="121"/>
      <w:r>
        <w:rPr>
          <w:lang w:val="en-US"/>
        </w:rPr>
        <w:t>P</w:t>
      </w:r>
      <w:r w:rsidRPr="000D4DE6">
        <w:rPr>
          <w:lang w:val="en-US"/>
        </w:rPr>
        <w:t>rotection</w:t>
      </w:r>
      <w:bookmarkEnd w:id="122"/>
    </w:p>
    <w:p w14:paraId="2930CAE6" w14:textId="32AC2837" w:rsidR="00987A40" w:rsidRPr="00920844" w:rsidRDefault="00987A40" w:rsidP="00987A40">
      <w:pPr>
        <w:spacing w:after="160" w:line="254" w:lineRule="auto"/>
        <w:rPr>
          <w:rFonts w:ascii="Calibri" w:eastAsia="Calibri" w:hAnsi="Calibri" w:cs="Calibri"/>
          <w:lang w:val="en-US"/>
        </w:rPr>
      </w:pPr>
    </w:p>
    <w:tbl>
      <w:tblPr>
        <w:tblW w:w="907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4033"/>
        <w:gridCol w:w="1249"/>
        <w:gridCol w:w="1447"/>
        <w:gridCol w:w="2343"/>
      </w:tblGrid>
      <w:tr w:rsidR="00E4286E" w:rsidRPr="00EE72AB" w14:paraId="52123884" w14:textId="77777777" w:rsidTr="00EE72AB">
        <w:trPr>
          <w:trHeight w:val="113"/>
          <w:jc w:val="center"/>
        </w:trPr>
        <w:tc>
          <w:tcPr>
            <w:tcW w:w="4245" w:type="dxa"/>
            <w:shd w:val="clear" w:color="auto" w:fill="CFE2F3"/>
          </w:tcPr>
          <w:p w14:paraId="26CF0F30" w14:textId="77777777" w:rsidR="00E4286E" w:rsidRPr="00EE72AB" w:rsidRDefault="00E4286E" w:rsidP="00EE72AB">
            <w:pPr>
              <w:pStyle w:val="Tabletext"/>
              <w:rPr>
                <w:rFonts w:eastAsia="Calibri"/>
                <w:b/>
              </w:rPr>
            </w:pPr>
            <w:r w:rsidRPr="00EE72AB">
              <w:rPr>
                <w:rFonts w:eastAsia="Calibri"/>
                <w:b/>
              </w:rPr>
              <w:t>REFORM / INVESTMENT</w:t>
            </w:r>
          </w:p>
        </w:tc>
        <w:tc>
          <w:tcPr>
            <w:tcW w:w="1305" w:type="dxa"/>
            <w:shd w:val="clear" w:color="auto" w:fill="CFE2F3"/>
          </w:tcPr>
          <w:p w14:paraId="70866BB1" w14:textId="77777777" w:rsidR="00E4286E" w:rsidRPr="00EE72AB" w:rsidRDefault="00E4286E" w:rsidP="00EE72AB">
            <w:pPr>
              <w:pStyle w:val="Tabletext"/>
              <w:rPr>
                <w:rFonts w:eastAsia="Calibri"/>
                <w:b/>
              </w:rPr>
            </w:pPr>
            <w:r w:rsidRPr="00EE72AB">
              <w:rPr>
                <w:rFonts w:eastAsia="Calibri"/>
                <w:b/>
              </w:rPr>
              <w:t xml:space="preserve">RRF / MFF </w:t>
            </w:r>
          </w:p>
        </w:tc>
        <w:tc>
          <w:tcPr>
            <w:tcW w:w="1515" w:type="dxa"/>
            <w:shd w:val="clear" w:color="auto" w:fill="CFE2F3"/>
          </w:tcPr>
          <w:p w14:paraId="6FDE5B89" w14:textId="77777777" w:rsidR="00E4286E" w:rsidRPr="00EE72AB" w:rsidRDefault="00E4286E" w:rsidP="00EE72AB">
            <w:pPr>
              <w:pStyle w:val="Tabletext"/>
              <w:rPr>
                <w:rFonts w:eastAsia="Calibri"/>
                <w:b/>
              </w:rPr>
            </w:pPr>
            <w:r w:rsidRPr="00EE72AB">
              <w:rPr>
                <w:rFonts w:eastAsia="Calibri"/>
                <w:b/>
              </w:rPr>
              <w:t xml:space="preserve">CSR </w:t>
            </w:r>
          </w:p>
        </w:tc>
        <w:tc>
          <w:tcPr>
            <w:tcW w:w="2460" w:type="dxa"/>
            <w:shd w:val="clear" w:color="auto" w:fill="CFE2F3"/>
          </w:tcPr>
          <w:p w14:paraId="406A88E3" w14:textId="77777777" w:rsidR="00E4286E" w:rsidRPr="00EE72AB" w:rsidRDefault="00E4286E" w:rsidP="00EE72AB">
            <w:pPr>
              <w:pStyle w:val="Tabletext"/>
              <w:rPr>
                <w:rFonts w:eastAsia="Calibri"/>
                <w:b/>
              </w:rPr>
            </w:pPr>
            <w:r w:rsidRPr="00EE72AB">
              <w:rPr>
                <w:rFonts w:eastAsia="Calibri"/>
                <w:b/>
              </w:rPr>
              <w:t>COMMON PRIORITIES</w:t>
            </w:r>
          </w:p>
        </w:tc>
      </w:tr>
      <w:tr w:rsidR="00E4286E" w:rsidRPr="00EE72AB" w14:paraId="516C3C81" w14:textId="77777777" w:rsidTr="00EE72AB">
        <w:trPr>
          <w:trHeight w:val="113"/>
          <w:jc w:val="center"/>
        </w:trPr>
        <w:tc>
          <w:tcPr>
            <w:tcW w:w="4245" w:type="dxa"/>
            <w:tcMar>
              <w:top w:w="0" w:type="dxa"/>
              <w:left w:w="100" w:type="dxa"/>
              <w:bottom w:w="0" w:type="dxa"/>
              <w:right w:w="100" w:type="dxa"/>
            </w:tcMar>
          </w:tcPr>
          <w:p w14:paraId="200F07CE" w14:textId="15185701" w:rsidR="00E4286E" w:rsidRPr="00EE72AB" w:rsidRDefault="00E4286E" w:rsidP="00EE72AB">
            <w:pPr>
              <w:pStyle w:val="Tabletext"/>
              <w:rPr>
                <w:rFonts w:eastAsia="Calibri"/>
              </w:rPr>
            </w:pPr>
            <w:r w:rsidRPr="002D22FE">
              <w:rPr>
                <w:rFonts w:eastAsia="Calibri"/>
                <w:b/>
              </w:rPr>
              <w:t>REFORM 1:</w:t>
            </w:r>
            <w:r w:rsidRPr="00EE72AB">
              <w:rPr>
                <w:rFonts w:eastAsia="Calibri"/>
              </w:rPr>
              <w:t xml:space="preserve"> National Disaster Risk Management Action Plan</w:t>
            </w:r>
          </w:p>
        </w:tc>
        <w:tc>
          <w:tcPr>
            <w:tcW w:w="1305" w:type="dxa"/>
            <w:tcMar>
              <w:top w:w="0" w:type="dxa"/>
              <w:left w:w="100" w:type="dxa"/>
              <w:bottom w:w="0" w:type="dxa"/>
              <w:right w:w="100" w:type="dxa"/>
            </w:tcMar>
          </w:tcPr>
          <w:p w14:paraId="7BAB3A3B" w14:textId="77777777" w:rsidR="00E4286E" w:rsidRPr="00EE72AB" w:rsidRDefault="00E4286E" w:rsidP="00EE72AB">
            <w:pPr>
              <w:pStyle w:val="Tabletext"/>
              <w:rPr>
                <w:rFonts w:eastAsia="Calibri"/>
              </w:rPr>
            </w:pPr>
            <w:r w:rsidRPr="00EE72AB">
              <w:rPr>
                <w:rFonts w:eastAsia="Calibri"/>
              </w:rPr>
              <w:t>-</w:t>
            </w:r>
          </w:p>
        </w:tc>
        <w:tc>
          <w:tcPr>
            <w:tcW w:w="1515" w:type="dxa"/>
            <w:tcMar>
              <w:top w:w="0" w:type="dxa"/>
              <w:left w:w="100" w:type="dxa"/>
              <w:bottom w:w="0" w:type="dxa"/>
              <w:right w:w="100" w:type="dxa"/>
            </w:tcMar>
          </w:tcPr>
          <w:p w14:paraId="72E5E5D0" w14:textId="77777777" w:rsidR="00E4286E" w:rsidRPr="00EE72AB" w:rsidRDefault="00E4286E" w:rsidP="00EE72AB">
            <w:pPr>
              <w:pStyle w:val="Tabletext"/>
              <w:rPr>
                <w:rFonts w:eastAsia="Calibri"/>
              </w:rPr>
            </w:pPr>
            <w:r w:rsidRPr="00EE72AB">
              <w:rPr>
                <w:rFonts w:eastAsia="Calibri"/>
              </w:rPr>
              <w:t>2024.CSR 2.2</w:t>
            </w:r>
            <w:r w:rsidRPr="00EE72AB">
              <w:rPr>
                <w:rFonts w:eastAsia="Calibri"/>
              </w:rPr>
              <w:br/>
              <w:t>2024.CSR 4.2</w:t>
            </w:r>
            <w:r w:rsidRPr="00EE72AB">
              <w:rPr>
                <w:rFonts w:eastAsia="Calibri"/>
              </w:rPr>
              <w:br/>
              <w:t>2023.CSR 1.9</w:t>
            </w:r>
          </w:p>
        </w:tc>
        <w:tc>
          <w:tcPr>
            <w:tcW w:w="2460" w:type="dxa"/>
            <w:tcMar>
              <w:top w:w="0" w:type="dxa"/>
              <w:left w:w="100" w:type="dxa"/>
              <w:bottom w:w="0" w:type="dxa"/>
              <w:right w:w="100" w:type="dxa"/>
            </w:tcMar>
          </w:tcPr>
          <w:p w14:paraId="78AE4A7B" w14:textId="77777777" w:rsidR="00E4286E" w:rsidRPr="00EE72AB" w:rsidRDefault="00E4286E" w:rsidP="00EE72AB">
            <w:pPr>
              <w:pStyle w:val="Tabletext"/>
              <w:rPr>
                <w:rFonts w:eastAsia="Calibri"/>
              </w:rPr>
            </w:pPr>
            <w:r w:rsidRPr="00EE72AB">
              <w:rPr>
                <w:rFonts w:eastAsia="Calibri"/>
              </w:rPr>
              <w:t>Social and Economic resilience</w:t>
            </w:r>
          </w:p>
        </w:tc>
      </w:tr>
      <w:tr w:rsidR="00E4286E" w:rsidRPr="002D22FE" w14:paraId="014D4BFA" w14:textId="77777777" w:rsidTr="00EE72AB">
        <w:trPr>
          <w:trHeight w:val="113"/>
          <w:jc w:val="center"/>
        </w:trPr>
        <w:tc>
          <w:tcPr>
            <w:tcW w:w="4245" w:type="dxa"/>
            <w:tcMar>
              <w:top w:w="0" w:type="dxa"/>
              <w:left w:w="100" w:type="dxa"/>
              <w:bottom w:w="0" w:type="dxa"/>
              <w:right w:w="100" w:type="dxa"/>
            </w:tcMar>
          </w:tcPr>
          <w:p w14:paraId="405A0963" w14:textId="1D682CE1" w:rsidR="00E4286E" w:rsidRPr="002D22FE" w:rsidRDefault="00BA03C0" w:rsidP="00EE72AB">
            <w:pPr>
              <w:pStyle w:val="Tabletext"/>
              <w:rPr>
                <w:rFonts w:eastAsia="Calibri"/>
                <w:i/>
              </w:rPr>
            </w:pPr>
            <w:r w:rsidRPr="002D22FE">
              <w:rPr>
                <w:rFonts w:eastAsia="Calibri"/>
                <w:b/>
                <w:i/>
              </w:rPr>
              <w:t>REFORM 2:</w:t>
            </w:r>
            <w:r w:rsidR="00E4286E" w:rsidRPr="002D22FE">
              <w:rPr>
                <w:rFonts w:eastAsia="Calibri"/>
                <w:i/>
              </w:rPr>
              <w:t xml:space="preserve"> Implementation of enhanced prevention regulations and control mechanism as regards fire protection violations </w:t>
            </w:r>
          </w:p>
        </w:tc>
        <w:tc>
          <w:tcPr>
            <w:tcW w:w="1305" w:type="dxa"/>
            <w:tcMar>
              <w:top w:w="0" w:type="dxa"/>
              <w:left w:w="100" w:type="dxa"/>
              <w:bottom w:w="0" w:type="dxa"/>
              <w:right w:w="100" w:type="dxa"/>
            </w:tcMar>
          </w:tcPr>
          <w:p w14:paraId="592703B7" w14:textId="77777777" w:rsidR="00E4286E" w:rsidRPr="002D22FE" w:rsidRDefault="00E4286E" w:rsidP="00EE72AB">
            <w:pPr>
              <w:pStyle w:val="Tabletext"/>
              <w:rPr>
                <w:rFonts w:eastAsia="Calibri"/>
                <w:i/>
              </w:rPr>
            </w:pPr>
            <w:r w:rsidRPr="002D22FE">
              <w:rPr>
                <w:rFonts w:eastAsia="Calibri"/>
                <w:i/>
              </w:rPr>
              <w:t>-</w:t>
            </w:r>
          </w:p>
        </w:tc>
        <w:tc>
          <w:tcPr>
            <w:tcW w:w="1515" w:type="dxa"/>
            <w:tcMar>
              <w:top w:w="0" w:type="dxa"/>
              <w:left w:w="100" w:type="dxa"/>
              <w:bottom w:w="0" w:type="dxa"/>
              <w:right w:w="100" w:type="dxa"/>
            </w:tcMar>
          </w:tcPr>
          <w:p w14:paraId="48C65AC6" w14:textId="77777777" w:rsidR="00E4286E" w:rsidRPr="002D22FE" w:rsidRDefault="00E4286E" w:rsidP="00EE72AB">
            <w:pPr>
              <w:pStyle w:val="Tabletext"/>
              <w:rPr>
                <w:rFonts w:eastAsia="Calibri"/>
                <w:i/>
              </w:rPr>
            </w:pPr>
            <w:r w:rsidRPr="002D22FE">
              <w:rPr>
                <w:rFonts w:eastAsia="Calibri"/>
                <w:i/>
              </w:rPr>
              <w:t>2024.CSR 2.2 2019.CSR 2.2</w:t>
            </w:r>
          </w:p>
        </w:tc>
        <w:tc>
          <w:tcPr>
            <w:tcW w:w="2460" w:type="dxa"/>
            <w:tcMar>
              <w:top w:w="0" w:type="dxa"/>
              <w:left w:w="100" w:type="dxa"/>
              <w:bottom w:w="0" w:type="dxa"/>
              <w:right w:w="100" w:type="dxa"/>
            </w:tcMar>
          </w:tcPr>
          <w:p w14:paraId="7C9528DB" w14:textId="77777777" w:rsidR="00E4286E" w:rsidRPr="002D22FE" w:rsidRDefault="00E4286E" w:rsidP="00EE72AB">
            <w:pPr>
              <w:pStyle w:val="Tabletext"/>
              <w:rPr>
                <w:rFonts w:eastAsia="Calibri"/>
                <w:i/>
              </w:rPr>
            </w:pPr>
            <w:r w:rsidRPr="002D22FE">
              <w:rPr>
                <w:rFonts w:eastAsia="Calibri"/>
                <w:i/>
              </w:rPr>
              <w:t>Fair green &amp; digital transition</w:t>
            </w:r>
          </w:p>
        </w:tc>
      </w:tr>
      <w:tr w:rsidR="00E4286E" w:rsidRPr="00EE72AB" w14:paraId="01CAD138" w14:textId="77777777" w:rsidTr="00EE72AB">
        <w:trPr>
          <w:trHeight w:val="113"/>
          <w:jc w:val="center"/>
        </w:trPr>
        <w:tc>
          <w:tcPr>
            <w:tcW w:w="4245" w:type="dxa"/>
            <w:tcMar>
              <w:top w:w="0" w:type="dxa"/>
              <w:left w:w="100" w:type="dxa"/>
              <w:bottom w:w="0" w:type="dxa"/>
              <w:right w:w="100" w:type="dxa"/>
            </w:tcMar>
          </w:tcPr>
          <w:p w14:paraId="0D687763" w14:textId="121E700A" w:rsidR="00E4286E" w:rsidRPr="00EE72AB" w:rsidRDefault="00BA03C0" w:rsidP="00EE72AB">
            <w:pPr>
              <w:pStyle w:val="Tabletext"/>
              <w:rPr>
                <w:rFonts w:eastAsia="Calibri"/>
              </w:rPr>
            </w:pPr>
            <w:r w:rsidRPr="00BA03C0">
              <w:rPr>
                <w:rFonts w:eastAsia="Calibri"/>
                <w:b/>
              </w:rPr>
              <w:t>REFORM 3:</w:t>
            </w:r>
            <w:r w:rsidR="00E4286E" w:rsidRPr="00EE72AB">
              <w:rPr>
                <w:rFonts w:eastAsia="Calibri"/>
              </w:rPr>
              <w:t xml:space="preserve"> Enhancement of the Earthquake Planning and Protection Organization's (EPPO) readiness and response</w:t>
            </w:r>
          </w:p>
        </w:tc>
        <w:tc>
          <w:tcPr>
            <w:tcW w:w="1305" w:type="dxa"/>
            <w:tcMar>
              <w:top w:w="0" w:type="dxa"/>
              <w:left w:w="100" w:type="dxa"/>
              <w:bottom w:w="0" w:type="dxa"/>
              <w:right w:w="100" w:type="dxa"/>
            </w:tcMar>
          </w:tcPr>
          <w:p w14:paraId="7BB8C1F7" w14:textId="77777777" w:rsidR="00E4286E" w:rsidRPr="00EE72AB" w:rsidRDefault="00E4286E" w:rsidP="00EE72AB">
            <w:pPr>
              <w:pStyle w:val="Tabletext"/>
              <w:rPr>
                <w:rFonts w:eastAsia="Calibri"/>
              </w:rPr>
            </w:pPr>
          </w:p>
        </w:tc>
        <w:tc>
          <w:tcPr>
            <w:tcW w:w="1515" w:type="dxa"/>
            <w:tcMar>
              <w:top w:w="0" w:type="dxa"/>
              <w:left w:w="100" w:type="dxa"/>
              <w:bottom w:w="0" w:type="dxa"/>
              <w:right w:w="100" w:type="dxa"/>
            </w:tcMar>
          </w:tcPr>
          <w:p w14:paraId="79F6247D" w14:textId="77777777" w:rsidR="00E4286E" w:rsidRPr="00EE72AB" w:rsidRDefault="00E4286E" w:rsidP="00EE72AB">
            <w:pPr>
              <w:pStyle w:val="Tabletext"/>
              <w:rPr>
                <w:rFonts w:eastAsia="Calibri"/>
              </w:rPr>
            </w:pPr>
            <w:r w:rsidRPr="00EE72AB">
              <w:rPr>
                <w:rFonts w:eastAsia="Calibri"/>
              </w:rPr>
              <w:t>2024.CSR 4.2</w:t>
            </w:r>
            <w:r w:rsidRPr="00EE72AB">
              <w:rPr>
                <w:rFonts w:eastAsia="Calibri"/>
              </w:rPr>
              <w:br/>
              <w:t>2020.CSR 3.8</w:t>
            </w:r>
            <w:r w:rsidRPr="00EE72AB">
              <w:rPr>
                <w:rFonts w:eastAsia="Calibri"/>
              </w:rPr>
              <w:br/>
              <w:t>2019.CSR 2.5</w:t>
            </w:r>
            <w:r w:rsidRPr="00EE72AB">
              <w:rPr>
                <w:rFonts w:eastAsia="Calibri"/>
              </w:rPr>
              <w:br/>
              <w:t>2019.CSR 2.6</w:t>
            </w:r>
          </w:p>
        </w:tc>
        <w:tc>
          <w:tcPr>
            <w:tcW w:w="2460" w:type="dxa"/>
            <w:tcMar>
              <w:top w:w="0" w:type="dxa"/>
              <w:left w:w="100" w:type="dxa"/>
              <w:bottom w:w="0" w:type="dxa"/>
              <w:right w:w="100" w:type="dxa"/>
            </w:tcMar>
          </w:tcPr>
          <w:p w14:paraId="72E2CC76" w14:textId="77777777" w:rsidR="00E4286E" w:rsidRPr="00EE72AB" w:rsidRDefault="00E4286E" w:rsidP="00EE72AB">
            <w:pPr>
              <w:pStyle w:val="Tabletext"/>
              <w:rPr>
                <w:rFonts w:eastAsia="Calibri"/>
              </w:rPr>
            </w:pPr>
            <w:r w:rsidRPr="00EE72AB">
              <w:rPr>
                <w:rFonts w:eastAsia="Calibri"/>
              </w:rPr>
              <w:t>Social and Economic resilience</w:t>
            </w:r>
          </w:p>
        </w:tc>
      </w:tr>
      <w:tr w:rsidR="00E4286E" w:rsidRPr="002D22FE" w14:paraId="014A6ECE" w14:textId="77777777" w:rsidTr="00EE72AB">
        <w:trPr>
          <w:trHeight w:val="113"/>
          <w:jc w:val="center"/>
        </w:trPr>
        <w:tc>
          <w:tcPr>
            <w:tcW w:w="4245" w:type="dxa"/>
            <w:tcMar>
              <w:top w:w="0" w:type="dxa"/>
              <w:left w:w="100" w:type="dxa"/>
              <w:bottom w:w="0" w:type="dxa"/>
              <w:right w:w="100" w:type="dxa"/>
            </w:tcMar>
          </w:tcPr>
          <w:p w14:paraId="5CC8F8AE" w14:textId="38CFD961" w:rsidR="00E4286E" w:rsidRPr="002D22FE" w:rsidRDefault="00BA03C0" w:rsidP="00EE72AB">
            <w:pPr>
              <w:pStyle w:val="Tabletext"/>
              <w:rPr>
                <w:rFonts w:eastAsia="Calibri"/>
                <w:i/>
              </w:rPr>
            </w:pPr>
            <w:r w:rsidRPr="002D22FE">
              <w:rPr>
                <w:rFonts w:eastAsia="Calibri"/>
                <w:b/>
                <w:i/>
              </w:rPr>
              <w:t>REFORM 4:</w:t>
            </w:r>
            <w:r w:rsidR="00E4286E" w:rsidRPr="002D22FE">
              <w:rPr>
                <w:rFonts w:eastAsia="Calibri"/>
                <w:i/>
              </w:rPr>
              <w:t xml:space="preserve"> Extension of risk methodology to fire safety regulations as well as establishing new risk assessment and evaluation methodologies </w:t>
            </w:r>
          </w:p>
        </w:tc>
        <w:tc>
          <w:tcPr>
            <w:tcW w:w="1305" w:type="dxa"/>
            <w:tcMar>
              <w:top w:w="0" w:type="dxa"/>
              <w:left w:w="100" w:type="dxa"/>
              <w:bottom w:w="0" w:type="dxa"/>
              <w:right w:w="100" w:type="dxa"/>
            </w:tcMar>
          </w:tcPr>
          <w:p w14:paraId="24F912EA" w14:textId="77777777" w:rsidR="00E4286E" w:rsidRPr="002D22FE" w:rsidRDefault="00E4286E" w:rsidP="00EE72AB">
            <w:pPr>
              <w:pStyle w:val="Tabletext"/>
              <w:rPr>
                <w:rFonts w:eastAsia="Calibri"/>
                <w:i/>
              </w:rPr>
            </w:pPr>
            <w:r w:rsidRPr="002D22FE">
              <w:rPr>
                <w:rFonts w:eastAsia="Calibri"/>
                <w:i/>
              </w:rPr>
              <w:t>RRF 16591</w:t>
            </w:r>
          </w:p>
        </w:tc>
        <w:tc>
          <w:tcPr>
            <w:tcW w:w="1515" w:type="dxa"/>
            <w:tcMar>
              <w:top w:w="0" w:type="dxa"/>
              <w:left w:w="100" w:type="dxa"/>
              <w:bottom w:w="0" w:type="dxa"/>
              <w:right w:w="100" w:type="dxa"/>
            </w:tcMar>
          </w:tcPr>
          <w:p w14:paraId="0257747A" w14:textId="77777777" w:rsidR="00E4286E" w:rsidRPr="002D22FE" w:rsidRDefault="00E4286E" w:rsidP="00EE72AB">
            <w:pPr>
              <w:pStyle w:val="Tabletext"/>
              <w:rPr>
                <w:rFonts w:eastAsia="Calibri"/>
                <w:i/>
              </w:rPr>
            </w:pPr>
            <w:r w:rsidRPr="002D22FE">
              <w:rPr>
                <w:rFonts w:eastAsia="Calibri"/>
                <w:i/>
              </w:rPr>
              <w:t>2024.CSR 2.2</w:t>
            </w:r>
            <w:r w:rsidRPr="002D22FE">
              <w:rPr>
                <w:rFonts w:eastAsia="Calibri"/>
                <w:i/>
              </w:rPr>
              <w:br/>
              <w:t>2024.CSR 4.2 2019.CSR 2.2</w:t>
            </w:r>
          </w:p>
        </w:tc>
        <w:tc>
          <w:tcPr>
            <w:tcW w:w="2460" w:type="dxa"/>
            <w:tcMar>
              <w:top w:w="0" w:type="dxa"/>
              <w:left w:w="100" w:type="dxa"/>
              <w:bottom w:w="0" w:type="dxa"/>
              <w:right w:w="100" w:type="dxa"/>
            </w:tcMar>
          </w:tcPr>
          <w:p w14:paraId="701C1B26" w14:textId="77777777" w:rsidR="00E4286E" w:rsidRPr="002D22FE" w:rsidRDefault="00E4286E" w:rsidP="00EE72AB">
            <w:pPr>
              <w:pStyle w:val="Tabletext"/>
              <w:rPr>
                <w:rFonts w:eastAsia="Calibri"/>
                <w:i/>
              </w:rPr>
            </w:pPr>
            <w:r w:rsidRPr="002D22FE">
              <w:rPr>
                <w:rFonts w:eastAsia="Calibri"/>
                <w:i/>
              </w:rPr>
              <w:t>Fair green &amp; digital transition</w:t>
            </w:r>
          </w:p>
        </w:tc>
      </w:tr>
      <w:tr w:rsidR="00E4286E" w:rsidRPr="00EE72AB" w14:paraId="571D4543" w14:textId="77777777" w:rsidTr="00EE72AB">
        <w:trPr>
          <w:trHeight w:val="113"/>
          <w:jc w:val="center"/>
        </w:trPr>
        <w:tc>
          <w:tcPr>
            <w:tcW w:w="4245" w:type="dxa"/>
            <w:tcMar>
              <w:top w:w="0" w:type="dxa"/>
              <w:left w:w="100" w:type="dxa"/>
              <w:bottom w:w="0" w:type="dxa"/>
              <w:right w:w="100" w:type="dxa"/>
            </w:tcMar>
          </w:tcPr>
          <w:p w14:paraId="1F8991E8" w14:textId="0E9D747D" w:rsidR="00E4286E" w:rsidRPr="00EE72AB" w:rsidRDefault="00BA03C0" w:rsidP="00EE72AB">
            <w:pPr>
              <w:pStyle w:val="Tabletext"/>
              <w:rPr>
                <w:rFonts w:eastAsia="Calibri"/>
              </w:rPr>
            </w:pPr>
            <w:r w:rsidRPr="00BA03C0">
              <w:rPr>
                <w:rFonts w:eastAsia="Calibri"/>
                <w:b/>
              </w:rPr>
              <w:t>REFORM 5:</w:t>
            </w:r>
            <w:r w:rsidR="00E4286E" w:rsidRPr="00EE72AB">
              <w:rPr>
                <w:rFonts w:eastAsia="Calibri"/>
              </w:rPr>
              <w:t xml:space="preserve"> Preliminary inspection of seismic resistance of buildings  </w:t>
            </w:r>
          </w:p>
        </w:tc>
        <w:tc>
          <w:tcPr>
            <w:tcW w:w="1305" w:type="dxa"/>
            <w:tcMar>
              <w:top w:w="0" w:type="dxa"/>
              <w:left w:w="100" w:type="dxa"/>
              <w:bottom w:w="0" w:type="dxa"/>
              <w:right w:w="100" w:type="dxa"/>
            </w:tcMar>
          </w:tcPr>
          <w:p w14:paraId="7BAF262E" w14:textId="77777777" w:rsidR="00E4286E" w:rsidRPr="00EE72AB" w:rsidRDefault="00E4286E" w:rsidP="00EE72AB">
            <w:pPr>
              <w:pStyle w:val="Tabletext"/>
              <w:rPr>
                <w:rFonts w:eastAsia="Calibri"/>
              </w:rPr>
            </w:pPr>
            <w:r w:rsidRPr="00EE72AB">
              <w:rPr>
                <w:rFonts w:eastAsia="Calibri"/>
              </w:rPr>
              <w:t>RRF 16983</w:t>
            </w:r>
          </w:p>
        </w:tc>
        <w:tc>
          <w:tcPr>
            <w:tcW w:w="1515" w:type="dxa"/>
            <w:tcMar>
              <w:top w:w="0" w:type="dxa"/>
              <w:left w:w="100" w:type="dxa"/>
              <w:bottom w:w="0" w:type="dxa"/>
              <w:right w:w="100" w:type="dxa"/>
            </w:tcMar>
          </w:tcPr>
          <w:p w14:paraId="0958A132" w14:textId="77777777" w:rsidR="00E4286E" w:rsidRPr="00EE72AB" w:rsidRDefault="00E4286E" w:rsidP="00EE72AB">
            <w:pPr>
              <w:pStyle w:val="Tabletext"/>
              <w:rPr>
                <w:rFonts w:eastAsia="Calibri"/>
              </w:rPr>
            </w:pPr>
          </w:p>
        </w:tc>
        <w:tc>
          <w:tcPr>
            <w:tcW w:w="2460" w:type="dxa"/>
            <w:tcMar>
              <w:top w:w="0" w:type="dxa"/>
              <w:left w:w="100" w:type="dxa"/>
              <w:bottom w:w="0" w:type="dxa"/>
              <w:right w:w="100" w:type="dxa"/>
            </w:tcMar>
          </w:tcPr>
          <w:p w14:paraId="282CBB61" w14:textId="77777777" w:rsidR="00E4286E" w:rsidRPr="00EE72AB" w:rsidRDefault="00E4286E" w:rsidP="00EE72AB">
            <w:pPr>
              <w:pStyle w:val="Tabletext"/>
              <w:rPr>
                <w:rFonts w:eastAsia="Calibri"/>
              </w:rPr>
            </w:pPr>
            <w:r w:rsidRPr="00EE72AB">
              <w:rPr>
                <w:rFonts w:eastAsia="Calibri"/>
              </w:rPr>
              <w:t>Social and Economic resilience</w:t>
            </w:r>
          </w:p>
        </w:tc>
      </w:tr>
      <w:tr w:rsidR="00E4286E" w:rsidRPr="002D22FE" w14:paraId="5DE7F1C9" w14:textId="77777777" w:rsidTr="00EE72AB">
        <w:trPr>
          <w:trHeight w:val="113"/>
          <w:jc w:val="center"/>
        </w:trPr>
        <w:tc>
          <w:tcPr>
            <w:tcW w:w="4245" w:type="dxa"/>
            <w:tcMar>
              <w:top w:w="0" w:type="dxa"/>
              <w:left w:w="100" w:type="dxa"/>
              <w:bottom w:w="0" w:type="dxa"/>
              <w:right w:w="100" w:type="dxa"/>
            </w:tcMar>
          </w:tcPr>
          <w:p w14:paraId="18F7110E" w14:textId="1954B4BC" w:rsidR="00E4286E" w:rsidRPr="002D22FE" w:rsidRDefault="00BA03C0" w:rsidP="00EE72AB">
            <w:pPr>
              <w:pStyle w:val="Tabletext"/>
              <w:rPr>
                <w:rFonts w:eastAsia="Calibri"/>
                <w:i/>
              </w:rPr>
            </w:pPr>
            <w:r w:rsidRPr="002D22FE">
              <w:rPr>
                <w:rFonts w:eastAsia="Calibri"/>
                <w:b/>
                <w:i/>
              </w:rPr>
              <w:t>INVESTMENT 1:</w:t>
            </w:r>
            <w:r w:rsidR="00E4286E" w:rsidRPr="002D22FE">
              <w:rPr>
                <w:rFonts w:eastAsia="Calibri"/>
                <w:i/>
              </w:rPr>
              <w:t xml:space="preserve"> Monitoring and Management System regarding (a) Upgrading and extending the country‘s Network of Meteorological Stations to provide early warning for natural disasters, (b) Fire detection and fire extinguishing systems (c) Stations for emergency communications and provision of climate data </w:t>
            </w:r>
          </w:p>
        </w:tc>
        <w:tc>
          <w:tcPr>
            <w:tcW w:w="1305" w:type="dxa"/>
            <w:tcMar>
              <w:top w:w="0" w:type="dxa"/>
              <w:left w:w="100" w:type="dxa"/>
              <w:bottom w:w="0" w:type="dxa"/>
              <w:right w:w="100" w:type="dxa"/>
            </w:tcMar>
          </w:tcPr>
          <w:p w14:paraId="59560746" w14:textId="77777777" w:rsidR="00E4286E" w:rsidRPr="002D22FE" w:rsidRDefault="00E4286E" w:rsidP="00EE72AB">
            <w:pPr>
              <w:pStyle w:val="Tabletext"/>
              <w:rPr>
                <w:rFonts w:eastAsia="Calibri"/>
                <w:i/>
              </w:rPr>
            </w:pPr>
            <w:r w:rsidRPr="002D22FE">
              <w:rPr>
                <w:rFonts w:eastAsia="Calibri"/>
                <w:i/>
              </w:rPr>
              <w:t>RRF 16910,</w:t>
            </w:r>
          </w:p>
          <w:p w14:paraId="5461E351" w14:textId="77777777" w:rsidR="00E4286E" w:rsidRPr="002D22FE" w:rsidRDefault="00E4286E" w:rsidP="00EE72AB">
            <w:pPr>
              <w:pStyle w:val="Tabletext"/>
              <w:rPr>
                <w:rFonts w:eastAsia="Calibri"/>
                <w:i/>
              </w:rPr>
            </w:pPr>
            <w:r w:rsidRPr="002D22FE">
              <w:rPr>
                <w:rFonts w:eastAsia="Calibri"/>
                <w:i/>
              </w:rPr>
              <w:t>MFF</w:t>
            </w:r>
          </w:p>
        </w:tc>
        <w:tc>
          <w:tcPr>
            <w:tcW w:w="1515" w:type="dxa"/>
            <w:tcMar>
              <w:top w:w="0" w:type="dxa"/>
              <w:left w:w="100" w:type="dxa"/>
              <w:bottom w:w="0" w:type="dxa"/>
              <w:right w:w="100" w:type="dxa"/>
            </w:tcMar>
          </w:tcPr>
          <w:p w14:paraId="4A5A80ED" w14:textId="77777777" w:rsidR="00E4286E" w:rsidRPr="002D22FE" w:rsidRDefault="00E4286E" w:rsidP="00EE72AB">
            <w:pPr>
              <w:pStyle w:val="Tabletext"/>
              <w:rPr>
                <w:rFonts w:eastAsia="Calibri"/>
                <w:i/>
              </w:rPr>
            </w:pPr>
            <w:r w:rsidRPr="002D22FE">
              <w:rPr>
                <w:rFonts w:eastAsia="Calibri"/>
                <w:i/>
              </w:rPr>
              <w:t>2024.CSR 2.2</w:t>
            </w:r>
            <w:r w:rsidRPr="002D22FE">
              <w:rPr>
                <w:rFonts w:eastAsia="Calibri"/>
                <w:i/>
              </w:rPr>
              <w:br/>
              <w:t>2024.CSR 4.2</w:t>
            </w:r>
            <w:r w:rsidRPr="002D22FE">
              <w:rPr>
                <w:rFonts w:eastAsia="Calibri"/>
                <w:i/>
              </w:rPr>
              <w:br/>
              <w:t>2020.CSR 3.6</w:t>
            </w:r>
            <w:r w:rsidRPr="002D22FE">
              <w:rPr>
                <w:rFonts w:eastAsia="Calibri"/>
                <w:i/>
              </w:rPr>
              <w:br/>
              <w:t>2020.CSR 3.9</w:t>
            </w:r>
            <w:r w:rsidRPr="002D22FE">
              <w:rPr>
                <w:rFonts w:eastAsia="Calibri"/>
                <w:i/>
              </w:rPr>
              <w:br/>
              <w:t>2019.CSR 2.2</w:t>
            </w:r>
            <w:r w:rsidRPr="002D22FE">
              <w:rPr>
                <w:rFonts w:eastAsia="Calibri"/>
                <w:i/>
              </w:rPr>
              <w:br/>
              <w:t>2019.CSR 2.3</w:t>
            </w:r>
            <w:r w:rsidRPr="002D22FE">
              <w:rPr>
                <w:rFonts w:eastAsia="Calibri"/>
                <w:i/>
              </w:rPr>
              <w:br/>
              <w:t>2019.CSR 2.4</w:t>
            </w:r>
          </w:p>
        </w:tc>
        <w:tc>
          <w:tcPr>
            <w:tcW w:w="2460" w:type="dxa"/>
            <w:tcMar>
              <w:top w:w="0" w:type="dxa"/>
              <w:left w:w="100" w:type="dxa"/>
              <w:bottom w:w="0" w:type="dxa"/>
              <w:right w:w="100" w:type="dxa"/>
            </w:tcMar>
          </w:tcPr>
          <w:p w14:paraId="0D10F086" w14:textId="77777777" w:rsidR="00E4286E" w:rsidRPr="002D22FE" w:rsidRDefault="00E4286E" w:rsidP="00EE72AB">
            <w:pPr>
              <w:pStyle w:val="Tabletext"/>
              <w:rPr>
                <w:rFonts w:eastAsia="Calibri"/>
                <w:i/>
              </w:rPr>
            </w:pPr>
            <w:r w:rsidRPr="002D22FE">
              <w:rPr>
                <w:rFonts w:eastAsia="Calibri"/>
                <w:i/>
              </w:rPr>
              <w:t>Fair green &amp; digital transition</w:t>
            </w:r>
          </w:p>
        </w:tc>
      </w:tr>
      <w:tr w:rsidR="00E4286E" w:rsidRPr="002D22FE" w14:paraId="7095DAFC" w14:textId="77777777" w:rsidTr="00EE72AB">
        <w:trPr>
          <w:trHeight w:val="113"/>
          <w:jc w:val="center"/>
        </w:trPr>
        <w:tc>
          <w:tcPr>
            <w:tcW w:w="4245" w:type="dxa"/>
            <w:tcMar>
              <w:top w:w="0" w:type="dxa"/>
              <w:left w:w="100" w:type="dxa"/>
              <w:bottom w:w="0" w:type="dxa"/>
              <w:right w:w="100" w:type="dxa"/>
            </w:tcMar>
          </w:tcPr>
          <w:p w14:paraId="26339333" w14:textId="672BEC94" w:rsidR="00E4286E" w:rsidRPr="002D22FE" w:rsidRDefault="00BA03C0" w:rsidP="00EE72AB">
            <w:pPr>
              <w:pStyle w:val="Tabletext"/>
              <w:rPr>
                <w:rFonts w:eastAsia="Calibri"/>
                <w:i/>
              </w:rPr>
            </w:pPr>
            <w:r w:rsidRPr="002D22FE">
              <w:rPr>
                <w:rFonts w:eastAsia="Calibri"/>
                <w:b/>
                <w:i/>
              </w:rPr>
              <w:t>INVESTMENT 2:</w:t>
            </w:r>
            <w:r w:rsidR="00E4286E" w:rsidRPr="002D22FE">
              <w:rPr>
                <w:rFonts w:eastAsia="Calibri"/>
                <w:i/>
              </w:rPr>
              <w:t xml:space="preserve"> Installation of an Integrated Next Generation Emergency Call Management System (Next Generation 112) </w:t>
            </w:r>
          </w:p>
        </w:tc>
        <w:tc>
          <w:tcPr>
            <w:tcW w:w="1305" w:type="dxa"/>
            <w:tcMar>
              <w:top w:w="0" w:type="dxa"/>
              <w:left w:w="100" w:type="dxa"/>
              <w:bottom w:w="0" w:type="dxa"/>
              <w:right w:w="100" w:type="dxa"/>
            </w:tcMar>
          </w:tcPr>
          <w:p w14:paraId="23A2C393" w14:textId="77777777" w:rsidR="00E4286E" w:rsidRPr="002D22FE" w:rsidRDefault="00E4286E" w:rsidP="00EE72AB">
            <w:pPr>
              <w:pStyle w:val="Tabletext"/>
              <w:rPr>
                <w:rFonts w:eastAsia="Calibri"/>
                <w:i/>
              </w:rPr>
            </w:pPr>
            <w:r w:rsidRPr="002D22FE">
              <w:rPr>
                <w:rFonts w:eastAsia="Calibri"/>
                <w:i/>
              </w:rPr>
              <w:t>MFF</w:t>
            </w:r>
          </w:p>
        </w:tc>
        <w:tc>
          <w:tcPr>
            <w:tcW w:w="1515" w:type="dxa"/>
            <w:tcMar>
              <w:top w:w="0" w:type="dxa"/>
              <w:left w:w="100" w:type="dxa"/>
              <w:bottom w:w="0" w:type="dxa"/>
              <w:right w:w="100" w:type="dxa"/>
            </w:tcMar>
          </w:tcPr>
          <w:p w14:paraId="3635B326" w14:textId="77777777" w:rsidR="00E4286E" w:rsidRPr="002D22FE" w:rsidRDefault="00E4286E" w:rsidP="00EE72AB">
            <w:pPr>
              <w:pStyle w:val="Tabletext"/>
              <w:rPr>
                <w:rFonts w:eastAsia="Calibri"/>
                <w:i/>
              </w:rPr>
            </w:pPr>
            <w:r w:rsidRPr="002D22FE">
              <w:rPr>
                <w:rFonts w:eastAsia="Calibri"/>
                <w:i/>
              </w:rPr>
              <w:t>2024.CSR 2.2</w:t>
            </w:r>
            <w:r w:rsidRPr="002D22FE">
              <w:rPr>
                <w:rFonts w:eastAsia="Calibri"/>
                <w:i/>
              </w:rPr>
              <w:br/>
              <w:t>2024.CSR 4.2</w:t>
            </w:r>
            <w:r w:rsidRPr="002D22FE">
              <w:rPr>
                <w:rFonts w:eastAsia="Calibri"/>
                <w:i/>
              </w:rPr>
              <w:br/>
              <w:t>2019.CSR 2.3</w:t>
            </w:r>
          </w:p>
        </w:tc>
        <w:tc>
          <w:tcPr>
            <w:tcW w:w="2460" w:type="dxa"/>
            <w:tcMar>
              <w:top w:w="0" w:type="dxa"/>
              <w:left w:w="100" w:type="dxa"/>
              <w:bottom w:w="0" w:type="dxa"/>
              <w:right w:w="100" w:type="dxa"/>
            </w:tcMar>
          </w:tcPr>
          <w:p w14:paraId="45267CFD" w14:textId="77777777" w:rsidR="00E4286E" w:rsidRPr="002D22FE" w:rsidRDefault="00E4286E" w:rsidP="00EE72AB">
            <w:pPr>
              <w:pStyle w:val="Tabletext"/>
              <w:rPr>
                <w:rFonts w:eastAsia="Calibri"/>
                <w:i/>
              </w:rPr>
            </w:pPr>
            <w:r w:rsidRPr="002D22FE">
              <w:rPr>
                <w:rFonts w:eastAsia="Calibri"/>
                <w:i/>
              </w:rPr>
              <w:t>Fair green &amp; digital transition</w:t>
            </w:r>
          </w:p>
        </w:tc>
      </w:tr>
      <w:tr w:rsidR="00E4286E" w:rsidRPr="002D22FE" w14:paraId="7D097DB8" w14:textId="77777777" w:rsidTr="00EE72AB">
        <w:trPr>
          <w:trHeight w:val="113"/>
          <w:jc w:val="center"/>
        </w:trPr>
        <w:tc>
          <w:tcPr>
            <w:tcW w:w="4245" w:type="dxa"/>
            <w:tcMar>
              <w:top w:w="0" w:type="dxa"/>
              <w:left w:w="100" w:type="dxa"/>
              <w:bottom w:w="0" w:type="dxa"/>
              <w:right w:w="100" w:type="dxa"/>
            </w:tcMar>
          </w:tcPr>
          <w:p w14:paraId="3FFEF706" w14:textId="1B7B2D07" w:rsidR="00E4286E" w:rsidRPr="002D22FE" w:rsidRDefault="00BA03C0" w:rsidP="00EE72AB">
            <w:pPr>
              <w:pStyle w:val="Tabletext"/>
              <w:rPr>
                <w:rFonts w:eastAsia="Calibri"/>
                <w:i/>
              </w:rPr>
            </w:pPr>
            <w:r w:rsidRPr="002D22FE">
              <w:rPr>
                <w:rFonts w:eastAsia="Calibri"/>
                <w:b/>
                <w:i/>
              </w:rPr>
              <w:t>INVESTMENT 3:</w:t>
            </w:r>
            <w:r w:rsidR="00E4286E" w:rsidRPr="002D22FE">
              <w:rPr>
                <w:rFonts w:eastAsia="Calibri"/>
                <w:i/>
              </w:rPr>
              <w:t xml:space="preserve"> Establishment of a strategic National Disaster Risk Management through the provision of mobile administration and on-site control centers in the 13 Regions </w:t>
            </w:r>
          </w:p>
        </w:tc>
        <w:tc>
          <w:tcPr>
            <w:tcW w:w="1305" w:type="dxa"/>
            <w:tcMar>
              <w:top w:w="0" w:type="dxa"/>
              <w:left w:w="100" w:type="dxa"/>
              <w:bottom w:w="0" w:type="dxa"/>
              <w:right w:w="100" w:type="dxa"/>
            </w:tcMar>
          </w:tcPr>
          <w:p w14:paraId="33577639" w14:textId="77777777" w:rsidR="00E4286E" w:rsidRPr="002D22FE" w:rsidRDefault="00E4286E" w:rsidP="00EE72AB">
            <w:pPr>
              <w:pStyle w:val="Tabletext"/>
              <w:rPr>
                <w:rFonts w:eastAsia="Calibri"/>
                <w:i/>
              </w:rPr>
            </w:pPr>
            <w:r w:rsidRPr="002D22FE">
              <w:rPr>
                <w:rFonts w:eastAsia="Calibri"/>
                <w:i/>
              </w:rPr>
              <w:t>RRF 16909</w:t>
            </w:r>
          </w:p>
        </w:tc>
        <w:tc>
          <w:tcPr>
            <w:tcW w:w="1515" w:type="dxa"/>
            <w:tcMar>
              <w:top w:w="0" w:type="dxa"/>
              <w:left w:w="100" w:type="dxa"/>
              <w:bottom w:w="0" w:type="dxa"/>
              <w:right w:w="100" w:type="dxa"/>
            </w:tcMar>
          </w:tcPr>
          <w:p w14:paraId="3D5F48C4" w14:textId="77777777" w:rsidR="00E4286E" w:rsidRPr="002D22FE" w:rsidRDefault="00E4286E" w:rsidP="00EE72AB">
            <w:pPr>
              <w:pStyle w:val="Tabletext"/>
              <w:rPr>
                <w:rFonts w:eastAsia="Calibri"/>
                <w:i/>
              </w:rPr>
            </w:pPr>
            <w:r w:rsidRPr="002D22FE">
              <w:rPr>
                <w:rFonts w:eastAsia="Calibri"/>
                <w:i/>
              </w:rPr>
              <w:t>2024.CSR 2.2</w:t>
            </w:r>
            <w:r w:rsidRPr="002D22FE">
              <w:rPr>
                <w:rFonts w:eastAsia="Calibri"/>
                <w:i/>
              </w:rPr>
              <w:br/>
              <w:t>2024.CSR 4.2</w:t>
            </w:r>
            <w:r w:rsidRPr="002D22FE">
              <w:rPr>
                <w:rFonts w:eastAsia="Calibri"/>
                <w:i/>
              </w:rPr>
              <w:br/>
              <w:t>2019.CSR 2.2</w:t>
            </w:r>
          </w:p>
        </w:tc>
        <w:tc>
          <w:tcPr>
            <w:tcW w:w="2460" w:type="dxa"/>
            <w:tcMar>
              <w:top w:w="0" w:type="dxa"/>
              <w:left w:w="100" w:type="dxa"/>
              <w:bottom w:w="0" w:type="dxa"/>
              <w:right w:w="100" w:type="dxa"/>
            </w:tcMar>
          </w:tcPr>
          <w:p w14:paraId="0B775BCD" w14:textId="77777777" w:rsidR="00E4286E" w:rsidRPr="002D22FE" w:rsidRDefault="00E4286E" w:rsidP="00EE72AB">
            <w:pPr>
              <w:pStyle w:val="Tabletext"/>
              <w:rPr>
                <w:rFonts w:eastAsia="Calibri"/>
                <w:i/>
              </w:rPr>
            </w:pPr>
            <w:r w:rsidRPr="002D22FE">
              <w:rPr>
                <w:rFonts w:eastAsia="Calibri"/>
                <w:i/>
              </w:rPr>
              <w:t>Social and Economic resilience</w:t>
            </w:r>
          </w:p>
        </w:tc>
      </w:tr>
      <w:tr w:rsidR="00E4286E" w:rsidRPr="00EE72AB" w14:paraId="41F48179" w14:textId="77777777" w:rsidTr="00EE72AB">
        <w:trPr>
          <w:trHeight w:val="113"/>
          <w:jc w:val="center"/>
        </w:trPr>
        <w:tc>
          <w:tcPr>
            <w:tcW w:w="4245" w:type="dxa"/>
            <w:tcMar>
              <w:top w:w="0" w:type="dxa"/>
              <w:left w:w="100" w:type="dxa"/>
              <w:bottom w:w="0" w:type="dxa"/>
              <w:right w:w="100" w:type="dxa"/>
            </w:tcMar>
          </w:tcPr>
          <w:p w14:paraId="7028E929" w14:textId="698D8DCA" w:rsidR="00E4286E" w:rsidRPr="00EE72AB" w:rsidRDefault="00BA03C0" w:rsidP="00EE72AB">
            <w:pPr>
              <w:pStyle w:val="Tabletext"/>
              <w:rPr>
                <w:rFonts w:eastAsia="Calibri"/>
              </w:rPr>
            </w:pPr>
            <w:r w:rsidRPr="00BA03C0">
              <w:rPr>
                <w:rFonts w:eastAsia="Calibri"/>
                <w:b/>
              </w:rPr>
              <w:t>INVESTMENT 4:</w:t>
            </w:r>
            <w:r w:rsidR="00E4286E" w:rsidRPr="00EE72AB">
              <w:rPr>
                <w:rFonts w:eastAsia="Calibri"/>
              </w:rPr>
              <w:t xml:space="preserve"> Development of an Integrated Information System (IIS) for Risk Management and Natural Disaster Prevention, including the evolution of a National Database </w:t>
            </w:r>
          </w:p>
        </w:tc>
        <w:tc>
          <w:tcPr>
            <w:tcW w:w="1305" w:type="dxa"/>
            <w:tcMar>
              <w:top w:w="0" w:type="dxa"/>
              <w:left w:w="100" w:type="dxa"/>
              <w:bottom w:w="0" w:type="dxa"/>
              <w:right w:w="100" w:type="dxa"/>
            </w:tcMar>
          </w:tcPr>
          <w:p w14:paraId="6C85CAB2" w14:textId="77777777" w:rsidR="00E4286E" w:rsidRPr="00EE72AB" w:rsidRDefault="00E4286E" w:rsidP="00EE72AB">
            <w:pPr>
              <w:pStyle w:val="Tabletext"/>
              <w:rPr>
                <w:rFonts w:eastAsia="Calibri"/>
              </w:rPr>
            </w:pPr>
            <w:r w:rsidRPr="00EE72AB">
              <w:rPr>
                <w:rFonts w:eastAsia="Calibri"/>
              </w:rPr>
              <w:t>MFF</w:t>
            </w:r>
          </w:p>
        </w:tc>
        <w:tc>
          <w:tcPr>
            <w:tcW w:w="1515" w:type="dxa"/>
            <w:tcMar>
              <w:top w:w="0" w:type="dxa"/>
              <w:left w:w="100" w:type="dxa"/>
              <w:bottom w:w="0" w:type="dxa"/>
              <w:right w:w="100" w:type="dxa"/>
            </w:tcMar>
          </w:tcPr>
          <w:p w14:paraId="63BDF1CB" w14:textId="77777777" w:rsidR="00E4286E" w:rsidRPr="00EE72AB" w:rsidRDefault="00E4286E" w:rsidP="00EE72AB">
            <w:pPr>
              <w:pStyle w:val="Tabletext"/>
              <w:rPr>
                <w:rFonts w:eastAsia="Calibri"/>
              </w:rPr>
            </w:pPr>
            <w:r w:rsidRPr="00EE72AB">
              <w:rPr>
                <w:rFonts w:eastAsia="Calibri"/>
              </w:rPr>
              <w:t>2024.CSR 2.2</w:t>
            </w:r>
            <w:r w:rsidRPr="00EE72AB">
              <w:rPr>
                <w:rFonts w:eastAsia="Calibri"/>
              </w:rPr>
              <w:br/>
              <w:t>2024.CSR 4.2</w:t>
            </w:r>
            <w:r w:rsidRPr="00EE72AB">
              <w:rPr>
                <w:rFonts w:eastAsia="Calibri"/>
              </w:rPr>
              <w:br/>
              <w:t>2020.CSR 3.9</w:t>
            </w:r>
            <w:r w:rsidRPr="00EE72AB">
              <w:rPr>
                <w:rFonts w:eastAsia="Calibri"/>
              </w:rPr>
              <w:br/>
              <w:t>2019.CSR 2.4</w:t>
            </w:r>
          </w:p>
        </w:tc>
        <w:tc>
          <w:tcPr>
            <w:tcW w:w="2460" w:type="dxa"/>
            <w:tcMar>
              <w:top w:w="0" w:type="dxa"/>
              <w:left w:w="100" w:type="dxa"/>
              <w:bottom w:w="0" w:type="dxa"/>
              <w:right w:w="100" w:type="dxa"/>
            </w:tcMar>
          </w:tcPr>
          <w:p w14:paraId="08F1DE94" w14:textId="77777777" w:rsidR="00E4286E" w:rsidRPr="00EE72AB" w:rsidRDefault="00E4286E" w:rsidP="00EE72AB">
            <w:pPr>
              <w:pStyle w:val="Tabletext"/>
              <w:rPr>
                <w:rFonts w:eastAsia="Calibri"/>
              </w:rPr>
            </w:pPr>
            <w:r w:rsidRPr="00EE72AB">
              <w:rPr>
                <w:rFonts w:eastAsia="Calibri"/>
              </w:rPr>
              <w:t>Fair green &amp; digital transition</w:t>
            </w:r>
          </w:p>
        </w:tc>
      </w:tr>
      <w:tr w:rsidR="00E4286E" w:rsidRPr="002D22FE" w14:paraId="708ED168" w14:textId="77777777" w:rsidTr="00EE72AB">
        <w:trPr>
          <w:trHeight w:val="113"/>
          <w:jc w:val="center"/>
        </w:trPr>
        <w:tc>
          <w:tcPr>
            <w:tcW w:w="4245" w:type="dxa"/>
            <w:tcMar>
              <w:top w:w="0" w:type="dxa"/>
              <w:left w:w="100" w:type="dxa"/>
              <w:bottom w:w="0" w:type="dxa"/>
              <w:right w:w="100" w:type="dxa"/>
            </w:tcMar>
          </w:tcPr>
          <w:p w14:paraId="5C17D127" w14:textId="5E3F6F4C" w:rsidR="00E4286E" w:rsidRPr="002D22FE" w:rsidRDefault="00BA03C0" w:rsidP="00EE72AB">
            <w:pPr>
              <w:pStyle w:val="Tabletext"/>
              <w:rPr>
                <w:rFonts w:eastAsia="Calibri"/>
                <w:i/>
              </w:rPr>
            </w:pPr>
            <w:r w:rsidRPr="002D22FE">
              <w:rPr>
                <w:rFonts w:eastAsia="Calibri"/>
                <w:b/>
                <w:i/>
              </w:rPr>
              <w:t>INVESTMENT 5:</w:t>
            </w:r>
            <w:r w:rsidR="00E4286E" w:rsidRPr="002D22FE">
              <w:rPr>
                <w:rFonts w:eastAsia="Calibri"/>
                <w:i/>
              </w:rPr>
              <w:t xml:space="preserve"> Supply of prevention, response, management and early warning systems for natural and manmade hazards unmanned Unmanned Aerial Vehicles (Drones ) for air surveillance </w:t>
            </w:r>
          </w:p>
        </w:tc>
        <w:tc>
          <w:tcPr>
            <w:tcW w:w="1305" w:type="dxa"/>
            <w:tcMar>
              <w:top w:w="0" w:type="dxa"/>
              <w:left w:w="100" w:type="dxa"/>
              <w:bottom w:w="0" w:type="dxa"/>
              <w:right w:w="100" w:type="dxa"/>
            </w:tcMar>
          </w:tcPr>
          <w:p w14:paraId="18BFA8FA" w14:textId="77777777" w:rsidR="00E4286E" w:rsidRPr="002D22FE" w:rsidRDefault="00E4286E" w:rsidP="00EE72AB">
            <w:pPr>
              <w:pStyle w:val="Tabletext"/>
              <w:rPr>
                <w:rFonts w:eastAsia="Calibri"/>
                <w:i/>
              </w:rPr>
            </w:pPr>
            <w:r w:rsidRPr="002D22FE">
              <w:rPr>
                <w:rFonts w:eastAsia="Calibri"/>
                <w:i/>
              </w:rPr>
              <w:t>MFF, RRF 16911</w:t>
            </w:r>
          </w:p>
        </w:tc>
        <w:tc>
          <w:tcPr>
            <w:tcW w:w="1515" w:type="dxa"/>
            <w:tcMar>
              <w:top w:w="0" w:type="dxa"/>
              <w:left w:w="100" w:type="dxa"/>
              <w:bottom w:w="0" w:type="dxa"/>
              <w:right w:w="100" w:type="dxa"/>
            </w:tcMar>
          </w:tcPr>
          <w:p w14:paraId="0BC23034" w14:textId="77777777" w:rsidR="00E4286E" w:rsidRPr="002D22FE" w:rsidRDefault="00E4286E" w:rsidP="00EE72AB">
            <w:pPr>
              <w:pStyle w:val="Tabletext"/>
              <w:rPr>
                <w:rFonts w:eastAsia="Calibri"/>
                <w:i/>
              </w:rPr>
            </w:pPr>
            <w:r w:rsidRPr="002D22FE">
              <w:rPr>
                <w:rFonts w:eastAsia="Calibri"/>
                <w:i/>
              </w:rPr>
              <w:t>2024.CSR 2.2</w:t>
            </w:r>
            <w:r w:rsidRPr="002D22FE">
              <w:rPr>
                <w:rFonts w:eastAsia="Calibri"/>
                <w:i/>
              </w:rPr>
              <w:br/>
              <w:t>2024.CSR 4.2</w:t>
            </w:r>
            <w:r w:rsidRPr="002D22FE">
              <w:rPr>
                <w:rFonts w:eastAsia="Calibri"/>
                <w:i/>
              </w:rPr>
              <w:br/>
              <w:t>2020.CSR 3.6</w:t>
            </w:r>
          </w:p>
          <w:p w14:paraId="33BFE2E7" w14:textId="77777777" w:rsidR="00E4286E" w:rsidRPr="002D22FE" w:rsidRDefault="00E4286E" w:rsidP="00EE72AB">
            <w:pPr>
              <w:pStyle w:val="Tabletext"/>
              <w:rPr>
                <w:rFonts w:eastAsia="Calibri"/>
                <w:i/>
              </w:rPr>
            </w:pPr>
            <w:r w:rsidRPr="002D22FE">
              <w:rPr>
                <w:rFonts w:eastAsia="Calibri"/>
                <w:i/>
              </w:rPr>
              <w:t>2019.CSR 2.2</w:t>
            </w:r>
          </w:p>
        </w:tc>
        <w:tc>
          <w:tcPr>
            <w:tcW w:w="2460" w:type="dxa"/>
            <w:tcMar>
              <w:top w:w="0" w:type="dxa"/>
              <w:left w:w="100" w:type="dxa"/>
              <w:bottom w:w="0" w:type="dxa"/>
              <w:right w:w="100" w:type="dxa"/>
            </w:tcMar>
          </w:tcPr>
          <w:p w14:paraId="6370919B" w14:textId="77777777" w:rsidR="00E4286E" w:rsidRPr="002D22FE" w:rsidRDefault="00E4286E" w:rsidP="00EE72AB">
            <w:pPr>
              <w:pStyle w:val="Tabletext"/>
              <w:rPr>
                <w:rFonts w:eastAsia="Calibri"/>
                <w:i/>
              </w:rPr>
            </w:pPr>
            <w:r w:rsidRPr="002D22FE">
              <w:rPr>
                <w:rFonts w:eastAsia="Calibri"/>
                <w:i/>
              </w:rPr>
              <w:t>Fair green &amp; digital transition</w:t>
            </w:r>
          </w:p>
        </w:tc>
      </w:tr>
    </w:tbl>
    <w:p w14:paraId="118F83E0" w14:textId="55E18D36" w:rsidR="00E4286E" w:rsidRDefault="00E4286E" w:rsidP="00987A40">
      <w:pPr>
        <w:spacing w:after="160" w:line="254" w:lineRule="auto"/>
        <w:rPr>
          <w:rFonts w:ascii="Calibri" w:eastAsia="Calibri" w:hAnsi="Calibri" w:cs="Calibri"/>
        </w:rPr>
      </w:pPr>
    </w:p>
    <w:p w14:paraId="316A6A1B" w14:textId="77777777" w:rsidR="00E4286E" w:rsidRPr="00920844" w:rsidRDefault="00E4286E" w:rsidP="00920844">
      <w:pPr>
        <w:rPr>
          <w:rFonts w:eastAsia="Calibri"/>
          <w:lang w:val="en-US"/>
        </w:rPr>
      </w:pPr>
      <w:r w:rsidRPr="00920844">
        <w:rPr>
          <w:rFonts w:eastAsia="Calibri"/>
          <w:lang w:val="en-US"/>
        </w:rPr>
        <w:t xml:space="preserve">Aligned with the Sendai Framework for Disaster Risk Reduction 2015-2030 and the national regulatory framework, the </w:t>
      </w:r>
      <w:r w:rsidRPr="00920844">
        <w:rPr>
          <w:rFonts w:eastAsia="Calibri"/>
          <w:b/>
          <w:lang w:val="en-US"/>
        </w:rPr>
        <w:t>National Disaster Risk Management Plan (NDRMP),</w:t>
      </w:r>
      <w:r w:rsidRPr="00920844">
        <w:rPr>
          <w:rFonts w:eastAsia="Calibri"/>
          <w:lang w:val="en-US"/>
        </w:rPr>
        <w:t xml:space="preserve"> is considered as a reform that focuses on priority measures for risk reduction, prevention and scaling up early warning systems (monitoring and forecasting) reinforcing the social and economic resilience. The enhancement of emergency preparedness and governance response, involving all stakeholders of the Civil Protection‘s Mechanism and particularly local authorities, will amplify the Mechanism' s ability to issue impact-based warnings. A draft of the National Plan has already been prepared in the context of the European Commission's Technical Support Instrument (TSI 2022) “Capacity building of the MCCPP: Coordinating emergency preparedness, response, and climate change adaptation actions”. The NDRMP is expected to be completed in 2026 under the current TSI Programme (TSI 2024). </w:t>
      </w:r>
    </w:p>
    <w:p w14:paraId="5A7558F6" w14:textId="77777777" w:rsidR="00E4286E" w:rsidRPr="00920844" w:rsidRDefault="00E4286E" w:rsidP="00920844">
      <w:pPr>
        <w:rPr>
          <w:rFonts w:eastAsia="Calibri"/>
          <w:lang w:val="en-US"/>
        </w:rPr>
      </w:pPr>
      <w:r w:rsidRPr="00920844">
        <w:rPr>
          <w:rFonts w:eastAsia="Calibri"/>
          <w:lang w:val="en-US"/>
        </w:rPr>
        <w:t xml:space="preserve">Furthermore, the </w:t>
      </w:r>
      <w:r w:rsidRPr="00920844">
        <w:rPr>
          <w:rFonts w:eastAsia="Calibri"/>
          <w:b/>
          <w:lang w:val="en-US"/>
        </w:rPr>
        <w:t>development of</w:t>
      </w:r>
      <w:r w:rsidRPr="00920844">
        <w:rPr>
          <w:rFonts w:eastAsia="Calibri"/>
          <w:lang w:val="en-US"/>
        </w:rPr>
        <w:t xml:space="preserve"> </w:t>
      </w:r>
      <w:r w:rsidRPr="00920844">
        <w:rPr>
          <w:rFonts w:eastAsia="Calibri"/>
          <w:b/>
          <w:lang w:val="en-US"/>
        </w:rPr>
        <w:t>an Integrated Information System (IIS) for Risk Management and Prevention of Natural Disasters</w:t>
      </w:r>
      <w:r w:rsidRPr="00920844">
        <w:rPr>
          <w:rFonts w:eastAsia="Calibri"/>
          <w:lang w:val="en-US"/>
        </w:rPr>
        <w:t xml:space="preserve"> which includes the deployment of </w:t>
      </w:r>
      <w:r w:rsidRPr="00920844">
        <w:rPr>
          <w:rFonts w:eastAsia="Calibri"/>
          <w:b/>
          <w:lang w:val="en-US"/>
        </w:rPr>
        <w:t>National Data Base</w:t>
      </w:r>
      <w:r w:rsidRPr="00920844">
        <w:rPr>
          <w:rFonts w:eastAsia="Calibri"/>
          <w:lang w:val="en-US"/>
        </w:rPr>
        <w:t xml:space="preserve"> of Disaster Risks, Threats and Losses, represents an investment of crucial importance for the operation of the National Mechanism of Civil Protection. Through its implementation, all – mostly digitized- information required to support the disaster risk life cycle will be managed, resulting to the coordination of operational stakeholders and the support of field operations. Data and results recorded, will lead to generated knowledge to be disseminated, and research and collaboration will be facilitated. The main operational pillars consist of the National Crisis Management and Prevention System and the National Early Warning System. The estimated budget of the project will be primarily funded by the National Strategic Reference Framework (ESPA) 2021-2027. The notices for all 3 sub-projects (appropriate Infrastructure for the Data Base, Artificial Intelligence use in the National Early Warning System, Services of data management, processing and use, using AI) have already been published by the competent implementing authority “Information Society (IS)” SA, with an emphasis on the use of state-of-art artificial intelligence technologies. Finally, all parties involved in the crisis and risk management process with different levels of access, including the scientific community, will be adequately supported. The investment is expected to be completed by the end of 2027.</w:t>
      </w:r>
    </w:p>
    <w:p w14:paraId="62E2B653" w14:textId="77777777" w:rsidR="00E4286E" w:rsidRPr="00920844" w:rsidRDefault="00E4286E" w:rsidP="00920844">
      <w:pPr>
        <w:rPr>
          <w:rFonts w:eastAsia="Calibri"/>
          <w:lang w:val="en-US"/>
        </w:rPr>
      </w:pPr>
      <w:bookmarkStart w:id="123" w:name="_heading=h.pmd6a1lynt4r" w:colFirst="0" w:colLast="0"/>
      <w:bookmarkEnd w:id="123"/>
      <w:r w:rsidRPr="00920844">
        <w:rPr>
          <w:rFonts w:eastAsia="Calibri"/>
          <w:lang w:val="en-US"/>
        </w:rPr>
        <w:t xml:space="preserve">Major part of the </w:t>
      </w:r>
      <w:r w:rsidRPr="00920844">
        <w:rPr>
          <w:rFonts w:eastAsia="Calibri"/>
          <w:b/>
          <w:lang w:val="en-US"/>
        </w:rPr>
        <w:t>“Monitoring and management system”</w:t>
      </w:r>
      <w:r w:rsidRPr="00920844">
        <w:rPr>
          <w:rFonts w:eastAsia="Calibri"/>
          <w:lang w:val="en-US"/>
        </w:rPr>
        <w:t xml:space="preserve"> regarding natural disasters funded by RRF, is reflected through three investments: the “Upgrading and extending of the country‘s Network of Meteorological Stations to provide early warning”, the “Fire detection and fire extinguishing systems” </w:t>
      </w:r>
      <w:r w:rsidRPr="00920844">
        <w:rPr>
          <w:rFonts w:eastAsia="Calibri"/>
          <w:b/>
          <w:i/>
          <w:iCs/>
          <w:lang w:val="en-US"/>
        </w:rPr>
        <w:t>(a new action compared to NRP submitted in Spring 2024)</w:t>
      </w:r>
      <w:r w:rsidRPr="00920844">
        <w:rPr>
          <w:rFonts w:eastAsia="Calibri"/>
          <w:lang w:val="en-US"/>
        </w:rPr>
        <w:t xml:space="preserve"> along with the supply of “Stations for emergency communications and provision of climate data”. All of these investments address the EU's common priority of fair green and digital transition and contribute to the increase of the effectiveness and digitalization of the Civil Protection authorities. </w:t>
      </w:r>
    </w:p>
    <w:p w14:paraId="2E7969A4" w14:textId="77777777" w:rsidR="00E4286E" w:rsidRPr="00920844" w:rsidRDefault="00E4286E" w:rsidP="00920844">
      <w:pPr>
        <w:rPr>
          <w:rFonts w:eastAsia="Calibri"/>
          <w:lang w:val="en-US"/>
        </w:rPr>
      </w:pPr>
      <w:r w:rsidRPr="00920844">
        <w:rPr>
          <w:rFonts w:eastAsia="Calibri"/>
          <w:lang w:val="en-US"/>
        </w:rPr>
        <w:lastRenderedPageBreak/>
        <w:t>Notably, the “</w:t>
      </w:r>
      <w:r w:rsidRPr="00920844">
        <w:rPr>
          <w:rFonts w:eastAsia="Calibri"/>
          <w:b/>
          <w:lang w:val="en-US"/>
        </w:rPr>
        <w:t>Upgrading and extending of the country‘s Network of Meteorological Stations to provide early warning”</w:t>
      </w:r>
      <w:r w:rsidRPr="00920844">
        <w:rPr>
          <w:rFonts w:eastAsia="Calibri"/>
          <w:lang w:val="en-US"/>
        </w:rPr>
        <w:t xml:space="preserve"> includes the supply and installation of automatic meteorological stations, the generation and distribution of primary data, products and weather forecasts to all involved parties through the use of a new telecommunication infrastructure (MSS). Moreover, an atmospheric electricity detection network with lightning sensors for the coverage of the national territory will be established and the satellite data acquisition and processing systems will be modernized upon completion of the project by 2026. As a result, a denser and more reliable weather observations network will be in operation and the weather forecasts are expected to become more accurate, as the feedback on the forecasting models will be more precise. The project is funded by the RRF</w:t>
      </w:r>
      <w:r w:rsidRPr="00920844">
        <w:rPr>
          <w:rFonts w:eastAsia="Calibri"/>
          <w:b/>
          <w:lang w:val="en-US"/>
        </w:rPr>
        <w:t xml:space="preserve">. </w:t>
      </w:r>
    </w:p>
    <w:p w14:paraId="02D68A1B" w14:textId="77777777" w:rsidR="00E4286E" w:rsidRPr="00920844" w:rsidRDefault="00E4286E" w:rsidP="00920844">
      <w:pPr>
        <w:rPr>
          <w:rFonts w:eastAsia="Calibri"/>
          <w:lang w:val="en-US"/>
        </w:rPr>
      </w:pPr>
      <w:r w:rsidRPr="00920844">
        <w:rPr>
          <w:rFonts w:eastAsia="Calibri"/>
          <w:lang w:val="en-US"/>
        </w:rPr>
        <w:t>The objective of the RRF investment supply of “</w:t>
      </w:r>
      <w:r w:rsidRPr="00920844">
        <w:rPr>
          <w:rFonts w:eastAsia="Calibri"/>
          <w:b/>
          <w:lang w:val="en-US"/>
        </w:rPr>
        <w:t xml:space="preserve">Stations for emergency communications and provision of climate data” </w:t>
      </w:r>
      <w:r w:rsidRPr="00920844">
        <w:rPr>
          <w:rFonts w:eastAsia="Calibri"/>
          <w:lang w:val="en-US"/>
        </w:rPr>
        <w:t>is to replace the outdated equipment with innovative medium and long-range Radar systems. This upgrade will improve the national meteorological radar network and expand its geographical coverage. The supply includes radar systems, meteorological equipment, IT systems and services. Additionally, the development of a Nowcasting system providing very short-range weather forecasts, particularly during severe weather events, will transmit automated updates and warnings to the Hellenic National Meteorological Service for operational assessment, along with the Civil Protection authorities. Overall, the aim of the investment is to provide high quality monitoring of extreme weather conditions and high value very short-range forecasting, thus enhancing the ability of the State to respond and prevent risks in order to ensure public safety. The project is funded by RRF and MFF (ESPA). The tender notice was published by the competent implementing authority the “Information Society” SA in 2024 and the completion of the investment is expected by 2027.</w:t>
      </w:r>
    </w:p>
    <w:p w14:paraId="7B7CD2E5" w14:textId="77777777" w:rsidR="00E4286E" w:rsidRPr="00920844" w:rsidRDefault="00E4286E" w:rsidP="00920844">
      <w:pPr>
        <w:rPr>
          <w:rFonts w:eastAsia="Calibri"/>
          <w:lang w:val="en-US"/>
        </w:rPr>
      </w:pPr>
      <w:bookmarkStart w:id="124" w:name="_heading=h.qo3oxeqw3req" w:colFirst="0" w:colLast="0"/>
      <w:bookmarkEnd w:id="124"/>
      <w:r w:rsidRPr="00920844">
        <w:rPr>
          <w:rFonts w:eastAsia="Calibri"/>
          <w:lang w:val="en-US"/>
        </w:rPr>
        <w:t>Lastly the “</w:t>
      </w:r>
      <w:r w:rsidRPr="00920844">
        <w:rPr>
          <w:rFonts w:eastAsia="Calibri"/>
          <w:b/>
          <w:lang w:val="en-US"/>
        </w:rPr>
        <w:t>Fire detection and fire extinguishing systems</w:t>
      </w:r>
      <w:r w:rsidRPr="00920844">
        <w:rPr>
          <w:rFonts w:eastAsia="Calibri"/>
          <w:lang w:val="en-US"/>
        </w:rPr>
        <w:t>” (RRF) represents a substantial investment aiming at the upgrade of the existing facilities in preselected archaeological sites and other high vulnerability locations. As part of the project “Monitoring and Management Systems”</w:t>
      </w:r>
      <w:r w:rsidRPr="00920844">
        <w:rPr>
          <w:rFonts w:eastAsia="Calibri"/>
          <w:b/>
          <w:lang w:val="en-US"/>
        </w:rPr>
        <w:t xml:space="preserve">, </w:t>
      </w:r>
      <w:r w:rsidRPr="00920844">
        <w:rPr>
          <w:rFonts w:eastAsia="Calibri"/>
          <w:lang w:val="en-US"/>
        </w:rPr>
        <w:t>it focuses on enabling the effective and timely detection of high-risk situations, in order to prevent potential catastrophic fire outbreaks, human casualties and material losses. The tender was launched in January 2024 through the implementing authority the “Hellenic Republic Asset Development Fund (HRADF)” and is expected to be completed by 2026.</w:t>
      </w:r>
    </w:p>
    <w:p w14:paraId="7EB39805" w14:textId="77777777" w:rsidR="00E4286E" w:rsidRPr="00920844" w:rsidRDefault="00E4286E" w:rsidP="00920844">
      <w:pPr>
        <w:rPr>
          <w:rFonts w:eastAsia="Calibri"/>
          <w:lang w:val="en-US"/>
        </w:rPr>
      </w:pPr>
      <w:r w:rsidRPr="00920844">
        <w:rPr>
          <w:rFonts w:eastAsia="Calibri"/>
          <w:lang w:val="en-US"/>
        </w:rPr>
        <w:t>Moreover, through the “</w:t>
      </w:r>
      <w:r w:rsidRPr="00920844">
        <w:rPr>
          <w:rFonts w:eastAsia="Calibri"/>
          <w:b/>
          <w:lang w:val="en-US"/>
        </w:rPr>
        <w:t>Supply of prevention, response, management and early warning systems for natural and manmade hazards</w:t>
      </w:r>
      <w:r w:rsidRPr="00920844">
        <w:rPr>
          <w:rFonts w:eastAsia="Calibri"/>
          <w:lang w:val="en-US"/>
        </w:rPr>
        <w:t>” and the “</w:t>
      </w:r>
      <w:r w:rsidRPr="00920844">
        <w:rPr>
          <w:rFonts w:eastAsia="Calibri"/>
          <w:b/>
          <w:lang w:val="en-US"/>
        </w:rPr>
        <w:t>delivery</w:t>
      </w:r>
      <w:r w:rsidRPr="00920844">
        <w:rPr>
          <w:rFonts w:eastAsia="Calibri"/>
          <w:lang w:val="en-US"/>
        </w:rPr>
        <w:t xml:space="preserve"> </w:t>
      </w:r>
      <w:r w:rsidRPr="00920844">
        <w:rPr>
          <w:rFonts w:eastAsia="Calibri"/>
          <w:b/>
          <w:lang w:val="en-US"/>
        </w:rPr>
        <w:t>of Unmanned Aerial Vehicles (UAV-Drones) for air surveillance”</w:t>
      </w:r>
      <w:r w:rsidRPr="00920844">
        <w:rPr>
          <w:rFonts w:eastAsia="Calibri"/>
          <w:lang w:val="en-US"/>
        </w:rPr>
        <w:t xml:space="preserve"> a strategic effort to strengthen management of natural disasters by putting in place an effective early warning and risk prevention system is reflected, complying with the CRSs and the common priority of fair green and digital transition. Both represent key investments in favor of the prevention and preparedness Civil Protection </w:t>
      </w:r>
      <w:r w:rsidRPr="00920844">
        <w:rPr>
          <w:rFonts w:eastAsia="Calibri"/>
          <w:lang w:val="en-US"/>
        </w:rPr>
        <w:lastRenderedPageBreak/>
        <w:t xml:space="preserve">Mechanism against climate change, thus providing an effective environmental risk management. </w:t>
      </w:r>
    </w:p>
    <w:p w14:paraId="4ADC0043" w14:textId="77777777" w:rsidR="00E4286E" w:rsidRPr="00920844" w:rsidRDefault="00E4286E" w:rsidP="00920844">
      <w:pPr>
        <w:rPr>
          <w:rFonts w:eastAsia="Calibri"/>
          <w:lang w:val="en-US"/>
        </w:rPr>
      </w:pPr>
      <w:bookmarkStart w:id="125" w:name="_heading=h.oj0738svmb6l" w:colFirst="0" w:colLast="0"/>
      <w:bookmarkEnd w:id="125"/>
      <w:r w:rsidRPr="00920844">
        <w:rPr>
          <w:rFonts w:eastAsia="Calibri"/>
          <w:lang w:val="en-US"/>
        </w:rPr>
        <w:t>The “</w:t>
      </w:r>
      <w:r w:rsidRPr="00920844">
        <w:rPr>
          <w:rFonts w:eastAsia="Calibri"/>
          <w:b/>
          <w:lang w:val="en-US"/>
        </w:rPr>
        <w:t>Supply of prevention, response, management and early warning systems for natural and manmade hazards”</w:t>
      </w:r>
      <w:r w:rsidRPr="00920844">
        <w:rPr>
          <w:rFonts w:eastAsia="Calibri"/>
          <w:lang w:val="en-US"/>
        </w:rPr>
        <w:t xml:space="preserve"> in particular, includes autonomous monitoring stations equipped with Lidar-type optical sensor systems, meteorological stations, telecommunications equipment and high-resolution video recording systems, along with the installation of early warning systems that cover a wide range of natural and manmade hazards (forest fire detection, floods, landslides geophysical-seismic). Emphasis is given on the supply and installation of fire detection systems with artificial intelligence capabilities in high-risk-fire areas of the country on a 24/7 basis. They shall provide data on the forecasting and evolution of incidents to the fire-fighting operational centers and contribute to the immediate response of the Civil Protection Mechanism. The competent implementing authority, “Information Society (IS)” SA, has undertaken the tendering procedures and the notice of project was published in August 2024. The project is funded mainly by the National Strategic Reference Framework (ESPA) and is expected to be completed in the second semester of 2027.</w:t>
      </w:r>
    </w:p>
    <w:p w14:paraId="7502DB56" w14:textId="77777777" w:rsidR="00E4286E" w:rsidRPr="00920844" w:rsidRDefault="00E4286E" w:rsidP="00920844">
      <w:pPr>
        <w:rPr>
          <w:rFonts w:eastAsia="Calibri"/>
          <w:lang w:val="en-US"/>
        </w:rPr>
      </w:pPr>
      <w:bookmarkStart w:id="126" w:name="_heading=h.1onljqlzmsia" w:colFirst="0" w:colLast="0"/>
      <w:bookmarkEnd w:id="126"/>
      <w:r w:rsidRPr="00920844">
        <w:rPr>
          <w:rFonts w:eastAsia="Calibri"/>
          <w:lang w:val="en-US"/>
        </w:rPr>
        <w:t>The RRF investment on “</w:t>
      </w:r>
      <w:r w:rsidRPr="00920844">
        <w:rPr>
          <w:rFonts w:eastAsia="Calibri"/>
          <w:b/>
          <w:lang w:val="en-US"/>
        </w:rPr>
        <w:t>Unmanned Aerial Vehicles (UAV-drones) for air surveillance”</w:t>
      </w:r>
      <w:r w:rsidRPr="00920844">
        <w:rPr>
          <w:rFonts w:eastAsia="Calibri"/>
          <w:lang w:val="en-US"/>
        </w:rPr>
        <w:t xml:space="preserve"> </w:t>
      </w:r>
      <w:r w:rsidRPr="00920844">
        <w:rPr>
          <w:rFonts w:eastAsia="Calibri"/>
          <w:b/>
          <w:i/>
          <w:iCs/>
          <w:lang w:val="en-US"/>
        </w:rPr>
        <w:t xml:space="preserve">(a new action compared to NRP submitted in Spring 2024) </w:t>
      </w:r>
      <w:r w:rsidRPr="00920844">
        <w:rPr>
          <w:rFonts w:eastAsia="Calibri"/>
          <w:lang w:val="en-US"/>
        </w:rPr>
        <w:t>includes different types of drones such as UAV tethered drones, polycopters and mini polycopters for indoor or outdoor operations and consists of a subpart of a major investment of “</w:t>
      </w:r>
      <w:r w:rsidRPr="00920844">
        <w:rPr>
          <w:rFonts w:eastAsia="Calibri"/>
          <w:b/>
          <w:lang w:val="en-US"/>
        </w:rPr>
        <w:t>Aerial means for crises management”</w:t>
      </w:r>
      <w:r w:rsidRPr="00920844">
        <w:rPr>
          <w:rFonts w:eastAsia="Calibri"/>
          <w:lang w:val="en-US"/>
        </w:rPr>
        <w:t xml:space="preserve">, under the €2.1 billion “AIGIS” National Civil Protection Programme. The tender notice for their supply was published in February 2024 by the </w:t>
      </w:r>
      <w:r w:rsidRPr="00920844">
        <w:rPr>
          <w:rFonts w:eastAsia="Calibri"/>
          <w:b/>
          <w:lang w:val="en-US"/>
        </w:rPr>
        <w:t>Hellenic Republic Asset Development Fund (HRAD)</w:t>
      </w:r>
      <w:r w:rsidRPr="00920844">
        <w:rPr>
          <w:rFonts w:eastAsia="Calibri"/>
          <w:lang w:val="en-US"/>
        </w:rPr>
        <w:t xml:space="preserve">. Currently the tenders’ evaluation is ongoing, while the delivery is scheduled to be completed by the end of 2025. </w:t>
      </w:r>
    </w:p>
    <w:p w14:paraId="09A559A6" w14:textId="77777777" w:rsidR="00E4286E" w:rsidRPr="00920844" w:rsidRDefault="00E4286E" w:rsidP="00920844">
      <w:pPr>
        <w:rPr>
          <w:rFonts w:eastAsia="Calibri"/>
          <w:lang w:val="en-US"/>
        </w:rPr>
      </w:pPr>
      <w:r w:rsidRPr="00920844">
        <w:rPr>
          <w:rFonts w:eastAsia="Calibri"/>
          <w:lang w:val="en-US"/>
        </w:rPr>
        <w:t>As regards seismic risks, the “</w:t>
      </w:r>
      <w:r w:rsidRPr="00920844">
        <w:rPr>
          <w:rFonts w:eastAsia="Calibri"/>
          <w:b/>
          <w:lang w:val="en-US"/>
        </w:rPr>
        <w:t xml:space="preserve">Preliminary inspection of seismic resistance of buildings” </w:t>
      </w:r>
      <w:r w:rsidRPr="00920844">
        <w:rPr>
          <w:rFonts w:eastAsia="Calibri"/>
          <w:lang w:val="en-US"/>
        </w:rPr>
        <w:t>represents a reform that reinforces the social and economic resilience, one of the Common Priorities set by the European Commission, taking into account that Greece is a country with high seismic activity. The preliminary pre-seismic inspection process will be carried out mainly on public and private educational units of all levels, public and private hospitals, health centers, Police Departments, the Hellenic Fire Service and Civil Protection Units (Local Administration), based on the degree of hazardousness. For this purpose, the Organization for Earthquake Planning and Protection (EPPO) and the Technical Chamber of Greece (TEE) have developed an electronic platform to record the seismic capacity of the buildings, according to the specifications and methodology of the EPPO, along with an Electronic Register of Engineers for the Pre-Earthquake control of buildings. The financing will be covered by resources of the RRF. The ultimate objective to complete the primary inspection of approximately 20.000 buildings, is set by the end of 2025.</w:t>
      </w:r>
    </w:p>
    <w:p w14:paraId="276CDBE5" w14:textId="77777777" w:rsidR="00E4286E" w:rsidRPr="00920844" w:rsidRDefault="00E4286E" w:rsidP="00920844">
      <w:pPr>
        <w:rPr>
          <w:rFonts w:eastAsia="Calibri"/>
          <w:highlight w:val="white"/>
          <w:lang w:val="en-US"/>
        </w:rPr>
      </w:pPr>
      <w:r w:rsidRPr="00920844">
        <w:rPr>
          <w:rFonts w:eastAsia="Calibri"/>
          <w:lang w:val="en-US"/>
        </w:rPr>
        <w:lastRenderedPageBreak/>
        <w:t xml:space="preserve">Likewise, the key objective of the </w:t>
      </w:r>
      <w:r w:rsidRPr="00920844">
        <w:rPr>
          <w:rFonts w:eastAsia="Calibri"/>
          <w:b/>
          <w:lang w:val="en-US"/>
        </w:rPr>
        <w:t>enhancement of readiness and response</w:t>
      </w:r>
      <w:r w:rsidRPr="00920844">
        <w:rPr>
          <w:rFonts w:eastAsia="Calibri"/>
          <w:lang w:val="en-US"/>
        </w:rPr>
        <w:t xml:space="preserve"> of the competent </w:t>
      </w:r>
      <w:r w:rsidRPr="00920844">
        <w:rPr>
          <w:rFonts w:eastAsia="Calibri"/>
          <w:b/>
          <w:lang w:val="en-US"/>
        </w:rPr>
        <w:t xml:space="preserve">Organization for Earthquake Planning and Protection (EPPO) </w:t>
      </w:r>
      <w:r w:rsidRPr="00920844">
        <w:rPr>
          <w:rFonts w:eastAsia="Calibri"/>
          <w:lang w:val="en-US"/>
        </w:rPr>
        <w:t xml:space="preserve">in Greece, represents a reform aiming at enhancing the staff capabilities and response skills on seismic risks and their accompanying phenomena at the relevant areas in order to strengthen the social and economic resilience.  It includes various training seminars, workshops and work meetings, along with a relevant exercise within the premises of EPPO. </w:t>
      </w:r>
      <w:r w:rsidRPr="00920844">
        <w:rPr>
          <w:rFonts w:eastAsia="Calibri"/>
          <w:highlight w:val="white"/>
          <w:lang w:val="en-US"/>
        </w:rPr>
        <w:t>The program will be funded by the national budget, and will be repeated on a yearly basis.</w:t>
      </w:r>
    </w:p>
    <w:p w14:paraId="163CA893" w14:textId="77777777" w:rsidR="00E4286E" w:rsidRPr="00920844" w:rsidRDefault="00E4286E" w:rsidP="00920844">
      <w:pPr>
        <w:rPr>
          <w:rFonts w:eastAsia="Calibri"/>
          <w:highlight w:val="white"/>
          <w:lang w:val="en-US"/>
        </w:rPr>
      </w:pPr>
      <w:r w:rsidRPr="00920844">
        <w:rPr>
          <w:rFonts w:eastAsia="Calibri"/>
          <w:lang w:val="en-US"/>
        </w:rPr>
        <w:t>Furthermore, one should mention that the concepts of risk assessment and risk management are also fundamental to prevention. In this direction a reform aiming to “</w:t>
      </w:r>
      <w:r w:rsidRPr="00920844">
        <w:rPr>
          <w:rFonts w:eastAsia="Calibri"/>
          <w:b/>
          <w:lang w:val="en-US"/>
        </w:rPr>
        <w:t>Establish new risk assessment and evaluation methodologies</w:t>
      </w:r>
      <w:r w:rsidRPr="00920844">
        <w:rPr>
          <w:rFonts w:eastAsia="Calibri"/>
          <w:lang w:val="en-US"/>
        </w:rPr>
        <w:t>” has been included within the framework of strengthening the prevention, preparedness and resilience of the country's municipalities according to the relevant CSRs. The reform will be implemented through the Technical Support Instrument Programme (TSI 2024), funded by the European Commission. The reform includes, among other things, the preparation of fire and flood prevention studies, while improving the skills of staff and volunteers with new risk management techniques and applications. It is set to start in December 2024 and will be completed by the end of 2026. In the same context, another reform gradually taking place in alignment with the green and digital transition, is the “</w:t>
      </w:r>
      <w:r w:rsidRPr="00920844">
        <w:rPr>
          <w:rFonts w:eastAsia="Calibri"/>
          <w:b/>
          <w:lang w:val="en-US"/>
        </w:rPr>
        <w:t>Extension of risk methodology to fire safety regulations</w:t>
      </w:r>
      <w:r w:rsidRPr="00920844">
        <w:rPr>
          <w:rFonts w:eastAsia="Calibri"/>
          <w:lang w:val="en-US"/>
        </w:rPr>
        <w:t xml:space="preserve">” </w:t>
      </w:r>
      <w:r w:rsidRPr="00920844">
        <w:rPr>
          <w:rFonts w:eastAsia="Calibri"/>
          <w:b/>
          <w:i/>
          <w:iCs/>
          <w:lang w:val="en-US"/>
        </w:rPr>
        <w:t>(a new action compared to NRP submitted in Spring 2024)</w:t>
      </w:r>
      <w:r w:rsidRPr="00920844">
        <w:rPr>
          <w:rFonts w:eastAsia="Calibri"/>
          <w:lang w:val="en-US"/>
        </w:rPr>
        <w:t>. It focuses on the implementation of a modernized fire protection system and fire safety checks using digital technology as well as providing a direct access to their results, leading to digital fire protection management. The reform, accompanied with the regulatory framework, is also contributing to a more rational allocation of human resources and cos</w:t>
      </w:r>
      <w:r w:rsidRPr="00920844">
        <w:rPr>
          <w:rFonts w:eastAsia="Calibri"/>
          <w:highlight w:val="white"/>
          <w:lang w:val="en-US"/>
        </w:rPr>
        <w:t>ts. The project is funded by the RRF and will be finished in 2025 with a joint ministerial decision adopting common measures and sanctions in the same field.</w:t>
      </w:r>
    </w:p>
    <w:p w14:paraId="301BD4B6" w14:textId="77777777" w:rsidR="00E4286E" w:rsidRPr="00920844" w:rsidRDefault="00E4286E" w:rsidP="00920844">
      <w:pPr>
        <w:rPr>
          <w:rFonts w:eastAsia="Calibri"/>
          <w:lang w:val="en-US"/>
        </w:rPr>
      </w:pPr>
      <w:r w:rsidRPr="00920844">
        <w:rPr>
          <w:rFonts w:eastAsia="Calibri"/>
          <w:lang w:val="en-US"/>
        </w:rPr>
        <w:t>In a like manner the “</w:t>
      </w:r>
      <w:r w:rsidRPr="00920844">
        <w:rPr>
          <w:rFonts w:eastAsia="Calibri"/>
          <w:b/>
          <w:lang w:val="en-US"/>
        </w:rPr>
        <w:t>Implementation of enhanced prevention regulations and control mechanism as regards fire protection violations</w:t>
      </w:r>
      <w:r w:rsidRPr="00920844">
        <w:rPr>
          <w:rFonts w:eastAsia="Calibri"/>
          <w:lang w:val="en-US"/>
        </w:rPr>
        <w:t xml:space="preserve">” </w:t>
      </w:r>
      <w:r w:rsidRPr="00920844">
        <w:rPr>
          <w:rFonts w:eastAsia="Calibri"/>
          <w:b/>
          <w:i/>
          <w:iCs/>
          <w:lang w:val="en-US"/>
        </w:rPr>
        <w:t xml:space="preserve">(a new action compared to NRP submitted in Spring 2024) </w:t>
      </w:r>
      <w:r w:rsidRPr="00920844">
        <w:rPr>
          <w:rFonts w:eastAsia="Calibri"/>
          <w:lang w:val="en-US"/>
        </w:rPr>
        <w:t xml:space="preserve">is a recently adopted reform, that notably tightens the institutional framework for Wildland arson through the New Penal Code and significant increases in administrative fines for illegal fireworks and fire setting, was enacted in time for the 2024 fire season and is expected to continue on a yearly basis. It meets the country specific recommendations on for risk reduction (mitigation) -prevention and environmental protection, as well as the Commissions’ common priority for fair green and digital transition. Furthermore, legislation such as the Land Cleaning Register, together with the associated digital platform, has already been issued within the same framework. It required citizens to declare that they have cleaned up their land, with a great response for the first time, since at least 840,000 declarations were submitted. In November 2024 the evaluation criteria for the Hellenic Fire Department control mechanism on prevention </w:t>
      </w:r>
      <w:r w:rsidRPr="00920844">
        <w:rPr>
          <w:rFonts w:eastAsia="Calibri"/>
          <w:lang w:val="en-US"/>
        </w:rPr>
        <w:lastRenderedPageBreak/>
        <w:t xml:space="preserve">provisions will be concluded in accordance with the relevant target setting, so that necessary adaptations will be made beforehand for the next fire season. </w:t>
      </w:r>
    </w:p>
    <w:p w14:paraId="36BC24A2" w14:textId="77777777" w:rsidR="00E4286E" w:rsidRPr="00920844" w:rsidRDefault="00E4286E" w:rsidP="00920844">
      <w:pPr>
        <w:rPr>
          <w:rFonts w:eastAsia="Calibri"/>
          <w:lang w:val="en-US"/>
        </w:rPr>
      </w:pPr>
      <w:r w:rsidRPr="00920844">
        <w:rPr>
          <w:rFonts w:eastAsia="Calibri"/>
          <w:lang w:val="en-US"/>
        </w:rPr>
        <w:t>In addition, the European emergency number which has proven to be a lifesaver in emergency situations, is being significantly upgraded with new functions leading to an optimized and constantly evolving communication environment, adapted also to the needs of people with disabilities. To this end the “</w:t>
      </w:r>
      <w:r w:rsidRPr="00920844">
        <w:rPr>
          <w:rFonts w:eastAsia="Calibri"/>
          <w:b/>
          <w:lang w:val="en-US"/>
        </w:rPr>
        <w:t>Installation of an Integrated Next Generation Emergency Call Management System (Next Generation 112)”</w:t>
      </w:r>
      <w:r w:rsidRPr="00920844">
        <w:rPr>
          <w:rFonts w:eastAsia="Calibri"/>
          <w:lang w:val="en-US"/>
        </w:rPr>
        <w:t xml:space="preserve"> </w:t>
      </w:r>
      <w:r w:rsidRPr="00920844">
        <w:rPr>
          <w:rFonts w:eastAsia="Calibri"/>
          <w:b/>
          <w:i/>
          <w:iCs/>
          <w:lang w:val="en-US"/>
        </w:rPr>
        <w:t>(a new action compared to NRP submitted in Spring 2024)</w:t>
      </w:r>
      <w:r w:rsidRPr="00920844">
        <w:rPr>
          <w:rFonts w:eastAsia="Calibri"/>
          <w:lang w:val="en-US"/>
        </w:rPr>
        <w:t>is an investment that addresses the European Commission‘s common priority of fair green &amp; digital transition and contributes to the country‘s prevention and preparedness capacity against the impact of climate change and all types of emergencies (natural, technological, human caused) in the effective manner. This investment includes the supply and installation of an Emergency Call Management System with the capacity of 400 simultaneous users including Silent Button for the silent announcement of an incident, in hostage situations as well as protective measures. It will include a call management software, integrated with a GIS software, which will allow communications through voice, video, real-time instant messaging with simultaneous geo-location capability, including communication in cases where there is no mobile network coverage. The project is of critical importance, since it is expected to enable the support of emergency communications and services to persons with disabilities among others, by strengthening their equal access through the adoption of next generation technologies. The tender notice was published by the competent implementing Authority “Information Society” SA in 2024 and the investment will be completed in December 2027.</w:t>
      </w:r>
    </w:p>
    <w:p w14:paraId="208F295D" w14:textId="4EA21E68" w:rsidR="00E4286E" w:rsidRPr="00987A40" w:rsidRDefault="00E4286E" w:rsidP="00F741DD">
      <w:pPr>
        <w:rPr>
          <w:rFonts w:eastAsia="Calibri"/>
          <w:lang w:val="en-US"/>
        </w:rPr>
      </w:pPr>
      <w:r w:rsidRPr="00920844">
        <w:rPr>
          <w:rFonts w:eastAsia="Calibri"/>
          <w:lang w:val="en-US"/>
        </w:rPr>
        <w:t xml:space="preserve">Finally, the supply of </w:t>
      </w:r>
      <w:r w:rsidRPr="00920844">
        <w:rPr>
          <w:rFonts w:eastAsia="Calibri"/>
          <w:b/>
          <w:lang w:val="en-US"/>
        </w:rPr>
        <w:t xml:space="preserve">mobile administration and on-site control centers </w:t>
      </w:r>
      <w:r w:rsidRPr="00920844">
        <w:rPr>
          <w:rFonts w:eastAsia="Calibri"/>
          <w:lang w:val="en-US"/>
        </w:rPr>
        <w:t>for each one of</w:t>
      </w:r>
      <w:r w:rsidRPr="00920844">
        <w:rPr>
          <w:rFonts w:eastAsia="Calibri"/>
          <w:b/>
          <w:lang w:val="en-US"/>
        </w:rPr>
        <w:t xml:space="preserve"> the 13 Regions (RRF) </w:t>
      </w:r>
      <w:r w:rsidRPr="00920844">
        <w:rPr>
          <w:rFonts w:eastAsia="Calibri"/>
          <w:b/>
          <w:i/>
          <w:iCs/>
          <w:lang w:val="en-US"/>
        </w:rPr>
        <w:t>(a new action compared to NRP submitted in Spring 2024)</w:t>
      </w:r>
      <w:r w:rsidRPr="00920844">
        <w:rPr>
          <w:rFonts w:eastAsia="Calibri"/>
          <w:lang w:val="en-US"/>
        </w:rPr>
        <w:t xml:space="preserve">, is set within the framework of a strategic National Disaster Risk Management that aims at strengthening the social and economic resilience.  Their purpose is the on-site command and better coordination of the Fire Department and Civil Protection forces, in response to major natural disasters (extreme weather, floods, forest fires), geophysical phenomena or manmade incidents. Mobile Operations Centers include 4-wheel drive vehicles (vans) equipped with satellite communications systems, tethered drones and meteorological stations, thus having the ability to reach more inaccessible places on a rapid intervention basis. The tendering procedure was carried out by </w:t>
      </w:r>
      <w:r w:rsidRPr="00920844">
        <w:rPr>
          <w:rFonts w:eastAsia="Calibri"/>
          <w:b/>
          <w:lang w:val="en-US"/>
        </w:rPr>
        <w:t>the Hellenic Republic Asset Development Fund (HRADF)</w:t>
      </w:r>
      <w:r w:rsidRPr="00920844">
        <w:rPr>
          <w:rFonts w:eastAsia="Calibri"/>
          <w:lang w:val="en-US"/>
        </w:rPr>
        <w:t>, where a €8.7 million supply contract was signed in February 2024. The delivery of all 13 mobile operation centers will be completed by the end of 2026.</w:t>
      </w:r>
    </w:p>
    <w:p w14:paraId="4A6BE36C" w14:textId="77777777" w:rsidR="0037349B" w:rsidRDefault="0037349B" w:rsidP="0037349B">
      <w:pPr>
        <w:rPr>
          <w:rFonts w:eastAsia="Calibri"/>
          <w:lang w:val="en-US"/>
        </w:rPr>
      </w:pPr>
      <w:bookmarkStart w:id="127" w:name="_pmd6a1lynt4r" w:colFirst="0" w:colLast="0"/>
      <w:bookmarkStart w:id="128" w:name="_qo3oxeqw3req" w:colFirst="0" w:colLast="0"/>
      <w:bookmarkStart w:id="129" w:name="_oj0738svmb6l" w:colFirst="0" w:colLast="0"/>
      <w:bookmarkStart w:id="130" w:name="_1onljqlzmsia" w:colFirst="0" w:colLast="0"/>
      <w:bookmarkEnd w:id="127"/>
      <w:bookmarkEnd w:id="128"/>
      <w:bookmarkEnd w:id="129"/>
      <w:bookmarkEnd w:id="130"/>
    </w:p>
    <w:p w14:paraId="7FEF8A2F" w14:textId="40610BE9" w:rsidR="00446EAE" w:rsidRPr="00997926" w:rsidRDefault="00DF393F" w:rsidP="00997926">
      <w:pPr>
        <w:pStyle w:val="Heading2"/>
        <w:pBdr>
          <w:bottom w:val="single" w:sz="18" w:space="1" w:color="FF3300"/>
        </w:pBdr>
        <w:rPr>
          <w:lang w:val="en-US"/>
        </w:rPr>
      </w:pPr>
      <w:bookmarkStart w:id="131" w:name="_Toc177652392"/>
      <w:bookmarkStart w:id="132" w:name="_Toc178070121"/>
      <w:r>
        <w:rPr>
          <w:lang w:val="en-US"/>
        </w:rPr>
        <w:lastRenderedPageBreak/>
        <w:t>I</w:t>
      </w:r>
      <w:r w:rsidRPr="00997926">
        <w:rPr>
          <w:lang w:val="en-US"/>
        </w:rPr>
        <w:t xml:space="preserve">nvestment needs related to the common priorities of the </w:t>
      </w:r>
      <w:bookmarkEnd w:id="131"/>
      <w:r>
        <w:rPr>
          <w:lang w:val="en-US"/>
        </w:rPr>
        <w:t>U</w:t>
      </w:r>
      <w:r w:rsidRPr="00997926">
        <w:rPr>
          <w:lang w:val="en-US"/>
        </w:rPr>
        <w:t>nion</w:t>
      </w:r>
      <w:bookmarkEnd w:id="132"/>
    </w:p>
    <w:p w14:paraId="2F46F3E6" w14:textId="77777777" w:rsidR="00446EAE" w:rsidRPr="00446EAE" w:rsidRDefault="00446EAE" w:rsidP="00446EAE">
      <w:pPr>
        <w:rPr>
          <w:lang w:val="en-US"/>
        </w:rPr>
      </w:pPr>
    </w:p>
    <w:p w14:paraId="1B2F05A8" w14:textId="256E32A4" w:rsidR="00806ABB" w:rsidRDefault="00E4286E" w:rsidP="00DE7FDC">
      <w:pPr>
        <w:rPr>
          <w:rFonts w:eastAsia="Times New Roman"/>
          <w:lang w:val="en-US"/>
        </w:rPr>
      </w:pPr>
      <w:r w:rsidRPr="00534980">
        <w:rPr>
          <w:rFonts w:eastAsia="Times New Roman"/>
          <w:lang w:val="en-US"/>
        </w:rPr>
        <w:t>Based on the analytical presentation of investments and reforms by each Ministry</w:t>
      </w:r>
      <w:r w:rsidRPr="00160E3B">
        <w:rPr>
          <w:rFonts w:eastAsia="Times New Roman"/>
          <w:lang w:val="en-US"/>
        </w:rPr>
        <w:t xml:space="preserve">, </w:t>
      </w:r>
      <w:r w:rsidRPr="00534980">
        <w:rPr>
          <w:rFonts w:eastAsia="Times New Roman"/>
          <w:lang w:val="en-US"/>
        </w:rPr>
        <w:t xml:space="preserve">an allocation has been made in the table below according to the common priorities of the Union. Moreover, the Table includes description of and information on investment needs according to </w:t>
      </w:r>
      <w:r>
        <w:rPr>
          <w:rFonts w:eastAsia="Times New Roman"/>
          <w:lang w:val="en-US"/>
        </w:rPr>
        <w:t>the Public Investment Budget (PIB)</w:t>
      </w:r>
      <w:r w:rsidRPr="00534980">
        <w:rPr>
          <w:rFonts w:eastAsia="Times New Roman"/>
          <w:lang w:val="en-US"/>
        </w:rPr>
        <w:t xml:space="preserve">. </w:t>
      </w:r>
    </w:p>
    <w:p w14:paraId="0F999027" w14:textId="77777777" w:rsidR="00E521F6" w:rsidRPr="00920844" w:rsidRDefault="00E521F6" w:rsidP="00DE7FDC">
      <w:pPr>
        <w:rPr>
          <w:rFonts w:eastAsia="Times New Roman"/>
          <w:lang w:val="en-US"/>
        </w:rPr>
      </w:pPr>
    </w:p>
    <w:tbl>
      <w:tblPr>
        <w:tblW w:w="9072" w:type="dxa"/>
        <w:jc w:val="center"/>
        <w:tblLook w:val="04A0" w:firstRow="1" w:lastRow="0" w:firstColumn="1" w:lastColumn="0" w:noHBand="0" w:noVBand="1"/>
      </w:tblPr>
      <w:tblGrid>
        <w:gridCol w:w="405"/>
        <w:gridCol w:w="1790"/>
        <w:gridCol w:w="6877"/>
      </w:tblGrid>
      <w:tr w:rsidR="00E4286E" w:rsidRPr="00534980" w14:paraId="126B8F6A" w14:textId="77777777" w:rsidTr="000A3ED7">
        <w:trPr>
          <w:trHeight w:val="227"/>
          <w:jc w:val="center"/>
        </w:trPr>
        <w:tc>
          <w:tcPr>
            <w:tcW w:w="393" w:type="dxa"/>
            <w:tcBorders>
              <w:top w:val="nil"/>
              <w:left w:val="nil"/>
              <w:bottom w:val="single" w:sz="4" w:space="0" w:color="4F81BD" w:themeColor="accent1"/>
            </w:tcBorders>
            <w:shd w:val="clear" w:color="000000" w:fill="305496"/>
            <w:vAlign w:val="center"/>
            <w:hideMark/>
          </w:tcPr>
          <w:p w14:paraId="230C658B" w14:textId="77777777" w:rsidR="00E4286E" w:rsidRPr="00534980" w:rsidRDefault="00E4286E" w:rsidP="00FF667E">
            <w:pPr>
              <w:spacing w:line="240" w:lineRule="exact"/>
              <w:rPr>
                <w:rFonts w:ascii="Calibri" w:eastAsia="Times New Roman" w:hAnsi="Calibri" w:cs="Calibri"/>
                <w:color w:val="FFFFFF"/>
                <w:lang w:val="en-US" w:eastAsia="en-US"/>
              </w:rPr>
            </w:pPr>
            <w:r w:rsidRPr="00534980">
              <w:rPr>
                <w:rFonts w:ascii="Calibri" w:eastAsia="Times New Roman" w:hAnsi="Calibri" w:cs="Calibri"/>
                <w:color w:val="FFFFFF"/>
                <w:lang w:val="en-US" w:eastAsia="en-US"/>
              </w:rPr>
              <w:t> </w:t>
            </w:r>
          </w:p>
        </w:tc>
        <w:tc>
          <w:tcPr>
            <w:tcW w:w="1734" w:type="dxa"/>
            <w:tcBorders>
              <w:top w:val="single" w:sz="4" w:space="0" w:color="4F81BD" w:themeColor="accent1"/>
              <w:bottom w:val="single" w:sz="4" w:space="0" w:color="4F81BD" w:themeColor="accent1"/>
            </w:tcBorders>
            <w:shd w:val="clear" w:color="000000" w:fill="305496"/>
            <w:vAlign w:val="center"/>
            <w:hideMark/>
          </w:tcPr>
          <w:p w14:paraId="2DA03A52" w14:textId="77777777" w:rsidR="00E4286E" w:rsidRPr="00534980" w:rsidRDefault="00E4286E" w:rsidP="00FF667E">
            <w:pPr>
              <w:spacing w:line="240" w:lineRule="exact"/>
              <w:rPr>
                <w:rFonts w:ascii="Calibri" w:eastAsia="Times New Roman" w:hAnsi="Calibri" w:cs="Calibri"/>
                <w:color w:val="FFFFFF"/>
                <w:lang w:val="en-US" w:eastAsia="en-US"/>
              </w:rPr>
            </w:pPr>
            <w:r w:rsidRPr="00534980">
              <w:rPr>
                <w:rFonts w:ascii="Calibri" w:eastAsia="Times New Roman" w:hAnsi="Calibri" w:cs="Calibri"/>
                <w:color w:val="FFFFFF"/>
                <w:lang w:val="en-US" w:eastAsia="en-US"/>
              </w:rPr>
              <w:t>Common priorities</w:t>
            </w:r>
          </w:p>
        </w:tc>
        <w:tc>
          <w:tcPr>
            <w:tcW w:w="6663" w:type="dxa"/>
            <w:tcBorders>
              <w:top w:val="single" w:sz="4" w:space="0" w:color="4F81BD" w:themeColor="accent1"/>
              <w:bottom w:val="single" w:sz="4" w:space="0" w:color="4F81BD" w:themeColor="accent1"/>
              <w:right w:val="single" w:sz="4" w:space="0" w:color="4F81BD" w:themeColor="accent1"/>
            </w:tcBorders>
            <w:shd w:val="clear" w:color="000000" w:fill="305496"/>
            <w:vAlign w:val="center"/>
            <w:hideMark/>
          </w:tcPr>
          <w:p w14:paraId="76EA37CC" w14:textId="77777777" w:rsidR="00E4286E" w:rsidRPr="00534980" w:rsidRDefault="00E4286E" w:rsidP="00FF667E">
            <w:pPr>
              <w:spacing w:line="240" w:lineRule="exact"/>
              <w:rPr>
                <w:rFonts w:ascii="Calibri" w:eastAsia="Times New Roman" w:hAnsi="Calibri" w:cs="Calibri"/>
                <w:color w:val="FFFFFF"/>
                <w:lang w:val="en-US" w:eastAsia="en-US"/>
              </w:rPr>
            </w:pPr>
            <w:r w:rsidRPr="00534980">
              <w:rPr>
                <w:rFonts w:ascii="Calibri" w:eastAsia="Times New Roman" w:hAnsi="Calibri" w:cs="Calibri"/>
                <w:color w:val="FFFFFF"/>
                <w:lang w:val="en-US" w:eastAsia="en-US"/>
              </w:rPr>
              <w:t xml:space="preserve">Description of investment needs </w:t>
            </w:r>
          </w:p>
        </w:tc>
      </w:tr>
      <w:tr w:rsidR="00E4286E" w:rsidRPr="00E10A55" w14:paraId="7554AF9B" w14:textId="77777777" w:rsidTr="000A3ED7">
        <w:trPr>
          <w:trHeight w:val="227"/>
          <w:jc w:val="center"/>
        </w:trPr>
        <w:tc>
          <w:tcPr>
            <w:tcW w:w="393" w:type="dxa"/>
            <w:tcBorders>
              <w:top w:val="single" w:sz="4" w:space="0" w:color="4F81BD" w:themeColor="accent1"/>
              <w:left w:val="nil"/>
              <w:bottom w:val="single" w:sz="4" w:space="0" w:color="4F81BD" w:themeColor="accent1"/>
            </w:tcBorders>
            <w:shd w:val="clear" w:color="000000" w:fill="305496"/>
            <w:vAlign w:val="center"/>
            <w:hideMark/>
          </w:tcPr>
          <w:p w14:paraId="43698430" w14:textId="77777777" w:rsidR="00E4286E" w:rsidRPr="00E10A55" w:rsidRDefault="00E4286E" w:rsidP="00FF667E">
            <w:pPr>
              <w:spacing w:line="240" w:lineRule="exact"/>
              <w:jc w:val="center"/>
              <w:rPr>
                <w:rFonts w:eastAsia="Times New Roman" w:cstheme="minorHAnsi"/>
                <w:color w:val="FFFFFF"/>
                <w:lang w:val="en-US" w:eastAsia="en-US"/>
              </w:rPr>
            </w:pPr>
            <w:r w:rsidRPr="00E10A55">
              <w:rPr>
                <w:rFonts w:eastAsia="Times New Roman" w:cstheme="minorHAnsi"/>
                <w:color w:val="FFFFFF"/>
                <w:lang w:val="en-US" w:eastAsia="en-US"/>
              </w:rPr>
              <w:t>1</w:t>
            </w:r>
          </w:p>
        </w:tc>
        <w:tc>
          <w:tcPr>
            <w:tcW w:w="1734" w:type="dxa"/>
            <w:tcBorders>
              <w:top w:val="single" w:sz="4" w:space="0" w:color="4F81BD" w:themeColor="accent1"/>
              <w:bottom w:val="single" w:sz="4" w:space="0" w:color="4F81BD" w:themeColor="accent1"/>
            </w:tcBorders>
            <w:shd w:val="clear" w:color="000000" w:fill="D9E1F2"/>
            <w:vAlign w:val="center"/>
            <w:hideMark/>
          </w:tcPr>
          <w:p w14:paraId="4201057F" w14:textId="77777777" w:rsidR="00E4286E" w:rsidRPr="00E10A55" w:rsidRDefault="00E4286E" w:rsidP="00BB0F36">
            <w:pPr>
              <w:spacing w:line="240" w:lineRule="exact"/>
              <w:jc w:val="left"/>
              <w:rPr>
                <w:rFonts w:eastAsia="Times New Roman" w:cstheme="minorHAnsi"/>
                <w:color w:val="000000"/>
                <w:lang w:val="en-US" w:eastAsia="en-US"/>
              </w:rPr>
            </w:pPr>
            <w:r w:rsidRPr="00E10A55">
              <w:rPr>
                <w:rFonts w:eastAsia="Times New Roman" w:cstheme="minorHAnsi"/>
                <w:color w:val="000000"/>
                <w:lang w:val="en-US" w:eastAsia="en-US"/>
              </w:rPr>
              <w:t xml:space="preserve">A fair green and digital transition, including consistency with the European Climate Law </w:t>
            </w:r>
          </w:p>
        </w:tc>
        <w:tc>
          <w:tcPr>
            <w:tcW w:w="6663" w:type="dxa"/>
            <w:tcBorders>
              <w:top w:val="single" w:sz="4" w:space="0" w:color="4F81BD" w:themeColor="accent1"/>
              <w:bottom w:val="single" w:sz="4" w:space="0" w:color="4F81BD" w:themeColor="accent1"/>
              <w:right w:val="single" w:sz="4" w:space="0" w:color="4F81BD" w:themeColor="accent1"/>
            </w:tcBorders>
            <w:shd w:val="clear" w:color="000000" w:fill="FFFFFF"/>
            <w:vAlign w:val="center"/>
            <w:hideMark/>
          </w:tcPr>
          <w:p w14:paraId="3C3CADBB" w14:textId="77777777" w:rsidR="00E4286E" w:rsidRPr="00E10A55" w:rsidRDefault="00E4286E" w:rsidP="00FF667E">
            <w:pPr>
              <w:spacing w:line="240" w:lineRule="exact"/>
              <w:rPr>
                <w:rFonts w:eastAsia="Times New Roman" w:cstheme="minorHAnsi"/>
                <w:b/>
                <w:color w:val="365F91"/>
                <w:lang w:val="en-US"/>
              </w:rPr>
            </w:pPr>
            <w:r w:rsidRPr="00E10A55">
              <w:rPr>
                <w:rFonts w:eastAsia="Times New Roman" w:cstheme="minorHAnsi"/>
                <w:b/>
                <w:color w:val="365F91"/>
                <w:lang w:val="en-US"/>
              </w:rPr>
              <w:t xml:space="preserve">Investment needs based on PIB: </w:t>
            </w:r>
          </w:p>
          <w:p w14:paraId="7EE1BB8B" w14:textId="77777777" w:rsidR="00E4286E" w:rsidRPr="00E10A55" w:rsidRDefault="00E4286E" w:rsidP="00920844">
            <w:pPr>
              <w:spacing w:line="240" w:lineRule="exact"/>
              <w:jc w:val="left"/>
              <w:rPr>
                <w:rFonts w:eastAsia="Times New Roman" w:cstheme="minorHAnsi"/>
                <w:lang w:val="en-US"/>
              </w:rPr>
            </w:pPr>
            <w:r w:rsidRPr="00E10A55">
              <w:rPr>
                <w:rFonts w:eastAsia="Times New Roman" w:cstheme="minorHAnsi"/>
                <w:b/>
                <w:lang w:val="en-US"/>
              </w:rPr>
              <w:t>MFF – Partnership Agreement 2021-2027</w:t>
            </w:r>
            <w:r w:rsidRPr="00E10A55">
              <w:rPr>
                <w:rFonts w:eastAsia="Times New Roman" w:cstheme="minorHAnsi"/>
                <w:b/>
                <w:lang w:val="en-US"/>
              </w:rPr>
              <w:br/>
            </w:r>
            <w:r w:rsidRPr="00E10A55">
              <w:rPr>
                <w:rFonts w:eastAsia="Times New Roman" w:cstheme="minorHAnsi"/>
                <w:lang w:val="en-US"/>
              </w:rPr>
              <w:t>For the 2021-2027 programming period of the ESI Funds, European Regional Development Fund, Cohesion Fund and part of ESF+ resources, as indicated in the analytical description of the investments above, are planned in order to mobilize a significant contribution to the EU Green Deal and the energy transition in particular. To this view, 30% of the total budget of the 2021-2027 programming period has been allocated to policies dedicated to actions for green transition. For example, the new sectoral program “Environment and climate change 2021-2027” under the Hellenic Partnership Agreement has a distinct priority in the program includes actions for promoting energy efficiency and reducing greenhouse gas emissions, promoting renewable energy, developing smart energy systems, grids and storage outside the Trans-European Energy Network.</w:t>
            </w:r>
          </w:p>
          <w:p w14:paraId="34E4B0D1" w14:textId="77777777" w:rsidR="00E4286E" w:rsidRPr="00E10A55" w:rsidRDefault="00E4286E" w:rsidP="00FF667E">
            <w:pPr>
              <w:spacing w:line="240" w:lineRule="exact"/>
              <w:rPr>
                <w:rFonts w:eastAsia="Times New Roman" w:cstheme="minorHAnsi"/>
                <w:lang w:val="en-US"/>
              </w:rPr>
            </w:pPr>
            <w:r w:rsidRPr="00E10A55">
              <w:rPr>
                <w:rFonts w:eastAsia="Times New Roman" w:cstheme="minorHAnsi"/>
                <w:lang w:val="en-US"/>
              </w:rPr>
              <w:t>As far as the “Transport 2021-2027” Program is concerned, 62% of the total budget has been allocated to actions promoting the green transition.</w:t>
            </w:r>
          </w:p>
          <w:p w14:paraId="44601C5D" w14:textId="77777777" w:rsidR="00E4286E" w:rsidRPr="00E10A55" w:rsidRDefault="00E4286E" w:rsidP="00920844">
            <w:pPr>
              <w:spacing w:line="240" w:lineRule="exact"/>
              <w:jc w:val="left"/>
              <w:rPr>
                <w:rFonts w:eastAsia="Times New Roman" w:cstheme="minorHAnsi"/>
                <w:lang w:val="en-US"/>
              </w:rPr>
            </w:pPr>
            <w:r w:rsidRPr="00E10A55">
              <w:rPr>
                <w:rFonts w:eastAsia="Times New Roman" w:cstheme="minorHAnsi"/>
                <w:lang w:val="en-US"/>
              </w:rPr>
              <w:t>Whereas, in the “Competitiveness 2021-2027” Program, five calls for proposals in the areas of green transition and digital transformation have already (as of Q3 2204) been issued.</w:t>
            </w:r>
            <w:r w:rsidRPr="00E10A55">
              <w:rPr>
                <w:rFonts w:eastAsia="Times New Roman" w:cstheme="minorHAnsi"/>
                <w:b/>
                <w:lang w:val="en-US"/>
              </w:rPr>
              <w:br/>
            </w:r>
            <w:r w:rsidRPr="00E10A55">
              <w:rPr>
                <w:rFonts w:eastAsia="Times New Roman" w:cstheme="minorHAnsi"/>
                <w:b/>
                <w:lang w:val="en-US"/>
              </w:rPr>
              <w:br/>
              <w:t xml:space="preserve">MFF - The Just Transition Development Programme 2021-2027 </w:t>
            </w:r>
            <w:r w:rsidRPr="00E10A55">
              <w:rPr>
                <w:rFonts w:eastAsia="Times New Roman" w:cstheme="minorHAnsi"/>
                <w:lang w:val="en-US"/>
              </w:rPr>
              <w:t>is co-financed by the Just Transition Fund (JTF) and implemented under the Cohesion Policy.</w:t>
            </w:r>
          </w:p>
          <w:p w14:paraId="362CFED7" w14:textId="77777777" w:rsidR="00E4286E" w:rsidRPr="00E10A55" w:rsidRDefault="00E4286E" w:rsidP="00FF667E">
            <w:pPr>
              <w:spacing w:line="240" w:lineRule="exact"/>
              <w:rPr>
                <w:rFonts w:eastAsia="Times New Roman" w:cstheme="minorHAnsi"/>
                <w:lang w:val="en-US"/>
              </w:rPr>
            </w:pPr>
            <w:r w:rsidRPr="00E10A55">
              <w:rPr>
                <w:rFonts w:eastAsia="Times New Roman" w:cstheme="minorHAnsi"/>
                <w:lang w:val="en-US"/>
              </w:rPr>
              <w:t>Investments needs for the Just Transition Fund (JTF) are:</w:t>
            </w:r>
          </w:p>
          <w:p w14:paraId="77395CE3" w14:textId="77777777" w:rsidR="00E4286E" w:rsidRPr="00E10A55" w:rsidRDefault="00E4286E" w:rsidP="00E4286E">
            <w:pPr>
              <w:numPr>
                <w:ilvl w:val="0"/>
                <w:numId w:val="23"/>
              </w:numPr>
              <w:spacing w:line="240" w:lineRule="exact"/>
              <w:contextualSpacing/>
              <w:rPr>
                <w:rFonts w:eastAsia="Calibri" w:cstheme="minorHAnsi"/>
                <w:lang w:val="en-US" w:eastAsia="en-US"/>
              </w:rPr>
            </w:pPr>
            <w:r w:rsidRPr="00E10A55">
              <w:rPr>
                <w:rFonts w:eastAsia="Calibri" w:cstheme="minorHAnsi"/>
                <w:lang w:val="en-US" w:eastAsia="en-US"/>
              </w:rPr>
              <w:t>Strengthening and Promoting Entrepreneurship: actions enhancing the competitiveness and digital transformation of existing businesses, linking RTDI to production and promoting start-ups.</w:t>
            </w:r>
          </w:p>
          <w:p w14:paraId="6EAD680C" w14:textId="77777777" w:rsidR="00E4286E" w:rsidRPr="00E10A55" w:rsidRDefault="00E4286E" w:rsidP="00E4286E">
            <w:pPr>
              <w:numPr>
                <w:ilvl w:val="0"/>
                <w:numId w:val="23"/>
              </w:numPr>
              <w:spacing w:line="240" w:lineRule="exact"/>
              <w:contextualSpacing/>
              <w:rPr>
                <w:rFonts w:eastAsia="Calibri" w:cstheme="minorHAnsi"/>
                <w:lang w:val="en-US" w:eastAsia="en-US"/>
              </w:rPr>
            </w:pPr>
            <w:r w:rsidRPr="00E10A55">
              <w:rPr>
                <w:rFonts w:eastAsia="Calibri" w:cstheme="minorHAnsi"/>
                <w:lang w:val="en-US" w:eastAsia="en-US"/>
              </w:rPr>
              <w:t>Energy Transition – Climate Neutrality: actions aiming to improve the energy efficiency of the building stock, affordable clean energy systems and infrastructure, including its storage technologies.</w:t>
            </w:r>
          </w:p>
          <w:p w14:paraId="0D7D90AB" w14:textId="77777777" w:rsidR="00E4286E" w:rsidRPr="00E10A55" w:rsidRDefault="00E4286E" w:rsidP="00E4286E">
            <w:pPr>
              <w:numPr>
                <w:ilvl w:val="0"/>
                <w:numId w:val="23"/>
              </w:numPr>
              <w:spacing w:line="240" w:lineRule="exact"/>
              <w:contextualSpacing/>
              <w:rPr>
                <w:rFonts w:eastAsia="Calibri" w:cstheme="minorHAnsi"/>
                <w:lang w:val="en-US" w:eastAsia="en-US"/>
              </w:rPr>
            </w:pPr>
            <w:r w:rsidRPr="00E10A55">
              <w:rPr>
                <w:rFonts w:eastAsia="Calibri" w:cstheme="minorHAnsi"/>
                <w:lang w:val="en-US" w:eastAsia="en-US"/>
              </w:rPr>
              <w:t>Repurposing of land uses – Circular Economy: regeneration and re-use of degraded land and facilities, green infrastructure and technical land repurposing works, strengthening circular economy.</w:t>
            </w:r>
          </w:p>
          <w:p w14:paraId="2523B0C9" w14:textId="77777777" w:rsidR="00E4286E" w:rsidRPr="00E10A55" w:rsidRDefault="00E4286E" w:rsidP="00E4286E">
            <w:pPr>
              <w:numPr>
                <w:ilvl w:val="0"/>
                <w:numId w:val="23"/>
              </w:numPr>
              <w:spacing w:line="240" w:lineRule="exact"/>
              <w:contextualSpacing/>
              <w:rPr>
                <w:rFonts w:eastAsia="Calibri" w:cstheme="minorHAnsi"/>
                <w:lang w:val="en-US" w:eastAsia="en-US"/>
              </w:rPr>
            </w:pPr>
            <w:r w:rsidRPr="00E10A55">
              <w:rPr>
                <w:rFonts w:eastAsia="Calibri" w:cstheme="minorHAnsi"/>
                <w:lang w:val="en-US" w:eastAsia="en-US"/>
              </w:rPr>
              <w:lastRenderedPageBreak/>
              <w:t>Just Labour Transition: upskilling &amp;amp; reskilling actions of workforce, investments in infrastructure for the purposes of education, training and facilitating labour market integration.</w:t>
            </w:r>
          </w:p>
          <w:p w14:paraId="6541DF7E" w14:textId="77777777" w:rsidR="00E4286E" w:rsidRPr="00E10A55" w:rsidRDefault="00E4286E" w:rsidP="00E4286E">
            <w:pPr>
              <w:numPr>
                <w:ilvl w:val="0"/>
                <w:numId w:val="23"/>
              </w:numPr>
              <w:spacing w:line="240" w:lineRule="exact"/>
              <w:contextualSpacing/>
              <w:rPr>
                <w:rFonts w:eastAsia="Calibri" w:cstheme="minorHAnsi"/>
                <w:lang w:val="en-US" w:eastAsia="en-US"/>
              </w:rPr>
            </w:pPr>
            <w:r w:rsidRPr="00E10A55">
              <w:rPr>
                <w:rFonts w:eastAsia="Calibri" w:cstheme="minorHAnsi"/>
                <w:lang w:val="en-US" w:eastAsia="en-US"/>
              </w:rPr>
              <w:t>Small-scale integrated interventions: measures to improve the quality of life of residents and the diversification of local economies.</w:t>
            </w:r>
          </w:p>
          <w:p w14:paraId="2B27C1C3" w14:textId="77777777" w:rsidR="00E4286E" w:rsidRPr="00E10A55" w:rsidRDefault="00E4286E" w:rsidP="00FF667E">
            <w:pPr>
              <w:spacing w:line="240" w:lineRule="exact"/>
              <w:rPr>
                <w:rFonts w:eastAsia="Times New Roman" w:cstheme="minorHAnsi"/>
                <w:lang w:val="en-US"/>
              </w:rPr>
            </w:pPr>
            <w:r w:rsidRPr="00E10A55">
              <w:rPr>
                <w:rFonts w:eastAsia="Times New Roman" w:cstheme="minorHAnsi"/>
                <w:lang w:val="en-US"/>
              </w:rPr>
              <w:t>The whole Programme has been allocated to actions promoting the green transition.</w:t>
            </w:r>
          </w:p>
          <w:p w14:paraId="2F411947" w14:textId="77777777" w:rsidR="00E4286E" w:rsidRPr="00E10A55" w:rsidRDefault="00E4286E" w:rsidP="00FF667E">
            <w:pPr>
              <w:spacing w:line="240" w:lineRule="exact"/>
              <w:rPr>
                <w:rFonts w:eastAsia="Times New Roman" w:cstheme="minorHAnsi"/>
                <w:b/>
                <w:lang w:val="en-US"/>
              </w:rPr>
            </w:pPr>
            <w:r w:rsidRPr="00E10A55">
              <w:rPr>
                <w:rFonts w:eastAsia="Times New Roman" w:cstheme="minorHAnsi"/>
                <w:lang w:val="en-US"/>
              </w:rPr>
              <w:br/>
            </w:r>
            <w:r w:rsidRPr="00E10A55">
              <w:rPr>
                <w:rFonts w:eastAsia="Times New Roman" w:cstheme="minorHAnsi"/>
                <w:b/>
                <w:lang w:val="en-US"/>
              </w:rPr>
              <w:t>Nationally funded Programmes (NDP)</w:t>
            </w:r>
          </w:p>
          <w:p w14:paraId="6F737E8C" w14:textId="77777777" w:rsidR="00E4286E" w:rsidRPr="00E10A55" w:rsidRDefault="00E4286E" w:rsidP="00920844">
            <w:pPr>
              <w:spacing w:line="240" w:lineRule="exact"/>
              <w:jc w:val="left"/>
              <w:rPr>
                <w:rFonts w:eastAsia="Calibri" w:cstheme="minorHAnsi"/>
                <w:color w:val="0070C0"/>
                <w:lang w:val="en-US"/>
              </w:rPr>
            </w:pPr>
            <w:r w:rsidRPr="00E10A55">
              <w:rPr>
                <w:rFonts w:eastAsia="Times New Roman" w:cstheme="minorHAnsi"/>
                <w:lang w:val="en-US"/>
              </w:rPr>
              <w:t xml:space="preserve">A fair green and digital transition resilience is supported under National Development Programme (NDP) 2021-2025 through the specific sub-objectives of the Green Growth Objective (DO2) (Transition to a circular economy, Environmental protection, climate change) and the Infrastructure development objective (DO4) (Transport). </w:t>
            </w:r>
            <w:r w:rsidRPr="00E10A55">
              <w:rPr>
                <w:rFonts w:eastAsia="Times New Roman" w:cstheme="minorHAnsi"/>
                <w:lang w:val="en-US"/>
              </w:rPr>
              <w:br/>
            </w:r>
            <w:r w:rsidRPr="00E10A55">
              <w:rPr>
                <w:rFonts w:eastAsia="Times New Roman" w:cstheme="minorHAnsi"/>
                <w:b/>
                <w:lang w:val="en-US"/>
              </w:rPr>
              <w:br/>
              <w:t>Other nationally funded projects</w:t>
            </w:r>
            <w:r w:rsidRPr="00E10A55">
              <w:rPr>
                <w:rFonts w:eastAsia="Times New Roman" w:cstheme="minorHAnsi"/>
                <w:lang w:val="en-US"/>
              </w:rPr>
              <w:br/>
              <w:t>Strengthening our capacity and infrastructure for natural disaster preparedness and climate change adaptation, including enhancing flood protection and upgrading the energy efficiency of public buildings.</w:t>
            </w:r>
            <w:r w:rsidRPr="00E10A55">
              <w:rPr>
                <w:rFonts w:eastAsia="Times New Roman" w:cstheme="minorHAnsi"/>
                <w:lang w:val="en-US"/>
              </w:rPr>
              <w:br/>
            </w:r>
          </w:p>
          <w:p w14:paraId="3CCAC52F" w14:textId="77777777" w:rsidR="00E4286E" w:rsidRPr="00E10A55" w:rsidRDefault="00E4286E" w:rsidP="00FF667E">
            <w:pPr>
              <w:spacing w:line="240" w:lineRule="exact"/>
              <w:rPr>
                <w:rFonts w:eastAsia="Calibri" w:cstheme="minorHAnsi"/>
                <w:b/>
                <w:bCs/>
                <w:color w:val="365F91"/>
                <w:lang w:val="en-US"/>
              </w:rPr>
            </w:pPr>
            <w:r w:rsidRPr="00E10A55">
              <w:rPr>
                <w:rFonts w:eastAsia="Calibri" w:cstheme="minorHAnsi"/>
                <w:b/>
                <w:bCs/>
                <w:color w:val="365F91"/>
                <w:lang w:val="en-US"/>
              </w:rPr>
              <w:t xml:space="preserve">Investment needs by Ministry </w:t>
            </w:r>
          </w:p>
          <w:p w14:paraId="49FB6D85"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National Economy and Finance </w:t>
            </w:r>
          </w:p>
          <w:p w14:paraId="4DA5722A"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Digital Transformation of the Tax and Customs Administration</w:t>
            </w:r>
          </w:p>
          <w:p w14:paraId="5F198FD8"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Transformation of Fiscal Management and Supervision in Governance &amp; Electronic Invoicing (govERP)</w:t>
            </w:r>
          </w:p>
          <w:p w14:paraId="72B04275" w14:textId="77777777" w:rsidR="00E4286E" w:rsidRPr="00E10A55" w:rsidRDefault="00E4286E" w:rsidP="00E4286E">
            <w:pPr>
              <w:numPr>
                <w:ilvl w:val="0"/>
                <w:numId w:val="23"/>
              </w:numPr>
              <w:spacing w:after="160" w:line="240" w:lineRule="exact"/>
              <w:ind w:left="360"/>
              <w:contextualSpacing/>
              <w:rPr>
                <w:rFonts w:eastAsia="Calibri" w:cstheme="minorHAnsi"/>
                <w:lang w:eastAsia="en-US"/>
              </w:rPr>
            </w:pPr>
            <w:r w:rsidRPr="00E10A55">
              <w:rPr>
                <w:rFonts w:eastAsia="Calibri" w:cstheme="minorHAnsi"/>
                <w:lang w:eastAsia="en-US"/>
              </w:rPr>
              <w:t>Digital transformation of tax audits</w:t>
            </w:r>
          </w:p>
          <w:p w14:paraId="6EF27F68" w14:textId="77777777" w:rsidR="00E4286E" w:rsidRPr="00E10A55" w:rsidRDefault="00E4286E" w:rsidP="00E4286E">
            <w:pPr>
              <w:numPr>
                <w:ilvl w:val="0"/>
                <w:numId w:val="23"/>
              </w:numPr>
              <w:spacing w:after="160" w:line="240" w:lineRule="exact"/>
              <w:ind w:left="360"/>
              <w:contextualSpacing/>
              <w:rPr>
                <w:rFonts w:eastAsia="Calibri" w:cstheme="minorHAnsi"/>
                <w:lang w:eastAsia="en-US"/>
              </w:rPr>
            </w:pPr>
            <w:r w:rsidRPr="00E10A55">
              <w:rPr>
                <w:rFonts w:eastAsia="Calibri" w:cstheme="minorHAnsi"/>
                <w:lang w:eastAsia="en-US"/>
              </w:rPr>
              <w:t>RRP Loan Facility</w:t>
            </w:r>
          </w:p>
          <w:p w14:paraId="680EB130"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Revitalization actions of the most affected territories (Just transition territories) &amp; Just Transition Programme</w:t>
            </w:r>
          </w:p>
          <w:p w14:paraId="16B07ABF"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Implementation of the Partnership Agreement 2021-2027 - efficient management of ESPA funds</w:t>
            </w:r>
          </w:p>
          <w:p w14:paraId="0B61B1FA"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e-PDE system</w:t>
            </w:r>
          </w:p>
          <w:p w14:paraId="3DF58D53" w14:textId="77777777" w:rsidR="00E4286E" w:rsidRPr="00E10A55" w:rsidRDefault="00E4286E" w:rsidP="00FF667E">
            <w:pPr>
              <w:spacing w:after="160" w:line="240" w:lineRule="exact"/>
              <w:contextualSpacing/>
              <w:rPr>
                <w:rFonts w:eastAsia="Calibri" w:cstheme="minorHAnsi"/>
                <w:lang w:eastAsia="en-US"/>
              </w:rPr>
            </w:pPr>
          </w:p>
          <w:p w14:paraId="103B8A43"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Ministry of Foreign Affairs</w:t>
            </w:r>
          </w:p>
          <w:p w14:paraId="5733EF66"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Digital transformation of the Ministry of Foreign Affairs</w:t>
            </w:r>
          </w:p>
          <w:p w14:paraId="7E740BB2"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Development of large-scale IT systems in accordance with Schengen acquis in the area of border management</w:t>
            </w:r>
          </w:p>
          <w:p w14:paraId="44F19E3B" w14:textId="77777777" w:rsidR="00E4286E" w:rsidRPr="00E10A55" w:rsidRDefault="00E4286E" w:rsidP="00FF667E">
            <w:pPr>
              <w:spacing w:after="160" w:line="240" w:lineRule="exact"/>
              <w:ind w:left="360"/>
              <w:contextualSpacing/>
              <w:rPr>
                <w:rFonts w:eastAsia="Calibri" w:cstheme="minorHAnsi"/>
                <w:lang w:val="en-US" w:eastAsia="en-US"/>
              </w:rPr>
            </w:pPr>
          </w:p>
          <w:p w14:paraId="04500CF0"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 xml:space="preserve">Ministry of Interior </w:t>
            </w:r>
          </w:p>
          <w:p w14:paraId="0E0CFBF4" w14:textId="77777777" w:rsidR="00E4286E" w:rsidRPr="00E10A55" w:rsidRDefault="00E4286E" w:rsidP="00E4286E">
            <w:pPr>
              <w:numPr>
                <w:ilvl w:val="0"/>
                <w:numId w:val="41"/>
              </w:numPr>
              <w:spacing w:after="160" w:line="240" w:lineRule="exact"/>
              <w:ind w:left="360"/>
              <w:contextualSpacing/>
              <w:rPr>
                <w:rFonts w:eastAsia="Calibri" w:cstheme="minorHAnsi"/>
                <w:lang w:eastAsia="en-US"/>
              </w:rPr>
            </w:pPr>
            <w:r w:rsidRPr="00E10A55">
              <w:rPr>
                <w:rFonts w:eastAsia="Calibri" w:cstheme="minorHAnsi"/>
                <w:lang w:eastAsia="en-US"/>
              </w:rPr>
              <w:t>Local Government Data Management Hubs</w:t>
            </w:r>
          </w:p>
          <w:p w14:paraId="232A6BED" w14:textId="77777777" w:rsidR="00E4286E" w:rsidRPr="00E10A55" w:rsidRDefault="00E4286E" w:rsidP="00FF667E">
            <w:pPr>
              <w:spacing w:line="240" w:lineRule="exact"/>
              <w:rPr>
                <w:rFonts w:eastAsia="Calibri" w:cstheme="minorHAnsi"/>
                <w:i/>
                <w:iCs/>
                <w:color w:val="365F91"/>
                <w:lang w:val="en-US"/>
              </w:rPr>
            </w:pPr>
          </w:p>
          <w:p w14:paraId="2D7B23FD"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education, religious affairs and sports  </w:t>
            </w:r>
          </w:p>
          <w:p w14:paraId="68205FEC" w14:textId="77777777" w:rsidR="00E4286E" w:rsidRPr="00E10A55" w:rsidRDefault="00E4286E" w:rsidP="00E4286E">
            <w:pPr>
              <w:numPr>
                <w:ilvl w:val="0"/>
                <w:numId w:val="23"/>
              </w:numPr>
              <w:spacing w:after="160" w:line="240" w:lineRule="exact"/>
              <w:ind w:left="360"/>
              <w:contextualSpacing/>
              <w:rPr>
                <w:rFonts w:eastAsia="Calibri" w:cstheme="minorHAnsi"/>
                <w:lang w:eastAsia="en-US"/>
              </w:rPr>
            </w:pPr>
            <w:r w:rsidRPr="00E10A55">
              <w:rPr>
                <w:rFonts w:eastAsia="Calibri" w:cstheme="minorHAnsi"/>
                <w:lang w:eastAsia="en-US"/>
              </w:rPr>
              <w:t>Digital transformation of Education</w:t>
            </w:r>
          </w:p>
          <w:p w14:paraId="3D0CD7B9" w14:textId="77777777" w:rsidR="00E4286E" w:rsidRPr="00E10A55" w:rsidRDefault="00E4286E" w:rsidP="00FF667E">
            <w:pPr>
              <w:spacing w:line="240" w:lineRule="exact"/>
              <w:rPr>
                <w:rFonts w:eastAsia="Calibri" w:cstheme="minorHAnsi"/>
                <w:i/>
                <w:iCs/>
                <w:color w:val="365F91"/>
                <w:lang w:val="en-US"/>
              </w:rPr>
            </w:pPr>
          </w:p>
          <w:p w14:paraId="30BC98C5"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 xml:space="preserve">Ministry of Health </w:t>
            </w:r>
          </w:p>
          <w:p w14:paraId="4E3D78C2"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Digital Transformation of Health (DigHealth)</w:t>
            </w:r>
          </w:p>
          <w:p w14:paraId="25C8E3C8" w14:textId="77777777" w:rsidR="00E4286E" w:rsidRPr="00E10A55" w:rsidRDefault="00E4286E" w:rsidP="00FF667E">
            <w:pPr>
              <w:spacing w:line="240" w:lineRule="exact"/>
              <w:rPr>
                <w:rFonts w:eastAsia="Calibri" w:cstheme="minorHAnsi"/>
                <w:i/>
                <w:iCs/>
                <w:color w:val="365F91"/>
                <w:lang w:val="en-US"/>
              </w:rPr>
            </w:pPr>
          </w:p>
          <w:p w14:paraId="0D110841" w14:textId="16611755"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Ministry of Citizens’ protection</w:t>
            </w:r>
          </w:p>
          <w:p w14:paraId="61764DB3"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Digital transformation in the sector of citizen protection</w:t>
            </w:r>
          </w:p>
          <w:p w14:paraId="128FACB0" w14:textId="77777777" w:rsidR="00E4286E" w:rsidRPr="00E10A55" w:rsidRDefault="00E4286E" w:rsidP="00FF667E">
            <w:pPr>
              <w:spacing w:line="240" w:lineRule="exact"/>
              <w:rPr>
                <w:rFonts w:eastAsia="Calibri" w:cstheme="minorHAnsi"/>
                <w:i/>
                <w:iCs/>
                <w:color w:val="365F91"/>
                <w:lang w:val="en-US"/>
              </w:rPr>
            </w:pPr>
          </w:p>
          <w:p w14:paraId="2CE09B8E"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Infrastructure and Transport </w:t>
            </w:r>
          </w:p>
          <w:p w14:paraId="3FBC523B" w14:textId="77777777" w:rsidR="00E4286E" w:rsidRPr="00E10A55" w:rsidRDefault="00E4286E" w:rsidP="00E4286E">
            <w:pPr>
              <w:numPr>
                <w:ilvl w:val="0"/>
                <w:numId w:val="23"/>
              </w:numPr>
              <w:spacing w:after="160" w:line="240" w:lineRule="exact"/>
              <w:ind w:left="360"/>
              <w:contextualSpacing/>
              <w:rPr>
                <w:rFonts w:eastAsia="Calibri" w:cstheme="minorHAnsi"/>
                <w:lang w:eastAsia="en-US"/>
              </w:rPr>
            </w:pPr>
            <w:r w:rsidRPr="00E10A55">
              <w:rPr>
                <w:rFonts w:eastAsia="Calibri" w:cstheme="minorHAnsi"/>
                <w:lang w:eastAsia="en-US"/>
              </w:rPr>
              <w:t>Electromobility</w:t>
            </w:r>
          </w:p>
          <w:p w14:paraId="36AB6B64"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Upgrading suburban railway of West Attica</w:t>
            </w:r>
          </w:p>
          <w:p w14:paraId="69439984"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Digital Transformation of the Hellenic Railways Organization</w:t>
            </w:r>
          </w:p>
          <w:p w14:paraId="61655403" w14:textId="77777777" w:rsidR="00E4286E" w:rsidRPr="00E10A55" w:rsidRDefault="00E4286E" w:rsidP="00E4286E">
            <w:pPr>
              <w:numPr>
                <w:ilvl w:val="0"/>
                <w:numId w:val="23"/>
              </w:numPr>
              <w:spacing w:after="160" w:line="240" w:lineRule="exact"/>
              <w:ind w:left="360"/>
              <w:contextualSpacing/>
              <w:rPr>
                <w:rFonts w:eastAsia="Calibri" w:cstheme="minorHAnsi"/>
                <w:lang w:eastAsia="en-US"/>
              </w:rPr>
            </w:pPr>
            <w:r w:rsidRPr="00E10A55">
              <w:rPr>
                <w:rFonts w:eastAsia="Calibri" w:cstheme="minorHAnsi"/>
                <w:lang w:eastAsia="en-US"/>
              </w:rPr>
              <w:t>Smart Bridges</w:t>
            </w:r>
          </w:p>
          <w:p w14:paraId="0754E8FC"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Upgrade of the existing railway line Alexandroupolis – Ormenio</w:t>
            </w:r>
          </w:p>
          <w:p w14:paraId="5F7AC29E" w14:textId="77777777" w:rsidR="00E4286E" w:rsidRPr="00E10A55" w:rsidRDefault="00E4286E" w:rsidP="00E4286E">
            <w:pPr>
              <w:numPr>
                <w:ilvl w:val="0"/>
                <w:numId w:val="23"/>
              </w:numPr>
              <w:spacing w:after="160" w:line="240" w:lineRule="exact"/>
              <w:ind w:left="360"/>
              <w:contextualSpacing/>
              <w:rPr>
                <w:rFonts w:eastAsia="Calibri" w:cstheme="minorHAnsi"/>
                <w:lang w:val="en-US" w:eastAsia="en-US"/>
              </w:rPr>
            </w:pPr>
            <w:r w:rsidRPr="00E10A55">
              <w:rPr>
                <w:rFonts w:eastAsia="Calibri" w:cstheme="minorHAnsi"/>
                <w:lang w:val="en-US" w:eastAsia="en-US"/>
              </w:rPr>
              <w:t>Construction of new railway line Nea Karvali – Toxotes</w:t>
            </w:r>
          </w:p>
          <w:p w14:paraId="038914A6" w14:textId="77777777" w:rsidR="00E4286E" w:rsidRPr="00E10A55" w:rsidRDefault="00E4286E" w:rsidP="00FF667E">
            <w:pPr>
              <w:spacing w:line="240" w:lineRule="exact"/>
              <w:rPr>
                <w:rFonts w:eastAsia="Calibri" w:cstheme="minorHAnsi"/>
                <w:i/>
                <w:iCs/>
                <w:color w:val="365F91"/>
                <w:lang w:val="en-US"/>
              </w:rPr>
            </w:pPr>
          </w:p>
          <w:p w14:paraId="3CE9D156"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Ministry of Environment and Energy</w:t>
            </w:r>
          </w:p>
          <w:p w14:paraId="7110B073" w14:textId="77777777" w:rsidR="00E4286E" w:rsidRPr="00E10A55" w:rsidRDefault="00E4286E" w:rsidP="00E4286E">
            <w:pPr>
              <w:numPr>
                <w:ilvl w:val="0"/>
                <w:numId w:val="23"/>
              </w:numPr>
              <w:spacing w:after="160" w:line="240" w:lineRule="exact"/>
              <w:ind w:left="360"/>
              <w:contextualSpacing/>
              <w:rPr>
                <w:rFonts w:eastAsia="Calibri" w:cstheme="minorHAnsi"/>
                <w:lang w:eastAsia="en-US"/>
              </w:rPr>
            </w:pPr>
            <w:r w:rsidRPr="00E10A55">
              <w:rPr>
                <w:rFonts w:eastAsia="Calibri" w:cstheme="minorHAnsi"/>
                <w:lang w:eastAsia="en-US"/>
              </w:rPr>
              <w:t>Energy renovation on residential buildings</w:t>
            </w:r>
          </w:p>
          <w:p w14:paraId="284E0E4F"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Installed capacity increase in Hellenic Electricity Distribution Network Operator (HEDNO) High Voltage/Medium Voltage substations for new RES connection</w:t>
            </w:r>
          </w:p>
          <w:p w14:paraId="5587C124"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Energy and entrepreneurship</w:t>
            </w:r>
          </w:p>
          <w:p w14:paraId="5409771D"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Energy upgrade of public sector buildings</w:t>
            </w:r>
          </w:p>
          <w:p w14:paraId="0A2B891A"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Produc-E Green</w:t>
            </w:r>
          </w:p>
          <w:p w14:paraId="43375DB2"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National Reforestation Plan, restoration and prevention (“antiNERO”), anti-erosion and flood protection measures</w:t>
            </w:r>
          </w:p>
          <w:p w14:paraId="3E1258CB"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Urban Wastewater and Sludge Management Infrastructures from Wastewater Treatment</w:t>
            </w:r>
          </w:p>
          <w:p w14:paraId="60E5497F"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Drinking water supply and saving infrastructure</w:t>
            </w:r>
          </w:p>
          <w:p w14:paraId="5741809A"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Drinking water supply projects to areas with water shortages</w:t>
            </w:r>
          </w:p>
          <w:p w14:paraId="06EF6A44" w14:textId="77777777" w:rsidR="00E4286E" w:rsidRPr="00E10A55" w:rsidRDefault="00E4286E" w:rsidP="00E4286E">
            <w:pPr>
              <w:numPr>
                <w:ilvl w:val="0"/>
                <w:numId w:val="23"/>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Biodiversity Protection as a driver for sustainable growth</w:t>
            </w:r>
          </w:p>
          <w:p w14:paraId="29CC6FC5" w14:textId="77777777" w:rsidR="00E4286E" w:rsidRPr="00E10A55" w:rsidRDefault="00E4286E" w:rsidP="00FF667E">
            <w:pPr>
              <w:spacing w:line="240" w:lineRule="exact"/>
              <w:rPr>
                <w:rFonts w:eastAsia="Times New Roman" w:cstheme="minorHAnsi"/>
                <w:i/>
                <w:iCs/>
                <w:color w:val="0070C0"/>
                <w:lang w:val="en-US"/>
              </w:rPr>
            </w:pPr>
          </w:p>
          <w:p w14:paraId="22E8B3D5" w14:textId="77777777" w:rsidR="00E4286E" w:rsidRPr="00E10A55" w:rsidRDefault="00E4286E" w:rsidP="00FF667E">
            <w:pPr>
              <w:spacing w:line="240" w:lineRule="exact"/>
              <w:rPr>
                <w:rFonts w:eastAsia="Times New Roman" w:cstheme="minorHAnsi"/>
                <w:i/>
                <w:iCs/>
                <w:color w:val="365F91" w:themeColor="accent1" w:themeShade="BF"/>
              </w:rPr>
            </w:pPr>
            <w:r w:rsidRPr="00E10A55">
              <w:rPr>
                <w:rFonts w:eastAsia="Times New Roman" w:cstheme="minorHAnsi"/>
                <w:i/>
                <w:iCs/>
                <w:color w:val="365F91" w:themeColor="accent1" w:themeShade="BF"/>
              </w:rPr>
              <w:t xml:space="preserve">Ministry of Development </w:t>
            </w:r>
          </w:p>
          <w:p w14:paraId="5447AEFF" w14:textId="77777777" w:rsidR="00E4286E" w:rsidRPr="00E10A55" w:rsidRDefault="00E4286E" w:rsidP="00E4286E">
            <w:pPr>
              <w:numPr>
                <w:ilvl w:val="0"/>
                <w:numId w:val="25"/>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New Industrial Parks</w:t>
            </w:r>
          </w:p>
          <w:p w14:paraId="5D114474" w14:textId="77777777" w:rsidR="00E4286E" w:rsidRPr="00E10A55" w:rsidRDefault="00E4286E" w:rsidP="00E4286E">
            <w:pPr>
              <w:numPr>
                <w:ilvl w:val="0"/>
                <w:numId w:val="25"/>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Acceleration of smart manufacturing</w:t>
            </w:r>
          </w:p>
          <w:p w14:paraId="7A7BEB7B" w14:textId="77777777" w:rsidR="00E4286E" w:rsidRPr="00E10A55" w:rsidRDefault="00E4286E" w:rsidP="00FF667E">
            <w:pPr>
              <w:spacing w:line="240" w:lineRule="exact"/>
              <w:rPr>
                <w:rFonts w:eastAsia="Times New Roman" w:cstheme="minorHAnsi"/>
                <w:i/>
                <w:iCs/>
                <w:color w:val="365F91"/>
                <w:lang w:val="en-US"/>
              </w:rPr>
            </w:pPr>
          </w:p>
          <w:p w14:paraId="7F05C99D" w14:textId="77777777" w:rsidR="00E4286E" w:rsidRPr="00E10A55" w:rsidRDefault="00E4286E" w:rsidP="00FF667E">
            <w:pPr>
              <w:spacing w:line="240" w:lineRule="exact"/>
              <w:rPr>
                <w:rFonts w:eastAsia="Times New Roman" w:cstheme="minorHAnsi"/>
                <w:i/>
                <w:iCs/>
                <w:color w:val="365F91"/>
                <w:lang w:val="en-US"/>
              </w:rPr>
            </w:pPr>
            <w:r w:rsidRPr="00E10A55">
              <w:rPr>
                <w:rFonts w:eastAsia="Times New Roman" w:cstheme="minorHAnsi"/>
                <w:i/>
                <w:iCs/>
                <w:color w:val="365F91"/>
                <w:lang w:val="en-US"/>
              </w:rPr>
              <w:t xml:space="preserve">Ministry of Labour and Social Security </w:t>
            </w:r>
          </w:p>
          <w:p w14:paraId="1C1476A9" w14:textId="77777777" w:rsidR="00E4286E" w:rsidRPr="00E10A55" w:rsidRDefault="00E4286E" w:rsidP="00E4286E">
            <w:pPr>
              <w:numPr>
                <w:ilvl w:val="0"/>
                <w:numId w:val="27"/>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Digital Transformation of Labour Systems</w:t>
            </w:r>
          </w:p>
          <w:p w14:paraId="5818F727" w14:textId="77777777" w:rsidR="00E4286E" w:rsidRPr="00E10A55" w:rsidRDefault="00E4286E" w:rsidP="00E4286E">
            <w:pPr>
              <w:numPr>
                <w:ilvl w:val="0"/>
                <w:numId w:val="27"/>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rPr>
              <w:t>Digital transformation of the public employment service (DYPA)</w:t>
            </w:r>
          </w:p>
          <w:p w14:paraId="50CE7121" w14:textId="77777777" w:rsidR="00E4286E" w:rsidRPr="00E10A55" w:rsidRDefault="00E4286E" w:rsidP="00FF667E">
            <w:pPr>
              <w:spacing w:line="240" w:lineRule="exact"/>
              <w:rPr>
                <w:rFonts w:eastAsia="Calibri" w:cstheme="minorHAnsi"/>
                <w:i/>
                <w:iCs/>
                <w:color w:val="365F91"/>
                <w:lang w:val="en-US"/>
              </w:rPr>
            </w:pPr>
          </w:p>
          <w:p w14:paraId="1AD6D04A"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Justice </w:t>
            </w:r>
          </w:p>
          <w:p w14:paraId="3E015D6E" w14:textId="77777777" w:rsidR="00E4286E" w:rsidRPr="00E10A55" w:rsidRDefault="00E4286E" w:rsidP="00E4286E">
            <w:pPr>
              <w:pStyle w:val="ListParagraph"/>
              <w:numPr>
                <w:ilvl w:val="0"/>
                <w:numId w:val="43"/>
              </w:numPr>
              <w:spacing w:line="240" w:lineRule="exact"/>
              <w:ind w:left="360"/>
              <w:jc w:val="left"/>
              <w:rPr>
                <w:rFonts w:eastAsia="Calibri" w:cstheme="minorHAnsi"/>
                <w:lang w:val="en-US"/>
              </w:rPr>
            </w:pPr>
            <w:r w:rsidRPr="00E10A55">
              <w:rPr>
                <w:rFonts w:eastAsia="Calibri" w:cstheme="minorHAnsi"/>
                <w:lang w:val="en-US"/>
              </w:rPr>
              <w:t>Improve the efficiency of the justice system_New Judicial Buildings</w:t>
            </w:r>
          </w:p>
          <w:p w14:paraId="648560A0" w14:textId="35EDFB0E" w:rsidR="00E4286E" w:rsidRPr="00E10A55" w:rsidRDefault="00E4286E" w:rsidP="00FF667E">
            <w:pPr>
              <w:spacing w:line="240" w:lineRule="exact"/>
              <w:rPr>
                <w:rFonts w:eastAsia="Calibri" w:cstheme="minorHAnsi"/>
                <w:i/>
                <w:iCs/>
                <w:color w:val="0070C0"/>
                <w:lang w:val="en-US"/>
              </w:rPr>
            </w:pPr>
            <w:r w:rsidRPr="00E10A55">
              <w:rPr>
                <w:rFonts w:eastAsia="Calibri" w:cstheme="minorHAnsi"/>
                <w:i/>
                <w:iCs/>
                <w:color w:val="365F91"/>
                <w:lang w:val="en-US"/>
              </w:rPr>
              <w:t xml:space="preserve">Ministry of </w:t>
            </w:r>
            <w:r w:rsidR="007F6458">
              <w:rPr>
                <w:rFonts w:eastAsia="Calibri" w:cstheme="minorHAnsi"/>
                <w:i/>
                <w:iCs/>
                <w:color w:val="365F91"/>
                <w:lang w:val="en-US"/>
              </w:rPr>
              <w:t>R</w:t>
            </w:r>
            <w:r w:rsidRPr="00E10A55">
              <w:rPr>
                <w:rFonts w:eastAsia="Calibri" w:cstheme="minorHAnsi"/>
                <w:i/>
                <w:iCs/>
                <w:color w:val="365F91"/>
                <w:lang w:val="en-US"/>
              </w:rPr>
              <w:t xml:space="preserve">ural </w:t>
            </w:r>
            <w:r w:rsidR="007F6458">
              <w:rPr>
                <w:rFonts w:eastAsia="Calibri" w:cstheme="minorHAnsi"/>
                <w:i/>
                <w:iCs/>
                <w:color w:val="365F91"/>
                <w:lang w:val="en-US"/>
              </w:rPr>
              <w:t>D</w:t>
            </w:r>
            <w:r w:rsidRPr="00E10A55">
              <w:rPr>
                <w:rFonts w:eastAsia="Calibri" w:cstheme="minorHAnsi"/>
                <w:i/>
                <w:iCs/>
                <w:color w:val="365F91"/>
                <w:lang w:val="en-US"/>
              </w:rPr>
              <w:t xml:space="preserve">evelopment and </w:t>
            </w:r>
            <w:r w:rsidR="007F6458">
              <w:rPr>
                <w:rFonts w:eastAsia="Calibri" w:cstheme="minorHAnsi"/>
                <w:i/>
                <w:iCs/>
                <w:color w:val="365F91"/>
                <w:lang w:val="en-US"/>
              </w:rPr>
              <w:t>F</w:t>
            </w:r>
            <w:r w:rsidRPr="00E10A55">
              <w:rPr>
                <w:rFonts w:eastAsia="Calibri" w:cstheme="minorHAnsi"/>
                <w:i/>
                <w:iCs/>
                <w:color w:val="365F91"/>
                <w:lang w:val="en-US"/>
              </w:rPr>
              <w:t>ood</w:t>
            </w:r>
          </w:p>
          <w:p w14:paraId="6BD8B7B5" w14:textId="77777777" w:rsidR="00E4286E" w:rsidRPr="00E10A55" w:rsidRDefault="00E4286E" w:rsidP="00E4286E">
            <w:pPr>
              <w:numPr>
                <w:ilvl w:val="0"/>
                <w:numId w:val="30"/>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Economic transformation on the Agricultural Sector</w:t>
            </w:r>
          </w:p>
          <w:p w14:paraId="740C95EF" w14:textId="77777777" w:rsidR="00E4286E" w:rsidRPr="00E10A55" w:rsidRDefault="00E4286E" w:rsidP="00E4286E">
            <w:pPr>
              <w:numPr>
                <w:ilvl w:val="0"/>
                <w:numId w:val="30"/>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Digital Transformation of the Agri-Food Sector</w:t>
            </w:r>
          </w:p>
          <w:p w14:paraId="21E0E358" w14:textId="77777777" w:rsidR="00E4286E" w:rsidRPr="00E10A55" w:rsidRDefault="00E4286E" w:rsidP="00E4286E">
            <w:pPr>
              <w:numPr>
                <w:ilvl w:val="0"/>
                <w:numId w:val="30"/>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Proposals for actions in the Aquaculture Sector</w:t>
            </w:r>
          </w:p>
          <w:p w14:paraId="4B7E61A3" w14:textId="77777777" w:rsidR="00E4286E" w:rsidRPr="00E10A55" w:rsidRDefault="00E4286E" w:rsidP="00E4286E">
            <w:pPr>
              <w:numPr>
                <w:ilvl w:val="0"/>
                <w:numId w:val="30"/>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Investments in the national irrigation network through PPP schemes</w:t>
            </w:r>
          </w:p>
          <w:p w14:paraId="4A748CAC" w14:textId="77777777" w:rsidR="00E4286E" w:rsidRPr="00E10A55" w:rsidRDefault="00E4286E" w:rsidP="00E4286E">
            <w:pPr>
              <w:numPr>
                <w:ilvl w:val="0"/>
                <w:numId w:val="30"/>
              </w:numPr>
              <w:spacing w:after="160" w:line="240" w:lineRule="exact"/>
              <w:ind w:left="360"/>
              <w:contextualSpacing/>
              <w:rPr>
                <w:rFonts w:eastAsia="Times New Roman" w:cstheme="minorHAnsi"/>
                <w:lang w:eastAsia="en-US"/>
              </w:rPr>
            </w:pPr>
            <w:r w:rsidRPr="00E10A55">
              <w:rPr>
                <w:rFonts w:eastAsia="Calibri" w:cstheme="minorHAnsi"/>
                <w:lang w:eastAsia="en-US"/>
              </w:rPr>
              <w:t>Ground improvement infrastructure</w:t>
            </w:r>
          </w:p>
          <w:p w14:paraId="74456FE2" w14:textId="77777777" w:rsidR="00E4286E" w:rsidRPr="00E10A55" w:rsidRDefault="00E4286E" w:rsidP="00FF667E">
            <w:pPr>
              <w:spacing w:line="240" w:lineRule="exact"/>
              <w:rPr>
                <w:rFonts w:eastAsia="Times New Roman" w:cstheme="minorHAnsi"/>
                <w:i/>
                <w:iCs/>
                <w:color w:val="365F91"/>
                <w:lang w:val="en-US"/>
              </w:rPr>
            </w:pPr>
          </w:p>
          <w:p w14:paraId="26E2234B" w14:textId="77777777" w:rsidR="00E4286E" w:rsidRPr="00E10A55" w:rsidRDefault="00E4286E" w:rsidP="00FF667E">
            <w:pPr>
              <w:spacing w:line="240" w:lineRule="exact"/>
              <w:rPr>
                <w:rFonts w:eastAsia="Times New Roman" w:cstheme="minorHAnsi"/>
                <w:i/>
                <w:iCs/>
                <w:color w:val="365F91"/>
              </w:rPr>
            </w:pPr>
            <w:r w:rsidRPr="00E10A55">
              <w:rPr>
                <w:rFonts w:eastAsia="Times New Roman" w:cstheme="minorHAnsi"/>
                <w:i/>
                <w:iCs/>
                <w:color w:val="365F91"/>
              </w:rPr>
              <w:t xml:space="preserve">Ministry of Culture </w:t>
            </w:r>
          </w:p>
          <w:p w14:paraId="4C70C731" w14:textId="77777777" w:rsidR="00E4286E" w:rsidRPr="00E10A55" w:rsidRDefault="00E4286E" w:rsidP="00E4286E">
            <w:pPr>
              <w:numPr>
                <w:ilvl w:val="0"/>
                <w:numId w:val="31"/>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Upgrade of infrastructure, renewal of equipment and upgrade of quality of services provided by the HOCRED Stores - former ARF Stores (On-spot and electronic).</w:t>
            </w:r>
          </w:p>
          <w:p w14:paraId="1D967F90" w14:textId="77777777" w:rsidR="00E4286E" w:rsidRPr="00E10A55" w:rsidRDefault="00E4286E" w:rsidP="00E4286E">
            <w:pPr>
              <w:numPr>
                <w:ilvl w:val="0"/>
                <w:numId w:val="31"/>
              </w:numPr>
              <w:spacing w:after="160" w:line="240" w:lineRule="exact"/>
              <w:ind w:left="360"/>
              <w:contextualSpacing/>
              <w:rPr>
                <w:rFonts w:eastAsia="Times New Roman" w:cstheme="minorHAnsi"/>
                <w:lang w:val="en-US" w:eastAsia="en-US"/>
              </w:rPr>
            </w:pPr>
            <w:r w:rsidRPr="00E10A55">
              <w:rPr>
                <w:rFonts w:eastAsia="Calibri" w:cstheme="minorHAnsi"/>
                <w:lang w:val="en-US"/>
              </w:rPr>
              <w:t>Smart infrastructure with environmental and cultural focus</w:t>
            </w:r>
          </w:p>
          <w:p w14:paraId="31A88C35" w14:textId="77777777" w:rsidR="00E4286E" w:rsidRPr="00E10A55" w:rsidRDefault="00E4286E" w:rsidP="00FF667E">
            <w:pPr>
              <w:spacing w:after="160" w:line="240" w:lineRule="exact"/>
              <w:contextualSpacing/>
              <w:rPr>
                <w:rFonts w:eastAsia="Times New Roman" w:cstheme="minorHAnsi"/>
                <w:lang w:val="en-US" w:eastAsia="en-US"/>
              </w:rPr>
            </w:pPr>
          </w:p>
          <w:p w14:paraId="2A179F61"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Ministry of Migration and Asylum</w:t>
            </w:r>
          </w:p>
          <w:p w14:paraId="674A02B6" w14:textId="77777777" w:rsidR="00E4286E" w:rsidRPr="00E10A55" w:rsidRDefault="00E4286E" w:rsidP="00E4286E">
            <w:pPr>
              <w:numPr>
                <w:ilvl w:val="0"/>
                <w:numId w:val="33"/>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lastRenderedPageBreak/>
              <w:t>Digital Transformation of the Immigration and Asylum System including the digitalization of archives</w:t>
            </w:r>
          </w:p>
          <w:p w14:paraId="1D56DBFB" w14:textId="77777777" w:rsidR="00E4286E" w:rsidRPr="00E10A55" w:rsidRDefault="00E4286E" w:rsidP="00FF667E">
            <w:pPr>
              <w:spacing w:after="160" w:line="240" w:lineRule="exact"/>
              <w:ind w:left="360"/>
              <w:contextualSpacing/>
              <w:rPr>
                <w:rFonts w:eastAsia="Times New Roman" w:cstheme="minorHAnsi"/>
                <w:lang w:val="en-US" w:eastAsia="en-US"/>
              </w:rPr>
            </w:pPr>
          </w:p>
          <w:p w14:paraId="2841FA30" w14:textId="77777777" w:rsidR="00E4286E" w:rsidRPr="00E10A55" w:rsidRDefault="00E4286E" w:rsidP="00FF667E">
            <w:pPr>
              <w:spacing w:line="240" w:lineRule="exact"/>
              <w:rPr>
                <w:rFonts w:eastAsia="Times New Roman" w:cstheme="minorHAnsi"/>
                <w:i/>
                <w:iCs/>
                <w:color w:val="365F91"/>
                <w:lang w:val="en-US"/>
              </w:rPr>
            </w:pPr>
            <w:r w:rsidRPr="00E10A55">
              <w:rPr>
                <w:rFonts w:eastAsia="Times New Roman" w:cstheme="minorHAnsi"/>
                <w:i/>
                <w:iCs/>
                <w:color w:val="365F91"/>
                <w:lang w:val="en-US"/>
              </w:rPr>
              <w:t xml:space="preserve">Ministry of Maritime affairs and insular policy </w:t>
            </w:r>
          </w:p>
          <w:p w14:paraId="0627BA4A" w14:textId="77777777" w:rsidR="00E4286E" w:rsidRPr="00E10A55" w:rsidRDefault="00E4286E" w:rsidP="00E4286E">
            <w:pPr>
              <w:numPr>
                <w:ilvl w:val="0"/>
                <w:numId w:val="33"/>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Master plan for the renewal of the Greek passenger shipping fleet</w:t>
            </w:r>
          </w:p>
          <w:p w14:paraId="3D225ADC" w14:textId="77777777" w:rsidR="00E4286E" w:rsidRPr="00E10A55" w:rsidRDefault="00E4286E" w:rsidP="00E4286E">
            <w:pPr>
              <w:numPr>
                <w:ilvl w:val="0"/>
                <w:numId w:val="33"/>
              </w:numPr>
              <w:spacing w:after="160" w:line="240" w:lineRule="exact"/>
              <w:ind w:left="360"/>
              <w:contextualSpacing/>
              <w:rPr>
                <w:rFonts w:eastAsia="Times New Roman" w:cstheme="minorHAnsi"/>
                <w:lang w:val="en-US" w:eastAsia="en-US"/>
              </w:rPr>
            </w:pPr>
            <w:r w:rsidRPr="00E10A55">
              <w:rPr>
                <w:rFonts w:eastAsia="Calibri" w:cstheme="minorHAnsi"/>
              </w:rPr>
              <w:t>Upgrade Interventions for Regional Ports</w:t>
            </w:r>
          </w:p>
          <w:p w14:paraId="6A0489AE" w14:textId="77777777" w:rsidR="00E4286E" w:rsidRPr="00E10A55" w:rsidRDefault="00E4286E" w:rsidP="00E4286E">
            <w:pPr>
              <w:numPr>
                <w:ilvl w:val="0"/>
                <w:numId w:val="33"/>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Improvement of the accessibility of the islands by developing a coastal transport system</w:t>
            </w:r>
          </w:p>
          <w:p w14:paraId="4B22B74B" w14:textId="77777777" w:rsidR="00E4286E" w:rsidRPr="00E10A55" w:rsidRDefault="00E4286E" w:rsidP="00E4286E">
            <w:pPr>
              <w:numPr>
                <w:ilvl w:val="0"/>
                <w:numId w:val="33"/>
              </w:numPr>
              <w:spacing w:after="160" w:line="240" w:lineRule="exact"/>
              <w:ind w:left="360"/>
              <w:contextualSpacing/>
              <w:rPr>
                <w:rFonts w:eastAsia="Times New Roman" w:cstheme="minorHAnsi"/>
                <w:lang w:val="en-US" w:eastAsia="en-US"/>
              </w:rPr>
            </w:pPr>
            <w:r w:rsidRPr="00E10A55">
              <w:rPr>
                <w:rFonts w:eastAsia="Calibri" w:cstheme="minorHAnsi"/>
                <w:lang w:val="en-US"/>
              </w:rPr>
              <w:t>Upgrade of port infrastructures on islands</w:t>
            </w:r>
          </w:p>
          <w:p w14:paraId="0DDEA558" w14:textId="77777777" w:rsidR="00E4286E" w:rsidRPr="00E10A55" w:rsidRDefault="00E4286E" w:rsidP="00E4286E">
            <w:pPr>
              <w:numPr>
                <w:ilvl w:val="0"/>
                <w:numId w:val="33"/>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Digital tools for monitoring arrivals and departures of ships at ports and facilitating passengers and vehicles transportation</w:t>
            </w:r>
          </w:p>
          <w:p w14:paraId="3179E66E" w14:textId="77777777" w:rsidR="00E4286E" w:rsidRPr="00E10A55" w:rsidRDefault="00E4286E" w:rsidP="00FF667E">
            <w:pPr>
              <w:spacing w:after="160" w:line="240" w:lineRule="exact"/>
              <w:ind w:left="360"/>
              <w:contextualSpacing/>
              <w:rPr>
                <w:rFonts w:eastAsia="Times New Roman" w:cstheme="minorHAnsi"/>
                <w:lang w:val="en-US" w:eastAsia="en-US"/>
              </w:rPr>
            </w:pPr>
          </w:p>
          <w:p w14:paraId="2C89CC0D" w14:textId="77777777" w:rsidR="00E4286E" w:rsidRPr="00E10A55" w:rsidRDefault="00E4286E" w:rsidP="00FF667E">
            <w:pPr>
              <w:spacing w:line="240" w:lineRule="exact"/>
              <w:rPr>
                <w:rFonts w:eastAsia="Times New Roman" w:cstheme="minorHAnsi"/>
                <w:i/>
                <w:iCs/>
              </w:rPr>
            </w:pPr>
            <w:r w:rsidRPr="00E10A55">
              <w:rPr>
                <w:rFonts w:eastAsia="Times New Roman" w:cstheme="minorHAnsi"/>
                <w:i/>
                <w:iCs/>
                <w:color w:val="365F91"/>
              </w:rPr>
              <w:t xml:space="preserve">Ministry of Tourism </w:t>
            </w:r>
          </w:p>
          <w:p w14:paraId="3D65CA24" w14:textId="77777777" w:rsidR="00E4286E" w:rsidRPr="00E10A55" w:rsidRDefault="00E4286E" w:rsidP="00E4286E">
            <w:pPr>
              <w:numPr>
                <w:ilvl w:val="0"/>
                <w:numId w:val="36"/>
              </w:numPr>
              <w:spacing w:after="160" w:line="240" w:lineRule="exact"/>
              <w:ind w:left="360"/>
              <w:contextualSpacing/>
              <w:rPr>
                <w:rFonts w:eastAsia="Times New Roman" w:cstheme="minorHAnsi"/>
                <w:lang w:eastAsia="en-US"/>
              </w:rPr>
            </w:pPr>
            <w:r w:rsidRPr="00E10A55">
              <w:rPr>
                <w:rFonts w:eastAsia="Calibri" w:cstheme="minorHAnsi"/>
                <w:lang w:eastAsia="en-US"/>
              </w:rPr>
              <w:t>Tourism Registry e-MHTE</w:t>
            </w:r>
          </w:p>
          <w:p w14:paraId="0508A27F" w14:textId="77777777" w:rsidR="00E4286E" w:rsidRPr="00E10A55" w:rsidRDefault="00E4286E" w:rsidP="00E4286E">
            <w:pPr>
              <w:numPr>
                <w:ilvl w:val="0"/>
                <w:numId w:val="36"/>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Digital Transformation of the Greek National Tourism Organisation</w:t>
            </w:r>
          </w:p>
          <w:p w14:paraId="374E8654" w14:textId="77777777" w:rsidR="00E4286E" w:rsidRPr="00E10A55" w:rsidRDefault="00E4286E" w:rsidP="00FF667E">
            <w:pPr>
              <w:spacing w:after="160" w:line="240" w:lineRule="exact"/>
              <w:ind w:left="360"/>
              <w:contextualSpacing/>
              <w:rPr>
                <w:rFonts w:eastAsia="Times New Roman" w:cstheme="minorHAnsi"/>
                <w:lang w:val="en-US" w:eastAsia="en-US"/>
              </w:rPr>
            </w:pPr>
          </w:p>
          <w:p w14:paraId="5A841417" w14:textId="77777777" w:rsidR="00E4286E" w:rsidRPr="00E10A55" w:rsidRDefault="00E4286E" w:rsidP="00FF667E">
            <w:pPr>
              <w:spacing w:line="240" w:lineRule="exact"/>
              <w:rPr>
                <w:rFonts w:eastAsia="Times New Roman" w:cstheme="minorHAnsi"/>
                <w:i/>
                <w:iCs/>
                <w:color w:val="365F91"/>
                <w:lang w:val="en-US"/>
              </w:rPr>
            </w:pPr>
            <w:r w:rsidRPr="00E10A55">
              <w:rPr>
                <w:rFonts w:eastAsia="Times New Roman" w:cstheme="minorHAnsi"/>
                <w:i/>
                <w:iCs/>
                <w:color w:val="365F91"/>
              </w:rPr>
              <w:t xml:space="preserve">Ministry of Digital Governance </w:t>
            </w:r>
          </w:p>
          <w:p w14:paraId="18038C73"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Digital Transformation of SMEs</w:t>
            </w:r>
          </w:p>
          <w:p w14:paraId="5B2FE64D"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Smart Readiness / Gigabit Voucher</w:t>
            </w:r>
          </w:p>
          <w:p w14:paraId="57A2FF99"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Ultra-Fast Broadband</w:t>
            </w:r>
          </w:p>
          <w:p w14:paraId="23347271"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Microsatellites</w:t>
            </w:r>
          </w:p>
          <w:p w14:paraId="2E171512" w14:textId="77777777" w:rsidR="00E4286E" w:rsidRPr="00E10A55" w:rsidRDefault="00E4286E" w:rsidP="00E4286E">
            <w:pPr>
              <w:numPr>
                <w:ilvl w:val="0"/>
                <w:numId w:val="37"/>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Upgrade of cloud computing infrastructure and services for the National Infrastructures for Research and Technology (GRNET)</w:t>
            </w:r>
          </w:p>
          <w:p w14:paraId="469019F9"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Cloud Computing Infrastructure and Service</w:t>
            </w:r>
          </w:p>
          <w:p w14:paraId="21413568" w14:textId="77777777" w:rsidR="00E4286E" w:rsidRPr="00E10A55" w:rsidRDefault="00E4286E" w:rsidP="00E4286E">
            <w:pPr>
              <w:numPr>
                <w:ilvl w:val="0"/>
                <w:numId w:val="37"/>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National Public Sector Network (Syzefxis II)</w:t>
            </w:r>
          </w:p>
          <w:p w14:paraId="5DAAA95A"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highlight w:val="white"/>
                <w:lang w:eastAsia="en-US"/>
              </w:rPr>
              <w:t>Digitalisation of archives</w:t>
            </w:r>
          </w:p>
          <w:p w14:paraId="772FC1FA"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Vehicle Registry Clearance</w:t>
            </w:r>
          </w:p>
          <w:p w14:paraId="7E317D51" w14:textId="77777777" w:rsidR="00E4286E" w:rsidRPr="00E10A55" w:rsidRDefault="00E4286E" w:rsidP="00E4286E">
            <w:pPr>
              <w:numPr>
                <w:ilvl w:val="0"/>
                <w:numId w:val="37"/>
              </w:numPr>
              <w:spacing w:after="160" w:line="240" w:lineRule="exact"/>
              <w:ind w:left="360"/>
              <w:contextualSpacing/>
              <w:rPr>
                <w:rFonts w:eastAsia="Times New Roman" w:cstheme="minorHAnsi"/>
                <w:lang w:eastAsia="en-US"/>
              </w:rPr>
            </w:pPr>
            <w:r w:rsidRPr="00E10A55">
              <w:rPr>
                <w:rFonts w:eastAsia="Calibri" w:cstheme="minorHAnsi"/>
                <w:lang w:eastAsia="en-US"/>
              </w:rPr>
              <w:t>Digital certificates of traffic offenses</w:t>
            </w:r>
          </w:p>
          <w:p w14:paraId="4BA18309" w14:textId="77777777" w:rsidR="00E4286E" w:rsidRPr="00E10A55" w:rsidRDefault="00E4286E" w:rsidP="00FF667E">
            <w:pPr>
              <w:spacing w:after="160" w:line="240" w:lineRule="exact"/>
              <w:ind w:left="360"/>
              <w:contextualSpacing/>
              <w:rPr>
                <w:rFonts w:eastAsia="Times New Roman" w:cstheme="minorHAnsi"/>
                <w:lang w:eastAsia="en-US"/>
              </w:rPr>
            </w:pPr>
          </w:p>
          <w:p w14:paraId="0E2CDECB"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climate crisis and civil protection </w:t>
            </w:r>
          </w:p>
          <w:p w14:paraId="6A6BC226" w14:textId="77777777" w:rsidR="00E4286E" w:rsidRPr="00E10A55" w:rsidRDefault="00E4286E" w:rsidP="00E4286E">
            <w:pPr>
              <w:numPr>
                <w:ilvl w:val="0"/>
                <w:numId w:val="40"/>
              </w:numPr>
              <w:spacing w:after="160" w:line="240" w:lineRule="exact"/>
              <w:ind w:left="360"/>
              <w:contextualSpacing/>
              <w:rPr>
                <w:rFonts w:eastAsia="Calibri" w:cstheme="minorHAnsi"/>
                <w:lang w:val="en-US" w:eastAsia="en-US"/>
              </w:rPr>
            </w:pPr>
            <w:r w:rsidRPr="00E10A55">
              <w:rPr>
                <w:rFonts w:eastAsia="Calibri" w:cstheme="minorHAnsi"/>
                <w:lang w:val="en-US" w:eastAsia="en-US"/>
              </w:rPr>
              <w:t>Monitoring and Management System regarding (a) Upgrading and extending the country‘s Network of Meteorological Stations to provide early warning for natural disasters, (b) Fire detection and fire extinguishing systems, (c) Stations for emergency communications and provision of climate data</w:t>
            </w:r>
          </w:p>
          <w:p w14:paraId="430412AE" w14:textId="77777777" w:rsidR="00E4286E" w:rsidRPr="00E10A55" w:rsidRDefault="00E4286E" w:rsidP="00E4286E">
            <w:pPr>
              <w:numPr>
                <w:ilvl w:val="0"/>
                <w:numId w:val="39"/>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Installation of an Integrated Next Generation Emergency Call Management System (Next Generation 112)</w:t>
            </w:r>
          </w:p>
          <w:p w14:paraId="0E4D861D" w14:textId="77777777" w:rsidR="00E4286E" w:rsidRPr="00E10A55" w:rsidRDefault="00E4286E" w:rsidP="00E4286E">
            <w:pPr>
              <w:numPr>
                <w:ilvl w:val="0"/>
                <w:numId w:val="39"/>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Development of an Integrated Information System (IIS) for Risk Management and Natural Disaster Prevention, including the evolution of a National Database</w:t>
            </w:r>
          </w:p>
          <w:p w14:paraId="4F1EC566" w14:textId="77777777" w:rsidR="00E4286E" w:rsidRPr="00E10A55" w:rsidRDefault="00E4286E" w:rsidP="00E4286E">
            <w:pPr>
              <w:numPr>
                <w:ilvl w:val="0"/>
                <w:numId w:val="39"/>
              </w:numPr>
              <w:spacing w:after="160" w:line="240" w:lineRule="exact"/>
              <w:ind w:left="360"/>
              <w:contextualSpacing/>
              <w:rPr>
                <w:rFonts w:eastAsia="Times New Roman" w:cstheme="minorHAnsi"/>
                <w:lang w:val="en-US" w:eastAsia="en-US"/>
              </w:rPr>
            </w:pPr>
            <w:r w:rsidRPr="00E10A55">
              <w:rPr>
                <w:rFonts w:eastAsia="Calibri" w:cstheme="minorHAnsi"/>
                <w:lang w:val="en-US" w:eastAsia="en-US"/>
              </w:rPr>
              <w:t>Supply of prevention, response, management and early warning systems for natural and manmade hazards unmanned Unmanned Aerial Vehicles (Drones) for air surveillance</w:t>
            </w:r>
          </w:p>
          <w:p w14:paraId="6A87C31A" w14:textId="77777777" w:rsidR="00E4286E" w:rsidRPr="00E10A55" w:rsidRDefault="00E4286E" w:rsidP="00FF667E">
            <w:pPr>
              <w:spacing w:line="240" w:lineRule="exact"/>
              <w:rPr>
                <w:rFonts w:eastAsia="Times New Roman" w:cstheme="minorHAnsi"/>
                <w:lang w:val="en-US"/>
              </w:rPr>
            </w:pPr>
          </w:p>
        </w:tc>
      </w:tr>
      <w:tr w:rsidR="00E4286E" w:rsidRPr="00E10A55" w14:paraId="2C7C4195" w14:textId="77777777" w:rsidTr="000A3ED7">
        <w:trPr>
          <w:trHeight w:val="227"/>
          <w:jc w:val="center"/>
        </w:trPr>
        <w:tc>
          <w:tcPr>
            <w:tcW w:w="393" w:type="dxa"/>
            <w:tcBorders>
              <w:top w:val="single" w:sz="4" w:space="0" w:color="4F81BD" w:themeColor="accent1"/>
              <w:left w:val="nil"/>
              <w:bottom w:val="single" w:sz="4" w:space="0" w:color="4F81BD" w:themeColor="accent1"/>
              <w:right w:val="nil"/>
            </w:tcBorders>
            <w:shd w:val="clear" w:color="000000" w:fill="305496"/>
            <w:vAlign w:val="center"/>
            <w:hideMark/>
          </w:tcPr>
          <w:p w14:paraId="4CE1D47B" w14:textId="77777777" w:rsidR="00E4286E" w:rsidRPr="00E10A55" w:rsidRDefault="00E4286E" w:rsidP="00FF667E">
            <w:pPr>
              <w:spacing w:line="240" w:lineRule="exact"/>
              <w:jc w:val="center"/>
              <w:rPr>
                <w:rFonts w:eastAsia="Times New Roman" w:cstheme="minorHAnsi"/>
                <w:color w:val="FFFFFF"/>
                <w:lang w:val="en-US" w:eastAsia="en-US"/>
              </w:rPr>
            </w:pPr>
            <w:r w:rsidRPr="00E10A55">
              <w:rPr>
                <w:rFonts w:eastAsia="Times New Roman" w:cstheme="minorHAnsi"/>
                <w:color w:val="FFFFFF"/>
                <w:lang w:val="en-US" w:eastAsia="en-US"/>
              </w:rPr>
              <w:lastRenderedPageBreak/>
              <w:t>2</w:t>
            </w:r>
          </w:p>
        </w:tc>
        <w:tc>
          <w:tcPr>
            <w:tcW w:w="1734" w:type="dxa"/>
            <w:tcBorders>
              <w:top w:val="single" w:sz="4" w:space="0" w:color="4F81BD" w:themeColor="accent1"/>
              <w:left w:val="nil"/>
              <w:bottom w:val="single" w:sz="4" w:space="0" w:color="4F81BD" w:themeColor="accent1"/>
              <w:right w:val="nil"/>
            </w:tcBorders>
            <w:shd w:val="clear" w:color="000000" w:fill="D9E1F2"/>
            <w:vAlign w:val="center"/>
            <w:hideMark/>
          </w:tcPr>
          <w:p w14:paraId="0EA1403D" w14:textId="77777777" w:rsidR="00E4286E" w:rsidRPr="00E10A55" w:rsidRDefault="00E4286E" w:rsidP="00920844">
            <w:pPr>
              <w:spacing w:line="240" w:lineRule="exact"/>
              <w:jc w:val="left"/>
              <w:rPr>
                <w:rFonts w:eastAsia="Times New Roman" w:cstheme="minorHAnsi"/>
                <w:color w:val="000000"/>
                <w:lang w:val="en-US" w:eastAsia="en-US"/>
              </w:rPr>
            </w:pPr>
            <w:r w:rsidRPr="00E10A55">
              <w:rPr>
                <w:rFonts w:eastAsia="Times New Roman" w:cstheme="minorHAnsi"/>
                <w:color w:val="000000"/>
                <w:lang w:val="en-US" w:eastAsia="en-US"/>
              </w:rPr>
              <w:t xml:space="preserve">Social and economic resilience, including the European Pillar of Social Rights </w:t>
            </w:r>
          </w:p>
        </w:tc>
        <w:tc>
          <w:tcPr>
            <w:tcW w:w="6663" w:type="dxa"/>
            <w:tcBorders>
              <w:top w:val="single" w:sz="4" w:space="0" w:color="4F81BD" w:themeColor="accent1"/>
              <w:left w:val="nil"/>
              <w:bottom w:val="single" w:sz="4" w:space="0" w:color="4F81BD" w:themeColor="accent1"/>
              <w:right w:val="single" w:sz="4" w:space="0" w:color="auto"/>
            </w:tcBorders>
            <w:shd w:val="clear" w:color="000000" w:fill="FFFFFF"/>
            <w:vAlign w:val="center"/>
            <w:hideMark/>
          </w:tcPr>
          <w:p w14:paraId="5B2A178F" w14:textId="77777777" w:rsidR="00E4286E" w:rsidRPr="00E10A55" w:rsidRDefault="00E4286E" w:rsidP="00FF667E">
            <w:pPr>
              <w:spacing w:line="240" w:lineRule="exact"/>
              <w:rPr>
                <w:rFonts w:eastAsia="Times New Roman" w:cstheme="minorHAnsi"/>
                <w:b/>
                <w:color w:val="365F91"/>
                <w:lang w:val="en-US"/>
              </w:rPr>
            </w:pPr>
            <w:r w:rsidRPr="00E10A55">
              <w:rPr>
                <w:rFonts w:eastAsia="Times New Roman" w:cstheme="minorHAnsi"/>
                <w:b/>
                <w:color w:val="365F91"/>
                <w:lang w:val="en-US"/>
              </w:rPr>
              <w:t xml:space="preserve">Investment needs based on PIB: </w:t>
            </w:r>
          </w:p>
          <w:p w14:paraId="78D6BA03" w14:textId="77777777" w:rsidR="00E4286E" w:rsidRPr="00E10A55" w:rsidRDefault="00E4286E" w:rsidP="00FF667E">
            <w:pPr>
              <w:spacing w:line="240" w:lineRule="exact"/>
              <w:rPr>
                <w:rFonts w:eastAsia="Times New Roman" w:cstheme="minorHAnsi"/>
                <w:b/>
                <w:lang w:val="en-US"/>
              </w:rPr>
            </w:pPr>
            <w:r w:rsidRPr="00E10A55">
              <w:rPr>
                <w:rFonts w:eastAsia="Times New Roman" w:cstheme="minorHAnsi"/>
                <w:b/>
                <w:lang w:val="en-US"/>
              </w:rPr>
              <w:t>MFF – Partnership Agreement 2021-2027</w:t>
            </w:r>
          </w:p>
          <w:p w14:paraId="0D8BE375" w14:textId="77777777" w:rsidR="00DC7487" w:rsidRPr="00E10A55" w:rsidRDefault="00E4286E" w:rsidP="00DC7487">
            <w:pPr>
              <w:spacing w:line="240" w:lineRule="exact"/>
              <w:rPr>
                <w:rFonts w:eastAsia="Times New Roman" w:cstheme="minorHAnsi"/>
                <w:lang w:val="en-US"/>
              </w:rPr>
            </w:pPr>
            <w:r w:rsidRPr="00E10A55">
              <w:rPr>
                <w:rFonts w:eastAsia="Times New Roman" w:cstheme="minorHAnsi"/>
                <w:lang w:val="en-US"/>
              </w:rPr>
              <w:t>Significant proportion of ESF+ funds as well as resources of</w:t>
            </w:r>
            <w:r w:rsidRPr="00E10A55">
              <w:rPr>
                <w:rFonts w:cstheme="minorHAnsi"/>
                <w:lang w:val="en-US"/>
              </w:rPr>
              <w:t xml:space="preserve"> </w:t>
            </w:r>
            <w:r w:rsidRPr="00E10A55">
              <w:rPr>
                <w:rFonts w:eastAsia="Times New Roman" w:cstheme="minorHAnsi"/>
                <w:lang w:val="en-US"/>
              </w:rPr>
              <w:t xml:space="preserve">European Regional Development Fund and Cohesion Fund are addressing the common priorities on social and economic resilience, including the European Pillar of Social Rights. Analytical description of the related investments is provided per Ministry above.  Implementation of the Active Labor Market Policies and modernization of institutions to stimulate the labor market with the active participation and </w:t>
            </w:r>
            <w:r w:rsidRPr="00E10A55">
              <w:rPr>
                <w:rFonts w:eastAsia="Times New Roman" w:cstheme="minorHAnsi"/>
                <w:lang w:val="en-US"/>
              </w:rPr>
              <w:lastRenderedPageBreak/>
              <w:t>empowerment of social partners and civil society is one of the main priorities.</w:t>
            </w:r>
          </w:p>
          <w:p w14:paraId="60AB08F6" w14:textId="4AA1A4E5" w:rsidR="00E4286E" w:rsidRPr="00E10A55" w:rsidRDefault="00E4286E">
            <w:pPr>
              <w:spacing w:line="240" w:lineRule="exact"/>
              <w:rPr>
                <w:rFonts w:eastAsia="Times New Roman" w:cstheme="minorHAnsi"/>
                <w:lang w:val="en-US"/>
              </w:rPr>
            </w:pPr>
          </w:p>
          <w:p w14:paraId="241C413F" w14:textId="77777777" w:rsidR="00DC7487" w:rsidRPr="00E10A55" w:rsidRDefault="00E4286E" w:rsidP="00DC7487">
            <w:pPr>
              <w:spacing w:line="240" w:lineRule="exact"/>
              <w:jc w:val="left"/>
              <w:rPr>
                <w:rFonts w:eastAsia="Times New Roman" w:cstheme="minorHAnsi"/>
                <w:b/>
                <w:lang w:val="en-US"/>
              </w:rPr>
            </w:pPr>
            <w:r w:rsidRPr="00E10A55">
              <w:rPr>
                <w:rFonts w:eastAsia="Times New Roman" w:cstheme="minorHAnsi"/>
                <w:b/>
                <w:lang w:val="en-US"/>
              </w:rPr>
              <w:t>Nationally funded Programmes (NDP)</w:t>
            </w:r>
          </w:p>
          <w:p w14:paraId="1C83B995" w14:textId="6AFFD90A" w:rsidR="00E4286E" w:rsidRPr="00E10A55" w:rsidRDefault="00E4286E">
            <w:pPr>
              <w:spacing w:line="240" w:lineRule="exact"/>
              <w:rPr>
                <w:rFonts w:eastAsia="Times New Roman" w:cstheme="minorHAnsi"/>
                <w:lang w:val="en-US"/>
              </w:rPr>
            </w:pPr>
            <w:r w:rsidRPr="00E10A55">
              <w:rPr>
                <w:rFonts w:eastAsia="Times New Roman" w:cstheme="minorHAnsi"/>
                <w:lang w:val="en-US"/>
              </w:rPr>
              <w:t xml:space="preserve">The social and economic resilience is supported under NDP 2021-2025 through the specific sub-objectives of Social Development Objective (DO 3) (Employment, Education, Social cohesion) and Smart Growth objective (DO 1) (e-health). </w:t>
            </w:r>
          </w:p>
          <w:p w14:paraId="04735868" w14:textId="77777777" w:rsidR="00E4286E" w:rsidRPr="00E10A55" w:rsidRDefault="00E4286E" w:rsidP="00FF667E">
            <w:pPr>
              <w:spacing w:line="240" w:lineRule="exact"/>
              <w:rPr>
                <w:rFonts w:eastAsia="Times New Roman" w:cstheme="minorHAnsi"/>
                <w:b/>
                <w:lang w:val="en-US"/>
              </w:rPr>
            </w:pPr>
            <w:r w:rsidRPr="00E10A55">
              <w:rPr>
                <w:rFonts w:eastAsia="Times New Roman" w:cstheme="minorHAnsi"/>
                <w:b/>
                <w:lang w:val="en-US"/>
              </w:rPr>
              <w:br/>
              <w:t>Other nationally funded projects</w:t>
            </w:r>
          </w:p>
          <w:p w14:paraId="76BE0702" w14:textId="05C51FD5" w:rsidR="00E4286E" w:rsidRPr="007F6458" w:rsidRDefault="00E4286E" w:rsidP="00FF667E">
            <w:pPr>
              <w:spacing w:line="240" w:lineRule="exact"/>
              <w:rPr>
                <w:rFonts w:eastAsia="Times New Roman" w:cstheme="minorHAnsi"/>
                <w:lang w:val="en-US"/>
              </w:rPr>
            </w:pPr>
            <w:r w:rsidRPr="00E10A55">
              <w:rPr>
                <w:rFonts w:eastAsia="Times New Roman" w:cstheme="minorHAnsi"/>
                <w:lang w:val="en-US"/>
              </w:rPr>
              <w:t>Strengthening education quality, enhancing competitiveness, fostering business growth and economic openness, advancing research, development, and innovation, and implementing a just transition plan for lignite regions.</w:t>
            </w:r>
          </w:p>
          <w:p w14:paraId="731FBDDA" w14:textId="77777777" w:rsidR="00E4286E" w:rsidRPr="00E10A55" w:rsidRDefault="00E4286E" w:rsidP="00FF667E">
            <w:pPr>
              <w:spacing w:line="240" w:lineRule="exact"/>
              <w:rPr>
                <w:rFonts w:eastAsia="Calibri" w:cstheme="minorHAnsi"/>
                <w:b/>
                <w:bCs/>
                <w:color w:val="365F91"/>
                <w:lang w:val="en-US"/>
              </w:rPr>
            </w:pPr>
            <w:r w:rsidRPr="00E10A55">
              <w:rPr>
                <w:rFonts w:eastAsia="Calibri" w:cstheme="minorHAnsi"/>
                <w:b/>
                <w:bCs/>
                <w:color w:val="365F91"/>
                <w:lang w:val="en-US"/>
              </w:rPr>
              <w:t xml:space="preserve">Investment needs by Ministry </w:t>
            </w:r>
          </w:p>
          <w:p w14:paraId="23C34437" w14:textId="77777777" w:rsidR="00E4286E" w:rsidRPr="00E10A55" w:rsidRDefault="00E4286E" w:rsidP="00FF667E">
            <w:pPr>
              <w:spacing w:line="240" w:lineRule="exact"/>
              <w:rPr>
                <w:rFonts w:eastAsia="Times New Roman" w:cstheme="minorHAnsi"/>
                <w:i/>
                <w:iCs/>
                <w:color w:val="365F91"/>
                <w:lang w:val="en-US" w:eastAsia="en-US"/>
              </w:rPr>
            </w:pPr>
            <w:r w:rsidRPr="00E10A55">
              <w:rPr>
                <w:rFonts w:eastAsia="Times New Roman" w:cstheme="minorHAnsi"/>
                <w:i/>
                <w:iCs/>
                <w:color w:val="365F91"/>
                <w:lang w:val="en-US" w:eastAsia="en-US"/>
              </w:rPr>
              <w:t xml:space="preserve">Ministry of National Economy and Finance </w:t>
            </w:r>
          </w:p>
          <w:p w14:paraId="151CBABD"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 xml:space="preserve">Transformation of Fiscal Management and Supervision in Governance &amp; Electronic Invoicing (govERP) </w:t>
            </w:r>
          </w:p>
          <w:p w14:paraId="0A34A673"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 xml:space="preserve">Digital transformation of tax audits </w:t>
            </w:r>
          </w:p>
          <w:p w14:paraId="20E24FB0"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 xml:space="preserve">RRP Loan Facility </w:t>
            </w:r>
          </w:p>
          <w:p w14:paraId="2517D879"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 xml:space="preserve">Revitalization actions of the most affected territories (Just transition territories) &amp; Just Transition Programme </w:t>
            </w:r>
          </w:p>
          <w:p w14:paraId="1ED86304"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 xml:space="preserve">Implementation of the Partnership Agreement 2021-2027 - efficient management of ESPA funds </w:t>
            </w:r>
          </w:p>
          <w:p w14:paraId="6E5B47BF"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eastAsia="en-US"/>
              </w:rPr>
            </w:pPr>
            <w:r w:rsidRPr="00E10A55">
              <w:rPr>
                <w:rFonts w:eastAsia="Calibri" w:cstheme="minorHAnsi"/>
                <w:lang w:eastAsia="en-US"/>
              </w:rPr>
              <w:t xml:space="preserve">National Investment Fund under HCAP </w:t>
            </w:r>
          </w:p>
          <w:p w14:paraId="3EDC6C8A" w14:textId="77777777" w:rsidR="00E4286E" w:rsidRPr="00E10A55" w:rsidRDefault="00E4286E" w:rsidP="00E4286E">
            <w:pPr>
              <w:numPr>
                <w:ilvl w:val="0"/>
                <w:numId w:val="17"/>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 xml:space="preserve">Promotion of privatizations (by HRADF) and public property utilization (by HCAP) </w:t>
            </w:r>
          </w:p>
          <w:p w14:paraId="293CB13E" w14:textId="77777777" w:rsidR="00E4286E" w:rsidRPr="00E10A55" w:rsidRDefault="00E4286E" w:rsidP="00FF667E">
            <w:pPr>
              <w:spacing w:line="240" w:lineRule="exact"/>
              <w:rPr>
                <w:rFonts w:eastAsia="Calibri" w:cstheme="minorHAnsi"/>
                <w:i/>
                <w:iCs/>
                <w:color w:val="365F91"/>
                <w:lang w:val="en-US"/>
              </w:rPr>
            </w:pPr>
          </w:p>
          <w:p w14:paraId="18685977"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Ministry of Interior</w:t>
            </w:r>
          </w:p>
          <w:p w14:paraId="763CD7B5" w14:textId="77777777" w:rsidR="00E4286E" w:rsidRPr="00E10A55" w:rsidRDefault="00E4286E" w:rsidP="00E4286E">
            <w:pPr>
              <w:numPr>
                <w:ilvl w:val="0"/>
                <w:numId w:val="19"/>
              </w:numPr>
              <w:spacing w:after="160" w:line="240" w:lineRule="exact"/>
              <w:ind w:left="360"/>
              <w:contextualSpacing/>
              <w:rPr>
                <w:rFonts w:eastAsia="Calibri" w:cstheme="minorHAnsi"/>
                <w:lang w:eastAsia="en-US"/>
              </w:rPr>
            </w:pPr>
            <w:r w:rsidRPr="00E10A55">
              <w:rPr>
                <w:rFonts w:eastAsia="Calibri" w:cstheme="minorHAnsi"/>
                <w:lang w:eastAsia="en-US"/>
              </w:rPr>
              <w:t>Local Government Data Management Hubs</w:t>
            </w:r>
          </w:p>
          <w:p w14:paraId="172C44C6" w14:textId="77777777" w:rsidR="00E4286E" w:rsidRPr="00E10A55" w:rsidRDefault="00E4286E" w:rsidP="00E4286E">
            <w:pPr>
              <w:numPr>
                <w:ilvl w:val="0"/>
                <w:numId w:val="19"/>
              </w:numPr>
              <w:spacing w:after="160" w:line="240" w:lineRule="exact"/>
              <w:ind w:left="360"/>
              <w:contextualSpacing/>
              <w:rPr>
                <w:rFonts w:eastAsia="Calibri" w:cstheme="minorHAnsi"/>
                <w:lang w:val="en-US" w:eastAsia="en-US"/>
              </w:rPr>
            </w:pPr>
            <w:r w:rsidRPr="00E10A55">
              <w:rPr>
                <w:rFonts w:eastAsia="Calibri" w:cstheme="minorHAnsi"/>
                <w:lang w:val="en-US" w:eastAsia="en-US"/>
              </w:rPr>
              <w:t>Road Safety Projects in Local Authorities (Municipalities)</w:t>
            </w:r>
          </w:p>
          <w:p w14:paraId="185729E3" w14:textId="77777777" w:rsidR="00E4286E" w:rsidRPr="00E10A55" w:rsidRDefault="00E4286E" w:rsidP="00FF667E">
            <w:pPr>
              <w:spacing w:line="240" w:lineRule="exact"/>
              <w:rPr>
                <w:rFonts w:eastAsia="Calibri" w:cstheme="minorHAnsi"/>
                <w:i/>
                <w:iCs/>
                <w:color w:val="365F91"/>
                <w:lang w:val="en-US"/>
              </w:rPr>
            </w:pPr>
          </w:p>
          <w:p w14:paraId="62EEA7A7"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education, religious affairs and sports </w:t>
            </w:r>
          </w:p>
          <w:p w14:paraId="78A2A8BA" w14:textId="77777777" w:rsidR="00E4286E" w:rsidRPr="00E10A55" w:rsidRDefault="00E4286E" w:rsidP="00E4286E">
            <w:pPr>
              <w:numPr>
                <w:ilvl w:val="0"/>
                <w:numId w:val="20"/>
              </w:numPr>
              <w:spacing w:after="160" w:line="240" w:lineRule="exact"/>
              <w:ind w:left="360"/>
              <w:contextualSpacing/>
              <w:rPr>
                <w:rFonts w:eastAsia="Calibri" w:cstheme="minorHAnsi"/>
                <w:lang w:val="en-US" w:eastAsia="en-US"/>
              </w:rPr>
            </w:pPr>
            <w:r w:rsidRPr="00E10A55">
              <w:rPr>
                <w:rFonts w:eastAsia="Calibri" w:cstheme="minorHAnsi"/>
                <w:lang w:val="en-US" w:eastAsia="en-US"/>
              </w:rPr>
              <w:t>Upgrading Vocational Education and Training (VET): Supply of laboratory equipment for Laboratory Centers for SAEK, EPAL, Post-Secondary Year-Apprenticeship Class and Vocational Training Schools</w:t>
            </w:r>
          </w:p>
          <w:p w14:paraId="132FD977" w14:textId="77777777" w:rsidR="00E4286E" w:rsidRPr="00E10A55" w:rsidRDefault="00E4286E" w:rsidP="00E4286E">
            <w:pPr>
              <w:numPr>
                <w:ilvl w:val="0"/>
                <w:numId w:val="20"/>
              </w:numPr>
              <w:spacing w:after="160" w:line="240" w:lineRule="exact"/>
              <w:ind w:left="360"/>
              <w:contextualSpacing/>
              <w:rPr>
                <w:rFonts w:eastAsia="Calibri" w:cstheme="minorHAnsi"/>
                <w:lang w:val="en-US" w:eastAsia="en-US"/>
              </w:rPr>
            </w:pPr>
            <w:r w:rsidRPr="00E10A55">
              <w:rPr>
                <w:rFonts w:eastAsia="Calibri" w:cstheme="minorHAnsi"/>
                <w:lang w:val="en-US"/>
              </w:rPr>
              <w:t>“Marietta Giannakou” programme for the upgrading of school infrastructure</w:t>
            </w:r>
          </w:p>
          <w:p w14:paraId="2DB6614E" w14:textId="77777777" w:rsidR="00E4286E" w:rsidRPr="00E10A55" w:rsidRDefault="00E4286E" w:rsidP="00E4286E">
            <w:pPr>
              <w:numPr>
                <w:ilvl w:val="0"/>
                <w:numId w:val="20"/>
              </w:numPr>
              <w:spacing w:after="160" w:line="240" w:lineRule="exact"/>
              <w:ind w:left="360"/>
              <w:contextualSpacing/>
              <w:rPr>
                <w:rFonts w:eastAsia="Calibri" w:cstheme="minorHAnsi"/>
                <w:lang w:eastAsia="en-US"/>
              </w:rPr>
            </w:pPr>
            <w:r w:rsidRPr="00E10A55">
              <w:rPr>
                <w:rFonts w:eastAsia="Calibri" w:cstheme="minorHAnsi"/>
                <w:lang w:eastAsia="en-US"/>
              </w:rPr>
              <w:t>Student residence development projects</w:t>
            </w:r>
          </w:p>
          <w:p w14:paraId="48BFB438" w14:textId="77777777" w:rsidR="00E4286E" w:rsidRPr="00E10A55" w:rsidRDefault="00E4286E" w:rsidP="00FF667E">
            <w:pPr>
              <w:spacing w:line="240" w:lineRule="exact"/>
              <w:rPr>
                <w:rFonts w:eastAsia="Calibri" w:cstheme="minorHAnsi"/>
                <w:i/>
                <w:iCs/>
                <w:color w:val="365F91"/>
                <w:lang w:val="en-US"/>
              </w:rPr>
            </w:pPr>
          </w:p>
          <w:p w14:paraId="7D719BBC"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 xml:space="preserve">Ministry of Health </w:t>
            </w:r>
          </w:p>
          <w:p w14:paraId="0A7081DF" w14:textId="77777777" w:rsidR="00E4286E" w:rsidRPr="00E10A55" w:rsidRDefault="00E4286E" w:rsidP="00E4286E">
            <w:pPr>
              <w:numPr>
                <w:ilvl w:val="0"/>
                <w:numId w:val="21"/>
              </w:numPr>
              <w:spacing w:after="160" w:line="240" w:lineRule="exact"/>
              <w:ind w:left="360"/>
              <w:contextualSpacing/>
              <w:rPr>
                <w:rFonts w:eastAsia="Calibri" w:cstheme="minorHAnsi"/>
                <w:lang w:val="en-US" w:eastAsia="en-US"/>
              </w:rPr>
            </w:pPr>
            <w:r w:rsidRPr="00E10A55">
              <w:rPr>
                <w:rFonts w:eastAsia="Calibri" w:cstheme="minorHAnsi"/>
                <w:lang w:val="en-US" w:eastAsia="en-US"/>
              </w:rPr>
              <w:t>Operation of new local health units (TOMYs) and mobile health units (KOMYs)</w:t>
            </w:r>
          </w:p>
          <w:p w14:paraId="1933042F" w14:textId="77777777" w:rsidR="00E4286E" w:rsidRPr="00E10A55" w:rsidRDefault="00E4286E" w:rsidP="00E4286E">
            <w:pPr>
              <w:numPr>
                <w:ilvl w:val="0"/>
                <w:numId w:val="21"/>
              </w:numPr>
              <w:spacing w:after="160" w:line="240" w:lineRule="exact"/>
              <w:ind w:left="360"/>
              <w:contextualSpacing/>
              <w:rPr>
                <w:rFonts w:eastAsia="Calibri" w:cstheme="minorHAnsi"/>
                <w:lang w:eastAsia="en-US"/>
              </w:rPr>
            </w:pPr>
            <w:r w:rsidRPr="00E10A55">
              <w:rPr>
                <w:rFonts w:eastAsia="Calibri" w:cstheme="minorHAnsi"/>
                <w:lang w:eastAsia="en-US"/>
              </w:rPr>
              <w:t>Health Infrastructure</w:t>
            </w:r>
          </w:p>
          <w:p w14:paraId="55342D14" w14:textId="77777777" w:rsidR="00E4286E" w:rsidRPr="00E10A55" w:rsidRDefault="00E4286E" w:rsidP="00E4286E">
            <w:pPr>
              <w:numPr>
                <w:ilvl w:val="0"/>
                <w:numId w:val="21"/>
              </w:numPr>
              <w:spacing w:after="160" w:line="240" w:lineRule="exact"/>
              <w:ind w:left="360"/>
              <w:contextualSpacing/>
              <w:rPr>
                <w:rFonts w:eastAsia="Calibri" w:cstheme="minorHAnsi"/>
                <w:lang w:val="en-US" w:eastAsia="en-US"/>
              </w:rPr>
            </w:pPr>
            <w:r w:rsidRPr="00E10A55">
              <w:rPr>
                <w:rFonts w:eastAsia="Calibri" w:cstheme="minorHAnsi"/>
                <w:lang w:val="en-US" w:eastAsia="en-US"/>
              </w:rPr>
              <w:t>Establishment of a Radiotherapy Center at the “Sotiria” Thoracic Diseases Hospital of Athens</w:t>
            </w:r>
          </w:p>
          <w:p w14:paraId="4DB24656" w14:textId="77777777" w:rsidR="00E4286E" w:rsidRPr="00E10A55" w:rsidRDefault="00E4286E" w:rsidP="00E4286E">
            <w:pPr>
              <w:numPr>
                <w:ilvl w:val="0"/>
                <w:numId w:val="21"/>
              </w:numPr>
              <w:spacing w:after="160" w:line="240" w:lineRule="exact"/>
              <w:ind w:left="360"/>
              <w:contextualSpacing/>
              <w:rPr>
                <w:rFonts w:eastAsia="Calibri" w:cstheme="minorHAnsi"/>
                <w:lang w:val="en-US" w:eastAsia="en-US"/>
              </w:rPr>
            </w:pPr>
            <w:r w:rsidRPr="00E10A55">
              <w:rPr>
                <w:rFonts w:eastAsia="Calibri" w:cstheme="minorHAnsi"/>
                <w:lang w:val="en-US" w:eastAsia="en-US"/>
              </w:rPr>
              <w:lastRenderedPageBreak/>
              <w:t>Construction of a building dedicated to Cellular &amp; Gene Therapies and Hematology Clinic Laboratories within the General Hospital of Thessaloniki “Papanikolaou”</w:t>
            </w:r>
          </w:p>
          <w:p w14:paraId="4B412490" w14:textId="77777777" w:rsidR="00E4286E" w:rsidRPr="00E10A55" w:rsidRDefault="00E4286E" w:rsidP="00E4286E">
            <w:pPr>
              <w:numPr>
                <w:ilvl w:val="0"/>
                <w:numId w:val="21"/>
              </w:numPr>
              <w:spacing w:after="160" w:line="240" w:lineRule="exact"/>
              <w:ind w:left="360"/>
              <w:contextualSpacing/>
              <w:rPr>
                <w:rFonts w:eastAsia="Calibri" w:cstheme="minorHAnsi"/>
                <w:lang w:val="en-US" w:eastAsia="en-US"/>
              </w:rPr>
            </w:pPr>
            <w:r w:rsidRPr="00E10A55">
              <w:rPr>
                <w:rFonts w:eastAsia="Calibri" w:cstheme="minorHAnsi"/>
                <w:lang w:val="en-US" w:eastAsia="en-US"/>
              </w:rPr>
              <w:t>Construction of a new oncology hospital in Thessaloniki</w:t>
            </w:r>
          </w:p>
          <w:p w14:paraId="1D24818E" w14:textId="77777777" w:rsidR="00E4286E" w:rsidRPr="00E10A55" w:rsidRDefault="00E4286E" w:rsidP="00E4286E">
            <w:pPr>
              <w:numPr>
                <w:ilvl w:val="0"/>
                <w:numId w:val="21"/>
              </w:numPr>
              <w:spacing w:after="160" w:line="240" w:lineRule="exact"/>
              <w:ind w:left="360"/>
              <w:contextualSpacing/>
              <w:rPr>
                <w:rFonts w:eastAsia="Calibri" w:cstheme="minorHAnsi"/>
                <w:i/>
                <w:iCs/>
                <w:color w:val="365F91"/>
                <w:lang w:val="en-US" w:eastAsia="en-US"/>
              </w:rPr>
            </w:pPr>
            <w:r w:rsidRPr="00E10A55">
              <w:rPr>
                <w:rFonts w:eastAsia="Calibri" w:cstheme="minorHAnsi"/>
                <w:lang w:val="en-US" w:eastAsia="en-US"/>
              </w:rPr>
              <w:t xml:space="preserve">Establishment of Home Health Care &amp; Hospital at home systems </w:t>
            </w:r>
          </w:p>
          <w:p w14:paraId="1C8AE4E0" w14:textId="77777777" w:rsidR="00E4286E" w:rsidRPr="00E10A55" w:rsidRDefault="00E4286E" w:rsidP="00FF667E">
            <w:pPr>
              <w:spacing w:line="240" w:lineRule="exact"/>
              <w:rPr>
                <w:rFonts w:eastAsia="Calibri" w:cstheme="minorHAnsi"/>
                <w:i/>
                <w:iCs/>
                <w:color w:val="365F91"/>
                <w:lang w:val="en-US"/>
              </w:rPr>
            </w:pPr>
          </w:p>
          <w:p w14:paraId="177B395F"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 xml:space="preserve">Ministry of Development </w:t>
            </w:r>
          </w:p>
          <w:p w14:paraId="6D54BCBD" w14:textId="77777777" w:rsidR="00E4286E" w:rsidRPr="00E10A55" w:rsidRDefault="00E4286E" w:rsidP="00E4286E">
            <w:pPr>
              <w:numPr>
                <w:ilvl w:val="0"/>
                <w:numId w:val="24"/>
              </w:numPr>
              <w:spacing w:after="160" w:line="240" w:lineRule="exact"/>
              <w:ind w:left="360"/>
              <w:contextualSpacing/>
              <w:rPr>
                <w:rFonts w:eastAsia="Calibri" w:cstheme="minorHAnsi"/>
                <w:lang w:eastAsia="en-US"/>
              </w:rPr>
            </w:pPr>
            <w:r w:rsidRPr="00E10A55">
              <w:rPr>
                <w:rFonts w:eastAsia="Calibri" w:cstheme="minorHAnsi"/>
                <w:lang w:eastAsia="en-US"/>
              </w:rPr>
              <w:t>Basic &amp; Applied Research</w:t>
            </w:r>
          </w:p>
          <w:p w14:paraId="66D98695" w14:textId="77777777" w:rsidR="00E4286E" w:rsidRPr="00E10A55" w:rsidRDefault="00E4286E" w:rsidP="00E4286E">
            <w:pPr>
              <w:numPr>
                <w:ilvl w:val="0"/>
                <w:numId w:val="24"/>
              </w:numPr>
              <w:spacing w:after="160" w:line="240" w:lineRule="exact"/>
              <w:ind w:left="360"/>
              <w:contextualSpacing/>
              <w:rPr>
                <w:rFonts w:eastAsia="Calibri" w:cstheme="minorHAnsi"/>
                <w:lang w:val="en-US" w:eastAsia="en-US"/>
              </w:rPr>
            </w:pPr>
            <w:r w:rsidRPr="00E10A55">
              <w:rPr>
                <w:rFonts w:eastAsia="Calibri" w:cstheme="minorHAnsi"/>
                <w:lang w:val="en-US" w:eastAsia="en-US"/>
              </w:rPr>
              <w:t>Creation - Expansion – Upgrade of Infrastructures of Research Centers supervised by the General Secretariat for Research and Innovation (GSRI)</w:t>
            </w:r>
          </w:p>
          <w:p w14:paraId="420CFFEF" w14:textId="77777777" w:rsidR="00E4286E" w:rsidRPr="00E10A55" w:rsidRDefault="00E4286E" w:rsidP="00E4286E">
            <w:pPr>
              <w:numPr>
                <w:ilvl w:val="0"/>
                <w:numId w:val="24"/>
              </w:numPr>
              <w:spacing w:after="160" w:line="240" w:lineRule="exact"/>
              <w:ind w:left="360"/>
              <w:contextualSpacing/>
              <w:rPr>
                <w:rFonts w:eastAsia="Calibri" w:cstheme="minorHAnsi"/>
                <w:lang w:val="en-US" w:eastAsia="en-US"/>
              </w:rPr>
            </w:pPr>
            <w:r w:rsidRPr="00E10A55">
              <w:rPr>
                <w:rFonts w:eastAsia="Calibri" w:cstheme="minorHAnsi"/>
                <w:lang w:val="en-US" w:eastAsia="en-US"/>
              </w:rPr>
              <w:t>TH 2 ORAX: Trellis Holistic &amp; Hybrid Operational Ruggedized Autonomous eXemplary system</w:t>
            </w:r>
          </w:p>
          <w:p w14:paraId="07C34CB1" w14:textId="77777777" w:rsidR="00E4286E" w:rsidRPr="00E10A55" w:rsidRDefault="00E4286E" w:rsidP="00E4286E">
            <w:pPr>
              <w:numPr>
                <w:ilvl w:val="0"/>
                <w:numId w:val="24"/>
              </w:numPr>
              <w:spacing w:after="160" w:line="240" w:lineRule="exact"/>
              <w:ind w:left="360"/>
              <w:contextualSpacing/>
              <w:rPr>
                <w:rFonts w:eastAsia="Calibri" w:cstheme="minorHAnsi"/>
                <w:lang w:eastAsia="en-US"/>
              </w:rPr>
            </w:pPr>
            <w:r w:rsidRPr="00E10A55">
              <w:rPr>
                <w:rFonts w:eastAsia="Calibri" w:cstheme="minorHAnsi"/>
                <w:lang w:eastAsia="en-US"/>
              </w:rPr>
              <w:t>Research –</w:t>
            </w:r>
            <w:r w:rsidRPr="00E10A55">
              <w:rPr>
                <w:rFonts w:eastAsia="Calibri" w:cstheme="minorHAnsi"/>
                <w:lang w:val="en-US" w:eastAsia="en-US"/>
              </w:rPr>
              <w:t xml:space="preserve"> </w:t>
            </w:r>
            <w:r w:rsidRPr="00E10A55">
              <w:rPr>
                <w:rFonts w:eastAsia="Calibri" w:cstheme="minorHAnsi"/>
                <w:lang w:eastAsia="en-US"/>
              </w:rPr>
              <w:t>Create – Innovate</w:t>
            </w:r>
          </w:p>
          <w:p w14:paraId="6A61E61C" w14:textId="77777777" w:rsidR="00E4286E" w:rsidRPr="00E10A55" w:rsidRDefault="00E4286E" w:rsidP="00E4286E">
            <w:pPr>
              <w:numPr>
                <w:ilvl w:val="0"/>
                <w:numId w:val="24"/>
              </w:numPr>
              <w:spacing w:after="160" w:line="240" w:lineRule="exact"/>
              <w:ind w:left="360"/>
              <w:contextualSpacing/>
              <w:rPr>
                <w:rFonts w:eastAsia="Calibri" w:cstheme="minorHAnsi"/>
                <w:lang w:val="en-US" w:eastAsia="en-US"/>
              </w:rPr>
            </w:pPr>
            <w:r w:rsidRPr="00E10A55">
              <w:rPr>
                <w:rFonts w:eastAsia="Calibri" w:cstheme="minorHAnsi"/>
                <w:lang w:val="en-US" w:eastAsia="en-US"/>
              </w:rPr>
              <w:t>HORIZON 2020 “Seal of Excellence”: financing top innovative companies</w:t>
            </w:r>
          </w:p>
          <w:p w14:paraId="48C5A8C6" w14:textId="77777777" w:rsidR="00E4286E" w:rsidRPr="00E10A55" w:rsidRDefault="00E4286E" w:rsidP="00E4286E">
            <w:pPr>
              <w:numPr>
                <w:ilvl w:val="0"/>
                <w:numId w:val="24"/>
              </w:numPr>
              <w:spacing w:after="160" w:line="240" w:lineRule="exact"/>
              <w:ind w:left="360"/>
              <w:contextualSpacing/>
              <w:rPr>
                <w:rFonts w:eastAsia="Calibri" w:cstheme="minorHAnsi"/>
                <w:lang w:eastAsia="en-US"/>
              </w:rPr>
            </w:pPr>
            <w:r w:rsidRPr="00E10A55">
              <w:rPr>
                <w:rFonts w:eastAsia="Calibri" w:cstheme="minorHAnsi"/>
                <w:lang w:eastAsia="en-US"/>
              </w:rPr>
              <w:t>Research – Innovate</w:t>
            </w:r>
          </w:p>
          <w:p w14:paraId="61E87D48" w14:textId="77777777" w:rsidR="00E4286E" w:rsidRPr="00E10A55" w:rsidRDefault="00E4286E" w:rsidP="00E4286E">
            <w:pPr>
              <w:numPr>
                <w:ilvl w:val="0"/>
                <w:numId w:val="24"/>
              </w:numPr>
              <w:spacing w:after="160" w:line="240" w:lineRule="exact"/>
              <w:ind w:left="360"/>
              <w:contextualSpacing/>
              <w:rPr>
                <w:rFonts w:eastAsia="Calibri" w:cstheme="minorHAnsi"/>
                <w:lang w:val="en-US" w:eastAsia="en-US"/>
              </w:rPr>
            </w:pPr>
            <w:r w:rsidRPr="00E10A55">
              <w:rPr>
                <w:rFonts w:eastAsia="Calibri" w:cstheme="minorHAnsi"/>
                <w:lang w:val="en-US" w:eastAsia="en-US"/>
              </w:rPr>
              <w:t>Revision of the National Research Infrastructure Roadmap for the 2021-2027 Programming Period</w:t>
            </w:r>
          </w:p>
          <w:p w14:paraId="2F1B2CB1" w14:textId="77777777" w:rsidR="00E4286E" w:rsidRPr="00E10A55" w:rsidRDefault="00E4286E" w:rsidP="00E4286E">
            <w:pPr>
              <w:numPr>
                <w:ilvl w:val="0"/>
                <w:numId w:val="24"/>
              </w:numPr>
              <w:spacing w:after="160" w:line="240" w:lineRule="exact"/>
              <w:ind w:left="360"/>
              <w:contextualSpacing/>
              <w:rPr>
                <w:rFonts w:eastAsia="Calibri" w:cstheme="minorHAnsi"/>
                <w:lang w:val="en-US" w:eastAsia="en-US"/>
              </w:rPr>
            </w:pPr>
            <w:r w:rsidRPr="00E10A55">
              <w:rPr>
                <w:rFonts w:eastAsia="Calibri" w:cstheme="minorHAnsi"/>
                <w:lang w:eastAsia="en-US"/>
              </w:rPr>
              <w:t>Ι</w:t>
            </w:r>
            <w:r w:rsidRPr="00E10A55">
              <w:rPr>
                <w:rFonts w:eastAsia="Calibri" w:cstheme="minorHAnsi"/>
                <w:lang w:val="en-US" w:eastAsia="en-US"/>
              </w:rPr>
              <w:t>mplementation of the institutional framework for private investments</w:t>
            </w:r>
          </w:p>
          <w:p w14:paraId="408E4D9B" w14:textId="77777777" w:rsidR="00E4286E" w:rsidRPr="00E10A55" w:rsidRDefault="00E4286E" w:rsidP="00E4286E">
            <w:pPr>
              <w:numPr>
                <w:ilvl w:val="0"/>
                <w:numId w:val="24"/>
              </w:numPr>
              <w:spacing w:after="160" w:line="240" w:lineRule="exact"/>
              <w:ind w:left="360"/>
              <w:contextualSpacing/>
              <w:rPr>
                <w:rFonts w:eastAsia="Calibri" w:cstheme="minorHAnsi"/>
                <w:lang w:val="en-US" w:eastAsia="en-US"/>
              </w:rPr>
            </w:pPr>
            <w:r w:rsidRPr="00E10A55">
              <w:rPr>
                <w:rFonts w:eastAsia="Calibri" w:cstheme="minorHAnsi"/>
                <w:lang w:eastAsia="en-US"/>
              </w:rPr>
              <w:t>Ι</w:t>
            </w:r>
            <w:r w:rsidRPr="00E10A55">
              <w:rPr>
                <w:rFonts w:eastAsia="Calibri" w:cstheme="minorHAnsi"/>
                <w:lang w:val="en-US" w:eastAsia="en-US"/>
              </w:rPr>
              <w:t>mplementation of the Institutional Framework for Strategic investments</w:t>
            </w:r>
          </w:p>
          <w:p w14:paraId="2E43FBD7" w14:textId="77777777" w:rsidR="00E4286E" w:rsidRPr="00E10A55" w:rsidRDefault="00E4286E" w:rsidP="00FF667E">
            <w:pPr>
              <w:spacing w:after="160" w:line="240" w:lineRule="exact"/>
              <w:ind w:left="360"/>
              <w:contextualSpacing/>
              <w:rPr>
                <w:rFonts w:eastAsia="Calibri" w:cstheme="minorHAnsi"/>
                <w:lang w:val="en-US" w:eastAsia="en-US"/>
              </w:rPr>
            </w:pPr>
          </w:p>
          <w:p w14:paraId="01213A5B"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Labour and Social Security </w:t>
            </w:r>
            <w:r w:rsidRPr="00E10A55">
              <w:rPr>
                <w:rFonts w:eastAsia="Calibri" w:cstheme="minorHAnsi"/>
                <w:lang w:val="en-US" w:eastAsia="en-US"/>
              </w:rPr>
              <w:t xml:space="preserve">  </w:t>
            </w:r>
          </w:p>
          <w:p w14:paraId="72C860F7" w14:textId="77777777" w:rsidR="00E4286E" w:rsidRPr="00E10A55" w:rsidRDefault="00E4286E" w:rsidP="00E4286E">
            <w:pPr>
              <w:numPr>
                <w:ilvl w:val="0"/>
                <w:numId w:val="26"/>
              </w:numPr>
              <w:spacing w:after="160" w:line="240" w:lineRule="exact"/>
              <w:ind w:left="360"/>
              <w:contextualSpacing/>
              <w:rPr>
                <w:rFonts w:eastAsia="Calibri" w:cstheme="minorHAnsi"/>
                <w:lang w:val="en-US" w:eastAsia="en-US"/>
              </w:rPr>
            </w:pPr>
            <w:r w:rsidRPr="00E10A55">
              <w:rPr>
                <w:rFonts w:eastAsia="Calibri" w:cstheme="minorHAnsi"/>
                <w:lang w:val="en-US" w:eastAsia="en-US"/>
              </w:rPr>
              <w:t>Restructuring and rebranding of DYPA local PES (KPA2)</w:t>
            </w:r>
          </w:p>
          <w:p w14:paraId="0C3CCE82" w14:textId="77777777" w:rsidR="00E4286E" w:rsidRPr="00E10A55" w:rsidRDefault="00E4286E" w:rsidP="00E4286E">
            <w:pPr>
              <w:numPr>
                <w:ilvl w:val="0"/>
                <w:numId w:val="26"/>
              </w:numPr>
              <w:spacing w:after="160" w:line="240" w:lineRule="exact"/>
              <w:ind w:left="360"/>
              <w:contextualSpacing/>
              <w:rPr>
                <w:rFonts w:eastAsia="Calibri" w:cstheme="minorHAnsi"/>
                <w:lang w:val="en-US" w:eastAsia="en-US"/>
              </w:rPr>
            </w:pPr>
            <w:r w:rsidRPr="00E10A55">
              <w:rPr>
                <w:rFonts w:eastAsia="Calibri" w:cstheme="minorHAnsi"/>
              </w:rPr>
              <w:t>Mechanism of labour market diagnosis</w:t>
            </w:r>
          </w:p>
          <w:p w14:paraId="13CB0A1A" w14:textId="77777777" w:rsidR="00E4286E" w:rsidRPr="00E10A55" w:rsidRDefault="00E4286E" w:rsidP="00E4286E">
            <w:pPr>
              <w:numPr>
                <w:ilvl w:val="0"/>
                <w:numId w:val="26"/>
              </w:numPr>
              <w:spacing w:after="160" w:line="240" w:lineRule="exact"/>
              <w:ind w:left="360"/>
              <w:contextualSpacing/>
              <w:rPr>
                <w:rFonts w:eastAsia="Calibri" w:cstheme="minorHAnsi"/>
                <w:lang w:val="en-US" w:eastAsia="en-US"/>
              </w:rPr>
            </w:pPr>
            <w:r w:rsidRPr="00E10A55">
              <w:rPr>
                <w:rFonts w:eastAsia="Calibri" w:cstheme="minorHAnsi"/>
                <w:lang w:val="en-US"/>
              </w:rPr>
              <w:t>Gaining professional/work experience for unemployed people aged 30 and over, through open-type programmes</w:t>
            </w:r>
          </w:p>
          <w:p w14:paraId="6F4F35C0" w14:textId="77777777" w:rsidR="00E4286E" w:rsidRPr="00E10A55" w:rsidRDefault="00E4286E" w:rsidP="00FF667E">
            <w:pPr>
              <w:spacing w:after="160" w:line="240" w:lineRule="exact"/>
              <w:contextualSpacing/>
              <w:rPr>
                <w:rFonts w:eastAsia="Calibri" w:cstheme="minorHAnsi"/>
                <w:lang w:val="en-US" w:eastAsia="en-US"/>
              </w:rPr>
            </w:pPr>
          </w:p>
          <w:p w14:paraId="4CCDEA54"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 xml:space="preserve">Ministry of Culture </w:t>
            </w:r>
          </w:p>
          <w:p w14:paraId="12A381CB" w14:textId="77777777" w:rsidR="00E4286E" w:rsidRPr="00E10A55" w:rsidRDefault="00E4286E" w:rsidP="00E4286E">
            <w:pPr>
              <w:numPr>
                <w:ilvl w:val="0"/>
                <w:numId w:val="29"/>
              </w:numPr>
              <w:spacing w:after="160" w:line="240" w:lineRule="exact"/>
              <w:ind w:left="360"/>
              <w:contextualSpacing/>
              <w:rPr>
                <w:rFonts w:eastAsia="Calibri" w:cstheme="minorHAnsi"/>
                <w:lang w:val="en-US" w:eastAsia="en-US"/>
              </w:rPr>
            </w:pPr>
            <w:r w:rsidRPr="00E10A55">
              <w:rPr>
                <w:rFonts w:eastAsia="Calibri" w:cstheme="minorHAnsi"/>
                <w:lang w:val="en-US" w:eastAsia="en-US"/>
              </w:rPr>
              <w:t>Culture as a driver of growth</w:t>
            </w:r>
          </w:p>
          <w:p w14:paraId="25B70417" w14:textId="77777777" w:rsidR="00E4286E" w:rsidRPr="00E10A55" w:rsidRDefault="00E4286E" w:rsidP="00E4286E">
            <w:pPr>
              <w:numPr>
                <w:ilvl w:val="0"/>
                <w:numId w:val="29"/>
              </w:numPr>
              <w:spacing w:after="160" w:line="240" w:lineRule="exact"/>
              <w:ind w:left="360"/>
              <w:contextualSpacing/>
              <w:rPr>
                <w:rFonts w:eastAsia="Calibri" w:cstheme="minorHAnsi"/>
                <w:lang w:val="en-US" w:eastAsia="en-US"/>
              </w:rPr>
            </w:pPr>
            <w:r w:rsidRPr="00E10A55">
              <w:rPr>
                <w:rFonts w:eastAsia="Calibri" w:cstheme="minorHAnsi"/>
                <w:lang w:val="en-US" w:eastAsia="en-US"/>
              </w:rPr>
              <w:t>Protection of Cultural Monuments and Archaeological Sites from Climate Change</w:t>
            </w:r>
          </w:p>
          <w:p w14:paraId="7924BACC" w14:textId="77777777" w:rsidR="00E4286E" w:rsidRPr="00E10A55" w:rsidRDefault="00E4286E" w:rsidP="00E4286E">
            <w:pPr>
              <w:numPr>
                <w:ilvl w:val="0"/>
                <w:numId w:val="29"/>
              </w:numPr>
              <w:spacing w:after="160" w:line="240" w:lineRule="exact"/>
              <w:ind w:left="360"/>
              <w:contextualSpacing/>
              <w:rPr>
                <w:rFonts w:eastAsia="Calibri" w:cstheme="minorHAnsi"/>
                <w:lang w:val="en-US" w:eastAsia="en-US"/>
              </w:rPr>
            </w:pPr>
            <w:r w:rsidRPr="00E10A55">
              <w:rPr>
                <w:rFonts w:eastAsia="Calibri" w:cstheme="minorHAnsi"/>
                <w:lang w:val="en-US" w:eastAsia="en-US"/>
              </w:rPr>
              <w:t>Cultural Routes at Emblematic Archaeological Sites and Monuments</w:t>
            </w:r>
          </w:p>
          <w:p w14:paraId="111F1927" w14:textId="77777777" w:rsidR="00E4286E" w:rsidRPr="00E10A55" w:rsidRDefault="00E4286E" w:rsidP="00E4286E">
            <w:pPr>
              <w:numPr>
                <w:ilvl w:val="0"/>
                <w:numId w:val="29"/>
              </w:numPr>
              <w:spacing w:after="160" w:line="240" w:lineRule="exact"/>
              <w:ind w:left="360"/>
              <w:contextualSpacing/>
              <w:rPr>
                <w:rFonts w:eastAsia="Calibri" w:cstheme="minorHAnsi"/>
                <w:lang w:val="en-US" w:eastAsia="en-US"/>
              </w:rPr>
            </w:pPr>
            <w:r w:rsidRPr="00E10A55">
              <w:rPr>
                <w:rFonts w:eastAsia="Calibri" w:cstheme="minorHAnsi"/>
                <w:lang w:val="en-US" w:eastAsia="en-US"/>
              </w:rPr>
              <w:t>Utilising “arts on prescription”, promoting social cohesion, and tapping on the silver economy</w:t>
            </w:r>
          </w:p>
          <w:p w14:paraId="71149627" w14:textId="77777777" w:rsidR="00E4286E" w:rsidRPr="00E10A55" w:rsidRDefault="00E4286E" w:rsidP="00E4286E">
            <w:pPr>
              <w:numPr>
                <w:ilvl w:val="0"/>
                <w:numId w:val="29"/>
              </w:numPr>
              <w:spacing w:after="160" w:line="240" w:lineRule="exact"/>
              <w:ind w:left="360"/>
              <w:contextualSpacing/>
              <w:rPr>
                <w:rFonts w:eastAsia="Calibri" w:cstheme="minorHAnsi"/>
                <w:lang w:eastAsia="en-US"/>
              </w:rPr>
            </w:pPr>
            <w:r w:rsidRPr="00E10A55">
              <w:rPr>
                <w:rFonts w:eastAsia="Calibri" w:cstheme="minorHAnsi"/>
                <w:lang w:eastAsia="en-US"/>
              </w:rPr>
              <w:t>Upgrading higher arts education</w:t>
            </w:r>
          </w:p>
          <w:p w14:paraId="3DD13DB8" w14:textId="77777777" w:rsidR="00E4286E" w:rsidRPr="00E10A55" w:rsidRDefault="00E4286E" w:rsidP="00E4286E">
            <w:pPr>
              <w:numPr>
                <w:ilvl w:val="0"/>
                <w:numId w:val="29"/>
              </w:numPr>
              <w:spacing w:after="160" w:line="240" w:lineRule="exact"/>
              <w:ind w:left="360"/>
              <w:contextualSpacing/>
              <w:rPr>
                <w:rFonts w:eastAsia="Calibri" w:cstheme="minorHAnsi"/>
                <w:lang w:val="en-US" w:eastAsia="en-US"/>
              </w:rPr>
            </w:pPr>
            <w:r w:rsidRPr="00E10A55">
              <w:rPr>
                <w:rFonts w:eastAsia="Calibri" w:cstheme="minorHAnsi"/>
                <w:lang w:val="en-US" w:eastAsia="en-US"/>
              </w:rPr>
              <w:t>Infrastructure development and buildings’ restoration in the former royal estate in Tatoi</w:t>
            </w:r>
          </w:p>
          <w:p w14:paraId="1F3996E2" w14:textId="77777777" w:rsidR="00E4286E" w:rsidRPr="00E10A55" w:rsidRDefault="00E4286E" w:rsidP="00E4286E">
            <w:pPr>
              <w:numPr>
                <w:ilvl w:val="0"/>
                <w:numId w:val="29"/>
              </w:numPr>
              <w:spacing w:after="160" w:line="240" w:lineRule="exact"/>
              <w:ind w:left="360"/>
              <w:contextualSpacing/>
              <w:rPr>
                <w:rFonts w:eastAsia="Calibri" w:cstheme="minorHAnsi"/>
                <w:lang w:val="en-US" w:eastAsia="en-US"/>
              </w:rPr>
            </w:pPr>
            <w:r w:rsidRPr="00E10A55">
              <w:rPr>
                <w:rFonts w:eastAsia="Calibri" w:cstheme="minorHAnsi"/>
                <w:lang w:val="en-US" w:eastAsia="en-US"/>
              </w:rPr>
              <w:t>The Restoration-Conservation-Enhancement of the Acropolis Monument</w:t>
            </w:r>
          </w:p>
          <w:p w14:paraId="7F5E2A2C" w14:textId="77777777" w:rsidR="00E4286E" w:rsidRPr="00E10A55" w:rsidRDefault="00E4286E" w:rsidP="00E4286E">
            <w:pPr>
              <w:numPr>
                <w:ilvl w:val="0"/>
                <w:numId w:val="29"/>
              </w:numPr>
              <w:spacing w:after="160" w:line="240" w:lineRule="exact"/>
              <w:ind w:left="360"/>
              <w:contextualSpacing/>
              <w:rPr>
                <w:rFonts w:eastAsia="Calibri" w:cstheme="minorHAnsi"/>
                <w:lang w:eastAsia="en-US"/>
              </w:rPr>
            </w:pPr>
            <w:r w:rsidRPr="00E10A55">
              <w:rPr>
                <w:rFonts w:eastAsia="Calibri" w:cstheme="minorHAnsi"/>
                <w:lang w:eastAsia="en-US"/>
              </w:rPr>
              <w:t>Museum of underwater antiquities</w:t>
            </w:r>
          </w:p>
          <w:p w14:paraId="5A84E487" w14:textId="77777777" w:rsidR="00E4286E" w:rsidRPr="00E10A55" w:rsidRDefault="00E4286E" w:rsidP="00FF667E">
            <w:pPr>
              <w:spacing w:line="240" w:lineRule="exact"/>
              <w:rPr>
                <w:rFonts w:eastAsia="Calibri" w:cstheme="minorHAnsi"/>
                <w:i/>
                <w:iCs/>
                <w:color w:val="365F91"/>
                <w:lang w:val="en-US"/>
              </w:rPr>
            </w:pPr>
          </w:p>
          <w:p w14:paraId="373FE357"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Ministry of Migration and Asylum</w:t>
            </w:r>
          </w:p>
          <w:p w14:paraId="29014158"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eastAsia="en-US"/>
              </w:rPr>
              <w:t xml:space="preserve">Open shelter for vulnerable women "A Step Forward" </w:t>
            </w:r>
          </w:p>
          <w:p w14:paraId="3034A469"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eastAsia="en-US"/>
              </w:rPr>
              <w:t xml:space="preserve">Operation of day centers in Athens, Thessaloniki, Lesvos, Ioannina and Larissa for Unaccompanied Minors </w:t>
            </w:r>
          </w:p>
          <w:p w14:paraId="6E942902"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eastAsia="en-US"/>
              </w:rPr>
              <w:t xml:space="preserve">Social Integration of Former Unaccompanied Minors in Greece" (Helios Junior) </w:t>
            </w:r>
          </w:p>
          <w:p w14:paraId="44F61BE6"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eastAsia="en-US"/>
              </w:rPr>
              <w:t xml:space="preserve">Strengthening the implementation of the National Strategy for the Protection of Unaccompanied Minors (PYXIDA) </w:t>
            </w:r>
          </w:p>
          <w:p w14:paraId="30992F3B"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eastAsia="en-US"/>
              </w:rPr>
              <w:t xml:space="preserve">Provision of primary medical health services, epidemiological surveillance and psychosocial services to asylum seekers -Programme “Hippocrates” (I,II) </w:t>
            </w:r>
          </w:p>
          <w:p w14:paraId="7FB5BAC1"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eastAsia="en-US"/>
              </w:rPr>
              <w:lastRenderedPageBreak/>
              <w:t xml:space="preserve">Promote integration of the refugee population into the labor market </w:t>
            </w:r>
          </w:p>
          <w:p w14:paraId="79CA7386" w14:textId="77777777" w:rsidR="00E4286E" w:rsidRPr="00E10A55" w:rsidRDefault="00E4286E" w:rsidP="00E4286E">
            <w:pPr>
              <w:numPr>
                <w:ilvl w:val="0"/>
                <w:numId w:val="32"/>
              </w:numPr>
              <w:spacing w:after="160" w:line="240" w:lineRule="exact"/>
              <w:ind w:left="360"/>
              <w:contextualSpacing/>
              <w:rPr>
                <w:rFonts w:eastAsia="Calibri" w:cstheme="minorHAnsi"/>
                <w:lang w:val="en-US" w:eastAsia="en-US"/>
              </w:rPr>
            </w:pPr>
            <w:r w:rsidRPr="00E10A55">
              <w:rPr>
                <w:rFonts w:eastAsia="Calibri" w:cstheme="minorHAnsi"/>
                <w:lang w:val="en-US"/>
              </w:rPr>
              <w:t>Socio-economic integration project HELIOS+ for beneficiaries of international and temporary protection</w:t>
            </w:r>
          </w:p>
          <w:p w14:paraId="66BECDCB" w14:textId="77777777" w:rsidR="00E4286E" w:rsidRPr="00E10A55" w:rsidRDefault="00E4286E" w:rsidP="00FF667E">
            <w:pPr>
              <w:spacing w:line="240" w:lineRule="exact"/>
              <w:rPr>
                <w:rFonts w:eastAsia="Calibri" w:cstheme="minorHAnsi"/>
                <w:i/>
                <w:iCs/>
                <w:color w:val="365F91"/>
                <w:lang w:val="en-US"/>
              </w:rPr>
            </w:pPr>
          </w:p>
          <w:p w14:paraId="40E9D729" w14:textId="77777777" w:rsidR="00E4286E" w:rsidRPr="00E10A55" w:rsidRDefault="00E4286E" w:rsidP="00FF667E">
            <w:pPr>
              <w:spacing w:line="240" w:lineRule="exact"/>
              <w:rPr>
                <w:rFonts w:eastAsia="Calibri" w:cstheme="minorHAnsi"/>
                <w:i/>
                <w:iCs/>
                <w:lang w:val="en-US"/>
              </w:rPr>
            </w:pPr>
            <w:r w:rsidRPr="00E10A55">
              <w:rPr>
                <w:rFonts w:eastAsia="Calibri" w:cstheme="minorHAnsi"/>
                <w:i/>
                <w:iCs/>
                <w:color w:val="365F91"/>
                <w:lang w:val="en-US"/>
              </w:rPr>
              <w:t>Ministry of social cohesion and family affairs</w:t>
            </w:r>
            <w:r w:rsidRPr="00E10A55">
              <w:rPr>
                <w:rFonts w:eastAsia="Calibri" w:cstheme="minorHAnsi"/>
                <w:lang w:val="en-US" w:eastAsia="en-US"/>
              </w:rPr>
              <w:t xml:space="preserve"> </w:t>
            </w:r>
          </w:p>
          <w:p w14:paraId="65F027BE" w14:textId="77777777" w:rsidR="00E4286E" w:rsidRPr="00E10A55" w:rsidRDefault="00E4286E" w:rsidP="00E4286E">
            <w:pPr>
              <w:numPr>
                <w:ilvl w:val="0"/>
                <w:numId w:val="34"/>
              </w:numPr>
              <w:spacing w:after="160" w:line="240" w:lineRule="exact"/>
              <w:ind w:left="360"/>
              <w:contextualSpacing/>
              <w:rPr>
                <w:rFonts w:eastAsia="Calibri" w:cstheme="minorHAnsi"/>
                <w:lang w:eastAsia="en-US"/>
              </w:rPr>
            </w:pPr>
            <w:r w:rsidRPr="00E10A55">
              <w:rPr>
                <w:rFonts w:eastAsia="Calibri" w:cstheme="minorHAnsi"/>
                <w:lang w:eastAsia="en-US"/>
              </w:rPr>
              <w:t>Diversity Awareness</w:t>
            </w:r>
          </w:p>
          <w:p w14:paraId="49319AC9" w14:textId="77777777" w:rsidR="00E4286E" w:rsidRPr="00E10A55" w:rsidRDefault="00E4286E" w:rsidP="00E4286E">
            <w:pPr>
              <w:numPr>
                <w:ilvl w:val="0"/>
                <w:numId w:val="34"/>
              </w:numPr>
              <w:spacing w:after="160" w:line="240" w:lineRule="exact"/>
              <w:ind w:left="360"/>
              <w:contextualSpacing/>
              <w:rPr>
                <w:rFonts w:eastAsia="Calibri" w:cstheme="minorHAnsi"/>
                <w:lang w:val="en-US" w:eastAsia="en-US"/>
              </w:rPr>
            </w:pPr>
            <w:r w:rsidRPr="00E10A55">
              <w:rPr>
                <w:rFonts w:eastAsia="Calibri" w:cstheme="minorHAnsi"/>
                <w:lang w:val="en-US" w:eastAsia="en-US"/>
              </w:rPr>
              <w:t>Digital Transformation of the social support system</w:t>
            </w:r>
          </w:p>
          <w:p w14:paraId="0F0BE70A" w14:textId="77777777" w:rsidR="00E4286E" w:rsidRPr="00E10A55" w:rsidRDefault="00E4286E" w:rsidP="00E4286E">
            <w:pPr>
              <w:numPr>
                <w:ilvl w:val="0"/>
                <w:numId w:val="34"/>
              </w:numPr>
              <w:spacing w:after="160" w:line="240" w:lineRule="exact"/>
              <w:ind w:left="360"/>
              <w:contextualSpacing/>
              <w:rPr>
                <w:rFonts w:eastAsia="Calibri" w:cstheme="minorHAnsi"/>
                <w:lang w:eastAsia="en-US"/>
              </w:rPr>
            </w:pPr>
            <w:r w:rsidRPr="00E10A55">
              <w:rPr>
                <w:rFonts w:eastAsia="Calibri" w:cstheme="minorHAnsi"/>
                <w:lang w:eastAsia="en-US"/>
              </w:rPr>
              <w:t>Social Integration</w:t>
            </w:r>
          </w:p>
          <w:p w14:paraId="56AB3230" w14:textId="77777777" w:rsidR="00E4286E" w:rsidRPr="00E10A55" w:rsidRDefault="00E4286E" w:rsidP="00FF667E">
            <w:pPr>
              <w:spacing w:after="160" w:line="240" w:lineRule="exact"/>
              <w:ind w:left="360"/>
              <w:contextualSpacing/>
              <w:rPr>
                <w:rFonts w:eastAsia="Calibri" w:cstheme="minorHAnsi"/>
                <w:lang w:eastAsia="en-US"/>
              </w:rPr>
            </w:pPr>
          </w:p>
          <w:p w14:paraId="00B14730" w14:textId="77777777" w:rsidR="00E4286E" w:rsidRPr="00E10A55" w:rsidRDefault="00E4286E" w:rsidP="00FF667E">
            <w:pPr>
              <w:spacing w:line="240" w:lineRule="exact"/>
              <w:rPr>
                <w:rFonts w:eastAsia="Calibri" w:cstheme="minorHAnsi"/>
                <w:i/>
                <w:iCs/>
                <w:color w:val="365F91"/>
              </w:rPr>
            </w:pPr>
            <w:r w:rsidRPr="00E10A55">
              <w:rPr>
                <w:rFonts w:eastAsia="Calibri" w:cstheme="minorHAnsi"/>
                <w:i/>
                <w:iCs/>
                <w:color w:val="365F91"/>
              </w:rPr>
              <w:t xml:space="preserve">Ministry of Tourism </w:t>
            </w:r>
          </w:p>
          <w:p w14:paraId="2C04B78F" w14:textId="77777777" w:rsidR="00E4286E" w:rsidRPr="00E10A55" w:rsidRDefault="00E4286E" w:rsidP="00E4286E">
            <w:pPr>
              <w:numPr>
                <w:ilvl w:val="0"/>
                <w:numId w:val="35"/>
              </w:numPr>
              <w:spacing w:after="160" w:line="240" w:lineRule="exact"/>
              <w:ind w:left="360"/>
              <w:contextualSpacing/>
              <w:rPr>
                <w:rFonts w:eastAsia="Calibri" w:cstheme="minorHAnsi"/>
                <w:lang w:eastAsia="en-US"/>
              </w:rPr>
            </w:pPr>
            <w:r w:rsidRPr="00E10A55">
              <w:rPr>
                <w:rFonts w:eastAsia="Calibri" w:cstheme="minorHAnsi"/>
                <w:lang w:eastAsia="en-US"/>
              </w:rPr>
              <w:t>Reskilling and Upskilling Tourism</w:t>
            </w:r>
          </w:p>
          <w:p w14:paraId="4C02A87D" w14:textId="77777777" w:rsidR="00E4286E" w:rsidRPr="00E10A55" w:rsidRDefault="00E4286E" w:rsidP="00E4286E">
            <w:pPr>
              <w:numPr>
                <w:ilvl w:val="0"/>
                <w:numId w:val="35"/>
              </w:numPr>
              <w:spacing w:after="160" w:line="240" w:lineRule="exact"/>
              <w:ind w:left="360"/>
              <w:contextualSpacing/>
              <w:rPr>
                <w:rFonts w:eastAsia="Calibri" w:cstheme="minorHAnsi"/>
                <w:lang w:eastAsia="en-US"/>
              </w:rPr>
            </w:pPr>
            <w:r w:rsidRPr="00E10A55">
              <w:rPr>
                <w:rFonts w:eastAsia="Calibri" w:cstheme="minorHAnsi"/>
                <w:lang w:eastAsia="en-US"/>
              </w:rPr>
              <w:t>Tourism Development</w:t>
            </w:r>
          </w:p>
          <w:p w14:paraId="1D06A9F4" w14:textId="77777777" w:rsidR="00E4286E" w:rsidRPr="00E10A55" w:rsidRDefault="00E4286E" w:rsidP="00E4286E">
            <w:pPr>
              <w:numPr>
                <w:ilvl w:val="0"/>
                <w:numId w:val="35"/>
              </w:numPr>
              <w:spacing w:after="160" w:line="240" w:lineRule="exact"/>
              <w:ind w:left="360"/>
              <w:contextualSpacing/>
              <w:rPr>
                <w:rFonts w:eastAsia="Calibri" w:cstheme="minorHAnsi"/>
                <w:lang w:val="en-US" w:eastAsia="en-US"/>
              </w:rPr>
            </w:pPr>
            <w:r w:rsidRPr="00E10A55">
              <w:rPr>
                <w:rFonts w:eastAsia="Calibri" w:cstheme="minorHAnsi"/>
                <w:lang w:val="en-US"/>
              </w:rPr>
              <w:t>GNTO’s core project is to promote Greece as a year- round tourism destination and further solidify Greece’s position as an attractive, modern, and evolving country</w:t>
            </w:r>
          </w:p>
          <w:p w14:paraId="23B2AC0A" w14:textId="77777777" w:rsidR="00E4286E" w:rsidRPr="00E10A55" w:rsidRDefault="00E4286E" w:rsidP="00FF667E">
            <w:pPr>
              <w:spacing w:after="160" w:line="240" w:lineRule="exact"/>
              <w:ind w:left="360"/>
              <w:contextualSpacing/>
              <w:rPr>
                <w:rFonts w:eastAsia="Calibri" w:cstheme="minorHAnsi"/>
                <w:lang w:val="en-US" w:eastAsia="en-US"/>
              </w:rPr>
            </w:pPr>
          </w:p>
          <w:p w14:paraId="187ED088"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climate crisis and civil protection </w:t>
            </w:r>
            <w:r w:rsidRPr="00E10A55">
              <w:rPr>
                <w:rFonts w:eastAsia="Calibri" w:cstheme="minorHAnsi"/>
                <w:lang w:val="en-US" w:eastAsia="en-US"/>
              </w:rPr>
              <w:t xml:space="preserve"> </w:t>
            </w:r>
          </w:p>
          <w:p w14:paraId="54129D2A" w14:textId="77777777" w:rsidR="00E4286E" w:rsidRPr="00E10A55" w:rsidRDefault="00E4286E" w:rsidP="00E4286E">
            <w:pPr>
              <w:numPr>
                <w:ilvl w:val="0"/>
                <w:numId w:val="38"/>
              </w:numPr>
              <w:spacing w:after="160" w:line="240" w:lineRule="exact"/>
              <w:ind w:left="360"/>
              <w:contextualSpacing/>
              <w:rPr>
                <w:rFonts w:eastAsia="Calibri" w:cstheme="minorHAnsi"/>
                <w:lang w:val="en-US" w:eastAsia="en-US"/>
              </w:rPr>
            </w:pPr>
            <w:r w:rsidRPr="00E10A55">
              <w:rPr>
                <w:rFonts w:eastAsia="Calibri" w:cstheme="minorHAnsi"/>
                <w:lang w:val="en-US" w:eastAsia="en-US"/>
              </w:rPr>
              <w:t xml:space="preserve">Establishment of a strategic National Disaster Risk Management through the provision of mobile administration and on-site control centers in the 13 Regions </w:t>
            </w:r>
          </w:p>
          <w:p w14:paraId="69243117" w14:textId="77777777" w:rsidR="00E4286E" w:rsidRPr="00E10A55" w:rsidRDefault="00E4286E" w:rsidP="00FF667E">
            <w:pPr>
              <w:spacing w:line="240" w:lineRule="exact"/>
              <w:ind w:left="360"/>
              <w:contextualSpacing/>
              <w:rPr>
                <w:rFonts w:eastAsia="Calibri" w:cstheme="minorHAnsi"/>
                <w:lang w:val="en-US" w:eastAsia="en-US"/>
              </w:rPr>
            </w:pPr>
          </w:p>
        </w:tc>
      </w:tr>
      <w:tr w:rsidR="00E4286E" w:rsidRPr="00E10A55" w14:paraId="52EB9302" w14:textId="77777777" w:rsidTr="000A3ED7">
        <w:trPr>
          <w:trHeight w:val="227"/>
          <w:jc w:val="center"/>
        </w:trPr>
        <w:tc>
          <w:tcPr>
            <w:tcW w:w="393" w:type="dxa"/>
            <w:tcBorders>
              <w:top w:val="single" w:sz="4" w:space="0" w:color="4F81BD" w:themeColor="accent1"/>
              <w:left w:val="nil"/>
              <w:bottom w:val="single" w:sz="4" w:space="0" w:color="4F81BD" w:themeColor="accent1"/>
              <w:right w:val="nil"/>
            </w:tcBorders>
            <w:shd w:val="clear" w:color="000000" w:fill="305496"/>
            <w:vAlign w:val="center"/>
            <w:hideMark/>
          </w:tcPr>
          <w:p w14:paraId="35ECBF21" w14:textId="77777777" w:rsidR="00E4286E" w:rsidRPr="00E10A55" w:rsidRDefault="00E4286E" w:rsidP="00FF667E">
            <w:pPr>
              <w:spacing w:line="240" w:lineRule="exact"/>
              <w:jc w:val="center"/>
              <w:rPr>
                <w:rFonts w:eastAsia="Times New Roman" w:cstheme="minorHAnsi"/>
                <w:color w:val="FFFFFF"/>
                <w:lang w:val="en-US" w:eastAsia="en-US"/>
              </w:rPr>
            </w:pPr>
            <w:r w:rsidRPr="00E10A55">
              <w:rPr>
                <w:rFonts w:eastAsia="Times New Roman" w:cstheme="minorHAnsi"/>
                <w:color w:val="FFFFFF"/>
                <w:lang w:val="en-US" w:eastAsia="en-US"/>
              </w:rPr>
              <w:lastRenderedPageBreak/>
              <w:t>3</w:t>
            </w:r>
          </w:p>
        </w:tc>
        <w:tc>
          <w:tcPr>
            <w:tcW w:w="1734" w:type="dxa"/>
            <w:tcBorders>
              <w:top w:val="single" w:sz="4" w:space="0" w:color="4F81BD" w:themeColor="accent1"/>
              <w:left w:val="nil"/>
              <w:bottom w:val="single" w:sz="4" w:space="0" w:color="4F81BD" w:themeColor="accent1"/>
              <w:right w:val="nil"/>
            </w:tcBorders>
            <w:shd w:val="clear" w:color="000000" w:fill="D9E1F2"/>
            <w:vAlign w:val="center"/>
            <w:hideMark/>
          </w:tcPr>
          <w:p w14:paraId="566D3233" w14:textId="77777777" w:rsidR="00E4286E" w:rsidRPr="00E10A55" w:rsidRDefault="00E4286E" w:rsidP="00920844">
            <w:pPr>
              <w:spacing w:line="240" w:lineRule="exact"/>
              <w:jc w:val="left"/>
              <w:rPr>
                <w:rFonts w:eastAsia="Times New Roman" w:cstheme="minorHAnsi"/>
                <w:color w:val="000000"/>
                <w:lang w:val="en-US" w:eastAsia="en-US"/>
              </w:rPr>
            </w:pPr>
            <w:r w:rsidRPr="00E10A55">
              <w:rPr>
                <w:rFonts w:eastAsia="Times New Roman" w:cstheme="minorHAnsi"/>
                <w:color w:val="000000"/>
                <w:lang w:val="en-US" w:eastAsia="en-US"/>
              </w:rPr>
              <w:t xml:space="preserve">Energy security </w:t>
            </w:r>
          </w:p>
        </w:tc>
        <w:tc>
          <w:tcPr>
            <w:tcW w:w="6663" w:type="dxa"/>
            <w:tcBorders>
              <w:top w:val="single" w:sz="4" w:space="0" w:color="4F81BD" w:themeColor="accent1"/>
              <w:left w:val="nil"/>
              <w:bottom w:val="single" w:sz="4" w:space="0" w:color="4F81BD" w:themeColor="accent1"/>
              <w:right w:val="single" w:sz="4" w:space="0" w:color="auto"/>
            </w:tcBorders>
            <w:shd w:val="clear" w:color="000000" w:fill="FFFFFF"/>
            <w:vAlign w:val="center"/>
            <w:hideMark/>
          </w:tcPr>
          <w:p w14:paraId="362BA6DE" w14:textId="77777777" w:rsidR="00E4286E" w:rsidRPr="00E10A55" w:rsidRDefault="00E4286E" w:rsidP="00FF667E">
            <w:pPr>
              <w:spacing w:line="240" w:lineRule="exact"/>
              <w:rPr>
                <w:rFonts w:eastAsia="Times New Roman" w:cstheme="minorHAnsi"/>
                <w:b/>
                <w:color w:val="365F91"/>
                <w:lang w:val="en-US"/>
              </w:rPr>
            </w:pPr>
            <w:r w:rsidRPr="00E10A55">
              <w:rPr>
                <w:rFonts w:eastAsia="Times New Roman" w:cstheme="minorHAnsi"/>
                <w:b/>
                <w:color w:val="365F91"/>
                <w:lang w:val="en-US"/>
              </w:rPr>
              <w:t xml:space="preserve">Investment needs based on PIB: </w:t>
            </w:r>
          </w:p>
          <w:p w14:paraId="45A95192" w14:textId="77777777" w:rsidR="00DC7487" w:rsidRPr="00E10A55" w:rsidRDefault="00E4286E" w:rsidP="00C96A2D">
            <w:pPr>
              <w:spacing w:line="240" w:lineRule="exact"/>
              <w:jc w:val="left"/>
              <w:rPr>
                <w:rFonts w:eastAsia="Times New Roman" w:cstheme="minorHAnsi"/>
                <w:b/>
                <w:lang w:val="en-US"/>
              </w:rPr>
            </w:pPr>
            <w:r w:rsidRPr="00E10A55">
              <w:rPr>
                <w:rFonts w:eastAsia="Times New Roman" w:cstheme="minorHAnsi"/>
                <w:b/>
                <w:lang w:val="en-US"/>
              </w:rPr>
              <w:t>MFF – Partnership Agreement 2021-2027</w:t>
            </w:r>
          </w:p>
          <w:p w14:paraId="43AD7268" w14:textId="0BAB1FB7" w:rsidR="00E4286E" w:rsidRPr="00E10A55" w:rsidRDefault="00E4286E">
            <w:pPr>
              <w:spacing w:line="240" w:lineRule="exact"/>
              <w:rPr>
                <w:rFonts w:eastAsia="Times New Roman" w:cstheme="minorHAnsi"/>
                <w:lang w:val="en-US"/>
              </w:rPr>
            </w:pPr>
            <w:r w:rsidRPr="00E10A55">
              <w:rPr>
                <w:rFonts w:eastAsia="Times New Roman" w:cstheme="minorHAnsi"/>
                <w:lang w:val="en-US"/>
              </w:rPr>
              <w:t>In the programming period 2021-2027 the immediate priorities set based on the “energy efficiency first” principle adopted by the Green Deal, the intended synergies with other Funds and Programs and the maturity of the planned actions are the improvement of energy efficiency, the promotion of RES and storage systems, the upgrading of energy networks to “smart” ones, the weaning off of fossil fuels, taking into account the provisions of Article 7 of the Regulation of the ERDF and the Cohesion Fund, the promotion of island interconnections and cleaner energy on them with direct effects in reducing air pollution.</w:t>
            </w:r>
          </w:p>
          <w:p w14:paraId="7B64AA26" w14:textId="77777777" w:rsidR="001C7F26" w:rsidRPr="00E10A55" w:rsidRDefault="00E4286E" w:rsidP="00DC7487">
            <w:pPr>
              <w:spacing w:line="240" w:lineRule="exact"/>
              <w:rPr>
                <w:rFonts w:eastAsia="Times New Roman" w:cstheme="minorHAnsi"/>
                <w:b/>
                <w:lang w:val="en-US"/>
              </w:rPr>
            </w:pPr>
            <w:r w:rsidRPr="00E10A55">
              <w:rPr>
                <w:rFonts w:eastAsia="Times New Roman" w:cstheme="minorHAnsi"/>
                <w:lang w:val="en-US"/>
              </w:rPr>
              <w:t>To this end, a project of strategic importance, not only for Greece but also for the entire region, was approved and co-funded by ESIF Funds in the EPANEK 2014-2020 and “Competitiveness 2021-2027” programs. The project “Grant of GASTRADE Anonyme Construction and Technical Company of Natural Gas for the implementation of the project Independent Natural Gas System “ASFA” of Alexandroupolis” will contribute significantly to the energy autonomy of Greece and will play a major role in minimizing the country’s dependency in Russian natural gas.</w:t>
            </w:r>
            <w:r w:rsidRPr="00E10A55">
              <w:rPr>
                <w:rFonts w:eastAsia="Times New Roman" w:cstheme="minorHAnsi"/>
                <w:b/>
                <w:lang w:val="en-US"/>
              </w:rPr>
              <w:br/>
            </w:r>
            <w:r w:rsidRPr="00E10A55">
              <w:rPr>
                <w:rFonts w:eastAsia="Times New Roman" w:cstheme="minorHAnsi"/>
                <w:b/>
                <w:lang w:val="en-US"/>
              </w:rPr>
              <w:br/>
              <w:t>Nationally funded Programmes</w:t>
            </w:r>
            <w:r w:rsidRPr="00E10A55">
              <w:rPr>
                <w:rFonts w:eastAsia="Times New Roman" w:cstheme="minorHAnsi"/>
                <w:color w:val="0070C0"/>
                <w:lang w:val="en-US"/>
              </w:rPr>
              <w:t xml:space="preserve"> </w:t>
            </w:r>
            <w:r w:rsidRPr="00E10A55">
              <w:rPr>
                <w:rFonts w:eastAsia="Times New Roman" w:cstheme="minorHAnsi"/>
                <w:b/>
                <w:lang w:val="en-US"/>
              </w:rPr>
              <w:t>(NDP)</w:t>
            </w:r>
          </w:p>
          <w:p w14:paraId="700ADEDD" w14:textId="5FE06DC9" w:rsidR="00E4286E" w:rsidRPr="00E10A55" w:rsidRDefault="00E4286E">
            <w:pPr>
              <w:spacing w:line="240" w:lineRule="exact"/>
              <w:rPr>
                <w:rFonts w:eastAsia="Times New Roman" w:cstheme="minorHAnsi"/>
                <w:lang w:val="en-US"/>
              </w:rPr>
            </w:pPr>
            <w:r w:rsidRPr="00E10A55">
              <w:rPr>
                <w:rFonts w:eastAsia="Times New Roman" w:cstheme="minorHAnsi"/>
                <w:lang w:val="en-US"/>
              </w:rPr>
              <w:t xml:space="preserve">The Energy security is supported under NDP 2021- 2025 through the specific sub-objectives of Green Growth Objective (DO 2) (climate change) and Infrastructure development objective (DO 4) (energy networks). </w:t>
            </w:r>
          </w:p>
          <w:p w14:paraId="6C14B161" w14:textId="77777777" w:rsidR="00E4286E" w:rsidRPr="00E10A55" w:rsidRDefault="00E4286E" w:rsidP="00FF667E">
            <w:pPr>
              <w:spacing w:line="240" w:lineRule="exact"/>
              <w:rPr>
                <w:rFonts w:eastAsia="Calibri" w:cstheme="minorHAnsi"/>
                <w:b/>
                <w:bCs/>
                <w:color w:val="365F91"/>
                <w:lang w:val="en-US"/>
              </w:rPr>
            </w:pPr>
            <w:r w:rsidRPr="00E10A55">
              <w:rPr>
                <w:rFonts w:eastAsia="Calibri" w:cstheme="minorHAnsi"/>
                <w:b/>
                <w:bCs/>
                <w:color w:val="365F91"/>
                <w:lang w:val="en-US"/>
              </w:rPr>
              <w:t xml:space="preserve">Investment needs by Ministry </w:t>
            </w:r>
          </w:p>
          <w:p w14:paraId="70E5C20F" w14:textId="77777777" w:rsidR="00E4286E" w:rsidRPr="00E10A55" w:rsidRDefault="00E4286E" w:rsidP="00FF667E">
            <w:pPr>
              <w:spacing w:line="240" w:lineRule="exact"/>
              <w:rPr>
                <w:rFonts w:eastAsia="Times New Roman" w:cstheme="minorHAnsi"/>
                <w:i/>
                <w:iCs/>
                <w:color w:val="365F91"/>
                <w:lang w:val="en-US" w:eastAsia="en-US"/>
              </w:rPr>
            </w:pPr>
            <w:r w:rsidRPr="00E10A55">
              <w:rPr>
                <w:rFonts w:eastAsia="Times New Roman" w:cstheme="minorHAnsi"/>
                <w:i/>
                <w:iCs/>
                <w:color w:val="365F91"/>
                <w:lang w:val="en-US" w:eastAsia="en-US"/>
              </w:rPr>
              <w:t xml:space="preserve">Ministry of National Economy and Finance </w:t>
            </w:r>
          </w:p>
          <w:p w14:paraId="3952A1FA"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Implementation of the Partnership Agreement 2021-2027 - efficient management of ESPA funds</w:t>
            </w:r>
          </w:p>
          <w:p w14:paraId="321CB648" w14:textId="77777777" w:rsidR="00E4286E" w:rsidRPr="00E10A55" w:rsidRDefault="00E4286E" w:rsidP="00FF667E">
            <w:pPr>
              <w:spacing w:after="160" w:line="240" w:lineRule="exact"/>
              <w:contextualSpacing/>
              <w:rPr>
                <w:rFonts w:eastAsia="Times New Roman" w:cstheme="minorHAnsi"/>
                <w:color w:val="000000"/>
                <w:lang w:val="en-US" w:eastAsia="en-US"/>
              </w:rPr>
            </w:pPr>
          </w:p>
          <w:p w14:paraId="1289C66B"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Ministry of Environment and Energy</w:t>
            </w:r>
          </w:p>
          <w:p w14:paraId="4A8DBDAE"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Installation of energy storage for additional RES penetration</w:t>
            </w:r>
          </w:p>
          <w:p w14:paraId="3AB288A3"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Energy Efficiency and promotion of RES for self-consumption</w:t>
            </w:r>
          </w:p>
          <w:p w14:paraId="6E30B98B"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Promotion of CCS technologies to foster industry decarbonization</w:t>
            </w:r>
          </w:p>
          <w:p w14:paraId="5E4AEBA7"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Interventions for the electricity interconnection of islands and the upgrading of the electricity network</w:t>
            </w:r>
          </w:p>
          <w:p w14:paraId="7B3F3DB5"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Support of the installation of storage systems to enhance renewable energy (RES) penetration</w:t>
            </w:r>
          </w:p>
          <w:p w14:paraId="442F3301"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Pilot projects for Biomethane and Renewable Hydrogen Production</w:t>
            </w:r>
          </w:p>
          <w:p w14:paraId="61C476B7"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HEDNO overhead network upgrading in forest areas</w:t>
            </w:r>
          </w:p>
          <w:p w14:paraId="490B4404"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HEDNO network upgrades aiming at enhancing resilience and protecting the environment</w:t>
            </w:r>
          </w:p>
          <w:p w14:paraId="503D18C1" w14:textId="77777777" w:rsidR="00E4286E" w:rsidRPr="00E10A55" w:rsidRDefault="00E4286E" w:rsidP="00FF667E">
            <w:pPr>
              <w:spacing w:line="240" w:lineRule="exact"/>
              <w:rPr>
                <w:rFonts w:eastAsia="Times New Roman" w:cstheme="minorHAnsi"/>
                <w:color w:val="000000"/>
                <w:lang w:val="en-US"/>
              </w:rPr>
            </w:pPr>
          </w:p>
        </w:tc>
      </w:tr>
      <w:tr w:rsidR="00E4286E" w:rsidRPr="00E10A55" w14:paraId="6FAB36C5" w14:textId="77777777" w:rsidTr="000A3ED7">
        <w:trPr>
          <w:trHeight w:val="227"/>
          <w:jc w:val="center"/>
        </w:trPr>
        <w:tc>
          <w:tcPr>
            <w:tcW w:w="393" w:type="dxa"/>
            <w:tcBorders>
              <w:top w:val="single" w:sz="4" w:space="0" w:color="4F81BD" w:themeColor="accent1"/>
              <w:left w:val="nil"/>
              <w:bottom w:val="single" w:sz="4" w:space="0" w:color="auto"/>
              <w:right w:val="nil"/>
            </w:tcBorders>
            <w:shd w:val="clear" w:color="000000" w:fill="305496"/>
            <w:vAlign w:val="center"/>
            <w:hideMark/>
          </w:tcPr>
          <w:p w14:paraId="327386F9" w14:textId="77777777" w:rsidR="00E4286E" w:rsidRPr="00E10A55" w:rsidRDefault="00E4286E" w:rsidP="00FF667E">
            <w:pPr>
              <w:spacing w:line="240" w:lineRule="exact"/>
              <w:jc w:val="center"/>
              <w:rPr>
                <w:rFonts w:eastAsia="Times New Roman" w:cstheme="minorHAnsi"/>
                <w:color w:val="FFFFFF"/>
                <w:lang w:val="en-US" w:eastAsia="en-US"/>
              </w:rPr>
            </w:pPr>
            <w:r w:rsidRPr="00E10A55">
              <w:rPr>
                <w:rFonts w:eastAsia="Times New Roman" w:cstheme="minorHAnsi"/>
                <w:color w:val="FFFFFF"/>
                <w:lang w:val="en-US" w:eastAsia="en-US"/>
              </w:rPr>
              <w:lastRenderedPageBreak/>
              <w:t>4</w:t>
            </w:r>
          </w:p>
        </w:tc>
        <w:tc>
          <w:tcPr>
            <w:tcW w:w="1734" w:type="dxa"/>
            <w:tcBorders>
              <w:top w:val="single" w:sz="4" w:space="0" w:color="4F81BD" w:themeColor="accent1"/>
              <w:left w:val="nil"/>
              <w:bottom w:val="single" w:sz="4" w:space="0" w:color="auto"/>
              <w:right w:val="nil"/>
            </w:tcBorders>
            <w:shd w:val="clear" w:color="000000" w:fill="D9E1F2"/>
            <w:vAlign w:val="center"/>
            <w:hideMark/>
          </w:tcPr>
          <w:p w14:paraId="150DD0BB" w14:textId="77777777" w:rsidR="00E4286E" w:rsidRPr="00E10A55" w:rsidRDefault="00E4286E" w:rsidP="00920844">
            <w:pPr>
              <w:spacing w:line="240" w:lineRule="exact"/>
              <w:jc w:val="left"/>
              <w:rPr>
                <w:rFonts w:eastAsia="Times New Roman" w:cstheme="minorHAnsi"/>
                <w:color w:val="000000"/>
                <w:lang w:val="en-US" w:eastAsia="en-US"/>
              </w:rPr>
            </w:pPr>
            <w:r w:rsidRPr="00E10A55">
              <w:rPr>
                <w:rFonts w:eastAsia="Times New Roman" w:cstheme="minorHAnsi"/>
                <w:color w:val="000000"/>
                <w:lang w:val="en-US" w:eastAsia="en-US"/>
              </w:rPr>
              <w:t xml:space="preserve">Where necessary, the build-up of defense capabilities </w:t>
            </w:r>
          </w:p>
        </w:tc>
        <w:tc>
          <w:tcPr>
            <w:tcW w:w="6663" w:type="dxa"/>
            <w:tcBorders>
              <w:top w:val="single" w:sz="4" w:space="0" w:color="4F81BD" w:themeColor="accent1"/>
              <w:left w:val="nil"/>
              <w:bottom w:val="single" w:sz="4" w:space="0" w:color="auto"/>
              <w:right w:val="single" w:sz="4" w:space="0" w:color="auto"/>
            </w:tcBorders>
            <w:shd w:val="clear" w:color="000000" w:fill="FFFFFF"/>
            <w:vAlign w:val="center"/>
            <w:hideMark/>
          </w:tcPr>
          <w:p w14:paraId="4E0D5A58" w14:textId="77777777" w:rsidR="00E4286E" w:rsidRPr="00E10A55" w:rsidRDefault="00E4286E" w:rsidP="00FF667E">
            <w:pPr>
              <w:spacing w:line="240" w:lineRule="exact"/>
              <w:rPr>
                <w:rFonts w:eastAsia="Calibri" w:cstheme="minorHAnsi"/>
                <w:b/>
                <w:bCs/>
                <w:color w:val="365F91"/>
                <w:lang w:val="en-US"/>
              </w:rPr>
            </w:pPr>
            <w:r w:rsidRPr="00E10A55">
              <w:rPr>
                <w:rFonts w:eastAsia="Calibri" w:cstheme="minorHAnsi"/>
                <w:b/>
                <w:bCs/>
                <w:color w:val="365F91"/>
                <w:lang w:val="en-US"/>
              </w:rPr>
              <w:t xml:space="preserve">Investment needs by Ministry </w:t>
            </w:r>
          </w:p>
          <w:p w14:paraId="714FB596" w14:textId="77777777" w:rsidR="00E4286E" w:rsidRPr="00E10A55" w:rsidRDefault="00E4286E" w:rsidP="00FF667E">
            <w:pPr>
              <w:spacing w:line="240" w:lineRule="exact"/>
              <w:rPr>
                <w:rFonts w:eastAsia="Times New Roman" w:cstheme="minorHAnsi"/>
                <w:i/>
                <w:iCs/>
                <w:color w:val="365F91"/>
                <w:lang w:val="en-US" w:eastAsia="en-US"/>
              </w:rPr>
            </w:pPr>
            <w:r w:rsidRPr="00E10A55">
              <w:rPr>
                <w:rFonts w:eastAsia="Times New Roman" w:cstheme="minorHAnsi"/>
                <w:i/>
                <w:iCs/>
                <w:color w:val="365F91"/>
                <w:lang w:val="en-US" w:eastAsia="en-US"/>
              </w:rPr>
              <w:t xml:space="preserve">Ministry of National Economy and Finance </w:t>
            </w:r>
          </w:p>
          <w:p w14:paraId="19F6309C"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Implementation of the Partnership Agreement 2021-2027 - efficient management of ESPA funds</w:t>
            </w:r>
          </w:p>
          <w:p w14:paraId="14B3808E" w14:textId="77777777" w:rsidR="00E4286E" w:rsidRPr="00E10A55" w:rsidRDefault="00E4286E" w:rsidP="00FF667E">
            <w:pPr>
              <w:spacing w:after="160" w:line="240" w:lineRule="exact"/>
              <w:contextualSpacing/>
              <w:rPr>
                <w:rFonts w:eastAsia="Calibri" w:cstheme="minorHAnsi"/>
                <w:lang w:val="en-US" w:eastAsia="en-US"/>
              </w:rPr>
            </w:pPr>
          </w:p>
          <w:p w14:paraId="45577DAF"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Ministry of Development</w:t>
            </w:r>
          </w:p>
          <w:p w14:paraId="487D81F5" w14:textId="77777777" w:rsidR="00E4286E" w:rsidRPr="00E10A55" w:rsidRDefault="00E4286E" w:rsidP="00E4286E">
            <w:pPr>
              <w:pStyle w:val="ListParagraph"/>
              <w:numPr>
                <w:ilvl w:val="0"/>
                <w:numId w:val="18"/>
              </w:numPr>
              <w:spacing w:after="160" w:line="240" w:lineRule="exact"/>
              <w:ind w:left="360"/>
              <w:rPr>
                <w:rFonts w:eastAsia="Times New Roman" w:cstheme="minorHAnsi"/>
                <w:color w:val="000000"/>
                <w:lang w:val="en-US"/>
              </w:rPr>
            </w:pPr>
            <w:r w:rsidRPr="00E10A55">
              <w:rPr>
                <w:rFonts w:eastAsia="Times New Roman" w:cstheme="minorHAnsi"/>
                <w:color w:val="000000"/>
                <w:lang w:val="en-US"/>
              </w:rPr>
              <w:t>TH 2 ORAX: Trellis Holistic &amp; Hybrid Operational Ruggedized Autonomous eXemplary system</w:t>
            </w:r>
          </w:p>
          <w:p w14:paraId="11EF769D" w14:textId="77777777" w:rsidR="00E4286E" w:rsidRPr="00E10A55" w:rsidRDefault="00E4286E" w:rsidP="00FF667E">
            <w:pPr>
              <w:spacing w:line="240" w:lineRule="exact"/>
              <w:rPr>
                <w:rFonts w:eastAsia="Calibri" w:cstheme="minorHAnsi"/>
                <w:i/>
                <w:iCs/>
                <w:color w:val="365F91"/>
                <w:lang w:val="en-US"/>
              </w:rPr>
            </w:pPr>
            <w:r w:rsidRPr="00E10A55">
              <w:rPr>
                <w:rFonts w:eastAsia="Calibri" w:cstheme="minorHAnsi"/>
                <w:i/>
                <w:iCs/>
                <w:color w:val="365F91"/>
                <w:lang w:val="en-US"/>
              </w:rPr>
              <w:t xml:space="preserve">Ministry of National Defense </w:t>
            </w:r>
          </w:p>
          <w:p w14:paraId="2AA61A03"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Times New Roman" w:cstheme="minorHAnsi"/>
                <w:color w:val="000000"/>
                <w:lang w:val="en-US" w:eastAsia="en-US"/>
              </w:rPr>
              <w:t xml:space="preserve">Enhance Domestic National Defense Industry with the contribution of the </w:t>
            </w:r>
            <w:r w:rsidRPr="00E10A55">
              <w:rPr>
                <w:rFonts w:eastAsia="Calibri" w:cstheme="minorHAnsi"/>
                <w:lang w:val="en-US" w:eastAsia="en-US"/>
              </w:rPr>
              <w:t xml:space="preserve">Hellenic Centre for Defense Innovation (HCDI) - (ELKAK) </w:t>
            </w:r>
          </w:p>
          <w:p w14:paraId="4140A8AD"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 xml:space="preserve">Increase training capacity provided to Military Personnel reserve force and conscripts </w:t>
            </w:r>
          </w:p>
          <w:p w14:paraId="6893C88A"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Implementation of the Medium-Term Defense Equipment Plan in terms of upgrading capability, armament and planning</w:t>
            </w:r>
          </w:p>
          <w:p w14:paraId="08815238"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Provision of all-terrain surveillance vehicles by the Armed Forces to address the needs of border management</w:t>
            </w:r>
          </w:p>
          <w:p w14:paraId="643BDA06"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Provision of Maritime Border Surveillance Systems by the Armed Forces</w:t>
            </w:r>
          </w:p>
          <w:p w14:paraId="67281469"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Provision of Unmanned Aerial Systems for border surveillance by the Armed Forces</w:t>
            </w:r>
          </w:p>
          <w:p w14:paraId="07A3E022"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Provision of Search and Rescue (SAR) equipment to enhance the effectiveness of search and rescue operations by the Armed Forces</w:t>
            </w:r>
          </w:p>
          <w:p w14:paraId="34DA1F9D" w14:textId="77777777" w:rsidR="00E4286E" w:rsidRPr="00E10A55" w:rsidRDefault="00E4286E" w:rsidP="00E4286E">
            <w:pPr>
              <w:numPr>
                <w:ilvl w:val="0"/>
                <w:numId w:val="18"/>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Construction of a new Operational Center for the Cybersecurity Division of the Armed Forces</w:t>
            </w:r>
          </w:p>
          <w:p w14:paraId="2EFBAAC5" w14:textId="77777777" w:rsidR="00E4286E" w:rsidRPr="00E10A55" w:rsidRDefault="00E4286E" w:rsidP="00FF667E">
            <w:pPr>
              <w:spacing w:after="160" w:line="240" w:lineRule="exact"/>
              <w:ind w:left="360"/>
              <w:contextualSpacing/>
              <w:rPr>
                <w:rFonts w:eastAsia="Times New Roman" w:cstheme="minorHAnsi"/>
                <w:color w:val="000000"/>
                <w:lang w:val="en-US" w:eastAsia="en-US"/>
              </w:rPr>
            </w:pPr>
          </w:p>
          <w:p w14:paraId="07D30E27" w14:textId="77777777" w:rsidR="00E4286E" w:rsidRPr="00E10A55" w:rsidRDefault="00E4286E" w:rsidP="00FF667E">
            <w:pPr>
              <w:spacing w:line="240" w:lineRule="exact"/>
              <w:rPr>
                <w:rFonts w:eastAsia="Times New Roman" w:cstheme="minorHAnsi"/>
                <w:i/>
                <w:iCs/>
                <w:color w:val="365F91"/>
              </w:rPr>
            </w:pPr>
            <w:r w:rsidRPr="00E10A55">
              <w:rPr>
                <w:rFonts w:eastAsia="Times New Roman" w:cstheme="minorHAnsi"/>
                <w:i/>
                <w:iCs/>
                <w:color w:val="365F91"/>
              </w:rPr>
              <w:t>Ministry of Citizens’ protection</w:t>
            </w:r>
          </w:p>
          <w:p w14:paraId="46D2A5B1" w14:textId="77777777" w:rsidR="00E4286E" w:rsidRPr="00E10A55" w:rsidRDefault="00E4286E" w:rsidP="00E4286E">
            <w:pPr>
              <w:numPr>
                <w:ilvl w:val="0"/>
                <w:numId w:val="22"/>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Integrated external border management to counter irregular migration and smuggling, through artificial intelligence and IT tools</w:t>
            </w:r>
          </w:p>
          <w:p w14:paraId="1A2B41A2" w14:textId="77777777" w:rsidR="00E4286E" w:rsidRPr="00E10A55" w:rsidRDefault="00E4286E" w:rsidP="00E4286E">
            <w:pPr>
              <w:numPr>
                <w:ilvl w:val="0"/>
                <w:numId w:val="22"/>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Extension of the Artificial Barrier (Fence) to the entire border line in Evros</w:t>
            </w:r>
          </w:p>
          <w:p w14:paraId="08819E86" w14:textId="77777777" w:rsidR="00E4286E" w:rsidRPr="00E10A55" w:rsidRDefault="00E4286E" w:rsidP="00E4286E">
            <w:pPr>
              <w:numPr>
                <w:ilvl w:val="0"/>
                <w:numId w:val="22"/>
              </w:numPr>
              <w:spacing w:after="160" w:line="240" w:lineRule="exact"/>
              <w:ind w:left="360"/>
              <w:contextualSpacing/>
              <w:rPr>
                <w:rFonts w:eastAsia="Times New Roman" w:cstheme="minorHAnsi"/>
                <w:color w:val="000000"/>
                <w:lang w:val="en-US" w:eastAsia="en-US"/>
              </w:rPr>
            </w:pPr>
            <w:r w:rsidRPr="00E10A55">
              <w:rPr>
                <w:rFonts w:eastAsia="Calibri" w:cstheme="minorHAnsi"/>
                <w:lang w:val="en-US" w:eastAsia="en-US"/>
              </w:rPr>
              <w:t>Information systems to enhance efficiency in external border management- the Entry-Exit System</w:t>
            </w:r>
          </w:p>
        </w:tc>
      </w:tr>
    </w:tbl>
    <w:p w14:paraId="6943B0A2" w14:textId="5B3FBC49" w:rsidR="00E4286E" w:rsidRDefault="00E4286E" w:rsidP="00DE7FDC">
      <w:pPr>
        <w:rPr>
          <w:lang w:val="en-US"/>
        </w:rPr>
      </w:pPr>
    </w:p>
    <w:p w14:paraId="75F8C61C" w14:textId="5955143A" w:rsidR="00A14BC8" w:rsidRDefault="00A14BC8" w:rsidP="00997926">
      <w:pPr>
        <w:pStyle w:val="Heading1"/>
        <w:spacing w:after="600"/>
        <w:rPr>
          <w:lang w:val="en-US"/>
        </w:rPr>
      </w:pPr>
      <w:bookmarkStart w:id="133" w:name="_Toc178070122"/>
      <w:r>
        <w:rPr>
          <w:lang w:val="en-US"/>
        </w:rPr>
        <w:lastRenderedPageBreak/>
        <w:t xml:space="preserve">Annex </w:t>
      </w:r>
      <w:r w:rsidR="00987A40">
        <w:rPr>
          <w:lang w:val="en-US"/>
        </w:rPr>
        <w:t>I</w:t>
      </w:r>
      <w:r>
        <w:rPr>
          <w:lang w:val="en-US"/>
        </w:rPr>
        <w:t xml:space="preserve">I: </w:t>
      </w:r>
      <w:r w:rsidR="00570227">
        <w:rPr>
          <w:lang w:val="en-US"/>
        </w:rPr>
        <w:t>Discretionary revenue m</w:t>
      </w:r>
      <w:r w:rsidR="008572FA">
        <w:rPr>
          <w:lang w:val="en-US"/>
        </w:rPr>
        <w:t>easure</w:t>
      </w:r>
      <w:r w:rsidR="00570227">
        <w:rPr>
          <w:lang w:val="en-US"/>
        </w:rPr>
        <w:t>s</w:t>
      </w:r>
      <w:r>
        <w:rPr>
          <w:lang w:val="en-US"/>
        </w:rPr>
        <w:t xml:space="preserve"> </w:t>
      </w:r>
      <w:r w:rsidR="008572FA">
        <w:rPr>
          <w:lang w:val="en-US"/>
        </w:rPr>
        <w:t>t</w:t>
      </w:r>
      <w:r>
        <w:rPr>
          <w:lang w:val="en-US"/>
        </w:rPr>
        <w:t>ables</w:t>
      </w:r>
      <w:bookmarkEnd w:id="133"/>
    </w:p>
    <w:p w14:paraId="63D51655" w14:textId="5ACA1713" w:rsidR="004B6F92" w:rsidRPr="001F2E9A" w:rsidRDefault="00570227" w:rsidP="001F2E9A">
      <w:pPr>
        <w:pStyle w:val="Table"/>
      </w:pPr>
      <w:bookmarkStart w:id="134" w:name="_Ref177570880"/>
      <w:bookmarkStart w:id="135" w:name="_Ref177570861"/>
      <w:bookmarkStart w:id="136" w:name="_Toc177747048"/>
      <w:r w:rsidRPr="001F2E9A">
        <w:t xml:space="preserve">Table </w:t>
      </w:r>
      <w:r w:rsidR="00337799" w:rsidRPr="001F2E9A">
        <w:fldChar w:fldCharType="begin"/>
      </w:r>
      <w:r w:rsidR="00337799" w:rsidRPr="001F2E9A">
        <w:instrText xml:space="preserve"> SEQ Table \* ARABIC </w:instrText>
      </w:r>
      <w:r w:rsidR="00337799" w:rsidRPr="001F2E9A">
        <w:fldChar w:fldCharType="separate"/>
      </w:r>
      <w:r w:rsidR="00824AAF">
        <w:rPr>
          <w:noProof/>
        </w:rPr>
        <w:t>18</w:t>
      </w:r>
      <w:r w:rsidR="00337799" w:rsidRPr="001F2E9A">
        <w:fldChar w:fldCharType="end"/>
      </w:r>
      <w:bookmarkEnd w:id="134"/>
      <w:r w:rsidRPr="001F2E9A">
        <w:t xml:space="preserve"> </w:t>
      </w:r>
      <w:r w:rsidR="001F2E9A">
        <w:t xml:space="preserve">| </w:t>
      </w:r>
      <w:r w:rsidR="00C949B4" w:rsidRPr="001F2E9A">
        <w:t xml:space="preserve">Estimated impact of discretionary </w:t>
      </w:r>
      <w:r w:rsidR="007C01BC">
        <w:t xml:space="preserve">revenues </w:t>
      </w:r>
      <w:r w:rsidR="00C949B4" w:rsidRPr="001F2E9A">
        <w:t>measures</w:t>
      </w:r>
      <w:bookmarkStart w:id="137" w:name="_Ref177570915"/>
      <w:bookmarkEnd w:id="135"/>
      <w:r w:rsidR="004F43D7">
        <w:t xml:space="preserve"> 2023-2024</w:t>
      </w:r>
      <w:bookmarkEnd w:id="136"/>
    </w:p>
    <w:tbl>
      <w:tblPr>
        <w:tblW w:w="8978" w:type="dxa"/>
        <w:jc w:val="center"/>
        <w:tblLayout w:type="fixed"/>
        <w:tblLook w:val="04A0" w:firstRow="1" w:lastRow="0" w:firstColumn="1" w:lastColumn="0" w:noHBand="0" w:noVBand="1"/>
      </w:tblPr>
      <w:tblGrid>
        <w:gridCol w:w="440"/>
        <w:gridCol w:w="3813"/>
        <w:gridCol w:w="635"/>
        <w:gridCol w:w="782"/>
        <w:gridCol w:w="1560"/>
        <w:gridCol w:w="851"/>
        <w:gridCol w:w="897"/>
      </w:tblGrid>
      <w:tr w:rsidR="004B6F92" w:rsidRPr="004B6F92" w14:paraId="6C553C44" w14:textId="77777777" w:rsidTr="00E521F6">
        <w:trPr>
          <w:trHeight w:val="705"/>
          <w:jc w:val="center"/>
        </w:trPr>
        <w:tc>
          <w:tcPr>
            <w:tcW w:w="440" w:type="dxa"/>
            <w:tcBorders>
              <w:top w:val="nil"/>
              <w:left w:val="nil"/>
              <w:right w:val="nil"/>
            </w:tcBorders>
            <w:shd w:val="clear" w:color="000000" w:fill="BFBFBF"/>
            <w:vAlign w:val="center"/>
            <w:hideMark/>
          </w:tcPr>
          <w:p w14:paraId="00C6A5F5" w14:textId="77777777" w:rsidR="004B6F92" w:rsidRPr="004B6F92" w:rsidRDefault="004B6F92" w:rsidP="008363A1">
            <w:pPr>
              <w:pStyle w:val="Tabletext"/>
              <w:spacing w:line="200" w:lineRule="exact"/>
            </w:pPr>
            <w:r w:rsidRPr="004B6F92">
              <w:t> </w:t>
            </w:r>
          </w:p>
        </w:tc>
        <w:tc>
          <w:tcPr>
            <w:tcW w:w="3813" w:type="dxa"/>
            <w:tcBorders>
              <w:top w:val="nil"/>
              <w:left w:val="nil"/>
              <w:right w:val="nil"/>
            </w:tcBorders>
            <w:shd w:val="clear" w:color="000000" w:fill="BFBFBF"/>
            <w:vAlign w:val="center"/>
            <w:hideMark/>
          </w:tcPr>
          <w:p w14:paraId="5FD94AC5" w14:textId="77777777" w:rsidR="004B6F92" w:rsidRPr="008363A1" w:rsidRDefault="004B6F92" w:rsidP="008363A1">
            <w:pPr>
              <w:pStyle w:val="Tabletext"/>
              <w:spacing w:line="200" w:lineRule="exact"/>
              <w:rPr>
                <w:b/>
              </w:rPr>
            </w:pPr>
            <w:r w:rsidRPr="008363A1">
              <w:rPr>
                <w:b/>
              </w:rPr>
              <w:t xml:space="preserve">Title/description measure </w:t>
            </w:r>
          </w:p>
        </w:tc>
        <w:tc>
          <w:tcPr>
            <w:tcW w:w="635" w:type="dxa"/>
            <w:tcBorders>
              <w:top w:val="nil"/>
              <w:left w:val="nil"/>
              <w:right w:val="nil"/>
            </w:tcBorders>
            <w:shd w:val="clear" w:color="000000" w:fill="BFBFBF"/>
            <w:vAlign w:val="center"/>
            <w:hideMark/>
          </w:tcPr>
          <w:p w14:paraId="2E164C33" w14:textId="77777777" w:rsidR="004B6F92" w:rsidRPr="008363A1" w:rsidRDefault="004B6F92" w:rsidP="008363A1">
            <w:pPr>
              <w:pStyle w:val="Tabletext"/>
              <w:spacing w:line="200" w:lineRule="exact"/>
              <w:rPr>
                <w:b/>
              </w:rPr>
            </w:pPr>
            <w:r w:rsidRPr="008363A1">
              <w:rPr>
                <w:b/>
              </w:rPr>
              <w:t xml:space="preserve">One-off </w:t>
            </w:r>
          </w:p>
        </w:tc>
        <w:tc>
          <w:tcPr>
            <w:tcW w:w="782" w:type="dxa"/>
            <w:tcBorders>
              <w:top w:val="nil"/>
              <w:left w:val="nil"/>
              <w:right w:val="nil"/>
            </w:tcBorders>
            <w:shd w:val="clear" w:color="000000" w:fill="BFBFBF"/>
            <w:vAlign w:val="center"/>
            <w:hideMark/>
          </w:tcPr>
          <w:p w14:paraId="2875FD4C" w14:textId="77777777" w:rsidR="004B6F92" w:rsidRPr="008363A1" w:rsidRDefault="004B6F92" w:rsidP="008363A1">
            <w:pPr>
              <w:pStyle w:val="Tabletext"/>
              <w:spacing w:line="200" w:lineRule="exact"/>
              <w:rPr>
                <w:b/>
              </w:rPr>
            </w:pPr>
            <w:r w:rsidRPr="008363A1">
              <w:rPr>
                <w:b/>
              </w:rPr>
              <w:t xml:space="preserve">Exp / Rev </w:t>
            </w:r>
          </w:p>
        </w:tc>
        <w:tc>
          <w:tcPr>
            <w:tcW w:w="1560" w:type="dxa"/>
            <w:tcBorders>
              <w:top w:val="nil"/>
              <w:left w:val="nil"/>
              <w:right w:val="nil"/>
            </w:tcBorders>
            <w:shd w:val="clear" w:color="000000" w:fill="BFBFBF"/>
            <w:vAlign w:val="center"/>
            <w:hideMark/>
          </w:tcPr>
          <w:p w14:paraId="51830BFF" w14:textId="77777777" w:rsidR="004B6F92" w:rsidRPr="008363A1" w:rsidRDefault="004B6F92" w:rsidP="008363A1">
            <w:pPr>
              <w:pStyle w:val="Tabletext"/>
              <w:spacing w:line="200" w:lineRule="exact"/>
              <w:rPr>
                <w:b/>
              </w:rPr>
            </w:pPr>
            <w:r w:rsidRPr="008363A1">
              <w:rPr>
                <w:b/>
              </w:rPr>
              <w:t xml:space="preserve">ESA Code </w:t>
            </w:r>
          </w:p>
        </w:tc>
        <w:tc>
          <w:tcPr>
            <w:tcW w:w="851" w:type="dxa"/>
            <w:tcBorders>
              <w:top w:val="nil"/>
              <w:left w:val="nil"/>
              <w:bottom w:val="single" w:sz="4" w:space="0" w:color="FFFFFF"/>
              <w:right w:val="nil"/>
            </w:tcBorders>
            <w:shd w:val="clear" w:color="000000" w:fill="BFBFBF"/>
            <w:textDirection w:val="btLr"/>
            <w:vAlign w:val="center"/>
            <w:hideMark/>
          </w:tcPr>
          <w:p w14:paraId="2B70291A" w14:textId="77777777" w:rsidR="004B6F92" w:rsidRPr="008363A1" w:rsidRDefault="004B6F92" w:rsidP="008363A1">
            <w:pPr>
              <w:pStyle w:val="Tabletext"/>
              <w:spacing w:line="200" w:lineRule="exact"/>
              <w:jc w:val="center"/>
              <w:rPr>
                <w:b/>
              </w:rPr>
            </w:pPr>
            <w:r w:rsidRPr="008363A1">
              <w:rPr>
                <w:b/>
              </w:rPr>
              <w:t>2023</w:t>
            </w:r>
          </w:p>
        </w:tc>
        <w:tc>
          <w:tcPr>
            <w:tcW w:w="897" w:type="dxa"/>
            <w:tcBorders>
              <w:top w:val="nil"/>
              <w:left w:val="nil"/>
              <w:bottom w:val="single" w:sz="4" w:space="0" w:color="FFFFFF"/>
              <w:right w:val="nil"/>
            </w:tcBorders>
            <w:shd w:val="clear" w:color="000000" w:fill="BFBFBF"/>
            <w:textDirection w:val="btLr"/>
            <w:vAlign w:val="center"/>
            <w:hideMark/>
          </w:tcPr>
          <w:p w14:paraId="08E5A0C4" w14:textId="77777777" w:rsidR="004B6F92" w:rsidRPr="008363A1" w:rsidRDefault="004B6F92" w:rsidP="008363A1">
            <w:pPr>
              <w:pStyle w:val="Tabletext"/>
              <w:spacing w:line="200" w:lineRule="exact"/>
              <w:jc w:val="center"/>
              <w:rPr>
                <w:b/>
              </w:rPr>
            </w:pPr>
            <w:r w:rsidRPr="008363A1">
              <w:rPr>
                <w:b/>
              </w:rPr>
              <w:t>2024</w:t>
            </w:r>
          </w:p>
        </w:tc>
      </w:tr>
      <w:tr w:rsidR="008363A1" w:rsidRPr="004B6F92" w14:paraId="55341AA7" w14:textId="77777777" w:rsidTr="00E521F6">
        <w:trPr>
          <w:trHeight w:val="300"/>
          <w:jc w:val="center"/>
        </w:trPr>
        <w:tc>
          <w:tcPr>
            <w:tcW w:w="440" w:type="dxa"/>
            <w:tcBorders>
              <w:left w:val="nil"/>
              <w:bottom w:val="single" w:sz="4" w:space="0" w:color="FFFFFF"/>
              <w:right w:val="nil"/>
            </w:tcBorders>
            <w:shd w:val="clear" w:color="000000" w:fill="BFBFBF"/>
            <w:vAlign w:val="center"/>
            <w:hideMark/>
          </w:tcPr>
          <w:p w14:paraId="1CF5FE55" w14:textId="77777777" w:rsidR="008363A1" w:rsidRPr="004B6F92" w:rsidRDefault="008363A1" w:rsidP="008363A1">
            <w:pPr>
              <w:pStyle w:val="Tabletext"/>
              <w:spacing w:line="200" w:lineRule="exact"/>
            </w:pPr>
            <w:r w:rsidRPr="004B6F92">
              <w:t> </w:t>
            </w:r>
          </w:p>
        </w:tc>
        <w:tc>
          <w:tcPr>
            <w:tcW w:w="3813" w:type="dxa"/>
            <w:tcBorders>
              <w:left w:val="nil"/>
              <w:bottom w:val="single" w:sz="4" w:space="0" w:color="FFFFFF"/>
              <w:right w:val="nil"/>
            </w:tcBorders>
            <w:shd w:val="clear" w:color="000000" w:fill="BFBFBF"/>
            <w:vAlign w:val="center"/>
            <w:hideMark/>
          </w:tcPr>
          <w:p w14:paraId="242ABFA6" w14:textId="77777777" w:rsidR="008363A1" w:rsidRPr="008363A1" w:rsidRDefault="008363A1" w:rsidP="008363A1">
            <w:pPr>
              <w:pStyle w:val="Tabletext"/>
              <w:spacing w:line="200" w:lineRule="exact"/>
              <w:rPr>
                <w:b/>
              </w:rPr>
            </w:pPr>
            <w:r w:rsidRPr="008363A1">
              <w:rPr>
                <w:b/>
              </w:rPr>
              <w:t> </w:t>
            </w:r>
          </w:p>
        </w:tc>
        <w:tc>
          <w:tcPr>
            <w:tcW w:w="635" w:type="dxa"/>
            <w:tcBorders>
              <w:left w:val="nil"/>
              <w:bottom w:val="single" w:sz="4" w:space="0" w:color="FFFFFF"/>
              <w:right w:val="nil"/>
            </w:tcBorders>
            <w:shd w:val="clear" w:color="000000" w:fill="BFBFBF"/>
            <w:vAlign w:val="center"/>
            <w:hideMark/>
          </w:tcPr>
          <w:p w14:paraId="170702B2" w14:textId="77777777" w:rsidR="008363A1" w:rsidRPr="008363A1" w:rsidRDefault="008363A1" w:rsidP="008363A1">
            <w:pPr>
              <w:pStyle w:val="Tabletext"/>
              <w:spacing w:line="200" w:lineRule="exact"/>
              <w:rPr>
                <w:b/>
              </w:rPr>
            </w:pPr>
            <w:r w:rsidRPr="008363A1">
              <w:rPr>
                <w:b/>
              </w:rPr>
              <w:t> </w:t>
            </w:r>
          </w:p>
        </w:tc>
        <w:tc>
          <w:tcPr>
            <w:tcW w:w="782" w:type="dxa"/>
            <w:tcBorders>
              <w:left w:val="nil"/>
              <w:bottom w:val="single" w:sz="4" w:space="0" w:color="FFFFFF"/>
              <w:right w:val="nil"/>
            </w:tcBorders>
            <w:shd w:val="clear" w:color="000000" w:fill="BFBFBF"/>
            <w:vAlign w:val="center"/>
            <w:hideMark/>
          </w:tcPr>
          <w:p w14:paraId="02FF33C5" w14:textId="77777777" w:rsidR="008363A1" w:rsidRPr="008363A1" w:rsidRDefault="008363A1" w:rsidP="008363A1">
            <w:pPr>
              <w:pStyle w:val="Tabletext"/>
              <w:spacing w:line="200" w:lineRule="exact"/>
              <w:rPr>
                <w:b/>
              </w:rPr>
            </w:pPr>
            <w:r w:rsidRPr="008363A1">
              <w:rPr>
                <w:b/>
              </w:rPr>
              <w:t> </w:t>
            </w:r>
          </w:p>
        </w:tc>
        <w:tc>
          <w:tcPr>
            <w:tcW w:w="1560" w:type="dxa"/>
            <w:tcBorders>
              <w:left w:val="nil"/>
              <w:bottom w:val="single" w:sz="4" w:space="0" w:color="FFFFFF"/>
              <w:right w:val="nil"/>
            </w:tcBorders>
            <w:shd w:val="clear" w:color="000000" w:fill="BFBFBF"/>
            <w:vAlign w:val="center"/>
            <w:hideMark/>
          </w:tcPr>
          <w:p w14:paraId="1371BC86" w14:textId="77777777" w:rsidR="008363A1" w:rsidRPr="008363A1" w:rsidRDefault="008363A1" w:rsidP="008363A1">
            <w:pPr>
              <w:pStyle w:val="Tabletext"/>
              <w:spacing w:line="200" w:lineRule="exact"/>
              <w:rPr>
                <w:b/>
              </w:rPr>
            </w:pPr>
            <w:r w:rsidRPr="008363A1">
              <w:rPr>
                <w:b/>
              </w:rPr>
              <w:t> </w:t>
            </w:r>
          </w:p>
        </w:tc>
        <w:tc>
          <w:tcPr>
            <w:tcW w:w="1748" w:type="dxa"/>
            <w:gridSpan w:val="2"/>
            <w:tcBorders>
              <w:top w:val="single" w:sz="4" w:space="0" w:color="FFFFFF"/>
              <w:left w:val="nil"/>
              <w:bottom w:val="single" w:sz="4" w:space="0" w:color="FFFFFF"/>
            </w:tcBorders>
            <w:shd w:val="clear" w:color="000000" w:fill="BFBFBF"/>
            <w:vAlign w:val="center"/>
            <w:hideMark/>
          </w:tcPr>
          <w:p w14:paraId="0D5A1DC1" w14:textId="77777777" w:rsidR="008363A1" w:rsidRPr="008363A1" w:rsidRDefault="008363A1" w:rsidP="008363A1">
            <w:pPr>
              <w:pStyle w:val="Tabletext"/>
              <w:spacing w:line="200" w:lineRule="exact"/>
              <w:jc w:val="center"/>
              <w:rPr>
                <w:b/>
              </w:rPr>
            </w:pPr>
            <w:r w:rsidRPr="008363A1">
              <w:rPr>
                <w:b/>
              </w:rPr>
              <w:t>% GDP</w:t>
            </w:r>
          </w:p>
        </w:tc>
      </w:tr>
      <w:tr w:rsidR="004B6F92" w:rsidRPr="004B6F92" w14:paraId="3817BCFE" w14:textId="77777777" w:rsidTr="00E521F6">
        <w:trPr>
          <w:trHeight w:val="600"/>
          <w:jc w:val="center"/>
        </w:trPr>
        <w:tc>
          <w:tcPr>
            <w:tcW w:w="440" w:type="dxa"/>
            <w:tcBorders>
              <w:top w:val="nil"/>
              <w:left w:val="nil"/>
              <w:bottom w:val="single" w:sz="4" w:space="0" w:color="FFFFFF"/>
              <w:right w:val="nil"/>
            </w:tcBorders>
            <w:shd w:val="clear" w:color="000000" w:fill="F2F2F2"/>
            <w:vAlign w:val="center"/>
            <w:hideMark/>
          </w:tcPr>
          <w:p w14:paraId="4AEF5295" w14:textId="77777777" w:rsidR="004B6F92" w:rsidRPr="004B6F92" w:rsidRDefault="004B6F92" w:rsidP="008363A1">
            <w:pPr>
              <w:pStyle w:val="Tabletext"/>
              <w:spacing w:line="200" w:lineRule="exact"/>
              <w:rPr>
                <w:rFonts w:cs="Calibri"/>
                <w:sz w:val="22"/>
              </w:rPr>
            </w:pPr>
            <w:r w:rsidRPr="004B6F92">
              <w:rPr>
                <w:rFonts w:cs="Calibri"/>
                <w:sz w:val="22"/>
              </w:rPr>
              <w:t>1</w:t>
            </w:r>
          </w:p>
        </w:tc>
        <w:tc>
          <w:tcPr>
            <w:tcW w:w="3813" w:type="dxa"/>
            <w:tcBorders>
              <w:top w:val="nil"/>
              <w:left w:val="nil"/>
              <w:bottom w:val="single" w:sz="4" w:space="0" w:color="FFFFFF"/>
              <w:right w:val="nil"/>
            </w:tcBorders>
            <w:shd w:val="clear" w:color="000000" w:fill="F2F2F2"/>
            <w:vAlign w:val="center"/>
            <w:hideMark/>
          </w:tcPr>
          <w:p w14:paraId="5A3FF6C5" w14:textId="13259BE3" w:rsidR="004B6F92" w:rsidRPr="004B6F92" w:rsidRDefault="004B6F92" w:rsidP="008363A1">
            <w:pPr>
              <w:pStyle w:val="Tabletext"/>
              <w:spacing w:line="200" w:lineRule="exact"/>
              <w:rPr>
                <w:rFonts w:cs="Calibri"/>
                <w:sz w:val="22"/>
              </w:rPr>
            </w:pPr>
            <w:r w:rsidRPr="004B6F92">
              <w:rPr>
                <w:rFonts w:cs="Calibri"/>
                <w:sz w:val="22"/>
              </w:rPr>
              <w:t xml:space="preserve">State (first) aid and farmers' compensation for Daniel storm </w:t>
            </w:r>
            <w:r w:rsidR="008434E9">
              <w:rPr>
                <w:rFonts w:cs="Calibri"/>
                <w:sz w:val="22"/>
              </w:rPr>
              <w:br/>
            </w:r>
            <w:r w:rsidRPr="004B6F92">
              <w:rPr>
                <w:rFonts w:cs="Calibri"/>
                <w:sz w:val="22"/>
              </w:rPr>
              <w:t>natural disasters</w:t>
            </w:r>
          </w:p>
        </w:tc>
        <w:tc>
          <w:tcPr>
            <w:tcW w:w="635" w:type="dxa"/>
            <w:tcBorders>
              <w:top w:val="nil"/>
              <w:left w:val="nil"/>
              <w:bottom w:val="single" w:sz="4" w:space="0" w:color="FFFFFF"/>
              <w:right w:val="nil"/>
            </w:tcBorders>
            <w:shd w:val="clear" w:color="000000" w:fill="F2F2F2"/>
            <w:vAlign w:val="center"/>
            <w:hideMark/>
          </w:tcPr>
          <w:p w14:paraId="62EAB8D5" w14:textId="77777777" w:rsidR="004B6F92" w:rsidRPr="004B6F92" w:rsidRDefault="004B6F92" w:rsidP="008363A1">
            <w:pPr>
              <w:pStyle w:val="Tabletext"/>
              <w:spacing w:line="200" w:lineRule="exact"/>
              <w:rPr>
                <w:rFonts w:cs="Calibri"/>
                <w:sz w:val="22"/>
              </w:rPr>
            </w:pPr>
            <w:r w:rsidRPr="004B6F92">
              <w:rPr>
                <w:rFonts w:cs="Calibri"/>
                <w:sz w:val="22"/>
              </w:rPr>
              <w:t>Yes</w:t>
            </w:r>
          </w:p>
        </w:tc>
        <w:tc>
          <w:tcPr>
            <w:tcW w:w="782" w:type="dxa"/>
            <w:tcBorders>
              <w:top w:val="nil"/>
              <w:left w:val="nil"/>
              <w:bottom w:val="single" w:sz="4" w:space="0" w:color="FFFFFF"/>
              <w:right w:val="nil"/>
            </w:tcBorders>
            <w:shd w:val="clear" w:color="000000" w:fill="F2F2F2"/>
            <w:vAlign w:val="center"/>
            <w:hideMark/>
          </w:tcPr>
          <w:p w14:paraId="61C1B857" w14:textId="77777777" w:rsidR="004B6F92" w:rsidRPr="004B6F92" w:rsidRDefault="004B6F92" w:rsidP="008363A1">
            <w:pPr>
              <w:pStyle w:val="Tabletext"/>
              <w:spacing w:line="200" w:lineRule="exact"/>
              <w:rPr>
                <w:rFonts w:cs="Calibri"/>
                <w:sz w:val="22"/>
              </w:rPr>
            </w:pPr>
            <w:r w:rsidRPr="004B6F92">
              <w:rPr>
                <w:rFonts w:cs="Calibri"/>
                <w:sz w:val="22"/>
              </w:rPr>
              <w:t>Exp</w:t>
            </w:r>
          </w:p>
        </w:tc>
        <w:tc>
          <w:tcPr>
            <w:tcW w:w="1560" w:type="dxa"/>
            <w:tcBorders>
              <w:top w:val="nil"/>
              <w:left w:val="nil"/>
              <w:bottom w:val="single" w:sz="4" w:space="0" w:color="FFFFFF"/>
              <w:right w:val="nil"/>
            </w:tcBorders>
            <w:shd w:val="clear" w:color="000000" w:fill="F2F2F2"/>
            <w:vAlign w:val="center"/>
            <w:hideMark/>
          </w:tcPr>
          <w:p w14:paraId="5FC9D033" w14:textId="77777777" w:rsidR="004B6F92" w:rsidRPr="004B6F92" w:rsidRDefault="004B6F92" w:rsidP="008363A1">
            <w:pPr>
              <w:pStyle w:val="Tabletext"/>
              <w:spacing w:line="200" w:lineRule="exact"/>
              <w:rPr>
                <w:rFonts w:cs="Calibri"/>
                <w:sz w:val="22"/>
              </w:rPr>
            </w:pPr>
            <w:r w:rsidRPr="004B6F92">
              <w:rPr>
                <w:rFonts w:cs="Calibri"/>
                <w:sz w:val="22"/>
              </w:rPr>
              <w:t>D.9</w:t>
            </w:r>
          </w:p>
        </w:tc>
        <w:tc>
          <w:tcPr>
            <w:tcW w:w="851" w:type="dxa"/>
            <w:tcBorders>
              <w:top w:val="nil"/>
              <w:left w:val="nil"/>
              <w:bottom w:val="single" w:sz="4" w:space="0" w:color="FFFFFF"/>
              <w:right w:val="nil"/>
            </w:tcBorders>
            <w:shd w:val="clear" w:color="000000" w:fill="F2F2F2"/>
            <w:vAlign w:val="center"/>
            <w:hideMark/>
          </w:tcPr>
          <w:p w14:paraId="5C451243" w14:textId="77777777" w:rsidR="004B6F92" w:rsidRPr="004B6F92" w:rsidRDefault="004B6F92" w:rsidP="008363A1">
            <w:pPr>
              <w:pStyle w:val="Tabletext"/>
              <w:spacing w:line="200" w:lineRule="exact"/>
              <w:jc w:val="center"/>
              <w:rPr>
                <w:rFonts w:cs="Calibri"/>
                <w:sz w:val="22"/>
              </w:rPr>
            </w:pPr>
            <w:r w:rsidRPr="004B6F92">
              <w:rPr>
                <w:rFonts w:cs="Calibri"/>
                <w:sz w:val="22"/>
              </w:rPr>
              <w:t>0.21</w:t>
            </w:r>
          </w:p>
        </w:tc>
        <w:tc>
          <w:tcPr>
            <w:tcW w:w="897" w:type="dxa"/>
            <w:tcBorders>
              <w:top w:val="nil"/>
              <w:left w:val="nil"/>
              <w:bottom w:val="single" w:sz="4" w:space="0" w:color="FFFFFF"/>
              <w:right w:val="nil"/>
            </w:tcBorders>
            <w:shd w:val="clear" w:color="000000" w:fill="F2F2F2"/>
            <w:vAlign w:val="center"/>
            <w:hideMark/>
          </w:tcPr>
          <w:p w14:paraId="60DA7718" w14:textId="77777777" w:rsidR="004B6F92" w:rsidRPr="004B6F92" w:rsidRDefault="004B6F92" w:rsidP="008363A1">
            <w:pPr>
              <w:pStyle w:val="Tabletext"/>
              <w:spacing w:line="200" w:lineRule="exact"/>
              <w:jc w:val="center"/>
              <w:rPr>
                <w:rFonts w:cs="Calibri"/>
                <w:sz w:val="22"/>
              </w:rPr>
            </w:pPr>
            <w:r w:rsidRPr="004B6F92">
              <w:rPr>
                <w:rFonts w:cs="Calibri"/>
                <w:sz w:val="22"/>
              </w:rPr>
              <w:t>0.16</w:t>
            </w:r>
          </w:p>
        </w:tc>
      </w:tr>
      <w:tr w:rsidR="004B6F92" w:rsidRPr="004B6F92" w14:paraId="64B9C3FE" w14:textId="77777777" w:rsidTr="00E521F6">
        <w:trPr>
          <w:trHeight w:val="712"/>
          <w:jc w:val="center"/>
        </w:trPr>
        <w:tc>
          <w:tcPr>
            <w:tcW w:w="440" w:type="dxa"/>
            <w:tcBorders>
              <w:top w:val="nil"/>
              <w:left w:val="nil"/>
              <w:bottom w:val="single" w:sz="4" w:space="0" w:color="FFFFFF"/>
              <w:right w:val="nil"/>
            </w:tcBorders>
            <w:shd w:val="clear" w:color="000000" w:fill="D9D9D9"/>
            <w:vAlign w:val="center"/>
            <w:hideMark/>
          </w:tcPr>
          <w:p w14:paraId="01BA3DFC" w14:textId="77777777" w:rsidR="004B6F92" w:rsidRPr="004B6F92" w:rsidRDefault="004B6F92" w:rsidP="008363A1">
            <w:pPr>
              <w:pStyle w:val="Tabletext"/>
              <w:spacing w:line="200" w:lineRule="exact"/>
              <w:rPr>
                <w:rFonts w:cs="Calibri"/>
                <w:sz w:val="22"/>
              </w:rPr>
            </w:pPr>
            <w:r w:rsidRPr="004B6F92">
              <w:rPr>
                <w:rFonts w:cs="Calibri"/>
                <w:sz w:val="22"/>
              </w:rPr>
              <w:t>2</w:t>
            </w:r>
          </w:p>
        </w:tc>
        <w:tc>
          <w:tcPr>
            <w:tcW w:w="3813" w:type="dxa"/>
            <w:tcBorders>
              <w:top w:val="nil"/>
              <w:left w:val="nil"/>
              <w:bottom w:val="single" w:sz="4" w:space="0" w:color="FFFFFF"/>
              <w:right w:val="nil"/>
            </w:tcBorders>
            <w:shd w:val="clear" w:color="000000" w:fill="D9D9D9"/>
            <w:vAlign w:val="center"/>
            <w:hideMark/>
          </w:tcPr>
          <w:p w14:paraId="60E89AA0" w14:textId="77777777" w:rsidR="004B6F92" w:rsidRPr="004B6F92" w:rsidRDefault="004B6F92" w:rsidP="008363A1">
            <w:pPr>
              <w:pStyle w:val="Tabletext"/>
              <w:spacing w:line="200" w:lineRule="exact"/>
              <w:rPr>
                <w:rFonts w:cs="Calibri"/>
                <w:sz w:val="22"/>
              </w:rPr>
            </w:pPr>
            <w:r w:rsidRPr="004B6F92">
              <w:rPr>
                <w:rFonts w:cs="Calibri"/>
                <w:sz w:val="22"/>
              </w:rPr>
              <w:t>Reduction of advanced CIT and PIT payment for enterprises and self-employed hit by COVID</w:t>
            </w:r>
          </w:p>
        </w:tc>
        <w:tc>
          <w:tcPr>
            <w:tcW w:w="635" w:type="dxa"/>
            <w:tcBorders>
              <w:top w:val="nil"/>
              <w:left w:val="nil"/>
              <w:bottom w:val="single" w:sz="4" w:space="0" w:color="FFFFFF"/>
              <w:right w:val="nil"/>
            </w:tcBorders>
            <w:shd w:val="clear" w:color="000000" w:fill="D9D9D9"/>
            <w:vAlign w:val="center"/>
            <w:hideMark/>
          </w:tcPr>
          <w:p w14:paraId="5680E12A"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294AEE76"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3AAAF56A"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D9D9D9"/>
            <w:vAlign w:val="center"/>
            <w:hideMark/>
          </w:tcPr>
          <w:p w14:paraId="4B95C776" w14:textId="77777777" w:rsidR="004B6F92" w:rsidRPr="004B6F92" w:rsidRDefault="004B6F92" w:rsidP="008363A1">
            <w:pPr>
              <w:pStyle w:val="Tabletext"/>
              <w:spacing w:line="200" w:lineRule="exact"/>
              <w:jc w:val="center"/>
              <w:rPr>
                <w:rFonts w:cs="Calibri"/>
                <w:sz w:val="22"/>
              </w:rPr>
            </w:pPr>
            <w:r w:rsidRPr="004B6F92">
              <w:rPr>
                <w:rFonts w:cs="Calibri"/>
                <w:sz w:val="22"/>
              </w:rPr>
              <w:t>-0.14</w:t>
            </w:r>
          </w:p>
        </w:tc>
        <w:tc>
          <w:tcPr>
            <w:tcW w:w="897" w:type="dxa"/>
            <w:tcBorders>
              <w:top w:val="nil"/>
              <w:left w:val="nil"/>
              <w:bottom w:val="single" w:sz="4" w:space="0" w:color="FFFFFF"/>
              <w:right w:val="nil"/>
            </w:tcBorders>
            <w:shd w:val="clear" w:color="000000" w:fill="D9D9D9"/>
            <w:vAlign w:val="center"/>
            <w:hideMark/>
          </w:tcPr>
          <w:p w14:paraId="4C11DF8B"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37B55F2C" w14:textId="77777777" w:rsidTr="00E521F6">
        <w:trPr>
          <w:trHeight w:val="600"/>
          <w:jc w:val="center"/>
        </w:trPr>
        <w:tc>
          <w:tcPr>
            <w:tcW w:w="440" w:type="dxa"/>
            <w:tcBorders>
              <w:top w:val="nil"/>
              <w:left w:val="nil"/>
              <w:bottom w:val="single" w:sz="4" w:space="0" w:color="FFFFFF"/>
              <w:right w:val="nil"/>
            </w:tcBorders>
            <w:shd w:val="clear" w:color="000000" w:fill="F2F2F2"/>
            <w:vAlign w:val="center"/>
            <w:hideMark/>
          </w:tcPr>
          <w:p w14:paraId="45A0C1B6" w14:textId="77777777" w:rsidR="004B6F92" w:rsidRPr="004B6F92" w:rsidRDefault="004B6F92" w:rsidP="008363A1">
            <w:pPr>
              <w:pStyle w:val="Tabletext"/>
              <w:spacing w:line="200" w:lineRule="exact"/>
              <w:rPr>
                <w:rFonts w:cs="Calibri"/>
                <w:sz w:val="22"/>
              </w:rPr>
            </w:pPr>
            <w:r w:rsidRPr="004B6F92">
              <w:rPr>
                <w:rFonts w:cs="Calibri"/>
                <w:sz w:val="22"/>
              </w:rPr>
              <w:t>3</w:t>
            </w:r>
          </w:p>
        </w:tc>
        <w:tc>
          <w:tcPr>
            <w:tcW w:w="3813" w:type="dxa"/>
            <w:tcBorders>
              <w:top w:val="nil"/>
              <w:left w:val="nil"/>
              <w:bottom w:val="single" w:sz="4" w:space="0" w:color="FFFFFF"/>
              <w:right w:val="nil"/>
            </w:tcBorders>
            <w:shd w:val="clear" w:color="000000" w:fill="F2F2F2"/>
            <w:vAlign w:val="center"/>
            <w:hideMark/>
          </w:tcPr>
          <w:p w14:paraId="4334462C" w14:textId="77777777" w:rsidR="004B6F92" w:rsidRPr="004B6F92" w:rsidRDefault="004B6F92" w:rsidP="008363A1">
            <w:pPr>
              <w:pStyle w:val="Tabletext"/>
              <w:spacing w:line="200" w:lineRule="exact"/>
              <w:rPr>
                <w:rFonts w:cs="Calibri"/>
                <w:sz w:val="22"/>
              </w:rPr>
            </w:pPr>
            <w:r w:rsidRPr="004B6F92">
              <w:rPr>
                <w:rFonts w:cs="Calibri"/>
                <w:sz w:val="22"/>
              </w:rPr>
              <w:t>Suspension of solidarity tax in the private sector (COVID measure)</w:t>
            </w:r>
          </w:p>
        </w:tc>
        <w:tc>
          <w:tcPr>
            <w:tcW w:w="635" w:type="dxa"/>
            <w:tcBorders>
              <w:top w:val="nil"/>
              <w:left w:val="nil"/>
              <w:bottom w:val="single" w:sz="4" w:space="0" w:color="FFFFFF"/>
              <w:right w:val="nil"/>
            </w:tcBorders>
            <w:shd w:val="clear" w:color="000000" w:fill="F2F2F2"/>
            <w:vAlign w:val="center"/>
            <w:hideMark/>
          </w:tcPr>
          <w:p w14:paraId="4774E4C5"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6A792AC9"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456B5D53"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F2F2F2"/>
            <w:vAlign w:val="center"/>
            <w:hideMark/>
          </w:tcPr>
          <w:p w14:paraId="42E8201B" w14:textId="77777777" w:rsidR="004B6F92" w:rsidRPr="004B6F92" w:rsidRDefault="004B6F92" w:rsidP="008363A1">
            <w:pPr>
              <w:pStyle w:val="Tabletext"/>
              <w:spacing w:line="200" w:lineRule="exact"/>
              <w:jc w:val="center"/>
              <w:rPr>
                <w:rFonts w:cs="Calibri"/>
                <w:sz w:val="22"/>
              </w:rPr>
            </w:pPr>
            <w:r w:rsidRPr="004B6F92">
              <w:rPr>
                <w:rFonts w:cs="Calibri"/>
                <w:sz w:val="22"/>
              </w:rPr>
              <w:t>0.32</w:t>
            </w:r>
          </w:p>
        </w:tc>
        <w:tc>
          <w:tcPr>
            <w:tcW w:w="897" w:type="dxa"/>
            <w:tcBorders>
              <w:top w:val="nil"/>
              <w:left w:val="nil"/>
              <w:bottom w:val="single" w:sz="4" w:space="0" w:color="FFFFFF"/>
              <w:right w:val="nil"/>
            </w:tcBorders>
            <w:shd w:val="clear" w:color="000000" w:fill="F2F2F2"/>
            <w:vAlign w:val="center"/>
            <w:hideMark/>
          </w:tcPr>
          <w:p w14:paraId="5E247550" w14:textId="77777777" w:rsidR="004B6F92" w:rsidRPr="004B6F92" w:rsidRDefault="004B6F92" w:rsidP="008363A1">
            <w:pPr>
              <w:pStyle w:val="Tabletext"/>
              <w:spacing w:line="200" w:lineRule="exact"/>
              <w:jc w:val="center"/>
              <w:rPr>
                <w:rFonts w:cs="Calibri"/>
                <w:sz w:val="22"/>
              </w:rPr>
            </w:pPr>
            <w:r w:rsidRPr="004B6F92">
              <w:rPr>
                <w:rFonts w:cs="Calibri"/>
                <w:sz w:val="22"/>
              </w:rPr>
              <w:t>0.02</w:t>
            </w:r>
          </w:p>
        </w:tc>
      </w:tr>
      <w:tr w:rsidR="004B6F92" w:rsidRPr="004B6F92" w14:paraId="3CC9C6D5" w14:textId="77777777" w:rsidTr="00E521F6">
        <w:trPr>
          <w:trHeight w:val="600"/>
          <w:jc w:val="center"/>
        </w:trPr>
        <w:tc>
          <w:tcPr>
            <w:tcW w:w="440" w:type="dxa"/>
            <w:tcBorders>
              <w:top w:val="nil"/>
              <w:left w:val="nil"/>
              <w:bottom w:val="single" w:sz="4" w:space="0" w:color="FFFFFF"/>
              <w:right w:val="nil"/>
            </w:tcBorders>
            <w:shd w:val="clear" w:color="000000" w:fill="D9D9D9"/>
            <w:vAlign w:val="center"/>
            <w:hideMark/>
          </w:tcPr>
          <w:p w14:paraId="4410DE0C" w14:textId="77777777" w:rsidR="004B6F92" w:rsidRPr="004B6F92" w:rsidRDefault="004B6F92" w:rsidP="008363A1">
            <w:pPr>
              <w:pStyle w:val="Tabletext"/>
              <w:spacing w:line="200" w:lineRule="exact"/>
              <w:rPr>
                <w:rFonts w:cs="Calibri"/>
                <w:sz w:val="22"/>
              </w:rPr>
            </w:pPr>
            <w:r w:rsidRPr="004B6F92">
              <w:rPr>
                <w:rFonts w:cs="Calibri"/>
                <w:sz w:val="22"/>
              </w:rPr>
              <w:t>4</w:t>
            </w:r>
          </w:p>
        </w:tc>
        <w:tc>
          <w:tcPr>
            <w:tcW w:w="3813" w:type="dxa"/>
            <w:tcBorders>
              <w:top w:val="nil"/>
              <w:left w:val="nil"/>
              <w:bottom w:val="single" w:sz="4" w:space="0" w:color="FFFFFF"/>
              <w:right w:val="nil"/>
            </w:tcBorders>
            <w:shd w:val="clear" w:color="000000" w:fill="D9D9D9"/>
            <w:vAlign w:val="center"/>
            <w:hideMark/>
          </w:tcPr>
          <w:p w14:paraId="56233BA3" w14:textId="77777777" w:rsidR="004B6F92" w:rsidRPr="004B6F92" w:rsidRDefault="004B6F92" w:rsidP="008363A1">
            <w:pPr>
              <w:pStyle w:val="Tabletext"/>
              <w:spacing w:line="200" w:lineRule="exact"/>
              <w:rPr>
                <w:rFonts w:cs="Calibri"/>
                <w:sz w:val="22"/>
              </w:rPr>
            </w:pPr>
            <w:r w:rsidRPr="004B6F92">
              <w:rPr>
                <w:rFonts w:cs="Calibri"/>
                <w:sz w:val="22"/>
              </w:rPr>
              <w:t xml:space="preserve">Abolition of solidarity tax for all natural persons </w:t>
            </w:r>
          </w:p>
        </w:tc>
        <w:tc>
          <w:tcPr>
            <w:tcW w:w="635" w:type="dxa"/>
            <w:tcBorders>
              <w:top w:val="nil"/>
              <w:left w:val="nil"/>
              <w:bottom w:val="single" w:sz="4" w:space="0" w:color="FFFFFF"/>
              <w:right w:val="nil"/>
            </w:tcBorders>
            <w:shd w:val="clear" w:color="000000" w:fill="D9D9D9"/>
            <w:vAlign w:val="center"/>
            <w:hideMark/>
          </w:tcPr>
          <w:p w14:paraId="20B3CEC8"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2D109E15"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718D53C8"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D9D9D9"/>
            <w:vAlign w:val="center"/>
            <w:hideMark/>
          </w:tcPr>
          <w:p w14:paraId="55D41CC9" w14:textId="77777777" w:rsidR="004B6F92" w:rsidRPr="004B6F92" w:rsidRDefault="004B6F92" w:rsidP="008363A1">
            <w:pPr>
              <w:pStyle w:val="Tabletext"/>
              <w:spacing w:line="200" w:lineRule="exact"/>
              <w:jc w:val="center"/>
              <w:rPr>
                <w:rFonts w:cs="Calibri"/>
                <w:sz w:val="22"/>
              </w:rPr>
            </w:pPr>
            <w:r w:rsidRPr="004B6F92">
              <w:rPr>
                <w:rFonts w:cs="Calibri"/>
                <w:sz w:val="22"/>
              </w:rPr>
              <w:t>-0.56</w:t>
            </w:r>
          </w:p>
        </w:tc>
        <w:tc>
          <w:tcPr>
            <w:tcW w:w="897" w:type="dxa"/>
            <w:tcBorders>
              <w:top w:val="nil"/>
              <w:left w:val="nil"/>
              <w:bottom w:val="single" w:sz="4" w:space="0" w:color="FFFFFF"/>
              <w:right w:val="nil"/>
            </w:tcBorders>
            <w:shd w:val="clear" w:color="000000" w:fill="D9D9D9"/>
            <w:vAlign w:val="center"/>
            <w:hideMark/>
          </w:tcPr>
          <w:p w14:paraId="4561320C"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1A0087C6" w14:textId="77777777" w:rsidTr="00E521F6">
        <w:trPr>
          <w:trHeight w:val="300"/>
          <w:jc w:val="center"/>
        </w:trPr>
        <w:tc>
          <w:tcPr>
            <w:tcW w:w="440" w:type="dxa"/>
            <w:tcBorders>
              <w:top w:val="nil"/>
              <w:left w:val="nil"/>
              <w:bottom w:val="single" w:sz="4" w:space="0" w:color="FFFFFF"/>
              <w:right w:val="nil"/>
            </w:tcBorders>
            <w:shd w:val="clear" w:color="000000" w:fill="F2F2F2"/>
            <w:vAlign w:val="center"/>
            <w:hideMark/>
          </w:tcPr>
          <w:p w14:paraId="23DDB65E" w14:textId="77777777" w:rsidR="004B6F92" w:rsidRPr="004B6F92" w:rsidRDefault="004B6F92" w:rsidP="008363A1">
            <w:pPr>
              <w:pStyle w:val="Tabletext"/>
              <w:spacing w:line="200" w:lineRule="exact"/>
              <w:rPr>
                <w:rFonts w:cs="Calibri"/>
                <w:sz w:val="22"/>
              </w:rPr>
            </w:pPr>
            <w:r w:rsidRPr="004B6F92">
              <w:rPr>
                <w:rFonts w:cs="Calibri"/>
                <w:sz w:val="22"/>
              </w:rPr>
              <w:t>5</w:t>
            </w:r>
          </w:p>
        </w:tc>
        <w:tc>
          <w:tcPr>
            <w:tcW w:w="3813" w:type="dxa"/>
            <w:tcBorders>
              <w:top w:val="nil"/>
              <w:left w:val="nil"/>
              <w:bottom w:val="single" w:sz="4" w:space="0" w:color="FFFFFF"/>
              <w:right w:val="nil"/>
            </w:tcBorders>
            <w:shd w:val="clear" w:color="000000" w:fill="F2F2F2"/>
            <w:vAlign w:val="center"/>
            <w:hideMark/>
          </w:tcPr>
          <w:p w14:paraId="0BA9F796" w14:textId="77777777" w:rsidR="004B6F92" w:rsidRPr="004B6F92" w:rsidRDefault="004B6F92" w:rsidP="008363A1">
            <w:pPr>
              <w:pStyle w:val="Tabletext"/>
              <w:spacing w:line="200" w:lineRule="exact"/>
              <w:rPr>
                <w:rFonts w:cs="Calibri"/>
                <w:sz w:val="22"/>
              </w:rPr>
            </w:pPr>
            <w:r w:rsidRPr="004B6F92">
              <w:rPr>
                <w:rFonts w:cs="Calibri"/>
                <w:sz w:val="22"/>
              </w:rPr>
              <w:t>Solidarity contribution on refineries</w:t>
            </w:r>
          </w:p>
        </w:tc>
        <w:tc>
          <w:tcPr>
            <w:tcW w:w="635" w:type="dxa"/>
            <w:tcBorders>
              <w:top w:val="nil"/>
              <w:left w:val="nil"/>
              <w:bottom w:val="single" w:sz="4" w:space="0" w:color="FFFFFF"/>
              <w:right w:val="nil"/>
            </w:tcBorders>
            <w:shd w:val="clear" w:color="000000" w:fill="F2F2F2"/>
            <w:vAlign w:val="center"/>
            <w:hideMark/>
          </w:tcPr>
          <w:p w14:paraId="128BFB41"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1F32A436"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74D27CE9"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F2F2F2"/>
            <w:vAlign w:val="center"/>
            <w:hideMark/>
          </w:tcPr>
          <w:p w14:paraId="4A0EF9EB" w14:textId="77777777" w:rsidR="004B6F92" w:rsidRPr="004B6F92" w:rsidRDefault="004B6F92" w:rsidP="008363A1">
            <w:pPr>
              <w:pStyle w:val="Tabletext"/>
              <w:spacing w:line="200" w:lineRule="exact"/>
              <w:jc w:val="center"/>
              <w:rPr>
                <w:rFonts w:cs="Calibri"/>
                <w:sz w:val="22"/>
              </w:rPr>
            </w:pPr>
            <w:r w:rsidRPr="004B6F92">
              <w:rPr>
                <w:rFonts w:cs="Calibri"/>
                <w:sz w:val="22"/>
              </w:rPr>
              <w:t>0.29</w:t>
            </w:r>
          </w:p>
        </w:tc>
        <w:tc>
          <w:tcPr>
            <w:tcW w:w="897" w:type="dxa"/>
            <w:tcBorders>
              <w:top w:val="nil"/>
              <w:left w:val="nil"/>
              <w:bottom w:val="single" w:sz="4" w:space="0" w:color="FFFFFF"/>
              <w:right w:val="nil"/>
            </w:tcBorders>
            <w:shd w:val="clear" w:color="000000" w:fill="F2F2F2"/>
            <w:vAlign w:val="center"/>
            <w:hideMark/>
          </w:tcPr>
          <w:p w14:paraId="3B968F34" w14:textId="77777777" w:rsidR="004B6F92" w:rsidRPr="004B6F92" w:rsidRDefault="004B6F92" w:rsidP="008363A1">
            <w:pPr>
              <w:pStyle w:val="Tabletext"/>
              <w:spacing w:line="200" w:lineRule="exact"/>
              <w:jc w:val="center"/>
              <w:rPr>
                <w:rFonts w:cs="Calibri"/>
                <w:sz w:val="22"/>
              </w:rPr>
            </w:pPr>
            <w:r w:rsidRPr="004B6F92">
              <w:rPr>
                <w:rFonts w:cs="Calibri"/>
                <w:sz w:val="22"/>
              </w:rPr>
              <w:t>-0.07</w:t>
            </w:r>
          </w:p>
        </w:tc>
      </w:tr>
      <w:tr w:rsidR="004B6F92" w:rsidRPr="004B6F92" w14:paraId="566E2FFB" w14:textId="77777777" w:rsidTr="00E521F6">
        <w:trPr>
          <w:trHeight w:val="300"/>
          <w:jc w:val="center"/>
        </w:trPr>
        <w:tc>
          <w:tcPr>
            <w:tcW w:w="440" w:type="dxa"/>
            <w:tcBorders>
              <w:top w:val="nil"/>
              <w:left w:val="nil"/>
              <w:bottom w:val="single" w:sz="4" w:space="0" w:color="FFFFFF"/>
              <w:right w:val="nil"/>
            </w:tcBorders>
            <w:shd w:val="clear" w:color="000000" w:fill="D9D9D9"/>
            <w:vAlign w:val="center"/>
            <w:hideMark/>
          </w:tcPr>
          <w:p w14:paraId="21656E27" w14:textId="77777777" w:rsidR="004B6F92" w:rsidRPr="004B6F92" w:rsidRDefault="004B6F92" w:rsidP="008363A1">
            <w:pPr>
              <w:pStyle w:val="Tabletext"/>
              <w:spacing w:line="200" w:lineRule="exact"/>
              <w:rPr>
                <w:rFonts w:cs="Calibri"/>
                <w:sz w:val="22"/>
              </w:rPr>
            </w:pPr>
            <w:r w:rsidRPr="004B6F92">
              <w:rPr>
                <w:rFonts w:cs="Calibri"/>
                <w:sz w:val="22"/>
              </w:rPr>
              <w:t>6</w:t>
            </w:r>
          </w:p>
        </w:tc>
        <w:tc>
          <w:tcPr>
            <w:tcW w:w="3813" w:type="dxa"/>
            <w:tcBorders>
              <w:top w:val="nil"/>
              <w:left w:val="nil"/>
              <w:bottom w:val="single" w:sz="4" w:space="0" w:color="FFFFFF"/>
              <w:right w:val="nil"/>
            </w:tcBorders>
            <w:shd w:val="clear" w:color="000000" w:fill="D9D9D9"/>
            <w:vAlign w:val="center"/>
            <w:hideMark/>
          </w:tcPr>
          <w:p w14:paraId="4B3FA2FD" w14:textId="77777777" w:rsidR="004B6F92" w:rsidRPr="004B6F92" w:rsidRDefault="004B6F92" w:rsidP="008363A1">
            <w:pPr>
              <w:pStyle w:val="Tabletext"/>
              <w:spacing w:line="200" w:lineRule="exact"/>
              <w:rPr>
                <w:rFonts w:cs="Calibri"/>
                <w:sz w:val="22"/>
              </w:rPr>
            </w:pPr>
            <w:r w:rsidRPr="004B6F92">
              <w:rPr>
                <w:rFonts w:cs="Calibri"/>
                <w:sz w:val="22"/>
              </w:rPr>
              <w:t>Reform of the taxation of self-</w:t>
            </w:r>
            <w:r w:rsidR="008363A1" w:rsidRPr="004B6F92">
              <w:rPr>
                <w:rFonts w:cs="Calibri"/>
                <w:sz w:val="22"/>
              </w:rPr>
              <w:t>employed</w:t>
            </w:r>
          </w:p>
        </w:tc>
        <w:tc>
          <w:tcPr>
            <w:tcW w:w="635" w:type="dxa"/>
            <w:tcBorders>
              <w:top w:val="nil"/>
              <w:left w:val="nil"/>
              <w:bottom w:val="single" w:sz="4" w:space="0" w:color="FFFFFF"/>
              <w:right w:val="nil"/>
            </w:tcBorders>
            <w:shd w:val="clear" w:color="000000" w:fill="D9D9D9"/>
            <w:vAlign w:val="center"/>
            <w:hideMark/>
          </w:tcPr>
          <w:p w14:paraId="635C8F10"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70E939C4"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3E5A160E"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D9D9D9"/>
            <w:vAlign w:val="center"/>
            <w:hideMark/>
          </w:tcPr>
          <w:p w14:paraId="210CE8AF"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c>
          <w:tcPr>
            <w:tcW w:w="897" w:type="dxa"/>
            <w:tcBorders>
              <w:top w:val="nil"/>
              <w:left w:val="nil"/>
              <w:bottom w:val="single" w:sz="4" w:space="0" w:color="FFFFFF"/>
              <w:right w:val="nil"/>
            </w:tcBorders>
            <w:shd w:val="clear" w:color="000000" w:fill="D9D9D9"/>
            <w:vAlign w:val="center"/>
            <w:hideMark/>
          </w:tcPr>
          <w:p w14:paraId="07475400" w14:textId="77777777" w:rsidR="004B6F92" w:rsidRPr="004B6F92" w:rsidRDefault="004B6F92" w:rsidP="008363A1">
            <w:pPr>
              <w:pStyle w:val="Tabletext"/>
              <w:spacing w:line="200" w:lineRule="exact"/>
              <w:jc w:val="center"/>
              <w:rPr>
                <w:rFonts w:cs="Calibri"/>
                <w:sz w:val="22"/>
              </w:rPr>
            </w:pPr>
            <w:r w:rsidRPr="004B6F92">
              <w:rPr>
                <w:rFonts w:cs="Calibri"/>
                <w:sz w:val="22"/>
              </w:rPr>
              <w:t>0.20</w:t>
            </w:r>
          </w:p>
        </w:tc>
      </w:tr>
      <w:tr w:rsidR="004B6F92" w:rsidRPr="004B6F92" w14:paraId="78C1FBB4" w14:textId="77777777" w:rsidTr="00E521F6">
        <w:trPr>
          <w:trHeight w:val="1200"/>
          <w:jc w:val="center"/>
        </w:trPr>
        <w:tc>
          <w:tcPr>
            <w:tcW w:w="440" w:type="dxa"/>
            <w:tcBorders>
              <w:top w:val="nil"/>
              <w:left w:val="nil"/>
              <w:bottom w:val="single" w:sz="4" w:space="0" w:color="FFFFFF"/>
              <w:right w:val="nil"/>
            </w:tcBorders>
            <w:shd w:val="clear" w:color="000000" w:fill="F2F2F2"/>
            <w:vAlign w:val="center"/>
            <w:hideMark/>
          </w:tcPr>
          <w:p w14:paraId="5C33A1EC" w14:textId="77777777" w:rsidR="004B6F92" w:rsidRPr="004B6F92" w:rsidRDefault="004B6F92" w:rsidP="008363A1">
            <w:pPr>
              <w:pStyle w:val="Tabletext"/>
              <w:spacing w:line="200" w:lineRule="exact"/>
              <w:rPr>
                <w:rFonts w:cs="Calibri"/>
                <w:sz w:val="22"/>
              </w:rPr>
            </w:pPr>
            <w:r w:rsidRPr="004B6F92">
              <w:rPr>
                <w:rFonts w:cs="Calibri"/>
                <w:sz w:val="22"/>
              </w:rPr>
              <w:t>7</w:t>
            </w:r>
          </w:p>
        </w:tc>
        <w:tc>
          <w:tcPr>
            <w:tcW w:w="3813" w:type="dxa"/>
            <w:tcBorders>
              <w:top w:val="nil"/>
              <w:left w:val="nil"/>
              <w:bottom w:val="single" w:sz="4" w:space="0" w:color="FFFFFF"/>
              <w:right w:val="nil"/>
            </w:tcBorders>
            <w:shd w:val="clear" w:color="000000" w:fill="F2F2F2"/>
            <w:vAlign w:val="center"/>
            <w:hideMark/>
          </w:tcPr>
          <w:p w14:paraId="43D7D099" w14:textId="77777777" w:rsidR="004B6F92" w:rsidRPr="004B6F92" w:rsidRDefault="004B6F92" w:rsidP="008363A1">
            <w:pPr>
              <w:pStyle w:val="Tabletext"/>
              <w:spacing w:line="200" w:lineRule="exact"/>
              <w:rPr>
                <w:rFonts w:cs="Calibri"/>
                <w:sz w:val="22"/>
              </w:rPr>
            </w:pPr>
            <w:r w:rsidRPr="004B6F92">
              <w:rPr>
                <w:rFonts w:cs="Calibri"/>
                <w:sz w:val="22"/>
              </w:rPr>
              <w:t>2022 ANFAs &amp; SMPs</w:t>
            </w:r>
          </w:p>
        </w:tc>
        <w:tc>
          <w:tcPr>
            <w:tcW w:w="635" w:type="dxa"/>
            <w:tcBorders>
              <w:top w:val="nil"/>
              <w:left w:val="nil"/>
              <w:bottom w:val="single" w:sz="4" w:space="0" w:color="FFFFFF"/>
              <w:right w:val="nil"/>
            </w:tcBorders>
            <w:shd w:val="clear" w:color="000000" w:fill="F2F2F2"/>
            <w:vAlign w:val="center"/>
            <w:hideMark/>
          </w:tcPr>
          <w:p w14:paraId="496A4CB5" w14:textId="77777777" w:rsidR="004B6F92" w:rsidRPr="004B6F92" w:rsidRDefault="004B6F92" w:rsidP="008363A1">
            <w:pPr>
              <w:pStyle w:val="Tabletext"/>
              <w:spacing w:line="200" w:lineRule="exact"/>
              <w:rPr>
                <w:rFonts w:cs="Calibri"/>
                <w:sz w:val="22"/>
              </w:rPr>
            </w:pPr>
            <w:r w:rsidRPr="004B6F92">
              <w:rPr>
                <w:rFonts w:cs="Calibri"/>
                <w:sz w:val="22"/>
              </w:rPr>
              <w:t>Yes</w:t>
            </w:r>
          </w:p>
        </w:tc>
        <w:tc>
          <w:tcPr>
            <w:tcW w:w="782" w:type="dxa"/>
            <w:tcBorders>
              <w:top w:val="nil"/>
              <w:left w:val="nil"/>
              <w:bottom w:val="single" w:sz="4" w:space="0" w:color="FFFFFF"/>
              <w:right w:val="nil"/>
            </w:tcBorders>
            <w:shd w:val="clear" w:color="000000" w:fill="F2F2F2"/>
            <w:vAlign w:val="center"/>
            <w:hideMark/>
          </w:tcPr>
          <w:p w14:paraId="0E0D8E67"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1FF083B7" w14:textId="2B0435FE" w:rsidR="004B6F92" w:rsidRPr="004B6F92" w:rsidRDefault="004B6F92" w:rsidP="00E069DA">
            <w:pPr>
              <w:pStyle w:val="Tabletext"/>
              <w:spacing w:line="200" w:lineRule="exact"/>
              <w:rPr>
                <w:rFonts w:cs="Calibri"/>
                <w:sz w:val="22"/>
              </w:rPr>
            </w:pPr>
            <w:r w:rsidRPr="004B6F92">
              <w:rPr>
                <w:rFonts w:cs="Calibri"/>
                <w:sz w:val="22"/>
              </w:rPr>
              <w:t>P.11+P.12</w:t>
            </w:r>
            <w:r w:rsidR="00E069DA">
              <w:rPr>
                <w:rFonts w:cs="Calibri"/>
                <w:sz w:val="22"/>
              </w:rPr>
              <w:br/>
            </w:r>
            <w:r w:rsidRPr="004B6F92">
              <w:rPr>
                <w:rFonts w:cs="Calibri"/>
                <w:sz w:val="22"/>
              </w:rPr>
              <w:t>+P.131+D.39</w:t>
            </w:r>
            <w:r w:rsidR="00E069DA">
              <w:rPr>
                <w:rFonts w:cs="Calibri"/>
                <w:sz w:val="22"/>
              </w:rPr>
              <w:br/>
            </w:r>
            <w:r w:rsidRPr="004B6F92">
              <w:rPr>
                <w:rFonts w:cs="Calibri"/>
                <w:sz w:val="22"/>
              </w:rPr>
              <w:t>+D.7+D.9 (other than D.91)</w:t>
            </w:r>
          </w:p>
        </w:tc>
        <w:tc>
          <w:tcPr>
            <w:tcW w:w="851" w:type="dxa"/>
            <w:tcBorders>
              <w:top w:val="nil"/>
              <w:left w:val="nil"/>
              <w:bottom w:val="single" w:sz="4" w:space="0" w:color="FFFFFF"/>
              <w:right w:val="nil"/>
            </w:tcBorders>
            <w:shd w:val="clear" w:color="000000" w:fill="F2F2F2"/>
            <w:vAlign w:val="center"/>
            <w:hideMark/>
          </w:tcPr>
          <w:p w14:paraId="68F9D41A" w14:textId="77777777" w:rsidR="004B6F92" w:rsidRPr="004B6F92" w:rsidRDefault="004B6F92" w:rsidP="008363A1">
            <w:pPr>
              <w:pStyle w:val="Tabletext"/>
              <w:spacing w:line="200" w:lineRule="exact"/>
              <w:jc w:val="center"/>
              <w:rPr>
                <w:rFonts w:cs="Calibri"/>
                <w:sz w:val="22"/>
              </w:rPr>
            </w:pPr>
            <w:r w:rsidRPr="004B6F92">
              <w:rPr>
                <w:rFonts w:cs="Calibri"/>
                <w:sz w:val="22"/>
              </w:rPr>
              <w:t>-0.62</w:t>
            </w:r>
          </w:p>
        </w:tc>
        <w:tc>
          <w:tcPr>
            <w:tcW w:w="897" w:type="dxa"/>
            <w:tcBorders>
              <w:top w:val="nil"/>
              <w:left w:val="nil"/>
              <w:bottom w:val="single" w:sz="4" w:space="0" w:color="FFFFFF"/>
              <w:right w:val="nil"/>
            </w:tcBorders>
            <w:shd w:val="clear" w:color="000000" w:fill="F2F2F2"/>
            <w:vAlign w:val="center"/>
            <w:hideMark/>
          </w:tcPr>
          <w:p w14:paraId="534AD45E"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02BDE062" w14:textId="77777777" w:rsidTr="00E521F6">
        <w:trPr>
          <w:trHeight w:val="600"/>
          <w:jc w:val="center"/>
        </w:trPr>
        <w:tc>
          <w:tcPr>
            <w:tcW w:w="440" w:type="dxa"/>
            <w:tcBorders>
              <w:top w:val="nil"/>
              <w:left w:val="nil"/>
              <w:bottom w:val="single" w:sz="4" w:space="0" w:color="FFFFFF"/>
              <w:right w:val="nil"/>
            </w:tcBorders>
            <w:shd w:val="clear" w:color="000000" w:fill="D9D9D9"/>
            <w:vAlign w:val="center"/>
            <w:hideMark/>
          </w:tcPr>
          <w:p w14:paraId="44E21543" w14:textId="77777777" w:rsidR="004B6F92" w:rsidRPr="004B6F92" w:rsidRDefault="004B6F92" w:rsidP="008363A1">
            <w:pPr>
              <w:pStyle w:val="Tabletext"/>
              <w:spacing w:line="200" w:lineRule="exact"/>
              <w:rPr>
                <w:rFonts w:cs="Calibri"/>
                <w:sz w:val="22"/>
              </w:rPr>
            </w:pPr>
            <w:r w:rsidRPr="004B6F92">
              <w:rPr>
                <w:rFonts w:cs="Calibri"/>
                <w:sz w:val="22"/>
              </w:rPr>
              <w:t>8</w:t>
            </w:r>
          </w:p>
        </w:tc>
        <w:tc>
          <w:tcPr>
            <w:tcW w:w="3813" w:type="dxa"/>
            <w:tcBorders>
              <w:top w:val="nil"/>
              <w:left w:val="nil"/>
              <w:bottom w:val="single" w:sz="4" w:space="0" w:color="FFFFFF"/>
              <w:right w:val="nil"/>
            </w:tcBorders>
            <w:shd w:val="clear" w:color="000000" w:fill="D9D9D9"/>
            <w:vAlign w:val="center"/>
            <w:hideMark/>
          </w:tcPr>
          <w:p w14:paraId="30568255" w14:textId="77777777" w:rsidR="004B6F92" w:rsidRPr="004B6F92" w:rsidRDefault="004B6F92" w:rsidP="008363A1">
            <w:pPr>
              <w:pStyle w:val="Tabletext"/>
              <w:spacing w:line="200" w:lineRule="exact"/>
              <w:rPr>
                <w:rFonts w:cs="Calibri"/>
                <w:sz w:val="22"/>
              </w:rPr>
            </w:pPr>
            <w:r w:rsidRPr="004B6F92">
              <w:rPr>
                <w:rFonts w:cs="Calibri"/>
                <w:sz w:val="22"/>
              </w:rPr>
              <w:t>Reduction of social security contributions by 3pp (COVID measure)</w:t>
            </w:r>
          </w:p>
        </w:tc>
        <w:tc>
          <w:tcPr>
            <w:tcW w:w="635" w:type="dxa"/>
            <w:tcBorders>
              <w:top w:val="nil"/>
              <w:left w:val="nil"/>
              <w:bottom w:val="single" w:sz="4" w:space="0" w:color="FFFFFF"/>
              <w:right w:val="nil"/>
            </w:tcBorders>
            <w:shd w:val="clear" w:color="000000" w:fill="D9D9D9"/>
            <w:vAlign w:val="center"/>
            <w:hideMark/>
          </w:tcPr>
          <w:p w14:paraId="01D2CC4D"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0EF45C26"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4F7FDDCC" w14:textId="77777777" w:rsidR="004B6F92" w:rsidRPr="004B6F92" w:rsidRDefault="004B6F92" w:rsidP="008363A1">
            <w:pPr>
              <w:pStyle w:val="Tabletext"/>
              <w:spacing w:line="200" w:lineRule="exact"/>
              <w:rPr>
                <w:rFonts w:cs="Calibri"/>
                <w:sz w:val="22"/>
              </w:rPr>
            </w:pPr>
            <w:r w:rsidRPr="004B6F92">
              <w:rPr>
                <w:rFonts w:cs="Calibri"/>
                <w:sz w:val="22"/>
              </w:rPr>
              <w:t>D.61</w:t>
            </w:r>
          </w:p>
        </w:tc>
        <w:tc>
          <w:tcPr>
            <w:tcW w:w="851" w:type="dxa"/>
            <w:tcBorders>
              <w:top w:val="nil"/>
              <w:left w:val="nil"/>
              <w:bottom w:val="single" w:sz="4" w:space="0" w:color="FFFFFF"/>
              <w:right w:val="nil"/>
            </w:tcBorders>
            <w:shd w:val="clear" w:color="000000" w:fill="D9D9D9"/>
            <w:vAlign w:val="center"/>
            <w:hideMark/>
          </w:tcPr>
          <w:p w14:paraId="776CAA3B" w14:textId="77777777" w:rsidR="004B6F92" w:rsidRPr="004B6F92" w:rsidRDefault="004B6F92" w:rsidP="008363A1">
            <w:pPr>
              <w:pStyle w:val="Tabletext"/>
              <w:spacing w:line="200" w:lineRule="exact"/>
              <w:jc w:val="center"/>
              <w:rPr>
                <w:rFonts w:cs="Calibri"/>
                <w:sz w:val="22"/>
              </w:rPr>
            </w:pPr>
            <w:r w:rsidRPr="004B6F92">
              <w:rPr>
                <w:rFonts w:cs="Calibri"/>
                <w:sz w:val="22"/>
              </w:rPr>
              <w:t>0.39</w:t>
            </w:r>
          </w:p>
        </w:tc>
        <w:tc>
          <w:tcPr>
            <w:tcW w:w="897" w:type="dxa"/>
            <w:tcBorders>
              <w:top w:val="nil"/>
              <w:left w:val="nil"/>
              <w:bottom w:val="single" w:sz="4" w:space="0" w:color="FFFFFF"/>
              <w:right w:val="nil"/>
            </w:tcBorders>
            <w:shd w:val="clear" w:color="000000" w:fill="D9D9D9"/>
            <w:vAlign w:val="center"/>
            <w:hideMark/>
          </w:tcPr>
          <w:p w14:paraId="1ECB9272"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39356D12" w14:textId="77777777" w:rsidTr="00E521F6">
        <w:trPr>
          <w:trHeight w:val="300"/>
          <w:jc w:val="center"/>
        </w:trPr>
        <w:tc>
          <w:tcPr>
            <w:tcW w:w="440" w:type="dxa"/>
            <w:tcBorders>
              <w:top w:val="nil"/>
              <w:left w:val="nil"/>
              <w:bottom w:val="single" w:sz="4" w:space="0" w:color="FFFFFF"/>
              <w:right w:val="nil"/>
            </w:tcBorders>
            <w:shd w:val="clear" w:color="000000" w:fill="F2F2F2"/>
            <w:vAlign w:val="center"/>
            <w:hideMark/>
          </w:tcPr>
          <w:p w14:paraId="4955AF39" w14:textId="77777777" w:rsidR="004B6F92" w:rsidRPr="004B6F92" w:rsidRDefault="004B6F92" w:rsidP="008363A1">
            <w:pPr>
              <w:pStyle w:val="Tabletext"/>
              <w:spacing w:line="200" w:lineRule="exact"/>
              <w:rPr>
                <w:rFonts w:cs="Calibri"/>
                <w:sz w:val="22"/>
              </w:rPr>
            </w:pPr>
            <w:r w:rsidRPr="004B6F92">
              <w:rPr>
                <w:rFonts w:cs="Calibri"/>
                <w:sz w:val="22"/>
              </w:rPr>
              <w:t>9</w:t>
            </w:r>
          </w:p>
        </w:tc>
        <w:tc>
          <w:tcPr>
            <w:tcW w:w="3813" w:type="dxa"/>
            <w:tcBorders>
              <w:top w:val="nil"/>
              <w:left w:val="nil"/>
              <w:bottom w:val="single" w:sz="4" w:space="0" w:color="FFFFFF"/>
              <w:right w:val="nil"/>
            </w:tcBorders>
            <w:shd w:val="clear" w:color="000000" w:fill="F2F2F2"/>
            <w:vAlign w:val="center"/>
            <w:hideMark/>
          </w:tcPr>
          <w:p w14:paraId="772FEA35" w14:textId="3C9ABBAF" w:rsidR="004B6F92" w:rsidRPr="004B6F92" w:rsidRDefault="004B6F92" w:rsidP="008363A1">
            <w:pPr>
              <w:pStyle w:val="Tabletext"/>
              <w:spacing w:line="200" w:lineRule="exact"/>
              <w:rPr>
                <w:rFonts w:cs="Calibri"/>
                <w:sz w:val="22"/>
              </w:rPr>
            </w:pPr>
            <w:r w:rsidRPr="004B6F92">
              <w:rPr>
                <w:rFonts w:cs="Calibri"/>
                <w:sz w:val="22"/>
              </w:rPr>
              <w:t xml:space="preserve">Maintenance of SSCs reduction </w:t>
            </w:r>
            <w:r w:rsidR="008434E9">
              <w:rPr>
                <w:rFonts w:cs="Calibri"/>
                <w:sz w:val="22"/>
              </w:rPr>
              <w:br/>
            </w:r>
            <w:r w:rsidRPr="004B6F92">
              <w:rPr>
                <w:rFonts w:cs="Calibri"/>
                <w:sz w:val="22"/>
              </w:rPr>
              <w:t>by 3 p.u.</w:t>
            </w:r>
          </w:p>
        </w:tc>
        <w:tc>
          <w:tcPr>
            <w:tcW w:w="635" w:type="dxa"/>
            <w:tcBorders>
              <w:top w:val="nil"/>
              <w:left w:val="nil"/>
              <w:bottom w:val="single" w:sz="4" w:space="0" w:color="FFFFFF"/>
              <w:right w:val="nil"/>
            </w:tcBorders>
            <w:shd w:val="clear" w:color="000000" w:fill="F2F2F2"/>
            <w:vAlign w:val="center"/>
            <w:hideMark/>
          </w:tcPr>
          <w:p w14:paraId="0438F58F"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18311DA2"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2F4A898C" w14:textId="77777777" w:rsidR="004B6F92" w:rsidRPr="004B6F92" w:rsidRDefault="004B6F92" w:rsidP="008363A1">
            <w:pPr>
              <w:pStyle w:val="Tabletext"/>
              <w:spacing w:line="200" w:lineRule="exact"/>
              <w:rPr>
                <w:rFonts w:cs="Calibri"/>
                <w:sz w:val="22"/>
              </w:rPr>
            </w:pPr>
            <w:r w:rsidRPr="004B6F92">
              <w:rPr>
                <w:rFonts w:cs="Calibri"/>
                <w:sz w:val="22"/>
              </w:rPr>
              <w:t>D.61</w:t>
            </w:r>
          </w:p>
        </w:tc>
        <w:tc>
          <w:tcPr>
            <w:tcW w:w="851" w:type="dxa"/>
            <w:tcBorders>
              <w:top w:val="nil"/>
              <w:left w:val="nil"/>
              <w:bottom w:val="single" w:sz="4" w:space="0" w:color="FFFFFF"/>
              <w:right w:val="nil"/>
            </w:tcBorders>
            <w:shd w:val="clear" w:color="000000" w:fill="F2F2F2"/>
            <w:vAlign w:val="center"/>
            <w:hideMark/>
          </w:tcPr>
          <w:p w14:paraId="598B9474" w14:textId="77777777" w:rsidR="004B6F92" w:rsidRPr="004B6F92" w:rsidRDefault="004B6F92" w:rsidP="008363A1">
            <w:pPr>
              <w:pStyle w:val="Tabletext"/>
              <w:spacing w:line="200" w:lineRule="exact"/>
              <w:jc w:val="center"/>
              <w:rPr>
                <w:rFonts w:cs="Calibri"/>
                <w:sz w:val="22"/>
              </w:rPr>
            </w:pPr>
            <w:r w:rsidRPr="004B6F92">
              <w:rPr>
                <w:rFonts w:cs="Calibri"/>
                <w:sz w:val="22"/>
              </w:rPr>
              <w:t>-0.40</w:t>
            </w:r>
          </w:p>
        </w:tc>
        <w:tc>
          <w:tcPr>
            <w:tcW w:w="897" w:type="dxa"/>
            <w:tcBorders>
              <w:top w:val="nil"/>
              <w:left w:val="nil"/>
              <w:bottom w:val="single" w:sz="4" w:space="0" w:color="FFFFFF"/>
              <w:right w:val="nil"/>
            </w:tcBorders>
            <w:shd w:val="clear" w:color="000000" w:fill="F2F2F2"/>
            <w:vAlign w:val="center"/>
            <w:hideMark/>
          </w:tcPr>
          <w:p w14:paraId="5ACB02C0"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1907E7D4" w14:textId="77777777" w:rsidTr="00E521F6">
        <w:trPr>
          <w:trHeight w:val="600"/>
          <w:jc w:val="center"/>
        </w:trPr>
        <w:tc>
          <w:tcPr>
            <w:tcW w:w="440" w:type="dxa"/>
            <w:tcBorders>
              <w:top w:val="nil"/>
              <w:left w:val="nil"/>
              <w:bottom w:val="single" w:sz="4" w:space="0" w:color="FFFFFF"/>
              <w:right w:val="nil"/>
            </w:tcBorders>
            <w:shd w:val="clear" w:color="000000" w:fill="D9D9D9"/>
            <w:vAlign w:val="center"/>
            <w:hideMark/>
          </w:tcPr>
          <w:p w14:paraId="51A625E7" w14:textId="77777777" w:rsidR="004B6F92" w:rsidRPr="004B6F92" w:rsidRDefault="004B6F92" w:rsidP="008363A1">
            <w:pPr>
              <w:pStyle w:val="Tabletext"/>
              <w:spacing w:line="200" w:lineRule="exact"/>
              <w:rPr>
                <w:rFonts w:cs="Calibri"/>
                <w:sz w:val="22"/>
              </w:rPr>
            </w:pPr>
            <w:r w:rsidRPr="004B6F92">
              <w:rPr>
                <w:rFonts w:cs="Calibri"/>
                <w:sz w:val="22"/>
              </w:rPr>
              <w:t>10</w:t>
            </w:r>
          </w:p>
        </w:tc>
        <w:tc>
          <w:tcPr>
            <w:tcW w:w="3813" w:type="dxa"/>
            <w:tcBorders>
              <w:top w:val="nil"/>
              <w:left w:val="nil"/>
              <w:bottom w:val="single" w:sz="4" w:space="0" w:color="FFFFFF"/>
              <w:right w:val="nil"/>
            </w:tcBorders>
            <w:shd w:val="clear" w:color="000000" w:fill="D9D9D9"/>
            <w:vAlign w:val="center"/>
            <w:hideMark/>
          </w:tcPr>
          <w:p w14:paraId="6E08EB01" w14:textId="171EEF76" w:rsidR="004B6F92" w:rsidRPr="004B6F92" w:rsidRDefault="004B6F92" w:rsidP="008363A1">
            <w:pPr>
              <w:pStyle w:val="Tabletext"/>
              <w:spacing w:line="200" w:lineRule="exact"/>
              <w:rPr>
                <w:rFonts w:cs="Calibri"/>
                <w:sz w:val="22"/>
              </w:rPr>
            </w:pPr>
            <w:r w:rsidRPr="004B6F92">
              <w:rPr>
                <w:rFonts w:cs="Calibri"/>
                <w:sz w:val="22"/>
              </w:rPr>
              <w:t xml:space="preserve">Increase of social security </w:t>
            </w:r>
            <w:r w:rsidR="008434E9">
              <w:rPr>
                <w:rFonts w:cs="Calibri"/>
                <w:sz w:val="22"/>
              </w:rPr>
              <w:br/>
            </w:r>
            <w:r w:rsidRPr="004B6F92">
              <w:rPr>
                <w:rFonts w:cs="Calibri"/>
                <w:sz w:val="22"/>
              </w:rPr>
              <w:t>contributions due to wage grid reform</w:t>
            </w:r>
          </w:p>
        </w:tc>
        <w:tc>
          <w:tcPr>
            <w:tcW w:w="635" w:type="dxa"/>
            <w:tcBorders>
              <w:top w:val="nil"/>
              <w:left w:val="nil"/>
              <w:bottom w:val="single" w:sz="4" w:space="0" w:color="FFFFFF"/>
              <w:right w:val="nil"/>
            </w:tcBorders>
            <w:shd w:val="clear" w:color="000000" w:fill="D9D9D9"/>
            <w:vAlign w:val="center"/>
            <w:hideMark/>
          </w:tcPr>
          <w:p w14:paraId="672C6844"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2DA8EFEA"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4508BD79" w14:textId="77777777" w:rsidR="004B6F92" w:rsidRPr="004B6F92" w:rsidRDefault="004B6F92" w:rsidP="008363A1">
            <w:pPr>
              <w:pStyle w:val="Tabletext"/>
              <w:spacing w:line="200" w:lineRule="exact"/>
              <w:rPr>
                <w:rFonts w:cs="Calibri"/>
                <w:sz w:val="22"/>
              </w:rPr>
            </w:pPr>
            <w:r w:rsidRPr="004B6F92">
              <w:rPr>
                <w:rFonts w:cs="Calibri"/>
                <w:sz w:val="22"/>
              </w:rPr>
              <w:t>D.61</w:t>
            </w:r>
          </w:p>
        </w:tc>
        <w:tc>
          <w:tcPr>
            <w:tcW w:w="851" w:type="dxa"/>
            <w:tcBorders>
              <w:top w:val="nil"/>
              <w:left w:val="nil"/>
              <w:bottom w:val="single" w:sz="4" w:space="0" w:color="FFFFFF"/>
              <w:right w:val="nil"/>
            </w:tcBorders>
            <w:shd w:val="clear" w:color="000000" w:fill="D9D9D9"/>
            <w:vAlign w:val="center"/>
            <w:hideMark/>
          </w:tcPr>
          <w:p w14:paraId="7B59A026"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c>
          <w:tcPr>
            <w:tcW w:w="897" w:type="dxa"/>
            <w:tcBorders>
              <w:top w:val="nil"/>
              <w:left w:val="nil"/>
              <w:bottom w:val="single" w:sz="4" w:space="0" w:color="FFFFFF"/>
              <w:right w:val="nil"/>
            </w:tcBorders>
            <w:shd w:val="clear" w:color="000000" w:fill="D9D9D9"/>
            <w:vAlign w:val="center"/>
            <w:hideMark/>
          </w:tcPr>
          <w:p w14:paraId="3861BFCD" w14:textId="77777777" w:rsidR="004B6F92" w:rsidRPr="004B6F92" w:rsidRDefault="004B6F92" w:rsidP="008363A1">
            <w:pPr>
              <w:pStyle w:val="Tabletext"/>
              <w:spacing w:line="200" w:lineRule="exact"/>
              <w:jc w:val="center"/>
              <w:rPr>
                <w:rFonts w:cs="Calibri"/>
                <w:sz w:val="22"/>
              </w:rPr>
            </w:pPr>
            <w:r w:rsidRPr="004B6F92">
              <w:rPr>
                <w:rFonts w:cs="Calibri"/>
                <w:sz w:val="22"/>
              </w:rPr>
              <w:t>0.16</w:t>
            </w:r>
          </w:p>
        </w:tc>
      </w:tr>
      <w:tr w:rsidR="004B6F92" w:rsidRPr="004B6F92" w14:paraId="1712CBE9" w14:textId="77777777" w:rsidTr="00E521F6">
        <w:trPr>
          <w:trHeight w:val="300"/>
          <w:jc w:val="center"/>
        </w:trPr>
        <w:tc>
          <w:tcPr>
            <w:tcW w:w="440" w:type="dxa"/>
            <w:tcBorders>
              <w:top w:val="nil"/>
              <w:left w:val="nil"/>
              <w:bottom w:val="single" w:sz="4" w:space="0" w:color="FFFFFF"/>
              <w:right w:val="nil"/>
            </w:tcBorders>
            <w:shd w:val="clear" w:color="000000" w:fill="F2F2F2"/>
            <w:vAlign w:val="center"/>
            <w:hideMark/>
          </w:tcPr>
          <w:p w14:paraId="5F556703" w14:textId="77777777" w:rsidR="004B6F92" w:rsidRPr="004B6F92" w:rsidRDefault="004B6F92" w:rsidP="008363A1">
            <w:pPr>
              <w:pStyle w:val="Tabletext"/>
              <w:spacing w:line="200" w:lineRule="exact"/>
              <w:rPr>
                <w:rFonts w:cs="Calibri"/>
                <w:sz w:val="22"/>
              </w:rPr>
            </w:pPr>
            <w:r w:rsidRPr="004B6F92">
              <w:rPr>
                <w:rFonts w:cs="Calibri"/>
                <w:sz w:val="22"/>
              </w:rPr>
              <w:t>11</w:t>
            </w:r>
          </w:p>
        </w:tc>
        <w:tc>
          <w:tcPr>
            <w:tcW w:w="3813" w:type="dxa"/>
            <w:tcBorders>
              <w:top w:val="nil"/>
              <w:left w:val="nil"/>
              <w:bottom w:val="single" w:sz="4" w:space="0" w:color="FFFFFF"/>
              <w:right w:val="nil"/>
            </w:tcBorders>
            <w:shd w:val="clear" w:color="000000" w:fill="F2F2F2"/>
            <w:vAlign w:val="center"/>
            <w:hideMark/>
          </w:tcPr>
          <w:p w14:paraId="6A5DC45D" w14:textId="77777777" w:rsidR="004B6F92" w:rsidRPr="004B6F92" w:rsidRDefault="004B6F92" w:rsidP="008363A1">
            <w:pPr>
              <w:pStyle w:val="Tabletext"/>
              <w:spacing w:line="200" w:lineRule="exact"/>
              <w:rPr>
                <w:rFonts w:cs="Calibri"/>
                <w:sz w:val="22"/>
              </w:rPr>
            </w:pPr>
            <w:r w:rsidRPr="004B6F92">
              <w:rPr>
                <w:rFonts w:cs="Calibri"/>
                <w:sz w:val="22"/>
              </w:rPr>
              <w:t>Working pensioners reform</w:t>
            </w:r>
          </w:p>
        </w:tc>
        <w:tc>
          <w:tcPr>
            <w:tcW w:w="635" w:type="dxa"/>
            <w:tcBorders>
              <w:top w:val="nil"/>
              <w:left w:val="nil"/>
              <w:bottom w:val="single" w:sz="4" w:space="0" w:color="FFFFFF"/>
              <w:right w:val="nil"/>
            </w:tcBorders>
            <w:shd w:val="clear" w:color="000000" w:fill="F2F2F2"/>
            <w:vAlign w:val="center"/>
            <w:hideMark/>
          </w:tcPr>
          <w:p w14:paraId="2A4321AB"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6C6F5697"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0659C4E9" w14:textId="77777777" w:rsidR="004B6F92" w:rsidRPr="004B6F92" w:rsidRDefault="004B6F92" w:rsidP="008363A1">
            <w:pPr>
              <w:pStyle w:val="Tabletext"/>
              <w:spacing w:line="200" w:lineRule="exact"/>
              <w:rPr>
                <w:rFonts w:cs="Calibri"/>
                <w:sz w:val="22"/>
              </w:rPr>
            </w:pPr>
            <w:r w:rsidRPr="004B6F92">
              <w:rPr>
                <w:rFonts w:cs="Calibri"/>
                <w:sz w:val="22"/>
              </w:rPr>
              <w:t>D.61</w:t>
            </w:r>
          </w:p>
        </w:tc>
        <w:tc>
          <w:tcPr>
            <w:tcW w:w="851" w:type="dxa"/>
            <w:tcBorders>
              <w:top w:val="nil"/>
              <w:left w:val="nil"/>
              <w:bottom w:val="single" w:sz="4" w:space="0" w:color="FFFFFF"/>
              <w:right w:val="nil"/>
            </w:tcBorders>
            <w:shd w:val="clear" w:color="000000" w:fill="F2F2F2"/>
            <w:vAlign w:val="center"/>
            <w:hideMark/>
          </w:tcPr>
          <w:p w14:paraId="3CE3E168"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c>
          <w:tcPr>
            <w:tcW w:w="897" w:type="dxa"/>
            <w:tcBorders>
              <w:top w:val="nil"/>
              <w:left w:val="nil"/>
              <w:bottom w:val="single" w:sz="4" w:space="0" w:color="FFFFFF"/>
              <w:right w:val="nil"/>
            </w:tcBorders>
            <w:shd w:val="clear" w:color="000000" w:fill="F2F2F2"/>
            <w:vAlign w:val="center"/>
            <w:hideMark/>
          </w:tcPr>
          <w:p w14:paraId="0D4B268E" w14:textId="77777777" w:rsidR="004B6F92" w:rsidRPr="004B6F92" w:rsidRDefault="004B6F92" w:rsidP="008363A1">
            <w:pPr>
              <w:pStyle w:val="Tabletext"/>
              <w:spacing w:line="200" w:lineRule="exact"/>
              <w:jc w:val="center"/>
              <w:rPr>
                <w:rFonts w:cs="Calibri"/>
                <w:sz w:val="22"/>
              </w:rPr>
            </w:pPr>
            <w:r w:rsidRPr="004B6F92">
              <w:rPr>
                <w:rFonts w:cs="Calibri"/>
                <w:sz w:val="22"/>
              </w:rPr>
              <w:t>0.13</w:t>
            </w:r>
          </w:p>
        </w:tc>
      </w:tr>
      <w:tr w:rsidR="004B6F92" w:rsidRPr="004B6F92" w14:paraId="42272402" w14:textId="77777777" w:rsidTr="00E521F6">
        <w:trPr>
          <w:trHeight w:val="600"/>
          <w:jc w:val="center"/>
        </w:trPr>
        <w:tc>
          <w:tcPr>
            <w:tcW w:w="440" w:type="dxa"/>
            <w:tcBorders>
              <w:top w:val="nil"/>
              <w:left w:val="nil"/>
              <w:bottom w:val="single" w:sz="4" w:space="0" w:color="FFFFFF"/>
              <w:right w:val="nil"/>
            </w:tcBorders>
            <w:shd w:val="clear" w:color="000000" w:fill="D9D9D9"/>
            <w:vAlign w:val="center"/>
            <w:hideMark/>
          </w:tcPr>
          <w:p w14:paraId="47257792" w14:textId="77777777" w:rsidR="004B6F92" w:rsidRPr="004B6F92" w:rsidRDefault="004B6F92" w:rsidP="008363A1">
            <w:pPr>
              <w:pStyle w:val="Tabletext"/>
              <w:spacing w:line="200" w:lineRule="exact"/>
              <w:rPr>
                <w:rFonts w:cs="Calibri"/>
                <w:sz w:val="22"/>
              </w:rPr>
            </w:pPr>
            <w:r w:rsidRPr="004B6F92">
              <w:rPr>
                <w:rFonts w:cs="Calibri"/>
                <w:sz w:val="22"/>
              </w:rPr>
              <w:t>12</w:t>
            </w:r>
          </w:p>
        </w:tc>
        <w:tc>
          <w:tcPr>
            <w:tcW w:w="3813" w:type="dxa"/>
            <w:tcBorders>
              <w:top w:val="nil"/>
              <w:left w:val="nil"/>
              <w:bottom w:val="single" w:sz="4" w:space="0" w:color="FFFFFF"/>
              <w:right w:val="nil"/>
            </w:tcBorders>
            <w:shd w:val="clear" w:color="000000" w:fill="D9D9D9"/>
            <w:vAlign w:val="center"/>
            <w:hideMark/>
          </w:tcPr>
          <w:p w14:paraId="0368F249" w14:textId="77777777" w:rsidR="004B6F92" w:rsidRPr="004B6F92" w:rsidRDefault="004B6F92" w:rsidP="008363A1">
            <w:pPr>
              <w:pStyle w:val="Tabletext"/>
              <w:spacing w:line="200" w:lineRule="exact"/>
              <w:rPr>
                <w:rFonts w:cs="Calibri"/>
                <w:sz w:val="22"/>
              </w:rPr>
            </w:pPr>
            <w:r w:rsidRPr="004B6F92">
              <w:rPr>
                <w:rFonts w:cs="Calibri"/>
                <w:sz w:val="22"/>
              </w:rPr>
              <w:t>Increased energy revenues - price cap mechanism on renewables</w:t>
            </w:r>
          </w:p>
        </w:tc>
        <w:tc>
          <w:tcPr>
            <w:tcW w:w="635" w:type="dxa"/>
            <w:tcBorders>
              <w:top w:val="nil"/>
              <w:left w:val="nil"/>
              <w:bottom w:val="single" w:sz="4" w:space="0" w:color="FFFFFF"/>
              <w:right w:val="nil"/>
            </w:tcBorders>
            <w:shd w:val="clear" w:color="000000" w:fill="D9D9D9"/>
            <w:vAlign w:val="center"/>
            <w:hideMark/>
          </w:tcPr>
          <w:p w14:paraId="6C23909E"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2B6FDCC9"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7D75C755" w14:textId="77777777" w:rsidR="004B6F92" w:rsidRPr="004B6F92" w:rsidRDefault="004B6F92" w:rsidP="008363A1">
            <w:pPr>
              <w:pStyle w:val="Tabletext"/>
              <w:spacing w:line="200" w:lineRule="exact"/>
              <w:rPr>
                <w:rFonts w:cs="Calibri"/>
                <w:sz w:val="22"/>
              </w:rPr>
            </w:pPr>
            <w:r w:rsidRPr="004B6F92">
              <w:rPr>
                <w:rFonts w:cs="Calibri"/>
                <w:sz w:val="22"/>
              </w:rPr>
              <w:t>D.2</w:t>
            </w:r>
          </w:p>
        </w:tc>
        <w:tc>
          <w:tcPr>
            <w:tcW w:w="851" w:type="dxa"/>
            <w:tcBorders>
              <w:top w:val="nil"/>
              <w:left w:val="nil"/>
              <w:bottom w:val="single" w:sz="4" w:space="0" w:color="FFFFFF"/>
              <w:right w:val="nil"/>
            </w:tcBorders>
            <w:shd w:val="clear" w:color="000000" w:fill="D9D9D9"/>
            <w:vAlign w:val="center"/>
            <w:hideMark/>
          </w:tcPr>
          <w:p w14:paraId="2A6D108D" w14:textId="77777777" w:rsidR="004B6F92" w:rsidRPr="004B6F92" w:rsidRDefault="004B6F92" w:rsidP="008363A1">
            <w:pPr>
              <w:pStyle w:val="Tabletext"/>
              <w:spacing w:line="200" w:lineRule="exact"/>
              <w:jc w:val="center"/>
              <w:rPr>
                <w:rFonts w:cs="Calibri"/>
                <w:sz w:val="22"/>
              </w:rPr>
            </w:pPr>
            <w:r w:rsidRPr="004B6F92">
              <w:rPr>
                <w:rFonts w:cs="Calibri"/>
                <w:sz w:val="22"/>
              </w:rPr>
              <w:t>-0.56</w:t>
            </w:r>
          </w:p>
        </w:tc>
        <w:tc>
          <w:tcPr>
            <w:tcW w:w="897" w:type="dxa"/>
            <w:tcBorders>
              <w:top w:val="nil"/>
              <w:left w:val="nil"/>
              <w:bottom w:val="single" w:sz="4" w:space="0" w:color="FFFFFF"/>
              <w:right w:val="nil"/>
            </w:tcBorders>
            <w:shd w:val="clear" w:color="000000" w:fill="D9D9D9"/>
            <w:vAlign w:val="center"/>
            <w:hideMark/>
          </w:tcPr>
          <w:p w14:paraId="3520B0B0" w14:textId="77777777" w:rsidR="004B6F92" w:rsidRPr="004B6F92" w:rsidRDefault="004B6F92" w:rsidP="008363A1">
            <w:pPr>
              <w:pStyle w:val="Tabletext"/>
              <w:spacing w:line="200" w:lineRule="exact"/>
              <w:jc w:val="center"/>
              <w:rPr>
                <w:rFonts w:cs="Calibri"/>
                <w:sz w:val="22"/>
              </w:rPr>
            </w:pPr>
            <w:r w:rsidRPr="004B6F92">
              <w:rPr>
                <w:rFonts w:cs="Calibri"/>
                <w:sz w:val="22"/>
              </w:rPr>
              <w:t>-0.24</w:t>
            </w:r>
          </w:p>
        </w:tc>
      </w:tr>
      <w:tr w:rsidR="004B6F92" w:rsidRPr="004B6F92" w14:paraId="65C2748C" w14:textId="77777777" w:rsidTr="00E521F6">
        <w:trPr>
          <w:trHeight w:val="600"/>
          <w:jc w:val="center"/>
        </w:trPr>
        <w:tc>
          <w:tcPr>
            <w:tcW w:w="440" w:type="dxa"/>
            <w:tcBorders>
              <w:top w:val="nil"/>
              <w:left w:val="nil"/>
              <w:bottom w:val="single" w:sz="4" w:space="0" w:color="FFFFFF"/>
              <w:right w:val="nil"/>
            </w:tcBorders>
            <w:shd w:val="clear" w:color="000000" w:fill="F2F2F2"/>
            <w:vAlign w:val="center"/>
            <w:hideMark/>
          </w:tcPr>
          <w:p w14:paraId="729D32EC" w14:textId="77777777" w:rsidR="004B6F92" w:rsidRPr="004B6F92" w:rsidRDefault="004B6F92" w:rsidP="008363A1">
            <w:pPr>
              <w:pStyle w:val="Tabletext"/>
              <w:spacing w:line="200" w:lineRule="exact"/>
              <w:rPr>
                <w:rFonts w:cs="Calibri"/>
                <w:sz w:val="22"/>
              </w:rPr>
            </w:pPr>
            <w:r w:rsidRPr="004B6F92">
              <w:rPr>
                <w:rFonts w:cs="Calibri"/>
                <w:sz w:val="22"/>
              </w:rPr>
              <w:t>13</w:t>
            </w:r>
          </w:p>
        </w:tc>
        <w:tc>
          <w:tcPr>
            <w:tcW w:w="3813" w:type="dxa"/>
            <w:tcBorders>
              <w:top w:val="nil"/>
              <w:left w:val="nil"/>
              <w:bottom w:val="single" w:sz="4" w:space="0" w:color="FFFFFF"/>
              <w:right w:val="nil"/>
            </w:tcBorders>
            <w:shd w:val="clear" w:color="000000" w:fill="F2F2F2"/>
            <w:vAlign w:val="center"/>
            <w:hideMark/>
          </w:tcPr>
          <w:p w14:paraId="13B76B8B" w14:textId="18D52EE7" w:rsidR="004B6F92" w:rsidRPr="004B6F92" w:rsidRDefault="004B6F92" w:rsidP="008363A1">
            <w:pPr>
              <w:pStyle w:val="Tabletext"/>
              <w:spacing w:line="200" w:lineRule="exact"/>
              <w:rPr>
                <w:rFonts w:cs="Calibri"/>
                <w:sz w:val="22"/>
              </w:rPr>
            </w:pPr>
            <w:r w:rsidRPr="004B6F92">
              <w:rPr>
                <w:rFonts w:cs="Calibri"/>
                <w:sz w:val="22"/>
              </w:rPr>
              <w:t xml:space="preserve">Price cap mechanism </w:t>
            </w:r>
            <w:r w:rsidR="008434E9">
              <w:rPr>
                <w:rFonts w:cs="Calibri"/>
                <w:sz w:val="22"/>
              </w:rPr>
              <w:br/>
            </w:r>
            <w:r w:rsidRPr="004B6F92">
              <w:rPr>
                <w:rFonts w:cs="Calibri"/>
                <w:sz w:val="22"/>
              </w:rPr>
              <w:t>on wholesale energy market</w:t>
            </w:r>
          </w:p>
        </w:tc>
        <w:tc>
          <w:tcPr>
            <w:tcW w:w="635" w:type="dxa"/>
            <w:tcBorders>
              <w:top w:val="nil"/>
              <w:left w:val="nil"/>
              <w:bottom w:val="single" w:sz="4" w:space="0" w:color="FFFFFF"/>
              <w:right w:val="nil"/>
            </w:tcBorders>
            <w:shd w:val="clear" w:color="000000" w:fill="F2F2F2"/>
            <w:vAlign w:val="center"/>
            <w:hideMark/>
          </w:tcPr>
          <w:p w14:paraId="7EA564DF"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2A1BB3C0"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03CBA698" w14:textId="77777777" w:rsidR="004B6F92" w:rsidRPr="004B6F92" w:rsidRDefault="004B6F92" w:rsidP="008363A1">
            <w:pPr>
              <w:pStyle w:val="Tabletext"/>
              <w:spacing w:line="200" w:lineRule="exact"/>
              <w:rPr>
                <w:rFonts w:cs="Calibri"/>
                <w:sz w:val="22"/>
              </w:rPr>
            </w:pPr>
            <w:r w:rsidRPr="004B6F92">
              <w:rPr>
                <w:rFonts w:cs="Calibri"/>
                <w:sz w:val="22"/>
              </w:rPr>
              <w:t>D.2</w:t>
            </w:r>
          </w:p>
        </w:tc>
        <w:tc>
          <w:tcPr>
            <w:tcW w:w="851" w:type="dxa"/>
            <w:tcBorders>
              <w:top w:val="nil"/>
              <w:left w:val="nil"/>
              <w:bottom w:val="single" w:sz="4" w:space="0" w:color="FFFFFF"/>
              <w:right w:val="nil"/>
            </w:tcBorders>
            <w:shd w:val="clear" w:color="000000" w:fill="F2F2F2"/>
            <w:vAlign w:val="center"/>
            <w:hideMark/>
          </w:tcPr>
          <w:p w14:paraId="36C2C087" w14:textId="77777777" w:rsidR="004B6F92" w:rsidRPr="004B6F92" w:rsidRDefault="004B6F92" w:rsidP="008363A1">
            <w:pPr>
              <w:pStyle w:val="Tabletext"/>
              <w:spacing w:line="200" w:lineRule="exact"/>
              <w:jc w:val="center"/>
              <w:rPr>
                <w:rFonts w:cs="Calibri"/>
                <w:sz w:val="22"/>
              </w:rPr>
            </w:pPr>
            <w:r w:rsidRPr="004B6F92">
              <w:rPr>
                <w:rFonts w:cs="Calibri"/>
                <w:sz w:val="22"/>
              </w:rPr>
              <w:t>-0.44</w:t>
            </w:r>
          </w:p>
        </w:tc>
        <w:tc>
          <w:tcPr>
            <w:tcW w:w="897" w:type="dxa"/>
            <w:tcBorders>
              <w:top w:val="nil"/>
              <w:left w:val="nil"/>
              <w:bottom w:val="single" w:sz="4" w:space="0" w:color="FFFFFF"/>
              <w:right w:val="nil"/>
            </w:tcBorders>
            <w:shd w:val="clear" w:color="000000" w:fill="F2F2F2"/>
            <w:vAlign w:val="center"/>
            <w:hideMark/>
          </w:tcPr>
          <w:p w14:paraId="6860D46E" w14:textId="77777777" w:rsidR="004B6F92" w:rsidRPr="004B6F92" w:rsidRDefault="004B6F92" w:rsidP="008363A1">
            <w:pPr>
              <w:pStyle w:val="Tabletext"/>
              <w:spacing w:line="200" w:lineRule="exact"/>
              <w:jc w:val="center"/>
              <w:rPr>
                <w:rFonts w:cs="Calibri"/>
                <w:sz w:val="22"/>
              </w:rPr>
            </w:pPr>
            <w:r w:rsidRPr="004B6F92">
              <w:rPr>
                <w:rFonts w:cs="Calibri"/>
                <w:sz w:val="22"/>
              </w:rPr>
              <w:t>-0.06</w:t>
            </w:r>
          </w:p>
        </w:tc>
      </w:tr>
      <w:tr w:rsidR="004B6F92" w:rsidRPr="004B6F92" w14:paraId="53D0F4CB" w14:textId="77777777" w:rsidTr="00E521F6">
        <w:trPr>
          <w:trHeight w:val="600"/>
          <w:jc w:val="center"/>
        </w:trPr>
        <w:tc>
          <w:tcPr>
            <w:tcW w:w="440" w:type="dxa"/>
            <w:tcBorders>
              <w:top w:val="nil"/>
              <w:left w:val="nil"/>
              <w:bottom w:val="single" w:sz="4" w:space="0" w:color="FFFFFF"/>
              <w:right w:val="nil"/>
            </w:tcBorders>
            <w:shd w:val="clear" w:color="000000" w:fill="D9D9D9"/>
            <w:vAlign w:val="center"/>
            <w:hideMark/>
          </w:tcPr>
          <w:p w14:paraId="6FFE10F9" w14:textId="77777777" w:rsidR="004B6F92" w:rsidRPr="004B6F92" w:rsidRDefault="004B6F92" w:rsidP="008363A1">
            <w:pPr>
              <w:pStyle w:val="Tabletext"/>
              <w:spacing w:line="200" w:lineRule="exact"/>
              <w:rPr>
                <w:rFonts w:cs="Calibri"/>
                <w:sz w:val="22"/>
              </w:rPr>
            </w:pPr>
            <w:r w:rsidRPr="004B6F92">
              <w:rPr>
                <w:rFonts w:cs="Calibri"/>
                <w:sz w:val="22"/>
              </w:rPr>
              <w:t>14</w:t>
            </w:r>
          </w:p>
        </w:tc>
        <w:tc>
          <w:tcPr>
            <w:tcW w:w="3813" w:type="dxa"/>
            <w:tcBorders>
              <w:top w:val="nil"/>
              <w:left w:val="nil"/>
              <w:bottom w:val="single" w:sz="4" w:space="0" w:color="FFFFFF"/>
              <w:right w:val="nil"/>
            </w:tcBorders>
            <w:shd w:val="clear" w:color="000000" w:fill="D9D9D9"/>
            <w:vAlign w:val="center"/>
            <w:hideMark/>
          </w:tcPr>
          <w:p w14:paraId="00DE12CD" w14:textId="369DD45F" w:rsidR="004B6F92" w:rsidRPr="004B6F92" w:rsidRDefault="004B6F92" w:rsidP="008363A1">
            <w:pPr>
              <w:pStyle w:val="Tabletext"/>
              <w:spacing w:line="200" w:lineRule="exact"/>
              <w:rPr>
                <w:rFonts w:cs="Calibri"/>
                <w:sz w:val="22"/>
              </w:rPr>
            </w:pPr>
            <w:r w:rsidRPr="004B6F92">
              <w:rPr>
                <w:rFonts w:cs="Calibri"/>
                <w:sz w:val="22"/>
              </w:rPr>
              <w:t>Wholesale market levy on windfall profits October 21-June 22</w:t>
            </w:r>
          </w:p>
        </w:tc>
        <w:tc>
          <w:tcPr>
            <w:tcW w:w="635" w:type="dxa"/>
            <w:tcBorders>
              <w:top w:val="nil"/>
              <w:left w:val="nil"/>
              <w:bottom w:val="single" w:sz="4" w:space="0" w:color="FFFFFF"/>
              <w:right w:val="nil"/>
            </w:tcBorders>
            <w:shd w:val="clear" w:color="000000" w:fill="D9D9D9"/>
            <w:vAlign w:val="center"/>
            <w:hideMark/>
          </w:tcPr>
          <w:p w14:paraId="6283FD24"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7C933088"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35B9D0A3"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D9D9D9"/>
            <w:vAlign w:val="center"/>
            <w:hideMark/>
          </w:tcPr>
          <w:p w14:paraId="3485C12D" w14:textId="77777777" w:rsidR="004B6F92" w:rsidRPr="004B6F92" w:rsidRDefault="004B6F92" w:rsidP="008363A1">
            <w:pPr>
              <w:pStyle w:val="Tabletext"/>
              <w:spacing w:line="200" w:lineRule="exact"/>
              <w:jc w:val="center"/>
              <w:rPr>
                <w:rFonts w:cs="Calibri"/>
                <w:sz w:val="22"/>
              </w:rPr>
            </w:pPr>
            <w:r w:rsidRPr="004B6F92">
              <w:rPr>
                <w:rFonts w:cs="Calibri"/>
                <w:sz w:val="22"/>
              </w:rPr>
              <w:t>-0.15</w:t>
            </w:r>
          </w:p>
        </w:tc>
        <w:tc>
          <w:tcPr>
            <w:tcW w:w="897" w:type="dxa"/>
            <w:tcBorders>
              <w:top w:val="nil"/>
              <w:left w:val="nil"/>
              <w:bottom w:val="single" w:sz="4" w:space="0" w:color="FFFFFF"/>
              <w:right w:val="nil"/>
            </w:tcBorders>
            <w:shd w:val="clear" w:color="000000" w:fill="D9D9D9"/>
            <w:vAlign w:val="center"/>
            <w:hideMark/>
          </w:tcPr>
          <w:p w14:paraId="0A50AB86"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71B593FC" w14:textId="77777777" w:rsidTr="00E521F6">
        <w:trPr>
          <w:trHeight w:val="300"/>
          <w:jc w:val="center"/>
        </w:trPr>
        <w:tc>
          <w:tcPr>
            <w:tcW w:w="440" w:type="dxa"/>
            <w:tcBorders>
              <w:top w:val="nil"/>
              <w:left w:val="nil"/>
              <w:bottom w:val="single" w:sz="4" w:space="0" w:color="FFFFFF"/>
              <w:right w:val="nil"/>
            </w:tcBorders>
            <w:shd w:val="clear" w:color="000000" w:fill="F2F2F2"/>
            <w:vAlign w:val="center"/>
            <w:hideMark/>
          </w:tcPr>
          <w:p w14:paraId="124BE3AB" w14:textId="77777777" w:rsidR="004B6F92" w:rsidRPr="004B6F92" w:rsidRDefault="004B6F92" w:rsidP="008363A1">
            <w:pPr>
              <w:pStyle w:val="Tabletext"/>
              <w:spacing w:line="200" w:lineRule="exact"/>
              <w:rPr>
                <w:rFonts w:cs="Calibri"/>
                <w:sz w:val="22"/>
              </w:rPr>
            </w:pPr>
            <w:r w:rsidRPr="004B6F92">
              <w:rPr>
                <w:rFonts w:cs="Calibri"/>
                <w:sz w:val="22"/>
              </w:rPr>
              <w:t>15</w:t>
            </w:r>
          </w:p>
        </w:tc>
        <w:tc>
          <w:tcPr>
            <w:tcW w:w="3813" w:type="dxa"/>
            <w:tcBorders>
              <w:top w:val="nil"/>
              <w:left w:val="nil"/>
              <w:bottom w:val="single" w:sz="4" w:space="0" w:color="FFFFFF"/>
              <w:right w:val="nil"/>
            </w:tcBorders>
            <w:shd w:val="clear" w:color="000000" w:fill="F2F2F2"/>
            <w:vAlign w:val="center"/>
            <w:hideMark/>
          </w:tcPr>
          <w:p w14:paraId="0469DB62" w14:textId="77777777" w:rsidR="004B6F92" w:rsidRPr="004B6F92" w:rsidRDefault="004B6F92" w:rsidP="008363A1">
            <w:pPr>
              <w:pStyle w:val="Tabletext"/>
              <w:spacing w:line="200" w:lineRule="exact"/>
              <w:rPr>
                <w:rFonts w:cs="Calibri"/>
                <w:sz w:val="22"/>
              </w:rPr>
            </w:pPr>
            <w:r w:rsidRPr="004B6F92">
              <w:rPr>
                <w:rFonts w:cs="Calibri"/>
                <w:sz w:val="22"/>
              </w:rPr>
              <w:t>Other COVID D.2 measures</w:t>
            </w:r>
          </w:p>
        </w:tc>
        <w:tc>
          <w:tcPr>
            <w:tcW w:w="635" w:type="dxa"/>
            <w:tcBorders>
              <w:top w:val="nil"/>
              <w:left w:val="nil"/>
              <w:bottom w:val="single" w:sz="4" w:space="0" w:color="FFFFFF"/>
              <w:right w:val="nil"/>
            </w:tcBorders>
            <w:shd w:val="clear" w:color="000000" w:fill="F2F2F2"/>
            <w:vAlign w:val="center"/>
            <w:hideMark/>
          </w:tcPr>
          <w:p w14:paraId="6C120448"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0A3B3B84"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1D66E616" w14:textId="77777777" w:rsidR="004B6F92" w:rsidRPr="004B6F92" w:rsidRDefault="004B6F92" w:rsidP="008363A1">
            <w:pPr>
              <w:pStyle w:val="Tabletext"/>
              <w:spacing w:line="200" w:lineRule="exact"/>
              <w:rPr>
                <w:rFonts w:cs="Calibri"/>
                <w:sz w:val="22"/>
              </w:rPr>
            </w:pPr>
            <w:r w:rsidRPr="004B6F92">
              <w:rPr>
                <w:rFonts w:cs="Calibri"/>
                <w:sz w:val="22"/>
              </w:rPr>
              <w:t>D.2</w:t>
            </w:r>
          </w:p>
        </w:tc>
        <w:tc>
          <w:tcPr>
            <w:tcW w:w="851" w:type="dxa"/>
            <w:tcBorders>
              <w:top w:val="nil"/>
              <w:left w:val="nil"/>
              <w:bottom w:val="single" w:sz="4" w:space="0" w:color="FFFFFF"/>
              <w:right w:val="nil"/>
            </w:tcBorders>
            <w:shd w:val="clear" w:color="000000" w:fill="F2F2F2"/>
            <w:vAlign w:val="center"/>
            <w:hideMark/>
          </w:tcPr>
          <w:p w14:paraId="0F959723" w14:textId="77777777" w:rsidR="004B6F92" w:rsidRPr="004B6F92" w:rsidRDefault="004B6F92" w:rsidP="008363A1">
            <w:pPr>
              <w:pStyle w:val="Tabletext"/>
              <w:spacing w:line="200" w:lineRule="exact"/>
              <w:jc w:val="center"/>
              <w:rPr>
                <w:rFonts w:cs="Calibri"/>
                <w:sz w:val="22"/>
              </w:rPr>
            </w:pPr>
            <w:r w:rsidRPr="004B6F92">
              <w:rPr>
                <w:rFonts w:cs="Calibri"/>
                <w:sz w:val="22"/>
              </w:rPr>
              <w:t>0.10</w:t>
            </w:r>
          </w:p>
        </w:tc>
        <w:tc>
          <w:tcPr>
            <w:tcW w:w="897" w:type="dxa"/>
            <w:tcBorders>
              <w:top w:val="nil"/>
              <w:left w:val="nil"/>
              <w:bottom w:val="single" w:sz="4" w:space="0" w:color="FFFFFF"/>
              <w:right w:val="nil"/>
            </w:tcBorders>
            <w:shd w:val="clear" w:color="000000" w:fill="F2F2F2"/>
            <w:vAlign w:val="center"/>
            <w:hideMark/>
          </w:tcPr>
          <w:p w14:paraId="78D3D594"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4F972CFF" w14:textId="77777777" w:rsidTr="00E521F6">
        <w:trPr>
          <w:trHeight w:val="300"/>
          <w:jc w:val="center"/>
        </w:trPr>
        <w:tc>
          <w:tcPr>
            <w:tcW w:w="440" w:type="dxa"/>
            <w:tcBorders>
              <w:top w:val="nil"/>
              <w:left w:val="nil"/>
              <w:bottom w:val="single" w:sz="4" w:space="0" w:color="FFFFFF"/>
              <w:right w:val="nil"/>
            </w:tcBorders>
            <w:shd w:val="clear" w:color="000000" w:fill="D9D9D9"/>
            <w:vAlign w:val="center"/>
            <w:hideMark/>
          </w:tcPr>
          <w:p w14:paraId="5DFB2940" w14:textId="77777777" w:rsidR="004B6F92" w:rsidRPr="004B6F92" w:rsidRDefault="004B6F92" w:rsidP="008363A1">
            <w:pPr>
              <w:pStyle w:val="Tabletext"/>
              <w:spacing w:line="200" w:lineRule="exact"/>
              <w:rPr>
                <w:rFonts w:cs="Calibri"/>
                <w:sz w:val="22"/>
              </w:rPr>
            </w:pPr>
            <w:r w:rsidRPr="004B6F92">
              <w:rPr>
                <w:rFonts w:cs="Calibri"/>
                <w:sz w:val="22"/>
              </w:rPr>
              <w:t>16</w:t>
            </w:r>
          </w:p>
        </w:tc>
        <w:tc>
          <w:tcPr>
            <w:tcW w:w="3813" w:type="dxa"/>
            <w:tcBorders>
              <w:top w:val="nil"/>
              <w:left w:val="nil"/>
              <w:bottom w:val="single" w:sz="4" w:space="0" w:color="FFFFFF"/>
              <w:right w:val="nil"/>
            </w:tcBorders>
            <w:shd w:val="clear" w:color="000000" w:fill="D9D9D9"/>
            <w:vAlign w:val="center"/>
            <w:hideMark/>
          </w:tcPr>
          <w:p w14:paraId="076A5C16" w14:textId="77777777" w:rsidR="004B6F92" w:rsidRPr="004B6F92" w:rsidRDefault="004B6F92" w:rsidP="008363A1">
            <w:pPr>
              <w:pStyle w:val="Tabletext"/>
              <w:spacing w:line="200" w:lineRule="exact"/>
              <w:rPr>
                <w:rFonts w:cs="Calibri"/>
                <w:sz w:val="22"/>
              </w:rPr>
            </w:pPr>
            <w:r w:rsidRPr="004B6F92">
              <w:rPr>
                <w:rFonts w:cs="Calibri"/>
                <w:sz w:val="22"/>
              </w:rPr>
              <w:t>Other COVID D.5 measures</w:t>
            </w:r>
          </w:p>
        </w:tc>
        <w:tc>
          <w:tcPr>
            <w:tcW w:w="635" w:type="dxa"/>
            <w:tcBorders>
              <w:top w:val="nil"/>
              <w:left w:val="nil"/>
              <w:bottom w:val="single" w:sz="4" w:space="0" w:color="FFFFFF"/>
              <w:right w:val="nil"/>
            </w:tcBorders>
            <w:shd w:val="clear" w:color="000000" w:fill="D9D9D9"/>
            <w:vAlign w:val="center"/>
            <w:hideMark/>
          </w:tcPr>
          <w:p w14:paraId="165B77AF"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4E0B372F"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1F50F246"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D9D9D9"/>
            <w:vAlign w:val="center"/>
            <w:hideMark/>
          </w:tcPr>
          <w:p w14:paraId="7F6B25FE" w14:textId="77777777" w:rsidR="004B6F92" w:rsidRPr="004B6F92" w:rsidRDefault="004B6F92" w:rsidP="008363A1">
            <w:pPr>
              <w:pStyle w:val="Tabletext"/>
              <w:spacing w:line="200" w:lineRule="exact"/>
              <w:jc w:val="center"/>
              <w:rPr>
                <w:rFonts w:cs="Calibri"/>
                <w:sz w:val="22"/>
              </w:rPr>
            </w:pPr>
            <w:r w:rsidRPr="004B6F92">
              <w:rPr>
                <w:rFonts w:cs="Calibri"/>
                <w:sz w:val="22"/>
              </w:rPr>
              <w:t>0.04</w:t>
            </w:r>
          </w:p>
        </w:tc>
        <w:tc>
          <w:tcPr>
            <w:tcW w:w="897" w:type="dxa"/>
            <w:tcBorders>
              <w:top w:val="nil"/>
              <w:left w:val="nil"/>
              <w:bottom w:val="single" w:sz="4" w:space="0" w:color="FFFFFF"/>
              <w:right w:val="nil"/>
            </w:tcBorders>
            <w:shd w:val="clear" w:color="000000" w:fill="D9D9D9"/>
            <w:vAlign w:val="center"/>
            <w:hideMark/>
          </w:tcPr>
          <w:p w14:paraId="4C9D74D0"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78EBB6BD" w14:textId="77777777" w:rsidTr="00E521F6">
        <w:trPr>
          <w:trHeight w:val="300"/>
          <w:jc w:val="center"/>
        </w:trPr>
        <w:tc>
          <w:tcPr>
            <w:tcW w:w="440" w:type="dxa"/>
            <w:tcBorders>
              <w:top w:val="nil"/>
              <w:left w:val="nil"/>
              <w:bottom w:val="single" w:sz="4" w:space="0" w:color="FFFFFF"/>
              <w:right w:val="nil"/>
            </w:tcBorders>
            <w:shd w:val="clear" w:color="000000" w:fill="F2F2F2"/>
            <w:vAlign w:val="center"/>
            <w:hideMark/>
          </w:tcPr>
          <w:p w14:paraId="75A61FE1" w14:textId="77777777" w:rsidR="004B6F92" w:rsidRPr="004B6F92" w:rsidRDefault="004B6F92" w:rsidP="008363A1">
            <w:pPr>
              <w:pStyle w:val="Tabletext"/>
              <w:spacing w:line="200" w:lineRule="exact"/>
              <w:rPr>
                <w:rFonts w:cs="Calibri"/>
                <w:sz w:val="22"/>
              </w:rPr>
            </w:pPr>
            <w:r w:rsidRPr="004B6F92">
              <w:rPr>
                <w:rFonts w:cs="Calibri"/>
                <w:sz w:val="22"/>
              </w:rPr>
              <w:t>17</w:t>
            </w:r>
          </w:p>
        </w:tc>
        <w:tc>
          <w:tcPr>
            <w:tcW w:w="3813" w:type="dxa"/>
            <w:tcBorders>
              <w:top w:val="nil"/>
              <w:left w:val="nil"/>
              <w:bottom w:val="single" w:sz="4" w:space="0" w:color="FFFFFF"/>
              <w:right w:val="nil"/>
            </w:tcBorders>
            <w:shd w:val="clear" w:color="000000" w:fill="F2F2F2"/>
            <w:vAlign w:val="center"/>
            <w:hideMark/>
          </w:tcPr>
          <w:p w14:paraId="0121F480" w14:textId="77777777" w:rsidR="004B6F92" w:rsidRPr="004B6F92" w:rsidRDefault="004B6F92" w:rsidP="008363A1">
            <w:pPr>
              <w:pStyle w:val="Tabletext"/>
              <w:spacing w:line="200" w:lineRule="exact"/>
              <w:rPr>
                <w:rFonts w:cs="Calibri"/>
                <w:sz w:val="22"/>
              </w:rPr>
            </w:pPr>
            <w:r w:rsidRPr="004B6F92">
              <w:rPr>
                <w:rFonts w:cs="Calibri"/>
                <w:sz w:val="22"/>
              </w:rPr>
              <w:t>Other D.2 measures</w:t>
            </w:r>
          </w:p>
        </w:tc>
        <w:tc>
          <w:tcPr>
            <w:tcW w:w="635" w:type="dxa"/>
            <w:tcBorders>
              <w:top w:val="nil"/>
              <w:left w:val="nil"/>
              <w:bottom w:val="single" w:sz="4" w:space="0" w:color="FFFFFF"/>
              <w:right w:val="nil"/>
            </w:tcBorders>
            <w:shd w:val="clear" w:color="000000" w:fill="F2F2F2"/>
            <w:vAlign w:val="center"/>
            <w:hideMark/>
          </w:tcPr>
          <w:p w14:paraId="0EAD8C6C"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32F0CE5F"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5B29EE43" w14:textId="77777777" w:rsidR="004B6F92" w:rsidRPr="004B6F92" w:rsidRDefault="004B6F92" w:rsidP="008363A1">
            <w:pPr>
              <w:pStyle w:val="Tabletext"/>
              <w:spacing w:line="200" w:lineRule="exact"/>
              <w:rPr>
                <w:rFonts w:cs="Calibri"/>
                <w:sz w:val="22"/>
              </w:rPr>
            </w:pPr>
            <w:r w:rsidRPr="004B6F92">
              <w:rPr>
                <w:rFonts w:cs="Calibri"/>
                <w:sz w:val="22"/>
              </w:rPr>
              <w:t>D.2</w:t>
            </w:r>
          </w:p>
        </w:tc>
        <w:tc>
          <w:tcPr>
            <w:tcW w:w="851" w:type="dxa"/>
            <w:tcBorders>
              <w:top w:val="nil"/>
              <w:left w:val="nil"/>
              <w:bottom w:val="single" w:sz="4" w:space="0" w:color="FFFFFF"/>
              <w:right w:val="nil"/>
            </w:tcBorders>
            <w:shd w:val="clear" w:color="000000" w:fill="F2F2F2"/>
            <w:vAlign w:val="center"/>
            <w:hideMark/>
          </w:tcPr>
          <w:p w14:paraId="72A65711" w14:textId="77777777" w:rsidR="004B6F92" w:rsidRPr="004B6F92" w:rsidRDefault="004B6F92" w:rsidP="008363A1">
            <w:pPr>
              <w:pStyle w:val="Tabletext"/>
              <w:spacing w:line="200" w:lineRule="exact"/>
              <w:jc w:val="center"/>
              <w:rPr>
                <w:rFonts w:cs="Calibri"/>
                <w:sz w:val="22"/>
              </w:rPr>
            </w:pPr>
            <w:r w:rsidRPr="004B6F92">
              <w:rPr>
                <w:rFonts w:cs="Calibri"/>
                <w:sz w:val="22"/>
              </w:rPr>
              <w:t>-0.14</w:t>
            </w:r>
          </w:p>
        </w:tc>
        <w:tc>
          <w:tcPr>
            <w:tcW w:w="897" w:type="dxa"/>
            <w:tcBorders>
              <w:top w:val="nil"/>
              <w:left w:val="nil"/>
              <w:bottom w:val="single" w:sz="4" w:space="0" w:color="FFFFFF"/>
              <w:right w:val="nil"/>
            </w:tcBorders>
            <w:shd w:val="clear" w:color="000000" w:fill="F2F2F2"/>
            <w:vAlign w:val="center"/>
            <w:hideMark/>
          </w:tcPr>
          <w:p w14:paraId="72671DB6" w14:textId="77777777" w:rsidR="004B6F92" w:rsidRPr="004B6F92" w:rsidRDefault="004B6F92" w:rsidP="008363A1">
            <w:pPr>
              <w:pStyle w:val="Tabletext"/>
              <w:spacing w:line="200" w:lineRule="exact"/>
              <w:jc w:val="center"/>
              <w:rPr>
                <w:rFonts w:cs="Calibri"/>
                <w:sz w:val="22"/>
              </w:rPr>
            </w:pPr>
            <w:r w:rsidRPr="004B6F92">
              <w:rPr>
                <w:rFonts w:cs="Calibri"/>
                <w:sz w:val="22"/>
              </w:rPr>
              <w:t>-0.04</w:t>
            </w:r>
          </w:p>
        </w:tc>
      </w:tr>
      <w:tr w:rsidR="004B6F92" w:rsidRPr="004B6F92" w14:paraId="01E83642" w14:textId="77777777" w:rsidTr="00E521F6">
        <w:trPr>
          <w:trHeight w:val="300"/>
          <w:jc w:val="center"/>
        </w:trPr>
        <w:tc>
          <w:tcPr>
            <w:tcW w:w="440" w:type="dxa"/>
            <w:tcBorders>
              <w:top w:val="nil"/>
              <w:left w:val="nil"/>
              <w:bottom w:val="single" w:sz="4" w:space="0" w:color="FFFFFF"/>
              <w:right w:val="nil"/>
            </w:tcBorders>
            <w:shd w:val="clear" w:color="000000" w:fill="D9D9D9"/>
            <w:vAlign w:val="center"/>
            <w:hideMark/>
          </w:tcPr>
          <w:p w14:paraId="05CE78F5" w14:textId="77777777" w:rsidR="004B6F92" w:rsidRPr="004B6F92" w:rsidRDefault="004B6F92" w:rsidP="008363A1">
            <w:pPr>
              <w:pStyle w:val="Tabletext"/>
              <w:spacing w:line="200" w:lineRule="exact"/>
              <w:rPr>
                <w:rFonts w:cs="Calibri"/>
                <w:sz w:val="22"/>
              </w:rPr>
            </w:pPr>
            <w:r w:rsidRPr="004B6F92">
              <w:rPr>
                <w:rFonts w:cs="Calibri"/>
                <w:sz w:val="22"/>
              </w:rPr>
              <w:t>18</w:t>
            </w:r>
          </w:p>
        </w:tc>
        <w:tc>
          <w:tcPr>
            <w:tcW w:w="3813" w:type="dxa"/>
            <w:tcBorders>
              <w:top w:val="nil"/>
              <w:left w:val="nil"/>
              <w:bottom w:val="single" w:sz="4" w:space="0" w:color="FFFFFF"/>
              <w:right w:val="nil"/>
            </w:tcBorders>
            <w:shd w:val="clear" w:color="000000" w:fill="D9D9D9"/>
            <w:vAlign w:val="center"/>
            <w:hideMark/>
          </w:tcPr>
          <w:p w14:paraId="5D031210" w14:textId="77777777" w:rsidR="004B6F92" w:rsidRPr="004B6F92" w:rsidRDefault="004B6F92" w:rsidP="008363A1">
            <w:pPr>
              <w:pStyle w:val="Tabletext"/>
              <w:spacing w:line="200" w:lineRule="exact"/>
              <w:rPr>
                <w:rFonts w:cs="Calibri"/>
                <w:sz w:val="22"/>
              </w:rPr>
            </w:pPr>
            <w:r w:rsidRPr="004B6F92">
              <w:rPr>
                <w:rFonts w:cs="Calibri"/>
                <w:sz w:val="22"/>
              </w:rPr>
              <w:t>Other D.5 measures</w:t>
            </w:r>
          </w:p>
        </w:tc>
        <w:tc>
          <w:tcPr>
            <w:tcW w:w="635" w:type="dxa"/>
            <w:tcBorders>
              <w:top w:val="nil"/>
              <w:left w:val="nil"/>
              <w:bottom w:val="single" w:sz="4" w:space="0" w:color="FFFFFF"/>
              <w:right w:val="nil"/>
            </w:tcBorders>
            <w:shd w:val="clear" w:color="000000" w:fill="D9D9D9"/>
            <w:vAlign w:val="center"/>
            <w:hideMark/>
          </w:tcPr>
          <w:p w14:paraId="59D8DF74"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700157B4"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7E8E8A2D" w14:textId="77777777" w:rsidR="004B6F92" w:rsidRPr="004B6F92" w:rsidRDefault="004B6F92" w:rsidP="008363A1">
            <w:pPr>
              <w:pStyle w:val="Tabletext"/>
              <w:spacing w:line="200" w:lineRule="exact"/>
              <w:rPr>
                <w:rFonts w:cs="Calibri"/>
                <w:sz w:val="22"/>
              </w:rPr>
            </w:pPr>
            <w:r w:rsidRPr="004B6F92">
              <w:rPr>
                <w:rFonts w:cs="Calibri"/>
                <w:sz w:val="22"/>
              </w:rPr>
              <w:t>D.5</w:t>
            </w:r>
          </w:p>
        </w:tc>
        <w:tc>
          <w:tcPr>
            <w:tcW w:w="851" w:type="dxa"/>
            <w:tcBorders>
              <w:top w:val="nil"/>
              <w:left w:val="nil"/>
              <w:bottom w:val="single" w:sz="4" w:space="0" w:color="FFFFFF"/>
              <w:right w:val="nil"/>
            </w:tcBorders>
            <w:shd w:val="clear" w:color="000000" w:fill="D9D9D9"/>
            <w:vAlign w:val="center"/>
            <w:hideMark/>
          </w:tcPr>
          <w:p w14:paraId="3D57CEDE" w14:textId="77777777" w:rsidR="004B6F92" w:rsidRPr="004B6F92" w:rsidRDefault="004B6F92" w:rsidP="008363A1">
            <w:pPr>
              <w:pStyle w:val="Tabletext"/>
              <w:spacing w:line="200" w:lineRule="exact"/>
              <w:jc w:val="center"/>
              <w:rPr>
                <w:rFonts w:cs="Calibri"/>
                <w:sz w:val="22"/>
              </w:rPr>
            </w:pPr>
            <w:r w:rsidRPr="004B6F92">
              <w:rPr>
                <w:rFonts w:cs="Calibri"/>
                <w:sz w:val="22"/>
              </w:rPr>
              <w:t>-0.04</w:t>
            </w:r>
          </w:p>
        </w:tc>
        <w:tc>
          <w:tcPr>
            <w:tcW w:w="897" w:type="dxa"/>
            <w:tcBorders>
              <w:top w:val="nil"/>
              <w:left w:val="nil"/>
              <w:bottom w:val="single" w:sz="4" w:space="0" w:color="FFFFFF"/>
              <w:right w:val="nil"/>
            </w:tcBorders>
            <w:shd w:val="clear" w:color="000000" w:fill="D9D9D9"/>
            <w:vAlign w:val="center"/>
            <w:hideMark/>
          </w:tcPr>
          <w:p w14:paraId="6CA7F17D" w14:textId="77777777" w:rsidR="004B6F92" w:rsidRPr="004B6F92" w:rsidRDefault="004B6F92" w:rsidP="008363A1">
            <w:pPr>
              <w:pStyle w:val="Tabletext"/>
              <w:spacing w:line="200" w:lineRule="exact"/>
              <w:jc w:val="center"/>
              <w:rPr>
                <w:rFonts w:cs="Calibri"/>
                <w:sz w:val="22"/>
              </w:rPr>
            </w:pPr>
            <w:r w:rsidRPr="004B6F92">
              <w:rPr>
                <w:rFonts w:cs="Calibri"/>
                <w:sz w:val="22"/>
              </w:rPr>
              <w:t>0.28</w:t>
            </w:r>
          </w:p>
        </w:tc>
      </w:tr>
      <w:tr w:rsidR="004B6F92" w:rsidRPr="004B6F92" w14:paraId="54634478" w14:textId="77777777" w:rsidTr="00E521F6">
        <w:trPr>
          <w:trHeight w:val="300"/>
          <w:jc w:val="center"/>
        </w:trPr>
        <w:tc>
          <w:tcPr>
            <w:tcW w:w="440" w:type="dxa"/>
            <w:tcBorders>
              <w:top w:val="nil"/>
              <w:left w:val="nil"/>
              <w:bottom w:val="single" w:sz="4" w:space="0" w:color="FFFFFF"/>
              <w:right w:val="nil"/>
            </w:tcBorders>
            <w:shd w:val="clear" w:color="000000" w:fill="F2F2F2"/>
            <w:vAlign w:val="center"/>
            <w:hideMark/>
          </w:tcPr>
          <w:p w14:paraId="4476408B" w14:textId="77777777" w:rsidR="004B6F92" w:rsidRPr="004B6F92" w:rsidRDefault="004B6F92" w:rsidP="008363A1">
            <w:pPr>
              <w:pStyle w:val="Tabletext"/>
              <w:spacing w:line="200" w:lineRule="exact"/>
              <w:rPr>
                <w:rFonts w:cs="Calibri"/>
                <w:sz w:val="22"/>
              </w:rPr>
            </w:pPr>
            <w:r w:rsidRPr="004B6F92">
              <w:rPr>
                <w:rFonts w:cs="Calibri"/>
                <w:sz w:val="22"/>
              </w:rPr>
              <w:t>19</w:t>
            </w:r>
          </w:p>
        </w:tc>
        <w:tc>
          <w:tcPr>
            <w:tcW w:w="3813" w:type="dxa"/>
            <w:tcBorders>
              <w:top w:val="nil"/>
              <w:left w:val="nil"/>
              <w:bottom w:val="single" w:sz="4" w:space="0" w:color="FFFFFF"/>
              <w:right w:val="nil"/>
            </w:tcBorders>
            <w:shd w:val="clear" w:color="000000" w:fill="F2F2F2"/>
            <w:vAlign w:val="center"/>
            <w:hideMark/>
          </w:tcPr>
          <w:p w14:paraId="0796E1AE" w14:textId="77777777" w:rsidR="004B6F92" w:rsidRPr="004B6F92" w:rsidRDefault="004B6F92" w:rsidP="008363A1">
            <w:pPr>
              <w:pStyle w:val="Tabletext"/>
              <w:spacing w:line="200" w:lineRule="exact"/>
              <w:rPr>
                <w:rFonts w:cs="Calibri"/>
                <w:sz w:val="22"/>
              </w:rPr>
            </w:pPr>
            <w:r w:rsidRPr="004B6F92">
              <w:rPr>
                <w:rFonts w:cs="Calibri"/>
                <w:sz w:val="22"/>
              </w:rPr>
              <w:t>Other D.61 measures</w:t>
            </w:r>
          </w:p>
        </w:tc>
        <w:tc>
          <w:tcPr>
            <w:tcW w:w="635" w:type="dxa"/>
            <w:tcBorders>
              <w:top w:val="nil"/>
              <w:left w:val="nil"/>
              <w:bottom w:val="single" w:sz="4" w:space="0" w:color="FFFFFF"/>
              <w:right w:val="nil"/>
            </w:tcBorders>
            <w:shd w:val="clear" w:color="000000" w:fill="F2F2F2"/>
            <w:vAlign w:val="center"/>
            <w:hideMark/>
          </w:tcPr>
          <w:p w14:paraId="425C77C6"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F2F2F2"/>
            <w:vAlign w:val="center"/>
            <w:hideMark/>
          </w:tcPr>
          <w:p w14:paraId="706BBD2B"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F2F2F2"/>
            <w:vAlign w:val="center"/>
            <w:hideMark/>
          </w:tcPr>
          <w:p w14:paraId="70451D71" w14:textId="77777777" w:rsidR="004B6F92" w:rsidRPr="004B6F92" w:rsidRDefault="004B6F92" w:rsidP="008363A1">
            <w:pPr>
              <w:pStyle w:val="Tabletext"/>
              <w:spacing w:line="200" w:lineRule="exact"/>
              <w:rPr>
                <w:rFonts w:cs="Calibri"/>
                <w:sz w:val="22"/>
              </w:rPr>
            </w:pPr>
            <w:r w:rsidRPr="004B6F92">
              <w:rPr>
                <w:rFonts w:cs="Calibri"/>
                <w:sz w:val="22"/>
              </w:rPr>
              <w:t>D.61</w:t>
            </w:r>
          </w:p>
        </w:tc>
        <w:tc>
          <w:tcPr>
            <w:tcW w:w="851" w:type="dxa"/>
            <w:tcBorders>
              <w:top w:val="nil"/>
              <w:left w:val="nil"/>
              <w:bottom w:val="single" w:sz="4" w:space="0" w:color="FFFFFF"/>
              <w:right w:val="nil"/>
            </w:tcBorders>
            <w:shd w:val="clear" w:color="000000" w:fill="F2F2F2"/>
            <w:vAlign w:val="center"/>
            <w:hideMark/>
          </w:tcPr>
          <w:p w14:paraId="26877DF3" w14:textId="77777777" w:rsidR="004B6F92" w:rsidRPr="004B6F92" w:rsidRDefault="004B6F92" w:rsidP="008363A1">
            <w:pPr>
              <w:pStyle w:val="Tabletext"/>
              <w:spacing w:line="200" w:lineRule="exact"/>
              <w:jc w:val="center"/>
              <w:rPr>
                <w:rFonts w:cs="Calibri"/>
                <w:sz w:val="22"/>
              </w:rPr>
            </w:pPr>
            <w:r w:rsidRPr="004B6F92">
              <w:rPr>
                <w:rFonts w:cs="Calibri"/>
                <w:sz w:val="22"/>
              </w:rPr>
              <w:t>-0.08</w:t>
            </w:r>
          </w:p>
        </w:tc>
        <w:tc>
          <w:tcPr>
            <w:tcW w:w="897" w:type="dxa"/>
            <w:tcBorders>
              <w:top w:val="nil"/>
              <w:left w:val="nil"/>
              <w:bottom w:val="single" w:sz="4" w:space="0" w:color="FFFFFF"/>
              <w:right w:val="nil"/>
            </w:tcBorders>
            <w:shd w:val="clear" w:color="000000" w:fill="F2F2F2"/>
            <w:vAlign w:val="center"/>
            <w:hideMark/>
          </w:tcPr>
          <w:p w14:paraId="36F79D88" w14:textId="77777777" w:rsidR="004B6F92" w:rsidRPr="004B6F92" w:rsidRDefault="004B6F92" w:rsidP="008363A1">
            <w:pPr>
              <w:pStyle w:val="Tabletext"/>
              <w:spacing w:line="200" w:lineRule="exact"/>
              <w:jc w:val="center"/>
              <w:rPr>
                <w:rFonts w:cs="Calibri"/>
                <w:sz w:val="22"/>
              </w:rPr>
            </w:pPr>
            <w:r w:rsidRPr="004B6F92">
              <w:rPr>
                <w:rFonts w:cs="Calibri"/>
                <w:sz w:val="22"/>
              </w:rPr>
              <w:t>0.00</w:t>
            </w:r>
          </w:p>
        </w:tc>
      </w:tr>
      <w:tr w:rsidR="004B6F92" w:rsidRPr="004B6F92" w14:paraId="660B8970" w14:textId="77777777" w:rsidTr="00E521F6">
        <w:trPr>
          <w:trHeight w:val="300"/>
          <w:jc w:val="center"/>
        </w:trPr>
        <w:tc>
          <w:tcPr>
            <w:tcW w:w="440" w:type="dxa"/>
            <w:tcBorders>
              <w:top w:val="nil"/>
              <w:left w:val="nil"/>
              <w:bottom w:val="single" w:sz="4" w:space="0" w:color="FFFFFF"/>
              <w:right w:val="nil"/>
            </w:tcBorders>
            <w:shd w:val="clear" w:color="000000" w:fill="D9D9D9"/>
            <w:vAlign w:val="center"/>
            <w:hideMark/>
          </w:tcPr>
          <w:p w14:paraId="7F46962B" w14:textId="77777777" w:rsidR="004B6F92" w:rsidRPr="004B6F92" w:rsidRDefault="004B6F92" w:rsidP="008363A1">
            <w:pPr>
              <w:pStyle w:val="Tabletext"/>
              <w:spacing w:line="200" w:lineRule="exact"/>
              <w:rPr>
                <w:rFonts w:cs="Calibri"/>
                <w:sz w:val="22"/>
              </w:rPr>
            </w:pPr>
            <w:r w:rsidRPr="004B6F92">
              <w:rPr>
                <w:rFonts w:cs="Calibri"/>
                <w:sz w:val="22"/>
              </w:rPr>
              <w:t>20</w:t>
            </w:r>
          </w:p>
        </w:tc>
        <w:tc>
          <w:tcPr>
            <w:tcW w:w="3813" w:type="dxa"/>
            <w:tcBorders>
              <w:top w:val="nil"/>
              <w:left w:val="nil"/>
              <w:bottom w:val="single" w:sz="4" w:space="0" w:color="FFFFFF"/>
              <w:right w:val="nil"/>
            </w:tcBorders>
            <w:shd w:val="clear" w:color="000000" w:fill="D9D9D9"/>
            <w:vAlign w:val="center"/>
            <w:hideMark/>
          </w:tcPr>
          <w:p w14:paraId="51FBE303" w14:textId="77777777" w:rsidR="004B6F92" w:rsidRPr="004B6F92" w:rsidRDefault="004B6F92" w:rsidP="008363A1">
            <w:pPr>
              <w:pStyle w:val="Tabletext"/>
              <w:spacing w:line="200" w:lineRule="exact"/>
              <w:rPr>
                <w:rFonts w:cs="Calibri"/>
                <w:sz w:val="22"/>
              </w:rPr>
            </w:pPr>
            <w:r w:rsidRPr="004B6F92">
              <w:rPr>
                <w:rFonts w:cs="Calibri"/>
                <w:sz w:val="22"/>
              </w:rPr>
              <w:t>Other ENERGY D.2 measures</w:t>
            </w:r>
          </w:p>
        </w:tc>
        <w:tc>
          <w:tcPr>
            <w:tcW w:w="635" w:type="dxa"/>
            <w:tcBorders>
              <w:top w:val="nil"/>
              <w:left w:val="nil"/>
              <w:bottom w:val="single" w:sz="4" w:space="0" w:color="FFFFFF"/>
              <w:right w:val="nil"/>
            </w:tcBorders>
            <w:shd w:val="clear" w:color="000000" w:fill="D9D9D9"/>
            <w:vAlign w:val="center"/>
            <w:hideMark/>
          </w:tcPr>
          <w:p w14:paraId="4740B970" w14:textId="77777777" w:rsidR="004B6F92" w:rsidRPr="004B6F92" w:rsidRDefault="004B6F92" w:rsidP="008363A1">
            <w:pPr>
              <w:pStyle w:val="Tabletext"/>
              <w:spacing w:line="200" w:lineRule="exact"/>
              <w:rPr>
                <w:rFonts w:cs="Calibri"/>
                <w:sz w:val="22"/>
              </w:rPr>
            </w:pPr>
            <w:r w:rsidRPr="004B6F92">
              <w:rPr>
                <w:rFonts w:cs="Calibri"/>
                <w:sz w:val="22"/>
              </w:rPr>
              <w:t>No</w:t>
            </w:r>
          </w:p>
        </w:tc>
        <w:tc>
          <w:tcPr>
            <w:tcW w:w="782" w:type="dxa"/>
            <w:tcBorders>
              <w:top w:val="nil"/>
              <w:left w:val="nil"/>
              <w:bottom w:val="single" w:sz="4" w:space="0" w:color="FFFFFF"/>
              <w:right w:val="nil"/>
            </w:tcBorders>
            <w:shd w:val="clear" w:color="000000" w:fill="D9D9D9"/>
            <w:vAlign w:val="center"/>
            <w:hideMark/>
          </w:tcPr>
          <w:p w14:paraId="1916E53E" w14:textId="77777777" w:rsidR="004B6F92" w:rsidRPr="004B6F92" w:rsidRDefault="004B6F92" w:rsidP="008363A1">
            <w:pPr>
              <w:pStyle w:val="Tabletext"/>
              <w:spacing w:line="200" w:lineRule="exact"/>
              <w:rPr>
                <w:rFonts w:cs="Calibri"/>
                <w:sz w:val="22"/>
              </w:rPr>
            </w:pPr>
            <w:r w:rsidRPr="004B6F92">
              <w:rPr>
                <w:rFonts w:cs="Calibri"/>
                <w:sz w:val="22"/>
              </w:rPr>
              <w:t>Rev</w:t>
            </w:r>
          </w:p>
        </w:tc>
        <w:tc>
          <w:tcPr>
            <w:tcW w:w="1560" w:type="dxa"/>
            <w:tcBorders>
              <w:top w:val="nil"/>
              <w:left w:val="nil"/>
              <w:bottom w:val="single" w:sz="4" w:space="0" w:color="FFFFFF"/>
              <w:right w:val="nil"/>
            </w:tcBorders>
            <w:shd w:val="clear" w:color="000000" w:fill="D9D9D9"/>
            <w:vAlign w:val="center"/>
            <w:hideMark/>
          </w:tcPr>
          <w:p w14:paraId="1E65300D" w14:textId="77777777" w:rsidR="004B6F92" w:rsidRPr="004B6F92" w:rsidRDefault="004B6F92" w:rsidP="008363A1">
            <w:pPr>
              <w:pStyle w:val="Tabletext"/>
              <w:spacing w:line="200" w:lineRule="exact"/>
              <w:rPr>
                <w:rFonts w:cs="Calibri"/>
                <w:sz w:val="22"/>
              </w:rPr>
            </w:pPr>
            <w:r w:rsidRPr="004B6F92">
              <w:rPr>
                <w:rFonts w:cs="Calibri"/>
                <w:sz w:val="22"/>
              </w:rPr>
              <w:t>D.2</w:t>
            </w:r>
          </w:p>
        </w:tc>
        <w:tc>
          <w:tcPr>
            <w:tcW w:w="851" w:type="dxa"/>
            <w:tcBorders>
              <w:top w:val="nil"/>
              <w:left w:val="nil"/>
              <w:bottom w:val="single" w:sz="4" w:space="0" w:color="FFFFFF"/>
              <w:right w:val="nil"/>
            </w:tcBorders>
            <w:shd w:val="clear" w:color="000000" w:fill="D9D9D9"/>
            <w:vAlign w:val="center"/>
            <w:hideMark/>
          </w:tcPr>
          <w:p w14:paraId="2AF122DD" w14:textId="77777777" w:rsidR="004B6F92" w:rsidRPr="004B6F92" w:rsidRDefault="004B6F92" w:rsidP="008363A1">
            <w:pPr>
              <w:pStyle w:val="Tabletext"/>
              <w:spacing w:line="200" w:lineRule="exact"/>
              <w:jc w:val="center"/>
              <w:rPr>
                <w:rFonts w:cs="Calibri"/>
                <w:sz w:val="22"/>
              </w:rPr>
            </w:pPr>
            <w:r w:rsidRPr="004B6F92">
              <w:rPr>
                <w:rFonts w:cs="Calibri"/>
                <w:sz w:val="22"/>
              </w:rPr>
              <w:t>0.03</w:t>
            </w:r>
          </w:p>
        </w:tc>
        <w:tc>
          <w:tcPr>
            <w:tcW w:w="897" w:type="dxa"/>
            <w:tcBorders>
              <w:top w:val="nil"/>
              <w:left w:val="nil"/>
              <w:bottom w:val="single" w:sz="4" w:space="0" w:color="FFFFFF"/>
              <w:right w:val="nil"/>
            </w:tcBorders>
            <w:shd w:val="clear" w:color="000000" w:fill="D9D9D9"/>
            <w:vAlign w:val="center"/>
            <w:hideMark/>
          </w:tcPr>
          <w:p w14:paraId="7FD33E57" w14:textId="77777777" w:rsidR="004B6F92" w:rsidRPr="004B6F92" w:rsidRDefault="004B6F92" w:rsidP="008363A1">
            <w:pPr>
              <w:pStyle w:val="Tabletext"/>
              <w:spacing w:line="200" w:lineRule="exact"/>
              <w:jc w:val="center"/>
              <w:rPr>
                <w:rFonts w:cs="Calibri"/>
                <w:sz w:val="22"/>
              </w:rPr>
            </w:pPr>
            <w:r w:rsidRPr="004B6F92">
              <w:rPr>
                <w:rFonts w:cs="Calibri"/>
                <w:sz w:val="22"/>
              </w:rPr>
              <w:t>0.06</w:t>
            </w:r>
          </w:p>
        </w:tc>
      </w:tr>
      <w:tr w:rsidR="004B6F92" w:rsidRPr="004B6F92" w14:paraId="6BE4EAA3" w14:textId="77777777" w:rsidTr="00E521F6">
        <w:trPr>
          <w:trHeight w:val="300"/>
          <w:jc w:val="center"/>
        </w:trPr>
        <w:tc>
          <w:tcPr>
            <w:tcW w:w="440" w:type="dxa"/>
            <w:tcBorders>
              <w:top w:val="single" w:sz="4" w:space="0" w:color="FFFFFF"/>
              <w:left w:val="nil"/>
              <w:bottom w:val="single" w:sz="18" w:space="0" w:color="4F81BD" w:themeColor="accent1"/>
              <w:right w:val="nil"/>
            </w:tcBorders>
            <w:shd w:val="clear" w:color="000000" w:fill="BFBFBF"/>
            <w:vAlign w:val="center"/>
            <w:hideMark/>
          </w:tcPr>
          <w:p w14:paraId="63A47503" w14:textId="77777777" w:rsidR="004B6F92" w:rsidRPr="004B6F92" w:rsidRDefault="004B6F92" w:rsidP="008363A1">
            <w:pPr>
              <w:pStyle w:val="Tabletext"/>
              <w:spacing w:line="200" w:lineRule="exact"/>
            </w:pPr>
            <w:r w:rsidRPr="004B6F92">
              <w:t> </w:t>
            </w:r>
          </w:p>
        </w:tc>
        <w:tc>
          <w:tcPr>
            <w:tcW w:w="3813" w:type="dxa"/>
            <w:tcBorders>
              <w:top w:val="single" w:sz="4" w:space="0" w:color="FFFFFF"/>
              <w:left w:val="nil"/>
              <w:bottom w:val="single" w:sz="18" w:space="0" w:color="4F81BD" w:themeColor="accent1"/>
              <w:right w:val="nil"/>
            </w:tcBorders>
            <w:shd w:val="clear" w:color="000000" w:fill="BFBFBF"/>
            <w:vAlign w:val="center"/>
            <w:hideMark/>
          </w:tcPr>
          <w:p w14:paraId="3729E070" w14:textId="068EF53A" w:rsidR="004B6F92" w:rsidRPr="008C1C21" w:rsidRDefault="004B6F92" w:rsidP="008363A1">
            <w:pPr>
              <w:pStyle w:val="Tabletext"/>
              <w:spacing w:line="200" w:lineRule="exact"/>
            </w:pPr>
            <w:r w:rsidRPr="004B6F92">
              <w:t>TOTAL</w:t>
            </w:r>
            <w:r w:rsidR="008C1C21">
              <w:rPr>
                <w:lang w:val="el-GR"/>
              </w:rPr>
              <w:t xml:space="preserve"> </w:t>
            </w:r>
            <w:r w:rsidR="008C1C21">
              <w:t>Discretionary Revenue Measures</w:t>
            </w:r>
          </w:p>
        </w:tc>
        <w:tc>
          <w:tcPr>
            <w:tcW w:w="635" w:type="dxa"/>
            <w:tcBorders>
              <w:top w:val="single" w:sz="4" w:space="0" w:color="FFFFFF"/>
              <w:left w:val="nil"/>
              <w:bottom w:val="single" w:sz="18" w:space="0" w:color="4F81BD" w:themeColor="accent1"/>
              <w:right w:val="nil"/>
            </w:tcBorders>
            <w:shd w:val="clear" w:color="000000" w:fill="BFBFBF"/>
            <w:vAlign w:val="center"/>
            <w:hideMark/>
          </w:tcPr>
          <w:p w14:paraId="5C93F530" w14:textId="77777777" w:rsidR="004B6F92" w:rsidRPr="004B6F92" w:rsidRDefault="004B6F92" w:rsidP="008363A1">
            <w:pPr>
              <w:pStyle w:val="Tabletext"/>
              <w:spacing w:line="200" w:lineRule="exact"/>
            </w:pPr>
            <w:r w:rsidRPr="004B6F92">
              <w:t> </w:t>
            </w:r>
          </w:p>
        </w:tc>
        <w:tc>
          <w:tcPr>
            <w:tcW w:w="782" w:type="dxa"/>
            <w:tcBorders>
              <w:top w:val="single" w:sz="4" w:space="0" w:color="FFFFFF"/>
              <w:left w:val="nil"/>
              <w:bottom w:val="single" w:sz="18" w:space="0" w:color="4F81BD" w:themeColor="accent1"/>
              <w:right w:val="nil"/>
            </w:tcBorders>
            <w:shd w:val="clear" w:color="000000" w:fill="BFBFBF"/>
            <w:vAlign w:val="center"/>
            <w:hideMark/>
          </w:tcPr>
          <w:p w14:paraId="33321DBC" w14:textId="77777777" w:rsidR="004B6F92" w:rsidRPr="008A53AD" w:rsidRDefault="004B6F92" w:rsidP="008363A1">
            <w:pPr>
              <w:pStyle w:val="Tabletext"/>
              <w:spacing w:line="200" w:lineRule="exact"/>
            </w:pPr>
            <w:r w:rsidRPr="008A53AD">
              <w:t> </w:t>
            </w:r>
          </w:p>
        </w:tc>
        <w:tc>
          <w:tcPr>
            <w:tcW w:w="1560" w:type="dxa"/>
            <w:tcBorders>
              <w:top w:val="single" w:sz="4" w:space="0" w:color="FFFFFF"/>
              <w:left w:val="nil"/>
              <w:bottom w:val="single" w:sz="18" w:space="0" w:color="4F81BD" w:themeColor="accent1"/>
              <w:right w:val="nil"/>
            </w:tcBorders>
            <w:shd w:val="clear" w:color="000000" w:fill="BFBFBF"/>
            <w:vAlign w:val="center"/>
            <w:hideMark/>
          </w:tcPr>
          <w:p w14:paraId="24AB9355" w14:textId="77777777" w:rsidR="004B6F92" w:rsidRPr="008A53AD" w:rsidRDefault="004B6F92" w:rsidP="008363A1">
            <w:pPr>
              <w:pStyle w:val="Tabletext"/>
              <w:spacing w:line="200" w:lineRule="exact"/>
            </w:pPr>
            <w:r w:rsidRPr="008A53AD">
              <w:t> </w:t>
            </w:r>
          </w:p>
        </w:tc>
        <w:tc>
          <w:tcPr>
            <w:tcW w:w="851" w:type="dxa"/>
            <w:tcBorders>
              <w:top w:val="single" w:sz="4" w:space="0" w:color="FFFFFF"/>
              <w:left w:val="nil"/>
              <w:bottom w:val="single" w:sz="18" w:space="0" w:color="4F81BD" w:themeColor="accent1"/>
              <w:right w:val="nil"/>
            </w:tcBorders>
            <w:shd w:val="clear" w:color="000000" w:fill="BFBFBF"/>
            <w:vAlign w:val="center"/>
            <w:hideMark/>
          </w:tcPr>
          <w:p w14:paraId="653FFC24" w14:textId="042286B7" w:rsidR="004B6F92" w:rsidRPr="008A53AD" w:rsidRDefault="008C1C21" w:rsidP="008363A1">
            <w:pPr>
              <w:pStyle w:val="Tabletext"/>
              <w:spacing w:line="200" w:lineRule="exact"/>
              <w:jc w:val="center"/>
            </w:pPr>
            <w:r>
              <w:t>-2.0</w:t>
            </w:r>
          </w:p>
        </w:tc>
        <w:tc>
          <w:tcPr>
            <w:tcW w:w="897" w:type="dxa"/>
            <w:tcBorders>
              <w:top w:val="single" w:sz="4" w:space="0" w:color="FFFFFF"/>
              <w:left w:val="nil"/>
              <w:bottom w:val="single" w:sz="18" w:space="0" w:color="4F81BD" w:themeColor="accent1"/>
              <w:right w:val="nil"/>
            </w:tcBorders>
            <w:shd w:val="clear" w:color="000000" w:fill="BFBFBF"/>
            <w:vAlign w:val="center"/>
            <w:hideMark/>
          </w:tcPr>
          <w:p w14:paraId="62B8F03B" w14:textId="71D41F8B" w:rsidR="004B6F92" w:rsidRPr="008A53AD" w:rsidRDefault="008C1C21" w:rsidP="008363A1">
            <w:pPr>
              <w:pStyle w:val="Tabletext"/>
              <w:spacing w:line="200" w:lineRule="exact"/>
              <w:jc w:val="center"/>
            </w:pPr>
            <w:r>
              <w:t>0.4</w:t>
            </w:r>
          </w:p>
        </w:tc>
      </w:tr>
    </w:tbl>
    <w:p w14:paraId="480A5BF0" w14:textId="77777777" w:rsidR="004B6F92" w:rsidRDefault="004B6F92">
      <w:pPr>
        <w:spacing w:after="200" w:line="276" w:lineRule="auto"/>
        <w:jc w:val="left"/>
        <w:rPr>
          <w:rFonts w:eastAsiaTheme="minorHAnsi"/>
          <w:b/>
          <w:iCs/>
          <w:color w:val="FFFF00"/>
          <w:sz w:val="24"/>
          <w:szCs w:val="18"/>
          <w:lang w:val="en-US" w:eastAsia="en-US"/>
        </w:rPr>
      </w:pPr>
      <w:r w:rsidRPr="004B6F92">
        <w:rPr>
          <w:color w:val="FFFF00"/>
          <w:lang w:val="en-US"/>
        </w:rPr>
        <w:br w:type="page"/>
      </w:r>
    </w:p>
    <w:p w14:paraId="5075CF3E" w14:textId="0585456C" w:rsidR="00563D4A" w:rsidRPr="001F2E9A" w:rsidRDefault="00E25D85" w:rsidP="001F2E9A">
      <w:pPr>
        <w:pStyle w:val="Table"/>
        <w:rPr>
          <w:highlight w:val="yellow"/>
        </w:rPr>
      </w:pPr>
      <w:bookmarkStart w:id="138" w:name="_Ref177640632"/>
      <w:bookmarkStart w:id="139" w:name="_Toc177747049"/>
      <w:r w:rsidRPr="001F2E9A">
        <w:lastRenderedPageBreak/>
        <w:t xml:space="preserve">Table </w:t>
      </w:r>
      <w:r w:rsidR="00337799" w:rsidRPr="001F2E9A">
        <w:fldChar w:fldCharType="begin"/>
      </w:r>
      <w:r w:rsidR="00337799" w:rsidRPr="001F2E9A">
        <w:instrText xml:space="preserve"> SEQ Table \* ARABIC </w:instrText>
      </w:r>
      <w:r w:rsidR="00337799" w:rsidRPr="001F2E9A">
        <w:fldChar w:fldCharType="separate"/>
      </w:r>
      <w:r w:rsidR="00824AAF">
        <w:rPr>
          <w:noProof/>
        </w:rPr>
        <w:t>19</w:t>
      </w:r>
      <w:r w:rsidR="00337799" w:rsidRPr="001F2E9A">
        <w:fldChar w:fldCharType="end"/>
      </w:r>
      <w:bookmarkEnd w:id="137"/>
      <w:bookmarkEnd w:id="138"/>
      <w:r w:rsidRPr="001F2E9A">
        <w:t xml:space="preserve"> </w:t>
      </w:r>
      <w:r w:rsidR="001F2E9A">
        <w:t xml:space="preserve">| </w:t>
      </w:r>
      <w:r w:rsidR="00563D4A" w:rsidRPr="001F2E9A">
        <w:t>Indicative revenue measures envisaged in the plan</w:t>
      </w:r>
      <w:bookmarkEnd w:id="139"/>
    </w:p>
    <w:tbl>
      <w:tblPr>
        <w:tblW w:w="8970" w:type="dxa"/>
        <w:jc w:val="center"/>
        <w:tblLook w:val="04A0" w:firstRow="1" w:lastRow="0" w:firstColumn="1" w:lastColumn="0" w:noHBand="0" w:noVBand="1"/>
      </w:tblPr>
      <w:tblGrid>
        <w:gridCol w:w="550"/>
        <w:gridCol w:w="3726"/>
        <w:gridCol w:w="2528"/>
        <w:gridCol w:w="2166"/>
      </w:tblGrid>
      <w:tr w:rsidR="00563D4A" w:rsidRPr="00563D4A" w14:paraId="1D48F472" w14:textId="77777777" w:rsidTr="00421100">
        <w:trPr>
          <w:trHeight w:val="937"/>
          <w:jc w:val="center"/>
        </w:trPr>
        <w:tc>
          <w:tcPr>
            <w:tcW w:w="550" w:type="dxa"/>
            <w:tcBorders>
              <w:top w:val="nil"/>
              <w:left w:val="nil"/>
              <w:bottom w:val="single" w:sz="4" w:space="0" w:color="FFFFFF"/>
              <w:right w:val="nil"/>
            </w:tcBorders>
            <w:shd w:val="clear" w:color="000000" w:fill="BFBFBF"/>
            <w:vAlign w:val="center"/>
            <w:hideMark/>
          </w:tcPr>
          <w:p w14:paraId="529C5B2F" w14:textId="77777777" w:rsidR="00563D4A" w:rsidRPr="00563D4A" w:rsidRDefault="00563D4A" w:rsidP="00563D4A">
            <w:pPr>
              <w:spacing w:after="0" w:line="240" w:lineRule="auto"/>
              <w:jc w:val="center"/>
              <w:rPr>
                <w:rFonts w:ascii="Arial" w:eastAsia="Times New Roman" w:hAnsi="Arial" w:cs="Arial"/>
                <w:b/>
                <w:bCs/>
                <w:color w:val="000000"/>
                <w:sz w:val="20"/>
                <w:szCs w:val="20"/>
                <w:lang w:val="en-US"/>
              </w:rPr>
            </w:pPr>
            <w:r w:rsidRPr="00563D4A">
              <w:rPr>
                <w:rFonts w:ascii="Arial" w:eastAsia="Times New Roman" w:hAnsi="Arial" w:cs="Arial"/>
                <w:b/>
                <w:bCs/>
                <w:color w:val="000000"/>
                <w:sz w:val="20"/>
                <w:szCs w:val="20"/>
                <w:lang w:val="en-US"/>
              </w:rPr>
              <w:t> </w:t>
            </w:r>
          </w:p>
        </w:tc>
        <w:tc>
          <w:tcPr>
            <w:tcW w:w="3726" w:type="dxa"/>
            <w:tcBorders>
              <w:top w:val="nil"/>
              <w:left w:val="nil"/>
              <w:bottom w:val="single" w:sz="4" w:space="0" w:color="FFFFFF"/>
              <w:right w:val="nil"/>
            </w:tcBorders>
            <w:shd w:val="clear" w:color="000000" w:fill="BFBFBF"/>
            <w:vAlign w:val="center"/>
            <w:hideMark/>
          </w:tcPr>
          <w:p w14:paraId="5362F5DC" w14:textId="77777777" w:rsidR="00563D4A" w:rsidRPr="00563D4A" w:rsidRDefault="00563D4A" w:rsidP="00563D4A">
            <w:pPr>
              <w:spacing w:after="0" w:line="240" w:lineRule="auto"/>
              <w:jc w:val="left"/>
              <w:rPr>
                <w:rFonts w:ascii="Arial" w:eastAsia="Times New Roman" w:hAnsi="Arial" w:cs="Arial"/>
                <w:b/>
                <w:bCs/>
                <w:color w:val="000000"/>
                <w:sz w:val="20"/>
                <w:szCs w:val="20"/>
              </w:rPr>
            </w:pPr>
            <w:r w:rsidRPr="00563D4A">
              <w:rPr>
                <w:rFonts w:ascii="Arial" w:eastAsia="Times New Roman" w:hAnsi="Arial" w:cs="Arial"/>
                <w:b/>
                <w:bCs/>
                <w:color w:val="000000"/>
                <w:sz w:val="20"/>
                <w:szCs w:val="20"/>
              </w:rPr>
              <w:t xml:space="preserve">Title/description measure </w:t>
            </w:r>
          </w:p>
        </w:tc>
        <w:tc>
          <w:tcPr>
            <w:tcW w:w="2528" w:type="dxa"/>
            <w:tcBorders>
              <w:top w:val="nil"/>
              <w:left w:val="nil"/>
              <w:bottom w:val="single" w:sz="4" w:space="0" w:color="FFFFFF"/>
              <w:right w:val="nil"/>
            </w:tcBorders>
            <w:shd w:val="clear" w:color="000000" w:fill="BFBFBF"/>
            <w:vAlign w:val="center"/>
            <w:hideMark/>
          </w:tcPr>
          <w:p w14:paraId="167EE652" w14:textId="1AAD4E9A" w:rsidR="00563D4A" w:rsidRPr="00563D4A" w:rsidRDefault="00563D4A" w:rsidP="00563D4A">
            <w:pPr>
              <w:spacing w:after="0" w:line="240" w:lineRule="auto"/>
              <w:jc w:val="center"/>
              <w:rPr>
                <w:rFonts w:ascii="Arial" w:eastAsia="Times New Roman" w:hAnsi="Arial" w:cs="Arial"/>
                <w:b/>
                <w:bCs/>
                <w:color w:val="000000"/>
                <w:sz w:val="20"/>
                <w:szCs w:val="20"/>
                <w:lang w:val="en-US"/>
              </w:rPr>
            </w:pPr>
            <w:r w:rsidRPr="00563D4A">
              <w:rPr>
                <w:rFonts w:ascii="Arial" w:eastAsia="Times New Roman" w:hAnsi="Arial" w:cs="Arial"/>
                <w:b/>
                <w:bCs/>
                <w:color w:val="000000"/>
                <w:sz w:val="20"/>
                <w:szCs w:val="20"/>
                <w:lang w:val="en-US"/>
              </w:rPr>
              <w:t xml:space="preserve">Impact on revenue </w:t>
            </w:r>
          </w:p>
        </w:tc>
        <w:tc>
          <w:tcPr>
            <w:tcW w:w="2166" w:type="dxa"/>
            <w:tcBorders>
              <w:top w:val="nil"/>
              <w:left w:val="nil"/>
              <w:bottom w:val="single" w:sz="4" w:space="0" w:color="FFFFFF"/>
              <w:right w:val="nil"/>
            </w:tcBorders>
            <w:shd w:val="clear" w:color="000000" w:fill="BFBFBF"/>
            <w:vAlign w:val="center"/>
            <w:hideMark/>
          </w:tcPr>
          <w:p w14:paraId="1D5692C3" w14:textId="77777777" w:rsidR="00563D4A" w:rsidRPr="00E25D85" w:rsidRDefault="00563D4A" w:rsidP="00563D4A">
            <w:pPr>
              <w:spacing w:after="0" w:line="240" w:lineRule="auto"/>
              <w:jc w:val="center"/>
              <w:rPr>
                <w:rFonts w:ascii="Arial" w:eastAsia="Times New Roman" w:hAnsi="Arial" w:cs="Arial"/>
                <w:b/>
                <w:bCs/>
                <w:color w:val="000000"/>
                <w:sz w:val="20"/>
                <w:szCs w:val="20"/>
              </w:rPr>
            </w:pPr>
            <w:r w:rsidRPr="00E25D85">
              <w:rPr>
                <w:rFonts w:ascii="Arial" w:eastAsia="Times New Roman" w:hAnsi="Arial" w:cs="Arial"/>
                <w:b/>
                <w:bCs/>
                <w:color w:val="000000"/>
                <w:sz w:val="20"/>
                <w:szCs w:val="20"/>
                <w:lang w:val="en-US"/>
              </w:rPr>
              <w:t xml:space="preserve"> </w:t>
            </w:r>
            <w:r w:rsidRPr="00E25D85">
              <w:rPr>
                <w:rFonts w:ascii="Arial" w:eastAsia="Times New Roman" w:hAnsi="Arial" w:cs="Arial"/>
                <w:b/>
                <w:bCs/>
                <w:color w:val="000000"/>
                <w:sz w:val="20"/>
                <w:szCs w:val="20"/>
              </w:rPr>
              <w:t xml:space="preserve">Planned implementation  date </w:t>
            </w:r>
          </w:p>
        </w:tc>
      </w:tr>
      <w:tr w:rsidR="00421100" w:rsidRPr="00563D4A" w14:paraId="4F23224B" w14:textId="77777777" w:rsidTr="00421100">
        <w:trPr>
          <w:trHeight w:val="1079"/>
          <w:jc w:val="center"/>
        </w:trPr>
        <w:tc>
          <w:tcPr>
            <w:tcW w:w="550" w:type="dxa"/>
            <w:tcBorders>
              <w:top w:val="nil"/>
              <w:left w:val="nil"/>
              <w:bottom w:val="single" w:sz="4" w:space="0" w:color="FFFFFF"/>
              <w:right w:val="nil"/>
            </w:tcBorders>
            <w:shd w:val="clear" w:color="000000" w:fill="F2F2F2"/>
            <w:vAlign w:val="center"/>
            <w:hideMark/>
          </w:tcPr>
          <w:p w14:paraId="12D67655" w14:textId="77777777" w:rsidR="00421100" w:rsidRPr="00563D4A"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1</w:t>
            </w:r>
          </w:p>
        </w:tc>
        <w:tc>
          <w:tcPr>
            <w:tcW w:w="3726" w:type="dxa"/>
            <w:tcBorders>
              <w:top w:val="nil"/>
              <w:left w:val="nil"/>
              <w:bottom w:val="single" w:sz="4" w:space="0" w:color="FFFFFF"/>
              <w:right w:val="nil"/>
            </w:tcBorders>
            <w:shd w:val="clear" w:color="000000" w:fill="F2F2F2"/>
            <w:vAlign w:val="center"/>
            <w:hideMark/>
          </w:tcPr>
          <w:p w14:paraId="48866834" w14:textId="77777777" w:rsidR="00421100" w:rsidRPr="00563D4A" w:rsidRDefault="00421100" w:rsidP="00421100">
            <w:pPr>
              <w:spacing w:after="0" w:line="240" w:lineRule="auto"/>
              <w:jc w:val="left"/>
              <w:rPr>
                <w:rFonts w:ascii="Calibri" w:eastAsia="Times New Roman" w:hAnsi="Calibri" w:cs="Calibri"/>
                <w:sz w:val="22"/>
                <w:lang w:val="en-US"/>
              </w:rPr>
            </w:pPr>
            <w:r w:rsidRPr="00563D4A">
              <w:rPr>
                <w:rFonts w:ascii="Calibri" w:eastAsia="Times New Roman" w:hAnsi="Calibri" w:cs="Calibri"/>
                <w:sz w:val="22"/>
                <w:lang w:val="en-US"/>
              </w:rPr>
              <w:t>Decrease social security contributions by 1,5%, 1% in 2025 and 0,5% in 2027</w:t>
            </w:r>
          </w:p>
        </w:tc>
        <w:tc>
          <w:tcPr>
            <w:tcW w:w="2528" w:type="dxa"/>
            <w:tcBorders>
              <w:top w:val="nil"/>
              <w:left w:val="nil"/>
              <w:bottom w:val="single" w:sz="4" w:space="0" w:color="FFFFFF"/>
              <w:right w:val="nil"/>
            </w:tcBorders>
            <w:shd w:val="clear" w:color="000000" w:fill="F2F2F2"/>
            <w:vAlign w:val="center"/>
            <w:hideMark/>
          </w:tcPr>
          <w:p w14:paraId="67587E1C" w14:textId="77777777" w:rsidR="00421100"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 xml:space="preserve">-0,24% on revenue </w:t>
            </w:r>
          </w:p>
          <w:p w14:paraId="48EAF59A" w14:textId="77777777" w:rsidR="00421100" w:rsidRPr="00563D4A"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(in 2025)</w:t>
            </w:r>
          </w:p>
        </w:tc>
        <w:tc>
          <w:tcPr>
            <w:tcW w:w="2166" w:type="dxa"/>
            <w:tcBorders>
              <w:top w:val="nil"/>
              <w:left w:val="nil"/>
              <w:bottom w:val="single" w:sz="4" w:space="0" w:color="FFFFFF"/>
              <w:right w:val="nil"/>
            </w:tcBorders>
            <w:shd w:val="clear" w:color="000000" w:fill="F2F2F2"/>
            <w:vAlign w:val="center"/>
            <w:hideMark/>
          </w:tcPr>
          <w:p w14:paraId="78DCF154" w14:textId="77777777" w:rsidR="00421100" w:rsidRPr="00E25D85" w:rsidRDefault="00421100" w:rsidP="00421100">
            <w:pPr>
              <w:spacing w:after="0" w:line="240" w:lineRule="auto"/>
              <w:jc w:val="center"/>
              <w:rPr>
                <w:rFonts w:ascii="Calibri" w:eastAsia="Times New Roman" w:hAnsi="Calibri" w:cs="Calibri"/>
                <w:sz w:val="22"/>
              </w:rPr>
            </w:pPr>
            <w:r w:rsidRPr="00E25D85">
              <w:t>2025</w:t>
            </w:r>
          </w:p>
        </w:tc>
      </w:tr>
      <w:tr w:rsidR="00421100" w:rsidRPr="00563D4A" w14:paraId="6D9B2C2B" w14:textId="77777777" w:rsidTr="00CD7143">
        <w:trPr>
          <w:trHeight w:val="830"/>
          <w:jc w:val="center"/>
        </w:trPr>
        <w:tc>
          <w:tcPr>
            <w:tcW w:w="550" w:type="dxa"/>
            <w:tcBorders>
              <w:top w:val="nil"/>
              <w:left w:val="nil"/>
              <w:bottom w:val="single" w:sz="4" w:space="0" w:color="FFFFFF"/>
              <w:right w:val="nil"/>
            </w:tcBorders>
            <w:shd w:val="clear" w:color="000000" w:fill="D9D9D9"/>
            <w:vAlign w:val="center"/>
            <w:hideMark/>
          </w:tcPr>
          <w:p w14:paraId="11E77DFA" w14:textId="77777777" w:rsidR="00421100" w:rsidRPr="00563D4A"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2</w:t>
            </w:r>
          </w:p>
        </w:tc>
        <w:tc>
          <w:tcPr>
            <w:tcW w:w="3726" w:type="dxa"/>
            <w:tcBorders>
              <w:top w:val="nil"/>
              <w:left w:val="nil"/>
              <w:bottom w:val="single" w:sz="4" w:space="0" w:color="FFFFFF"/>
              <w:right w:val="nil"/>
            </w:tcBorders>
            <w:shd w:val="clear" w:color="000000" w:fill="D9D9D9"/>
            <w:vAlign w:val="center"/>
            <w:hideMark/>
          </w:tcPr>
          <w:p w14:paraId="78D8946B" w14:textId="77777777" w:rsidR="00421100" w:rsidRPr="00563D4A" w:rsidRDefault="00421100" w:rsidP="00421100">
            <w:pPr>
              <w:spacing w:after="0" w:line="240" w:lineRule="auto"/>
              <w:jc w:val="left"/>
              <w:rPr>
                <w:rFonts w:ascii="Calibri" w:eastAsia="Times New Roman" w:hAnsi="Calibri" w:cs="Calibri"/>
                <w:sz w:val="22"/>
              </w:rPr>
            </w:pPr>
            <w:r w:rsidRPr="00563D4A">
              <w:rPr>
                <w:rFonts w:ascii="Calibri" w:eastAsia="Times New Roman" w:hAnsi="Calibri" w:cs="Calibri"/>
                <w:sz w:val="22"/>
              </w:rPr>
              <w:t>Other D.2 measures</w:t>
            </w:r>
          </w:p>
        </w:tc>
        <w:tc>
          <w:tcPr>
            <w:tcW w:w="2528" w:type="dxa"/>
            <w:tcBorders>
              <w:top w:val="nil"/>
              <w:left w:val="nil"/>
              <w:bottom w:val="single" w:sz="4" w:space="0" w:color="FFFFFF"/>
              <w:right w:val="nil"/>
            </w:tcBorders>
            <w:shd w:val="clear" w:color="000000" w:fill="D9D9D9"/>
            <w:vAlign w:val="center"/>
            <w:hideMark/>
          </w:tcPr>
          <w:p w14:paraId="27C2BA58" w14:textId="77777777" w:rsidR="00421100"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 xml:space="preserve">0,05% on revenue </w:t>
            </w:r>
          </w:p>
          <w:p w14:paraId="747383FA" w14:textId="77777777" w:rsidR="00421100" w:rsidRPr="00563D4A"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(in 2025)</w:t>
            </w:r>
          </w:p>
        </w:tc>
        <w:tc>
          <w:tcPr>
            <w:tcW w:w="2166" w:type="dxa"/>
            <w:tcBorders>
              <w:top w:val="nil"/>
              <w:left w:val="nil"/>
              <w:bottom w:val="single" w:sz="4" w:space="0" w:color="FFFFFF"/>
              <w:right w:val="nil"/>
            </w:tcBorders>
            <w:shd w:val="clear" w:color="000000" w:fill="D9D9D9"/>
            <w:vAlign w:val="center"/>
            <w:hideMark/>
          </w:tcPr>
          <w:p w14:paraId="0E9B0F00" w14:textId="77777777" w:rsidR="00421100" w:rsidRPr="00E25D85" w:rsidRDefault="00421100" w:rsidP="00421100">
            <w:pPr>
              <w:spacing w:after="0" w:line="240" w:lineRule="auto"/>
              <w:jc w:val="center"/>
              <w:rPr>
                <w:rFonts w:ascii="Calibri" w:eastAsia="Times New Roman" w:hAnsi="Calibri" w:cs="Calibri"/>
                <w:sz w:val="22"/>
              </w:rPr>
            </w:pPr>
            <w:r w:rsidRPr="00E25D85">
              <w:t>2025</w:t>
            </w:r>
          </w:p>
        </w:tc>
      </w:tr>
      <w:tr w:rsidR="00421100" w:rsidRPr="00563D4A" w14:paraId="3F55F4D7" w14:textId="77777777" w:rsidTr="00CD7143">
        <w:trPr>
          <w:trHeight w:val="754"/>
          <w:jc w:val="center"/>
        </w:trPr>
        <w:tc>
          <w:tcPr>
            <w:tcW w:w="550" w:type="dxa"/>
            <w:tcBorders>
              <w:top w:val="single" w:sz="4" w:space="0" w:color="FFFFFF"/>
              <w:left w:val="nil"/>
              <w:bottom w:val="single" w:sz="18" w:space="0" w:color="4F81BD" w:themeColor="accent1"/>
              <w:right w:val="nil"/>
            </w:tcBorders>
            <w:shd w:val="clear" w:color="000000" w:fill="F2F2F2"/>
            <w:vAlign w:val="center"/>
            <w:hideMark/>
          </w:tcPr>
          <w:p w14:paraId="74FA5E29" w14:textId="77777777" w:rsidR="00421100" w:rsidRPr="00563D4A"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3</w:t>
            </w:r>
          </w:p>
        </w:tc>
        <w:tc>
          <w:tcPr>
            <w:tcW w:w="3726" w:type="dxa"/>
            <w:tcBorders>
              <w:top w:val="single" w:sz="4" w:space="0" w:color="FFFFFF"/>
              <w:left w:val="nil"/>
              <w:bottom w:val="single" w:sz="18" w:space="0" w:color="4F81BD" w:themeColor="accent1"/>
              <w:right w:val="nil"/>
            </w:tcBorders>
            <w:shd w:val="clear" w:color="000000" w:fill="F2F2F2"/>
            <w:vAlign w:val="center"/>
            <w:hideMark/>
          </w:tcPr>
          <w:p w14:paraId="43FB4481" w14:textId="77777777" w:rsidR="00421100" w:rsidRPr="00563D4A" w:rsidRDefault="00421100" w:rsidP="00421100">
            <w:pPr>
              <w:spacing w:after="0" w:line="240" w:lineRule="auto"/>
              <w:jc w:val="left"/>
              <w:rPr>
                <w:rFonts w:ascii="Calibri" w:eastAsia="Times New Roman" w:hAnsi="Calibri" w:cs="Calibri"/>
                <w:sz w:val="22"/>
              </w:rPr>
            </w:pPr>
            <w:r w:rsidRPr="00563D4A">
              <w:rPr>
                <w:rFonts w:ascii="Calibri" w:eastAsia="Times New Roman" w:hAnsi="Calibri" w:cs="Calibri"/>
                <w:sz w:val="22"/>
              </w:rPr>
              <w:t>Other D.5 measures</w:t>
            </w:r>
          </w:p>
        </w:tc>
        <w:tc>
          <w:tcPr>
            <w:tcW w:w="2528" w:type="dxa"/>
            <w:tcBorders>
              <w:top w:val="single" w:sz="4" w:space="0" w:color="FFFFFF"/>
              <w:left w:val="nil"/>
              <w:bottom w:val="single" w:sz="18" w:space="0" w:color="4F81BD" w:themeColor="accent1"/>
              <w:right w:val="nil"/>
            </w:tcBorders>
            <w:shd w:val="clear" w:color="000000" w:fill="F2F2F2"/>
            <w:vAlign w:val="center"/>
            <w:hideMark/>
          </w:tcPr>
          <w:p w14:paraId="197FDB36" w14:textId="77777777" w:rsidR="00421100"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 xml:space="preserve">-0,01% on revenue </w:t>
            </w:r>
          </w:p>
          <w:p w14:paraId="590971FE" w14:textId="77777777" w:rsidR="00421100" w:rsidRPr="00563D4A" w:rsidRDefault="00421100" w:rsidP="00421100">
            <w:pPr>
              <w:spacing w:after="0" w:line="240" w:lineRule="auto"/>
              <w:jc w:val="center"/>
              <w:rPr>
                <w:rFonts w:ascii="Calibri" w:eastAsia="Times New Roman" w:hAnsi="Calibri" w:cs="Calibri"/>
                <w:sz w:val="22"/>
              </w:rPr>
            </w:pPr>
            <w:r w:rsidRPr="00563D4A">
              <w:rPr>
                <w:rFonts w:ascii="Calibri" w:eastAsia="Times New Roman" w:hAnsi="Calibri" w:cs="Calibri"/>
                <w:sz w:val="22"/>
              </w:rPr>
              <w:t>(in 2025)</w:t>
            </w:r>
          </w:p>
        </w:tc>
        <w:tc>
          <w:tcPr>
            <w:tcW w:w="2166" w:type="dxa"/>
            <w:tcBorders>
              <w:top w:val="single" w:sz="4" w:space="0" w:color="FFFFFF"/>
              <w:left w:val="nil"/>
              <w:bottom w:val="single" w:sz="18" w:space="0" w:color="4F81BD" w:themeColor="accent1"/>
              <w:right w:val="nil"/>
            </w:tcBorders>
            <w:shd w:val="clear" w:color="000000" w:fill="F2F2F2"/>
            <w:vAlign w:val="center"/>
            <w:hideMark/>
          </w:tcPr>
          <w:p w14:paraId="5A671322" w14:textId="77777777" w:rsidR="00421100" w:rsidRPr="00E25D85" w:rsidRDefault="00421100" w:rsidP="00421100">
            <w:pPr>
              <w:spacing w:after="0" w:line="240" w:lineRule="auto"/>
              <w:jc w:val="center"/>
              <w:rPr>
                <w:rFonts w:ascii="Calibri" w:eastAsia="Times New Roman" w:hAnsi="Calibri" w:cs="Calibri"/>
                <w:sz w:val="22"/>
              </w:rPr>
            </w:pPr>
            <w:r w:rsidRPr="00E25D85">
              <w:t>2025</w:t>
            </w:r>
          </w:p>
        </w:tc>
      </w:tr>
    </w:tbl>
    <w:p w14:paraId="5F9EAEC0" w14:textId="63F8B2EE" w:rsidR="00C949B4" w:rsidRPr="00920844" w:rsidRDefault="00BF20BD" w:rsidP="00C949B4">
      <w:pPr>
        <w:rPr>
          <w:i/>
          <w:sz w:val="22"/>
          <w:lang w:val="en-US" w:eastAsia="en-US"/>
        </w:rPr>
      </w:pPr>
      <w:r w:rsidRPr="00920844">
        <w:rPr>
          <w:i/>
          <w:sz w:val="22"/>
          <w:lang w:val="en-US" w:eastAsia="en-US"/>
        </w:rPr>
        <w:t>Note: Measures with impact less than 0.1% of GDP have been consolidated in Other measures.</w:t>
      </w:r>
    </w:p>
    <w:p w14:paraId="65A2E300" w14:textId="77777777" w:rsidR="00C949B4" w:rsidRDefault="00C949B4" w:rsidP="00C949B4">
      <w:pPr>
        <w:rPr>
          <w:lang w:val="en-US" w:eastAsia="en-US"/>
        </w:rPr>
      </w:pPr>
    </w:p>
    <w:p w14:paraId="34EB5C61" w14:textId="77777777" w:rsidR="00C949B4" w:rsidRDefault="00C949B4">
      <w:pPr>
        <w:spacing w:after="200" w:line="276" w:lineRule="auto"/>
        <w:jc w:val="left"/>
        <w:rPr>
          <w:lang w:val="en-US" w:eastAsia="en-US"/>
        </w:rPr>
      </w:pPr>
      <w:r>
        <w:rPr>
          <w:lang w:val="en-US" w:eastAsia="en-US"/>
        </w:rPr>
        <w:br w:type="page"/>
      </w:r>
    </w:p>
    <w:bookmarkStart w:id="140" w:name="_Toc178070123"/>
    <w:p w14:paraId="4443C5DC" w14:textId="17E8D88B" w:rsidR="002E5F16" w:rsidRDefault="00875BA3" w:rsidP="00A349FB">
      <w:pPr>
        <w:pStyle w:val="Heading1"/>
        <w:spacing w:after="360" w:line="240" w:lineRule="auto"/>
        <w:rPr>
          <w:sz w:val="52"/>
          <w:szCs w:val="52"/>
          <w:lang w:val="en-US"/>
        </w:rPr>
      </w:pPr>
      <w:r>
        <w:rPr>
          <w:noProof/>
          <w:sz w:val="52"/>
          <w:szCs w:val="52"/>
        </w:rPr>
        <w:lastRenderedPageBreak/>
        <mc:AlternateContent>
          <mc:Choice Requires="wps">
            <w:drawing>
              <wp:anchor distT="0" distB="0" distL="114300" distR="114300" simplePos="0" relativeHeight="251681792" behindDoc="0" locked="0" layoutInCell="1" allowOverlap="1" wp14:anchorId="7BF8C875" wp14:editId="4696DAE9">
                <wp:simplePos x="0" y="0"/>
                <wp:positionH relativeFrom="column">
                  <wp:posOffset>5363845</wp:posOffset>
                </wp:positionH>
                <wp:positionV relativeFrom="paragraph">
                  <wp:posOffset>8774430</wp:posOffset>
                </wp:positionV>
                <wp:extent cx="297815" cy="3327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FD031" id="Rectangle 5" o:spid="_x0000_s1026" style="position:absolute;margin-left:422.35pt;margin-top:690.9pt;width:23.45pt;height:2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3pngIAAJwFAAAOAAAAZHJzL2Uyb0RvYy54bWysVN9P2zAQfp+0/8Hy+0hT6ICIFFUgpkkV&#10;VMDEs+vYTTTH59lu0+6v39lOQsfQHqblwcr5vvvuh+/u6nrfKrIT1jWgS5qfTCgRmkPV6E1Jvz3f&#10;fbqgxHmmK6ZAi5IehKPX848frjpTiCnUoCphCZJoV3SmpLX3psgyx2vRMncCRmhUSrAt8yjaTVZZ&#10;1iF7q7LpZPI568BWxgIXzuHtbVLSeeSXUnD/IKUTnqiSYmw+njae63Bm8ytWbCwzdcP7MNg/RNGy&#10;RqPTkeqWeUa2tvmDqm24BQfSn3BoM5Cy4SLmgNnkkzfZPNXMiJgLFseZsUzu/9Hy+93KkqYq6YwS&#10;zVp8okcsGtMbJcgslKczrkDUk1nZkKAzS+DfHSqy3zRBcD1mL20bsJge2cdaH8Zai70nHC+nl+cX&#10;OfrkqDo9nZ6fxbfIWDEYG+v8FwEtCT8ltRhVrDDbLZ0P7lkxQGJcoJrqrlEqCqF9xI2yZMfw4deb&#10;PGSCFu4YpXTAaghWSR1uYlopk5iTPygRcEo/ComVCrHHQGKPvjphnAvt86SqWSWS79kEv8H7EFaM&#10;JRIGZon+R+6eYEAmkoE7Rdnjg6mILT4aT/4WWDIeLaJn0H40bhsN9j0ChVn1nhN+KFIqTajSGqoD&#10;9pGFNGDO8LsGn23JnF8xixOFs4dbwj/gIRV0JYX+j5Ia7M/37gMeGx21lHQ4oSV1P7bMCkrUV40j&#10;cJmfYdMQH4Wz2fkUBXusWR9r9La9AeyFHPeR4fE34L0afqWF9gWXySJ4RRXTHH2XlHs7CDc+bQ5c&#10;R1wsFhGGY2yYX+onwwN5qGpoy+f9C7Om712PTX8PwzSz4k0LJ2yw1LDYepBN7O/Xuvb1xhUQG6df&#10;V2HHHMsR9bpU578AAAD//wMAUEsDBBQABgAIAAAAIQA4soFe4gAAAA0BAAAPAAAAZHJzL2Rvd25y&#10;ZXYueG1sTI/BTsMwEETvSPyDtUjcqJMmbUKIUyEEFXCjND27sUki7HWInTb8PcsJjjvzNDtTbmZr&#10;2EmPvncoIF5EwDQ2TvXYCti/P93kwHyQqKRxqAV8aw+b6vKilIVyZ3zTp11oGYWgL6SALoSh4Nw3&#10;nbbSL9ygkbwPN1oZ6BxbrkZ5pnBr+DKK1tzKHulDJwf90OnmczdZAdMqe3mcD1/bpI7q7LU2q+ew&#10;HYS4vprv74AFPYc/GH7rU3WoqNPRTag8MwLyNM0IJSPJYxpBSH4br4EdSUqTdAm8Kvn/FdUPAAAA&#10;//8DAFBLAQItABQABgAIAAAAIQC2gziS/gAAAOEBAAATAAAAAAAAAAAAAAAAAAAAAABbQ29udGVu&#10;dF9UeXBlc10ueG1sUEsBAi0AFAAGAAgAAAAhADj9If/WAAAAlAEAAAsAAAAAAAAAAAAAAAAALwEA&#10;AF9yZWxzLy5yZWxzUEsBAi0AFAAGAAgAAAAhAG7J3emeAgAAnAUAAA4AAAAAAAAAAAAAAAAALgIA&#10;AGRycy9lMm9Eb2MueG1sUEsBAi0AFAAGAAgAAAAhADiygV7iAAAADQEAAA8AAAAAAAAAAAAAAAAA&#10;+AQAAGRycy9kb3ducmV2LnhtbFBLBQYAAAAABAAEAPMAAAAHBgAAAAA=&#10;" fillcolor="white [3212]" stroked="f" strokeweight="2pt"/>
            </w:pict>
          </mc:Fallback>
        </mc:AlternateContent>
      </w:r>
      <w:r w:rsidR="00A349FB" w:rsidRPr="00A349FB">
        <w:rPr>
          <w:sz w:val="52"/>
          <w:szCs w:val="52"/>
          <w:lang w:val="en-US"/>
        </w:rPr>
        <w:t>Annex II</w:t>
      </w:r>
      <w:r w:rsidR="00A14BC8">
        <w:rPr>
          <w:sz w:val="52"/>
          <w:szCs w:val="52"/>
          <w:lang w:val="en-US"/>
        </w:rPr>
        <w:t>I</w:t>
      </w:r>
      <w:r w:rsidR="00A349FB" w:rsidRPr="00A349FB">
        <w:rPr>
          <w:sz w:val="52"/>
          <w:szCs w:val="52"/>
          <w:lang w:val="en-US"/>
        </w:rPr>
        <w:t>: Hellenic Fiscal Council opinion</w:t>
      </w:r>
      <w:bookmarkEnd w:id="140"/>
    </w:p>
    <w:p w14:paraId="3A6D8DE8" w14:textId="5AC805E4" w:rsidR="005C650A" w:rsidRDefault="00D476A3">
      <w:pPr>
        <w:spacing w:after="200" w:line="276" w:lineRule="auto"/>
        <w:jc w:val="left"/>
        <w:rPr>
          <w:lang w:val="en-US"/>
        </w:rPr>
      </w:pPr>
      <w:r w:rsidRPr="00D476A3">
        <w:rPr>
          <w:noProof/>
        </w:rPr>
        <w:drawing>
          <wp:anchor distT="0" distB="0" distL="114300" distR="114300" simplePos="0" relativeHeight="251765760" behindDoc="0" locked="0" layoutInCell="1" allowOverlap="1" wp14:anchorId="0FC42074" wp14:editId="72ADF8E2">
            <wp:simplePos x="0" y="0"/>
            <wp:positionH relativeFrom="column">
              <wp:posOffset>-26035</wp:posOffset>
            </wp:positionH>
            <wp:positionV relativeFrom="paragraph">
              <wp:posOffset>146685</wp:posOffset>
            </wp:positionV>
            <wp:extent cx="5477639" cy="8592749"/>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77639" cy="8592749"/>
                    </a:xfrm>
                    <a:prstGeom prst="rect">
                      <a:avLst/>
                    </a:prstGeom>
                  </pic:spPr>
                </pic:pic>
              </a:graphicData>
            </a:graphic>
          </wp:anchor>
        </w:drawing>
      </w:r>
      <w:r w:rsidR="00935CC2">
        <w:rPr>
          <w:noProof/>
          <w:sz w:val="52"/>
          <w:szCs w:val="52"/>
        </w:rPr>
        <mc:AlternateContent>
          <mc:Choice Requires="wps">
            <w:drawing>
              <wp:anchor distT="0" distB="0" distL="114300" distR="114300" simplePos="0" relativeHeight="251766784" behindDoc="0" locked="0" layoutInCell="1" allowOverlap="1" wp14:anchorId="7A82836C" wp14:editId="7113BF05">
                <wp:simplePos x="0" y="0"/>
                <wp:positionH relativeFrom="column">
                  <wp:posOffset>4975209</wp:posOffset>
                </wp:positionH>
                <wp:positionV relativeFrom="paragraph">
                  <wp:posOffset>8367255</wp:posOffset>
                </wp:positionV>
                <wp:extent cx="689700" cy="474460"/>
                <wp:effectExtent l="0" t="0" r="0" b="190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89700" cy="47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4BEA5" id="Rectangle 19" o:spid="_x0000_s1026" style="position:absolute;margin-left:391.75pt;margin-top:658.85pt;width:54.3pt;height:37.3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WepQIAAKgFAAAOAAAAZHJzL2Uyb0RvYy54bWysVEtv2zAMvg/YfxB0X+0E6cuoUwQtug0I&#10;2qLt0LMiS7EwWdQkJU7260fJj2RdscMwHwRT/PjxIZJX17tGk61wXoEp6eQkp0QYDpUy65J+e7n7&#10;dEGJD8xUTIMRJd0LT6/nHz9ctbYQU6hBV8IRJDG+aG1J6xBskWWe16Jh/gSsMKiU4BoWUHTrrHKs&#10;RfZGZ9M8P8tacJV1wIX3eHvbKek88UspeHiQ0otAdEkxtpBOl85VPLP5FSvWjtla8T4M9g9RNEwZ&#10;dDpS3bLAyMapP6gaxR14kOGEQ5OBlIqLlANmM8nfZPNcMytSLlgcb8cy+f9Hy++3j46oCt/ukhLD&#10;GnyjJ6waM2stCN5hgVrrC8Q920cXU/R2Cfy7R0X2myYKvsfspGuI1Mp+QeJUGEyV7FLd92PdxS4Q&#10;jpdnF5fnOb4OR9XsfDY7S++SsSLSRJfW+fBZQEPiT0kdBphI2XbpQwzkAEkRglbVndI6CbGVxI12&#10;ZMuwCVbrScwJLfwxSpuINRCtOnW8SQl2OaXswl6LiNPmSUisGsY+TYGkfj04YZwLE7rEfc0q0fk+&#10;zfEbvA9hpVgSYWSW6H/k7gkGZEcycHdR9vhoKlK7j8b53wLrjEeL5BlMGI0bZcC9R6Axq95zhx+K&#10;1JUmVmkF1R57ykE3bN7yO4XPtmQ+PDKH04UvjRsjPOAhNbQlhf6Pkhrcz/fuIx6bHrWUtDitJfU/&#10;NswJSvRXg+NwOZnN4ngnYXZ6PkXBHWtWxxqzaW4Ae2GCu8ny9BvxQQ+/0kHziotlEb2iihmOvkvK&#10;gxuEm9BtEVxNXCwWCYYjbVlYmmfLh7aPDfuye2XO9r0bsOnvYZhsVrxp4Q4b38PAYhNAqtTfh7r2&#10;9cZ1kBqnX11x3xzLCXVYsPNfAAAA//8DAFBLAwQUAAYACAAAACEAu4TBhOMAAAANAQAADwAAAGRy&#10;cy9kb3ducmV2LnhtbEyPy07DMBBF95X4B2uQ2LXOgzYP4lSA6KISqtSWBUs3HpKIeBzZbhv+HncF&#10;y5l7dOdMtZ70wC5oXW9IQLyIgCE1RvXUCvg4buY5MOclKTkYQgE/6GBd380qWSpzpT1eDr5loYRc&#10;KQV03o8l567pUEu3MCNSyL6M1dKH0bZcWXkN5XrgSRStuJY9hQudHPG1w+b7cNYC2s/l5u3luE33&#10;dmtW74XFXZ/shHi4n56fgHmc/B8MN/2gDnVwOpkzKccGAVmeLgMagjTOMmAByYskBna6rYrkEXhd&#10;8f9f1L8AAAD//wMAUEsBAi0AFAAGAAgAAAAhALaDOJL+AAAA4QEAABMAAAAAAAAAAAAAAAAAAAAA&#10;AFtDb250ZW50X1R5cGVzXS54bWxQSwECLQAUAAYACAAAACEAOP0h/9YAAACUAQAACwAAAAAAAAAA&#10;AAAAAAAvAQAAX3JlbHMvLnJlbHNQSwECLQAUAAYACAAAACEArea1nqUCAACoBQAADgAAAAAAAAAA&#10;AAAAAAAuAgAAZHJzL2Uyb0RvYy54bWxQSwECLQAUAAYACAAAACEAu4TBhOMAAAANAQAADwAAAAAA&#10;AAAAAAAAAAD/BAAAZHJzL2Rvd25yZXYueG1sUEsFBgAAAAAEAAQA8wAAAA8GAAAAAA==&#10;" fillcolor="white [3212]" stroked="f" strokeweight="2pt"/>
            </w:pict>
          </mc:Fallback>
        </mc:AlternateContent>
      </w:r>
      <w:r w:rsidR="005C650A">
        <w:rPr>
          <w:noProof/>
        </w:rPr>
        <mc:AlternateContent>
          <mc:Choice Requires="wps">
            <w:drawing>
              <wp:anchor distT="0" distB="0" distL="114300" distR="114300" simplePos="0" relativeHeight="251728896" behindDoc="0" locked="0" layoutInCell="1" allowOverlap="1" wp14:anchorId="25305AD6" wp14:editId="06206F9A">
                <wp:simplePos x="0" y="0"/>
                <wp:positionH relativeFrom="column">
                  <wp:posOffset>4824526</wp:posOffset>
                </wp:positionH>
                <wp:positionV relativeFrom="paragraph">
                  <wp:posOffset>7730502</wp:posOffset>
                </wp:positionV>
                <wp:extent cx="388189" cy="314361"/>
                <wp:effectExtent l="0" t="0" r="12065" b="28575"/>
                <wp:wrapNone/>
                <wp:docPr id="17" name="Rectangle 17"/>
                <wp:cNvGraphicFramePr/>
                <a:graphic xmlns:a="http://schemas.openxmlformats.org/drawingml/2006/main">
                  <a:graphicData uri="http://schemas.microsoft.com/office/word/2010/wordprocessingShape">
                    <wps:wsp>
                      <wps:cNvSpPr/>
                      <wps:spPr>
                        <a:xfrm>
                          <a:off x="0" y="0"/>
                          <a:ext cx="388189"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00B16" id="Rectangle 17" o:spid="_x0000_s1026" style="position:absolute;margin-left:379.9pt;margin-top:608.7pt;width:30.55pt;height:24.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tjwIAAK0FAAAOAAAAZHJzL2Uyb0RvYy54bWysVN9PGzEMfp+0/yHK+7heW6BUXFFVxDQJ&#10;AQImntNc0jspibMk7bX76+fkfhQY2gNaH9I4tj/b39m+vNprRXbC+RpMQfOTESXCcChrsynoz+eb&#10;bzNKfGCmZAqMKOhBeHq1+PrlsrFzMYYKVCkcQRDj540taBWCnWeZ55XQzJ+AFQaVEpxmAUW3yUrH&#10;GkTXKhuPRmdZA660DrjwHl+vWyVdJHwpBQ/3UnoRiCoo5hbS6dK5jme2uGTzjWO2qnmXBvtEFprV&#10;BoMOUNcsMLJ19V9QuuYOPMhwwkFnIGXNRaoBq8lH76p5qpgVqRYkx9uBJv//YPnd7sGRusRvd06J&#10;YRq/0SOyxsxGCYJvSFBj/RztnuyD6ySP11jtXjod/7EOsk+kHgZSxT4Qjo+T2SyfXVDCUTXJp5Oz&#10;PGJmR2frfPguQJN4KajD6IlKtrv1oTXtTWIsD6oub2qlkhD7RKyUIzuGX3i96cHfWCnzKUfMMXpm&#10;sf624nQLByUinjKPQiJ1WOM4JZya9pgM41yYkLeqipWizfF0hL+OgsEjEZIAI7LE6gbsDuBtoT12&#10;S09nH11F6vnBefSvxFrnwSNFBhMGZ10bcB8BKKyqi9za9yS11ESW1lAesLEctBPnLb+p8fPeMh8e&#10;mMMRw2HEtRHu8ZAKmoJCd6OkAvf7o/doj52PWkoaHNmC+l9b5gQl6ofBmbjIp9M440mYnp6PUXCv&#10;NevXGrPVK8CeyXFBWZ6u0T6o/iod6BfcLssYFVXMcIxdUB5cL6xCu0pwP3GxXCYznGvLwq15sjyC&#10;R1Zj+z7vX5izXY8HHI476Mebzd+1emsbPQ0stwFknebgyGvHN+6E1Djd/opL57WcrI5bdvEHAAD/&#10;/wMAUEsDBBQABgAIAAAAIQCdvxGA4AAAAA0BAAAPAAAAZHJzL2Rvd25yZXYueG1sTI/BTsMwEETv&#10;SPyDtUhcEHUS0TQOcSqExBVE4cLNjd04Il5H9jYNfD3uiR5nZzTzttkubmSzCXHwKCFfZcAMdl4P&#10;2Ev4/Hi5r4BFUqjV6NFI+DERtu31VaNq7U/4buYd9SyVYKyVBEs01ZzHzhqn4spPBpN38MEpSjL0&#10;XAd1SuVu5EWWldypAdOCVZN5tqb73h2dBPHbvVHlp7Wl4Uv0Ln89hPlOytub5ekRGJmF/sNwxk/o&#10;0CamvT+ijmyUsFmLhE7JKPLNA7AUqYpMANufT2UpgLcNv/yi/QMAAP//AwBQSwECLQAUAAYACAAA&#10;ACEAtoM4kv4AAADhAQAAEwAAAAAAAAAAAAAAAAAAAAAAW0NvbnRlbnRfVHlwZXNdLnhtbFBLAQIt&#10;ABQABgAIAAAAIQA4/SH/1gAAAJQBAAALAAAAAAAAAAAAAAAAAC8BAABfcmVscy8ucmVsc1BLAQIt&#10;ABQABgAIAAAAIQB0/BltjwIAAK0FAAAOAAAAAAAAAAAAAAAAAC4CAABkcnMvZTJvRG9jLnhtbFBL&#10;AQItABQABgAIAAAAIQCdvxGA4AAAAA0BAAAPAAAAAAAAAAAAAAAAAOkEAABkcnMvZG93bnJldi54&#10;bWxQSwUGAAAAAAQABADzAAAA9gUAAAAA&#10;" fillcolor="white [3212]" strokecolor="white [3212]" strokeweight="2pt"/>
            </w:pict>
          </mc:Fallback>
        </mc:AlternateContent>
      </w:r>
      <w:r w:rsidR="005C650A">
        <w:rPr>
          <w:lang w:val="en-US"/>
        </w:rPr>
        <w:br w:type="page"/>
      </w:r>
    </w:p>
    <w:p w14:paraId="000E5C06" w14:textId="79397AB6" w:rsidR="005C650A" w:rsidRPr="005C650A" w:rsidRDefault="005C650A" w:rsidP="005C650A">
      <w:pPr>
        <w:rPr>
          <w:lang w:val="en-US"/>
        </w:rPr>
      </w:pPr>
    </w:p>
    <w:p w14:paraId="770A73D7" w14:textId="7F21A7E6" w:rsidR="005C650A" w:rsidRDefault="004014CF">
      <w:pPr>
        <w:spacing w:after="200" w:line="276" w:lineRule="auto"/>
        <w:jc w:val="left"/>
        <w:rPr>
          <w:lang w:val="en-US"/>
        </w:rPr>
      </w:pPr>
      <w:r w:rsidRPr="002A613E">
        <w:rPr>
          <w:noProof/>
        </w:rPr>
        <w:drawing>
          <wp:anchor distT="0" distB="0" distL="114300" distR="114300" simplePos="0" relativeHeight="251743232" behindDoc="0" locked="0" layoutInCell="1" allowOverlap="1" wp14:anchorId="0EC223C3" wp14:editId="47CCA2DA">
            <wp:simplePos x="0" y="0"/>
            <wp:positionH relativeFrom="column">
              <wp:posOffset>399415</wp:posOffset>
            </wp:positionH>
            <wp:positionV relativeFrom="paragraph">
              <wp:posOffset>482410</wp:posOffset>
            </wp:positionV>
            <wp:extent cx="5315585" cy="8592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5585" cy="8592185"/>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14:anchorId="39307BF8" wp14:editId="5FE40224">
                <wp:simplePos x="0" y="0"/>
                <wp:positionH relativeFrom="column">
                  <wp:posOffset>-151147</wp:posOffset>
                </wp:positionH>
                <wp:positionV relativeFrom="paragraph">
                  <wp:posOffset>8851133</wp:posOffset>
                </wp:positionV>
                <wp:extent cx="545951" cy="314361"/>
                <wp:effectExtent l="0" t="0" r="26035" b="28575"/>
                <wp:wrapNone/>
                <wp:docPr id="11" name="Rectangle 11"/>
                <wp:cNvGraphicFramePr/>
                <a:graphic xmlns:a="http://schemas.openxmlformats.org/drawingml/2006/main">
                  <a:graphicData uri="http://schemas.microsoft.com/office/word/2010/wordprocessingShape">
                    <wps:wsp>
                      <wps:cNvSpPr/>
                      <wps:spPr>
                        <a:xfrm>
                          <a:off x="0" y="0"/>
                          <a:ext cx="545951"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96276" id="Rectangle 11" o:spid="_x0000_s1026" style="position:absolute;margin-left:-11.9pt;margin-top:696.95pt;width:43pt;height:24.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7ejwIAAK0FAAAOAAAAZHJzL2Uyb0RvYy54bWysVN9PGzEMfp+0/yHK+7i2tGxUXFEFYpqE&#10;oAImntNc0ouUxFmS9tr99XNyPwoM7QGtD2kc25/t72xfXO6NJjvhgwJb0vHJiBJhOVTKbkr68+nm&#10;yzdKQmS2YhqsKOlBBHq5+PzponFzMYEadCU8QRAb5o0raR2jmxdF4LUwLJyAExaVErxhEUW/KSrP&#10;GkQ3upiMRmdFA75yHrgIAV+vWyVdZHwpBY/3UgYRiS4p5hbz6fO5TmexuGDzjWeuVrxLg30gC8OU&#10;xaAD1DWLjGy9+gvKKO4hgIwnHEwBUioucg1YzXj0pprHmjmRa0FyghtoCv8Plt/tVp6oCr/dmBLL&#10;DH6jB2SN2Y0WBN+QoMaFOdo9upXvpIDXVO1eepP+sQ6yz6QeBlLFPhKOj7Pp7HyG2BxVp+Pp6VnG&#10;LI7Ozof4XYAh6VJSj9EzlWx3GyIGRNPeJMUKoFV1o7TOQuoTcaU92TH8wutND/7KStsPOWLg5Fmk&#10;+tuK8y0etEh42j4IidRhjZOccG7aYzKMc2HjuFXVrBJtjrMR/hKtCD94ZCkDJmSJ1Q3YHcDrQnvs&#10;FqazT64i9/zgPPpXYq3z4JEjg42Ds1EW/HsAGqvqIrf2PUktNYmlNVQHbCwP7cQFx28Uft5bFuKK&#10;eRwxHEZcG/EeD6mhKSl0N0pq8L/fe0/22PmopaTBkS1p+LVlXlCif1icifPxdJpmPAvT2dcJCv6l&#10;Zv1SY7fmCrBnsDUxu3xN9lH3V+nBPON2WaaoqGKWY+yS8uh74Sq2qwT3ExfLZTbDuXYs3tpHxxN4&#10;YjW179P+mXnX9XjE4biDfrzZ/E2rt7bJ08JyG0GqPAdHXju+cSfkxun2V1o6L+Vsddyyiz8AAAD/&#10;/wMAUEsDBBQABgAIAAAAIQD21OZs4AAAAAwBAAAPAAAAZHJzL2Rvd25yZXYueG1sTI/BTsMwEETv&#10;SPyDtUhcUOs0CVWTxqkQElcQhQs3N97GUWM7irdp4OtZTvQ4O6OZt9Vudr2YcIxd8ApWywQE+iaY&#10;zrcKPj9eFhsQkbQ3ug8eFXxjhF19e1Pp0oSLf8dpT63gEh9LrcASDaWUsbHodFyGAT17xzA6TSzH&#10;VppRX7jc9TJNkrV0uvO8YPWAzxab0/7sFBQ/zRttwvBoqfsqWrd6PY7Tg1L3d/PTFgThTP9h+MNn&#10;dKiZ6RDO3kTRK1ikGaMTG1mRFSA4sk5TEAe+5HmWg6wref1E/QsAAP//AwBQSwECLQAUAAYACAAA&#10;ACEAtoM4kv4AAADhAQAAEwAAAAAAAAAAAAAAAAAAAAAAW0NvbnRlbnRfVHlwZXNdLnhtbFBLAQIt&#10;ABQABgAIAAAAIQA4/SH/1gAAAJQBAAALAAAAAAAAAAAAAAAAAC8BAABfcmVscy8ucmVsc1BLAQIt&#10;ABQABgAIAAAAIQAxgv7ejwIAAK0FAAAOAAAAAAAAAAAAAAAAAC4CAABkcnMvZTJvRG9jLnhtbFBL&#10;AQItABQABgAIAAAAIQD21OZs4AAAAAwBAAAPAAAAAAAAAAAAAAAAAOkEAABkcnMvZG93bnJldi54&#10;bWxQSwUGAAAAAAQABADzAAAA9gUAAAAA&#10;" fillcolor="white [3212]" strokecolor="white [3212]" strokeweight="2pt"/>
            </w:pict>
          </mc:Fallback>
        </mc:AlternateContent>
      </w:r>
      <w:r w:rsidR="002A613E">
        <w:rPr>
          <w:noProof/>
        </w:rPr>
        <mc:AlternateContent>
          <mc:Choice Requires="wps">
            <w:drawing>
              <wp:anchor distT="0" distB="0" distL="114300" distR="114300" simplePos="0" relativeHeight="251744256" behindDoc="0" locked="0" layoutInCell="1" allowOverlap="1" wp14:anchorId="1987D7FE" wp14:editId="5A47E4DF">
                <wp:simplePos x="0" y="0"/>
                <wp:positionH relativeFrom="column">
                  <wp:posOffset>4943368</wp:posOffset>
                </wp:positionH>
                <wp:positionV relativeFrom="paragraph">
                  <wp:posOffset>8851133</wp:posOffset>
                </wp:positionV>
                <wp:extent cx="855023" cy="314361"/>
                <wp:effectExtent l="0" t="0" r="21590" b="28575"/>
                <wp:wrapNone/>
                <wp:docPr id="20" name="Rectangle 20"/>
                <wp:cNvGraphicFramePr/>
                <a:graphic xmlns:a="http://schemas.openxmlformats.org/drawingml/2006/main">
                  <a:graphicData uri="http://schemas.microsoft.com/office/word/2010/wordprocessingShape">
                    <wps:wsp>
                      <wps:cNvSpPr/>
                      <wps:spPr>
                        <a:xfrm>
                          <a:off x="0" y="0"/>
                          <a:ext cx="855023"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04783" id="Rectangle 20" o:spid="_x0000_s1026" style="position:absolute;margin-left:389.25pt;margin-top:696.95pt;width:67.3pt;height:24.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DnjwIAAK0FAAAOAAAAZHJzL2Uyb0RvYy54bWysVN9PGzEMfp+0/yHK+7i70jJWcUUViGkS&#10;ggqYeE5zSS9SLs6StNfur5+T+1FgaA9ofUid2P5sf2f74nLfaLITziswJS1OckqE4VApsynpz6eb&#10;L+eU+MBMxTQYUdKD8PRy8fnTRWvnYgI16Eo4giDGz1tb0joEO88yz2vRMH8CVhhUSnANC3h1m6xy&#10;rEX0RmeTPD/LWnCVdcCF9/h63SnpIuFLKXi4l9KLQHRJMbeQTpfOdTyzxQWbbxyzteJ9GuwDWTRM&#10;GQw6Ql2zwMjWqb+gGsUdeJDhhEOTgZSKi1QDVlPkb6p5rJkVqRYkx9uRJv//YPndbuWIqko6QXoM&#10;a/AbPSBrzGy0IPiGBLXWz9Hu0a5cf/Moxmr30jXxH+sg+0TqYSRV7APh+Hg+m+WTU0o4qk6L6elZ&#10;ETGzo7N1PnwX0JAolNRh9EQl29360JkOJjGWB62qG6V1usQ+EVfakR3DL7zeDOCvrLT5kCPmGD2z&#10;WH9XcZLCQYuIp82DkEgd1jhJCaemPSbDOBcmFJ2qZpXocpzl+OspGD0SIQkwIkusbsTuAV4XOmB3&#10;9PT20VWknh+d838l1jmPHikymDA6N8qAew9AY1V95M5+IKmjJrK0huqAjeWgmzhv+Y3Cz3vLfFgx&#10;hyOG3YZrI9zjITW0JYVeoqQG9/u992iPnY9aSloc2ZL6X1vmBCX6h8GZ+FZMp3HG02U6+xo72r3U&#10;rF9qzLa5AuyZAheU5UmM9kEPonTQPON2WcaoqGKGY+yS8uCGy1XoVgnuJy6Wy2SGc21ZuDWPlkfw&#10;yGps36f9M3O27/GAw3EHw3iz+ZtW72yjp4HlNoBUaQ6OvPZ8405IjdPvr7h0Xt6T1XHLLv4AAAD/&#10;/wMAUEsDBBQABgAIAAAAIQAanqGx4QAAAA0BAAAPAAAAZHJzL2Rvd25yZXYueG1sTI/BTsMwDIbv&#10;SLxDZCQuiKWlHWtK0wkhcQUxuHDLmqypaJwqybrC02NO7Gj/n35/braLG9lsQhw8SshXGTCDndcD&#10;9hI+3p9vK2AxKdRq9GgkfJsI2/byolG19id8M/Mu9YxKMNZKgk1pqjmPnTVOxZWfDFJ28MGpRGPo&#10;uQ7qROVu5HdZds+dGpAuWDWZJ2u6r93RSRA/3Wuq/LS2afgUvctfDmG+kfL6anl8AJbMkv5h+NMn&#10;dWjJae+PqCMbJWw21ZpQCgpRCGCEiLzIge1pVZZFCbxt+PkX7S8AAAD//wMAUEsBAi0AFAAGAAgA&#10;AAAhALaDOJL+AAAA4QEAABMAAAAAAAAAAAAAAAAAAAAAAFtDb250ZW50X1R5cGVzXS54bWxQSwEC&#10;LQAUAAYACAAAACEAOP0h/9YAAACUAQAACwAAAAAAAAAAAAAAAAAvAQAAX3JlbHMvLnJlbHNQSwEC&#10;LQAUAAYACAAAACEA49dA548CAACtBQAADgAAAAAAAAAAAAAAAAAuAgAAZHJzL2Uyb0RvYy54bWxQ&#10;SwECLQAUAAYACAAAACEAGp6hseEAAAANAQAADwAAAAAAAAAAAAAAAADpBAAAZHJzL2Rvd25yZXYu&#10;eG1sUEsFBgAAAAAEAAQA8wAAAPcFAAAAAA==&#10;" fillcolor="white [3212]" strokecolor="white [3212]" strokeweight="2pt"/>
            </w:pict>
          </mc:Fallback>
        </mc:AlternateContent>
      </w:r>
      <w:r w:rsidR="005C650A">
        <w:rPr>
          <w:noProof/>
        </w:rPr>
        <mc:AlternateContent>
          <mc:Choice Requires="wps">
            <w:drawing>
              <wp:anchor distT="0" distB="0" distL="114300" distR="114300" simplePos="0" relativeHeight="251730944" behindDoc="0" locked="0" layoutInCell="1" allowOverlap="1" wp14:anchorId="61422454" wp14:editId="7DB7BCF4">
                <wp:simplePos x="0" y="0"/>
                <wp:positionH relativeFrom="column">
                  <wp:posOffset>5232976</wp:posOffset>
                </wp:positionH>
                <wp:positionV relativeFrom="paragraph">
                  <wp:posOffset>8794750</wp:posOffset>
                </wp:positionV>
                <wp:extent cx="388189" cy="314361"/>
                <wp:effectExtent l="0" t="0" r="12065" b="28575"/>
                <wp:wrapNone/>
                <wp:docPr id="18" name="Rectangle 18"/>
                <wp:cNvGraphicFramePr/>
                <a:graphic xmlns:a="http://schemas.openxmlformats.org/drawingml/2006/main">
                  <a:graphicData uri="http://schemas.microsoft.com/office/word/2010/wordprocessingShape">
                    <wps:wsp>
                      <wps:cNvSpPr/>
                      <wps:spPr>
                        <a:xfrm>
                          <a:off x="0" y="0"/>
                          <a:ext cx="388189"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4A318" id="Rectangle 18" o:spid="_x0000_s1026" style="position:absolute;margin-left:412.05pt;margin-top:692.5pt;width:30.55pt;height:24.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cGjwIAAK0FAAAOAAAAZHJzL2Uyb0RvYy54bWysVEtv2zAMvg/YfxB0Xx0naZcGdYogRYcB&#10;RVv0gZ4VWYoFyKImKXGyXz9KfqTtih2K5aCIJvmR/ETy4nJfa7ITziswBc1PRpQIw6FUZlPQ56fr&#10;bzNKfGCmZBqMKOhBeHq5+PrlorFzMYYKdCkcQRDj540taBWCnWeZ55WomT8BKwwqJbiaBRTdJisd&#10;axC91tl4NDrLGnCldcCF9/j1qlXSRcKXUvBwJ6UXgeiCYm4hnS6d63hmiws23zhmK8W7NNgnsqiZ&#10;Mhh0gLpigZGtU39B1Yo78CDDCYc6AykVF6kGrCYfvavmsWJWpFqQHG8Hmvz/g+W3u3tHVIlvhy9l&#10;WI1v9ICsMbPRguA3JKixfo52j/bedZLHa6x2L10d/7EOsk+kHgZSxT4Qjh8ns1k+O6eEo2qSTydn&#10;ecTMjs7W+fBDQE3ipaAOoycq2e7Gh9a0N4mxPGhVXiutkxD7RKy0IzuGL7ze9OBvrLT5lCPmGD2z&#10;WH9bcbqFgxYRT5sHIZE6rHGcEk5Ne0yGcS5MyFtVxUrR5ng6wl9HweCRCEmAEVlidQN2B/C20B67&#10;paezj64i9fzgPPpXYq3z4JEigwmDc60MuI8ANFbVRW7te5JaaiJLaygP2FgO2onzll8rfN4b5sM9&#10;czhiOIy4NsIdHlJDU1DobpRU4H5/9D3aY+ejlpIGR7ag/teWOUGJ/mlwJs7z6TTOeBKmp9/HKLjX&#10;mvVrjdnWK8CeyXFBWZ6u0T7o/iod1C+4XZYxKqqY4Ri7oDy4XliFdpXgfuJiuUxmONeWhRvzaHkE&#10;j6zG9n3avzBnux4POBy30I83m79r9dY2ehpYbgNIlebgyGvHN+6E1Djd/opL57WcrI5bdvEHAAD/&#10;/wMAUEsDBBQABgAIAAAAIQBSUZ6h4AAAAA0BAAAPAAAAZHJzL2Rvd25yZXYueG1sTI/BTsMwEETv&#10;SPyDtUhcUOskTSo3xKkQElcQhQs3N3bjiHgd2W4a+HqWExx35ml2ptkvbmSzCXHwKCFfZ8AMdl4P&#10;2Et4f3taCWAxKdRq9GgkfJkI+/b6qlG19hd8NfMh9YxCMNZKgk1pqjmPnTVOxbWfDJJ38sGpRGfo&#10;uQ7qQuFu5EWWbblTA9IHqybzaE33eTg7Cbvv7iUJP1U2DR+73uXPpzDfSXl7szzcA0tmSX8w/Nan&#10;6tBSp6M/o45slCCKMieUjI2oaBUhQlQFsCNJ5aasgLcN/7+i/QEAAP//AwBQSwECLQAUAAYACAAA&#10;ACEAtoM4kv4AAADhAQAAEwAAAAAAAAAAAAAAAAAAAAAAW0NvbnRlbnRfVHlwZXNdLnhtbFBLAQIt&#10;ABQABgAIAAAAIQA4/SH/1gAAAJQBAAALAAAAAAAAAAAAAAAAAC8BAABfcmVscy8ucmVsc1BLAQIt&#10;ABQABgAIAAAAIQCuLXcGjwIAAK0FAAAOAAAAAAAAAAAAAAAAAC4CAABkcnMvZTJvRG9jLnhtbFBL&#10;AQItABQABgAIAAAAIQBSUZ6h4AAAAA0BAAAPAAAAAAAAAAAAAAAAAOkEAABkcnMvZG93bnJldi54&#10;bWxQSwUGAAAAAAQABADzAAAA9gUAAAAA&#10;" fillcolor="white [3212]" strokecolor="white [3212]" strokeweight="2pt"/>
            </w:pict>
          </mc:Fallback>
        </mc:AlternateContent>
      </w:r>
      <w:r w:rsidR="005C650A">
        <w:rPr>
          <w:lang w:val="en-US"/>
        </w:rPr>
        <w:br w:type="page"/>
      </w:r>
    </w:p>
    <w:p w14:paraId="2EE4FBC8" w14:textId="27F3DE2F" w:rsidR="005C650A" w:rsidRDefault="00BE5092">
      <w:pPr>
        <w:spacing w:after="200" w:line="276" w:lineRule="auto"/>
        <w:jc w:val="left"/>
        <w:rPr>
          <w:lang w:val="en-US"/>
        </w:rPr>
      </w:pPr>
      <w:r w:rsidRPr="00394518">
        <w:rPr>
          <w:noProof/>
        </w:rPr>
        <w:lastRenderedPageBreak/>
        <w:drawing>
          <wp:anchor distT="0" distB="0" distL="114300" distR="114300" simplePos="0" relativeHeight="251747328" behindDoc="0" locked="0" layoutInCell="1" allowOverlap="1" wp14:anchorId="17266A94" wp14:editId="5740561E">
            <wp:simplePos x="0" y="0"/>
            <wp:positionH relativeFrom="column">
              <wp:posOffset>251460</wp:posOffset>
            </wp:positionH>
            <wp:positionV relativeFrom="paragraph">
              <wp:posOffset>822325</wp:posOffset>
            </wp:positionV>
            <wp:extent cx="5363210" cy="861123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63210" cy="8611235"/>
                    </a:xfrm>
                    <a:prstGeom prst="rect">
                      <a:avLst/>
                    </a:prstGeom>
                  </pic:spPr>
                </pic:pic>
              </a:graphicData>
            </a:graphic>
          </wp:anchor>
        </w:drawing>
      </w:r>
      <w:r w:rsidR="00394518">
        <w:rPr>
          <w:noProof/>
        </w:rPr>
        <mc:AlternateContent>
          <mc:Choice Requires="wps">
            <w:drawing>
              <wp:anchor distT="0" distB="0" distL="114300" distR="114300" simplePos="0" relativeHeight="251751424" behindDoc="0" locked="0" layoutInCell="1" allowOverlap="1" wp14:anchorId="578B3A44" wp14:editId="314FEB61">
                <wp:simplePos x="0" y="0"/>
                <wp:positionH relativeFrom="column">
                  <wp:posOffset>-608784</wp:posOffset>
                </wp:positionH>
                <wp:positionV relativeFrom="paragraph">
                  <wp:posOffset>9117561</wp:posOffset>
                </wp:positionV>
                <wp:extent cx="855023" cy="314361"/>
                <wp:effectExtent l="0" t="0" r="21590" b="28575"/>
                <wp:wrapNone/>
                <wp:docPr id="16" name="Rectangle 16"/>
                <wp:cNvGraphicFramePr/>
                <a:graphic xmlns:a="http://schemas.openxmlformats.org/drawingml/2006/main">
                  <a:graphicData uri="http://schemas.microsoft.com/office/word/2010/wordprocessingShape">
                    <wps:wsp>
                      <wps:cNvSpPr/>
                      <wps:spPr>
                        <a:xfrm>
                          <a:off x="0" y="0"/>
                          <a:ext cx="855023"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5CD965" id="Rectangle 16" o:spid="_x0000_s1026" style="position:absolute;margin-left:-47.95pt;margin-top:717.9pt;width:67.3pt;height:24.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jwIAAK0FAAAOAAAAZHJzL2Uyb0RvYy54bWysVN9PGzEMfp+0/yHK+7i70jJW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fjtzigx&#10;rMFv9ICsMbPRguAbEtRaP0e7R7tyveTxGqvdS9fEf6yD7BOph5FUsQ+E4+P5bJZPTinhqDotpqdn&#10;RcTMjs7W+fBdQEPipaQOoycq2e7Wh850MImxPGhV3SitkxD7RFxpR3YMv/B6M4C/stLmQ46YY/TM&#10;Yv1dxekWDlpEPG0ehETqsMZJSjg17TEZxrkwoehUNatEl+Msx19PweiRCEmAEVlidSN2D/C60AG7&#10;o6e3j64i9fzonP8rsc559EiRwYTRuVEG3HsAGqvqI3f2A0kdNZGlNVQHbCwH3cR5y28Uft5b5sOK&#10;ORwxHEZcG+EeD6mhLSn0N0pqcL/fe4/22PmopaTFkS2p/7VlTlCifxiciW/FdBpnPAnT2dcJCu6l&#10;Zv1SY7bNFWDPFLigLE/XaB/0cJUOmmfcLssYFVXMcIxdUh7cIFyFbpXgfuJiuUxmONeWhVvzaHkE&#10;j6zG9n3aPzNn+x4POBx3MIw3m79p9c42ehpYbgNIlebgyGvPN+6E1Dj9/opL56WcrI5bdvEHAAD/&#10;/wMAUEsDBBQABgAIAAAAIQBMOCG+4AAAAAwBAAAPAAAAZHJzL2Rvd25yZXYueG1sTI/BTsMwEETv&#10;SPyDtUhcUOuUEJqEOBVC4gqicOnNjbdxRLyOYjcNfD3bEz3uzNPsTLWZXS8mHEPnScFqmYBAarzp&#10;qFXw9fm6yEGEqMno3hMq+MEAm/r6qtKl8Sf6wGkbW8EhFEqtwMY4lFKGxqLTYekHJPYOfnQ68jm2&#10;0oz6xOGul/dJ8iid7og/WD3gi8Xme3t0Corf5j3mfshs7HZF61Zvh3G6U+r2Zn5+AhFxjv8wnOtz&#10;dai5094fyQTRK1gUWcEoGw9pxiMYSfM1iP1ZybMUZF3JyxH1HwAAAP//AwBQSwECLQAUAAYACAAA&#10;ACEAtoM4kv4AAADhAQAAEwAAAAAAAAAAAAAAAAAAAAAAW0NvbnRlbnRfVHlwZXNdLnhtbFBLAQIt&#10;ABQABgAIAAAAIQA4/SH/1gAAAJQBAAALAAAAAAAAAAAAAAAAAC8BAABfcmVscy8ucmVsc1BLAQIt&#10;ABQABgAIAAAAIQD/G+B0jwIAAK0FAAAOAAAAAAAAAAAAAAAAAC4CAABkcnMvZTJvRG9jLnhtbFBL&#10;AQItABQABgAIAAAAIQBMOCG+4AAAAAwBAAAPAAAAAAAAAAAAAAAAAOkEAABkcnMvZG93bnJldi54&#10;bWxQSwUGAAAAAAQABADzAAAA9gUAAAAA&#10;" fillcolor="white [3212]" strokecolor="white [3212]" strokeweight="2pt"/>
            </w:pict>
          </mc:Fallback>
        </mc:AlternateContent>
      </w:r>
      <w:r w:rsidR="00394518">
        <w:rPr>
          <w:noProof/>
        </w:rPr>
        <mc:AlternateContent>
          <mc:Choice Requires="wps">
            <w:drawing>
              <wp:anchor distT="0" distB="0" distL="114300" distR="114300" simplePos="0" relativeHeight="251749376" behindDoc="0" locked="0" layoutInCell="1" allowOverlap="1" wp14:anchorId="60569ADC" wp14:editId="519F843E">
                <wp:simplePos x="0" y="0"/>
                <wp:positionH relativeFrom="column">
                  <wp:posOffset>4861263</wp:posOffset>
                </wp:positionH>
                <wp:positionV relativeFrom="paragraph">
                  <wp:posOffset>9227878</wp:posOffset>
                </wp:positionV>
                <wp:extent cx="855023" cy="314361"/>
                <wp:effectExtent l="0" t="0" r="21590" b="28575"/>
                <wp:wrapNone/>
                <wp:docPr id="15" name="Rectangle 15"/>
                <wp:cNvGraphicFramePr/>
                <a:graphic xmlns:a="http://schemas.openxmlformats.org/drawingml/2006/main">
                  <a:graphicData uri="http://schemas.microsoft.com/office/word/2010/wordprocessingShape">
                    <wps:wsp>
                      <wps:cNvSpPr/>
                      <wps:spPr>
                        <a:xfrm>
                          <a:off x="0" y="0"/>
                          <a:ext cx="855023"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53326" id="Rectangle 15" o:spid="_x0000_s1026" style="position:absolute;margin-left:382.8pt;margin-top:726.6pt;width:67.3pt;height:24.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ayjwIAAK0FAAAOAAAAZHJzL2Uyb0RvYy54bWysVN9PGzEMfp+0/yHK+7i70jJWcUUViGkS&#10;ggqYeE5zSS9SLs6StNfur5+T+1FgaA9ofUjj2P5sf2f74nLfaLITziswJS1OckqE4VApsynpz6eb&#10;L+eU+MBMxTQYUdKD8PRy8fnTRWvnYgI16Eo4giDGz1tb0joEO88yz2vRMH8CVhhUSnANCyi6TVY5&#10;1iJ6o7NJnp9lLbjKOuDCe3y97pR0kfClFDzcS+lFILqkmFtIp0vnOp7Z4oLNN47ZWvE+DfaBLBqm&#10;DAYdoa5ZYGTr1F9QjeIOPMhwwqHJQErFRaoBqynyN9U81syKVAuS4+1Ik/9/sPxut3JEVfjtZpQY&#10;1uA3ekDWmNloQfANCWqtn6Pdo125XvJ4jdXupWviP9ZB9onUw0iq2AfC8fF8Nssnp5RwVJ0W09Oz&#10;ImJmR2frfPguoCHxUlKH0ROVbHfrQ2c6mMRYHrSqbpTWSYh9Iq60IzuGX3i9GcBfWWnzIUfMMXpm&#10;sf6u4nQLBy0injYPQiJ1WOMkJZya9pgM41yYUHSqmlWiy3GW46+nYPRIhCTAiCyxuhG7B3hd6IDd&#10;0dPbR1eRen50zv+VWOc8eqTIYMLo3CgD7j0AjVX1kTv7gaSOmsjSGqoDNpaDbuK85TcKP+8t82HF&#10;HI4YDiOujXCPh9TQlhT6GyU1uN/vvUd77HzUUtLiyJbU/9oyJyjRPwzOxLdiOo0znoTp7OsEBfdS&#10;s36pMdvmCrBnClxQlqdrtA96uEoHzTNul2WMiipmOMYuKQ9uEK5Ct0pwP3GxXCYznGvLwq15tDyC&#10;R1Zj+z7tn5mzfY8HHI47GMabzd+0emcbPQ0stwGkSnNw5LXnG3dCapx+f8Wl81JOVsctu/gDAAD/&#10;/wMAUEsDBBQABgAIAAAAIQBJ/C6E4QAAAA0BAAAPAAAAZHJzL2Rvd25yZXYueG1sTI/BTsMwEETv&#10;SPyDtUhcELUbSNqkcSqExBVE4dKbG2/jiNiObDcNfD3Lid52d0azb+rtbAc2YYi9dxKWCwEMXet1&#10;7zoJnx8v92tgMSmn1eAdSvjGCNvm+qpWlfZn947TLnWMQlyslAST0lhxHluDVsWFH9GRdvTBqkRr&#10;6LgO6kzhduCZEAW3qnf0wagRnw22X7uTlVD+tG9p7cfcpH5fdnb5egzTnZS3N/PTBljCOf2b4Q+f&#10;0KEhpoM/OR3ZIGFV5AVZSXjMHzJgZCmFoOFAp1xkK+BNzS9bNL8AAAD//wMAUEsBAi0AFAAGAAgA&#10;AAAhALaDOJL+AAAA4QEAABMAAAAAAAAAAAAAAAAAAAAAAFtDb250ZW50X1R5cGVzXS54bWxQSwEC&#10;LQAUAAYACAAAACEAOP0h/9YAAACUAQAACwAAAAAAAAAAAAAAAAAvAQAAX3JlbHMvLnJlbHNQSwEC&#10;LQAUAAYACAAAACEAR4g2so8CAACtBQAADgAAAAAAAAAAAAAAAAAuAgAAZHJzL2Uyb0RvYy54bWxQ&#10;SwECLQAUAAYACAAAACEASfwuhOEAAAANAQAADwAAAAAAAAAAAAAAAADpBAAAZHJzL2Rvd25yZXYu&#10;eG1sUEsFBgAAAAAEAAQA8wAAAPcFAAAAAA==&#10;" fillcolor="white [3212]" strokecolor="white [3212]" strokeweight="2pt"/>
            </w:pict>
          </mc:Fallback>
        </mc:AlternateContent>
      </w:r>
      <w:r w:rsidR="005C650A">
        <w:rPr>
          <w:lang w:val="en-US"/>
        </w:rPr>
        <w:br w:type="page"/>
      </w:r>
    </w:p>
    <w:p w14:paraId="21F080DA" w14:textId="5BD6B15D" w:rsidR="005C650A" w:rsidRDefault="0095414C">
      <w:pPr>
        <w:spacing w:after="200" w:line="276" w:lineRule="auto"/>
        <w:jc w:val="left"/>
        <w:rPr>
          <w:lang w:val="en-US"/>
        </w:rPr>
      </w:pPr>
      <w:r>
        <w:rPr>
          <w:noProof/>
        </w:rPr>
        <w:lastRenderedPageBreak/>
        <mc:AlternateContent>
          <mc:Choice Requires="wps">
            <w:drawing>
              <wp:anchor distT="0" distB="0" distL="114300" distR="114300" simplePos="0" relativeHeight="251756544" behindDoc="0" locked="0" layoutInCell="1" allowOverlap="1" wp14:anchorId="1309C532" wp14:editId="0D84F720">
                <wp:simplePos x="0" y="0"/>
                <wp:positionH relativeFrom="column">
                  <wp:posOffset>5191125</wp:posOffset>
                </wp:positionH>
                <wp:positionV relativeFrom="paragraph">
                  <wp:posOffset>9180253</wp:posOffset>
                </wp:positionV>
                <wp:extent cx="855023" cy="314361"/>
                <wp:effectExtent l="0" t="0" r="21590" b="28575"/>
                <wp:wrapNone/>
                <wp:docPr id="32" name="Rectangle 32"/>
                <wp:cNvGraphicFramePr/>
                <a:graphic xmlns:a="http://schemas.openxmlformats.org/drawingml/2006/main">
                  <a:graphicData uri="http://schemas.microsoft.com/office/word/2010/wordprocessingShape">
                    <wps:wsp>
                      <wps:cNvSpPr/>
                      <wps:spPr>
                        <a:xfrm>
                          <a:off x="0" y="0"/>
                          <a:ext cx="855023"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92C2B" id="Rectangle 32" o:spid="_x0000_s1026" style="position:absolute;margin-left:408.75pt;margin-top:722.85pt;width:67.3pt;height:24.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AgjwIAAK0FAAAOAAAAZHJzL2Uyb0RvYy54bWysVEtv2zAMvg/YfxB0X23n0XVBnSJo0WFA&#10;0RZth54VWYoFyKImKXGyXz9KfqTtih2K5aCIIvmR/Ezy/GLfaLITziswJS1OckqE4VApsynpz6fr&#10;L2eU+MBMxTQYUdKD8PRi+fnTeWsXYgI16Eo4giDGL1pb0joEu8gyz2vRMH8CVhhUSnANCyi6TVY5&#10;1iJ6o7NJnp9mLbjKOuDCe3y96pR0mfClFDzcSelFILqkmFtIp0vnOp7Z8pwtNo7ZWvE+DfaBLBqm&#10;DAYdoa5YYGTr1F9QjeIOPMhwwqHJQErFRaoBqynyN9U81syKVAuS4+1Ik/9/sPx2d++Iqko6nVBi&#10;WIPf6AFZY2ajBcE3JKi1foF2j/be9ZLHa6x2L10T/7EOsk+kHkZSxT4Qjo9n83k+mVLCUTUtZtPT&#10;ImJmR2frfPguoCHxUlKH0ROVbHfjQ2c6mMRYHrSqrpXWSYh9Ii61IzuGX3i9GcBfWWnzIUfMMXpm&#10;sf6u4nQLBy0injYPQiJ1WOMkJZya9pgM41yYUHSqmlWiy3Ge46+nYPRIhCTAiCyxuhG7B3hd6IDd&#10;0dPbR1eRen50zv+VWOc8eqTIYMLo3CgD7j0AjVX1kTv7gaSOmsjSGqoDNpaDbuK85dcKP+8N8+Ge&#10;ORwxHEZcG+EOD6mhLSn0N0pqcL/fe4/22PmopaTFkS2p/7VlTlCifxiciW/FbBZnPAmz+dcJCu6l&#10;Zv1SY7bNJWDPFLigLE/XaB/0cJUOmmfcLqsYFVXMcIxdUh7cIFyGbpXgfuJitUpmONeWhRvzaHkE&#10;j6zG9n3aPzNn+x4POBy3MIw3W7xp9c42ehpYbQNIlebgyGvPN+6E1Dj9/opL56WcrI5bdvkHAAD/&#10;/wMAUEsDBBQABgAIAAAAIQBJDWVO4AAAAA0BAAAPAAAAZHJzL2Rvd25yZXYueG1sTI9BT8MwDIXv&#10;SPyHyEhc0JZ2WlnbNZ0QElcQgwu3rPGaisapmqwr/Hq8E7vZfk/P36t2s+vFhGPoPClIlwkIpMab&#10;jloFnx8vixxEiJqM7j2hgh8MsKtvbypdGn+md5z2sRUcQqHUCmyMQyllaCw6HZZ+QGLt6EenI69j&#10;K82ozxzuerlKkkfpdEf8weoBny023/uTU1D8Nm8x90NmY/dVtC59PY7Tg1L3d/PTFkTEOf6b4YLP&#10;6FAz08GfyATRK8jTTcZWFtbrbAOCLUW2SkEcLiceQdaVvG5R/wEAAP//AwBQSwECLQAUAAYACAAA&#10;ACEAtoM4kv4AAADhAQAAEwAAAAAAAAAAAAAAAAAAAAAAW0NvbnRlbnRfVHlwZXNdLnhtbFBLAQIt&#10;ABQABgAIAAAAIQA4/SH/1gAAAJQBAAALAAAAAAAAAAAAAAAAAC8BAABfcmVscy8ucmVsc1BLAQIt&#10;ABQABgAIAAAAIQAobvAgjwIAAK0FAAAOAAAAAAAAAAAAAAAAAC4CAABkcnMvZTJvRG9jLnhtbFBL&#10;AQItABQABgAIAAAAIQBJDWVO4AAAAA0BAAAPAAAAAAAAAAAAAAAAAOkEAABkcnMvZG93bnJldi54&#10;bWxQSwUGAAAAAAQABADzAAAA9gUAAAAA&#10;" fillcolor="white [3212]" strokecolor="white [3212]" strokeweight="2pt"/>
            </w:pict>
          </mc:Fallback>
        </mc:AlternateContent>
      </w:r>
      <w:r>
        <w:rPr>
          <w:noProof/>
        </w:rPr>
        <mc:AlternateContent>
          <mc:Choice Requires="wps">
            <w:drawing>
              <wp:anchor distT="0" distB="0" distL="114300" distR="114300" simplePos="0" relativeHeight="251754496" behindDoc="0" locked="0" layoutInCell="1" allowOverlap="1" wp14:anchorId="0A6E25D4" wp14:editId="69C893CA">
                <wp:simplePos x="0" y="0"/>
                <wp:positionH relativeFrom="column">
                  <wp:posOffset>-449605</wp:posOffset>
                </wp:positionH>
                <wp:positionV relativeFrom="paragraph">
                  <wp:posOffset>9109001</wp:posOffset>
                </wp:positionV>
                <wp:extent cx="855023" cy="314361"/>
                <wp:effectExtent l="0" t="0" r="21590" b="28575"/>
                <wp:wrapNone/>
                <wp:docPr id="31" name="Rectangle 31"/>
                <wp:cNvGraphicFramePr/>
                <a:graphic xmlns:a="http://schemas.openxmlformats.org/drawingml/2006/main">
                  <a:graphicData uri="http://schemas.microsoft.com/office/word/2010/wordprocessingShape">
                    <wps:wsp>
                      <wps:cNvSpPr/>
                      <wps:spPr>
                        <a:xfrm>
                          <a:off x="0" y="0"/>
                          <a:ext cx="855023"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359F3" id="Rectangle 31" o:spid="_x0000_s1026" style="position:absolute;margin-left:-35.4pt;margin-top:717.25pt;width:67.3pt;height:24.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mkAIAAK0FAAAOAAAAZHJzL2Uyb0RvYy54bWysVEtv2zAMvg/YfxB0X+28ui6oUwQpMgwo&#10;2qLt0LMiS7EAWdQkJU7260fJj7RdsUOxHBRRJD+Sn0leXh1qTfbCeQWmoKOznBJhOJTKbAv682n9&#10;5YISH5gpmQYjCnoUnl4tPn+6bOxcjKECXQpHEMT4eWMLWoVg51nmeSVq5s/ACoNKCa5mAUW3zUrH&#10;GkSvdTbO8/OsAVdaB1x4j6/XrZIuEr6Ugoc7Kb0IRBcUcwvpdOncxDNbXLL51jFbKd6lwT6QRc2U&#10;waAD1DULjOyc+guqVtyBBxnOONQZSKm4SDVgNaP8TTWPFbMi1YLkeDvQ5P8fLL/d3zuiyoJORpQY&#10;VuM3ekDWmNlqQfANCWqsn6Pdo713neTxGqs9SFfHf6yDHBKpx4FUcQiE4+PFbJaPJ5RwVE1G08l5&#10;wsxOztb58F1ATeKloA6jJyrZ/sYHDIimvUmM5UGrcq20TkLsE7HSjuwZfuHNtgd/ZaXNhxwxcPTM&#10;Yv1txekWjlpEPG0ehETqsMZxSjg17SkZxrkwYdSqKlaKNsdZjr9IK8IPHklKgBFZYnUDdgfwutAe&#10;u4Xp7KOrSD0/OOf/Sqx1HjxSZDBhcK6VAfcegMaqusitfU9SS01kaQPlERvLQTtx3vK1ws97w3y4&#10;Zw5HDIcR10a4w0NqaAoK3Y2SCtzv996jPXY+ailpcGQL6n/tmBOU6B8GZ+LbaDqNM56E6ezrGAX3&#10;UrN5qTG7egXYM9j2mF26Rvug+6t0UD/jdlnGqKhihmPsgvLgemEV2lWC+4mL5TKZ4VxbFm7Mo+UR&#10;PLIa2/fp8Myc7Xo84HDcQj/ebP6m1Vvb6GlguQsgVZqDE68d37gTUuN0+ysunZdysjpt2cUfAAAA&#10;//8DAFBLAwQUAAYACAAAACEAM/9SRN8AAAAMAQAADwAAAGRycy9kb3ducmV2LnhtbEyPwU7DMBBE&#10;70j8g7VIXFBrl6YlDXEqhMQVROHCzY3dOCJeR/E2DXw92xM97sxo9k25nUInRjekNqKGxVyBcFhH&#10;22Kj4fPjZZaDSGTQmi6i0/DjEmyr66vSFDae8N2NO2oEl2AqjAZP1BdSptq7YNI89g7ZO8QhGOJz&#10;aKQdzInLQyfvlVrLYFrkD9707tm7+nt3DBo2v/Ub5bFfeWq/Nk1YvB6G8U7r25vp6REEuYn+w3DG&#10;Z3SomGkfj2iT6DTMHhSjExvZMluB4Mh6ycr+rOSZAlmV8nJE9QcAAP//AwBQSwECLQAUAAYACAAA&#10;ACEAtoM4kv4AAADhAQAAEwAAAAAAAAAAAAAAAAAAAAAAW0NvbnRlbnRfVHlwZXNdLnhtbFBLAQIt&#10;ABQABgAIAAAAIQA4/SH/1gAAAJQBAAALAAAAAAAAAAAAAAAAAC8BAABfcmVscy8ucmVsc1BLAQIt&#10;ABQABgAIAAAAIQCQ/SbmkAIAAK0FAAAOAAAAAAAAAAAAAAAAAC4CAABkcnMvZTJvRG9jLnhtbFBL&#10;AQItABQABgAIAAAAIQAz/1JE3wAAAAwBAAAPAAAAAAAAAAAAAAAAAOoEAABkcnMvZG93bnJldi54&#10;bWxQSwUGAAAAAAQABADzAAAA9gUAAAAA&#10;" fillcolor="white [3212]" strokecolor="white [3212]" strokeweight="2pt"/>
            </w:pict>
          </mc:Fallback>
        </mc:AlternateContent>
      </w:r>
      <w:r w:rsidRPr="0095414C">
        <w:rPr>
          <w:noProof/>
        </w:rPr>
        <w:drawing>
          <wp:anchor distT="0" distB="0" distL="114300" distR="114300" simplePos="0" relativeHeight="251752448" behindDoc="0" locked="0" layoutInCell="1" allowOverlap="1" wp14:anchorId="1022B741" wp14:editId="68B12853">
            <wp:simplePos x="0" y="0"/>
            <wp:positionH relativeFrom="column">
              <wp:posOffset>454215</wp:posOffset>
            </wp:positionH>
            <wp:positionV relativeFrom="paragraph">
              <wp:posOffset>790575</wp:posOffset>
            </wp:positionV>
            <wp:extent cx="5315692" cy="861180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15692" cy="8611802"/>
                    </a:xfrm>
                    <a:prstGeom prst="rect">
                      <a:avLst/>
                    </a:prstGeom>
                  </pic:spPr>
                </pic:pic>
              </a:graphicData>
            </a:graphic>
            <wp14:sizeRelH relativeFrom="margin">
              <wp14:pctWidth>0</wp14:pctWidth>
            </wp14:sizeRelH>
            <wp14:sizeRelV relativeFrom="margin">
              <wp14:pctHeight>0</wp14:pctHeight>
            </wp14:sizeRelV>
          </wp:anchor>
        </w:drawing>
      </w:r>
      <w:r w:rsidR="00F66EDD">
        <w:rPr>
          <w:noProof/>
        </w:rPr>
        <mc:AlternateContent>
          <mc:Choice Requires="wps">
            <w:drawing>
              <wp:anchor distT="0" distB="0" distL="114300" distR="114300" simplePos="0" relativeHeight="251736064" behindDoc="0" locked="0" layoutInCell="1" allowOverlap="1" wp14:anchorId="67AC0BC1" wp14:editId="6CB5241C">
                <wp:simplePos x="0" y="0"/>
                <wp:positionH relativeFrom="column">
                  <wp:posOffset>5445154</wp:posOffset>
                </wp:positionH>
                <wp:positionV relativeFrom="paragraph">
                  <wp:posOffset>9086215</wp:posOffset>
                </wp:positionV>
                <wp:extent cx="388189" cy="314361"/>
                <wp:effectExtent l="0" t="0" r="12065" b="28575"/>
                <wp:wrapNone/>
                <wp:docPr id="22" name="Rectangle 22"/>
                <wp:cNvGraphicFramePr/>
                <a:graphic xmlns:a="http://schemas.openxmlformats.org/drawingml/2006/main">
                  <a:graphicData uri="http://schemas.microsoft.com/office/word/2010/wordprocessingShape">
                    <wps:wsp>
                      <wps:cNvSpPr/>
                      <wps:spPr>
                        <a:xfrm>
                          <a:off x="0" y="0"/>
                          <a:ext cx="388189"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320EA3" id="Rectangle 22" o:spid="_x0000_s1026" style="position:absolute;margin-left:428.75pt;margin-top:715.45pt;width:30.55pt;height:24.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284kAIAAK0FAAAOAAAAZHJzL2Uyb0RvYy54bWysVEtv2zAMvg/YfxB0Xx0naZcGdYogRYcB&#10;RVv0gZ4VWYoFyKImKXGyXz9KfqTtih2K5aCIIvmR/Ezy4nJfa7ITziswBc1PRpQIw6FUZlPQ56fr&#10;bzNKfGCmZBqMKOhBeHq5+PrlorFzMYYKdCkcQRDj540taBWCnWeZ55WomT8BKwwqJbiaBRTdJisd&#10;axC91tl4NDrLGnCldcCF9/h61SrpIuFLKXi4k9KLQHRBMbeQTpfOdTyzxQWbbxyzleJdGuwTWdRM&#10;GQw6QF2xwMjWqb+gasUdeJDhhEOdgZSKi1QDVpOP3lXzWDErUi1IjrcDTf7/wfLb3b0jqizoeEyJ&#10;YTV+owdkjZmNFgTfkKDG+jnaPdp710ker7HavXR1/Mc6yD6RehhIFftAOD5OZrN8dk4JR9Ukn07O&#10;8oiZHZ2t8+GHgJrES0EdRk9Ust2ND61pbxJjedCqvFZaJyH2iVhpR3YMv/B604O/sdLmU46YY/TM&#10;Yv1txekWDlpEPG0ehETqsMZxSjg17TEZxrkwIW9VFStFm+PpCH8dBYNHIiQBRmSJ1Q3YHcDbQnvs&#10;lp7OPrqK1POD8+hfibXOg0eKDCYMzrUy4D4C0FhVF7m170lqqYksraE8YGM5aCfOW36t8PPeMB/u&#10;mcMRw2HEtRHu8JAamoJCd6OkAvf7o/doj52PWkoaHNmC+l9b5gQl+qfBmTjPp9M440mYnn4fo+Be&#10;a9avNWZbrwB7JscFZXm6Rvug+6t0UL/gdlnGqKhihmPsgvLgemEV2lWC+4mL5TKZ4VxbFm7Mo+UR&#10;PLIa2/dp/8Kc7Xo84HDcQj/ebP6u1Vvb6GlguQ0gVZqDI68d37gTUuN0+ysunddysjpu2cUfAAAA&#10;//8DAFBLAwQUAAYACAAAACEAd2Cg6uAAAAANAQAADwAAAGRycy9kb3ducmV2LnhtbEyPwU7DMAyG&#10;70i8Q2QkLoglhXVrS9MJIXEFMbjsljVeU9E4VZJ1hacnO7Gj/X/6/bnezHZgE/rQO5KQLQQwpNbp&#10;njoJX5+v9wWwEBVpNThCCT8YYNNcX9Wq0u5EHzhtY8dSCYVKSTAxjhXnoTVoVVi4ESllB+etimn0&#10;HddenVK5HfiDECtuVU/pglEjvhhsv7dHK6H8bd9j4cbcxH5XdjZ7O/jpTsrbm/n5CVjEOf7DcNZP&#10;6tAkp707kg5skFDk6zyhKVg+ihJYQsqsWAHbn1eFWAJvan75RfMHAAD//wMAUEsBAi0AFAAGAAgA&#10;AAAhALaDOJL+AAAA4QEAABMAAAAAAAAAAAAAAAAAAAAAAFtDb250ZW50X1R5cGVzXS54bWxQSwEC&#10;LQAUAAYACAAAACEAOP0h/9YAAACUAQAACwAAAAAAAAAAAAAAAAAvAQAAX3JlbHMvLnJlbHNQSwEC&#10;LQAUAAYACAAAACEA0KNvOJACAACtBQAADgAAAAAAAAAAAAAAAAAuAgAAZHJzL2Uyb0RvYy54bWxQ&#10;SwECLQAUAAYACAAAACEAd2Cg6uAAAAANAQAADwAAAAAAAAAAAAAAAADqBAAAZHJzL2Rvd25yZXYu&#10;eG1sUEsFBgAAAAAEAAQA8wAAAPcFAAAAAA==&#10;" fillcolor="white [3212]" strokecolor="white [3212]" strokeweight="2pt"/>
            </w:pict>
          </mc:Fallback>
        </mc:AlternateContent>
      </w:r>
      <w:r w:rsidR="005C650A">
        <w:rPr>
          <w:lang w:val="en-US"/>
        </w:rPr>
        <w:br w:type="page"/>
      </w:r>
    </w:p>
    <w:p w14:paraId="6F202DA8" w14:textId="47A555FA" w:rsidR="005C650A" w:rsidRDefault="007C31D8">
      <w:pPr>
        <w:spacing w:after="200" w:line="276" w:lineRule="auto"/>
        <w:jc w:val="left"/>
        <w:rPr>
          <w:lang w:val="en-US"/>
        </w:rPr>
      </w:pPr>
      <w:r w:rsidRPr="007C31D8">
        <w:rPr>
          <w:noProof/>
        </w:rPr>
        <w:lastRenderedPageBreak/>
        <w:drawing>
          <wp:anchor distT="0" distB="0" distL="114300" distR="114300" simplePos="0" relativeHeight="251757568" behindDoc="0" locked="0" layoutInCell="1" allowOverlap="1" wp14:anchorId="5E9D4085" wp14:editId="4D1C723F">
            <wp:simplePos x="0" y="0"/>
            <wp:positionH relativeFrom="column">
              <wp:posOffset>-141605</wp:posOffset>
            </wp:positionH>
            <wp:positionV relativeFrom="paragraph">
              <wp:posOffset>773240</wp:posOffset>
            </wp:positionV>
            <wp:extent cx="5363210" cy="8620760"/>
            <wp:effectExtent l="0" t="0" r="889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63210" cy="8620760"/>
                    </a:xfrm>
                    <a:prstGeom prst="rect">
                      <a:avLst/>
                    </a:prstGeom>
                  </pic:spPr>
                </pic:pic>
              </a:graphicData>
            </a:graphic>
          </wp:anchor>
        </w:drawing>
      </w:r>
      <w:r>
        <w:rPr>
          <w:noProof/>
        </w:rPr>
        <mc:AlternateContent>
          <mc:Choice Requires="wps">
            <w:drawing>
              <wp:anchor distT="0" distB="0" distL="114300" distR="114300" simplePos="0" relativeHeight="251759616" behindDoc="0" locked="0" layoutInCell="1" allowOverlap="1" wp14:anchorId="7D232382" wp14:editId="2CE03003">
                <wp:simplePos x="0" y="0"/>
                <wp:positionH relativeFrom="column">
                  <wp:posOffset>4830371</wp:posOffset>
                </wp:positionH>
                <wp:positionV relativeFrom="paragraph">
                  <wp:posOffset>9180756</wp:posOffset>
                </wp:positionV>
                <wp:extent cx="855023" cy="314361"/>
                <wp:effectExtent l="0" t="0" r="21590" b="28575"/>
                <wp:wrapNone/>
                <wp:docPr id="34" name="Rectangle 34"/>
                <wp:cNvGraphicFramePr/>
                <a:graphic xmlns:a="http://schemas.openxmlformats.org/drawingml/2006/main">
                  <a:graphicData uri="http://schemas.microsoft.com/office/word/2010/wordprocessingShape">
                    <wps:wsp>
                      <wps:cNvSpPr/>
                      <wps:spPr>
                        <a:xfrm>
                          <a:off x="0" y="0"/>
                          <a:ext cx="855023"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57910" id="Rectangle 34" o:spid="_x0000_s1026" style="position:absolute;margin-left:380.35pt;margin-top:722.9pt;width:67.3pt;height:24.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x2jwIAAK0FAAAOAAAAZHJzL2Uyb0RvYy54bWysVEtv2zAMvg/YfxB0X23n0XVBnSJo0WFA&#10;0RZth54VWYoFyKImKXGyXz9KfqTtih2K5aCIIvmR/Ezy/GLfaLITziswJS1OckqE4VApsynpz6fr&#10;L2eU+MBMxTQYUdKD8PRi+fnTeWsXYgI16Eo4giDGL1pb0joEu8gyz2vRMH8CVhhUSnANCyi6TVY5&#10;1iJ6o7NJnp9mLbjKOuDCe3y96pR0mfClFDzcSelFILqkmFtIp0vnOp7Z8pwtNo7ZWvE+DfaBLBqm&#10;DAYdoa5YYGTr1F9QjeIOPMhwwqHJQErFRaoBqynyN9U81syKVAuS4+1Ik/9/sPx2d++Iqko6nVFi&#10;WIPf6AFZY2ajBcE3JKi1foF2j/be9ZLHa6x2L10T/7EOsk+kHkZSxT4Qjo9n83k+mVLCUTUtZtPT&#10;ImJmR2frfPguoCHxUlKH0ROVbHfjQ2c6mMRYHrSqrpXWSYh9Ii61IzuGX3i9GcBfWWnzIUfMMXpm&#10;sf6u4nQLBy0injYPQiJ1WOMkJZya9pgM41yYUHSqmlWiy3Ge46+nYPRIhCTAiCyxuhG7B3hd6IDd&#10;0dPbR1eRen50zv+VWOc8eqTIYMLo3CgD7j0AjVX1kTv7gaSOmsjSGqoDNpaDbuK85dcKP+8N8+Ge&#10;ORwxHEZcG+EOD6mhLSn0N0pqcL/fe4/22PmopaTFkS2p/7VlTlCifxiciW/FbBZnPAmz+dcJCu6l&#10;Zv1SY7bNJWDPFLigLE/XaB/0cJUOmmfcLqsYFVXMcIxdUh7cIFyGbpXgfuJitUpmONeWhRvzaHkE&#10;j6zG9n3aPzNn+x4POBy3MIw3W7xp9c42ehpYbQNIlebgyGvPN+6E1Dj9/opL56WcrI5bdvkHAAD/&#10;/wMAUEsDBBQABgAIAAAAIQBMe/xB4AAAAA0BAAAPAAAAZHJzL2Rvd25yZXYueG1sTI9BT8MwDIXv&#10;SPyHyEhc0JYO1q0tTSeExBXE4LJb1nhNReNUTdYVfj3uCW6239Pz98rd5Dox4hBaTwpWywQEUu1N&#10;S42Cz4+XRQYiRE1Gd55QwTcG2FXXV6UujL/QO4772AgOoVBoBTbGvpAy1BadDkvfI7F28oPTkdeh&#10;kWbQFw53nbxPko10uiX+YHWPzxbrr/3ZKch/6reY+T61sT3kjVu9nobxTqnbm+npEUTEKf6ZYcZn&#10;dKiY6ejPZILoFGw3yZatLKzXKZdgS5anDyCO82meZFXK/y2qXwAAAP//AwBQSwECLQAUAAYACAAA&#10;ACEAtoM4kv4AAADhAQAAEwAAAAAAAAAAAAAAAAAAAAAAW0NvbnRlbnRfVHlwZXNdLnhtbFBLAQIt&#10;ABQABgAIAAAAIQA4/SH/1gAAAJQBAAALAAAAAAAAAAAAAAAAAC8BAABfcmVscy8ucmVsc1BLAQIt&#10;ABQABgAIAAAAIQAZTyx2jwIAAK0FAAAOAAAAAAAAAAAAAAAAAC4CAABkcnMvZTJvRG9jLnhtbFBL&#10;AQItABQABgAIAAAAIQBMe/xB4AAAAA0BAAAPAAAAAAAAAAAAAAAAAOkEAABkcnMvZG93bnJldi54&#10;bWxQSwUGAAAAAAQABADzAAAA9gUAAAAA&#10;" fillcolor="white [3212]" strokecolor="white [3212]" strokeweight="2pt"/>
            </w:pict>
          </mc:Fallback>
        </mc:AlternateContent>
      </w:r>
      <w:r w:rsidR="00D534A3">
        <w:rPr>
          <w:noProof/>
        </w:rPr>
        <mc:AlternateContent>
          <mc:Choice Requires="wps">
            <w:drawing>
              <wp:anchor distT="0" distB="0" distL="114300" distR="114300" simplePos="0" relativeHeight="251738112" behindDoc="0" locked="0" layoutInCell="1" allowOverlap="1" wp14:anchorId="4FA20AF2" wp14:editId="64FB3EB7">
                <wp:simplePos x="0" y="0"/>
                <wp:positionH relativeFrom="column">
                  <wp:posOffset>4829914</wp:posOffset>
                </wp:positionH>
                <wp:positionV relativeFrom="paragraph">
                  <wp:posOffset>8910955</wp:posOffset>
                </wp:positionV>
                <wp:extent cx="388189" cy="314361"/>
                <wp:effectExtent l="0" t="0" r="12065" b="28575"/>
                <wp:wrapNone/>
                <wp:docPr id="25" name="Rectangle 25"/>
                <wp:cNvGraphicFramePr/>
                <a:graphic xmlns:a="http://schemas.openxmlformats.org/drawingml/2006/main">
                  <a:graphicData uri="http://schemas.microsoft.com/office/word/2010/wordprocessingShape">
                    <wps:wsp>
                      <wps:cNvSpPr/>
                      <wps:spPr>
                        <a:xfrm>
                          <a:off x="0" y="0"/>
                          <a:ext cx="388189" cy="3143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8EADA" id="Rectangle 25" o:spid="_x0000_s1026" style="position:absolute;margin-left:380.3pt;margin-top:701.65pt;width:30.55pt;height:24.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6akAIAAK0FAAAOAAAAZHJzL2Uyb0RvYy54bWysVEtv2zAMvg/YfxB0Xx2naZcGcYqgRYcB&#10;RVv0gZ4VWYoFyKImKXGyXz9KfiTtih2K5aCIIvmR/ExyfrmrNdkK5xWYguYnI0qE4VAqsy7oy/PN&#10;tyklPjBTMg1GFHQvPL1cfP0yb+xMjKECXQpHEMT4WWMLWoVgZ1nmeSVq5k/ACoNKCa5mAUW3zkrH&#10;GkSvdTYejc6zBlxpHXDhPb5et0q6SPhSCh7upfQiEF1QzC2k06VzFc9sMWeztWO2UrxLg30ii5op&#10;g0EHqGsWGNk49RdUrbgDDzKccKgzkFJxkWrAavLRu2qeKmZFqgXJ8Xagyf8/WH63fXBElQUdn1Fi&#10;WI3f6BFZY2atBcE3JKixfoZ2T/bBdZLHa6x2J10d/7EOskuk7gdSxS4Qjo+n02k+vaCEo+o0n5ye&#10;5xEzOzhb58MPATWJl4I6jJ6oZNtbH1rT3iTG8qBVeaO0TkLsE3GlHdky/MKrdQ/+xkqbTzlijtEz&#10;i/W3Fadb2GsR8bR5FBKpwxrHKeHUtIdkGOfChLxVVawUbY5nI/x1FAweiZAEGJElVjdgdwBvC+2x&#10;W3o6++gqUs8PzqN/JdY6Dx4pMpgwONfKgPsIQGNVXeTWvieppSaytIJyj43loJ04b/mNws97y3x4&#10;YA5HDIcR10a4x0NqaAoK3Y2SCtzvj96jPXY+ailpcGQL6n9tmBOU6J8GZ+Iin0zijCdhcvZ9jII7&#10;1qyONWZTXwH2TI4LyvJ0jfZB91fpoH7F7bKMUVHFDMfYBeXB9cJVaFcJ7iculstkhnNtWbg1T5ZH&#10;8MhqbN/n3StztuvxgMNxB/14s9m7Vm9to6eB5SaAVGkODrx2fONOSI3T7a+4dI7lZHXYsos/AAAA&#10;//8DAFBLAwQUAAYACAAAACEAcbBAlOEAAAANAQAADwAAAGRycy9kb3ducmV2LnhtbEyPwU7DMAyG&#10;70i8Q2QkLogl7VjXlaYTQuIKYnDhljVeU9E4VZJ1hacnO7Gj/X/6/bneznZgE/rQO5KQLQQwpNbp&#10;njoJnx8v9yWwEBVpNThCCT8YYNtcX9Wq0u5E7zjtYsdSCYVKSTAxjhXnoTVoVVi4ESllB+etimn0&#10;HddenVK5HXguRMGt6ildMGrEZ4Pt9+5oJWx+27dYunFlYv+16Wz2evDTnZS3N/PTI7CIc/yH4ayf&#10;1KFJTnt3JB3YIGFdiCKhKXgQyyWwhJR5tga2P69WeQm8qfnlF80fAAAA//8DAFBLAQItABQABgAI&#10;AAAAIQC2gziS/gAAAOEBAAATAAAAAAAAAAAAAAAAAAAAAABbQ29udGVudF9UeXBlc10ueG1sUEsB&#10;Ai0AFAAGAAgAAAAhADj9If/WAAAAlAEAAAsAAAAAAAAAAAAAAAAALwEAAF9yZWxzLy5yZWxzUEsB&#10;Ai0AFAAGAAgAAAAhALbxLpqQAgAArQUAAA4AAAAAAAAAAAAAAAAALgIAAGRycy9lMm9Eb2MueG1s&#10;UEsBAi0AFAAGAAgAAAAhAHGwQJThAAAADQEAAA8AAAAAAAAAAAAAAAAA6gQAAGRycy9kb3ducmV2&#10;LnhtbFBLBQYAAAAABAAEAPMAAAD4BQAAAAA=&#10;" fillcolor="white [3212]" strokecolor="white [3212]" strokeweight="2pt"/>
            </w:pict>
          </mc:Fallback>
        </mc:AlternateContent>
      </w:r>
      <w:r w:rsidR="005C650A">
        <w:rPr>
          <w:lang w:val="en-US"/>
        </w:rPr>
        <w:br w:type="page"/>
      </w:r>
    </w:p>
    <w:p w14:paraId="356C70FF" w14:textId="2E5ACD96" w:rsidR="005C650A" w:rsidRDefault="00147092">
      <w:pPr>
        <w:spacing w:after="200" w:line="276" w:lineRule="auto"/>
        <w:jc w:val="left"/>
        <w:rPr>
          <w:lang w:val="en-US"/>
        </w:rPr>
      </w:pPr>
      <w:r>
        <w:rPr>
          <w:noProof/>
        </w:rPr>
        <w:lastRenderedPageBreak/>
        <mc:AlternateContent>
          <mc:Choice Requires="wps">
            <w:drawing>
              <wp:anchor distT="0" distB="0" distL="114300" distR="114300" simplePos="0" relativeHeight="251763712" behindDoc="0" locked="0" layoutInCell="1" allowOverlap="1" wp14:anchorId="6C8DC6E3" wp14:editId="030B4194">
                <wp:simplePos x="0" y="0"/>
                <wp:positionH relativeFrom="column">
                  <wp:posOffset>-402170</wp:posOffset>
                </wp:positionH>
                <wp:positionV relativeFrom="paragraph">
                  <wp:posOffset>8986941</wp:posOffset>
                </wp:positionV>
                <wp:extent cx="760021" cy="450173"/>
                <wp:effectExtent l="0" t="0" r="21590" b="26670"/>
                <wp:wrapNone/>
                <wp:docPr id="37" name="Rectangle 37"/>
                <wp:cNvGraphicFramePr/>
                <a:graphic xmlns:a="http://schemas.openxmlformats.org/drawingml/2006/main">
                  <a:graphicData uri="http://schemas.microsoft.com/office/word/2010/wordprocessingShape">
                    <wps:wsp>
                      <wps:cNvSpPr/>
                      <wps:spPr>
                        <a:xfrm flipH="1">
                          <a:off x="0" y="0"/>
                          <a:ext cx="760021" cy="4501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18CBD" id="Rectangle 37" o:spid="_x0000_s1026" style="position:absolute;margin-left:-31.65pt;margin-top:707.65pt;width:59.85pt;height:35.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5RmAIAALcFAAAOAAAAZHJzL2Uyb0RvYy54bWysVFFP2zAQfp+0/2D5fSQthW4VKapAbJMQ&#10;IGDi2XXsxpLj82y3affrd7aTwBjaA1oeojvf3ee7z3d3dr5vNdkJ5xWYik6OSkqE4VArs6noj8er&#10;T58p8YGZmmkwoqIH4en58uOHs84uxBQa0LVwBEGMX3S2ok0IdlEUnjeiZf4IrDBolOBaFlB1m6J2&#10;rEP0VhfTsjwtOnC1dcCF93h6mY10mfClFDzcSulFILqimFtIf5f+6/gvlmdssXHMNor3abB3ZNEy&#10;ZfDSEeqSBUa2Tv0F1SruwIMMRxzaAqRUXKQasJpJ+aqah4ZZkWpBcrwdafL/D5bf7O4cUXVFj+eU&#10;GNbiG90ja8xstCB4hgR11i/Q78HeuV7zKMZq99K1RGplv+Hbp/qxIrJP9B5GesU+EI6H89OynE4o&#10;4WianZST+XFELzJMhLPOh68CWhKFijrMI4Gy3bUP2XVwie4etKqvlNZJiR0jLrQjO4Zvvd5MevA/&#10;vLR5VyDmGCOLyESuPUnhoEXE0+ZeSCQRa5ymhFP7PifDOBcmZIJ8w2qRczwp8RuyHNJPhCTAiCyx&#10;uhG7Bxg8M8iAnenp/WOoSN0/Bpf/SiwHjxHpZjBhDG6VAfcWgMaq+puz/0BSpiaytIb6gC3mIM+e&#10;t/xK4fNeMx/umMNhw7HEBRJu8Sc1dBWFXqKkAffrrfPojzOAVko6HN6K+p9b5gQl+rvB6fgymc3i&#10;tCdldjKfouJeWtYvLWbbXgD2DLYmZpfE6B/0IEoH7RPumVW8FU3McLy7ojy4QbkIeangpuJitUpu&#10;OOGWhWvzYPkwHrF9H/dPzNm+xwMOxw0Mg84Wr1o9+8b3MLDaBpAqzcEzrz3fuB1S4/SbLK6fl3ry&#10;et63y98AAAD//wMAUEsDBBQABgAIAAAAIQCqRN2j4gAAAAwBAAAPAAAAZHJzL2Rvd25yZXYueG1s&#10;TI9PT8JAEMXvJn6HzZh4g22hrFi7JY2JJ2IE5MBx6Y5tdf803QWqn97hpLeZeS9vfq9YjdawMw6h&#10;805COk2Aoau97lwjYf/+MlkCC1E5rYx3KOEbA6zK25tC5dpf3BbPu9gwCnEhVxLaGPuc81C3aFWY&#10;+h4daR9+sCrSOjRcD+pC4dbwWZIIblXn6EOrenxusf7anayEw1uVbRJMH9ZVY8T6c/tapT+PUt7f&#10;jdUTsIhj/DPDFZ/QoSSmoz85HZiRMBHzOVlJyNIFTWRZiAzY8XpZihnwsuD/S5S/AAAA//8DAFBL&#10;AQItABQABgAIAAAAIQC2gziS/gAAAOEBAAATAAAAAAAAAAAAAAAAAAAAAABbQ29udGVudF9UeXBl&#10;c10ueG1sUEsBAi0AFAAGAAgAAAAhADj9If/WAAAAlAEAAAsAAAAAAAAAAAAAAAAALwEAAF9yZWxz&#10;Ly5yZWxzUEsBAi0AFAAGAAgAAAAhAEZNDlGYAgAAtwUAAA4AAAAAAAAAAAAAAAAALgIAAGRycy9l&#10;Mm9Eb2MueG1sUEsBAi0AFAAGAAgAAAAhAKpE3aPiAAAADAEAAA8AAAAAAAAAAAAAAAAA8gQAAGRy&#10;cy9kb3ducmV2LnhtbFBLBQYAAAAABAAEAPMAAAABBgAAAAA=&#10;" fillcolor="white [3212]" strokecolor="white [3212]" strokeweight="2pt"/>
            </w:pict>
          </mc:Fallback>
        </mc:AlternateContent>
      </w:r>
      <w:r>
        <w:rPr>
          <w:noProof/>
        </w:rPr>
        <mc:AlternateContent>
          <mc:Choice Requires="wps">
            <w:drawing>
              <wp:anchor distT="0" distB="0" distL="114300" distR="114300" simplePos="0" relativeHeight="251761664" behindDoc="0" locked="0" layoutInCell="1" allowOverlap="1" wp14:anchorId="4B364ACD" wp14:editId="74EC4CF1">
                <wp:simplePos x="0" y="0"/>
                <wp:positionH relativeFrom="column">
                  <wp:posOffset>5122084</wp:posOffset>
                </wp:positionH>
                <wp:positionV relativeFrom="paragraph">
                  <wp:posOffset>9218163</wp:posOffset>
                </wp:positionV>
                <wp:extent cx="760021" cy="450173"/>
                <wp:effectExtent l="0" t="0" r="21590" b="26670"/>
                <wp:wrapNone/>
                <wp:docPr id="30" name="Rectangle 30"/>
                <wp:cNvGraphicFramePr/>
                <a:graphic xmlns:a="http://schemas.openxmlformats.org/drawingml/2006/main">
                  <a:graphicData uri="http://schemas.microsoft.com/office/word/2010/wordprocessingShape">
                    <wps:wsp>
                      <wps:cNvSpPr/>
                      <wps:spPr>
                        <a:xfrm flipH="1">
                          <a:off x="0" y="0"/>
                          <a:ext cx="760021" cy="4501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D2BE8" id="Rectangle 30" o:spid="_x0000_s1026" style="position:absolute;margin-left:403.3pt;margin-top:725.85pt;width:59.85pt;height:35.4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DklwIAALcFAAAOAAAAZHJzL2Uyb0RvYy54bWysVFFP2zAQfp+0/2D5fSQtBbaKFFUgtkkI&#10;KmDi2XXsxpLj82y3affrd7aTwBjaA1oeojvf3ee7z3d3frFvNdkJ5xWYik6OSkqE4VArs6noj8fr&#10;T58p8YGZmmkwoqIH4enF4uOH887OxRQa0LVwBEGMn3e2ok0Idl4UnjeiZf4IrDBolOBaFlB1m6J2&#10;rEP0VhfTsjwtOnC1dcCF93h6lY10kfClFDzcSelFILqimFtIf5f+6/gvFudsvnHMNor3abB3ZNEy&#10;ZfDSEeqKBUa2Tv0F1SruwIMMRxzaAqRUXKQasJpJ+aqah4ZZkWpBcrwdafL/D5bf7laOqLqix0iP&#10;YS2+0T2yxsxGC4JnSFBn/Rz9HuzK9ZpHMVa7l64lUiv7Dd8+1Y8VkX2i9zDSK/aBcDw8Oy3L6YQS&#10;jqbZSTk5O47oRYaJcNb58FVAS6JQUYd5JFC2u/Ehuw4u0d2DVvW10jopsWPEpXZkx/Ct15tJD/6H&#10;lzbvCsQcY2QRmci1JykctIh42twLiSRijdOUcGrf52QY58KETJBvWC1yjiclfkOWQ/qJkAQYkSVW&#10;N2L3AINnBhmwMz29fwwVqfvH4PJfieXgMSLdDCaMwa0y4N4C0FhVf3P2H0jK1ESW1lAfsMUc5Nnz&#10;ll8rfN4b5sOKORw27DtcIOEOf1JDV1HoJUoacL/eOo/+OANopaTD4a2o/7llTlCivxucji+T2SxO&#10;e1JmJ2dTVNxLy/qlxWzbS8CewdbE7JIY/YMeROmgfcI9s4y3ookZjndXlAc3KJchLxXcVFwsl8kN&#10;J9yycGMeLB/GI7bv4/6JOdv3eMDhuIVh0Nn8Vatn3/geBpbbAFKlOXjmtecbt0NqnH6TxfXzUk9e&#10;z/t28RsAAP//AwBQSwMEFAAGAAgAAAAhAF9ElW/iAAAADQEAAA8AAABkcnMvZG93bnJldi54bWxM&#10;j8tOwzAQRfdI/IM1SOyondC6bYhTRUisKgQtLFi68ZAE/Ihitw18PcMKljP36M6ZcjM5y044xj54&#10;BdlMAEPfBNP7VsHry8PNClhM2httg0cFXxhhU11elLow4ex3eNqnllGJj4VW0KU0FJzHpkOn4ywM&#10;6Cl7D6PTicax5WbUZyp3ludCSO507+lCpwe877D53B+dgrenev4sMFtu69bK7cfusc6+10pdX031&#10;HbCEU/qD4Vef1KEip0M4ehOZVbASUhJKwXyRLYERss7lLbADrRZ5LoFXJf//RfUDAAD//wMAUEsB&#10;Ai0AFAAGAAgAAAAhALaDOJL+AAAA4QEAABMAAAAAAAAAAAAAAAAAAAAAAFtDb250ZW50X1R5cGVz&#10;XS54bWxQSwECLQAUAAYACAAAACEAOP0h/9YAAACUAQAACwAAAAAAAAAAAAAAAAAvAQAAX3JlbHMv&#10;LnJlbHNQSwECLQAUAAYACAAAACEAtVBQ5JcCAAC3BQAADgAAAAAAAAAAAAAAAAAuAgAAZHJzL2Uy&#10;b0RvYy54bWxQSwECLQAUAAYACAAAACEAX0SVb+IAAAANAQAADwAAAAAAAAAAAAAAAADxBAAAZHJz&#10;L2Rvd25yZXYueG1sUEsFBgAAAAAEAAQA8wAAAAAGAAAAAA==&#10;" fillcolor="white [3212]" strokecolor="white [3212]" strokeweight="2pt"/>
            </w:pict>
          </mc:Fallback>
        </mc:AlternateContent>
      </w:r>
      <w:r w:rsidRPr="00147092">
        <w:rPr>
          <w:noProof/>
        </w:rPr>
        <w:drawing>
          <wp:anchor distT="0" distB="0" distL="114300" distR="114300" simplePos="0" relativeHeight="251760640" behindDoc="0" locked="0" layoutInCell="1" allowOverlap="1" wp14:anchorId="744B352B" wp14:editId="148B78A7">
            <wp:simplePos x="0" y="0"/>
            <wp:positionH relativeFrom="column">
              <wp:posOffset>359410</wp:posOffset>
            </wp:positionH>
            <wp:positionV relativeFrom="paragraph">
              <wp:posOffset>763196</wp:posOffset>
            </wp:positionV>
            <wp:extent cx="5353797" cy="8640381"/>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53797" cy="8640381"/>
                    </a:xfrm>
                    <a:prstGeom prst="rect">
                      <a:avLst/>
                    </a:prstGeom>
                  </pic:spPr>
                </pic:pic>
              </a:graphicData>
            </a:graphic>
          </wp:anchor>
        </w:drawing>
      </w:r>
      <w:r w:rsidR="005C650A">
        <w:rPr>
          <w:lang w:val="en-US"/>
        </w:rPr>
        <w:br w:type="page"/>
      </w:r>
    </w:p>
    <w:p w14:paraId="23136C28" w14:textId="17282889" w:rsidR="002E5F16" w:rsidRDefault="002E5F16" w:rsidP="002E5F16">
      <w:pPr>
        <w:rPr>
          <w:lang w:val="en-US"/>
        </w:rPr>
      </w:pPr>
    </w:p>
    <w:p w14:paraId="670B0706" w14:textId="77777777" w:rsidR="002E5F16" w:rsidRDefault="002E5F16" w:rsidP="002E5F16">
      <w:pPr>
        <w:rPr>
          <w:lang w:val="en-US"/>
        </w:rPr>
      </w:pPr>
    </w:p>
    <w:p w14:paraId="2D195E34" w14:textId="5A66A85B" w:rsidR="00416EEB" w:rsidRPr="00A349FB" w:rsidRDefault="00875BA3" w:rsidP="002E5F16">
      <w:pPr>
        <w:rPr>
          <w:lang w:val="en-US"/>
        </w:rPr>
      </w:pPr>
      <w:r>
        <w:rPr>
          <w:noProof/>
        </w:rPr>
        <mc:AlternateContent>
          <mc:Choice Requires="wps">
            <w:drawing>
              <wp:anchor distT="0" distB="0" distL="114300" distR="114300" simplePos="0" relativeHeight="251703296" behindDoc="0" locked="0" layoutInCell="1" allowOverlap="1" wp14:anchorId="122F2505" wp14:editId="0C285C20">
                <wp:simplePos x="0" y="0"/>
                <wp:positionH relativeFrom="column">
                  <wp:posOffset>4949825</wp:posOffset>
                </wp:positionH>
                <wp:positionV relativeFrom="paragraph">
                  <wp:posOffset>8958580</wp:posOffset>
                </wp:positionV>
                <wp:extent cx="297815" cy="33274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035C8" id="Rectangle 21" o:spid="_x0000_s1026" style="position:absolute;margin-left:389.75pt;margin-top:705.4pt;width:23.45pt;height:2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hqoAIAAJ4FAAAOAAAAZHJzL2Uyb0RvYy54bWysVN9PGzEMfp+0/yHK+7i2wIATV1SBmCZV&#10;gICJZzeX9E7LxVmS9tr99XNyP+gY2sO0e4jOsf3Z/mL78mrXaLaVztdoCj49mnAmjcCyNuuCf3u+&#10;/XTOmQ9gStBoZMH30vOr+ccPl63N5Qwr1KV0jECMz1tb8CoEm2eZF5VswB+hlYaUCl0DgUS3zkoH&#10;LaE3OptNJp+zFl1pHQrpPd3edEo+T/hKSRHulfIyMF1wyi2k06VzFc9sfgn52oGtatGnAf+QRQO1&#10;oaAj1A0EYBtX/wHV1MKhRxWOBDYZKlULmWqgaqaTN9U8VWBlqoXI8Xakyf8/WHG3fXCsLgs+m3Jm&#10;oKE3eiTWwKy1ZHRHBLXW52T3ZB9cLNHbJYrvnhTZb5oo+N5mp1wTbalAtkts70e25S4wQZezi7Pz&#10;6SlnglTHx7Ozk/QaGeSDs3U+fJHYsPhTcEdpJY5hu/Qhhod8MEl5oa7L21rrJMQGktfasS3Q06/W&#10;qRLy8IdW2kRbg9GrA4w3qayuklRT2GsZ7bR5lIq4irmnRFKXvgYBIaQJ005VQSm72KcT+iKPMfqQ&#10;VpISYERWFH/E7gEGyw5kwO5gevvoKlOTj86TvyXWOY8eKTKaMDo3tUH3HoCmqvrInf1AUkdNZGmF&#10;5Z46yWE3Yt6K25qebQk+PICjmaLpoz0R7ulQGtuCY//HWYXu53v30Z5anbSctTSjBfc/NuAkZ/qr&#10;oSG4mJ5Q07CQhJPTsxkJ7lCzOtSYTXON1AvU55Rd+o32QQ+/ymHzQutkEaOSCoyg2AUXwQ3Cdeh2&#10;By0kIReLZEaDbCEszZMVETyyGtvyefcCzva9G6jp73CYZ8jftHBnGz0NLjYBVZ36+5XXnm9aAqlx&#10;+oUVt8yhnKxe1+r8FwAAAP//AwBQSwMEFAAGAAgAAAAhAD9E8+XhAAAADQEAAA8AAABkcnMvZG93&#10;bnJldi54bWxMj8FOwzAQRO9I/IO1SNyo3bRJSohTIQQV5UbbcHZjk0TE6xA7bfh7tic47szT7Ey+&#10;nmzHTmbwrUMJ85kAZrByusVawmH/crcC5oNCrTqHRsKP8bAurq9ylWl3xndz2oWaUQj6TEloQugz&#10;zn3VGKv8zPUGyft0g1WBzqHmelBnCrcdj4RIuFUt0odG9eapMdXXbrQSxjjdPk8f35tFKcr0rezi&#10;17Dppby9mR4fgAUzhT8YLvWpOhTU6ehG1J51EtL0PiaUjOVc0AhCVlGyBHa8SMkiAl7k/P+K4hcA&#10;AP//AwBQSwECLQAUAAYACAAAACEAtoM4kv4AAADhAQAAEwAAAAAAAAAAAAAAAAAAAAAAW0NvbnRl&#10;bnRfVHlwZXNdLnhtbFBLAQItABQABgAIAAAAIQA4/SH/1gAAAJQBAAALAAAAAAAAAAAAAAAAAC8B&#10;AABfcmVscy8ucmVsc1BLAQItABQABgAIAAAAIQAvIShqoAIAAJ4FAAAOAAAAAAAAAAAAAAAAAC4C&#10;AABkcnMvZTJvRG9jLnhtbFBLAQItABQABgAIAAAAIQA/RPPl4QAAAA0BAAAPAAAAAAAAAAAAAAAA&#10;APoEAABkcnMvZG93bnJldi54bWxQSwUGAAAAAAQABADzAAAACAYAAAAA&#10;" fillcolor="white [3212]" stroked="f" strokeweight="2pt"/>
            </w:pict>
          </mc:Fallback>
        </mc:AlternateContent>
      </w:r>
      <w:r>
        <w:rPr>
          <w:noProof/>
        </w:rPr>
        <mc:AlternateContent>
          <mc:Choice Requires="wps">
            <w:drawing>
              <wp:anchor distT="0" distB="0" distL="114300" distR="114300" simplePos="0" relativeHeight="251684864" behindDoc="0" locked="0" layoutInCell="1" allowOverlap="1" wp14:anchorId="35ABF5AD" wp14:editId="0E1A6F0C">
                <wp:simplePos x="0" y="0"/>
                <wp:positionH relativeFrom="column">
                  <wp:posOffset>4963795</wp:posOffset>
                </wp:positionH>
                <wp:positionV relativeFrom="paragraph">
                  <wp:posOffset>8756650</wp:posOffset>
                </wp:positionV>
                <wp:extent cx="297815" cy="33274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7E523" id="Rectangle 8" o:spid="_x0000_s1026" style="position:absolute;margin-left:390.85pt;margin-top:689.5pt;width:23.45pt;height:2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4ngIAAJwFAAAOAAAAZHJzL2Uyb0RvYy54bWysVEtPGzEQvlfqf7B8L5sEKLBigyIQVaUI&#10;EFBxnnjt7Kpej2s72aS/vmPvg5SiHqruwdrxfPP6PDOXV7tGs610vkZT8OnRhDNpBJa1WRf82/Pt&#10;p3POfABTgkYjC76Xnl/NP364bG0uZ1ihLqVj5MT4vLUFr0KweZZ5UckG/BFaaUip0DUQSHTrrHTQ&#10;kvdGZ7PJ5HPWoiutQyG9p9ubTsnnyb9SUoR7pbwMTBeccgvpdOlcxTObX0K+dmCrWvRpwD9k0UBt&#10;KOjo6gYCsI2r/3DV1MKhRxWOBDYZKlULmWqgaqaTN9U8VWBlqoXI8Xakyf8/t+Ju++BYXRacHspA&#10;Q0/0SKSBWWvJziM9rfU5oZ7sg4sFertE8d2TIvtNEwXfY3bKNRFL5bFd4no/ci13gQm6nF2cnU9P&#10;OROkOj6enZ2kt8ggH4yt8+GLxIbFn4I7yioxDNulDzE85AMk5YW6Lm9rrZMQ20dea8e2QA+/Wk9j&#10;JWThD1HaRKzBaNWp400qq6sk1RT2WkacNo9SEVMx95RI6tHXICCENGHaqSooZRf7dELfEH1IK+WS&#10;HEbPiuKPvnsHA7JzMvjusuzx0VSmFh+NJ39LrDMeLVJkNGE0bmqD7j0HmqrqI3f4gaSOmsjSCss9&#10;9ZHDbsC8Fbc1PdsSfHgARxNFs0dbItzToTS2Bcf+j7MK3c/37iOeGp20nLU0oQX3PzbgJGf6q6ER&#10;uJieUNOwkIST07MZCe5QszrUmE1zjdQLU9pHVqTfiA96+FUOmxdaJosYlVRgBMUuuAhuEK5Dtzlo&#10;HQm5WCQYjbGFsDRPVkTnkdXYls+7F3C2791ATX+HwzRD/qaFO2y0NLjYBFR16u9XXnu+aQWkxunX&#10;Vdwxh3JCvS7V+S8AAAD//wMAUEsDBBQABgAIAAAAIQABSRkC4QAAAA0BAAAPAAAAZHJzL2Rvd25y&#10;ZXYueG1sTI/BTsMwEETvSPyDtUjcqJOmrUOIUyEEFXCjEM5ubJIIex1ipw1/z3KC4848zc6U29lZ&#10;djRj6D1KSBcJMION1z22Et5eH65yYCEq1Mp6NBK+TYBtdX5WqkL7E76Y4z62jEIwFEpCF+NQcB6a&#10;zjgVFn4wSN6HH52KdI4t16M6UbizfJkkG+5Uj/ShU4O560zzuZ+chGktnu7n969dVie1eK7t+jHu&#10;BikvL+bbG2DRzPEPht/6VB0q6nTwE+rArASRp4JQMjJxTasIyZf5BtiBpFWWroBXJf+/ovoBAAD/&#10;/wMAUEsBAi0AFAAGAAgAAAAhALaDOJL+AAAA4QEAABMAAAAAAAAAAAAAAAAAAAAAAFtDb250ZW50&#10;X1R5cGVzXS54bWxQSwECLQAUAAYACAAAACEAOP0h/9YAAACUAQAACwAAAAAAAAAAAAAAAAAvAQAA&#10;X3JlbHMvLnJlbHNQSwECLQAUAAYACAAAACEAY5Pz+J4CAACcBQAADgAAAAAAAAAAAAAAAAAuAgAA&#10;ZHJzL2Uyb0RvYy54bWxQSwECLQAUAAYACAAAACEAAUkZAuEAAAANAQAADwAAAAAAAAAAAAAAAAD4&#10;BAAAZHJzL2Rvd25yZXYueG1sUEsFBgAAAAAEAAQA8wAAAAYGAAAAAA==&#10;" fillcolor="white [3212]" stroked="f" strokeweight="2pt"/>
            </w:pict>
          </mc:Fallback>
        </mc:AlternateContent>
      </w:r>
      <w:r>
        <w:rPr>
          <w:noProof/>
        </w:rPr>
        <mc:AlternateContent>
          <mc:Choice Requires="wps">
            <w:drawing>
              <wp:anchor distT="0" distB="0" distL="114300" distR="114300" simplePos="0" relativeHeight="251706368" behindDoc="0" locked="0" layoutInCell="1" allowOverlap="1" wp14:anchorId="20FCC4EB" wp14:editId="31C380FC">
                <wp:simplePos x="0" y="0"/>
                <wp:positionH relativeFrom="column">
                  <wp:posOffset>5358765</wp:posOffset>
                </wp:positionH>
                <wp:positionV relativeFrom="paragraph">
                  <wp:posOffset>8905875</wp:posOffset>
                </wp:positionV>
                <wp:extent cx="297815" cy="33274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EA8451" id="Rectangle 23" o:spid="_x0000_s1026" style="position:absolute;margin-left:421.95pt;margin-top:701.25pt;width:23.45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B0oAIAAJ4FAAAOAAAAZHJzL2Uyb0RvYy54bWysVEtPGzEQvlfqf7B8L5sEKLBigyIQVaUI&#10;EFBxnnjt7Kpej2s72aS/vmPvg5SiHqruwdrxfPPNwzNzebVrNNtK52s0BZ8eTTiTRmBZm3XBvz3f&#10;fjrnzAcwJWg0suB76fnV/OOHy9bmcoYV6lI6RiTG560teBWCzbPMi0o24I/QSkNKha6BQKJbZ6WD&#10;ltgbnc0mk89Zi660DoX0nm5vOiWfJ36lpAj3SnkZmC44xRbS6dK5imc2v4R87cBWtejDgH+IooHa&#10;kNOR6gYCsI2r/6BqauHQowpHApsMlaqFTDlQNtPJm2yeKrAy5ULF8XYsk/9/tOJu++BYXRZ8dsyZ&#10;gYbe6JGqBmatJaM7KlBrfU64J/vgYoreLlF896TIftNEwfeYnXJNxFKCbJeqvR+rLXeBCbqcXZyd&#10;T085E6Q6Pp6dnaTXyCAfjK3z4YvEhsWfgjsKK9UYtksfonvIB0iKC3Vd3tZaJyE2kLzWjm2Bnn61&#10;nsZMyMIforSJWIPRqlPHm5RWl0nKKey1jDhtHqWiWsXYUyCpS1+dgBDShGmnqqCUne/TCX2D9yGs&#10;FEsijMyK/I/cPcGA7EgG7i7KHh9NZWry0Xjyt8A649EieUYTRuOmNujeI9CUVe+5ww9F6koTq7TC&#10;ck+d5LAbMW/FbU3PtgQfHsDRTNH00Z4I93QojW3Bsf/jrEL38737iKdWJy1nLc1owf2PDTjJmf5q&#10;aAgupifUNCwk4eT0bEaCO9SsDjVm01wj9cKUNpIV6Tfigx5+lcPmhdbJInolFRhBvgsughuE69Dt&#10;DlpIQi4WCUaDbCEszZMVkTxWNbbl8+4FnO17N1DT3+Ewz5C/aeEOGy0NLjYBVZ36+7Wufb1pCaTG&#10;6RdW3DKHckK9rtX5LwAAAP//AwBQSwMEFAAGAAgAAAAhAOyP4p3hAAAADQEAAA8AAABkcnMvZG93&#10;bnJldi54bWxMj8FOwzAQRO9I/IO1SNyoTZvQJMSpEIIKuFEIZzc2SYS9DrHThr9ne4LjzjzNzpSb&#10;2Vl2MGPoPUq4XghgBhuve2wlvL89XmXAQlSolfVoJPyYAJvq/KxUhfZHfDWHXWwZhWAolIQuxqHg&#10;PDSdcSos/GCQvE8/OhXpHFuuR3WkcGf5Uogb7lSP9KFTg7nvTPO1m5yEKV0/P8wf39tVLer1S23T&#10;p7gdpLy8mO9ugUUzxz8YTvWpOlTUae8n1IFZCVmyygklIxHLFBghWS5ozf4kpUkOvCr5/xXVLwAA&#10;AP//AwBQSwECLQAUAAYACAAAACEAtoM4kv4AAADhAQAAEwAAAAAAAAAAAAAAAAAAAAAAW0NvbnRl&#10;bnRfVHlwZXNdLnhtbFBLAQItABQABgAIAAAAIQA4/SH/1gAAAJQBAAALAAAAAAAAAAAAAAAAAC8B&#10;AABfcmVscy8ucmVsc1BLAQItABQABgAIAAAAIQA7AIB0oAIAAJ4FAAAOAAAAAAAAAAAAAAAAAC4C&#10;AABkcnMvZTJvRG9jLnhtbFBLAQItABQABgAIAAAAIQDsj+Kd4QAAAA0BAAAPAAAAAAAAAAAAAAAA&#10;APoEAABkcnMvZG93bnJldi54bWxQSwUGAAAAAAQABADzAAAACAYAAAAA&#10;" fillcolor="white [3212]" stroked="f" strokeweight="2pt"/>
            </w:pict>
          </mc:Fallback>
        </mc:AlternateContent>
      </w:r>
      <w:r>
        <w:rPr>
          <w:noProof/>
        </w:rPr>
        <mc:AlternateContent>
          <mc:Choice Requires="wps">
            <w:drawing>
              <wp:anchor distT="0" distB="0" distL="114300" distR="114300" simplePos="0" relativeHeight="251687936" behindDoc="0" locked="0" layoutInCell="1" allowOverlap="1" wp14:anchorId="1C1B2166" wp14:editId="02181ED5">
                <wp:simplePos x="0" y="0"/>
                <wp:positionH relativeFrom="column">
                  <wp:posOffset>5418455</wp:posOffset>
                </wp:positionH>
                <wp:positionV relativeFrom="paragraph">
                  <wp:posOffset>8749665</wp:posOffset>
                </wp:positionV>
                <wp:extent cx="297815" cy="33274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34763" id="Rectangle 10" o:spid="_x0000_s1026" style="position:absolute;margin-left:426.65pt;margin-top:688.95pt;width:23.45pt;height:2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pynwIAAJ4FAAAOAAAAZHJzL2Uyb0RvYy54bWysVFFP2zAQfp+0/2D5faQpMCAiRRWIaVIF&#10;CJh4vjp2E83xebbbtPv1OztJ6Rjaw7Q8WLHvu+/uPp/v8mrbaraRzjdoSp4fTTiTRmDVmFXJvz3f&#10;fjrnzAcwFWg0suQ76fnV7OOHy84Wcoo16ko6RiTGF50teR2CLbLMi1q24I/QSkNGha6FQFu3yioH&#10;HbG3OptOJp+zDl1lHQrpPZ3e9EY+S/xKSRHulfIyMF1yyi2k1aV1GddsdgnFyoGtGzGkAf+QRQuN&#10;oaB7qhsIwNau+YOqbYRDjyocCWwzVKoRMtVA1eSTN9U81WBlqoXE8XYvk/9/tOJu8+BYU9HdkTwG&#10;WrqjR1INzEpLRmckUGd9Qbgn++Biid4uUHz3ZMh+s8SNHzBb5dqIpQLZNqm926stt4EJOpxenJ3n&#10;p5wJMh0fT89OUrAMitHZOh++SGxZ/Cm5o7SSxrBZ+BDDQzFCUl6om+q20TptYgPJa+3YBujql6s8&#10;VkIe/hClTcQajF69OZ6ksvpKUk1hp2XEafMoFWkVc0+JpC59DQJCSBPy3lRDJfvYpxP6xuhjWimX&#10;RBiZFcXfcw8EI7InGbn7LAd8dJWpyffOk78l1jvvPVJkNGHv3DYG3XsEmqoaIvf4UaRemqjSEqsd&#10;dZLD/ol5K24burYF+PAAjt4UtRfNiXBPi9LYlRyHP85qdD/fO494anWyctbRGy25/7EGJznTXw09&#10;gov8hJqGhbQ5OT2b0sYdWpaHFrNur5F6IaeJZEX6jfigx1/lsH2hcTKPUckERlDskovgxs116GcH&#10;DSQh5/MEo4dsISzMkxWRPKoa2/J5+wLODr0bqOnvcHzPULxp4R4bPQ3O1wFVk/r7VddBbxoCqXGG&#10;gRWnzOE+oV7H6uwXAAAA//8DAFBLAwQUAAYACAAAACEAlCifPeAAAAANAQAADwAAAGRycy9kb3du&#10;cmV2LnhtbEyPy07DMBBF90j8gzVI7KhNTUgb4lQIQQXsKIS1Gw9JhB8hdtrw9wwrWM7coztnys3s&#10;LDvgGPvgFVwuBDD0TTC9bxW8vT5crIDFpL3RNnhU8I0RNtXpSakLE47+BQ+71DIq8bHQCrqUhoLz&#10;2HTodFyEAT1lH2F0OtE4ttyM+kjlzvKlENfc6d7ThU4PeNdh87mbnIIpy5/u5/evraxFnT/XNntM&#10;20Gp87P59gZYwjn9wfCrT+pQkdM+TN5EZhWsMikJpUDm+RoYIWshlsD2tLqSQgKvSv7/i+oHAAD/&#10;/wMAUEsBAi0AFAAGAAgAAAAhALaDOJL+AAAA4QEAABMAAAAAAAAAAAAAAAAAAAAAAFtDb250ZW50&#10;X1R5cGVzXS54bWxQSwECLQAUAAYACAAAACEAOP0h/9YAAACUAQAACwAAAAAAAAAAAAAAAAAvAQAA&#10;X3JlbHMvLnJlbHNQSwECLQAUAAYACAAAACEA13Pacp8CAACeBQAADgAAAAAAAAAAAAAAAAAuAgAA&#10;ZHJzL2Uyb0RvYy54bWxQSwECLQAUAAYACAAAACEAlCifPeAAAAANAQAADwAAAAAAAAAAAAAAAAD5&#10;BAAAZHJzL2Rvd25yZXYueG1sUEsFBgAAAAAEAAQA8wAAAAYGAAAAAA==&#10;" fillcolor="white [3212]" stroked="f" strokeweight="2pt"/>
            </w:pict>
          </mc:Fallback>
        </mc:AlternateContent>
      </w:r>
      <w:r>
        <w:rPr>
          <w:noProof/>
        </w:rPr>
        <mc:AlternateContent>
          <mc:Choice Requires="wps">
            <w:drawing>
              <wp:anchor distT="0" distB="0" distL="114300" distR="114300" simplePos="0" relativeHeight="251709440" behindDoc="0" locked="0" layoutInCell="1" allowOverlap="1" wp14:anchorId="57DCF81B" wp14:editId="3A7272B3">
                <wp:simplePos x="0" y="0"/>
                <wp:positionH relativeFrom="column">
                  <wp:posOffset>4943475</wp:posOffset>
                </wp:positionH>
                <wp:positionV relativeFrom="paragraph">
                  <wp:posOffset>8751570</wp:posOffset>
                </wp:positionV>
                <wp:extent cx="297815" cy="33274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9EB46D" id="Rectangle 26" o:spid="_x0000_s1026" style="position:absolute;margin-left:389.25pt;margin-top:689.1pt;width:23.45pt;height:2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RGnwIAAJ4FAAAOAAAAZHJzL2Uyb0RvYy54bWysVEtv2zAMvg/YfxB0X52kb6NOEbToMCDo&#10;irZDz4wsxcZkUZOUONmvHyU/mnXFDsN8EEzx48eHSF5d7xrNttL5Gk3Bp0cTzqQRWNZmXfBvz3ef&#10;LjjzAUwJGo0s+F56fj3/+OGqtbmcYYW6lI4RifF5awtehWDzLPOikg34I7TSkFKhayCQ6NZZ6aAl&#10;9kZns8nkLGvRldahkN7T7W2n5PPEr5QU4atSXgamC06xhXS6dK7imc2vIF87sFUt+jDgH6JooDbk&#10;dKS6hQBs4+o/qJpaOPSowpHAJkOlaiFTDpTNdPImm6cKrEy5UHG8Hcvk/x+tuN8+OFaXBZ+dcWag&#10;oTd6pKqBWWvJ6I4K1FqfE+7JPriYordLFN89KbLfNFHwPWanXBOxlCDbpWrvx2rLXWCCLmeX5xfT&#10;U84EqY6PZ+cn6TUyyAdj63z4LLFh8afgjsJKNYbt0ofoHvIBkuJCXZd3tdZJiA0kb7RjW6CnX62n&#10;MROy8IcobSLWYLTq1PEmpdVlknIKey0jTptHqahWMfYUSOrSVycghDRh2qkqKGXn+3RC3+B9CCvF&#10;kggjsyL/I3dPMCA7koG7i7LHR1OZmnw0nvwtsM54tEie0YTRuKkNuvcINGXVe+7wQ5G60sQqrbDc&#10;Uyc57EbMW3FX07MtwYcHcDRTNH20J8JXOpTGtuDY/3FWofv53n3EU6uTlrOWZrTg/scGnORMfzE0&#10;BJfTE2oaFpJwcno+I8EdalaHGrNpbpB6YUobyYr0G/FBD7/KYfNC62QRvZIKjCDfBRfBDcJN6HYH&#10;LSQhF4sEo0G2EJbmyYpIHqsa2/J59wLO9r0bqOnvcZhnyN+0cIeNlgYXm4CqTv39Wte+3rQEUuP0&#10;CytumUM5oV7X6vwXAAAA//8DAFBLAwQUAAYACAAAACEAFUG+K+EAAAANAQAADwAAAGRycy9kb3du&#10;cmV2LnhtbEyPwU6EMBCG7ya+QzMm3txWWLYEKRtjdKPeXMVzl45ApC3Ssotv73jS48z/5Z9vyu1i&#10;B3bEKfTeKbheCWDoGm961yp4e324yoGFqJ3Rg3eo4BsDbKvzs1IXxp/cCx73sWVU4kKhFXQxjgXn&#10;oenQ6rDyIzrKPvxkdaRxarmZ9InK7cATITbc6t7RhU6PeNdh87mfrYI5k0/3y/vXLq1FLZ/rIXuM&#10;u1Gpy4vl9gZYxCX+wfCrT+pQkdPBz84ENiiQMs8IpSCVeQKMkDzJ1sAOtFqnYgO8Kvn/L6ofAAAA&#10;//8DAFBLAQItABQABgAIAAAAIQC2gziS/gAAAOEBAAATAAAAAAAAAAAAAAAAAAAAAABbQ29udGVu&#10;dF9UeXBlc10ueG1sUEsBAi0AFAAGAAgAAAAhADj9If/WAAAAlAEAAAsAAAAAAAAAAAAAAAAALwEA&#10;AF9yZWxzLy5yZWxzUEsBAi0AFAAGAAgAAAAhAJlShEafAgAAngUAAA4AAAAAAAAAAAAAAAAALgIA&#10;AGRycy9lMm9Eb2MueG1sUEsBAi0AFAAGAAgAAAAhABVBvivhAAAADQEAAA8AAAAAAAAAAAAAAAAA&#10;+QQAAGRycy9kb3ducmV2LnhtbFBLBQYAAAAABAAEAPMAAAAHBgAAAAA=&#10;" fillcolor="white [3212]" stroked="f" strokeweight="2pt"/>
            </w:pict>
          </mc:Fallback>
        </mc:AlternateContent>
      </w:r>
      <w:r>
        <w:rPr>
          <w:noProof/>
        </w:rPr>
        <mc:AlternateContent>
          <mc:Choice Requires="wps">
            <w:drawing>
              <wp:anchor distT="0" distB="0" distL="114300" distR="114300" simplePos="0" relativeHeight="251691008" behindDoc="0" locked="0" layoutInCell="1" allowOverlap="1" wp14:anchorId="53270A89" wp14:editId="3F591AFE">
                <wp:simplePos x="0" y="0"/>
                <wp:positionH relativeFrom="column">
                  <wp:posOffset>4959985</wp:posOffset>
                </wp:positionH>
                <wp:positionV relativeFrom="paragraph">
                  <wp:posOffset>8709660</wp:posOffset>
                </wp:positionV>
                <wp:extent cx="297815" cy="33274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3D898" id="Rectangle 12" o:spid="_x0000_s1026" style="position:absolute;margin-left:390.55pt;margin-top:685.8pt;width:23.45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JsnwIAAJ4FAAAOAAAAZHJzL2Uyb0RvYy54bWysVN9P2zAQfp+0/8Hy+0hTYEBEiioQ06QK&#10;EDDxfHXsJprj82y3affX7+wkpWNoD9PyYOV83/36fHeXV9tWs410vkFT8vxowpk0AqvGrEr+7fn2&#10;0zlnPoCpQKORJd9Jz69mHz9cdraQU6xRV9IxcmJ80dmS1yHYIsu8qGUL/gitNKRU6FoIJLpVVjno&#10;yHurs+lk8jnr0FXWoZDe0+1Nr+Sz5F8pKcK9Ul4GpktOuYV0unQu45nNLqFYObB1I4Y04B+yaKEx&#10;FHTv6gYCsLVr/nDVNsKhRxWOBLYZKtUImWqgavLJm2qearAy1ULkeLunyf8/t+Ju8+BYU9HbTTkz&#10;0NIbPRJrYFZaMrojgjrrC8I92QcXS/R2geK7J0X2myYKfsBslWsjlgpk28T2bs+23AYm6HJ6cXae&#10;n3ImSHV8PD07Sa+RQTEaW+fDF4ktiz8ld5RW4hg2Cx9ieChGSMoLdVPdNlonITaQvNaObYCefrnK&#10;YyVk4Q9R2kSswWjVq+NNKquvJNUUdlpGnDaPUhFXMfeUSOrS1yAghDQh71U1VLKPfTqhb4w+ppVy&#10;SQ6jZ0Xx974HByOydzL67rMc8NFUpibfG0/+llhvvLdIkdGEvXHbGHTvOdBU1RC5x48k9dRElpZY&#10;7aiTHPYj5q24bejZFuDDAziaKZo+2hPhng6lsSs5Dn+c1eh+vncf8dTqpOWsoxktuf+xBic5018N&#10;DcFFfkJNw0ISTk7PpiS4Q83yUGPW7TVSL+S0kaxIvxEf9PirHLYvtE7mMSqpwAiKXXIR3Chch353&#10;0EIScj5PMBpkC2FhnqyIziOrsS2fty/g7NC7gZr+Dsd5huJNC/fYaGlwvg6omtTfr7wOfNMSSI0z&#10;LKy4ZQ7lhHpdq7NfAAAA//8DAFBLAwQUAAYACAAAACEAdvrvweEAAAANAQAADwAAAGRycy9kb3du&#10;cmV2LnhtbEyPzU7DMBCE70i8g7VI3Kid9CdRiFMhBBX0RiGc3dgkEfY6xE4b3p7lBMed+TQ7U25n&#10;Z9nJjKH3KCFZCGAGG697bCW8vT7e5MBCVKiV9WgkfJsA2+ryolSF9md8MadDbBmFYCiUhC7GoeA8&#10;NJ1xKiz8YJC8Dz86FekcW65HdaZwZ3kqxIY71SN96NRg7jvTfB4mJ2FaZ88P8/vXblmLOtvXdv0U&#10;d4OU11fz3S2waOb4B8NvfaoOFXU6+gl1YFZClicJoWQss2QDjJA8zWnekaRVuhLAq5L/X1H9AAAA&#10;//8DAFBLAQItABQABgAIAAAAIQC2gziS/gAAAOEBAAATAAAAAAAAAAAAAAAAAAAAAABbQ29udGVu&#10;dF9UeXBlc10ueG1sUEsBAi0AFAAGAAgAAAAhADj9If/WAAAAlAEAAAsAAAAAAAAAAAAAAAAALwEA&#10;AF9yZWxzLy5yZWxzUEsBAi0AFAAGAAgAAAAhAMNScmyfAgAAngUAAA4AAAAAAAAAAAAAAAAALgIA&#10;AGRycy9lMm9Eb2MueG1sUEsBAi0AFAAGAAgAAAAhAHb678HhAAAADQEAAA8AAAAAAAAAAAAAAAAA&#10;+QQAAGRycy9kb3ducmV2LnhtbFBLBQYAAAAABAAEAPMAAAAHBgAAAAA=&#10;" fillcolor="white [3212]" stroked="f" strokeweight="2pt"/>
            </w:pict>
          </mc:Fallback>
        </mc:AlternateContent>
      </w:r>
      <w:r>
        <w:rPr>
          <w:noProof/>
        </w:rPr>
        <mc:AlternateContent>
          <mc:Choice Requires="wps">
            <w:drawing>
              <wp:anchor distT="0" distB="0" distL="114300" distR="114300" simplePos="0" relativeHeight="251712512" behindDoc="0" locked="0" layoutInCell="1" allowOverlap="1" wp14:anchorId="1BCC04BC" wp14:editId="435EBB18">
                <wp:simplePos x="0" y="0"/>
                <wp:positionH relativeFrom="column">
                  <wp:posOffset>5411470</wp:posOffset>
                </wp:positionH>
                <wp:positionV relativeFrom="paragraph">
                  <wp:posOffset>7045325</wp:posOffset>
                </wp:positionV>
                <wp:extent cx="297815" cy="33274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AD2778" id="Rectangle 28" o:spid="_x0000_s1026" style="position:absolute;margin-left:426.1pt;margin-top:554.75pt;width:23.45pt;height:2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wfnwIAAJ4FAAAOAAAAZHJzL2Uyb0RvYy54bWysVN9P2zAQfp+0/8Hy+0hTYEBEiioQ06QK&#10;EDDxfHXsJprj82y3affX7+wkpWNoD9PyYOV83/36fHeXV9tWs410vkFT8vxowpk0AqvGrEr+7fn2&#10;0zlnPoCpQKORJd9Jz69mHz9cdraQU6xRV9IxcmJ80dmS1yHYIsu8qGUL/gitNKRU6FoIJLpVVjno&#10;yHurs+lk8jnr0FXWoZDe0+1Nr+Sz5F8pKcK9Ul4GpktOuYV0unQu45nNLqFYObB1I4Y04B+yaKEx&#10;FHTv6gYCsLVr/nDVNsKhRxWOBLYZKtUImWqgavLJm2qearAy1ULkeLunyf8/t+Ju8+BYU5V8Si9l&#10;oKU3eiTWwKy0ZHRHBHXWF4R7sg8ulujtAsV3T4rsN00U/IDZKtdGLBXItont3Z5tuQ1M0OX04uw8&#10;P+VMkOr4eHp2kl4jg2I0ts6HLxJbFn9K7iitxDFsFj7E8FCMkJQX6qa6bbROQmwgea0d2wA9/XKV&#10;x0rIwh+itIlYg9GqV8ebVFZfSaop7LSMOG0epSKuYu4pkdSlr0FACGlC3qtqqGQf+3RC3xh9TCvl&#10;khxGz4ri730PDkZk72T03Wc54KOpTE2+N578LbHeeG+RIqMJe+O2Mejec6CpqiFyjx9J6qmJLC2x&#10;2lEnOexHzFtx29CzLcCHB3A0UzR9tCfCPR1KY1dyHP44q9H9fO8+4qnVSctZRzNacv9jDU5ypr8a&#10;GoKL/ISahoUknJyeTUlwh5rlocas22ukXshpI1mRfiM+6PFXOWxfaJ3MY1RSgREUu+QiuFG4Dv3u&#10;oIUk5HyeYDTIFsLCPFkRnUdWY1s+b1/A2aF3AzX9HY7zDMWbFu6x0dLgfB1QNam/X3kd+KYlkBpn&#10;WFhxyxzKCfW6Vme/AAAA//8DAFBLAwQUAAYACAAAACEArz2cAOEAAAANAQAADwAAAGRycy9kb3du&#10;cmV2LnhtbEyPwU7DMAyG70i8Q2QkbixpUbe2azohBBPsxqA7Z01oKxqnNOlW3h7vBEf7//T7c7GZ&#10;bc9OZvSdQwnRQgAzWDvdYSPh4/35LgXmg0KteodGwo/xsCmvrwqVa3fGN3Pah4ZRCfpcSWhDGHLO&#10;fd0aq/zCDQYp+3SjVYHGseF6VGcqtz2PhVhyqzqkC60azGNr6q/9ZCVMyer1aT58b+8rUa12VZ+8&#10;hO0g5e3N/LAGFswc/mC46JM6lOR0dBNqz3oJaRLHhFIQiSwBRkiaZRGw42W1jDLgZcH/f1H+AgAA&#10;//8DAFBLAQItABQABgAIAAAAIQC2gziS/gAAAOEBAAATAAAAAAAAAAAAAAAAAAAAAABbQ29udGVu&#10;dF9UeXBlc10ueG1sUEsBAi0AFAAGAAgAAAAhADj9If/WAAAAlAEAAAsAAAAAAAAAAAAAAAAALwEA&#10;AF9yZWxzLy5yZWxzUEsBAi0AFAAGAAgAAAAhAPW13B+fAgAAngUAAA4AAAAAAAAAAAAAAAAALgIA&#10;AGRycy9lMm9Eb2MueG1sUEsBAi0AFAAGAAgAAAAhAK89nADhAAAADQEAAA8AAAAAAAAAAAAAAAAA&#10;+QQAAGRycy9kb3ducmV2LnhtbFBLBQYAAAAABAAEAPMAAAAHBgAAAAA=&#10;" fillcolor="white [3212]" stroked="f" strokeweight="2pt"/>
            </w:pict>
          </mc:Fallback>
        </mc:AlternateContent>
      </w:r>
      <w:r>
        <w:rPr>
          <w:noProof/>
        </w:rPr>
        <mc:AlternateContent>
          <mc:Choice Requires="wps">
            <w:drawing>
              <wp:anchor distT="0" distB="0" distL="114300" distR="114300" simplePos="0" relativeHeight="251694080" behindDoc="0" locked="0" layoutInCell="1" allowOverlap="1" wp14:anchorId="7CDE6767" wp14:editId="17793E7F">
                <wp:simplePos x="0" y="0"/>
                <wp:positionH relativeFrom="column">
                  <wp:posOffset>5447665</wp:posOffset>
                </wp:positionH>
                <wp:positionV relativeFrom="paragraph">
                  <wp:posOffset>7200265</wp:posOffset>
                </wp:positionV>
                <wp:extent cx="297815" cy="33274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332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707130" id="Rectangle 14" o:spid="_x0000_s1026" style="position:absolute;margin-left:428.95pt;margin-top:566.95pt;width:23.45pt;height:2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PnwIAAJ4FAAAOAAAAZHJzL2Uyb0RvYy54bWysVN9P2zAQfp+0/8Hy+0hTyoCIFFUgpkkV&#10;VMDEs+vYTTTH59lu0+6v39lOQsfQHqblwcr5vvv1+e6urvetIjthXQO6pPnJhBKhOVSN3pT02/Pd&#10;pwtKnGe6Ygq0KOlBOHo9//jhqjOFmEINqhKWoBPtis6UtPbeFFnmeC1a5k7ACI1KCbZlHkW7ySrL&#10;OvTeqmw6mXzOOrCVscCFc3h7m5R0Hv1LKbh/kNIJT1RJMTcfTxvPdTiz+RUrNpaZuuF9GuwfsmhZ&#10;ozHo6OqWeUa2tvnDVdtwCw6kP+HQZiBlw0WsAavJJ2+qeaqZEbEWJMeZkSb3/9zy+93KkqbCt5tR&#10;olmLb/SIrDG9UYLgHRLUGVcg7smsbCjRmSXw7w4V2W+aILges5e2DVgskOwj24eRbbH3hOPl9PL8&#10;Ij+jhKPq9HR6PouvkbFiMDbW+S8CWhJ+Smoxrcgx2y2dD+FZMUBiXqCa6q5RKgqhgcSNsmTH8OnX&#10;mzxUghbuGKV0wGoIVkkdbmJZqZJYkz8oEXBKPwqJXIXcYyKxS1+DMM6F9nlS1awSKfbZBL8h+pBW&#10;zCU6DJ4lxh999w4GZHIy+E5Z9vhgKmKTj8aTvyWWjEeLGBm0H43bRoN9z4HCqvrICT+QlKgJLK2h&#10;OmAnWUgj5gy/a/DZlsz5FbM4Uzh9uCf8Ax5SQVdS6P8oqcH+fO8+4LHVUUtJhzNaUvdjy6ygRH3V&#10;OASX+QybhvgozM7OpyjYY836WKO37Q1gL+S4kQyPvwHv1fArLbQvuE4WISqqmOYYu6Tc20G48Wl3&#10;4ELiYrGIMBxkw/xSPxkenAdWQ1s+71+YNX3vemz6exjmmRVvWjhhg6WGxdaDbGJ/v/La841LIDZO&#10;v7DCljmWI+p1rc5/AQAA//8DAFBLAwQUAAYACAAAACEAcXFtEuEAAAANAQAADwAAAGRycy9kb3du&#10;cmV2LnhtbEyPwU7DMBBE70j8g7VI3KhdQpo0xKkQggq4UQhnNzZJhL0OsdOGv2d7gtvuzmj2TbmZ&#10;nWUHM4beo4TlQgAz2HjdYyvh/e3xKgcWokKtrEcj4ccE2FTnZ6UqtD/iqznsYssoBEOhJHQxDgXn&#10;oemMU2HhB4OkffrRqUjr2HI9qiOFO8uvhVhxp3qkD50azH1nmq/d5CRMafb8MH98b5Na1NlLbdOn&#10;uB2kvLyY726BRTPHPzOc8AkdKmLa+wl1YFZCnmZrspKwTBKayLIWN9RmfzrlqwR4VfL/LapfAAAA&#10;//8DAFBLAQItABQABgAIAAAAIQC2gziS/gAAAOEBAAATAAAAAAAAAAAAAAAAAAAAAABbQ29udGVu&#10;dF9UeXBlc10ueG1sUEsBAi0AFAAGAAgAAAAhADj9If/WAAAAlAEAAAsAAAAAAAAAAAAAAAAALwEA&#10;AF9yZWxzLy5yZWxzUEsBAi0AFAAGAAgAAAAhAP8xik+fAgAAngUAAA4AAAAAAAAAAAAAAAAALgIA&#10;AGRycy9lMm9Eb2MueG1sUEsBAi0AFAAGAAgAAAAhAHFxbRLhAAAADQEAAA8AAAAAAAAAAAAAAAAA&#10;+QQAAGRycy9kb3ducmV2LnhtbFBLBQYAAAAABAAEAPMAAAAHBgAAAAA=&#10;" fillcolor="white [3212]" stroked="f" strokeweight="2pt"/>
            </w:pict>
          </mc:Fallback>
        </mc:AlternateContent>
      </w:r>
    </w:p>
    <w:p w14:paraId="413FAF62" w14:textId="5A75B9A7" w:rsidR="00194996" w:rsidRDefault="00194996" w:rsidP="007A7773">
      <w:pPr>
        <w:jc w:val="left"/>
        <w:rPr>
          <w:rFonts w:eastAsiaTheme="majorEastAsia" w:cstheme="majorBidi"/>
          <w:lang w:val="en-US"/>
        </w:rPr>
      </w:pPr>
    </w:p>
    <w:p w14:paraId="433808CF" w14:textId="77777777" w:rsidR="00416EEB" w:rsidRDefault="00416EEB" w:rsidP="007A7773">
      <w:pPr>
        <w:jc w:val="left"/>
        <w:rPr>
          <w:rFonts w:eastAsiaTheme="majorEastAsia" w:cstheme="majorBidi"/>
          <w:lang w:val="en-US"/>
        </w:rPr>
      </w:pPr>
    </w:p>
    <w:p w14:paraId="57B6CE9B" w14:textId="77777777" w:rsidR="00416EEB" w:rsidRDefault="00416EEB" w:rsidP="007A7773">
      <w:pPr>
        <w:jc w:val="left"/>
        <w:rPr>
          <w:rFonts w:eastAsiaTheme="majorEastAsia" w:cstheme="majorBidi"/>
          <w:lang w:val="en-US"/>
        </w:rPr>
      </w:pPr>
    </w:p>
    <w:p w14:paraId="1B20EF3F" w14:textId="77777777" w:rsidR="00416EEB" w:rsidRDefault="00416EEB" w:rsidP="007A7773">
      <w:pPr>
        <w:jc w:val="left"/>
        <w:rPr>
          <w:rFonts w:eastAsiaTheme="majorEastAsia" w:cstheme="majorBidi"/>
          <w:lang w:val="en-US"/>
        </w:rPr>
      </w:pPr>
    </w:p>
    <w:p w14:paraId="5986FCAE" w14:textId="77777777" w:rsidR="00416EEB" w:rsidRDefault="00416EEB" w:rsidP="007A7773">
      <w:pPr>
        <w:jc w:val="left"/>
        <w:rPr>
          <w:rFonts w:eastAsiaTheme="majorEastAsia" w:cstheme="majorBidi"/>
          <w:lang w:val="en-US"/>
        </w:rPr>
      </w:pPr>
    </w:p>
    <w:p w14:paraId="2A989347" w14:textId="77777777" w:rsidR="00416EEB" w:rsidRDefault="00416EEB" w:rsidP="007A7773">
      <w:pPr>
        <w:jc w:val="left"/>
        <w:rPr>
          <w:rFonts w:eastAsiaTheme="majorEastAsia" w:cstheme="majorBidi"/>
          <w:lang w:val="en-US"/>
        </w:rPr>
      </w:pPr>
    </w:p>
    <w:p w14:paraId="3A56CC22" w14:textId="77777777" w:rsidR="00416EEB" w:rsidRDefault="00416EEB" w:rsidP="007A7773">
      <w:pPr>
        <w:jc w:val="left"/>
        <w:rPr>
          <w:rFonts w:eastAsiaTheme="majorEastAsia" w:cstheme="majorBidi"/>
          <w:lang w:val="en-US"/>
        </w:rPr>
      </w:pPr>
    </w:p>
    <w:p w14:paraId="3D312093" w14:textId="0FF049F4" w:rsidR="00194996" w:rsidRDefault="00875BA3" w:rsidP="007A7773">
      <w:pPr>
        <w:tabs>
          <w:tab w:val="left" w:pos="3544"/>
        </w:tabs>
        <w:autoSpaceDE w:val="0"/>
        <w:autoSpaceDN w:val="0"/>
        <w:adjustRightInd w:val="0"/>
        <w:spacing w:after="0" w:line="240" w:lineRule="auto"/>
        <w:ind w:right="4705"/>
        <w:jc w:val="left"/>
        <w:rPr>
          <w:rFonts w:ascii="CIDFont+F2" w:eastAsiaTheme="minorHAnsi" w:hAnsi="CIDFont+F2" w:cs="CIDFont+F2"/>
          <w:b/>
          <w:color w:val="0070C0"/>
          <w:sz w:val="28"/>
          <w:szCs w:val="24"/>
          <w:lang w:val="en-US" w:eastAsia="en-US"/>
        </w:rPr>
      </w:pPr>
      <w:r>
        <w:rPr>
          <w:noProof/>
        </w:rPr>
        <mc:AlternateContent>
          <mc:Choice Requires="wps">
            <w:drawing>
              <wp:anchor distT="0" distB="0" distL="114300" distR="114300" simplePos="0" relativeHeight="251673600" behindDoc="0" locked="0" layoutInCell="1" allowOverlap="1" wp14:anchorId="7B31C2B7" wp14:editId="6DE54761">
                <wp:simplePos x="0" y="0"/>
                <wp:positionH relativeFrom="column">
                  <wp:posOffset>3364865</wp:posOffset>
                </wp:positionH>
                <wp:positionV relativeFrom="paragraph">
                  <wp:posOffset>77470</wp:posOffset>
                </wp:positionV>
                <wp:extent cx="9525" cy="4238625"/>
                <wp:effectExtent l="19050" t="19050" r="9525"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238625"/>
                        </a:xfrm>
                        <a:prstGeom prst="line">
                          <a:avLst/>
                        </a:prstGeom>
                        <a:ln w="28575">
                          <a:solidFill>
                            <a:srgbClr val="FF33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552AC3" id="Straight Connector 2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5pt,6.1pt" to="265.7pt,3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fX7gEAAC8EAAAOAAAAZHJzL2Uyb0RvYy54bWysU9uO0zAQfUfiHyy/06TtdilR033oqrys&#10;oKLwAa5jNxa+aWya9O8ZO2l2uUgIxIuV8ZwzM+d4snnojSYXAUE5W9P5rKREWO4aZc81/fJ5/2ZN&#10;SYjMNkw7K2p6FYE+bF+/2nS+EgvXOt0IIFjEhqrzNW1j9FVRBN4Kw8LMeWExKR0YFjGEc9EA67C6&#10;0cWiLO+LzkHjwXERAt4+Dkm6zfWlFDx+lDKISHRNcbaYT8jnKZ3FdsOqMzDfKj6Owf5hCsOUxaZT&#10;qUcWGfkG6pdSRnFwwck4484UTkrFRdaAaublT2qOLfMia0Fzgp9sCv+vLP9wOQBRTU0Xd5RYZvCN&#10;jhGYOreR7Jy16KADgkl0qvOhQsLOHiBp5b09+ifHvwbMFT8kUxD8AOslmARHsaTPzl8n50UfCcfL&#10;d6vFihKOibvFcn2PQSrJqhvXQ4jvhTMkfdRUK5t8YRW7PIU4QG+QdK0t6VDRevV2lWHBadXsldYp&#10;GeB82mkgF4Y7sd8vl2VeA+z2AoaRtqOqQUiWFK9aDA0+CYm24ejzoUNaWDGVZZwLG5ejCm0RnWgS&#10;R5iI5Z+JIz5RRV7mvyFPjNzZ2TiRjbIOftc99vNxZDngbw4MupMFJ9dcD3B7cNzK/E7jH5TW/mWc&#10;6c//+fY7AAAA//8DAFBLAwQUAAYACAAAACEAyZ/Ag+AAAAAKAQAADwAAAGRycy9kb3ducmV2Lnht&#10;bEyPQU+DQBCF7yb+h82YeDF2KaWtIEtTjR7qTTTxumWnQGRnkd0W6q93POlx8r68902+mWwnTjj4&#10;1pGC+SwCgVQ501Kt4P3t+fYOhA+ajO4coYIzetgUlxe5zowb6RVPZagFl5DPtIImhD6T0lcNWu1n&#10;rkfi7OAGqwOfQy3NoEcut52Mo2glrW6JFxrd42OD1Wd5tApuvj/qxfhAh6/zrtwmyQs97ZCUur6a&#10;tvcgAk7hD4ZffVaHgp327kjGi07BMk5TRjmIYxAMLBfzBMRewWqdrkEWufz/QvEDAAD//wMAUEsB&#10;Ai0AFAAGAAgAAAAhALaDOJL+AAAA4QEAABMAAAAAAAAAAAAAAAAAAAAAAFtDb250ZW50X1R5cGVz&#10;XS54bWxQSwECLQAUAAYACAAAACEAOP0h/9YAAACUAQAACwAAAAAAAAAAAAAAAAAvAQAAX3JlbHMv&#10;LnJlbHNQSwECLQAUAAYACAAAACEA8hpX1+4BAAAvBAAADgAAAAAAAAAAAAAAAAAuAgAAZHJzL2Uy&#10;b0RvYy54bWxQSwECLQAUAAYACAAAACEAyZ/Ag+AAAAAKAQAADwAAAAAAAAAAAAAAAABIBAAAZHJz&#10;L2Rvd25yZXYueG1sUEsFBgAAAAAEAAQA8wAAAFUFAAAAAA==&#10;" strokecolor="#f30" strokeweight="2.25pt">
                <o:lock v:ext="edit" shapetype="f"/>
              </v:line>
            </w:pict>
          </mc:Fallback>
        </mc:AlternateContent>
      </w:r>
      <w:r w:rsidR="00C206ED">
        <w:rPr>
          <w:noProof/>
        </w:rPr>
        <w:drawing>
          <wp:anchor distT="0" distB="0" distL="114300" distR="114300" simplePos="0" relativeHeight="251674624" behindDoc="0" locked="0" layoutInCell="1" allowOverlap="1" wp14:anchorId="3F07E0B0" wp14:editId="2C43A3AB">
            <wp:simplePos x="0" y="0"/>
            <wp:positionH relativeFrom="column">
              <wp:posOffset>1900555</wp:posOffset>
            </wp:positionH>
            <wp:positionV relativeFrom="paragraph">
              <wp:posOffset>9525</wp:posOffset>
            </wp:positionV>
            <wp:extent cx="828675" cy="880110"/>
            <wp:effectExtent l="0" t="0" r="9525" b="0"/>
            <wp:wrapNone/>
            <wp:docPr id="6" name="Εικόνα 4"/>
            <wp:cNvGraphicFramePr/>
            <a:graphic xmlns:a="http://schemas.openxmlformats.org/drawingml/2006/main">
              <a:graphicData uri="http://schemas.openxmlformats.org/drawingml/2006/picture">
                <pic:pic xmlns:pic="http://schemas.openxmlformats.org/drawingml/2006/picture">
                  <pic:nvPicPr>
                    <pic:cNvPr id="6" name="Εικόνα 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675" cy="880110"/>
                    </a:xfrm>
                    <a:prstGeom prst="rect">
                      <a:avLst/>
                    </a:prstGeom>
                    <a:noFill/>
                    <a:ln w="9525">
                      <a:noFill/>
                      <a:miter lim="800000"/>
                      <a:headEnd/>
                      <a:tailEnd/>
                    </a:ln>
                  </pic:spPr>
                </pic:pic>
              </a:graphicData>
            </a:graphic>
          </wp:anchor>
        </w:drawing>
      </w:r>
    </w:p>
    <w:p w14:paraId="20BB8990" w14:textId="77777777" w:rsidR="00194996" w:rsidRDefault="00194996" w:rsidP="007A7773">
      <w:pPr>
        <w:autoSpaceDE w:val="0"/>
        <w:autoSpaceDN w:val="0"/>
        <w:adjustRightInd w:val="0"/>
        <w:spacing w:after="0" w:line="240" w:lineRule="auto"/>
        <w:ind w:right="4705"/>
        <w:jc w:val="left"/>
        <w:rPr>
          <w:rFonts w:ascii="CIDFont+F2" w:eastAsiaTheme="minorHAnsi" w:hAnsi="CIDFont+F2" w:cs="CIDFont+F2"/>
          <w:b/>
          <w:color w:val="0070C0"/>
          <w:sz w:val="28"/>
          <w:szCs w:val="24"/>
          <w:lang w:val="en-US" w:eastAsia="en-US"/>
        </w:rPr>
      </w:pPr>
    </w:p>
    <w:p w14:paraId="55990AD7" w14:textId="77777777" w:rsidR="00194996" w:rsidRDefault="00194996" w:rsidP="007A7773">
      <w:pPr>
        <w:autoSpaceDE w:val="0"/>
        <w:autoSpaceDN w:val="0"/>
        <w:adjustRightInd w:val="0"/>
        <w:spacing w:after="0" w:line="240" w:lineRule="auto"/>
        <w:ind w:right="4705"/>
        <w:jc w:val="left"/>
        <w:rPr>
          <w:rFonts w:ascii="CIDFont+F2" w:eastAsiaTheme="minorHAnsi" w:hAnsi="CIDFont+F2" w:cs="CIDFont+F2"/>
          <w:b/>
          <w:color w:val="0070C0"/>
          <w:sz w:val="28"/>
          <w:szCs w:val="24"/>
          <w:lang w:val="en-US" w:eastAsia="en-US"/>
        </w:rPr>
      </w:pPr>
    </w:p>
    <w:p w14:paraId="6B41B66A" w14:textId="77777777" w:rsidR="00194996" w:rsidRDefault="00194996" w:rsidP="007A7773">
      <w:pPr>
        <w:autoSpaceDE w:val="0"/>
        <w:autoSpaceDN w:val="0"/>
        <w:adjustRightInd w:val="0"/>
        <w:spacing w:after="0" w:line="240" w:lineRule="auto"/>
        <w:ind w:right="4705"/>
        <w:jc w:val="left"/>
        <w:rPr>
          <w:rFonts w:ascii="CIDFont+F2" w:eastAsiaTheme="minorHAnsi" w:hAnsi="CIDFont+F2" w:cs="CIDFont+F2"/>
          <w:b/>
          <w:color w:val="000000"/>
          <w:sz w:val="24"/>
          <w:szCs w:val="24"/>
          <w:lang w:val="en-US" w:eastAsia="en-US"/>
        </w:rPr>
      </w:pPr>
    </w:p>
    <w:p w14:paraId="52FFF851" w14:textId="77777777" w:rsidR="00194996" w:rsidRPr="00194996" w:rsidRDefault="00194996" w:rsidP="00F764BA">
      <w:pPr>
        <w:autoSpaceDE w:val="0"/>
        <w:autoSpaceDN w:val="0"/>
        <w:adjustRightInd w:val="0"/>
        <w:spacing w:after="0" w:line="240" w:lineRule="auto"/>
        <w:ind w:right="4705"/>
        <w:jc w:val="left"/>
        <w:rPr>
          <w:rFonts w:ascii="CIDFont+F2" w:eastAsiaTheme="minorHAnsi" w:hAnsi="CIDFont+F2" w:cs="CIDFont+F2"/>
          <w:b/>
          <w:color w:val="000000"/>
          <w:sz w:val="28"/>
          <w:szCs w:val="24"/>
          <w:lang w:val="en-US" w:eastAsia="en-US"/>
        </w:rPr>
      </w:pPr>
      <w:r>
        <w:rPr>
          <w:rFonts w:ascii="CIDFont+F2" w:eastAsiaTheme="minorHAnsi" w:hAnsi="CIDFont+F2" w:cs="CIDFont+F2"/>
          <w:b/>
          <w:color w:val="000000"/>
          <w:sz w:val="28"/>
          <w:szCs w:val="24"/>
          <w:lang w:val="en-US" w:eastAsia="en-US"/>
        </w:rPr>
        <w:br/>
      </w:r>
    </w:p>
    <w:p w14:paraId="40E62659" w14:textId="77777777" w:rsidR="003439EB" w:rsidRPr="00AD224D" w:rsidRDefault="003439EB" w:rsidP="00416EEB">
      <w:pPr>
        <w:autoSpaceDE w:val="0"/>
        <w:autoSpaceDN w:val="0"/>
        <w:adjustRightInd w:val="0"/>
        <w:spacing w:after="0" w:line="240" w:lineRule="auto"/>
        <w:ind w:left="1134" w:right="4705" w:hanging="708"/>
        <w:jc w:val="right"/>
        <w:rPr>
          <w:rFonts w:ascii="CIDFont+F1" w:eastAsiaTheme="minorHAnsi" w:hAnsi="CIDFont+F1" w:cs="CIDFont+F1"/>
          <w:b/>
          <w:color w:val="244061" w:themeColor="accent1" w:themeShade="80"/>
          <w:sz w:val="34"/>
          <w:szCs w:val="24"/>
          <w:lang w:val="en-US" w:eastAsia="en-US"/>
        </w:rPr>
      </w:pPr>
      <w:r w:rsidRPr="00AD224D">
        <w:rPr>
          <w:rFonts w:ascii="CIDFont+F1" w:eastAsiaTheme="minorHAnsi" w:hAnsi="CIDFont+F1" w:cs="CIDFont+F1"/>
          <w:b/>
          <w:color w:val="244061" w:themeColor="accent1" w:themeShade="80"/>
          <w:sz w:val="34"/>
          <w:szCs w:val="24"/>
          <w:lang w:val="en-US" w:eastAsia="en-US"/>
        </w:rPr>
        <w:t>HELLENIC REPUBLIC</w:t>
      </w:r>
    </w:p>
    <w:p w14:paraId="585A05E3" w14:textId="77777777" w:rsidR="003439EB" w:rsidRDefault="003439EB" w:rsidP="00416EEB">
      <w:pPr>
        <w:autoSpaceDE w:val="0"/>
        <w:autoSpaceDN w:val="0"/>
        <w:adjustRightInd w:val="0"/>
        <w:spacing w:after="0" w:line="240" w:lineRule="auto"/>
        <w:ind w:left="1134" w:right="4705" w:hanging="708"/>
        <w:jc w:val="right"/>
        <w:rPr>
          <w:rFonts w:ascii="CIDFont+F1" w:eastAsiaTheme="minorHAnsi" w:hAnsi="CIDFont+F1" w:cs="CIDFont+F1"/>
          <w:color w:val="000000"/>
          <w:sz w:val="24"/>
          <w:szCs w:val="24"/>
          <w:lang w:val="en-US" w:eastAsia="en-US"/>
        </w:rPr>
      </w:pPr>
    </w:p>
    <w:p w14:paraId="161087E6" w14:textId="77777777" w:rsidR="00425456" w:rsidRDefault="003439EB" w:rsidP="00416EEB">
      <w:pPr>
        <w:autoSpaceDE w:val="0"/>
        <w:autoSpaceDN w:val="0"/>
        <w:adjustRightInd w:val="0"/>
        <w:spacing w:after="0" w:line="240" w:lineRule="auto"/>
        <w:ind w:left="1134" w:right="4705" w:hanging="708"/>
        <w:jc w:val="right"/>
        <w:rPr>
          <w:rFonts w:ascii="CIDFont+F1" w:eastAsiaTheme="minorHAnsi" w:hAnsi="CIDFont+F1" w:cs="CIDFont+F1"/>
          <w:b/>
          <w:color w:val="4F81BD" w:themeColor="accent1"/>
          <w:sz w:val="32"/>
          <w:szCs w:val="24"/>
          <w:lang w:val="en-US" w:eastAsia="en-US"/>
        </w:rPr>
      </w:pPr>
      <w:r w:rsidRPr="00AD224D">
        <w:rPr>
          <w:rFonts w:ascii="CIDFont+F1" w:eastAsiaTheme="minorHAnsi" w:hAnsi="CIDFont+F1" w:cs="CIDFont+F1"/>
          <w:b/>
          <w:color w:val="4F81BD" w:themeColor="accent1"/>
          <w:sz w:val="32"/>
          <w:szCs w:val="24"/>
          <w:lang w:val="en-US" w:eastAsia="en-US"/>
        </w:rPr>
        <w:t>Ministry of</w:t>
      </w:r>
      <w:r w:rsidR="00425456">
        <w:rPr>
          <w:rFonts w:ascii="CIDFont+F1" w:eastAsiaTheme="minorHAnsi" w:hAnsi="CIDFont+F1" w:cs="CIDFont+F1"/>
          <w:b/>
          <w:color w:val="4F81BD" w:themeColor="accent1"/>
          <w:sz w:val="32"/>
          <w:szCs w:val="24"/>
          <w:lang w:val="en-US" w:eastAsia="en-US"/>
        </w:rPr>
        <w:t xml:space="preserve"> </w:t>
      </w:r>
      <w:r w:rsidR="005F5147" w:rsidRPr="00AD224D">
        <w:rPr>
          <w:rFonts w:ascii="CIDFont+F1" w:eastAsiaTheme="minorHAnsi" w:hAnsi="CIDFont+F1" w:cs="CIDFont+F1"/>
          <w:b/>
          <w:color w:val="4F81BD" w:themeColor="accent1"/>
          <w:sz w:val="32"/>
          <w:szCs w:val="24"/>
          <w:lang w:val="en-US" w:eastAsia="en-US"/>
        </w:rPr>
        <w:t xml:space="preserve">Economy </w:t>
      </w:r>
    </w:p>
    <w:p w14:paraId="024C342A" w14:textId="3AA2E3F9" w:rsidR="003439EB" w:rsidRPr="00AD224D" w:rsidRDefault="005F5147" w:rsidP="00416EEB">
      <w:pPr>
        <w:autoSpaceDE w:val="0"/>
        <w:autoSpaceDN w:val="0"/>
        <w:adjustRightInd w:val="0"/>
        <w:spacing w:after="0" w:line="240" w:lineRule="auto"/>
        <w:ind w:left="1134" w:right="4705" w:hanging="708"/>
        <w:jc w:val="right"/>
        <w:rPr>
          <w:rFonts w:ascii="CIDFont+F1" w:eastAsiaTheme="minorHAnsi" w:hAnsi="CIDFont+F1" w:cs="CIDFont+F1"/>
          <w:b/>
          <w:color w:val="4F81BD" w:themeColor="accent1"/>
          <w:sz w:val="32"/>
          <w:szCs w:val="24"/>
          <w:lang w:val="en-US" w:eastAsia="en-US"/>
        </w:rPr>
      </w:pPr>
      <w:r w:rsidRPr="00AD224D">
        <w:rPr>
          <w:rFonts w:ascii="CIDFont+F1" w:eastAsiaTheme="minorHAnsi" w:hAnsi="CIDFont+F1" w:cs="CIDFont+F1"/>
          <w:b/>
          <w:color w:val="4F81BD" w:themeColor="accent1"/>
          <w:sz w:val="32"/>
          <w:szCs w:val="24"/>
          <w:lang w:val="en-US" w:eastAsia="en-US"/>
        </w:rPr>
        <w:t xml:space="preserve">and </w:t>
      </w:r>
      <w:r w:rsidR="003439EB" w:rsidRPr="00AD224D">
        <w:rPr>
          <w:rFonts w:ascii="CIDFont+F1" w:eastAsiaTheme="minorHAnsi" w:hAnsi="CIDFont+F1" w:cs="CIDFont+F1"/>
          <w:b/>
          <w:color w:val="4F81BD" w:themeColor="accent1"/>
          <w:sz w:val="32"/>
          <w:szCs w:val="24"/>
          <w:lang w:val="en-US" w:eastAsia="en-US"/>
        </w:rPr>
        <w:t>Finance</w:t>
      </w:r>
    </w:p>
    <w:p w14:paraId="4079D758" w14:textId="77777777" w:rsidR="00416EEB" w:rsidRPr="003439EB" w:rsidRDefault="00416EEB" w:rsidP="00416EEB">
      <w:pPr>
        <w:autoSpaceDE w:val="0"/>
        <w:autoSpaceDN w:val="0"/>
        <w:adjustRightInd w:val="0"/>
        <w:spacing w:after="0" w:line="240" w:lineRule="auto"/>
        <w:ind w:left="1134" w:right="4705" w:hanging="708"/>
        <w:jc w:val="right"/>
        <w:rPr>
          <w:rFonts w:ascii="CIDFont+F1" w:eastAsiaTheme="minorHAnsi" w:hAnsi="CIDFont+F1" w:cs="CIDFont+F1"/>
          <w:b/>
          <w:color w:val="000000"/>
          <w:sz w:val="26"/>
          <w:szCs w:val="24"/>
          <w:lang w:val="en-US" w:eastAsia="en-US"/>
        </w:rPr>
      </w:pPr>
    </w:p>
    <w:p w14:paraId="1D472BA2" w14:textId="77777777" w:rsidR="00E02C32" w:rsidRDefault="00E02C32" w:rsidP="00416EEB">
      <w:pPr>
        <w:autoSpaceDE w:val="0"/>
        <w:autoSpaceDN w:val="0"/>
        <w:adjustRightInd w:val="0"/>
        <w:spacing w:after="0" w:line="240" w:lineRule="auto"/>
        <w:ind w:left="1134" w:right="4705" w:hanging="708"/>
        <w:jc w:val="right"/>
        <w:rPr>
          <w:rFonts w:ascii="CIDFont+F1" w:eastAsiaTheme="minorHAnsi" w:hAnsi="CIDFont+F1" w:cs="CIDFont+F1"/>
          <w:color w:val="000000"/>
          <w:sz w:val="24"/>
          <w:szCs w:val="24"/>
          <w:lang w:val="en-US" w:eastAsia="en-US"/>
        </w:rPr>
      </w:pPr>
    </w:p>
    <w:p w14:paraId="4E61961B" w14:textId="77777777" w:rsidR="00E02C32" w:rsidRPr="00AD224D" w:rsidRDefault="00E02C32" w:rsidP="00416EEB">
      <w:pPr>
        <w:autoSpaceDE w:val="0"/>
        <w:autoSpaceDN w:val="0"/>
        <w:adjustRightInd w:val="0"/>
        <w:spacing w:after="0" w:line="240" w:lineRule="auto"/>
        <w:ind w:left="1134" w:right="4705" w:hanging="708"/>
        <w:jc w:val="right"/>
        <w:rPr>
          <w:rFonts w:eastAsiaTheme="minorHAnsi" w:cs="CIDFont+F1"/>
          <w:b/>
          <w:color w:val="4F81BD" w:themeColor="accent1"/>
          <w:sz w:val="24"/>
          <w:szCs w:val="24"/>
          <w:lang w:val="en-US" w:eastAsia="en-US"/>
        </w:rPr>
      </w:pPr>
      <w:r w:rsidRPr="00AD224D">
        <w:rPr>
          <w:rFonts w:eastAsiaTheme="minorHAnsi" w:cs="CIDFont+F1"/>
          <w:b/>
          <w:color w:val="4F81BD" w:themeColor="accent1"/>
          <w:sz w:val="24"/>
          <w:szCs w:val="24"/>
          <w:lang w:val="en-US" w:eastAsia="en-US"/>
        </w:rPr>
        <w:t>General Accounting Office</w:t>
      </w:r>
    </w:p>
    <w:p w14:paraId="10C862C0" w14:textId="77777777" w:rsidR="00E02C32" w:rsidRDefault="007C0D7F" w:rsidP="00416EEB">
      <w:pPr>
        <w:autoSpaceDE w:val="0"/>
        <w:autoSpaceDN w:val="0"/>
        <w:adjustRightInd w:val="0"/>
        <w:spacing w:after="0" w:line="240" w:lineRule="auto"/>
        <w:ind w:left="1134" w:right="4705" w:hanging="708"/>
        <w:jc w:val="right"/>
        <w:rPr>
          <w:rFonts w:eastAsiaTheme="minorHAnsi" w:cs="CIDFont+F1"/>
          <w:color w:val="000000"/>
          <w:sz w:val="24"/>
          <w:szCs w:val="24"/>
          <w:lang w:val="en-US" w:eastAsia="en-US"/>
        </w:rPr>
      </w:pPr>
      <w:r>
        <w:rPr>
          <w:rFonts w:eastAsiaTheme="minorHAnsi" w:cs="CIDFont+F1"/>
          <w:color w:val="000000"/>
          <w:sz w:val="24"/>
          <w:szCs w:val="24"/>
          <w:lang w:val="en-US" w:eastAsia="en-US"/>
        </w:rPr>
        <w:t xml:space="preserve">37 </w:t>
      </w:r>
      <w:r w:rsidR="00E02C32">
        <w:rPr>
          <w:rFonts w:eastAsiaTheme="minorHAnsi" w:cs="CIDFont+F1"/>
          <w:color w:val="000000"/>
          <w:sz w:val="24"/>
          <w:szCs w:val="24"/>
          <w:lang w:val="en-US" w:eastAsia="en-US"/>
        </w:rPr>
        <w:t xml:space="preserve">Panepistimiou </w:t>
      </w:r>
      <w:r>
        <w:rPr>
          <w:rFonts w:eastAsiaTheme="minorHAnsi" w:cs="CIDFont+F1"/>
          <w:color w:val="000000"/>
          <w:sz w:val="24"/>
          <w:szCs w:val="24"/>
          <w:lang w:val="en-US" w:eastAsia="en-US"/>
        </w:rPr>
        <w:t>St.</w:t>
      </w:r>
    </w:p>
    <w:p w14:paraId="72812A87" w14:textId="77777777" w:rsidR="00E02C32" w:rsidRDefault="00E02C32" w:rsidP="00416EEB">
      <w:pPr>
        <w:autoSpaceDE w:val="0"/>
        <w:autoSpaceDN w:val="0"/>
        <w:adjustRightInd w:val="0"/>
        <w:spacing w:after="0" w:line="240" w:lineRule="auto"/>
        <w:ind w:left="1134" w:right="4705" w:hanging="708"/>
        <w:jc w:val="right"/>
        <w:rPr>
          <w:rFonts w:eastAsiaTheme="minorHAnsi" w:cs="CIDFont+F1"/>
          <w:color w:val="000000"/>
          <w:sz w:val="24"/>
          <w:szCs w:val="24"/>
          <w:lang w:val="en-US" w:eastAsia="en-US"/>
        </w:rPr>
      </w:pPr>
      <w:r>
        <w:rPr>
          <w:rFonts w:eastAsiaTheme="minorHAnsi" w:cs="CIDFont+F1"/>
          <w:color w:val="000000"/>
          <w:sz w:val="24"/>
          <w:szCs w:val="24"/>
          <w:lang w:val="en-US" w:eastAsia="en-US"/>
        </w:rPr>
        <w:t>10564 Athens</w:t>
      </w:r>
    </w:p>
    <w:p w14:paraId="60496185" w14:textId="77777777" w:rsidR="00E02C32" w:rsidRPr="00E02C32" w:rsidRDefault="00E02C32" w:rsidP="00416EEB">
      <w:pPr>
        <w:autoSpaceDE w:val="0"/>
        <w:autoSpaceDN w:val="0"/>
        <w:adjustRightInd w:val="0"/>
        <w:spacing w:after="0" w:line="240" w:lineRule="auto"/>
        <w:ind w:left="1134" w:right="4705" w:hanging="708"/>
        <w:jc w:val="right"/>
        <w:rPr>
          <w:rFonts w:eastAsiaTheme="minorHAnsi" w:cs="CIDFont+F1"/>
          <w:color w:val="000000"/>
          <w:sz w:val="24"/>
          <w:szCs w:val="24"/>
          <w:lang w:val="en-US" w:eastAsia="en-US"/>
        </w:rPr>
      </w:pPr>
    </w:p>
    <w:p w14:paraId="7A2F1B7B" w14:textId="77777777" w:rsidR="00261F6F" w:rsidRDefault="00261F6F" w:rsidP="00416EEB">
      <w:pPr>
        <w:autoSpaceDE w:val="0"/>
        <w:autoSpaceDN w:val="0"/>
        <w:adjustRightInd w:val="0"/>
        <w:spacing w:after="0" w:line="240" w:lineRule="auto"/>
        <w:ind w:left="1134" w:right="4705" w:hanging="708"/>
        <w:jc w:val="right"/>
        <w:rPr>
          <w:rFonts w:ascii="CIDFont+F1" w:eastAsiaTheme="minorHAnsi" w:hAnsi="CIDFont+F1" w:cs="CIDFont+F1"/>
          <w:color w:val="000000"/>
          <w:sz w:val="24"/>
          <w:szCs w:val="24"/>
          <w:lang w:val="en-US" w:eastAsia="en-US"/>
        </w:rPr>
      </w:pPr>
    </w:p>
    <w:p w14:paraId="7C3E3AA9" w14:textId="77777777" w:rsidR="003439EB" w:rsidRDefault="003439EB" w:rsidP="00416EEB">
      <w:pPr>
        <w:autoSpaceDE w:val="0"/>
        <w:autoSpaceDN w:val="0"/>
        <w:adjustRightInd w:val="0"/>
        <w:spacing w:after="0" w:line="240" w:lineRule="auto"/>
        <w:ind w:left="1134" w:right="4705" w:hanging="708"/>
        <w:jc w:val="right"/>
        <w:rPr>
          <w:rFonts w:eastAsiaTheme="majorEastAsia" w:cstheme="majorBidi"/>
          <w:color w:val="339966"/>
          <w:sz w:val="52"/>
          <w:lang w:val="en-US"/>
        </w:rPr>
      </w:pPr>
    </w:p>
    <w:p w14:paraId="7A5D64B2" w14:textId="357BE879" w:rsidR="00194996" w:rsidRPr="00194996" w:rsidRDefault="00875BA3" w:rsidP="00416EEB">
      <w:pPr>
        <w:ind w:left="1134" w:right="4705" w:hanging="708"/>
        <w:jc w:val="right"/>
        <w:rPr>
          <w:rFonts w:eastAsiaTheme="majorEastAsia" w:cstheme="majorBidi"/>
          <w:color w:val="339966"/>
          <w:sz w:val="52"/>
          <w:lang w:val="en-US"/>
        </w:rPr>
      </w:pPr>
      <w:r>
        <w:rPr>
          <w:rFonts w:eastAsiaTheme="majorEastAsia" w:cstheme="majorBidi"/>
          <w:noProof/>
          <w:color w:val="FF3300"/>
          <w:sz w:val="52"/>
        </w:rPr>
        <mc:AlternateContent>
          <mc:Choice Requires="wps">
            <w:drawing>
              <wp:anchor distT="0" distB="0" distL="114300" distR="114300" simplePos="0" relativeHeight="251716608" behindDoc="0" locked="0" layoutInCell="1" allowOverlap="1" wp14:anchorId="39EAA7E5" wp14:editId="7682916B">
                <wp:simplePos x="0" y="0"/>
                <wp:positionH relativeFrom="column">
                  <wp:posOffset>-817245</wp:posOffset>
                </wp:positionH>
                <wp:positionV relativeFrom="paragraph">
                  <wp:posOffset>1348740</wp:posOffset>
                </wp:positionV>
                <wp:extent cx="6780530" cy="1043940"/>
                <wp:effectExtent l="0" t="0" r="127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80530" cy="1043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8005C" id="Rectangle 1" o:spid="_x0000_s1026" style="position:absolute;margin-left:-64.35pt;margin-top:106.2pt;width:533.9pt;height:8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iEngIAAMYFAAAOAAAAZHJzL2Uyb0RvYy54bWysVEtv2zAMvg/YfxB0X+2k6cuoUwQtOgwI&#10;2qLt0LMiS7EwWdQkJU7260fJj2ZdsUMxHwTRJD+RHx+XV7tGk61wXoEp6eQop0QYDpUy65J+f779&#10;ck6JD8xUTIMRJd0LT6/mnz9dtrYQU6hBV8IRBDG+aG1J6xBskWWe16Jh/gisMKiU4BoWUHTrrHKs&#10;RfRGZ9M8P81acJV1wIX3+PemU9J5wpdS8HAvpReB6JJibCGdLp2reGbzS1asHbO14n0Y7ANRNEwZ&#10;fHSEumGBkY1Tf0E1ijvwIMMRhyYDKRUXKQfMZpK/yeapZlakXJAcb0ea/P+D5XfbB0dUhbWjxLAG&#10;S/SIpDGz1oJMIj2t9QVaPdkHFxP0dgn8h0dF9ocmCr632UnXRFtMj+wS1/uRa7ELhOPP07Pz/OQY&#10;S8JRN8lnxxezVI2MFYO7dT58FdCQeCmpw7gSx2y79CEGwIrBJEUGWlW3SuskxAYS19qRLcPSr9Yp&#10;F/Twh1bafMgRYaJnIqDLOWUf9lpEPG0ehUROMctpCjh182swjHNhwqRT1awSXYwnOX6R8RjlEH6S&#10;EmBElpjdiN0DDJYdyIDdwfT20VWkYRid838F1jmPHullMGF0bpQB9x6Axqz6lzv7gaSOmsjSCqo9&#10;dpyDbhS95bcKy7tkPjwwh7OHLYH7JNzjITW0JYX+RkkN7td7/6M9jgRqKWlxlkvqf26YE5TobwaH&#10;5WIyw+YiIQmzk7MpCu5QszrUmE1zDdgzOBAYXbpG+6CHq3TQvODaWcRXUcUMx7dLyoMbhOvQ7Rhc&#10;XFwsFskMB96ysDRPlkfwyGps3+fdC3O27/GA43EHw9yz4k2rd7bR08BiE0CqNAevvPZ847JIjdMv&#10;triNDuVk9bp+578BAAD//wMAUEsDBBQABgAIAAAAIQDPd9er4wAAAAwBAAAPAAAAZHJzL2Rvd25y&#10;ZXYueG1sTI/BTsMwEETvSPyDtUjcWjsJatMQp6oQIG6oKT1wc+MliRqvQ+wm4e8xp3JczdPM23w7&#10;m46NOLjWkoRoKYAhVVa3VEv4OLwsUmDOK9Kqs4QSftDBtri9yVWm7UR7HEtfs1BCLlMSGu/7jHNX&#10;NWiUW9oeKWRfdjDKh3OouR7UFMpNx2MhVtyolsJCo3p8arA6lxcjYSo/RTu+H4903n8fnpOdeH1L&#10;hJT3d/PuEZjH2V9h+NMP6lAEp5O9kHask7CI4nQdWAlxFD8AC8gm2UTAThKS9SoFXuT8/xPFLwAA&#10;AP//AwBQSwECLQAUAAYACAAAACEAtoM4kv4AAADhAQAAEwAAAAAAAAAAAAAAAAAAAAAAW0NvbnRl&#10;bnRfVHlwZXNdLnhtbFBLAQItABQABgAIAAAAIQA4/SH/1gAAAJQBAAALAAAAAAAAAAAAAAAAAC8B&#10;AABfcmVscy8ucmVsc1BLAQItABQABgAIAAAAIQAe2BiEngIAAMYFAAAOAAAAAAAAAAAAAAAAAC4C&#10;AABkcnMvZTJvRG9jLnhtbFBLAQItABQABgAIAAAAIQDPd9er4wAAAAwBAAAPAAAAAAAAAAAAAAAA&#10;APgEAABkcnMvZG93bnJldi54bWxQSwUGAAAAAAQABADzAAAACAYAAAAA&#10;" fillcolor="white [3212]" strokecolor="white [3212]" strokeweight="2pt">
                <v:path arrowok="t"/>
              </v:rect>
            </w:pict>
          </mc:Fallback>
        </mc:AlternateContent>
      </w:r>
      <w:r w:rsidR="00194996" w:rsidRPr="002E5F16">
        <w:rPr>
          <w:rFonts w:eastAsiaTheme="majorEastAsia" w:cstheme="majorBidi"/>
          <w:color w:val="FF3300"/>
          <w:sz w:val="52"/>
          <w:lang w:val="en-US"/>
        </w:rPr>
        <w:t>minfin</w:t>
      </w:r>
      <w:r w:rsidR="007D34E0" w:rsidRPr="002E5F16">
        <w:rPr>
          <w:rFonts w:eastAsiaTheme="majorEastAsia" w:cstheme="majorBidi"/>
          <w:color w:val="FF3300"/>
          <w:sz w:val="52"/>
          <w:lang w:val="en-US"/>
        </w:rPr>
        <w:t>.gov</w:t>
      </w:r>
      <w:r w:rsidR="00194996" w:rsidRPr="002E5F16">
        <w:rPr>
          <w:rFonts w:eastAsiaTheme="majorEastAsia" w:cstheme="majorBidi"/>
          <w:color w:val="FF3300"/>
          <w:sz w:val="52"/>
          <w:lang w:val="en-US"/>
        </w:rPr>
        <w:t>.gr/</w:t>
      </w:r>
      <w:r w:rsidR="00194996" w:rsidRPr="00194996">
        <w:rPr>
          <w:rFonts w:eastAsiaTheme="majorEastAsia" w:cstheme="majorBidi"/>
          <w:color w:val="339966"/>
          <w:sz w:val="52"/>
          <w:lang w:val="en-US"/>
        </w:rPr>
        <w:t xml:space="preserve"> </w:t>
      </w:r>
    </w:p>
    <w:sectPr w:rsidR="00194996" w:rsidRPr="00194996" w:rsidSect="004801FE">
      <w:footerReference w:type="default" r:id="rId26"/>
      <w:footerReference w:type="first" r:id="rId27"/>
      <w:pgSz w:w="11906" w:h="16838"/>
      <w:pgMar w:top="1304" w:right="1134" w:bottom="1134" w:left="1304" w:header="709" w:footer="709" w:gutter="56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2AB2CD8" w16cex:dateUtc="2024-09-26T13:4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CC531" w14:textId="77777777" w:rsidR="00925230" w:rsidRDefault="00925230" w:rsidP="00404883">
      <w:pPr>
        <w:spacing w:after="0" w:line="240" w:lineRule="auto"/>
      </w:pPr>
      <w:r>
        <w:separator/>
      </w:r>
    </w:p>
  </w:endnote>
  <w:endnote w:type="continuationSeparator" w:id="0">
    <w:p w14:paraId="18876E71" w14:textId="77777777" w:rsidR="00925230" w:rsidRDefault="00925230" w:rsidP="0040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Lato Black">
    <w:altName w:val="Arial"/>
    <w:charset w:val="00"/>
    <w:family w:val="swiss"/>
    <w:pitch w:val="variable"/>
    <w:sig w:usb0="E10002FF"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font266">
    <w:charset w:val="A1"/>
    <w:family w:val="auto"/>
    <w:pitch w:val="variable"/>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IDFont+F2">
    <w:altName w:val="Calibri"/>
    <w:panose1 w:val="00000000000000000000"/>
    <w:charset w:val="A1"/>
    <w:family w:val="auto"/>
    <w:notTrueType/>
    <w:pitch w:val="default"/>
    <w:sig w:usb0="00000081" w:usb1="00000000" w:usb2="00000000" w:usb3="00000000" w:csb0="00000008" w:csb1="00000000"/>
  </w:font>
  <w:font w:name="CIDFont+F1">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D3492" w14:textId="441931FC" w:rsidR="00EF4019" w:rsidRPr="00893525" w:rsidRDefault="00EF4019" w:rsidP="00486468">
    <w:pPr>
      <w:pStyle w:val="Footer"/>
      <w:spacing w:before="240"/>
      <w:jc w:val="right"/>
      <w:rPr>
        <w:b/>
        <w:color w:val="0070C0"/>
        <w:sz w:val="20"/>
        <w:lang w:val="en-US"/>
      </w:rPr>
    </w:pPr>
    <w:r>
      <w:rPr>
        <w:b/>
        <w:color w:val="0070C0"/>
        <w:sz w:val="20"/>
        <w:lang w:val="en-US"/>
      </w:rPr>
      <w:t>Gr</w:t>
    </w:r>
    <w:r w:rsidRPr="00DD5BD3">
      <w:rPr>
        <w:b/>
        <w:color w:val="0070C0"/>
        <w:sz w:val="20"/>
        <w:lang w:val="en-US"/>
      </w:rPr>
      <w:t xml:space="preserve">eece </w:t>
    </w:r>
    <w:r w:rsidRPr="006B4707">
      <w:rPr>
        <w:b/>
        <w:color w:val="FF3300"/>
        <w:sz w:val="22"/>
        <w:lang w:val="en-US"/>
      </w:rPr>
      <w:t>|</w:t>
    </w:r>
    <w:r w:rsidRPr="00DD5BD3">
      <w:rPr>
        <w:b/>
        <w:color w:val="0070C0"/>
        <w:sz w:val="20"/>
        <w:lang w:val="en-US"/>
      </w:rPr>
      <w:t xml:space="preserve"> </w:t>
    </w:r>
    <w:r w:rsidRPr="008F5075">
      <w:rPr>
        <w:b/>
        <w:color w:val="0070C0"/>
        <w:sz w:val="20"/>
        <w:lang w:val="en-US"/>
      </w:rPr>
      <w:t>Medium-</w:t>
    </w:r>
    <w:r>
      <w:rPr>
        <w:b/>
        <w:color w:val="0070C0"/>
        <w:sz w:val="20"/>
        <w:lang w:val="en-US"/>
      </w:rPr>
      <w:t>T</w:t>
    </w:r>
    <w:r w:rsidRPr="008F5075">
      <w:rPr>
        <w:b/>
        <w:color w:val="0070C0"/>
        <w:sz w:val="20"/>
        <w:lang w:val="en-US"/>
      </w:rPr>
      <w:t>erm</w:t>
    </w:r>
    <w:r>
      <w:rPr>
        <w:b/>
        <w:color w:val="0070C0"/>
        <w:sz w:val="20"/>
        <w:lang w:val="en-US"/>
      </w:rPr>
      <w:t xml:space="preserve"> F</w:t>
    </w:r>
    <w:r w:rsidRPr="008F5075">
      <w:rPr>
        <w:b/>
        <w:color w:val="0070C0"/>
        <w:sz w:val="20"/>
        <w:lang w:val="en-US"/>
      </w:rPr>
      <w:t>iscal-</w:t>
    </w:r>
    <w:r>
      <w:rPr>
        <w:b/>
        <w:color w:val="0070C0"/>
        <w:sz w:val="20"/>
        <w:lang w:val="en-US"/>
      </w:rPr>
      <w:t>S</w:t>
    </w:r>
    <w:r w:rsidRPr="008F5075">
      <w:rPr>
        <w:b/>
        <w:color w:val="0070C0"/>
        <w:sz w:val="20"/>
        <w:lang w:val="en-US"/>
      </w:rPr>
      <w:t xml:space="preserve">tructural </w:t>
    </w:r>
    <w:r>
      <w:rPr>
        <w:b/>
        <w:color w:val="0070C0"/>
        <w:sz w:val="20"/>
        <w:lang w:val="en-US"/>
      </w:rPr>
      <w:t>P</w:t>
    </w:r>
    <w:r w:rsidRPr="008F5075">
      <w:rPr>
        <w:b/>
        <w:color w:val="0070C0"/>
        <w:sz w:val="20"/>
        <w:lang w:val="en-US"/>
      </w:rPr>
      <w:t>lan</w:t>
    </w:r>
    <w:r>
      <w:rPr>
        <w:b/>
        <w:color w:val="0070C0"/>
        <w:sz w:val="20"/>
        <w:lang w:val="en-US"/>
      </w:rPr>
      <w:t xml:space="preserve"> 2025-2028</w:t>
    </w:r>
    <w:r>
      <w:rPr>
        <w:b/>
        <w:color w:val="0070C0"/>
        <w:sz w:val="20"/>
        <w:lang w:val="en-US"/>
      </w:rPr>
      <w:tab/>
      <w:t xml:space="preserve">                                                                              </w:t>
    </w:r>
    <w:r w:rsidRPr="006B4707">
      <w:rPr>
        <w:b/>
        <w:color w:val="FF3300"/>
        <w:sz w:val="40"/>
        <w:lang w:val="en-US"/>
      </w:rPr>
      <w:t>|</w:t>
    </w:r>
    <w:r>
      <w:rPr>
        <w:b/>
        <w:color w:val="92D050"/>
        <w:sz w:val="40"/>
        <w:lang w:val="en-US"/>
      </w:rPr>
      <w:t xml:space="preserve"> </w:t>
    </w:r>
    <w:sdt>
      <w:sdtPr>
        <w:rPr>
          <w:color w:val="0070C0"/>
          <w:sz w:val="36"/>
          <w:lang w:val="en-US"/>
        </w:rPr>
        <w:id w:val="1484500574"/>
        <w:docPartObj>
          <w:docPartGallery w:val="Page Numbers (Bottom of Page)"/>
          <w:docPartUnique/>
        </w:docPartObj>
      </w:sdtPr>
      <w:sdtEndPr>
        <w:rPr>
          <w:b/>
        </w:rPr>
      </w:sdtEndPr>
      <w:sdtContent>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0084528E">
          <w:rPr>
            <w:noProof/>
            <w:color w:val="0070C0"/>
            <w:sz w:val="22"/>
            <w:lang w:val="en-US"/>
          </w:rPr>
          <w:t>150</w:t>
        </w:r>
        <w:r w:rsidRPr="00B37774">
          <w:rPr>
            <w:color w:val="0070C0"/>
            <w:sz w:val="22"/>
            <w:lang w:val="en-US"/>
          </w:rPr>
          <w:fldChar w:fldCharType="end"/>
        </w:r>
        <w:r w:rsidRPr="00B37774">
          <w:rPr>
            <w:b/>
            <w:color w:val="0070C0"/>
            <w:sz w:val="36"/>
            <w:lang w:val="en-U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372FA" w14:textId="7C6871A5" w:rsidR="00EF4019" w:rsidRPr="00B37774" w:rsidRDefault="00925230" w:rsidP="00DB19C8">
    <w:pPr>
      <w:pStyle w:val="Footer"/>
      <w:spacing w:before="240"/>
      <w:rPr>
        <w:b/>
        <w:color w:val="0070C0"/>
        <w:sz w:val="20"/>
        <w:lang w:val="en-US"/>
      </w:rPr>
    </w:pPr>
    <w:sdt>
      <w:sdtPr>
        <w:rPr>
          <w:color w:val="0070C0"/>
          <w:sz w:val="36"/>
          <w:lang w:val="en-US"/>
        </w:rPr>
        <w:id w:val="-1415323490"/>
        <w:docPartObj>
          <w:docPartGallery w:val="Page Numbers (Bottom of Page)"/>
          <w:docPartUnique/>
        </w:docPartObj>
      </w:sdtPr>
      <w:sdtEndPr>
        <w:rPr>
          <w:b/>
        </w:rPr>
      </w:sdtEndPr>
      <w:sdtContent>
        <w:r w:rsidR="00EF4019" w:rsidRPr="00B37774">
          <w:rPr>
            <w:color w:val="0070C0"/>
            <w:sz w:val="22"/>
            <w:lang w:val="en-US"/>
          </w:rPr>
          <w:fldChar w:fldCharType="begin"/>
        </w:r>
        <w:r w:rsidR="00EF4019" w:rsidRPr="00B37774">
          <w:rPr>
            <w:color w:val="0070C0"/>
            <w:sz w:val="22"/>
            <w:lang w:val="en-US"/>
          </w:rPr>
          <w:instrText xml:space="preserve"> PAGE   \* MERGEFORMAT </w:instrText>
        </w:r>
        <w:r w:rsidR="00EF4019" w:rsidRPr="00B37774">
          <w:rPr>
            <w:color w:val="0070C0"/>
            <w:sz w:val="22"/>
            <w:lang w:val="en-US"/>
          </w:rPr>
          <w:fldChar w:fldCharType="separate"/>
        </w:r>
        <w:r w:rsidR="0084528E">
          <w:rPr>
            <w:noProof/>
            <w:color w:val="0070C0"/>
            <w:sz w:val="22"/>
            <w:lang w:val="en-US"/>
          </w:rPr>
          <w:t>3</w:t>
        </w:r>
        <w:r w:rsidR="00EF4019" w:rsidRPr="00B37774">
          <w:rPr>
            <w:color w:val="0070C0"/>
            <w:sz w:val="22"/>
            <w:lang w:val="en-US"/>
          </w:rPr>
          <w:fldChar w:fldCharType="end"/>
        </w:r>
        <w:r w:rsidR="00EF4019" w:rsidRPr="00B37774">
          <w:rPr>
            <w:b/>
            <w:color w:val="0070C0"/>
            <w:sz w:val="36"/>
            <w:lang w:val="en-US"/>
          </w:rPr>
          <w:t xml:space="preserve"> </w:t>
        </w:r>
        <w:r w:rsidR="00EF4019" w:rsidRPr="006B4707">
          <w:rPr>
            <w:b/>
            <w:color w:val="FF3300"/>
            <w:sz w:val="40"/>
            <w:lang w:val="en-US"/>
          </w:rPr>
          <w:t>|</w:t>
        </w:r>
      </w:sdtContent>
    </w:sdt>
    <w:r w:rsidR="00EF4019" w:rsidRPr="00B37774">
      <w:rPr>
        <w:b/>
        <w:color w:val="0070C0"/>
        <w:sz w:val="36"/>
        <w:lang w:val="en-US"/>
      </w:rPr>
      <w:t xml:space="preserve"> </w:t>
    </w:r>
    <w:r w:rsidR="00EF4019">
      <w:rPr>
        <w:b/>
        <w:color w:val="0070C0"/>
        <w:sz w:val="36"/>
        <w:lang w:val="en-US"/>
      </w:rPr>
      <w:t xml:space="preserve">                                     </w:t>
    </w:r>
    <w:r w:rsidR="00EF4019">
      <w:rPr>
        <w:b/>
        <w:color w:val="0070C0"/>
        <w:sz w:val="20"/>
        <w:lang w:val="en-US"/>
      </w:rPr>
      <w:t>Gr</w:t>
    </w:r>
    <w:r w:rsidR="00EF4019" w:rsidRPr="00DD5BD3">
      <w:rPr>
        <w:b/>
        <w:color w:val="0070C0"/>
        <w:sz w:val="20"/>
        <w:lang w:val="en-US"/>
      </w:rPr>
      <w:t xml:space="preserve">eece </w:t>
    </w:r>
    <w:r w:rsidR="00EF4019" w:rsidRPr="006B4707">
      <w:rPr>
        <w:b/>
        <w:color w:val="FF3300"/>
        <w:sz w:val="22"/>
        <w:lang w:val="en-US"/>
      </w:rPr>
      <w:t>|</w:t>
    </w:r>
    <w:r w:rsidR="00EF4019" w:rsidRPr="00DD5BD3">
      <w:rPr>
        <w:b/>
        <w:color w:val="0070C0"/>
        <w:sz w:val="20"/>
        <w:lang w:val="en-US"/>
      </w:rPr>
      <w:t xml:space="preserve"> </w:t>
    </w:r>
    <w:bookmarkStart w:id="1" w:name="_Hlk175849240"/>
    <w:r w:rsidR="00EF4019" w:rsidRPr="008F5075">
      <w:rPr>
        <w:b/>
        <w:color w:val="0070C0"/>
        <w:sz w:val="20"/>
        <w:lang w:val="en-US"/>
      </w:rPr>
      <w:t>Medium-</w:t>
    </w:r>
    <w:r w:rsidR="00EF4019">
      <w:rPr>
        <w:b/>
        <w:color w:val="0070C0"/>
        <w:sz w:val="20"/>
        <w:lang w:val="en-US"/>
      </w:rPr>
      <w:t>T</w:t>
    </w:r>
    <w:r w:rsidR="00EF4019" w:rsidRPr="008F5075">
      <w:rPr>
        <w:b/>
        <w:color w:val="0070C0"/>
        <w:sz w:val="20"/>
        <w:lang w:val="en-US"/>
      </w:rPr>
      <w:t xml:space="preserve">erm </w:t>
    </w:r>
    <w:r w:rsidR="00EF4019">
      <w:rPr>
        <w:b/>
        <w:color w:val="0070C0"/>
        <w:sz w:val="20"/>
        <w:lang w:val="en-US"/>
      </w:rPr>
      <w:t>F</w:t>
    </w:r>
    <w:r w:rsidR="00EF4019" w:rsidRPr="008F5075">
      <w:rPr>
        <w:b/>
        <w:color w:val="0070C0"/>
        <w:sz w:val="20"/>
        <w:lang w:val="en-US"/>
      </w:rPr>
      <w:t>iscal-</w:t>
    </w:r>
    <w:r w:rsidR="00EF4019">
      <w:rPr>
        <w:b/>
        <w:color w:val="0070C0"/>
        <w:sz w:val="20"/>
        <w:lang w:val="en-US"/>
      </w:rPr>
      <w:t>S</w:t>
    </w:r>
    <w:r w:rsidR="00EF4019" w:rsidRPr="008F5075">
      <w:rPr>
        <w:b/>
        <w:color w:val="0070C0"/>
        <w:sz w:val="20"/>
        <w:lang w:val="en-US"/>
      </w:rPr>
      <w:t xml:space="preserve">tructural </w:t>
    </w:r>
    <w:r w:rsidR="00EF4019">
      <w:rPr>
        <w:b/>
        <w:color w:val="0070C0"/>
        <w:sz w:val="20"/>
        <w:lang w:val="en-US"/>
      </w:rPr>
      <w:t>P</w:t>
    </w:r>
    <w:r w:rsidR="00EF4019" w:rsidRPr="008F5075">
      <w:rPr>
        <w:b/>
        <w:color w:val="0070C0"/>
        <w:sz w:val="20"/>
        <w:lang w:val="en-US"/>
      </w:rPr>
      <w:t>lan</w:t>
    </w:r>
    <w:r w:rsidR="00EF4019">
      <w:rPr>
        <w:b/>
        <w:color w:val="0070C0"/>
        <w:sz w:val="20"/>
        <w:lang w:val="en-US"/>
      </w:rPr>
      <w:t xml:space="preserve"> 2025-2028</w:t>
    </w:r>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147E8" w14:textId="77777777" w:rsidR="00EF4019" w:rsidRPr="00751F16" w:rsidRDefault="00EF4019" w:rsidP="00751F16">
    <w:pPr>
      <w:pStyle w:val="Footer"/>
      <w:spacing w:before="240"/>
      <w:rPr>
        <w:b/>
        <w:color w:val="0070C0"/>
        <w:sz w:val="20"/>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3AB75" w14:textId="45BC7C37" w:rsidR="00EF4019" w:rsidRPr="004801FE" w:rsidRDefault="00EF4019" w:rsidP="00A7628D">
    <w:pPr>
      <w:pStyle w:val="Footer"/>
      <w:spacing w:before="240"/>
      <w:rPr>
        <w:b/>
        <w:color w:val="0070C0"/>
        <w:sz w:val="20"/>
        <w:lang w:val="en-US"/>
      </w:rPr>
    </w:pPr>
    <w:r>
      <w:rPr>
        <w:b/>
        <w:color w:val="0070C0"/>
        <w:sz w:val="20"/>
        <w:lang w:val="en-US"/>
      </w:rPr>
      <w:t>Gr</w:t>
    </w:r>
    <w:r w:rsidRPr="00DD5BD3">
      <w:rPr>
        <w:b/>
        <w:color w:val="0070C0"/>
        <w:sz w:val="20"/>
        <w:lang w:val="en-US"/>
      </w:rPr>
      <w:t xml:space="preserve">eece </w:t>
    </w:r>
    <w:r w:rsidRPr="00A855F8">
      <w:rPr>
        <w:b/>
        <w:color w:val="FF3300"/>
        <w:sz w:val="22"/>
        <w:lang w:val="en-US"/>
      </w:rPr>
      <w:t>|</w:t>
    </w:r>
    <w:r w:rsidRPr="00DD5BD3">
      <w:rPr>
        <w:b/>
        <w:color w:val="0070C0"/>
        <w:sz w:val="20"/>
        <w:lang w:val="en-US"/>
      </w:rPr>
      <w:t xml:space="preserve"> </w:t>
    </w:r>
    <w:r>
      <w:rPr>
        <w:b/>
        <w:color w:val="0070C0"/>
        <w:sz w:val="20"/>
        <w:lang w:val="en-US"/>
      </w:rPr>
      <w:t>Medium-term fiscal-structural plan 2025-2028</w:t>
    </w:r>
    <w:r>
      <w:rPr>
        <w:b/>
        <w:color w:val="0070C0"/>
        <w:sz w:val="20"/>
        <w:lang w:val="en-US"/>
      </w:rPr>
      <w:tab/>
      <w:t xml:space="preserve">  </w:t>
    </w:r>
    <w:r w:rsidRPr="00A855F8">
      <w:rPr>
        <w:b/>
        <w:color w:val="FF3300"/>
        <w:sz w:val="40"/>
        <w:lang w:val="en-US"/>
      </w:rPr>
      <w:t>|</w:t>
    </w:r>
    <w:r>
      <w:rPr>
        <w:b/>
        <w:color w:val="0070C0"/>
        <w:sz w:val="20"/>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0084528E">
      <w:rPr>
        <w:noProof/>
        <w:color w:val="0070C0"/>
        <w:sz w:val="22"/>
        <w:lang w:val="en-US"/>
      </w:rPr>
      <w:t>2</w:t>
    </w:r>
    <w:r w:rsidRPr="00B37774">
      <w:rPr>
        <w:color w:val="0070C0"/>
        <w:sz w:val="22"/>
        <w:lang w:val="en-US"/>
      </w:rPr>
      <w:fldChar w:fldCharType="end"/>
    </w:r>
    <w:r>
      <w:rPr>
        <w:b/>
        <w:color w:val="FF3300"/>
        <w:sz w:val="40"/>
        <w:lang w:val="en-US"/>
      </w:rPr>
      <w:t xml:space="preserve"> </w:t>
    </w:r>
    <w:sdt>
      <w:sdtPr>
        <w:rPr>
          <w:color w:val="0070C0"/>
          <w:sz w:val="36"/>
          <w:lang w:val="en-US"/>
        </w:rPr>
        <w:id w:val="1500462210"/>
        <w:docPartObj>
          <w:docPartGallery w:val="Page Numbers (Bottom of Page)"/>
          <w:docPartUnique/>
        </w:docPartObj>
      </w:sdtPr>
      <w:sdtEndPr>
        <w:rPr>
          <w:b/>
        </w:rPr>
      </w:sdtEndPr>
      <w:sdtContent>
        <w:r>
          <w:rPr>
            <w:color w:val="0070C0"/>
            <w:sz w:val="36"/>
            <w:lang w:val="en-US"/>
          </w:rPr>
          <w:tab/>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4C4D6" w14:textId="56FC9E09" w:rsidR="00EF4019" w:rsidRPr="003B2A02" w:rsidRDefault="00EF4019" w:rsidP="000B4EA4">
    <w:pPr>
      <w:pStyle w:val="Footer"/>
      <w:spacing w:before="240"/>
      <w:jc w:val="center"/>
      <w:rPr>
        <w:b/>
        <w:color w:val="0070C0"/>
        <w:sz w:val="20"/>
        <w:lang w:val="en-US"/>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0084528E">
      <w:rPr>
        <w:noProof/>
        <w:color w:val="0070C0"/>
        <w:sz w:val="22"/>
        <w:lang w:val="en-US"/>
      </w:rPr>
      <w:t>27</w:t>
    </w:r>
    <w:r w:rsidRPr="00B37774">
      <w:rPr>
        <w:color w:val="0070C0"/>
        <w:sz w:val="22"/>
        <w:lang w:val="en-US"/>
      </w:rPr>
      <w:fldChar w:fldCharType="end"/>
    </w:r>
    <w:r>
      <w:rPr>
        <w:color w:val="0070C0"/>
        <w:sz w:val="36"/>
        <w:lang w:val="en-US"/>
      </w:rPr>
      <w:t xml:space="preserve"> </w:t>
    </w:r>
    <w:sdt>
      <w:sdtPr>
        <w:rPr>
          <w:color w:val="0070C0"/>
          <w:sz w:val="36"/>
          <w:lang w:val="en-US"/>
        </w:rPr>
        <w:id w:val="-551236592"/>
        <w:docPartObj>
          <w:docPartGallery w:val="Page Numbers (Bottom of Page)"/>
          <w:docPartUnique/>
        </w:docPartObj>
      </w:sdtPr>
      <w:sdtEndPr>
        <w:rPr>
          <w:b/>
        </w:rPr>
      </w:sdtEndPr>
      <w:sdtContent>
        <w:r w:rsidRPr="00A855F8">
          <w:rPr>
            <w:b/>
            <w:color w:val="FF3300"/>
            <w:sz w:val="40"/>
            <w:lang w:val="en-US"/>
          </w:rPr>
          <w:t>|</w:t>
        </w:r>
        <w:r w:rsidRPr="003C0C39">
          <w:rPr>
            <w:color w:val="0070C0"/>
            <w:sz w:val="22"/>
            <w:lang w:val="en-US"/>
          </w:rPr>
          <w:t xml:space="preserve"> </w:t>
        </w:r>
        <w:r>
          <w:rPr>
            <w:color w:val="0070C0"/>
            <w:sz w:val="22"/>
            <w:lang w:val="en-US"/>
          </w:rPr>
          <w:tab/>
        </w:r>
        <w:r>
          <w:rPr>
            <w:color w:val="0070C0"/>
            <w:sz w:val="22"/>
            <w:lang w:val="en-US"/>
          </w:rPr>
          <w:tab/>
        </w:r>
      </w:sdtContent>
    </w:sdt>
    <w:r>
      <w:rPr>
        <w:b/>
        <w:color w:val="0070C0"/>
        <w:sz w:val="20"/>
        <w:lang w:val="en-US"/>
      </w:rPr>
      <w:t>Gr</w:t>
    </w:r>
    <w:r w:rsidRPr="00DD5BD3">
      <w:rPr>
        <w:b/>
        <w:color w:val="0070C0"/>
        <w:sz w:val="20"/>
        <w:lang w:val="en-US"/>
      </w:rPr>
      <w:t xml:space="preserve">eece </w:t>
    </w:r>
    <w:r w:rsidRPr="00A855F8">
      <w:rPr>
        <w:b/>
        <w:color w:val="FF3300"/>
        <w:sz w:val="22"/>
        <w:lang w:val="en-US"/>
      </w:rPr>
      <w:t>|</w:t>
    </w:r>
    <w:r w:rsidRPr="00DD5BD3">
      <w:rPr>
        <w:b/>
        <w:color w:val="0070C0"/>
        <w:sz w:val="20"/>
        <w:lang w:val="en-US"/>
      </w:rPr>
      <w:t xml:space="preserve"> </w:t>
    </w:r>
    <w:r>
      <w:rPr>
        <w:b/>
        <w:color w:val="0070C0"/>
        <w:sz w:val="20"/>
        <w:lang w:val="en-US"/>
      </w:rPr>
      <w:t>Medium-Term Fiscal-Structural Plan 2025-2028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1743F" w14:textId="4EB50D9B" w:rsidR="00EF4019" w:rsidRPr="004801FE" w:rsidRDefault="00EF4019" w:rsidP="00221866">
    <w:pPr>
      <w:pStyle w:val="Footer"/>
      <w:spacing w:before="240"/>
      <w:rPr>
        <w:b/>
        <w:color w:val="0070C0"/>
        <w:sz w:val="20"/>
        <w:lang w:val="en-US"/>
      </w:rPr>
    </w:pPr>
    <w:r>
      <w:rPr>
        <w:b/>
        <w:color w:val="0070C0"/>
        <w:sz w:val="20"/>
        <w:lang w:val="en-US"/>
      </w:rPr>
      <w:tab/>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0084528E">
      <w:rPr>
        <w:noProof/>
        <w:color w:val="0070C0"/>
        <w:sz w:val="22"/>
        <w:lang w:val="en-US"/>
      </w:rPr>
      <w:t>23</w:t>
    </w:r>
    <w:r w:rsidRPr="00B37774">
      <w:rPr>
        <w:color w:val="0070C0"/>
        <w:sz w:val="22"/>
        <w:lang w:val="en-US"/>
      </w:rPr>
      <w:fldChar w:fldCharType="end"/>
    </w:r>
    <w:r>
      <w:rPr>
        <w:b/>
        <w:color w:val="0070C0"/>
        <w:sz w:val="20"/>
        <w:lang w:val="en-US"/>
      </w:rPr>
      <w:t xml:space="preserve"> </w:t>
    </w:r>
    <w:r w:rsidRPr="00A855F8">
      <w:rPr>
        <w:b/>
        <w:color w:val="FF3300"/>
        <w:sz w:val="40"/>
        <w:lang w:val="en-US"/>
      </w:rPr>
      <w:t>|</w:t>
    </w:r>
    <w:r>
      <w:rPr>
        <w:b/>
        <w:color w:val="0070C0"/>
        <w:sz w:val="20"/>
        <w:lang w:val="en-US"/>
      </w:rPr>
      <w:t xml:space="preserve">  </w:t>
    </w:r>
    <w:r>
      <w:rPr>
        <w:b/>
        <w:color w:val="0070C0"/>
        <w:sz w:val="20"/>
        <w:lang w:val="en-US"/>
      </w:rPr>
      <w:tab/>
    </w:r>
    <w:sdt>
      <w:sdtPr>
        <w:rPr>
          <w:color w:val="0070C0"/>
          <w:sz w:val="36"/>
          <w:lang w:val="en-US"/>
        </w:rPr>
        <w:id w:val="-1973276493"/>
        <w:docPartObj>
          <w:docPartGallery w:val="Page Numbers (Bottom of Page)"/>
          <w:docPartUnique/>
        </w:docPartObj>
      </w:sdtPr>
      <w:sdtEndPr>
        <w:rPr>
          <w:b/>
        </w:rPr>
      </w:sdtEndPr>
      <w:sdtContent>
        <w:r>
          <w:rPr>
            <w:color w:val="0070C0"/>
            <w:sz w:val="36"/>
            <w:lang w:val="en-US"/>
          </w:rPr>
          <w:tab/>
        </w:r>
        <w:r>
          <w:rPr>
            <w:b/>
            <w:color w:val="0070C0"/>
            <w:sz w:val="20"/>
            <w:lang w:val="en-US"/>
          </w:rPr>
          <w:t>Gr</w:t>
        </w:r>
        <w:r w:rsidRPr="00DD5BD3">
          <w:rPr>
            <w:b/>
            <w:color w:val="0070C0"/>
            <w:sz w:val="20"/>
            <w:lang w:val="en-US"/>
          </w:rPr>
          <w:t xml:space="preserve">eece </w:t>
        </w:r>
        <w:r w:rsidRPr="00A855F8">
          <w:rPr>
            <w:b/>
            <w:color w:val="FF3300"/>
            <w:sz w:val="22"/>
            <w:lang w:val="en-US"/>
          </w:rPr>
          <w:t>|</w:t>
        </w:r>
        <w:r w:rsidRPr="00DD5BD3">
          <w:rPr>
            <w:b/>
            <w:color w:val="0070C0"/>
            <w:sz w:val="20"/>
            <w:lang w:val="en-US"/>
          </w:rPr>
          <w:t xml:space="preserve"> </w:t>
        </w:r>
        <w:r>
          <w:rPr>
            <w:b/>
            <w:color w:val="0070C0"/>
            <w:sz w:val="20"/>
            <w:lang w:val="en-US"/>
          </w:rPr>
          <w:t>Medium-term fiscal-structural plan 2025-2028</w:t>
        </w:r>
        <w:r>
          <w:rPr>
            <w:color w:val="0070C0"/>
            <w:sz w:val="36"/>
            <w:lang w:val="en-US"/>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683A" w14:textId="54490791" w:rsidR="00EF4019" w:rsidRPr="004801FE" w:rsidRDefault="00EF4019" w:rsidP="00221866">
    <w:pPr>
      <w:pStyle w:val="Footer"/>
      <w:spacing w:before="240"/>
      <w:rPr>
        <w:b/>
        <w:color w:val="0070C0"/>
        <w:sz w:val="20"/>
        <w:lang w:val="en-US"/>
      </w:rPr>
    </w:pPr>
    <w:r>
      <w:rPr>
        <w:b/>
        <w:color w:val="0070C0"/>
        <w:sz w:val="20"/>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0084528E">
      <w:rPr>
        <w:noProof/>
        <w:color w:val="0070C0"/>
        <w:sz w:val="22"/>
        <w:lang w:val="en-US"/>
      </w:rPr>
      <w:t>29</w:t>
    </w:r>
    <w:r w:rsidRPr="00B37774">
      <w:rPr>
        <w:color w:val="0070C0"/>
        <w:sz w:val="22"/>
        <w:lang w:val="en-US"/>
      </w:rPr>
      <w:fldChar w:fldCharType="end"/>
    </w:r>
    <w:r>
      <w:rPr>
        <w:b/>
        <w:color w:val="0070C0"/>
        <w:sz w:val="20"/>
        <w:lang w:val="en-US"/>
      </w:rPr>
      <w:t xml:space="preserve"> </w:t>
    </w:r>
    <w:r w:rsidRPr="00A855F8">
      <w:rPr>
        <w:b/>
        <w:color w:val="FF3300"/>
        <w:sz w:val="40"/>
        <w:lang w:val="en-US"/>
      </w:rPr>
      <w:t>|</w:t>
    </w:r>
    <w:r>
      <w:rPr>
        <w:b/>
        <w:color w:val="0070C0"/>
        <w:sz w:val="20"/>
        <w:lang w:val="en-US"/>
      </w:rPr>
      <w:t xml:space="preserve"> </w:t>
    </w:r>
    <w:r>
      <w:rPr>
        <w:b/>
        <w:color w:val="0070C0"/>
        <w:sz w:val="20"/>
        <w:lang w:val="en-US"/>
      </w:rPr>
      <w:tab/>
    </w:r>
    <w:sdt>
      <w:sdtPr>
        <w:rPr>
          <w:color w:val="0070C0"/>
          <w:sz w:val="36"/>
          <w:lang w:val="en-US"/>
        </w:rPr>
        <w:id w:val="-1639026972"/>
        <w:docPartObj>
          <w:docPartGallery w:val="Page Numbers (Bottom of Page)"/>
          <w:docPartUnique/>
        </w:docPartObj>
      </w:sdtPr>
      <w:sdtEndPr>
        <w:rPr>
          <w:b/>
        </w:rPr>
      </w:sdtEndPr>
      <w:sdtContent>
        <w:r>
          <w:rPr>
            <w:color w:val="0070C0"/>
            <w:sz w:val="36"/>
            <w:lang w:val="en-US"/>
          </w:rPr>
          <w:tab/>
        </w:r>
        <w:r>
          <w:rPr>
            <w:b/>
            <w:color w:val="0070C0"/>
            <w:sz w:val="20"/>
            <w:lang w:val="en-US"/>
          </w:rPr>
          <w:t>Gr</w:t>
        </w:r>
        <w:r w:rsidRPr="00DD5BD3">
          <w:rPr>
            <w:b/>
            <w:color w:val="0070C0"/>
            <w:sz w:val="20"/>
            <w:lang w:val="en-US"/>
          </w:rPr>
          <w:t xml:space="preserve">eece </w:t>
        </w:r>
        <w:r w:rsidRPr="00A855F8">
          <w:rPr>
            <w:b/>
            <w:color w:val="FF3300"/>
            <w:sz w:val="22"/>
            <w:lang w:val="en-US"/>
          </w:rPr>
          <w:t>|</w:t>
        </w:r>
        <w:r w:rsidRPr="00DD5BD3">
          <w:rPr>
            <w:b/>
            <w:color w:val="0070C0"/>
            <w:sz w:val="20"/>
            <w:lang w:val="en-US"/>
          </w:rPr>
          <w:t xml:space="preserve"> </w:t>
        </w:r>
        <w:r>
          <w:rPr>
            <w:b/>
            <w:color w:val="0070C0"/>
            <w:sz w:val="20"/>
            <w:lang w:val="en-US"/>
          </w:rPr>
          <w:t>Medium-Term Fiscal-Structural Plan 2025-2028</w:t>
        </w:r>
        <w:r>
          <w:rPr>
            <w:color w:val="0070C0"/>
            <w:sz w:val="36"/>
            <w:lang w:val="en-US"/>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C7BE" w14:textId="08357843" w:rsidR="00EF4019" w:rsidRPr="003B2A02" w:rsidRDefault="00EF4019" w:rsidP="000B4EA4">
    <w:pPr>
      <w:pStyle w:val="Footer"/>
      <w:spacing w:before="240"/>
      <w:jc w:val="center"/>
      <w:rPr>
        <w:b/>
        <w:color w:val="0070C0"/>
        <w:sz w:val="20"/>
        <w:lang w:val="en-US"/>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0084528E">
      <w:rPr>
        <w:noProof/>
        <w:color w:val="0070C0"/>
        <w:sz w:val="22"/>
        <w:lang w:val="en-US"/>
      </w:rPr>
      <w:t>149</w:t>
    </w:r>
    <w:r w:rsidRPr="00B37774">
      <w:rPr>
        <w:color w:val="0070C0"/>
        <w:sz w:val="22"/>
        <w:lang w:val="en-US"/>
      </w:rPr>
      <w:fldChar w:fldCharType="end"/>
    </w:r>
    <w:r>
      <w:rPr>
        <w:color w:val="0070C0"/>
        <w:sz w:val="36"/>
        <w:lang w:val="en-US"/>
      </w:rPr>
      <w:t xml:space="preserve"> </w:t>
    </w:r>
    <w:sdt>
      <w:sdtPr>
        <w:rPr>
          <w:color w:val="0070C0"/>
          <w:sz w:val="36"/>
          <w:lang w:val="en-US"/>
        </w:rPr>
        <w:id w:val="-1860651510"/>
        <w:docPartObj>
          <w:docPartGallery w:val="Page Numbers (Bottom of Page)"/>
          <w:docPartUnique/>
        </w:docPartObj>
      </w:sdtPr>
      <w:sdtEndPr>
        <w:rPr>
          <w:b/>
        </w:rPr>
      </w:sdtEndPr>
      <w:sdtContent>
        <w:r w:rsidRPr="00A855F8">
          <w:rPr>
            <w:b/>
            <w:color w:val="FF3300"/>
            <w:sz w:val="40"/>
            <w:lang w:val="en-US"/>
          </w:rPr>
          <w:t>|</w:t>
        </w:r>
        <w:r w:rsidRPr="003C0C39">
          <w:rPr>
            <w:color w:val="0070C0"/>
            <w:sz w:val="22"/>
            <w:lang w:val="en-US"/>
          </w:rPr>
          <w:t xml:space="preserve"> </w:t>
        </w:r>
        <w:r>
          <w:rPr>
            <w:color w:val="0070C0"/>
            <w:sz w:val="22"/>
            <w:lang w:val="en-US"/>
          </w:rPr>
          <w:tab/>
        </w:r>
        <w:r>
          <w:rPr>
            <w:color w:val="0070C0"/>
            <w:sz w:val="22"/>
            <w:lang w:val="en-US"/>
          </w:rPr>
          <w:tab/>
        </w:r>
      </w:sdtContent>
    </w:sdt>
    <w:r>
      <w:rPr>
        <w:b/>
        <w:color w:val="0070C0"/>
        <w:sz w:val="20"/>
        <w:lang w:val="en-US"/>
      </w:rPr>
      <w:t>Gr</w:t>
    </w:r>
    <w:r w:rsidRPr="00DD5BD3">
      <w:rPr>
        <w:b/>
        <w:color w:val="0070C0"/>
        <w:sz w:val="20"/>
        <w:lang w:val="en-US"/>
      </w:rPr>
      <w:t xml:space="preserve">eece </w:t>
    </w:r>
    <w:r w:rsidRPr="00A855F8">
      <w:rPr>
        <w:b/>
        <w:color w:val="FF3300"/>
        <w:sz w:val="22"/>
        <w:lang w:val="en-US"/>
      </w:rPr>
      <w:t>|</w:t>
    </w:r>
    <w:r w:rsidRPr="00DD5BD3">
      <w:rPr>
        <w:b/>
        <w:color w:val="0070C0"/>
        <w:sz w:val="20"/>
        <w:lang w:val="en-US"/>
      </w:rPr>
      <w:t xml:space="preserve"> </w:t>
    </w:r>
    <w:r>
      <w:rPr>
        <w:b/>
        <w:color w:val="0070C0"/>
        <w:sz w:val="20"/>
        <w:lang w:val="en-US"/>
      </w:rPr>
      <w:t>Medium-Term Fiscal-Structural Plan 2025-2028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BE78C" w14:textId="0F694962" w:rsidR="00EF4019" w:rsidRPr="004801FE" w:rsidRDefault="00925230" w:rsidP="002B24CF">
    <w:pPr>
      <w:pStyle w:val="Footer"/>
      <w:spacing w:before="240"/>
      <w:jc w:val="left"/>
      <w:rPr>
        <w:b/>
        <w:color w:val="0070C0"/>
        <w:sz w:val="20"/>
        <w:lang w:val="en-US"/>
      </w:rPr>
    </w:pPr>
    <w:sdt>
      <w:sdtPr>
        <w:rPr>
          <w:color w:val="0070C0"/>
          <w:sz w:val="36"/>
          <w:lang w:val="en-US"/>
        </w:rPr>
        <w:id w:val="1639369303"/>
        <w:docPartObj>
          <w:docPartGallery w:val="Page Numbers (Bottom of Page)"/>
          <w:docPartUnique/>
        </w:docPartObj>
      </w:sdtPr>
      <w:sdtEndPr>
        <w:rPr>
          <w:b/>
        </w:rPr>
      </w:sdtEndPr>
      <w:sdtContent>
        <w:r w:rsidR="00EF4019">
          <w:rPr>
            <w:b/>
            <w:color w:val="0070C0"/>
            <w:sz w:val="20"/>
            <w:lang w:val="en-US"/>
          </w:rPr>
          <w:t>Gr</w:t>
        </w:r>
        <w:r w:rsidR="00EF4019" w:rsidRPr="00DD5BD3">
          <w:rPr>
            <w:b/>
            <w:color w:val="0070C0"/>
            <w:sz w:val="20"/>
            <w:lang w:val="en-US"/>
          </w:rPr>
          <w:t xml:space="preserve">eece </w:t>
        </w:r>
        <w:r w:rsidR="00EF4019" w:rsidRPr="00A855F8">
          <w:rPr>
            <w:b/>
            <w:color w:val="FF3300"/>
            <w:sz w:val="22"/>
            <w:lang w:val="en-US"/>
          </w:rPr>
          <w:t>|</w:t>
        </w:r>
        <w:r w:rsidR="00EF4019" w:rsidRPr="00DD5BD3">
          <w:rPr>
            <w:b/>
            <w:color w:val="0070C0"/>
            <w:sz w:val="20"/>
            <w:lang w:val="en-US"/>
          </w:rPr>
          <w:t xml:space="preserve"> </w:t>
        </w:r>
        <w:r w:rsidR="00EF4019">
          <w:rPr>
            <w:b/>
            <w:color w:val="0070C0"/>
            <w:sz w:val="20"/>
            <w:lang w:val="en-US"/>
          </w:rPr>
          <w:t xml:space="preserve">Medium-Term Fiscal-Structural Plan 2025-2028     </w:t>
        </w:r>
        <w:r w:rsidR="00EF4019">
          <w:rPr>
            <w:b/>
            <w:color w:val="0070C0"/>
            <w:sz w:val="20"/>
            <w:lang w:val="en-US"/>
          </w:rPr>
          <w:tab/>
          <w:t xml:space="preserve">        </w:t>
        </w:r>
        <w:r w:rsidR="00EF4019">
          <w:rPr>
            <w:color w:val="0070C0"/>
            <w:sz w:val="36"/>
            <w:lang w:val="en-US"/>
          </w:rPr>
          <w:t xml:space="preserve"> </w:t>
        </w:r>
        <w:r w:rsidR="00EF4019" w:rsidRPr="00A855F8">
          <w:rPr>
            <w:b/>
            <w:color w:val="FF3300"/>
            <w:sz w:val="40"/>
            <w:lang w:val="en-US"/>
          </w:rPr>
          <w:t>|</w:t>
        </w:r>
      </w:sdtContent>
    </w:sdt>
    <w:r w:rsidR="00EF4019">
      <w:rPr>
        <w:b/>
        <w:color w:val="0070C0"/>
        <w:sz w:val="36"/>
        <w:lang w:val="en-US"/>
      </w:rPr>
      <w:t xml:space="preserve"> </w:t>
    </w:r>
    <w:r w:rsidR="00EF4019">
      <w:rPr>
        <w:color w:val="0070C0"/>
        <w:sz w:val="36"/>
        <w:lang w:val="en-US"/>
      </w:rPr>
      <w:t xml:space="preserve"> </w:t>
    </w:r>
    <w:r w:rsidR="00EF4019" w:rsidRPr="00B37774">
      <w:rPr>
        <w:color w:val="0070C0"/>
        <w:sz w:val="22"/>
        <w:lang w:val="en-US"/>
      </w:rPr>
      <w:fldChar w:fldCharType="begin"/>
    </w:r>
    <w:r w:rsidR="00EF4019" w:rsidRPr="00B37774">
      <w:rPr>
        <w:color w:val="0070C0"/>
        <w:sz w:val="22"/>
        <w:lang w:val="en-US"/>
      </w:rPr>
      <w:instrText xml:space="preserve"> PAGE   \* MERGEFORMAT </w:instrText>
    </w:r>
    <w:r w:rsidR="00EF4019" w:rsidRPr="00B37774">
      <w:rPr>
        <w:color w:val="0070C0"/>
        <w:sz w:val="22"/>
        <w:lang w:val="en-US"/>
      </w:rPr>
      <w:fldChar w:fldCharType="separate"/>
    </w:r>
    <w:r w:rsidR="0084528E">
      <w:rPr>
        <w:noProof/>
        <w:color w:val="0070C0"/>
        <w:sz w:val="22"/>
        <w:lang w:val="en-US"/>
      </w:rPr>
      <w:t>30</w:t>
    </w:r>
    <w:r w:rsidR="00EF4019" w:rsidRPr="00B37774">
      <w:rPr>
        <w:color w:val="0070C0"/>
        <w:sz w:val="22"/>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3B1E5" w14:textId="77777777" w:rsidR="00925230" w:rsidRDefault="00925230" w:rsidP="00404883">
      <w:pPr>
        <w:spacing w:after="0" w:line="240" w:lineRule="auto"/>
      </w:pPr>
      <w:r>
        <w:separator/>
      </w:r>
    </w:p>
  </w:footnote>
  <w:footnote w:type="continuationSeparator" w:id="0">
    <w:p w14:paraId="330CD175" w14:textId="77777777" w:rsidR="00925230" w:rsidRDefault="00925230" w:rsidP="00404883">
      <w:pPr>
        <w:spacing w:after="0" w:line="240" w:lineRule="auto"/>
      </w:pPr>
      <w:r>
        <w:continuationSeparator/>
      </w:r>
    </w:p>
  </w:footnote>
  <w:footnote w:id="1">
    <w:p w14:paraId="150D4FF6" w14:textId="0099BF39" w:rsidR="00EF4019" w:rsidRPr="00133F7A" w:rsidRDefault="00EF4019">
      <w:pPr>
        <w:pStyle w:val="FootnoteText"/>
        <w:rPr>
          <w:lang w:val="en-US"/>
        </w:rPr>
      </w:pPr>
      <w:r>
        <w:rPr>
          <w:rStyle w:val="FootnoteReference"/>
        </w:rPr>
        <w:footnoteRef/>
      </w:r>
      <w:r w:rsidRPr="00133F7A">
        <w:rPr>
          <w:lang w:val="en-US"/>
        </w:rPr>
        <w:t xml:space="preserve"> </w:t>
      </w:r>
      <w:r w:rsidRPr="00776FBE">
        <w:rPr>
          <w:lang w:val="en-US"/>
        </w:rPr>
        <w:t xml:space="preserve">The estimated incremental impact of the discretionary </w:t>
      </w:r>
      <w:r w:rsidRPr="00035B18">
        <w:rPr>
          <w:color w:val="000000" w:themeColor="text1"/>
          <w:lang w:val="en-US"/>
        </w:rPr>
        <w:t>revenue measures</w:t>
      </w:r>
      <w:r>
        <w:rPr>
          <w:color w:val="000000" w:themeColor="text1"/>
          <w:lang w:val="en-US"/>
        </w:rPr>
        <w:t xml:space="preserve"> of 2023-2024</w:t>
      </w:r>
      <w:r w:rsidRPr="00035B18">
        <w:rPr>
          <w:color w:val="000000" w:themeColor="text1"/>
          <w:lang w:val="en-US"/>
        </w:rPr>
        <w:t xml:space="preserve"> is presented in</w:t>
      </w:r>
      <w:r>
        <w:rPr>
          <w:color w:val="000000" w:themeColor="text1"/>
          <w:lang w:val="en-US"/>
        </w:rPr>
        <w:t xml:space="preserve"> </w:t>
      </w:r>
      <w:r>
        <w:rPr>
          <w:color w:val="000000" w:themeColor="text1"/>
          <w:lang w:val="en-US"/>
        </w:rPr>
        <w:fldChar w:fldCharType="begin"/>
      </w:r>
      <w:r>
        <w:rPr>
          <w:color w:val="000000" w:themeColor="text1"/>
          <w:lang w:val="en-US"/>
        </w:rPr>
        <w:instrText xml:space="preserve"> REF _Ref177570880 \h </w:instrText>
      </w:r>
      <w:r>
        <w:rPr>
          <w:color w:val="000000" w:themeColor="text1"/>
          <w:lang w:val="en-US"/>
        </w:rPr>
      </w:r>
      <w:r>
        <w:rPr>
          <w:color w:val="000000" w:themeColor="text1"/>
          <w:lang w:val="en-US"/>
        </w:rPr>
        <w:fldChar w:fldCharType="separate"/>
      </w:r>
      <w:r w:rsidRPr="00920844">
        <w:rPr>
          <w:lang w:val="en-US"/>
        </w:rPr>
        <w:t xml:space="preserve">Table </w:t>
      </w:r>
      <w:r w:rsidRPr="00920844">
        <w:rPr>
          <w:noProof/>
          <w:lang w:val="en-US"/>
        </w:rPr>
        <w:t>18</w:t>
      </w:r>
      <w:r>
        <w:rPr>
          <w:color w:val="000000" w:themeColor="text1"/>
          <w:lang w:val="en-US"/>
        </w:rPr>
        <w:fldChar w:fldCharType="end"/>
      </w:r>
      <w:r>
        <w:rPr>
          <w:color w:val="000000" w:themeColor="text1"/>
          <w:lang w:val="en-US"/>
        </w:rPr>
        <w:t xml:space="preserve"> </w:t>
      </w:r>
      <w:r w:rsidRPr="00035B18">
        <w:rPr>
          <w:color w:val="000000" w:themeColor="text1"/>
          <w:lang w:val="en-US"/>
        </w:rPr>
        <w:t>and</w:t>
      </w:r>
      <w:r>
        <w:rPr>
          <w:color w:val="000000" w:themeColor="text1"/>
          <w:lang w:val="en-US"/>
        </w:rPr>
        <w:t xml:space="preserve"> for measures announced for 2025 in </w:t>
      </w:r>
      <w:r>
        <w:rPr>
          <w:color w:val="000000" w:themeColor="text1"/>
          <w:lang w:val="en-US"/>
        </w:rPr>
        <w:fldChar w:fldCharType="begin"/>
      </w:r>
      <w:r>
        <w:rPr>
          <w:color w:val="000000" w:themeColor="text1"/>
          <w:lang w:val="en-US"/>
        </w:rPr>
        <w:instrText xml:space="preserve"> REF _Ref177640632 \h </w:instrText>
      </w:r>
      <w:r>
        <w:rPr>
          <w:color w:val="000000" w:themeColor="text1"/>
          <w:lang w:val="en-US"/>
        </w:rPr>
      </w:r>
      <w:r>
        <w:rPr>
          <w:color w:val="000000" w:themeColor="text1"/>
          <w:lang w:val="en-US"/>
        </w:rPr>
        <w:fldChar w:fldCharType="separate"/>
      </w:r>
      <w:r w:rsidRPr="00920844">
        <w:rPr>
          <w:lang w:val="en-US"/>
        </w:rPr>
        <w:t xml:space="preserve">Table </w:t>
      </w:r>
      <w:r w:rsidRPr="00920844">
        <w:rPr>
          <w:noProof/>
          <w:lang w:val="en-US"/>
        </w:rPr>
        <w:t>19</w:t>
      </w:r>
      <w:r>
        <w:rPr>
          <w:color w:val="000000" w:themeColor="text1"/>
          <w:lang w:val="en-US"/>
        </w:rPr>
        <w:fldChar w:fldCharType="end"/>
      </w:r>
      <w:r>
        <w:rPr>
          <w:color w:val="000000" w:themeColor="text1"/>
          <w:lang w:val="en-US"/>
        </w:rPr>
        <w:t xml:space="preserve"> </w:t>
      </w:r>
      <w:r w:rsidRPr="00035B18">
        <w:rPr>
          <w:color w:val="000000" w:themeColor="text1"/>
          <w:lang w:val="en-US"/>
        </w:rPr>
        <w:t>of Annex II</w:t>
      </w:r>
      <w:r>
        <w:rPr>
          <w:color w:val="000000" w:themeColor="text1"/>
          <w:lang w:val="en-US"/>
        </w:rPr>
        <w:t>.</w:t>
      </w:r>
    </w:p>
  </w:footnote>
  <w:footnote w:id="2">
    <w:p w14:paraId="39B449C0" w14:textId="0C265F2B" w:rsidR="00EF4019" w:rsidRPr="002B7F1A" w:rsidRDefault="00EF4019" w:rsidP="00801763">
      <w:pPr>
        <w:pStyle w:val="FootnoteText"/>
        <w:rPr>
          <w:lang w:val="en-US"/>
        </w:rPr>
      </w:pPr>
      <w:r w:rsidRPr="002B7F1A">
        <w:rPr>
          <w:rStyle w:val="FootnoteReference"/>
        </w:rPr>
        <w:footnoteRef/>
      </w:r>
      <w:r w:rsidRPr="002B7F1A">
        <w:rPr>
          <w:lang w:val="en-US"/>
        </w:rPr>
        <w:t xml:space="preserve"> Gilles M. et. al. The Semi-Elasticities Underlying the Cyclically-Adjusted Budget Balance: An Update &amp; Further Analysis; EC Discussion Paper No. 098; May </w:t>
      </w:r>
      <w:r w:rsidRPr="00133F7A">
        <w:rPr>
          <w:lang w:val="en-US"/>
        </w:rPr>
        <w:t>2019</w:t>
      </w:r>
      <w:r w:rsidRPr="002B7F1A">
        <w:rPr>
          <w:lang w:val="en-US"/>
        </w:rPr>
        <w:t>; page 41.</w:t>
      </w:r>
    </w:p>
  </w:footnote>
  <w:footnote w:id="3">
    <w:p w14:paraId="547E29C2" w14:textId="77777777" w:rsidR="00EF4019" w:rsidRPr="002B7F1A" w:rsidRDefault="00EF4019" w:rsidP="00801763">
      <w:pPr>
        <w:pStyle w:val="FootnoteText"/>
        <w:rPr>
          <w:lang w:val="en-US"/>
        </w:rPr>
      </w:pPr>
      <w:r w:rsidRPr="002B7F1A">
        <w:rPr>
          <w:rStyle w:val="FootnoteReference"/>
        </w:rPr>
        <w:footnoteRef/>
      </w:r>
      <w:r w:rsidRPr="002B7F1A">
        <w:rPr>
          <w:lang w:val="en-US"/>
        </w:rPr>
        <w:t xml:space="preserve"> Köster G., Priesmeier C. Revenue elasticities in euro area countries; ECB Working Paper Series No. 1989; January 2017; page 13.</w:t>
      </w:r>
    </w:p>
  </w:footnote>
  <w:footnote w:id="4">
    <w:p w14:paraId="6B8C7033" w14:textId="77777777" w:rsidR="00EF4019" w:rsidRPr="002B7F1A" w:rsidRDefault="00EF4019" w:rsidP="00A03678">
      <w:pPr>
        <w:pStyle w:val="FootnoteText"/>
        <w:rPr>
          <w:lang w:val="en-US"/>
        </w:rPr>
      </w:pPr>
      <w:r w:rsidRPr="002B7F1A">
        <w:rPr>
          <w:rStyle w:val="FootnoteReference"/>
        </w:rPr>
        <w:footnoteRef/>
      </w:r>
      <w:r w:rsidRPr="002B7F1A">
        <w:rPr>
          <w:lang w:val="en-US"/>
        </w:rPr>
        <w:t xml:space="preserve"> It is noted that since the adjustment period is set to four years, there is no reporting obligation with respect to the additional criteria related to an extension of the adjustment period.</w:t>
      </w:r>
    </w:p>
  </w:footnote>
  <w:footnote w:id="5">
    <w:p w14:paraId="032CECB9" w14:textId="19C80FFD" w:rsidR="00EF4019" w:rsidRPr="00673CB6" w:rsidRDefault="00EF4019" w:rsidP="007F3C29">
      <w:pPr>
        <w:pStyle w:val="FootnoteText"/>
        <w:rPr>
          <w:lang w:val="en-US"/>
        </w:rPr>
      </w:pPr>
      <w:r>
        <w:rPr>
          <w:rStyle w:val="FootnoteReference"/>
        </w:rPr>
        <w:footnoteRef/>
      </w:r>
      <w:r w:rsidRPr="00673CB6">
        <w:rPr>
          <w:lang w:val="en-US"/>
        </w:rPr>
        <w:t xml:space="preserve"> </w:t>
      </w:r>
      <w:r>
        <w:rPr>
          <w:lang w:val="en-US"/>
        </w:rPr>
        <w:t xml:space="preserve">Reforms and investments in </w:t>
      </w:r>
      <w:r w:rsidRPr="00673CB6">
        <w:rPr>
          <w:i/>
          <w:iCs/>
          <w:lang w:val="en-US"/>
        </w:rPr>
        <w:t>italics</w:t>
      </w:r>
      <w:r>
        <w:rPr>
          <w:lang w:val="en-US"/>
        </w:rPr>
        <w:t xml:space="preserve"> indicate also new actions compared to NRP submitted in Spring 2024.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F612C"/>
    <w:multiLevelType w:val="multilevel"/>
    <w:tmpl w:val="358C9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86B2B4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1731A0"/>
    <w:multiLevelType w:val="hybridMultilevel"/>
    <w:tmpl w:val="F6BEA26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D040E50"/>
    <w:multiLevelType w:val="hybridMultilevel"/>
    <w:tmpl w:val="A2A0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1775B"/>
    <w:multiLevelType w:val="hybridMultilevel"/>
    <w:tmpl w:val="7974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C37BD"/>
    <w:multiLevelType w:val="multilevel"/>
    <w:tmpl w:val="2188B9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128F1FEB"/>
    <w:multiLevelType w:val="hybridMultilevel"/>
    <w:tmpl w:val="5252A87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15:restartNumberingAfterBreak="0">
    <w:nsid w:val="14105CA9"/>
    <w:multiLevelType w:val="hybridMultilevel"/>
    <w:tmpl w:val="B5A6144C"/>
    <w:lvl w:ilvl="0" w:tplc="928C7FB0">
      <w:start w:val="1"/>
      <w:numFmt w:val="decimal"/>
      <w:pStyle w:val="ParagraphNumbering"/>
      <w:lvlText w:val="%1.     "/>
      <w:lvlJc w:val="left"/>
      <w:pPr>
        <w:tabs>
          <w:tab w:val="num" w:pos="720"/>
        </w:tabs>
        <w:ind w:left="0" w:firstLine="0"/>
      </w:pPr>
      <w:rPr>
        <w:rFonts w:hint="default"/>
        <w:color w:val="auto"/>
        <w:sz w:val="24"/>
      </w:rPr>
    </w:lvl>
    <w:lvl w:ilvl="1" w:tplc="04090019">
      <w:start w:val="1"/>
      <w:numFmt w:val="lowerLetter"/>
      <w:lvlText w:val="%2."/>
      <w:lvlJc w:val="left"/>
      <w:pPr>
        <w:tabs>
          <w:tab w:val="num" w:pos="-65"/>
        </w:tabs>
        <w:ind w:left="-65"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8" w15:restartNumberingAfterBreak="0">
    <w:nsid w:val="15562619"/>
    <w:multiLevelType w:val="hybridMultilevel"/>
    <w:tmpl w:val="D934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E131F"/>
    <w:multiLevelType w:val="hybridMultilevel"/>
    <w:tmpl w:val="864E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D3D23"/>
    <w:multiLevelType w:val="hybridMultilevel"/>
    <w:tmpl w:val="3500A966"/>
    <w:lvl w:ilvl="0" w:tplc="1F58E7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B33DD"/>
    <w:multiLevelType w:val="hybridMultilevel"/>
    <w:tmpl w:val="DA02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85E8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8322D7"/>
    <w:multiLevelType w:val="hybridMultilevel"/>
    <w:tmpl w:val="95B6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D475A"/>
    <w:multiLevelType w:val="hybridMultilevel"/>
    <w:tmpl w:val="20A0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A59FF"/>
    <w:multiLevelType w:val="hybridMultilevel"/>
    <w:tmpl w:val="8D8C9DE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80F5FED"/>
    <w:multiLevelType w:val="hybridMultilevel"/>
    <w:tmpl w:val="7DE6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E31C0"/>
    <w:multiLevelType w:val="hybridMultilevel"/>
    <w:tmpl w:val="7D50C854"/>
    <w:lvl w:ilvl="0" w:tplc="04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F183A38"/>
    <w:multiLevelType w:val="hybridMultilevel"/>
    <w:tmpl w:val="6BB6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32981"/>
    <w:multiLevelType w:val="hybridMultilevel"/>
    <w:tmpl w:val="F39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50980"/>
    <w:multiLevelType w:val="hybridMultilevel"/>
    <w:tmpl w:val="2B4E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923DE"/>
    <w:multiLevelType w:val="hybridMultilevel"/>
    <w:tmpl w:val="606C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6235D"/>
    <w:multiLevelType w:val="hybridMultilevel"/>
    <w:tmpl w:val="B56C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83EDF"/>
    <w:multiLevelType w:val="hybridMultilevel"/>
    <w:tmpl w:val="77FEEF0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505178DB"/>
    <w:multiLevelType w:val="multilevel"/>
    <w:tmpl w:val="2188B9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15:restartNumberingAfterBreak="0">
    <w:nsid w:val="54243BF4"/>
    <w:multiLevelType w:val="hybridMultilevel"/>
    <w:tmpl w:val="A538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FD3058"/>
    <w:multiLevelType w:val="hybridMultilevel"/>
    <w:tmpl w:val="A63E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5B3854"/>
    <w:multiLevelType w:val="multilevel"/>
    <w:tmpl w:val="4AE8F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 w15:restartNumberingAfterBreak="0">
    <w:nsid w:val="5D420301"/>
    <w:multiLevelType w:val="multilevel"/>
    <w:tmpl w:val="C9229F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9" w15:restartNumberingAfterBreak="0">
    <w:nsid w:val="5D7177A1"/>
    <w:multiLevelType w:val="hybridMultilevel"/>
    <w:tmpl w:val="8136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E40E5"/>
    <w:multiLevelType w:val="multilevel"/>
    <w:tmpl w:val="9326A15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1" w15:restartNumberingAfterBreak="0">
    <w:nsid w:val="63FB6250"/>
    <w:multiLevelType w:val="hybridMultilevel"/>
    <w:tmpl w:val="AC40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721099"/>
    <w:multiLevelType w:val="hybridMultilevel"/>
    <w:tmpl w:val="E496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81669"/>
    <w:multiLevelType w:val="hybridMultilevel"/>
    <w:tmpl w:val="F964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BA4905"/>
    <w:multiLevelType w:val="hybridMultilevel"/>
    <w:tmpl w:val="FE22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FD2A03"/>
    <w:multiLevelType w:val="hybridMultilevel"/>
    <w:tmpl w:val="D84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E6E58"/>
    <w:multiLevelType w:val="hybridMultilevel"/>
    <w:tmpl w:val="0F5C94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75713CC6"/>
    <w:multiLevelType w:val="hybridMultilevel"/>
    <w:tmpl w:val="81AE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E3507"/>
    <w:multiLevelType w:val="hybridMultilevel"/>
    <w:tmpl w:val="039CF6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90F0AD1"/>
    <w:multiLevelType w:val="hybridMultilevel"/>
    <w:tmpl w:val="479E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8B0F06"/>
    <w:multiLevelType w:val="multilevel"/>
    <w:tmpl w:val="2188B97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 w15:restartNumberingAfterBreak="0">
    <w:nsid w:val="7B3F6E6E"/>
    <w:multiLevelType w:val="hybridMultilevel"/>
    <w:tmpl w:val="71AA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105B01"/>
    <w:multiLevelType w:val="hybridMultilevel"/>
    <w:tmpl w:val="F4C49E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1"/>
  </w:num>
  <w:num w:numId="3">
    <w:abstractNumId w:val="6"/>
  </w:num>
  <w:num w:numId="4">
    <w:abstractNumId w:val="12"/>
  </w:num>
  <w:num w:numId="5">
    <w:abstractNumId w:val="28"/>
  </w:num>
  <w:num w:numId="6">
    <w:abstractNumId w:val="40"/>
  </w:num>
  <w:num w:numId="7">
    <w:abstractNumId w:val="30"/>
  </w:num>
  <w:num w:numId="8">
    <w:abstractNumId w:val="36"/>
  </w:num>
  <w:num w:numId="9">
    <w:abstractNumId w:val="24"/>
  </w:num>
  <w:num w:numId="10">
    <w:abstractNumId w:val="5"/>
  </w:num>
  <w:num w:numId="11">
    <w:abstractNumId w:val="0"/>
  </w:num>
  <w:num w:numId="12">
    <w:abstractNumId w:val="27"/>
  </w:num>
  <w:num w:numId="13">
    <w:abstractNumId w:val="42"/>
  </w:num>
  <w:num w:numId="14">
    <w:abstractNumId w:val="38"/>
  </w:num>
  <w:num w:numId="15">
    <w:abstractNumId w:val="17"/>
  </w:num>
  <w:num w:numId="16">
    <w:abstractNumId w:val="23"/>
  </w:num>
  <w:num w:numId="17">
    <w:abstractNumId w:val="22"/>
  </w:num>
  <w:num w:numId="18">
    <w:abstractNumId w:val="20"/>
  </w:num>
  <w:num w:numId="19">
    <w:abstractNumId w:val="33"/>
  </w:num>
  <w:num w:numId="20">
    <w:abstractNumId w:val="2"/>
  </w:num>
  <w:num w:numId="21">
    <w:abstractNumId w:val="32"/>
  </w:num>
  <w:num w:numId="22">
    <w:abstractNumId w:val="21"/>
  </w:num>
  <w:num w:numId="23">
    <w:abstractNumId w:val="41"/>
  </w:num>
  <w:num w:numId="24">
    <w:abstractNumId w:val="13"/>
  </w:num>
  <w:num w:numId="25">
    <w:abstractNumId w:val="29"/>
  </w:num>
  <w:num w:numId="26">
    <w:abstractNumId w:val="37"/>
  </w:num>
  <w:num w:numId="27">
    <w:abstractNumId w:val="8"/>
  </w:num>
  <w:num w:numId="28">
    <w:abstractNumId w:val="16"/>
  </w:num>
  <w:num w:numId="29">
    <w:abstractNumId w:val="25"/>
  </w:num>
  <w:num w:numId="30">
    <w:abstractNumId w:val="39"/>
  </w:num>
  <w:num w:numId="31">
    <w:abstractNumId w:val="3"/>
  </w:num>
  <w:num w:numId="32">
    <w:abstractNumId w:val="26"/>
  </w:num>
  <w:num w:numId="33">
    <w:abstractNumId w:val="4"/>
  </w:num>
  <w:num w:numId="34">
    <w:abstractNumId w:val="11"/>
  </w:num>
  <w:num w:numId="35">
    <w:abstractNumId w:val="19"/>
  </w:num>
  <w:num w:numId="36">
    <w:abstractNumId w:val="31"/>
  </w:num>
  <w:num w:numId="37">
    <w:abstractNumId w:val="18"/>
  </w:num>
  <w:num w:numId="38">
    <w:abstractNumId w:val="14"/>
  </w:num>
  <w:num w:numId="39">
    <w:abstractNumId w:val="34"/>
  </w:num>
  <w:num w:numId="40">
    <w:abstractNumId w:val="35"/>
  </w:num>
  <w:num w:numId="41">
    <w:abstractNumId w:val="9"/>
  </w:num>
  <w:num w:numId="42">
    <w:abstractNumId w:val="15"/>
  </w:num>
  <w:num w:numId="4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onsecutiveHyphenLimit w:val="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E9C"/>
    <w:rsid w:val="00000450"/>
    <w:rsid w:val="00000F2A"/>
    <w:rsid w:val="0000104F"/>
    <w:rsid w:val="0000106D"/>
    <w:rsid w:val="00001E52"/>
    <w:rsid w:val="00003114"/>
    <w:rsid w:val="000031F4"/>
    <w:rsid w:val="000038E6"/>
    <w:rsid w:val="00003CD6"/>
    <w:rsid w:val="00003DD8"/>
    <w:rsid w:val="00004255"/>
    <w:rsid w:val="00004CC0"/>
    <w:rsid w:val="00005600"/>
    <w:rsid w:val="00005763"/>
    <w:rsid w:val="00005B08"/>
    <w:rsid w:val="0000650D"/>
    <w:rsid w:val="00006E35"/>
    <w:rsid w:val="0000793E"/>
    <w:rsid w:val="000102D3"/>
    <w:rsid w:val="0001063D"/>
    <w:rsid w:val="00010664"/>
    <w:rsid w:val="00012020"/>
    <w:rsid w:val="0001229A"/>
    <w:rsid w:val="000122F7"/>
    <w:rsid w:val="00012C76"/>
    <w:rsid w:val="000144E0"/>
    <w:rsid w:val="00014537"/>
    <w:rsid w:val="00014DEF"/>
    <w:rsid w:val="00015143"/>
    <w:rsid w:val="0001588C"/>
    <w:rsid w:val="000159D3"/>
    <w:rsid w:val="00015CFA"/>
    <w:rsid w:val="00016280"/>
    <w:rsid w:val="00017F7B"/>
    <w:rsid w:val="000200BA"/>
    <w:rsid w:val="000201A6"/>
    <w:rsid w:val="00021814"/>
    <w:rsid w:val="000223C8"/>
    <w:rsid w:val="00022C5F"/>
    <w:rsid w:val="000245D5"/>
    <w:rsid w:val="00026936"/>
    <w:rsid w:val="00026C1E"/>
    <w:rsid w:val="000276EC"/>
    <w:rsid w:val="000279DD"/>
    <w:rsid w:val="00027A01"/>
    <w:rsid w:val="00027C4E"/>
    <w:rsid w:val="00027C8F"/>
    <w:rsid w:val="00030F62"/>
    <w:rsid w:val="00033CDA"/>
    <w:rsid w:val="00033CF3"/>
    <w:rsid w:val="00033E6D"/>
    <w:rsid w:val="000354F3"/>
    <w:rsid w:val="00035B18"/>
    <w:rsid w:val="00036A4E"/>
    <w:rsid w:val="00036F9D"/>
    <w:rsid w:val="0004210C"/>
    <w:rsid w:val="000424BD"/>
    <w:rsid w:val="0004255B"/>
    <w:rsid w:val="00043BBC"/>
    <w:rsid w:val="00044888"/>
    <w:rsid w:val="000449BE"/>
    <w:rsid w:val="00044A4C"/>
    <w:rsid w:val="00044C7A"/>
    <w:rsid w:val="0004523E"/>
    <w:rsid w:val="0004544D"/>
    <w:rsid w:val="00045B90"/>
    <w:rsid w:val="000467D1"/>
    <w:rsid w:val="00046D16"/>
    <w:rsid w:val="00050382"/>
    <w:rsid w:val="000508B1"/>
    <w:rsid w:val="00051FA0"/>
    <w:rsid w:val="000523C8"/>
    <w:rsid w:val="0005295F"/>
    <w:rsid w:val="000529C7"/>
    <w:rsid w:val="000529FD"/>
    <w:rsid w:val="00053683"/>
    <w:rsid w:val="00055604"/>
    <w:rsid w:val="00055719"/>
    <w:rsid w:val="00056060"/>
    <w:rsid w:val="000603CE"/>
    <w:rsid w:val="000606CB"/>
    <w:rsid w:val="000610DA"/>
    <w:rsid w:val="0006191C"/>
    <w:rsid w:val="00061F53"/>
    <w:rsid w:val="00063041"/>
    <w:rsid w:val="000630EC"/>
    <w:rsid w:val="000640C0"/>
    <w:rsid w:val="000656F2"/>
    <w:rsid w:val="00065C54"/>
    <w:rsid w:val="00065DD3"/>
    <w:rsid w:val="0006674D"/>
    <w:rsid w:val="000670F8"/>
    <w:rsid w:val="00070AE7"/>
    <w:rsid w:val="00074945"/>
    <w:rsid w:val="00074CCD"/>
    <w:rsid w:val="00075000"/>
    <w:rsid w:val="00075184"/>
    <w:rsid w:val="0007579C"/>
    <w:rsid w:val="000760E5"/>
    <w:rsid w:val="00076A5C"/>
    <w:rsid w:val="00080652"/>
    <w:rsid w:val="00080B55"/>
    <w:rsid w:val="00080D3B"/>
    <w:rsid w:val="000814CD"/>
    <w:rsid w:val="000816D6"/>
    <w:rsid w:val="00081E07"/>
    <w:rsid w:val="00082AC9"/>
    <w:rsid w:val="00082EF3"/>
    <w:rsid w:val="000831F5"/>
    <w:rsid w:val="0008472B"/>
    <w:rsid w:val="00085042"/>
    <w:rsid w:val="00085C3F"/>
    <w:rsid w:val="00087539"/>
    <w:rsid w:val="00087ACB"/>
    <w:rsid w:val="00087F63"/>
    <w:rsid w:val="00090643"/>
    <w:rsid w:val="000924C7"/>
    <w:rsid w:val="0009290A"/>
    <w:rsid w:val="00092BFB"/>
    <w:rsid w:val="00092F2D"/>
    <w:rsid w:val="000933CC"/>
    <w:rsid w:val="000944D0"/>
    <w:rsid w:val="0009549D"/>
    <w:rsid w:val="00096265"/>
    <w:rsid w:val="00096482"/>
    <w:rsid w:val="00096C1A"/>
    <w:rsid w:val="00096DA7"/>
    <w:rsid w:val="000A0370"/>
    <w:rsid w:val="000A092D"/>
    <w:rsid w:val="000A0F66"/>
    <w:rsid w:val="000A1385"/>
    <w:rsid w:val="000A1D08"/>
    <w:rsid w:val="000A1E89"/>
    <w:rsid w:val="000A1F38"/>
    <w:rsid w:val="000A2044"/>
    <w:rsid w:val="000A230A"/>
    <w:rsid w:val="000A2698"/>
    <w:rsid w:val="000A3E70"/>
    <w:rsid w:val="000A3ED7"/>
    <w:rsid w:val="000A4CEB"/>
    <w:rsid w:val="000A6808"/>
    <w:rsid w:val="000A6E79"/>
    <w:rsid w:val="000B04B1"/>
    <w:rsid w:val="000B1B71"/>
    <w:rsid w:val="000B1D6A"/>
    <w:rsid w:val="000B21CE"/>
    <w:rsid w:val="000B2B38"/>
    <w:rsid w:val="000B3205"/>
    <w:rsid w:val="000B3B8A"/>
    <w:rsid w:val="000B3BD0"/>
    <w:rsid w:val="000B45E7"/>
    <w:rsid w:val="000B489F"/>
    <w:rsid w:val="000B4EA4"/>
    <w:rsid w:val="000B5D09"/>
    <w:rsid w:val="000B66E7"/>
    <w:rsid w:val="000B67BB"/>
    <w:rsid w:val="000B6930"/>
    <w:rsid w:val="000B6998"/>
    <w:rsid w:val="000B6A3E"/>
    <w:rsid w:val="000B78F8"/>
    <w:rsid w:val="000B799E"/>
    <w:rsid w:val="000C1032"/>
    <w:rsid w:val="000C1F20"/>
    <w:rsid w:val="000C2F2E"/>
    <w:rsid w:val="000C3832"/>
    <w:rsid w:val="000C38A6"/>
    <w:rsid w:val="000C392F"/>
    <w:rsid w:val="000C3A14"/>
    <w:rsid w:val="000C3D4B"/>
    <w:rsid w:val="000C3F55"/>
    <w:rsid w:val="000C4191"/>
    <w:rsid w:val="000C4554"/>
    <w:rsid w:val="000C5C7D"/>
    <w:rsid w:val="000C5CFD"/>
    <w:rsid w:val="000C67F1"/>
    <w:rsid w:val="000C6C73"/>
    <w:rsid w:val="000D284D"/>
    <w:rsid w:val="000D2F84"/>
    <w:rsid w:val="000D45AC"/>
    <w:rsid w:val="000D4DE6"/>
    <w:rsid w:val="000D5338"/>
    <w:rsid w:val="000D5366"/>
    <w:rsid w:val="000D61B3"/>
    <w:rsid w:val="000D75A7"/>
    <w:rsid w:val="000E2DD8"/>
    <w:rsid w:val="000E30D9"/>
    <w:rsid w:val="000E41B0"/>
    <w:rsid w:val="000E4292"/>
    <w:rsid w:val="000E56E7"/>
    <w:rsid w:val="000E5DA3"/>
    <w:rsid w:val="000E5FC1"/>
    <w:rsid w:val="000F1082"/>
    <w:rsid w:val="000F1249"/>
    <w:rsid w:val="000F1BF9"/>
    <w:rsid w:val="000F2399"/>
    <w:rsid w:val="000F297E"/>
    <w:rsid w:val="000F4590"/>
    <w:rsid w:val="000F46FC"/>
    <w:rsid w:val="000F4B39"/>
    <w:rsid w:val="000F63F4"/>
    <w:rsid w:val="000F79DE"/>
    <w:rsid w:val="00100392"/>
    <w:rsid w:val="00100696"/>
    <w:rsid w:val="00101DC1"/>
    <w:rsid w:val="00102E77"/>
    <w:rsid w:val="00104497"/>
    <w:rsid w:val="001048A8"/>
    <w:rsid w:val="00104B7F"/>
    <w:rsid w:val="00104D50"/>
    <w:rsid w:val="001055E3"/>
    <w:rsid w:val="001100A4"/>
    <w:rsid w:val="00110978"/>
    <w:rsid w:val="0011218B"/>
    <w:rsid w:val="001122BF"/>
    <w:rsid w:val="001132EE"/>
    <w:rsid w:val="00113A53"/>
    <w:rsid w:val="00113F37"/>
    <w:rsid w:val="0011457C"/>
    <w:rsid w:val="00114B92"/>
    <w:rsid w:val="00114E05"/>
    <w:rsid w:val="00115168"/>
    <w:rsid w:val="00115438"/>
    <w:rsid w:val="00115AD3"/>
    <w:rsid w:val="00116F79"/>
    <w:rsid w:val="0011753C"/>
    <w:rsid w:val="00120469"/>
    <w:rsid w:val="00122E57"/>
    <w:rsid w:val="001243FE"/>
    <w:rsid w:val="00125E8C"/>
    <w:rsid w:val="00125F56"/>
    <w:rsid w:val="00126589"/>
    <w:rsid w:val="00126BE0"/>
    <w:rsid w:val="00127392"/>
    <w:rsid w:val="00127FC6"/>
    <w:rsid w:val="001300B0"/>
    <w:rsid w:val="0013070E"/>
    <w:rsid w:val="00130E23"/>
    <w:rsid w:val="00130F3B"/>
    <w:rsid w:val="001311AC"/>
    <w:rsid w:val="0013241A"/>
    <w:rsid w:val="00132737"/>
    <w:rsid w:val="00132824"/>
    <w:rsid w:val="00132C15"/>
    <w:rsid w:val="001330ED"/>
    <w:rsid w:val="001332C2"/>
    <w:rsid w:val="00133F16"/>
    <w:rsid w:val="00133F58"/>
    <w:rsid w:val="00133F7A"/>
    <w:rsid w:val="0013437B"/>
    <w:rsid w:val="001344CF"/>
    <w:rsid w:val="00134543"/>
    <w:rsid w:val="001347A2"/>
    <w:rsid w:val="00135F3B"/>
    <w:rsid w:val="00136A52"/>
    <w:rsid w:val="00136CA1"/>
    <w:rsid w:val="00136EE8"/>
    <w:rsid w:val="00140F0A"/>
    <w:rsid w:val="001413D7"/>
    <w:rsid w:val="00141C15"/>
    <w:rsid w:val="0014303F"/>
    <w:rsid w:val="00143C65"/>
    <w:rsid w:val="001456A1"/>
    <w:rsid w:val="00145767"/>
    <w:rsid w:val="001461DC"/>
    <w:rsid w:val="00147092"/>
    <w:rsid w:val="00147E67"/>
    <w:rsid w:val="00147EFF"/>
    <w:rsid w:val="001501E0"/>
    <w:rsid w:val="0015038E"/>
    <w:rsid w:val="0015059D"/>
    <w:rsid w:val="00150A11"/>
    <w:rsid w:val="00150F18"/>
    <w:rsid w:val="00151993"/>
    <w:rsid w:val="00151EC9"/>
    <w:rsid w:val="00152164"/>
    <w:rsid w:val="00154270"/>
    <w:rsid w:val="0015471B"/>
    <w:rsid w:val="0015471C"/>
    <w:rsid w:val="0015518D"/>
    <w:rsid w:val="001577A0"/>
    <w:rsid w:val="001600A3"/>
    <w:rsid w:val="00160E7E"/>
    <w:rsid w:val="00161CC1"/>
    <w:rsid w:val="00163A56"/>
    <w:rsid w:val="001655ED"/>
    <w:rsid w:val="00165738"/>
    <w:rsid w:val="00170A6B"/>
    <w:rsid w:val="001714A3"/>
    <w:rsid w:val="00171688"/>
    <w:rsid w:val="00171F1F"/>
    <w:rsid w:val="001722D9"/>
    <w:rsid w:val="0017270D"/>
    <w:rsid w:val="00172DBF"/>
    <w:rsid w:val="0017434F"/>
    <w:rsid w:val="00174993"/>
    <w:rsid w:val="00175921"/>
    <w:rsid w:val="00176BC8"/>
    <w:rsid w:val="00176EF8"/>
    <w:rsid w:val="0017759E"/>
    <w:rsid w:val="00180644"/>
    <w:rsid w:val="00181AC7"/>
    <w:rsid w:val="00181D12"/>
    <w:rsid w:val="00183068"/>
    <w:rsid w:val="001839AC"/>
    <w:rsid w:val="00183CAD"/>
    <w:rsid w:val="00183D58"/>
    <w:rsid w:val="00184059"/>
    <w:rsid w:val="00184E78"/>
    <w:rsid w:val="00185C04"/>
    <w:rsid w:val="00186650"/>
    <w:rsid w:val="00186B5C"/>
    <w:rsid w:val="0018717A"/>
    <w:rsid w:val="00187D4F"/>
    <w:rsid w:val="0019020B"/>
    <w:rsid w:val="00190D75"/>
    <w:rsid w:val="00191EE6"/>
    <w:rsid w:val="00192054"/>
    <w:rsid w:val="00192500"/>
    <w:rsid w:val="001929D8"/>
    <w:rsid w:val="00192CD8"/>
    <w:rsid w:val="001932CA"/>
    <w:rsid w:val="00193AA4"/>
    <w:rsid w:val="00194311"/>
    <w:rsid w:val="00194996"/>
    <w:rsid w:val="00194A77"/>
    <w:rsid w:val="00194C0D"/>
    <w:rsid w:val="00195018"/>
    <w:rsid w:val="00195AD6"/>
    <w:rsid w:val="001960CF"/>
    <w:rsid w:val="001A0A7A"/>
    <w:rsid w:val="001A22E0"/>
    <w:rsid w:val="001A2351"/>
    <w:rsid w:val="001A2CC0"/>
    <w:rsid w:val="001A48AB"/>
    <w:rsid w:val="001A4A22"/>
    <w:rsid w:val="001A4E05"/>
    <w:rsid w:val="001A4E34"/>
    <w:rsid w:val="001A5049"/>
    <w:rsid w:val="001A52C4"/>
    <w:rsid w:val="001A5B12"/>
    <w:rsid w:val="001A70E2"/>
    <w:rsid w:val="001A7FFB"/>
    <w:rsid w:val="001B1225"/>
    <w:rsid w:val="001B156B"/>
    <w:rsid w:val="001B17B3"/>
    <w:rsid w:val="001B1C2D"/>
    <w:rsid w:val="001B25BA"/>
    <w:rsid w:val="001B33B9"/>
    <w:rsid w:val="001B38A9"/>
    <w:rsid w:val="001B3A24"/>
    <w:rsid w:val="001B40BD"/>
    <w:rsid w:val="001B5067"/>
    <w:rsid w:val="001B6AF1"/>
    <w:rsid w:val="001B6F14"/>
    <w:rsid w:val="001C00B0"/>
    <w:rsid w:val="001C078B"/>
    <w:rsid w:val="001C07E5"/>
    <w:rsid w:val="001C111F"/>
    <w:rsid w:val="001C2256"/>
    <w:rsid w:val="001C297B"/>
    <w:rsid w:val="001C32FF"/>
    <w:rsid w:val="001C3FFD"/>
    <w:rsid w:val="001C459B"/>
    <w:rsid w:val="001C49AA"/>
    <w:rsid w:val="001C57F5"/>
    <w:rsid w:val="001C66B8"/>
    <w:rsid w:val="001C70B2"/>
    <w:rsid w:val="001C722A"/>
    <w:rsid w:val="001C7B3C"/>
    <w:rsid w:val="001C7DBC"/>
    <w:rsid w:val="001C7F26"/>
    <w:rsid w:val="001D0009"/>
    <w:rsid w:val="001D09B7"/>
    <w:rsid w:val="001D0CE1"/>
    <w:rsid w:val="001D1188"/>
    <w:rsid w:val="001D1661"/>
    <w:rsid w:val="001D21A0"/>
    <w:rsid w:val="001D275E"/>
    <w:rsid w:val="001D2838"/>
    <w:rsid w:val="001D3405"/>
    <w:rsid w:val="001D3F00"/>
    <w:rsid w:val="001D449D"/>
    <w:rsid w:val="001E09C6"/>
    <w:rsid w:val="001E1222"/>
    <w:rsid w:val="001E2097"/>
    <w:rsid w:val="001E2255"/>
    <w:rsid w:val="001E24F6"/>
    <w:rsid w:val="001E2E16"/>
    <w:rsid w:val="001E3F8E"/>
    <w:rsid w:val="001E5214"/>
    <w:rsid w:val="001E7A37"/>
    <w:rsid w:val="001F0669"/>
    <w:rsid w:val="001F0D2D"/>
    <w:rsid w:val="001F1002"/>
    <w:rsid w:val="001F1176"/>
    <w:rsid w:val="001F12A9"/>
    <w:rsid w:val="001F1315"/>
    <w:rsid w:val="001F1676"/>
    <w:rsid w:val="001F2177"/>
    <w:rsid w:val="001F2246"/>
    <w:rsid w:val="001F2E9A"/>
    <w:rsid w:val="001F3318"/>
    <w:rsid w:val="001F36BF"/>
    <w:rsid w:val="001F4103"/>
    <w:rsid w:val="001F4316"/>
    <w:rsid w:val="001F449F"/>
    <w:rsid w:val="001F4BAD"/>
    <w:rsid w:val="001F5182"/>
    <w:rsid w:val="001F5C06"/>
    <w:rsid w:val="001F5D23"/>
    <w:rsid w:val="001F5FFC"/>
    <w:rsid w:val="001F617E"/>
    <w:rsid w:val="001F6295"/>
    <w:rsid w:val="001F6B93"/>
    <w:rsid w:val="001F72E4"/>
    <w:rsid w:val="001F75B1"/>
    <w:rsid w:val="00200199"/>
    <w:rsid w:val="002001F4"/>
    <w:rsid w:val="00200841"/>
    <w:rsid w:val="00201DF1"/>
    <w:rsid w:val="002025E6"/>
    <w:rsid w:val="00202E44"/>
    <w:rsid w:val="00203051"/>
    <w:rsid w:val="00204798"/>
    <w:rsid w:val="00205140"/>
    <w:rsid w:val="00205527"/>
    <w:rsid w:val="0020593C"/>
    <w:rsid w:val="00205CDF"/>
    <w:rsid w:val="00206402"/>
    <w:rsid w:val="0020727F"/>
    <w:rsid w:val="002104DF"/>
    <w:rsid w:val="00211C95"/>
    <w:rsid w:val="00212325"/>
    <w:rsid w:val="002123AF"/>
    <w:rsid w:val="002127DA"/>
    <w:rsid w:val="00213693"/>
    <w:rsid w:val="00213756"/>
    <w:rsid w:val="0021476B"/>
    <w:rsid w:val="00216C95"/>
    <w:rsid w:val="0021730C"/>
    <w:rsid w:val="00217B31"/>
    <w:rsid w:val="00220FCE"/>
    <w:rsid w:val="0022102A"/>
    <w:rsid w:val="00221866"/>
    <w:rsid w:val="00221D71"/>
    <w:rsid w:val="00221E0F"/>
    <w:rsid w:val="00222BD4"/>
    <w:rsid w:val="00223099"/>
    <w:rsid w:val="00224D2B"/>
    <w:rsid w:val="00224D32"/>
    <w:rsid w:val="0022684A"/>
    <w:rsid w:val="00227E1F"/>
    <w:rsid w:val="00227E95"/>
    <w:rsid w:val="0023080E"/>
    <w:rsid w:val="00230BBB"/>
    <w:rsid w:val="0023181B"/>
    <w:rsid w:val="00231B3A"/>
    <w:rsid w:val="0023283D"/>
    <w:rsid w:val="00232ED5"/>
    <w:rsid w:val="00233204"/>
    <w:rsid w:val="00235171"/>
    <w:rsid w:val="00235E58"/>
    <w:rsid w:val="00235F2C"/>
    <w:rsid w:val="00236752"/>
    <w:rsid w:val="00237098"/>
    <w:rsid w:val="00237D7B"/>
    <w:rsid w:val="002402F8"/>
    <w:rsid w:val="002404ED"/>
    <w:rsid w:val="00241291"/>
    <w:rsid w:val="00241295"/>
    <w:rsid w:val="002418D1"/>
    <w:rsid w:val="00242F93"/>
    <w:rsid w:val="00243E9A"/>
    <w:rsid w:val="00243FE8"/>
    <w:rsid w:val="00244681"/>
    <w:rsid w:val="00244F0F"/>
    <w:rsid w:val="0024508F"/>
    <w:rsid w:val="0024523D"/>
    <w:rsid w:val="00245282"/>
    <w:rsid w:val="002453CE"/>
    <w:rsid w:val="00245DAB"/>
    <w:rsid w:val="00246918"/>
    <w:rsid w:val="0024703B"/>
    <w:rsid w:val="00247064"/>
    <w:rsid w:val="00250295"/>
    <w:rsid w:val="002503D5"/>
    <w:rsid w:val="002509C7"/>
    <w:rsid w:val="002510B9"/>
    <w:rsid w:val="00251EFE"/>
    <w:rsid w:val="00252844"/>
    <w:rsid w:val="00252A6D"/>
    <w:rsid w:val="00252C96"/>
    <w:rsid w:val="00253241"/>
    <w:rsid w:val="00254561"/>
    <w:rsid w:val="00254658"/>
    <w:rsid w:val="0025551F"/>
    <w:rsid w:val="002557D8"/>
    <w:rsid w:val="002560A8"/>
    <w:rsid w:val="002570C6"/>
    <w:rsid w:val="00257B31"/>
    <w:rsid w:val="00260DD2"/>
    <w:rsid w:val="0026175E"/>
    <w:rsid w:val="00261F6F"/>
    <w:rsid w:val="00262AB7"/>
    <w:rsid w:val="002637A0"/>
    <w:rsid w:val="002638D5"/>
    <w:rsid w:val="002639A8"/>
    <w:rsid w:val="00264596"/>
    <w:rsid w:val="00264D40"/>
    <w:rsid w:val="00265667"/>
    <w:rsid w:val="00265904"/>
    <w:rsid w:val="00266693"/>
    <w:rsid w:val="00271936"/>
    <w:rsid w:val="00272BF1"/>
    <w:rsid w:val="00273A16"/>
    <w:rsid w:val="00273D30"/>
    <w:rsid w:val="0027496B"/>
    <w:rsid w:val="00274F06"/>
    <w:rsid w:val="002754C5"/>
    <w:rsid w:val="0027572A"/>
    <w:rsid w:val="00275E05"/>
    <w:rsid w:val="00277754"/>
    <w:rsid w:val="00280550"/>
    <w:rsid w:val="002809DE"/>
    <w:rsid w:val="00280D22"/>
    <w:rsid w:val="00280F5D"/>
    <w:rsid w:val="00281903"/>
    <w:rsid w:val="00281B46"/>
    <w:rsid w:val="00284C1A"/>
    <w:rsid w:val="00285E3A"/>
    <w:rsid w:val="00290461"/>
    <w:rsid w:val="00290978"/>
    <w:rsid w:val="00290A7A"/>
    <w:rsid w:val="002928DD"/>
    <w:rsid w:val="00293832"/>
    <w:rsid w:val="002944FC"/>
    <w:rsid w:val="00294FF0"/>
    <w:rsid w:val="00295075"/>
    <w:rsid w:val="00295B24"/>
    <w:rsid w:val="00295E49"/>
    <w:rsid w:val="002968E7"/>
    <w:rsid w:val="00296A93"/>
    <w:rsid w:val="00296C91"/>
    <w:rsid w:val="00296EC2"/>
    <w:rsid w:val="002972C8"/>
    <w:rsid w:val="002975AD"/>
    <w:rsid w:val="00297988"/>
    <w:rsid w:val="002A0827"/>
    <w:rsid w:val="002A089D"/>
    <w:rsid w:val="002A0E09"/>
    <w:rsid w:val="002A16DF"/>
    <w:rsid w:val="002A2106"/>
    <w:rsid w:val="002A37AF"/>
    <w:rsid w:val="002A3E5B"/>
    <w:rsid w:val="002A403C"/>
    <w:rsid w:val="002A430A"/>
    <w:rsid w:val="002A4FF0"/>
    <w:rsid w:val="002A576F"/>
    <w:rsid w:val="002A58AE"/>
    <w:rsid w:val="002A58BC"/>
    <w:rsid w:val="002A5925"/>
    <w:rsid w:val="002A5CF4"/>
    <w:rsid w:val="002A5EB9"/>
    <w:rsid w:val="002A613E"/>
    <w:rsid w:val="002A7A30"/>
    <w:rsid w:val="002B048A"/>
    <w:rsid w:val="002B04F7"/>
    <w:rsid w:val="002B0691"/>
    <w:rsid w:val="002B09DF"/>
    <w:rsid w:val="002B24CF"/>
    <w:rsid w:val="002B278A"/>
    <w:rsid w:val="002B2F49"/>
    <w:rsid w:val="002B3215"/>
    <w:rsid w:val="002B4D87"/>
    <w:rsid w:val="002B510B"/>
    <w:rsid w:val="002B59BA"/>
    <w:rsid w:val="002B742F"/>
    <w:rsid w:val="002B7F1A"/>
    <w:rsid w:val="002C12FD"/>
    <w:rsid w:val="002C17A6"/>
    <w:rsid w:val="002C2B20"/>
    <w:rsid w:val="002C3236"/>
    <w:rsid w:val="002C4671"/>
    <w:rsid w:val="002C4C33"/>
    <w:rsid w:val="002C516A"/>
    <w:rsid w:val="002C5AF7"/>
    <w:rsid w:val="002C5C4C"/>
    <w:rsid w:val="002C6A06"/>
    <w:rsid w:val="002C6BD0"/>
    <w:rsid w:val="002C7FE3"/>
    <w:rsid w:val="002D0EC1"/>
    <w:rsid w:val="002D0FA2"/>
    <w:rsid w:val="002D195D"/>
    <w:rsid w:val="002D1A95"/>
    <w:rsid w:val="002D1C71"/>
    <w:rsid w:val="002D22FE"/>
    <w:rsid w:val="002D26A9"/>
    <w:rsid w:val="002D2941"/>
    <w:rsid w:val="002D2AEC"/>
    <w:rsid w:val="002D3233"/>
    <w:rsid w:val="002D397B"/>
    <w:rsid w:val="002D4458"/>
    <w:rsid w:val="002D5119"/>
    <w:rsid w:val="002D5308"/>
    <w:rsid w:val="002D59BA"/>
    <w:rsid w:val="002D5F4A"/>
    <w:rsid w:val="002D6177"/>
    <w:rsid w:val="002D6275"/>
    <w:rsid w:val="002D6D82"/>
    <w:rsid w:val="002D79AE"/>
    <w:rsid w:val="002D7C5D"/>
    <w:rsid w:val="002D7D54"/>
    <w:rsid w:val="002E0916"/>
    <w:rsid w:val="002E09FB"/>
    <w:rsid w:val="002E13F9"/>
    <w:rsid w:val="002E14D4"/>
    <w:rsid w:val="002E1C81"/>
    <w:rsid w:val="002E2072"/>
    <w:rsid w:val="002E2131"/>
    <w:rsid w:val="002E38AC"/>
    <w:rsid w:val="002E5F16"/>
    <w:rsid w:val="002E6E2A"/>
    <w:rsid w:val="002E7048"/>
    <w:rsid w:val="002E7D68"/>
    <w:rsid w:val="002F0422"/>
    <w:rsid w:val="002F0A42"/>
    <w:rsid w:val="002F31D0"/>
    <w:rsid w:val="002F3889"/>
    <w:rsid w:val="002F53DC"/>
    <w:rsid w:val="002F5620"/>
    <w:rsid w:val="002F5F11"/>
    <w:rsid w:val="003004A9"/>
    <w:rsid w:val="00300861"/>
    <w:rsid w:val="003008CC"/>
    <w:rsid w:val="0030124C"/>
    <w:rsid w:val="003018DD"/>
    <w:rsid w:val="0030211C"/>
    <w:rsid w:val="003026E4"/>
    <w:rsid w:val="0030322C"/>
    <w:rsid w:val="0030385F"/>
    <w:rsid w:val="00304327"/>
    <w:rsid w:val="0030466D"/>
    <w:rsid w:val="00304E92"/>
    <w:rsid w:val="00305699"/>
    <w:rsid w:val="003066DB"/>
    <w:rsid w:val="00306BD0"/>
    <w:rsid w:val="003075A6"/>
    <w:rsid w:val="00307669"/>
    <w:rsid w:val="00307B48"/>
    <w:rsid w:val="00310570"/>
    <w:rsid w:val="00310D78"/>
    <w:rsid w:val="0031183E"/>
    <w:rsid w:val="00312C74"/>
    <w:rsid w:val="003134C5"/>
    <w:rsid w:val="00314BFC"/>
    <w:rsid w:val="00314E94"/>
    <w:rsid w:val="0031547E"/>
    <w:rsid w:val="00315B3E"/>
    <w:rsid w:val="00316720"/>
    <w:rsid w:val="00317264"/>
    <w:rsid w:val="0031739D"/>
    <w:rsid w:val="00322D2C"/>
    <w:rsid w:val="00323759"/>
    <w:rsid w:val="003237B8"/>
    <w:rsid w:val="003238B8"/>
    <w:rsid w:val="00324830"/>
    <w:rsid w:val="00324F59"/>
    <w:rsid w:val="00324FEE"/>
    <w:rsid w:val="00325AF2"/>
    <w:rsid w:val="003261EF"/>
    <w:rsid w:val="00326448"/>
    <w:rsid w:val="00326AA1"/>
    <w:rsid w:val="00327207"/>
    <w:rsid w:val="00327BCB"/>
    <w:rsid w:val="003302DE"/>
    <w:rsid w:val="003308ED"/>
    <w:rsid w:val="00330A65"/>
    <w:rsid w:val="00330D2E"/>
    <w:rsid w:val="00332077"/>
    <w:rsid w:val="003321B8"/>
    <w:rsid w:val="00332941"/>
    <w:rsid w:val="00333406"/>
    <w:rsid w:val="00333C05"/>
    <w:rsid w:val="00333D61"/>
    <w:rsid w:val="00333F39"/>
    <w:rsid w:val="003363A2"/>
    <w:rsid w:val="00337799"/>
    <w:rsid w:val="003404E8"/>
    <w:rsid w:val="00340738"/>
    <w:rsid w:val="0034281C"/>
    <w:rsid w:val="003435D7"/>
    <w:rsid w:val="00343613"/>
    <w:rsid w:val="003439EB"/>
    <w:rsid w:val="003447C2"/>
    <w:rsid w:val="00347393"/>
    <w:rsid w:val="00347F37"/>
    <w:rsid w:val="0035098C"/>
    <w:rsid w:val="00350B08"/>
    <w:rsid w:val="00351A20"/>
    <w:rsid w:val="00351B78"/>
    <w:rsid w:val="00351CF2"/>
    <w:rsid w:val="00353061"/>
    <w:rsid w:val="003532ED"/>
    <w:rsid w:val="00353797"/>
    <w:rsid w:val="003539CB"/>
    <w:rsid w:val="00353C95"/>
    <w:rsid w:val="00354516"/>
    <w:rsid w:val="003549B2"/>
    <w:rsid w:val="00355DBA"/>
    <w:rsid w:val="0035692E"/>
    <w:rsid w:val="0035694E"/>
    <w:rsid w:val="00356A72"/>
    <w:rsid w:val="00356F2A"/>
    <w:rsid w:val="00360121"/>
    <w:rsid w:val="0036051A"/>
    <w:rsid w:val="0036051C"/>
    <w:rsid w:val="0036060E"/>
    <w:rsid w:val="00360DBD"/>
    <w:rsid w:val="00360F1B"/>
    <w:rsid w:val="00361C97"/>
    <w:rsid w:val="00362A7A"/>
    <w:rsid w:val="00362F71"/>
    <w:rsid w:val="0036335D"/>
    <w:rsid w:val="00363E48"/>
    <w:rsid w:val="003649E2"/>
    <w:rsid w:val="00364F0E"/>
    <w:rsid w:val="0036576E"/>
    <w:rsid w:val="00365940"/>
    <w:rsid w:val="00366A52"/>
    <w:rsid w:val="00366D92"/>
    <w:rsid w:val="00367D09"/>
    <w:rsid w:val="00370373"/>
    <w:rsid w:val="00371CBD"/>
    <w:rsid w:val="00372280"/>
    <w:rsid w:val="0037273B"/>
    <w:rsid w:val="0037274D"/>
    <w:rsid w:val="00372F45"/>
    <w:rsid w:val="0037349B"/>
    <w:rsid w:val="00374B22"/>
    <w:rsid w:val="00375191"/>
    <w:rsid w:val="00375AD9"/>
    <w:rsid w:val="00376753"/>
    <w:rsid w:val="00377A7F"/>
    <w:rsid w:val="0038013D"/>
    <w:rsid w:val="003809F1"/>
    <w:rsid w:val="00380B81"/>
    <w:rsid w:val="00380F2A"/>
    <w:rsid w:val="00381771"/>
    <w:rsid w:val="00381C35"/>
    <w:rsid w:val="00381D3F"/>
    <w:rsid w:val="00381EA6"/>
    <w:rsid w:val="00382D84"/>
    <w:rsid w:val="00384606"/>
    <w:rsid w:val="0038614C"/>
    <w:rsid w:val="00387FA6"/>
    <w:rsid w:val="00390B28"/>
    <w:rsid w:val="00390BCF"/>
    <w:rsid w:val="00390D66"/>
    <w:rsid w:val="00391254"/>
    <w:rsid w:val="0039209E"/>
    <w:rsid w:val="003925BC"/>
    <w:rsid w:val="003928E8"/>
    <w:rsid w:val="0039312F"/>
    <w:rsid w:val="00393363"/>
    <w:rsid w:val="0039345F"/>
    <w:rsid w:val="00393E65"/>
    <w:rsid w:val="00394518"/>
    <w:rsid w:val="00394AAD"/>
    <w:rsid w:val="00394D59"/>
    <w:rsid w:val="0039546D"/>
    <w:rsid w:val="00395912"/>
    <w:rsid w:val="003965F0"/>
    <w:rsid w:val="003968F4"/>
    <w:rsid w:val="00396B16"/>
    <w:rsid w:val="00396B78"/>
    <w:rsid w:val="00396B79"/>
    <w:rsid w:val="00397460"/>
    <w:rsid w:val="003974D7"/>
    <w:rsid w:val="003975D1"/>
    <w:rsid w:val="00397CA2"/>
    <w:rsid w:val="003A6200"/>
    <w:rsid w:val="003A734B"/>
    <w:rsid w:val="003A745A"/>
    <w:rsid w:val="003B0041"/>
    <w:rsid w:val="003B0199"/>
    <w:rsid w:val="003B0595"/>
    <w:rsid w:val="003B073D"/>
    <w:rsid w:val="003B08BD"/>
    <w:rsid w:val="003B1CCA"/>
    <w:rsid w:val="003B1F67"/>
    <w:rsid w:val="003B1F6E"/>
    <w:rsid w:val="003B246C"/>
    <w:rsid w:val="003B2A02"/>
    <w:rsid w:val="003B3A02"/>
    <w:rsid w:val="003B6AA6"/>
    <w:rsid w:val="003B751E"/>
    <w:rsid w:val="003C052F"/>
    <w:rsid w:val="003C0686"/>
    <w:rsid w:val="003C0C39"/>
    <w:rsid w:val="003C122B"/>
    <w:rsid w:val="003C1B59"/>
    <w:rsid w:val="003C25BC"/>
    <w:rsid w:val="003C31AD"/>
    <w:rsid w:val="003C38EB"/>
    <w:rsid w:val="003C4434"/>
    <w:rsid w:val="003C4FB7"/>
    <w:rsid w:val="003C6332"/>
    <w:rsid w:val="003C67D0"/>
    <w:rsid w:val="003C6D44"/>
    <w:rsid w:val="003C6D7E"/>
    <w:rsid w:val="003C6FC1"/>
    <w:rsid w:val="003C748F"/>
    <w:rsid w:val="003C77C8"/>
    <w:rsid w:val="003D0006"/>
    <w:rsid w:val="003D0103"/>
    <w:rsid w:val="003D0861"/>
    <w:rsid w:val="003D1783"/>
    <w:rsid w:val="003D19E3"/>
    <w:rsid w:val="003D1D95"/>
    <w:rsid w:val="003D3B7F"/>
    <w:rsid w:val="003D4A94"/>
    <w:rsid w:val="003D5412"/>
    <w:rsid w:val="003D5556"/>
    <w:rsid w:val="003D7CDA"/>
    <w:rsid w:val="003E0204"/>
    <w:rsid w:val="003E165E"/>
    <w:rsid w:val="003E227A"/>
    <w:rsid w:val="003E3929"/>
    <w:rsid w:val="003E3B29"/>
    <w:rsid w:val="003E49C2"/>
    <w:rsid w:val="003E4A16"/>
    <w:rsid w:val="003E4CE4"/>
    <w:rsid w:val="003E6DF2"/>
    <w:rsid w:val="003E7268"/>
    <w:rsid w:val="003E72B3"/>
    <w:rsid w:val="003E7F92"/>
    <w:rsid w:val="003F103D"/>
    <w:rsid w:val="003F10EB"/>
    <w:rsid w:val="003F2DF6"/>
    <w:rsid w:val="003F3237"/>
    <w:rsid w:val="003F386B"/>
    <w:rsid w:val="003F3F70"/>
    <w:rsid w:val="003F4258"/>
    <w:rsid w:val="003F436F"/>
    <w:rsid w:val="003F52A5"/>
    <w:rsid w:val="003F6C93"/>
    <w:rsid w:val="003F70AE"/>
    <w:rsid w:val="00401277"/>
    <w:rsid w:val="004014CF"/>
    <w:rsid w:val="004014DA"/>
    <w:rsid w:val="00401D18"/>
    <w:rsid w:val="00404322"/>
    <w:rsid w:val="00404883"/>
    <w:rsid w:val="004049EE"/>
    <w:rsid w:val="00404AED"/>
    <w:rsid w:val="00405031"/>
    <w:rsid w:val="004066C4"/>
    <w:rsid w:val="0040696D"/>
    <w:rsid w:val="00406CB2"/>
    <w:rsid w:val="00406E40"/>
    <w:rsid w:val="00407615"/>
    <w:rsid w:val="0041242E"/>
    <w:rsid w:val="00413737"/>
    <w:rsid w:val="00413789"/>
    <w:rsid w:val="00413BB1"/>
    <w:rsid w:val="00414559"/>
    <w:rsid w:val="00414693"/>
    <w:rsid w:val="00415855"/>
    <w:rsid w:val="00415A29"/>
    <w:rsid w:val="0041649F"/>
    <w:rsid w:val="004166A1"/>
    <w:rsid w:val="00416DF5"/>
    <w:rsid w:val="00416EEB"/>
    <w:rsid w:val="00417525"/>
    <w:rsid w:val="0041794D"/>
    <w:rsid w:val="004179FA"/>
    <w:rsid w:val="00417F47"/>
    <w:rsid w:val="00420ABD"/>
    <w:rsid w:val="00420ED1"/>
    <w:rsid w:val="00421100"/>
    <w:rsid w:val="004221BE"/>
    <w:rsid w:val="00422B87"/>
    <w:rsid w:val="00423355"/>
    <w:rsid w:val="00423BDD"/>
    <w:rsid w:val="0042478A"/>
    <w:rsid w:val="00425100"/>
    <w:rsid w:val="004251C4"/>
    <w:rsid w:val="00425388"/>
    <w:rsid w:val="00425456"/>
    <w:rsid w:val="00425C9E"/>
    <w:rsid w:val="00426C40"/>
    <w:rsid w:val="0042766B"/>
    <w:rsid w:val="00430D34"/>
    <w:rsid w:val="00430FDD"/>
    <w:rsid w:val="00431E52"/>
    <w:rsid w:val="00431F25"/>
    <w:rsid w:val="0043447D"/>
    <w:rsid w:val="00434859"/>
    <w:rsid w:val="004349C5"/>
    <w:rsid w:val="00434B65"/>
    <w:rsid w:val="004356B9"/>
    <w:rsid w:val="0043586F"/>
    <w:rsid w:val="00435AD4"/>
    <w:rsid w:val="00435BC4"/>
    <w:rsid w:val="0043628B"/>
    <w:rsid w:val="00436DB2"/>
    <w:rsid w:val="00436EC5"/>
    <w:rsid w:val="00436F02"/>
    <w:rsid w:val="0043797E"/>
    <w:rsid w:val="004420F4"/>
    <w:rsid w:val="0044216D"/>
    <w:rsid w:val="004424AE"/>
    <w:rsid w:val="00442950"/>
    <w:rsid w:val="004459E9"/>
    <w:rsid w:val="00445CE4"/>
    <w:rsid w:val="00445E84"/>
    <w:rsid w:val="00446449"/>
    <w:rsid w:val="00446EAE"/>
    <w:rsid w:val="00447442"/>
    <w:rsid w:val="004522A5"/>
    <w:rsid w:val="004528A2"/>
    <w:rsid w:val="00452D6B"/>
    <w:rsid w:val="0045387F"/>
    <w:rsid w:val="00453F3F"/>
    <w:rsid w:val="004553F5"/>
    <w:rsid w:val="00455CD0"/>
    <w:rsid w:val="00456394"/>
    <w:rsid w:val="00456B1C"/>
    <w:rsid w:val="00461A1B"/>
    <w:rsid w:val="00461B97"/>
    <w:rsid w:val="00461CCC"/>
    <w:rsid w:val="004631E6"/>
    <w:rsid w:val="00463A6B"/>
    <w:rsid w:val="00464655"/>
    <w:rsid w:val="00465F7F"/>
    <w:rsid w:val="00466D21"/>
    <w:rsid w:val="00466F2E"/>
    <w:rsid w:val="00467BE7"/>
    <w:rsid w:val="00470175"/>
    <w:rsid w:val="00471FFC"/>
    <w:rsid w:val="00473FA2"/>
    <w:rsid w:val="00473FEB"/>
    <w:rsid w:val="004743A5"/>
    <w:rsid w:val="00474680"/>
    <w:rsid w:val="00474C69"/>
    <w:rsid w:val="0047595E"/>
    <w:rsid w:val="00475C29"/>
    <w:rsid w:val="00475F98"/>
    <w:rsid w:val="00476342"/>
    <w:rsid w:val="00477F06"/>
    <w:rsid w:val="00477F68"/>
    <w:rsid w:val="004801FE"/>
    <w:rsid w:val="00480386"/>
    <w:rsid w:val="004818E5"/>
    <w:rsid w:val="00481A24"/>
    <w:rsid w:val="00482A70"/>
    <w:rsid w:val="00482F40"/>
    <w:rsid w:val="0048309F"/>
    <w:rsid w:val="0048328F"/>
    <w:rsid w:val="0048351C"/>
    <w:rsid w:val="00483C08"/>
    <w:rsid w:val="0048532F"/>
    <w:rsid w:val="00485971"/>
    <w:rsid w:val="00486468"/>
    <w:rsid w:val="00487E75"/>
    <w:rsid w:val="00490056"/>
    <w:rsid w:val="00490717"/>
    <w:rsid w:val="00490A09"/>
    <w:rsid w:val="00491E04"/>
    <w:rsid w:val="00494362"/>
    <w:rsid w:val="004947F8"/>
    <w:rsid w:val="00494E6D"/>
    <w:rsid w:val="00495462"/>
    <w:rsid w:val="004965F1"/>
    <w:rsid w:val="00497105"/>
    <w:rsid w:val="004976EF"/>
    <w:rsid w:val="004A000A"/>
    <w:rsid w:val="004A091C"/>
    <w:rsid w:val="004A12D2"/>
    <w:rsid w:val="004A28E3"/>
    <w:rsid w:val="004A2BBA"/>
    <w:rsid w:val="004A3A39"/>
    <w:rsid w:val="004A3BD8"/>
    <w:rsid w:val="004A439E"/>
    <w:rsid w:val="004A470F"/>
    <w:rsid w:val="004A4887"/>
    <w:rsid w:val="004A494E"/>
    <w:rsid w:val="004A4A9D"/>
    <w:rsid w:val="004A5164"/>
    <w:rsid w:val="004A577D"/>
    <w:rsid w:val="004A661E"/>
    <w:rsid w:val="004A66B1"/>
    <w:rsid w:val="004A6BF7"/>
    <w:rsid w:val="004A6E6D"/>
    <w:rsid w:val="004A77EC"/>
    <w:rsid w:val="004A7826"/>
    <w:rsid w:val="004A7E1C"/>
    <w:rsid w:val="004B0B4B"/>
    <w:rsid w:val="004B1AEA"/>
    <w:rsid w:val="004B1D62"/>
    <w:rsid w:val="004B22AE"/>
    <w:rsid w:val="004B2BF5"/>
    <w:rsid w:val="004B2D15"/>
    <w:rsid w:val="004B2E8C"/>
    <w:rsid w:val="004B360E"/>
    <w:rsid w:val="004B43A2"/>
    <w:rsid w:val="004B48FF"/>
    <w:rsid w:val="004B513F"/>
    <w:rsid w:val="004B660C"/>
    <w:rsid w:val="004B6CCA"/>
    <w:rsid w:val="004B6F92"/>
    <w:rsid w:val="004B7D8C"/>
    <w:rsid w:val="004B7E25"/>
    <w:rsid w:val="004C017F"/>
    <w:rsid w:val="004C1669"/>
    <w:rsid w:val="004C195D"/>
    <w:rsid w:val="004C1968"/>
    <w:rsid w:val="004C2161"/>
    <w:rsid w:val="004C219E"/>
    <w:rsid w:val="004C24B1"/>
    <w:rsid w:val="004C2AEA"/>
    <w:rsid w:val="004C2D31"/>
    <w:rsid w:val="004C4277"/>
    <w:rsid w:val="004C45B7"/>
    <w:rsid w:val="004C4F2C"/>
    <w:rsid w:val="004C51D5"/>
    <w:rsid w:val="004C6FBA"/>
    <w:rsid w:val="004C7F4F"/>
    <w:rsid w:val="004D1538"/>
    <w:rsid w:val="004D2F04"/>
    <w:rsid w:val="004D34BC"/>
    <w:rsid w:val="004D35DB"/>
    <w:rsid w:val="004D559C"/>
    <w:rsid w:val="004D589A"/>
    <w:rsid w:val="004D5F88"/>
    <w:rsid w:val="004D67A3"/>
    <w:rsid w:val="004D6C05"/>
    <w:rsid w:val="004D736C"/>
    <w:rsid w:val="004D7566"/>
    <w:rsid w:val="004E03DD"/>
    <w:rsid w:val="004E08E9"/>
    <w:rsid w:val="004E105E"/>
    <w:rsid w:val="004E12F0"/>
    <w:rsid w:val="004E1958"/>
    <w:rsid w:val="004E20B1"/>
    <w:rsid w:val="004E21CD"/>
    <w:rsid w:val="004E2566"/>
    <w:rsid w:val="004E2AAA"/>
    <w:rsid w:val="004E2D33"/>
    <w:rsid w:val="004E2F86"/>
    <w:rsid w:val="004E32C5"/>
    <w:rsid w:val="004E40D0"/>
    <w:rsid w:val="004E4BF3"/>
    <w:rsid w:val="004E5319"/>
    <w:rsid w:val="004E6C4B"/>
    <w:rsid w:val="004F0103"/>
    <w:rsid w:val="004F0130"/>
    <w:rsid w:val="004F0961"/>
    <w:rsid w:val="004F0D9D"/>
    <w:rsid w:val="004F141F"/>
    <w:rsid w:val="004F3251"/>
    <w:rsid w:val="004F3580"/>
    <w:rsid w:val="004F3797"/>
    <w:rsid w:val="004F43D7"/>
    <w:rsid w:val="004F5676"/>
    <w:rsid w:val="004F56A6"/>
    <w:rsid w:val="004F59A2"/>
    <w:rsid w:val="004F59B6"/>
    <w:rsid w:val="004F6E5D"/>
    <w:rsid w:val="004F7750"/>
    <w:rsid w:val="004F7878"/>
    <w:rsid w:val="0050039D"/>
    <w:rsid w:val="00500AAA"/>
    <w:rsid w:val="005016BA"/>
    <w:rsid w:val="00501CD3"/>
    <w:rsid w:val="00502748"/>
    <w:rsid w:val="00502B06"/>
    <w:rsid w:val="00502CF9"/>
    <w:rsid w:val="0050325E"/>
    <w:rsid w:val="005035E4"/>
    <w:rsid w:val="0050379D"/>
    <w:rsid w:val="0050427D"/>
    <w:rsid w:val="00504CD8"/>
    <w:rsid w:val="005056FC"/>
    <w:rsid w:val="00505E4D"/>
    <w:rsid w:val="0050667A"/>
    <w:rsid w:val="0050716A"/>
    <w:rsid w:val="00510BA6"/>
    <w:rsid w:val="005114C6"/>
    <w:rsid w:val="005117F9"/>
    <w:rsid w:val="00511DB1"/>
    <w:rsid w:val="0051251C"/>
    <w:rsid w:val="00512946"/>
    <w:rsid w:val="00513132"/>
    <w:rsid w:val="0051379F"/>
    <w:rsid w:val="0051490A"/>
    <w:rsid w:val="00514C90"/>
    <w:rsid w:val="00515FD3"/>
    <w:rsid w:val="005162F6"/>
    <w:rsid w:val="005164F1"/>
    <w:rsid w:val="005168D0"/>
    <w:rsid w:val="00516FD0"/>
    <w:rsid w:val="00517395"/>
    <w:rsid w:val="00517AAC"/>
    <w:rsid w:val="00517F0A"/>
    <w:rsid w:val="00520246"/>
    <w:rsid w:val="005220EF"/>
    <w:rsid w:val="0052287C"/>
    <w:rsid w:val="00523B73"/>
    <w:rsid w:val="005240BD"/>
    <w:rsid w:val="00524D73"/>
    <w:rsid w:val="00526132"/>
    <w:rsid w:val="005301C9"/>
    <w:rsid w:val="00531922"/>
    <w:rsid w:val="00531960"/>
    <w:rsid w:val="00531D45"/>
    <w:rsid w:val="0053218E"/>
    <w:rsid w:val="00532FD3"/>
    <w:rsid w:val="00533D21"/>
    <w:rsid w:val="0053585E"/>
    <w:rsid w:val="00536862"/>
    <w:rsid w:val="005368E0"/>
    <w:rsid w:val="00536AFB"/>
    <w:rsid w:val="00536D9A"/>
    <w:rsid w:val="00537037"/>
    <w:rsid w:val="005370C4"/>
    <w:rsid w:val="0053731F"/>
    <w:rsid w:val="0053755F"/>
    <w:rsid w:val="00537DC6"/>
    <w:rsid w:val="00537EF0"/>
    <w:rsid w:val="005408CE"/>
    <w:rsid w:val="005423EE"/>
    <w:rsid w:val="00542721"/>
    <w:rsid w:val="005432C7"/>
    <w:rsid w:val="0054463B"/>
    <w:rsid w:val="005447BC"/>
    <w:rsid w:val="00544945"/>
    <w:rsid w:val="0054694F"/>
    <w:rsid w:val="0054696E"/>
    <w:rsid w:val="0054699A"/>
    <w:rsid w:val="00547E9E"/>
    <w:rsid w:val="005500AD"/>
    <w:rsid w:val="005504A5"/>
    <w:rsid w:val="00550975"/>
    <w:rsid w:val="00550C7D"/>
    <w:rsid w:val="00551727"/>
    <w:rsid w:val="005531F6"/>
    <w:rsid w:val="00553D52"/>
    <w:rsid w:val="00556C59"/>
    <w:rsid w:val="00556E70"/>
    <w:rsid w:val="00557C19"/>
    <w:rsid w:val="00557E7B"/>
    <w:rsid w:val="00560F86"/>
    <w:rsid w:val="005610B6"/>
    <w:rsid w:val="00561B12"/>
    <w:rsid w:val="005625A8"/>
    <w:rsid w:val="00562840"/>
    <w:rsid w:val="00563153"/>
    <w:rsid w:val="005637C6"/>
    <w:rsid w:val="00563D4A"/>
    <w:rsid w:val="00565022"/>
    <w:rsid w:val="00565CC2"/>
    <w:rsid w:val="005668BF"/>
    <w:rsid w:val="00567052"/>
    <w:rsid w:val="00567095"/>
    <w:rsid w:val="00567491"/>
    <w:rsid w:val="00567D24"/>
    <w:rsid w:val="00570227"/>
    <w:rsid w:val="0057113A"/>
    <w:rsid w:val="0057299D"/>
    <w:rsid w:val="00572CB3"/>
    <w:rsid w:val="00572CF0"/>
    <w:rsid w:val="00572D84"/>
    <w:rsid w:val="005740C2"/>
    <w:rsid w:val="00576861"/>
    <w:rsid w:val="00577E4C"/>
    <w:rsid w:val="00577EEE"/>
    <w:rsid w:val="00577F55"/>
    <w:rsid w:val="0058078A"/>
    <w:rsid w:val="00580C36"/>
    <w:rsid w:val="00580D94"/>
    <w:rsid w:val="005810AB"/>
    <w:rsid w:val="005811ED"/>
    <w:rsid w:val="00581653"/>
    <w:rsid w:val="0058198E"/>
    <w:rsid w:val="00582066"/>
    <w:rsid w:val="00582B3D"/>
    <w:rsid w:val="0058315F"/>
    <w:rsid w:val="005837A6"/>
    <w:rsid w:val="00583C70"/>
    <w:rsid w:val="00585D37"/>
    <w:rsid w:val="00586470"/>
    <w:rsid w:val="0058707F"/>
    <w:rsid w:val="00587119"/>
    <w:rsid w:val="005879AA"/>
    <w:rsid w:val="00590081"/>
    <w:rsid w:val="0059045D"/>
    <w:rsid w:val="00590D72"/>
    <w:rsid w:val="00591915"/>
    <w:rsid w:val="005921D3"/>
    <w:rsid w:val="00592C4C"/>
    <w:rsid w:val="005938C6"/>
    <w:rsid w:val="00595B79"/>
    <w:rsid w:val="00596897"/>
    <w:rsid w:val="00596ADA"/>
    <w:rsid w:val="00597913"/>
    <w:rsid w:val="00597B30"/>
    <w:rsid w:val="005A057D"/>
    <w:rsid w:val="005A0B82"/>
    <w:rsid w:val="005A0D15"/>
    <w:rsid w:val="005A0E35"/>
    <w:rsid w:val="005A0FAF"/>
    <w:rsid w:val="005A1080"/>
    <w:rsid w:val="005A10FB"/>
    <w:rsid w:val="005A21E4"/>
    <w:rsid w:val="005A30F1"/>
    <w:rsid w:val="005A31FF"/>
    <w:rsid w:val="005A3EC7"/>
    <w:rsid w:val="005A4044"/>
    <w:rsid w:val="005A5AAA"/>
    <w:rsid w:val="005A5C4B"/>
    <w:rsid w:val="005A5D1E"/>
    <w:rsid w:val="005A724C"/>
    <w:rsid w:val="005A736A"/>
    <w:rsid w:val="005B0422"/>
    <w:rsid w:val="005B093F"/>
    <w:rsid w:val="005B2314"/>
    <w:rsid w:val="005B262C"/>
    <w:rsid w:val="005B2F47"/>
    <w:rsid w:val="005B3B53"/>
    <w:rsid w:val="005B40F6"/>
    <w:rsid w:val="005B4A7E"/>
    <w:rsid w:val="005B5411"/>
    <w:rsid w:val="005B5720"/>
    <w:rsid w:val="005B632B"/>
    <w:rsid w:val="005B7178"/>
    <w:rsid w:val="005C01EF"/>
    <w:rsid w:val="005C02AD"/>
    <w:rsid w:val="005C0E75"/>
    <w:rsid w:val="005C13F1"/>
    <w:rsid w:val="005C1D52"/>
    <w:rsid w:val="005C321F"/>
    <w:rsid w:val="005C3889"/>
    <w:rsid w:val="005C3ADA"/>
    <w:rsid w:val="005C3C6A"/>
    <w:rsid w:val="005C3D9F"/>
    <w:rsid w:val="005C3E0D"/>
    <w:rsid w:val="005C5744"/>
    <w:rsid w:val="005C621A"/>
    <w:rsid w:val="005C650A"/>
    <w:rsid w:val="005C6652"/>
    <w:rsid w:val="005C799B"/>
    <w:rsid w:val="005C7BFE"/>
    <w:rsid w:val="005D0185"/>
    <w:rsid w:val="005D0C7E"/>
    <w:rsid w:val="005D1194"/>
    <w:rsid w:val="005D1444"/>
    <w:rsid w:val="005D1539"/>
    <w:rsid w:val="005D1CA6"/>
    <w:rsid w:val="005D29AC"/>
    <w:rsid w:val="005D3B03"/>
    <w:rsid w:val="005D3B0A"/>
    <w:rsid w:val="005D3C8D"/>
    <w:rsid w:val="005D3D57"/>
    <w:rsid w:val="005D3D81"/>
    <w:rsid w:val="005D4260"/>
    <w:rsid w:val="005D4AB0"/>
    <w:rsid w:val="005D4F7C"/>
    <w:rsid w:val="005D620B"/>
    <w:rsid w:val="005D687A"/>
    <w:rsid w:val="005D7272"/>
    <w:rsid w:val="005E0F81"/>
    <w:rsid w:val="005E1083"/>
    <w:rsid w:val="005E3225"/>
    <w:rsid w:val="005E36ED"/>
    <w:rsid w:val="005E4196"/>
    <w:rsid w:val="005E69CA"/>
    <w:rsid w:val="005E7760"/>
    <w:rsid w:val="005E7A58"/>
    <w:rsid w:val="005E7D17"/>
    <w:rsid w:val="005F00BA"/>
    <w:rsid w:val="005F09D4"/>
    <w:rsid w:val="005F0FF4"/>
    <w:rsid w:val="005F1080"/>
    <w:rsid w:val="005F2C1B"/>
    <w:rsid w:val="005F2E4F"/>
    <w:rsid w:val="005F336B"/>
    <w:rsid w:val="005F3C62"/>
    <w:rsid w:val="005F5147"/>
    <w:rsid w:val="005F62F9"/>
    <w:rsid w:val="005F69C6"/>
    <w:rsid w:val="0060006E"/>
    <w:rsid w:val="006000B6"/>
    <w:rsid w:val="0060027B"/>
    <w:rsid w:val="00600403"/>
    <w:rsid w:val="00603E5B"/>
    <w:rsid w:val="006051BB"/>
    <w:rsid w:val="00605835"/>
    <w:rsid w:val="00605A44"/>
    <w:rsid w:val="0060625E"/>
    <w:rsid w:val="00607147"/>
    <w:rsid w:val="00607EF9"/>
    <w:rsid w:val="00610527"/>
    <w:rsid w:val="00610CEC"/>
    <w:rsid w:val="0061122E"/>
    <w:rsid w:val="00611573"/>
    <w:rsid w:val="00612F73"/>
    <w:rsid w:val="00613095"/>
    <w:rsid w:val="0061375D"/>
    <w:rsid w:val="00614BB9"/>
    <w:rsid w:val="006150BC"/>
    <w:rsid w:val="0061538E"/>
    <w:rsid w:val="006162EF"/>
    <w:rsid w:val="00616FE4"/>
    <w:rsid w:val="00617381"/>
    <w:rsid w:val="00617D65"/>
    <w:rsid w:val="00617E4F"/>
    <w:rsid w:val="00620290"/>
    <w:rsid w:val="006219AD"/>
    <w:rsid w:val="00622046"/>
    <w:rsid w:val="006220DA"/>
    <w:rsid w:val="00622306"/>
    <w:rsid w:val="00622A36"/>
    <w:rsid w:val="0062367C"/>
    <w:rsid w:val="006241D2"/>
    <w:rsid w:val="00624FBE"/>
    <w:rsid w:val="00626349"/>
    <w:rsid w:val="006268A5"/>
    <w:rsid w:val="00630B01"/>
    <w:rsid w:val="0063195C"/>
    <w:rsid w:val="00631D2D"/>
    <w:rsid w:val="00632422"/>
    <w:rsid w:val="0063318D"/>
    <w:rsid w:val="0063329D"/>
    <w:rsid w:val="006350E1"/>
    <w:rsid w:val="0063536C"/>
    <w:rsid w:val="00635E7B"/>
    <w:rsid w:val="00635EB7"/>
    <w:rsid w:val="00636113"/>
    <w:rsid w:val="00636432"/>
    <w:rsid w:val="00636AF5"/>
    <w:rsid w:val="006401BB"/>
    <w:rsid w:val="006403D0"/>
    <w:rsid w:val="00640ADA"/>
    <w:rsid w:val="0064121A"/>
    <w:rsid w:val="006412BA"/>
    <w:rsid w:val="00641B6A"/>
    <w:rsid w:val="00641E10"/>
    <w:rsid w:val="00642572"/>
    <w:rsid w:val="00642A67"/>
    <w:rsid w:val="00643501"/>
    <w:rsid w:val="00645D16"/>
    <w:rsid w:val="00646562"/>
    <w:rsid w:val="00646D12"/>
    <w:rsid w:val="00650151"/>
    <w:rsid w:val="00650748"/>
    <w:rsid w:val="00650A31"/>
    <w:rsid w:val="00650C0F"/>
    <w:rsid w:val="00651AA3"/>
    <w:rsid w:val="0065240A"/>
    <w:rsid w:val="00654672"/>
    <w:rsid w:val="00655AD4"/>
    <w:rsid w:val="00655F4F"/>
    <w:rsid w:val="00656C5D"/>
    <w:rsid w:val="00656D7A"/>
    <w:rsid w:val="00656F34"/>
    <w:rsid w:val="006573BB"/>
    <w:rsid w:val="006576FE"/>
    <w:rsid w:val="006579BE"/>
    <w:rsid w:val="006600C1"/>
    <w:rsid w:val="006607A6"/>
    <w:rsid w:val="00660987"/>
    <w:rsid w:val="00662054"/>
    <w:rsid w:val="00662853"/>
    <w:rsid w:val="00662AB5"/>
    <w:rsid w:val="00662B60"/>
    <w:rsid w:val="006637D3"/>
    <w:rsid w:val="00663973"/>
    <w:rsid w:val="00663F10"/>
    <w:rsid w:val="00664228"/>
    <w:rsid w:val="006643A0"/>
    <w:rsid w:val="00664ECE"/>
    <w:rsid w:val="00665216"/>
    <w:rsid w:val="006652F6"/>
    <w:rsid w:val="00665B9B"/>
    <w:rsid w:val="0066644F"/>
    <w:rsid w:val="006668C9"/>
    <w:rsid w:val="0066755D"/>
    <w:rsid w:val="00667B73"/>
    <w:rsid w:val="006703F1"/>
    <w:rsid w:val="0067198A"/>
    <w:rsid w:val="00673CAA"/>
    <w:rsid w:val="00673DEB"/>
    <w:rsid w:val="00673F04"/>
    <w:rsid w:val="006758F3"/>
    <w:rsid w:val="00676436"/>
    <w:rsid w:val="00677095"/>
    <w:rsid w:val="00680472"/>
    <w:rsid w:val="00680950"/>
    <w:rsid w:val="0068183D"/>
    <w:rsid w:val="006824F1"/>
    <w:rsid w:val="00682DA6"/>
    <w:rsid w:val="0068317D"/>
    <w:rsid w:val="0068416D"/>
    <w:rsid w:val="00684E0E"/>
    <w:rsid w:val="00687F44"/>
    <w:rsid w:val="00690258"/>
    <w:rsid w:val="00690DA5"/>
    <w:rsid w:val="00691C35"/>
    <w:rsid w:val="006930CF"/>
    <w:rsid w:val="00693508"/>
    <w:rsid w:val="006949CA"/>
    <w:rsid w:val="00695218"/>
    <w:rsid w:val="0069578C"/>
    <w:rsid w:val="00695A6D"/>
    <w:rsid w:val="0069685C"/>
    <w:rsid w:val="006A018B"/>
    <w:rsid w:val="006A062D"/>
    <w:rsid w:val="006A1EBC"/>
    <w:rsid w:val="006A59CD"/>
    <w:rsid w:val="006A5A6A"/>
    <w:rsid w:val="006A6C18"/>
    <w:rsid w:val="006A757E"/>
    <w:rsid w:val="006B0BF7"/>
    <w:rsid w:val="006B0DAB"/>
    <w:rsid w:val="006B11C8"/>
    <w:rsid w:val="006B1ED8"/>
    <w:rsid w:val="006B2F86"/>
    <w:rsid w:val="006B31E7"/>
    <w:rsid w:val="006B355D"/>
    <w:rsid w:val="006B38AF"/>
    <w:rsid w:val="006B46ED"/>
    <w:rsid w:val="006B4707"/>
    <w:rsid w:val="006B48D5"/>
    <w:rsid w:val="006B4CD5"/>
    <w:rsid w:val="006B5D74"/>
    <w:rsid w:val="006B6928"/>
    <w:rsid w:val="006B6B5F"/>
    <w:rsid w:val="006C0107"/>
    <w:rsid w:val="006C02CA"/>
    <w:rsid w:val="006C0369"/>
    <w:rsid w:val="006C047D"/>
    <w:rsid w:val="006C214D"/>
    <w:rsid w:val="006C34FA"/>
    <w:rsid w:val="006C3D30"/>
    <w:rsid w:val="006C462C"/>
    <w:rsid w:val="006C46BB"/>
    <w:rsid w:val="006C53B7"/>
    <w:rsid w:val="006C6D95"/>
    <w:rsid w:val="006D0232"/>
    <w:rsid w:val="006D1451"/>
    <w:rsid w:val="006D146E"/>
    <w:rsid w:val="006D1532"/>
    <w:rsid w:val="006D1583"/>
    <w:rsid w:val="006D1D66"/>
    <w:rsid w:val="006D1F2C"/>
    <w:rsid w:val="006D2172"/>
    <w:rsid w:val="006D2286"/>
    <w:rsid w:val="006D28B7"/>
    <w:rsid w:val="006D37AF"/>
    <w:rsid w:val="006D3A73"/>
    <w:rsid w:val="006D4214"/>
    <w:rsid w:val="006D4FD2"/>
    <w:rsid w:val="006D506B"/>
    <w:rsid w:val="006D5E2F"/>
    <w:rsid w:val="006D5F72"/>
    <w:rsid w:val="006D781A"/>
    <w:rsid w:val="006E0F5A"/>
    <w:rsid w:val="006E1090"/>
    <w:rsid w:val="006E18CB"/>
    <w:rsid w:val="006E237C"/>
    <w:rsid w:val="006E2585"/>
    <w:rsid w:val="006E2685"/>
    <w:rsid w:val="006E29A9"/>
    <w:rsid w:val="006E4467"/>
    <w:rsid w:val="006E5C64"/>
    <w:rsid w:val="006E6091"/>
    <w:rsid w:val="006E6CCD"/>
    <w:rsid w:val="006F0159"/>
    <w:rsid w:val="006F081D"/>
    <w:rsid w:val="006F098E"/>
    <w:rsid w:val="006F0F4F"/>
    <w:rsid w:val="006F0FB5"/>
    <w:rsid w:val="006F1558"/>
    <w:rsid w:val="006F17CE"/>
    <w:rsid w:val="006F1823"/>
    <w:rsid w:val="006F3147"/>
    <w:rsid w:val="006F4408"/>
    <w:rsid w:val="006F4948"/>
    <w:rsid w:val="006F4A93"/>
    <w:rsid w:val="006F6471"/>
    <w:rsid w:val="006F6FC5"/>
    <w:rsid w:val="006F753B"/>
    <w:rsid w:val="006F77BC"/>
    <w:rsid w:val="00700D34"/>
    <w:rsid w:val="00700DB7"/>
    <w:rsid w:val="007011FA"/>
    <w:rsid w:val="00701677"/>
    <w:rsid w:val="007017EE"/>
    <w:rsid w:val="007019A6"/>
    <w:rsid w:val="00704430"/>
    <w:rsid w:val="007064CC"/>
    <w:rsid w:val="0070673D"/>
    <w:rsid w:val="0070675D"/>
    <w:rsid w:val="007075A5"/>
    <w:rsid w:val="00707EA3"/>
    <w:rsid w:val="007109BB"/>
    <w:rsid w:val="007113E2"/>
    <w:rsid w:val="007116D3"/>
    <w:rsid w:val="00714073"/>
    <w:rsid w:val="00714A91"/>
    <w:rsid w:val="00715541"/>
    <w:rsid w:val="007161BC"/>
    <w:rsid w:val="00716A25"/>
    <w:rsid w:val="00717EA2"/>
    <w:rsid w:val="007202D0"/>
    <w:rsid w:val="00722355"/>
    <w:rsid w:val="0072344A"/>
    <w:rsid w:val="00723522"/>
    <w:rsid w:val="0072385E"/>
    <w:rsid w:val="00725064"/>
    <w:rsid w:val="007275C4"/>
    <w:rsid w:val="007277FE"/>
    <w:rsid w:val="00731018"/>
    <w:rsid w:val="00731EB8"/>
    <w:rsid w:val="00731F3C"/>
    <w:rsid w:val="0073201D"/>
    <w:rsid w:val="0073212A"/>
    <w:rsid w:val="00732884"/>
    <w:rsid w:val="00734C04"/>
    <w:rsid w:val="0073567A"/>
    <w:rsid w:val="00736388"/>
    <w:rsid w:val="00736A06"/>
    <w:rsid w:val="007377E2"/>
    <w:rsid w:val="00740103"/>
    <w:rsid w:val="007409E5"/>
    <w:rsid w:val="00741083"/>
    <w:rsid w:val="00741374"/>
    <w:rsid w:val="00741658"/>
    <w:rsid w:val="00741803"/>
    <w:rsid w:val="00741B0D"/>
    <w:rsid w:val="00742CF7"/>
    <w:rsid w:val="00742F59"/>
    <w:rsid w:val="007450C1"/>
    <w:rsid w:val="007461FE"/>
    <w:rsid w:val="007462D1"/>
    <w:rsid w:val="00746598"/>
    <w:rsid w:val="007465E6"/>
    <w:rsid w:val="00747254"/>
    <w:rsid w:val="007475A3"/>
    <w:rsid w:val="00747B7D"/>
    <w:rsid w:val="00751399"/>
    <w:rsid w:val="007516CA"/>
    <w:rsid w:val="007518E6"/>
    <w:rsid w:val="00751B17"/>
    <w:rsid w:val="00751F16"/>
    <w:rsid w:val="007530DA"/>
    <w:rsid w:val="00753A10"/>
    <w:rsid w:val="007544C7"/>
    <w:rsid w:val="00754CC1"/>
    <w:rsid w:val="00755CBD"/>
    <w:rsid w:val="0075622E"/>
    <w:rsid w:val="00756BED"/>
    <w:rsid w:val="00757BA2"/>
    <w:rsid w:val="00760591"/>
    <w:rsid w:val="00760A02"/>
    <w:rsid w:val="00760FF9"/>
    <w:rsid w:val="00761461"/>
    <w:rsid w:val="007616B8"/>
    <w:rsid w:val="007627C8"/>
    <w:rsid w:val="007639B4"/>
    <w:rsid w:val="00764B20"/>
    <w:rsid w:val="00765154"/>
    <w:rsid w:val="0076589B"/>
    <w:rsid w:val="00766767"/>
    <w:rsid w:val="007700EE"/>
    <w:rsid w:val="0077060D"/>
    <w:rsid w:val="00770FC8"/>
    <w:rsid w:val="007716E7"/>
    <w:rsid w:val="00771C06"/>
    <w:rsid w:val="0077250A"/>
    <w:rsid w:val="00772A53"/>
    <w:rsid w:val="007753E3"/>
    <w:rsid w:val="00775AA3"/>
    <w:rsid w:val="007764D6"/>
    <w:rsid w:val="007767A1"/>
    <w:rsid w:val="0077696E"/>
    <w:rsid w:val="00776DB8"/>
    <w:rsid w:val="00776FBE"/>
    <w:rsid w:val="0077710A"/>
    <w:rsid w:val="007774F7"/>
    <w:rsid w:val="00777CFF"/>
    <w:rsid w:val="00781455"/>
    <w:rsid w:val="00781529"/>
    <w:rsid w:val="00783DB9"/>
    <w:rsid w:val="007849F3"/>
    <w:rsid w:val="00784A97"/>
    <w:rsid w:val="00784CEC"/>
    <w:rsid w:val="007859E2"/>
    <w:rsid w:val="00785CB9"/>
    <w:rsid w:val="00787781"/>
    <w:rsid w:val="0078780B"/>
    <w:rsid w:val="00787FF1"/>
    <w:rsid w:val="0079037A"/>
    <w:rsid w:val="00791502"/>
    <w:rsid w:val="00792CD1"/>
    <w:rsid w:val="00793C19"/>
    <w:rsid w:val="00795501"/>
    <w:rsid w:val="007964DE"/>
    <w:rsid w:val="00796631"/>
    <w:rsid w:val="00796835"/>
    <w:rsid w:val="007A0056"/>
    <w:rsid w:val="007A0625"/>
    <w:rsid w:val="007A062B"/>
    <w:rsid w:val="007A27DB"/>
    <w:rsid w:val="007A4106"/>
    <w:rsid w:val="007A4FA3"/>
    <w:rsid w:val="007A583D"/>
    <w:rsid w:val="007A5AC5"/>
    <w:rsid w:val="007A65D0"/>
    <w:rsid w:val="007A74FF"/>
    <w:rsid w:val="007A7773"/>
    <w:rsid w:val="007A7DC3"/>
    <w:rsid w:val="007A7F92"/>
    <w:rsid w:val="007B07A8"/>
    <w:rsid w:val="007B1621"/>
    <w:rsid w:val="007B2307"/>
    <w:rsid w:val="007B2AF4"/>
    <w:rsid w:val="007B2C3C"/>
    <w:rsid w:val="007B2FC3"/>
    <w:rsid w:val="007B2FC5"/>
    <w:rsid w:val="007B33EC"/>
    <w:rsid w:val="007B4CF4"/>
    <w:rsid w:val="007B5824"/>
    <w:rsid w:val="007B5A22"/>
    <w:rsid w:val="007B77EA"/>
    <w:rsid w:val="007C01BC"/>
    <w:rsid w:val="007C09F4"/>
    <w:rsid w:val="007C0D7F"/>
    <w:rsid w:val="007C0ED9"/>
    <w:rsid w:val="007C20E6"/>
    <w:rsid w:val="007C31D8"/>
    <w:rsid w:val="007C3704"/>
    <w:rsid w:val="007C4444"/>
    <w:rsid w:val="007C572E"/>
    <w:rsid w:val="007C5E34"/>
    <w:rsid w:val="007C5F91"/>
    <w:rsid w:val="007C65E2"/>
    <w:rsid w:val="007C6B7A"/>
    <w:rsid w:val="007C7B40"/>
    <w:rsid w:val="007D114E"/>
    <w:rsid w:val="007D16D9"/>
    <w:rsid w:val="007D21AA"/>
    <w:rsid w:val="007D2DBA"/>
    <w:rsid w:val="007D34E0"/>
    <w:rsid w:val="007D351D"/>
    <w:rsid w:val="007D3E1C"/>
    <w:rsid w:val="007D3E6D"/>
    <w:rsid w:val="007D505C"/>
    <w:rsid w:val="007D5531"/>
    <w:rsid w:val="007D5C51"/>
    <w:rsid w:val="007D5ECC"/>
    <w:rsid w:val="007D6EB2"/>
    <w:rsid w:val="007D7B23"/>
    <w:rsid w:val="007E062A"/>
    <w:rsid w:val="007E15DF"/>
    <w:rsid w:val="007E2412"/>
    <w:rsid w:val="007E264D"/>
    <w:rsid w:val="007E2B83"/>
    <w:rsid w:val="007E3025"/>
    <w:rsid w:val="007E3B86"/>
    <w:rsid w:val="007E594A"/>
    <w:rsid w:val="007E5E6B"/>
    <w:rsid w:val="007E5F16"/>
    <w:rsid w:val="007E6722"/>
    <w:rsid w:val="007E6AF3"/>
    <w:rsid w:val="007F0539"/>
    <w:rsid w:val="007F1195"/>
    <w:rsid w:val="007F18A4"/>
    <w:rsid w:val="007F2151"/>
    <w:rsid w:val="007F2E40"/>
    <w:rsid w:val="007F393D"/>
    <w:rsid w:val="007F3C29"/>
    <w:rsid w:val="007F3C42"/>
    <w:rsid w:val="007F474A"/>
    <w:rsid w:val="007F551F"/>
    <w:rsid w:val="007F5A79"/>
    <w:rsid w:val="007F6458"/>
    <w:rsid w:val="007F73CE"/>
    <w:rsid w:val="007F786D"/>
    <w:rsid w:val="007F7CB5"/>
    <w:rsid w:val="007F7E31"/>
    <w:rsid w:val="00800C26"/>
    <w:rsid w:val="008015A0"/>
    <w:rsid w:val="00801763"/>
    <w:rsid w:val="00801E3C"/>
    <w:rsid w:val="008029F3"/>
    <w:rsid w:val="00802C64"/>
    <w:rsid w:val="008040A6"/>
    <w:rsid w:val="00804386"/>
    <w:rsid w:val="00804782"/>
    <w:rsid w:val="00805F76"/>
    <w:rsid w:val="00806ABB"/>
    <w:rsid w:val="00806CFE"/>
    <w:rsid w:val="00807016"/>
    <w:rsid w:val="0080799F"/>
    <w:rsid w:val="00807A3E"/>
    <w:rsid w:val="008102AD"/>
    <w:rsid w:val="00811815"/>
    <w:rsid w:val="0081198F"/>
    <w:rsid w:val="00811B34"/>
    <w:rsid w:val="0081331D"/>
    <w:rsid w:val="008137FD"/>
    <w:rsid w:val="0081448C"/>
    <w:rsid w:val="00814C16"/>
    <w:rsid w:val="00815375"/>
    <w:rsid w:val="0081607F"/>
    <w:rsid w:val="0081656C"/>
    <w:rsid w:val="0081666F"/>
    <w:rsid w:val="00816743"/>
    <w:rsid w:val="008171FB"/>
    <w:rsid w:val="0081730C"/>
    <w:rsid w:val="008202A4"/>
    <w:rsid w:val="00820A0D"/>
    <w:rsid w:val="00820BC3"/>
    <w:rsid w:val="008213E3"/>
    <w:rsid w:val="008219CE"/>
    <w:rsid w:val="008228D9"/>
    <w:rsid w:val="00823263"/>
    <w:rsid w:val="0082387D"/>
    <w:rsid w:val="00823D73"/>
    <w:rsid w:val="00824186"/>
    <w:rsid w:val="00824AAF"/>
    <w:rsid w:val="0082633A"/>
    <w:rsid w:val="00826614"/>
    <w:rsid w:val="00830614"/>
    <w:rsid w:val="008306BD"/>
    <w:rsid w:val="008318EB"/>
    <w:rsid w:val="008323B5"/>
    <w:rsid w:val="008336DA"/>
    <w:rsid w:val="008346BB"/>
    <w:rsid w:val="00834A35"/>
    <w:rsid w:val="00834AFE"/>
    <w:rsid w:val="0083554C"/>
    <w:rsid w:val="00835A63"/>
    <w:rsid w:val="00835AC0"/>
    <w:rsid w:val="008362B0"/>
    <w:rsid w:val="008363A1"/>
    <w:rsid w:val="00836903"/>
    <w:rsid w:val="00836E55"/>
    <w:rsid w:val="0083797B"/>
    <w:rsid w:val="00837D6C"/>
    <w:rsid w:val="00840027"/>
    <w:rsid w:val="008405C2"/>
    <w:rsid w:val="008426A2"/>
    <w:rsid w:val="00842A49"/>
    <w:rsid w:val="00843069"/>
    <w:rsid w:val="008434E9"/>
    <w:rsid w:val="00843660"/>
    <w:rsid w:val="00843A12"/>
    <w:rsid w:val="00843B1F"/>
    <w:rsid w:val="00843E46"/>
    <w:rsid w:val="0084528E"/>
    <w:rsid w:val="008455BC"/>
    <w:rsid w:val="00846B40"/>
    <w:rsid w:val="00846E20"/>
    <w:rsid w:val="00850A2D"/>
    <w:rsid w:val="00850D4F"/>
    <w:rsid w:val="00851D25"/>
    <w:rsid w:val="00851D26"/>
    <w:rsid w:val="008524B6"/>
    <w:rsid w:val="0085352B"/>
    <w:rsid w:val="00854ADF"/>
    <w:rsid w:val="00854C1D"/>
    <w:rsid w:val="00855232"/>
    <w:rsid w:val="00855570"/>
    <w:rsid w:val="00855783"/>
    <w:rsid w:val="00855975"/>
    <w:rsid w:val="008560E3"/>
    <w:rsid w:val="008561A1"/>
    <w:rsid w:val="008564BE"/>
    <w:rsid w:val="00856D11"/>
    <w:rsid w:val="00856E18"/>
    <w:rsid w:val="00856E40"/>
    <w:rsid w:val="008572FA"/>
    <w:rsid w:val="00857850"/>
    <w:rsid w:val="00857C97"/>
    <w:rsid w:val="00857D06"/>
    <w:rsid w:val="0086039A"/>
    <w:rsid w:val="008608B2"/>
    <w:rsid w:val="00860C05"/>
    <w:rsid w:val="008616A3"/>
    <w:rsid w:val="00861B0D"/>
    <w:rsid w:val="0086257F"/>
    <w:rsid w:val="00862F39"/>
    <w:rsid w:val="008648C6"/>
    <w:rsid w:val="008648FD"/>
    <w:rsid w:val="008676AE"/>
    <w:rsid w:val="00867AEB"/>
    <w:rsid w:val="00870DA6"/>
    <w:rsid w:val="008713C4"/>
    <w:rsid w:val="00871465"/>
    <w:rsid w:val="0087162E"/>
    <w:rsid w:val="00873D51"/>
    <w:rsid w:val="00873E28"/>
    <w:rsid w:val="00874111"/>
    <w:rsid w:val="008753FC"/>
    <w:rsid w:val="00875BA3"/>
    <w:rsid w:val="00875C9A"/>
    <w:rsid w:val="00875E53"/>
    <w:rsid w:val="00875FC2"/>
    <w:rsid w:val="00876671"/>
    <w:rsid w:val="008768B2"/>
    <w:rsid w:val="00876BAB"/>
    <w:rsid w:val="00877836"/>
    <w:rsid w:val="008810C4"/>
    <w:rsid w:val="00881884"/>
    <w:rsid w:val="00882264"/>
    <w:rsid w:val="008827AE"/>
    <w:rsid w:val="00882AEC"/>
    <w:rsid w:val="008831FD"/>
    <w:rsid w:val="008834DC"/>
    <w:rsid w:val="008837EB"/>
    <w:rsid w:val="00883887"/>
    <w:rsid w:val="00884997"/>
    <w:rsid w:val="00886B80"/>
    <w:rsid w:val="008871E8"/>
    <w:rsid w:val="00890B98"/>
    <w:rsid w:val="0089115B"/>
    <w:rsid w:val="008911D7"/>
    <w:rsid w:val="008918C3"/>
    <w:rsid w:val="008924D3"/>
    <w:rsid w:val="00892F05"/>
    <w:rsid w:val="008934B4"/>
    <w:rsid w:val="00893525"/>
    <w:rsid w:val="00893628"/>
    <w:rsid w:val="00893E97"/>
    <w:rsid w:val="00894708"/>
    <w:rsid w:val="00895284"/>
    <w:rsid w:val="008952D9"/>
    <w:rsid w:val="008963B8"/>
    <w:rsid w:val="008A22DB"/>
    <w:rsid w:val="008A4D28"/>
    <w:rsid w:val="008A5123"/>
    <w:rsid w:val="008A53AD"/>
    <w:rsid w:val="008A56F3"/>
    <w:rsid w:val="008A627E"/>
    <w:rsid w:val="008A639F"/>
    <w:rsid w:val="008A7279"/>
    <w:rsid w:val="008A7E53"/>
    <w:rsid w:val="008B06BF"/>
    <w:rsid w:val="008B1240"/>
    <w:rsid w:val="008B12C1"/>
    <w:rsid w:val="008B1565"/>
    <w:rsid w:val="008B2525"/>
    <w:rsid w:val="008B28C6"/>
    <w:rsid w:val="008B44EA"/>
    <w:rsid w:val="008B5CCA"/>
    <w:rsid w:val="008B5EA2"/>
    <w:rsid w:val="008B6BE8"/>
    <w:rsid w:val="008B7345"/>
    <w:rsid w:val="008C085A"/>
    <w:rsid w:val="008C0A33"/>
    <w:rsid w:val="008C115E"/>
    <w:rsid w:val="008C1582"/>
    <w:rsid w:val="008C1A47"/>
    <w:rsid w:val="008C1C21"/>
    <w:rsid w:val="008C36A9"/>
    <w:rsid w:val="008C3ED3"/>
    <w:rsid w:val="008C4909"/>
    <w:rsid w:val="008C4A46"/>
    <w:rsid w:val="008C522A"/>
    <w:rsid w:val="008C558D"/>
    <w:rsid w:val="008C5FEC"/>
    <w:rsid w:val="008C6830"/>
    <w:rsid w:val="008C6D69"/>
    <w:rsid w:val="008D16DC"/>
    <w:rsid w:val="008D1920"/>
    <w:rsid w:val="008D2C4E"/>
    <w:rsid w:val="008D2F85"/>
    <w:rsid w:val="008D35D4"/>
    <w:rsid w:val="008D3BC1"/>
    <w:rsid w:val="008D3CD9"/>
    <w:rsid w:val="008D43DF"/>
    <w:rsid w:val="008D45D7"/>
    <w:rsid w:val="008D4C52"/>
    <w:rsid w:val="008D51B8"/>
    <w:rsid w:val="008D6E27"/>
    <w:rsid w:val="008D710A"/>
    <w:rsid w:val="008D762C"/>
    <w:rsid w:val="008D7F10"/>
    <w:rsid w:val="008E009B"/>
    <w:rsid w:val="008E02B0"/>
    <w:rsid w:val="008E04C8"/>
    <w:rsid w:val="008E1030"/>
    <w:rsid w:val="008E1884"/>
    <w:rsid w:val="008E20F7"/>
    <w:rsid w:val="008E211F"/>
    <w:rsid w:val="008E2776"/>
    <w:rsid w:val="008E33D6"/>
    <w:rsid w:val="008E3CB1"/>
    <w:rsid w:val="008E4945"/>
    <w:rsid w:val="008E4A8C"/>
    <w:rsid w:val="008E524F"/>
    <w:rsid w:val="008E6012"/>
    <w:rsid w:val="008E66BA"/>
    <w:rsid w:val="008E672C"/>
    <w:rsid w:val="008E76D2"/>
    <w:rsid w:val="008E783D"/>
    <w:rsid w:val="008E7EDB"/>
    <w:rsid w:val="008F0043"/>
    <w:rsid w:val="008F005D"/>
    <w:rsid w:val="008F188E"/>
    <w:rsid w:val="008F1BC3"/>
    <w:rsid w:val="008F2351"/>
    <w:rsid w:val="008F2DE0"/>
    <w:rsid w:val="008F432B"/>
    <w:rsid w:val="008F5075"/>
    <w:rsid w:val="008F5E12"/>
    <w:rsid w:val="008F6088"/>
    <w:rsid w:val="008F70C4"/>
    <w:rsid w:val="008F7860"/>
    <w:rsid w:val="008F7980"/>
    <w:rsid w:val="008F7B91"/>
    <w:rsid w:val="008F7E87"/>
    <w:rsid w:val="00900387"/>
    <w:rsid w:val="0090083E"/>
    <w:rsid w:val="00901754"/>
    <w:rsid w:val="00901E9C"/>
    <w:rsid w:val="0090335B"/>
    <w:rsid w:val="0090356C"/>
    <w:rsid w:val="0090524F"/>
    <w:rsid w:val="00905A5F"/>
    <w:rsid w:val="00906966"/>
    <w:rsid w:val="009070F6"/>
    <w:rsid w:val="009103AD"/>
    <w:rsid w:val="009105A6"/>
    <w:rsid w:val="00910DCF"/>
    <w:rsid w:val="009114AC"/>
    <w:rsid w:val="00912183"/>
    <w:rsid w:val="009121CE"/>
    <w:rsid w:val="00912B2D"/>
    <w:rsid w:val="009135DD"/>
    <w:rsid w:val="009149A6"/>
    <w:rsid w:val="009149CD"/>
    <w:rsid w:val="00915016"/>
    <w:rsid w:val="00915C70"/>
    <w:rsid w:val="0091676C"/>
    <w:rsid w:val="00916A00"/>
    <w:rsid w:val="00917513"/>
    <w:rsid w:val="00917C2A"/>
    <w:rsid w:val="00920333"/>
    <w:rsid w:val="00920844"/>
    <w:rsid w:val="00921229"/>
    <w:rsid w:val="00921353"/>
    <w:rsid w:val="00921DB7"/>
    <w:rsid w:val="009224D3"/>
    <w:rsid w:val="00923015"/>
    <w:rsid w:val="00923D85"/>
    <w:rsid w:val="0092507D"/>
    <w:rsid w:val="00925230"/>
    <w:rsid w:val="009256B7"/>
    <w:rsid w:val="00925D1A"/>
    <w:rsid w:val="009268CB"/>
    <w:rsid w:val="009268EF"/>
    <w:rsid w:val="00927064"/>
    <w:rsid w:val="009304F6"/>
    <w:rsid w:val="00930864"/>
    <w:rsid w:val="009311B0"/>
    <w:rsid w:val="00931F7A"/>
    <w:rsid w:val="00934473"/>
    <w:rsid w:val="00935CC2"/>
    <w:rsid w:val="00936393"/>
    <w:rsid w:val="0093695D"/>
    <w:rsid w:val="00936E86"/>
    <w:rsid w:val="009374A0"/>
    <w:rsid w:val="00937D57"/>
    <w:rsid w:val="00937F06"/>
    <w:rsid w:val="009402DC"/>
    <w:rsid w:val="00940C2F"/>
    <w:rsid w:val="00940F2F"/>
    <w:rsid w:val="00941052"/>
    <w:rsid w:val="00941CA8"/>
    <w:rsid w:val="00943CB9"/>
    <w:rsid w:val="00943D74"/>
    <w:rsid w:val="00944119"/>
    <w:rsid w:val="0094486C"/>
    <w:rsid w:val="00946C4F"/>
    <w:rsid w:val="009500A3"/>
    <w:rsid w:val="009515BC"/>
    <w:rsid w:val="00952E1E"/>
    <w:rsid w:val="00954128"/>
    <w:rsid w:val="0095414C"/>
    <w:rsid w:val="00955A67"/>
    <w:rsid w:val="00955C6B"/>
    <w:rsid w:val="009564F9"/>
    <w:rsid w:val="00956677"/>
    <w:rsid w:val="0095696F"/>
    <w:rsid w:val="00957697"/>
    <w:rsid w:val="00957716"/>
    <w:rsid w:val="00960A34"/>
    <w:rsid w:val="00961839"/>
    <w:rsid w:val="00961858"/>
    <w:rsid w:val="009647C5"/>
    <w:rsid w:val="009657A3"/>
    <w:rsid w:val="0096690E"/>
    <w:rsid w:val="0096795B"/>
    <w:rsid w:val="009702C9"/>
    <w:rsid w:val="00970694"/>
    <w:rsid w:val="009719C2"/>
    <w:rsid w:val="009731F7"/>
    <w:rsid w:val="00973CC6"/>
    <w:rsid w:val="009741B1"/>
    <w:rsid w:val="00976B71"/>
    <w:rsid w:val="00976F96"/>
    <w:rsid w:val="0097757E"/>
    <w:rsid w:val="00977C6F"/>
    <w:rsid w:val="00980CE3"/>
    <w:rsid w:val="00980D74"/>
    <w:rsid w:val="00981139"/>
    <w:rsid w:val="009827A3"/>
    <w:rsid w:val="00982CFA"/>
    <w:rsid w:val="0098499D"/>
    <w:rsid w:val="009850A4"/>
    <w:rsid w:val="009863F3"/>
    <w:rsid w:val="00987A40"/>
    <w:rsid w:val="00987B3A"/>
    <w:rsid w:val="00987CFC"/>
    <w:rsid w:val="009901DD"/>
    <w:rsid w:val="00990C17"/>
    <w:rsid w:val="009925E1"/>
    <w:rsid w:val="0099335D"/>
    <w:rsid w:val="0099337C"/>
    <w:rsid w:val="009939E7"/>
    <w:rsid w:val="00993A92"/>
    <w:rsid w:val="00993BF1"/>
    <w:rsid w:val="0099541E"/>
    <w:rsid w:val="00995D83"/>
    <w:rsid w:val="00995F86"/>
    <w:rsid w:val="009962C9"/>
    <w:rsid w:val="00996F8A"/>
    <w:rsid w:val="00997926"/>
    <w:rsid w:val="009A15BC"/>
    <w:rsid w:val="009A2DFC"/>
    <w:rsid w:val="009A2EDC"/>
    <w:rsid w:val="009A37A6"/>
    <w:rsid w:val="009A3DD2"/>
    <w:rsid w:val="009A42FE"/>
    <w:rsid w:val="009A43A4"/>
    <w:rsid w:val="009A584C"/>
    <w:rsid w:val="009A6998"/>
    <w:rsid w:val="009A7B3D"/>
    <w:rsid w:val="009A7EE9"/>
    <w:rsid w:val="009B132D"/>
    <w:rsid w:val="009B322D"/>
    <w:rsid w:val="009B373B"/>
    <w:rsid w:val="009B37DA"/>
    <w:rsid w:val="009B4CFD"/>
    <w:rsid w:val="009B532D"/>
    <w:rsid w:val="009B5F57"/>
    <w:rsid w:val="009B633C"/>
    <w:rsid w:val="009C1D25"/>
    <w:rsid w:val="009C2424"/>
    <w:rsid w:val="009C38CE"/>
    <w:rsid w:val="009C4033"/>
    <w:rsid w:val="009C4604"/>
    <w:rsid w:val="009C46EC"/>
    <w:rsid w:val="009C4828"/>
    <w:rsid w:val="009C4E81"/>
    <w:rsid w:val="009C61D1"/>
    <w:rsid w:val="009C67D4"/>
    <w:rsid w:val="009C76EE"/>
    <w:rsid w:val="009D0717"/>
    <w:rsid w:val="009D12FA"/>
    <w:rsid w:val="009D13A0"/>
    <w:rsid w:val="009D159F"/>
    <w:rsid w:val="009D1796"/>
    <w:rsid w:val="009D2674"/>
    <w:rsid w:val="009D29DA"/>
    <w:rsid w:val="009D3AE1"/>
    <w:rsid w:val="009D3B71"/>
    <w:rsid w:val="009D3CED"/>
    <w:rsid w:val="009D4276"/>
    <w:rsid w:val="009D42F7"/>
    <w:rsid w:val="009D49B1"/>
    <w:rsid w:val="009D4EFF"/>
    <w:rsid w:val="009D4FEE"/>
    <w:rsid w:val="009D52B9"/>
    <w:rsid w:val="009D53CF"/>
    <w:rsid w:val="009D5D1E"/>
    <w:rsid w:val="009D6D80"/>
    <w:rsid w:val="009D7374"/>
    <w:rsid w:val="009D738E"/>
    <w:rsid w:val="009E020F"/>
    <w:rsid w:val="009E0871"/>
    <w:rsid w:val="009E11C7"/>
    <w:rsid w:val="009E1AC2"/>
    <w:rsid w:val="009E1CA2"/>
    <w:rsid w:val="009E1F97"/>
    <w:rsid w:val="009E2B67"/>
    <w:rsid w:val="009E2CFB"/>
    <w:rsid w:val="009E3A1A"/>
    <w:rsid w:val="009E3BE4"/>
    <w:rsid w:val="009E44F7"/>
    <w:rsid w:val="009E560E"/>
    <w:rsid w:val="009E596A"/>
    <w:rsid w:val="009E69B2"/>
    <w:rsid w:val="009E71FA"/>
    <w:rsid w:val="009F0632"/>
    <w:rsid w:val="009F19A0"/>
    <w:rsid w:val="009F2374"/>
    <w:rsid w:val="009F27F8"/>
    <w:rsid w:val="009F432E"/>
    <w:rsid w:val="009F469D"/>
    <w:rsid w:val="009F4971"/>
    <w:rsid w:val="009F4BF2"/>
    <w:rsid w:val="009F4F8B"/>
    <w:rsid w:val="009F59CC"/>
    <w:rsid w:val="009F7156"/>
    <w:rsid w:val="009F731B"/>
    <w:rsid w:val="00A001E3"/>
    <w:rsid w:val="00A00E0D"/>
    <w:rsid w:val="00A02496"/>
    <w:rsid w:val="00A02587"/>
    <w:rsid w:val="00A02871"/>
    <w:rsid w:val="00A02A67"/>
    <w:rsid w:val="00A030A6"/>
    <w:rsid w:val="00A03199"/>
    <w:rsid w:val="00A03678"/>
    <w:rsid w:val="00A057D1"/>
    <w:rsid w:val="00A05DB4"/>
    <w:rsid w:val="00A0630D"/>
    <w:rsid w:val="00A0725C"/>
    <w:rsid w:val="00A076F5"/>
    <w:rsid w:val="00A07E22"/>
    <w:rsid w:val="00A1005E"/>
    <w:rsid w:val="00A1064D"/>
    <w:rsid w:val="00A107CF"/>
    <w:rsid w:val="00A11397"/>
    <w:rsid w:val="00A13947"/>
    <w:rsid w:val="00A1394D"/>
    <w:rsid w:val="00A13FA6"/>
    <w:rsid w:val="00A14476"/>
    <w:rsid w:val="00A14481"/>
    <w:rsid w:val="00A145EA"/>
    <w:rsid w:val="00A148A3"/>
    <w:rsid w:val="00A14BC8"/>
    <w:rsid w:val="00A1539D"/>
    <w:rsid w:val="00A1552A"/>
    <w:rsid w:val="00A1644C"/>
    <w:rsid w:val="00A16455"/>
    <w:rsid w:val="00A16514"/>
    <w:rsid w:val="00A16FDC"/>
    <w:rsid w:val="00A21339"/>
    <w:rsid w:val="00A21CF7"/>
    <w:rsid w:val="00A22029"/>
    <w:rsid w:val="00A22101"/>
    <w:rsid w:val="00A2339A"/>
    <w:rsid w:val="00A23CC5"/>
    <w:rsid w:val="00A23CE7"/>
    <w:rsid w:val="00A24677"/>
    <w:rsid w:val="00A24E2C"/>
    <w:rsid w:val="00A319DD"/>
    <w:rsid w:val="00A31DF1"/>
    <w:rsid w:val="00A3292E"/>
    <w:rsid w:val="00A32E29"/>
    <w:rsid w:val="00A32EE4"/>
    <w:rsid w:val="00A33657"/>
    <w:rsid w:val="00A33A5A"/>
    <w:rsid w:val="00A349FB"/>
    <w:rsid w:val="00A34BC6"/>
    <w:rsid w:val="00A34F47"/>
    <w:rsid w:val="00A351A4"/>
    <w:rsid w:val="00A35CC0"/>
    <w:rsid w:val="00A36657"/>
    <w:rsid w:val="00A36A22"/>
    <w:rsid w:val="00A36B2F"/>
    <w:rsid w:val="00A3739D"/>
    <w:rsid w:val="00A3760E"/>
    <w:rsid w:val="00A37F1B"/>
    <w:rsid w:val="00A4018F"/>
    <w:rsid w:val="00A40C1F"/>
    <w:rsid w:val="00A40FAA"/>
    <w:rsid w:val="00A41F5C"/>
    <w:rsid w:val="00A42AC5"/>
    <w:rsid w:val="00A44D18"/>
    <w:rsid w:val="00A45CA6"/>
    <w:rsid w:val="00A45CB0"/>
    <w:rsid w:val="00A46419"/>
    <w:rsid w:val="00A46EC5"/>
    <w:rsid w:val="00A4735C"/>
    <w:rsid w:val="00A4745E"/>
    <w:rsid w:val="00A47B93"/>
    <w:rsid w:val="00A51962"/>
    <w:rsid w:val="00A51F31"/>
    <w:rsid w:val="00A5209F"/>
    <w:rsid w:val="00A5252E"/>
    <w:rsid w:val="00A526C8"/>
    <w:rsid w:val="00A52DD2"/>
    <w:rsid w:val="00A536E3"/>
    <w:rsid w:val="00A53938"/>
    <w:rsid w:val="00A53F96"/>
    <w:rsid w:val="00A545EA"/>
    <w:rsid w:val="00A54B46"/>
    <w:rsid w:val="00A55890"/>
    <w:rsid w:val="00A56912"/>
    <w:rsid w:val="00A56F85"/>
    <w:rsid w:val="00A57052"/>
    <w:rsid w:val="00A57166"/>
    <w:rsid w:val="00A57D07"/>
    <w:rsid w:val="00A57F3A"/>
    <w:rsid w:val="00A6054F"/>
    <w:rsid w:val="00A60FEC"/>
    <w:rsid w:val="00A61461"/>
    <w:rsid w:val="00A616E2"/>
    <w:rsid w:val="00A62C5D"/>
    <w:rsid w:val="00A62CA0"/>
    <w:rsid w:val="00A64175"/>
    <w:rsid w:val="00A64E2F"/>
    <w:rsid w:val="00A659E5"/>
    <w:rsid w:val="00A65B61"/>
    <w:rsid w:val="00A66483"/>
    <w:rsid w:val="00A67375"/>
    <w:rsid w:val="00A70EF4"/>
    <w:rsid w:val="00A715EB"/>
    <w:rsid w:val="00A71C7E"/>
    <w:rsid w:val="00A72DF8"/>
    <w:rsid w:val="00A74AFA"/>
    <w:rsid w:val="00A75312"/>
    <w:rsid w:val="00A76098"/>
    <w:rsid w:val="00A7628D"/>
    <w:rsid w:val="00A7652A"/>
    <w:rsid w:val="00A769F9"/>
    <w:rsid w:val="00A76C70"/>
    <w:rsid w:val="00A81303"/>
    <w:rsid w:val="00A81A2C"/>
    <w:rsid w:val="00A81DCC"/>
    <w:rsid w:val="00A81FD6"/>
    <w:rsid w:val="00A8202D"/>
    <w:rsid w:val="00A82406"/>
    <w:rsid w:val="00A82581"/>
    <w:rsid w:val="00A826F1"/>
    <w:rsid w:val="00A82F85"/>
    <w:rsid w:val="00A843CC"/>
    <w:rsid w:val="00A847FC"/>
    <w:rsid w:val="00A855D0"/>
    <w:rsid w:val="00A855F8"/>
    <w:rsid w:val="00A87586"/>
    <w:rsid w:val="00A87A8C"/>
    <w:rsid w:val="00A90C1E"/>
    <w:rsid w:val="00A91799"/>
    <w:rsid w:val="00A92EEA"/>
    <w:rsid w:val="00A933A2"/>
    <w:rsid w:val="00A938E7"/>
    <w:rsid w:val="00A93DA7"/>
    <w:rsid w:val="00A93E51"/>
    <w:rsid w:val="00A9669E"/>
    <w:rsid w:val="00A96ADE"/>
    <w:rsid w:val="00A96BD3"/>
    <w:rsid w:val="00A96DD0"/>
    <w:rsid w:val="00A97603"/>
    <w:rsid w:val="00A9767B"/>
    <w:rsid w:val="00A97AFA"/>
    <w:rsid w:val="00A97B4F"/>
    <w:rsid w:val="00A97C36"/>
    <w:rsid w:val="00A97E1C"/>
    <w:rsid w:val="00AA12E9"/>
    <w:rsid w:val="00AA1865"/>
    <w:rsid w:val="00AA1A27"/>
    <w:rsid w:val="00AA1FAA"/>
    <w:rsid w:val="00AA20D3"/>
    <w:rsid w:val="00AA29AF"/>
    <w:rsid w:val="00AA36C5"/>
    <w:rsid w:val="00AA3FCE"/>
    <w:rsid w:val="00AA5490"/>
    <w:rsid w:val="00AA56B4"/>
    <w:rsid w:val="00AA67A6"/>
    <w:rsid w:val="00AA6B69"/>
    <w:rsid w:val="00AA6CA7"/>
    <w:rsid w:val="00AA7755"/>
    <w:rsid w:val="00AA7E78"/>
    <w:rsid w:val="00AB0C55"/>
    <w:rsid w:val="00AB0E21"/>
    <w:rsid w:val="00AB2649"/>
    <w:rsid w:val="00AB4C4F"/>
    <w:rsid w:val="00AB5B95"/>
    <w:rsid w:val="00AB62CD"/>
    <w:rsid w:val="00AB6FC3"/>
    <w:rsid w:val="00AC00BD"/>
    <w:rsid w:val="00AC05E5"/>
    <w:rsid w:val="00AC0DD4"/>
    <w:rsid w:val="00AC1A87"/>
    <w:rsid w:val="00AC2174"/>
    <w:rsid w:val="00AC23BF"/>
    <w:rsid w:val="00AC2CD2"/>
    <w:rsid w:val="00AC522A"/>
    <w:rsid w:val="00AC53AC"/>
    <w:rsid w:val="00AC5E55"/>
    <w:rsid w:val="00AC6C45"/>
    <w:rsid w:val="00AC728F"/>
    <w:rsid w:val="00AD0FF1"/>
    <w:rsid w:val="00AD1F0C"/>
    <w:rsid w:val="00AD224D"/>
    <w:rsid w:val="00AD2A6B"/>
    <w:rsid w:val="00AD395A"/>
    <w:rsid w:val="00AD3C84"/>
    <w:rsid w:val="00AD43DE"/>
    <w:rsid w:val="00AD4D85"/>
    <w:rsid w:val="00AD574E"/>
    <w:rsid w:val="00AD5DF0"/>
    <w:rsid w:val="00AD6962"/>
    <w:rsid w:val="00AD6C37"/>
    <w:rsid w:val="00AD73CE"/>
    <w:rsid w:val="00AD7A97"/>
    <w:rsid w:val="00AD7D1B"/>
    <w:rsid w:val="00AE02E5"/>
    <w:rsid w:val="00AE11BF"/>
    <w:rsid w:val="00AE14B3"/>
    <w:rsid w:val="00AE3D76"/>
    <w:rsid w:val="00AE4C1D"/>
    <w:rsid w:val="00AE4D54"/>
    <w:rsid w:val="00AE56F3"/>
    <w:rsid w:val="00AE56FD"/>
    <w:rsid w:val="00AE5CFF"/>
    <w:rsid w:val="00AE61BB"/>
    <w:rsid w:val="00AE6341"/>
    <w:rsid w:val="00AE7282"/>
    <w:rsid w:val="00AF01D5"/>
    <w:rsid w:val="00AF14BA"/>
    <w:rsid w:val="00AF17DF"/>
    <w:rsid w:val="00AF2D56"/>
    <w:rsid w:val="00AF2FF5"/>
    <w:rsid w:val="00AF318F"/>
    <w:rsid w:val="00AF38DC"/>
    <w:rsid w:val="00AF3FB6"/>
    <w:rsid w:val="00AF4957"/>
    <w:rsid w:val="00AF5621"/>
    <w:rsid w:val="00B007B8"/>
    <w:rsid w:val="00B00C84"/>
    <w:rsid w:val="00B0120E"/>
    <w:rsid w:val="00B01ADC"/>
    <w:rsid w:val="00B01CAF"/>
    <w:rsid w:val="00B03213"/>
    <w:rsid w:val="00B03574"/>
    <w:rsid w:val="00B04E0A"/>
    <w:rsid w:val="00B05117"/>
    <w:rsid w:val="00B0527C"/>
    <w:rsid w:val="00B05A28"/>
    <w:rsid w:val="00B10952"/>
    <w:rsid w:val="00B1180F"/>
    <w:rsid w:val="00B12127"/>
    <w:rsid w:val="00B123D2"/>
    <w:rsid w:val="00B13BF2"/>
    <w:rsid w:val="00B14027"/>
    <w:rsid w:val="00B1453A"/>
    <w:rsid w:val="00B157C8"/>
    <w:rsid w:val="00B15EC5"/>
    <w:rsid w:val="00B16182"/>
    <w:rsid w:val="00B16393"/>
    <w:rsid w:val="00B17592"/>
    <w:rsid w:val="00B20130"/>
    <w:rsid w:val="00B21359"/>
    <w:rsid w:val="00B215CE"/>
    <w:rsid w:val="00B219A3"/>
    <w:rsid w:val="00B223A1"/>
    <w:rsid w:val="00B225D3"/>
    <w:rsid w:val="00B2288D"/>
    <w:rsid w:val="00B23636"/>
    <w:rsid w:val="00B23ACE"/>
    <w:rsid w:val="00B23EA7"/>
    <w:rsid w:val="00B259CE"/>
    <w:rsid w:val="00B25D81"/>
    <w:rsid w:val="00B26086"/>
    <w:rsid w:val="00B264F4"/>
    <w:rsid w:val="00B274A4"/>
    <w:rsid w:val="00B27788"/>
    <w:rsid w:val="00B27F4C"/>
    <w:rsid w:val="00B305F9"/>
    <w:rsid w:val="00B30CCC"/>
    <w:rsid w:val="00B30EAA"/>
    <w:rsid w:val="00B31224"/>
    <w:rsid w:val="00B328EE"/>
    <w:rsid w:val="00B3291E"/>
    <w:rsid w:val="00B334D9"/>
    <w:rsid w:val="00B33E09"/>
    <w:rsid w:val="00B34E89"/>
    <w:rsid w:val="00B35326"/>
    <w:rsid w:val="00B36030"/>
    <w:rsid w:val="00B36511"/>
    <w:rsid w:val="00B371CC"/>
    <w:rsid w:val="00B37774"/>
    <w:rsid w:val="00B40353"/>
    <w:rsid w:val="00B4038D"/>
    <w:rsid w:val="00B4099B"/>
    <w:rsid w:val="00B40BBC"/>
    <w:rsid w:val="00B415A5"/>
    <w:rsid w:val="00B41773"/>
    <w:rsid w:val="00B4227F"/>
    <w:rsid w:val="00B4309B"/>
    <w:rsid w:val="00B44722"/>
    <w:rsid w:val="00B45193"/>
    <w:rsid w:val="00B451D8"/>
    <w:rsid w:val="00B457A1"/>
    <w:rsid w:val="00B46392"/>
    <w:rsid w:val="00B469EC"/>
    <w:rsid w:val="00B46F23"/>
    <w:rsid w:val="00B47065"/>
    <w:rsid w:val="00B503C8"/>
    <w:rsid w:val="00B51661"/>
    <w:rsid w:val="00B5184D"/>
    <w:rsid w:val="00B529C8"/>
    <w:rsid w:val="00B52A99"/>
    <w:rsid w:val="00B53229"/>
    <w:rsid w:val="00B5376B"/>
    <w:rsid w:val="00B53A94"/>
    <w:rsid w:val="00B5423E"/>
    <w:rsid w:val="00B558A9"/>
    <w:rsid w:val="00B55F39"/>
    <w:rsid w:val="00B565DC"/>
    <w:rsid w:val="00B566D6"/>
    <w:rsid w:val="00B6028F"/>
    <w:rsid w:val="00B60AE0"/>
    <w:rsid w:val="00B61DF1"/>
    <w:rsid w:val="00B638F0"/>
    <w:rsid w:val="00B64F7E"/>
    <w:rsid w:val="00B656B8"/>
    <w:rsid w:val="00B65B91"/>
    <w:rsid w:val="00B65D5D"/>
    <w:rsid w:val="00B66214"/>
    <w:rsid w:val="00B6654F"/>
    <w:rsid w:val="00B66765"/>
    <w:rsid w:val="00B66AB5"/>
    <w:rsid w:val="00B67602"/>
    <w:rsid w:val="00B70020"/>
    <w:rsid w:val="00B701E1"/>
    <w:rsid w:val="00B704DA"/>
    <w:rsid w:val="00B711DE"/>
    <w:rsid w:val="00B71485"/>
    <w:rsid w:val="00B7187F"/>
    <w:rsid w:val="00B71B96"/>
    <w:rsid w:val="00B71F07"/>
    <w:rsid w:val="00B7209B"/>
    <w:rsid w:val="00B72CE3"/>
    <w:rsid w:val="00B72FE3"/>
    <w:rsid w:val="00B73DEA"/>
    <w:rsid w:val="00B74C34"/>
    <w:rsid w:val="00B761A3"/>
    <w:rsid w:val="00B7627D"/>
    <w:rsid w:val="00B76805"/>
    <w:rsid w:val="00B76CF5"/>
    <w:rsid w:val="00B7735A"/>
    <w:rsid w:val="00B777A3"/>
    <w:rsid w:val="00B778E3"/>
    <w:rsid w:val="00B80DEC"/>
    <w:rsid w:val="00B817C0"/>
    <w:rsid w:val="00B81D03"/>
    <w:rsid w:val="00B8225C"/>
    <w:rsid w:val="00B829EE"/>
    <w:rsid w:val="00B82FF0"/>
    <w:rsid w:val="00B83DC1"/>
    <w:rsid w:val="00B84469"/>
    <w:rsid w:val="00B84557"/>
    <w:rsid w:val="00B84F0E"/>
    <w:rsid w:val="00B84FA0"/>
    <w:rsid w:val="00B85139"/>
    <w:rsid w:val="00B85732"/>
    <w:rsid w:val="00B858E8"/>
    <w:rsid w:val="00B860C2"/>
    <w:rsid w:val="00B871E3"/>
    <w:rsid w:val="00B9007C"/>
    <w:rsid w:val="00B9041F"/>
    <w:rsid w:val="00B916A5"/>
    <w:rsid w:val="00B916F5"/>
    <w:rsid w:val="00B9195F"/>
    <w:rsid w:val="00B91BD5"/>
    <w:rsid w:val="00B9277A"/>
    <w:rsid w:val="00B92946"/>
    <w:rsid w:val="00B93780"/>
    <w:rsid w:val="00B93AF9"/>
    <w:rsid w:val="00B9461D"/>
    <w:rsid w:val="00B95564"/>
    <w:rsid w:val="00B955A5"/>
    <w:rsid w:val="00B95907"/>
    <w:rsid w:val="00B95CE3"/>
    <w:rsid w:val="00B9610C"/>
    <w:rsid w:val="00B968E5"/>
    <w:rsid w:val="00B96FEE"/>
    <w:rsid w:val="00BA0275"/>
    <w:rsid w:val="00BA0381"/>
    <w:rsid w:val="00BA03C0"/>
    <w:rsid w:val="00BA0404"/>
    <w:rsid w:val="00BA0774"/>
    <w:rsid w:val="00BA0A68"/>
    <w:rsid w:val="00BA100D"/>
    <w:rsid w:val="00BA1451"/>
    <w:rsid w:val="00BA1583"/>
    <w:rsid w:val="00BA233C"/>
    <w:rsid w:val="00BA24D2"/>
    <w:rsid w:val="00BA28E9"/>
    <w:rsid w:val="00BA3141"/>
    <w:rsid w:val="00BA3509"/>
    <w:rsid w:val="00BA351C"/>
    <w:rsid w:val="00BA3C33"/>
    <w:rsid w:val="00BA4ED5"/>
    <w:rsid w:val="00BA5C6C"/>
    <w:rsid w:val="00BA5FC5"/>
    <w:rsid w:val="00BA63EA"/>
    <w:rsid w:val="00BA78B4"/>
    <w:rsid w:val="00BB08F6"/>
    <w:rsid w:val="00BB0F36"/>
    <w:rsid w:val="00BB1257"/>
    <w:rsid w:val="00BB1D1F"/>
    <w:rsid w:val="00BB29EE"/>
    <w:rsid w:val="00BB2E09"/>
    <w:rsid w:val="00BB3C0B"/>
    <w:rsid w:val="00BB6237"/>
    <w:rsid w:val="00BB6591"/>
    <w:rsid w:val="00BB77BC"/>
    <w:rsid w:val="00BC0069"/>
    <w:rsid w:val="00BC1228"/>
    <w:rsid w:val="00BC12F3"/>
    <w:rsid w:val="00BC18C1"/>
    <w:rsid w:val="00BC1B49"/>
    <w:rsid w:val="00BC21B6"/>
    <w:rsid w:val="00BC21CE"/>
    <w:rsid w:val="00BC25A3"/>
    <w:rsid w:val="00BC2753"/>
    <w:rsid w:val="00BC3FF2"/>
    <w:rsid w:val="00BC48CB"/>
    <w:rsid w:val="00BC4FA5"/>
    <w:rsid w:val="00BC5ABA"/>
    <w:rsid w:val="00BC625E"/>
    <w:rsid w:val="00BC63F9"/>
    <w:rsid w:val="00BC736D"/>
    <w:rsid w:val="00BC7AEE"/>
    <w:rsid w:val="00BD0D9D"/>
    <w:rsid w:val="00BD3462"/>
    <w:rsid w:val="00BD3605"/>
    <w:rsid w:val="00BD3B39"/>
    <w:rsid w:val="00BD4070"/>
    <w:rsid w:val="00BD442D"/>
    <w:rsid w:val="00BD4AA3"/>
    <w:rsid w:val="00BD5DC0"/>
    <w:rsid w:val="00BD5FA2"/>
    <w:rsid w:val="00BD63AA"/>
    <w:rsid w:val="00BD68E7"/>
    <w:rsid w:val="00BD6B00"/>
    <w:rsid w:val="00BD7083"/>
    <w:rsid w:val="00BD7132"/>
    <w:rsid w:val="00BD76D7"/>
    <w:rsid w:val="00BD7B97"/>
    <w:rsid w:val="00BE0015"/>
    <w:rsid w:val="00BE10CA"/>
    <w:rsid w:val="00BE19F0"/>
    <w:rsid w:val="00BE1D95"/>
    <w:rsid w:val="00BE21E8"/>
    <w:rsid w:val="00BE3031"/>
    <w:rsid w:val="00BE36D2"/>
    <w:rsid w:val="00BE3942"/>
    <w:rsid w:val="00BE4D37"/>
    <w:rsid w:val="00BE4EE8"/>
    <w:rsid w:val="00BE5092"/>
    <w:rsid w:val="00BE55DA"/>
    <w:rsid w:val="00BE62DF"/>
    <w:rsid w:val="00BE66F3"/>
    <w:rsid w:val="00BE67C3"/>
    <w:rsid w:val="00BE6921"/>
    <w:rsid w:val="00BE7213"/>
    <w:rsid w:val="00BF062C"/>
    <w:rsid w:val="00BF0AF4"/>
    <w:rsid w:val="00BF1551"/>
    <w:rsid w:val="00BF20BD"/>
    <w:rsid w:val="00BF21A9"/>
    <w:rsid w:val="00BF25EC"/>
    <w:rsid w:val="00BF2E8C"/>
    <w:rsid w:val="00BF3916"/>
    <w:rsid w:val="00BF42DB"/>
    <w:rsid w:val="00BF54CC"/>
    <w:rsid w:val="00BF5889"/>
    <w:rsid w:val="00BF5E5D"/>
    <w:rsid w:val="00BF6292"/>
    <w:rsid w:val="00BF6500"/>
    <w:rsid w:val="00BF6B76"/>
    <w:rsid w:val="00C00198"/>
    <w:rsid w:val="00C00CC3"/>
    <w:rsid w:val="00C0215D"/>
    <w:rsid w:val="00C02FDE"/>
    <w:rsid w:val="00C04FE2"/>
    <w:rsid w:val="00C0644B"/>
    <w:rsid w:val="00C065D6"/>
    <w:rsid w:val="00C06FFC"/>
    <w:rsid w:val="00C0729E"/>
    <w:rsid w:val="00C07DCC"/>
    <w:rsid w:val="00C100DE"/>
    <w:rsid w:val="00C113EF"/>
    <w:rsid w:val="00C12B4E"/>
    <w:rsid w:val="00C131EE"/>
    <w:rsid w:val="00C13C78"/>
    <w:rsid w:val="00C1460C"/>
    <w:rsid w:val="00C14FD6"/>
    <w:rsid w:val="00C1554D"/>
    <w:rsid w:val="00C155F2"/>
    <w:rsid w:val="00C168FE"/>
    <w:rsid w:val="00C17292"/>
    <w:rsid w:val="00C17497"/>
    <w:rsid w:val="00C17D7B"/>
    <w:rsid w:val="00C2065C"/>
    <w:rsid w:val="00C206ED"/>
    <w:rsid w:val="00C20B75"/>
    <w:rsid w:val="00C22A03"/>
    <w:rsid w:val="00C22B3C"/>
    <w:rsid w:val="00C236AA"/>
    <w:rsid w:val="00C23E38"/>
    <w:rsid w:val="00C23FAB"/>
    <w:rsid w:val="00C24027"/>
    <w:rsid w:val="00C24673"/>
    <w:rsid w:val="00C24E60"/>
    <w:rsid w:val="00C25362"/>
    <w:rsid w:val="00C25A7A"/>
    <w:rsid w:val="00C2631D"/>
    <w:rsid w:val="00C26CE5"/>
    <w:rsid w:val="00C27761"/>
    <w:rsid w:val="00C27ADE"/>
    <w:rsid w:val="00C27C54"/>
    <w:rsid w:val="00C27C7C"/>
    <w:rsid w:val="00C304AA"/>
    <w:rsid w:val="00C30E96"/>
    <w:rsid w:val="00C31D79"/>
    <w:rsid w:val="00C3203B"/>
    <w:rsid w:val="00C32373"/>
    <w:rsid w:val="00C32D0B"/>
    <w:rsid w:val="00C32F1F"/>
    <w:rsid w:val="00C33755"/>
    <w:rsid w:val="00C3467E"/>
    <w:rsid w:val="00C34736"/>
    <w:rsid w:val="00C3509D"/>
    <w:rsid w:val="00C360B4"/>
    <w:rsid w:val="00C36B61"/>
    <w:rsid w:val="00C40152"/>
    <w:rsid w:val="00C412E0"/>
    <w:rsid w:val="00C41FBF"/>
    <w:rsid w:val="00C42EC4"/>
    <w:rsid w:val="00C438C2"/>
    <w:rsid w:val="00C43D27"/>
    <w:rsid w:val="00C4510C"/>
    <w:rsid w:val="00C45931"/>
    <w:rsid w:val="00C4661A"/>
    <w:rsid w:val="00C4691B"/>
    <w:rsid w:val="00C46ADA"/>
    <w:rsid w:val="00C47ECF"/>
    <w:rsid w:val="00C50405"/>
    <w:rsid w:val="00C50EEC"/>
    <w:rsid w:val="00C510AC"/>
    <w:rsid w:val="00C5173C"/>
    <w:rsid w:val="00C52E65"/>
    <w:rsid w:val="00C53D1E"/>
    <w:rsid w:val="00C53D81"/>
    <w:rsid w:val="00C55CDE"/>
    <w:rsid w:val="00C55F64"/>
    <w:rsid w:val="00C56305"/>
    <w:rsid w:val="00C56722"/>
    <w:rsid w:val="00C56E99"/>
    <w:rsid w:val="00C60D77"/>
    <w:rsid w:val="00C61056"/>
    <w:rsid w:val="00C61857"/>
    <w:rsid w:val="00C653E5"/>
    <w:rsid w:val="00C658CE"/>
    <w:rsid w:val="00C66DEF"/>
    <w:rsid w:val="00C6720E"/>
    <w:rsid w:val="00C6765C"/>
    <w:rsid w:val="00C6768B"/>
    <w:rsid w:val="00C7009E"/>
    <w:rsid w:val="00C70BAE"/>
    <w:rsid w:val="00C71386"/>
    <w:rsid w:val="00C71558"/>
    <w:rsid w:val="00C720BE"/>
    <w:rsid w:val="00C72A1C"/>
    <w:rsid w:val="00C72F78"/>
    <w:rsid w:val="00C733AD"/>
    <w:rsid w:val="00C73ADE"/>
    <w:rsid w:val="00C74154"/>
    <w:rsid w:val="00C741C4"/>
    <w:rsid w:val="00C75052"/>
    <w:rsid w:val="00C75DC3"/>
    <w:rsid w:val="00C76667"/>
    <w:rsid w:val="00C76FD8"/>
    <w:rsid w:val="00C771E0"/>
    <w:rsid w:val="00C773AA"/>
    <w:rsid w:val="00C777FF"/>
    <w:rsid w:val="00C80AF7"/>
    <w:rsid w:val="00C8132E"/>
    <w:rsid w:val="00C8148E"/>
    <w:rsid w:val="00C814E2"/>
    <w:rsid w:val="00C81B67"/>
    <w:rsid w:val="00C82005"/>
    <w:rsid w:val="00C83103"/>
    <w:rsid w:val="00C83A60"/>
    <w:rsid w:val="00C8474A"/>
    <w:rsid w:val="00C84F11"/>
    <w:rsid w:val="00C851A6"/>
    <w:rsid w:val="00C85372"/>
    <w:rsid w:val="00C86533"/>
    <w:rsid w:val="00C86AE9"/>
    <w:rsid w:val="00C9049C"/>
    <w:rsid w:val="00C90EFC"/>
    <w:rsid w:val="00C92144"/>
    <w:rsid w:val="00C93724"/>
    <w:rsid w:val="00C938EE"/>
    <w:rsid w:val="00C93A0F"/>
    <w:rsid w:val="00C940E3"/>
    <w:rsid w:val="00C94256"/>
    <w:rsid w:val="00C9460D"/>
    <w:rsid w:val="00C949B4"/>
    <w:rsid w:val="00C963A3"/>
    <w:rsid w:val="00C964AF"/>
    <w:rsid w:val="00C96A2D"/>
    <w:rsid w:val="00C96E61"/>
    <w:rsid w:val="00C96F01"/>
    <w:rsid w:val="00CA0041"/>
    <w:rsid w:val="00CA1608"/>
    <w:rsid w:val="00CA2934"/>
    <w:rsid w:val="00CA29B5"/>
    <w:rsid w:val="00CA2CF6"/>
    <w:rsid w:val="00CA2DB0"/>
    <w:rsid w:val="00CA39F8"/>
    <w:rsid w:val="00CA4273"/>
    <w:rsid w:val="00CA4DF1"/>
    <w:rsid w:val="00CA5211"/>
    <w:rsid w:val="00CA575D"/>
    <w:rsid w:val="00CA5E4D"/>
    <w:rsid w:val="00CA66A0"/>
    <w:rsid w:val="00CA67BC"/>
    <w:rsid w:val="00CA67CB"/>
    <w:rsid w:val="00CA680A"/>
    <w:rsid w:val="00CA7B9F"/>
    <w:rsid w:val="00CA7D42"/>
    <w:rsid w:val="00CB0A52"/>
    <w:rsid w:val="00CB1D83"/>
    <w:rsid w:val="00CB1EA9"/>
    <w:rsid w:val="00CB3D50"/>
    <w:rsid w:val="00CB4D20"/>
    <w:rsid w:val="00CB67B6"/>
    <w:rsid w:val="00CB6D4A"/>
    <w:rsid w:val="00CB7255"/>
    <w:rsid w:val="00CB73DD"/>
    <w:rsid w:val="00CB7ECD"/>
    <w:rsid w:val="00CC157F"/>
    <w:rsid w:val="00CC254A"/>
    <w:rsid w:val="00CC2D23"/>
    <w:rsid w:val="00CC2D70"/>
    <w:rsid w:val="00CC2D95"/>
    <w:rsid w:val="00CC390F"/>
    <w:rsid w:val="00CC452D"/>
    <w:rsid w:val="00CC49FF"/>
    <w:rsid w:val="00CC56BD"/>
    <w:rsid w:val="00CC67B8"/>
    <w:rsid w:val="00CC74C6"/>
    <w:rsid w:val="00CC750E"/>
    <w:rsid w:val="00CD0000"/>
    <w:rsid w:val="00CD01AE"/>
    <w:rsid w:val="00CD0F27"/>
    <w:rsid w:val="00CD30CE"/>
    <w:rsid w:val="00CD37AB"/>
    <w:rsid w:val="00CD3B19"/>
    <w:rsid w:val="00CD3F0D"/>
    <w:rsid w:val="00CD4136"/>
    <w:rsid w:val="00CD425A"/>
    <w:rsid w:val="00CD48F3"/>
    <w:rsid w:val="00CD4AA5"/>
    <w:rsid w:val="00CD67F9"/>
    <w:rsid w:val="00CD6BD4"/>
    <w:rsid w:val="00CD7143"/>
    <w:rsid w:val="00CD741D"/>
    <w:rsid w:val="00CE000A"/>
    <w:rsid w:val="00CE0DB9"/>
    <w:rsid w:val="00CE122E"/>
    <w:rsid w:val="00CE1268"/>
    <w:rsid w:val="00CE2154"/>
    <w:rsid w:val="00CE28AF"/>
    <w:rsid w:val="00CE372A"/>
    <w:rsid w:val="00CE4D2E"/>
    <w:rsid w:val="00CE4FB5"/>
    <w:rsid w:val="00CE5DF4"/>
    <w:rsid w:val="00CE6E24"/>
    <w:rsid w:val="00CE7C01"/>
    <w:rsid w:val="00CE7C46"/>
    <w:rsid w:val="00CE7E52"/>
    <w:rsid w:val="00CF1495"/>
    <w:rsid w:val="00CF14AD"/>
    <w:rsid w:val="00CF2E9E"/>
    <w:rsid w:val="00CF3896"/>
    <w:rsid w:val="00CF4435"/>
    <w:rsid w:val="00CF5A60"/>
    <w:rsid w:val="00CF6993"/>
    <w:rsid w:val="00CF74E3"/>
    <w:rsid w:val="00D0080F"/>
    <w:rsid w:val="00D00E40"/>
    <w:rsid w:val="00D01134"/>
    <w:rsid w:val="00D01AD4"/>
    <w:rsid w:val="00D02123"/>
    <w:rsid w:val="00D023F9"/>
    <w:rsid w:val="00D03151"/>
    <w:rsid w:val="00D0407D"/>
    <w:rsid w:val="00D0559C"/>
    <w:rsid w:val="00D0638F"/>
    <w:rsid w:val="00D07A24"/>
    <w:rsid w:val="00D10397"/>
    <w:rsid w:val="00D10CA0"/>
    <w:rsid w:val="00D14D80"/>
    <w:rsid w:val="00D1625B"/>
    <w:rsid w:val="00D16F30"/>
    <w:rsid w:val="00D1706E"/>
    <w:rsid w:val="00D17169"/>
    <w:rsid w:val="00D17A1E"/>
    <w:rsid w:val="00D20B88"/>
    <w:rsid w:val="00D21575"/>
    <w:rsid w:val="00D21DBC"/>
    <w:rsid w:val="00D22FC2"/>
    <w:rsid w:val="00D23398"/>
    <w:rsid w:val="00D256B8"/>
    <w:rsid w:val="00D25DE0"/>
    <w:rsid w:val="00D27272"/>
    <w:rsid w:val="00D27FCF"/>
    <w:rsid w:val="00D30189"/>
    <w:rsid w:val="00D30EA4"/>
    <w:rsid w:val="00D30FD8"/>
    <w:rsid w:val="00D3243F"/>
    <w:rsid w:val="00D32597"/>
    <w:rsid w:val="00D329C3"/>
    <w:rsid w:val="00D32F4A"/>
    <w:rsid w:val="00D331AA"/>
    <w:rsid w:val="00D33D0B"/>
    <w:rsid w:val="00D35059"/>
    <w:rsid w:val="00D3506C"/>
    <w:rsid w:val="00D352CE"/>
    <w:rsid w:val="00D36359"/>
    <w:rsid w:val="00D364A9"/>
    <w:rsid w:val="00D37128"/>
    <w:rsid w:val="00D37CED"/>
    <w:rsid w:val="00D37F8F"/>
    <w:rsid w:val="00D40BD9"/>
    <w:rsid w:val="00D40E6C"/>
    <w:rsid w:val="00D421DC"/>
    <w:rsid w:val="00D424FB"/>
    <w:rsid w:val="00D4306E"/>
    <w:rsid w:val="00D437EF"/>
    <w:rsid w:val="00D43A88"/>
    <w:rsid w:val="00D43C99"/>
    <w:rsid w:val="00D442E7"/>
    <w:rsid w:val="00D45422"/>
    <w:rsid w:val="00D4542A"/>
    <w:rsid w:val="00D45537"/>
    <w:rsid w:val="00D45AAE"/>
    <w:rsid w:val="00D46DCD"/>
    <w:rsid w:val="00D46E58"/>
    <w:rsid w:val="00D474BF"/>
    <w:rsid w:val="00D476A3"/>
    <w:rsid w:val="00D47B0F"/>
    <w:rsid w:val="00D47F75"/>
    <w:rsid w:val="00D510C3"/>
    <w:rsid w:val="00D51F52"/>
    <w:rsid w:val="00D5286E"/>
    <w:rsid w:val="00D52BCF"/>
    <w:rsid w:val="00D534A3"/>
    <w:rsid w:val="00D54B10"/>
    <w:rsid w:val="00D5526E"/>
    <w:rsid w:val="00D55454"/>
    <w:rsid w:val="00D55A96"/>
    <w:rsid w:val="00D55BD2"/>
    <w:rsid w:val="00D55CC4"/>
    <w:rsid w:val="00D55D7D"/>
    <w:rsid w:val="00D561A4"/>
    <w:rsid w:val="00D56D02"/>
    <w:rsid w:val="00D56D2F"/>
    <w:rsid w:val="00D56E5F"/>
    <w:rsid w:val="00D57524"/>
    <w:rsid w:val="00D60168"/>
    <w:rsid w:val="00D60772"/>
    <w:rsid w:val="00D60A59"/>
    <w:rsid w:val="00D60D94"/>
    <w:rsid w:val="00D62B4C"/>
    <w:rsid w:val="00D62E40"/>
    <w:rsid w:val="00D636DA"/>
    <w:rsid w:val="00D63A76"/>
    <w:rsid w:val="00D63BCF"/>
    <w:rsid w:val="00D63F1D"/>
    <w:rsid w:val="00D642D5"/>
    <w:rsid w:val="00D649B6"/>
    <w:rsid w:val="00D64D55"/>
    <w:rsid w:val="00D64E38"/>
    <w:rsid w:val="00D65552"/>
    <w:rsid w:val="00D663B4"/>
    <w:rsid w:val="00D66D67"/>
    <w:rsid w:val="00D67310"/>
    <w:rsid w:val="00D67E73"/>
    <w:rsid w:val="00D73252"/>
    <w:rsid w:val="00D738AF"/>
    <w:rsid w:val="00D73CBA"/>
    <w:rsid w:val="00D74AF4"/>
    <w:rsid w:val="00D753C8"/>
    <w:rsid w:val="00D753DD"/>
    <w:rsid w:val="00D76682"/>
    <w:rsid w:val="00D76B16"/>
    <w:rsid w:val="00D778F2"/>
    <w:rsid w:val="00D77B19"/>
    <w:rsid w:val="00D800DA"/>
    <w:rsid w:val="00D801C1"/>
    <w:rsid w:val="00D809A1"/>
    <w:rsid w:val="00D80B08"/>
    <w:rsid w:val="00D80C57"/>
    <w:rsid w:val="00D823CF"/>
    <w:rsid w:val="00D82934"/>
    <w:rsid w:val="00D84C44"/>
    <w:rsid w:val="00D8591D"/>
    <w:rsid w:val="00D85E6D"/>
    <w:rsid w:val="00D860B0"/>
    <w:rsid w:val="00D861A5"/>
    <w:rsid w:val="00D91342"/>
    <w:rsid w:val="00D91549"/>
    <w:rsid w:val="00D928C3"/>
    <w:rsid w:val="00D935CA"/>
    <w:rsid w:val="00D94A82"/>
    <w:rsid w:val="00D95EE9"/>
    <w:rsid w:val="00D96A22"/>
    <w:rsid w:val="00D96B5B"/>
    <w:rsid w:val="00D96BC4"/>
    <w:rsid w:val="00D9731D"/>
    <w:rsid w:val="00D9740A"/>
    <w:rsid w:val="00DA1421"/>
    <w:rsid w:val="00DA16EF"/>
    <w:rsid w:val="00DA23EA"/>
    <w:rsid w:val="00DA3D00"/>
    <w:rsid w:val="00DA5002"/>
    <w:rsid w:val="00DA5BA8"/>
    <w:rsid w:val="00DA6E61"/>
    <w:rsid w:val="00DA73DB"/>
    <w:rsid w:val="00DB06C3"/>
    <w:rsid w:val="00DB0B0B"/>
    <w:rsid w:val="00DB0F2F"/>
    <w:rsid w:val="00DB1359"/>
    <w:rsid w:val="00DB17EC"/>
    <w:rsid w:val="00DB19C8"/>
    <w:rsid w:val="00DB256E"/>
    <w:rsid w:val="00DB3136"/>
    <w:rsid w:val="00DB42C1"/>
    <w:rsid w:val="00DB4310"/>
    <w:rsid w:val="00DB556D"/>
    <w:rsid w:val="00DB74DE"/>
    <w:rsid w:val="00DB7526"/>
    <w:rsid w:val="00DB7CD3"/>
    <w:rsid w:val="00DC061D"/>
    <w:rsid w:val="00DC1B5F"/>
    <w:rsid w:val="00DC3935"/>
    <w:rsid w:val="00DC3A22"/>
    <w:rsid w:val="00DC45BA"/>
    <w:rsid w:val="00DC477A"/>
    <w:rsid w:val="00DC54CF"/>
    <w:rsid w:val="00DC5F31"/>
    <w:rsid w:val="00DC6441"/>
    <w:rsid w:val="00DC6B7D"/>
    <w:rsid w:val="00DC6F25"/>
    <w:rsid w:val="00DC712B"/>
    <w:rsid w:val="00DC713D"/>
    <w:rsid w:val="00DC7431"/>
    <w:rsid w:val="00DC7487"/>
    <w:rsid w:val="00DC7538"/>
    <w:rsid w:val="00DC7AF8"/>
    <w:rsid w:val="00DD1D66"/>
    <w:rsid w:val="00DD2AD7"/>
    <w:rsid w:val="00DD3641"/>
    <w:rsid w:val="00DD37F3"/>
    <w:rsid w:val="00DD3B02"/>
    <w:rsid w:val="00DD3F28"/>
    <w:rsid w:val="00DD4B07"/>
    <w:rsid w:val="00DD5BD3"/>
    <w:rsid w:val="00DD68A4"/>
    <w:rsid w:val="00DD7759"/>
    <w:rsid w:val="00DE0C7E"/>
    <w:rsid w:val="00DE1191"/>
    <w:rsid w:val="00DE232E"/>
    <w:rsid w:val="00DE4813"/>
    <w:rsid w:val="00DE4F78"/>
    <w:rsid w:val="00DE59F5"/>
    <w:rsid w:val="00DE604D"/>
    <w:rsid w:val="00DE646A"/>
    <w:rsid w:val="00DE6724"/>
    <w:rsid w:val="00DE67C0"/>
    <w:rsid w:val="00DE6A77"/>
    <w:rsid w:val="00DE6F54"/>
    <w:rsid w:val="00DE7FDC"/>
    <w:rsid w:val="00DF0870"/>
    <w:rsid w:val="00DF097E"/>
    <w:rsid w:val="00DF09CC"/>
    <w:rsid w:val="00DF178A"/>
    <w:rsid w:val="00DF1EC1"/>
    <w:rsid w:val="00DF201C"/>
    <w:rsid w:val="00DF2E3B"/>
    <w:rsid w:val="00DF393F"/>
    <w:rsid w:val="00DF4051"/>
    <w:rsid w:val="00DF417D"/>
    <w:rsid w:val="00DF42B8"/>
    <w:rsid w:val="00DF5BB2"/>
    <w:rsid w:val="00DF6768"/>
    <w:rsid w:val="00DF6DCF"/>
    <w:rsid w:val="00DF78E5"/>
    <w:rsid w:val="00E005C6"/>
    <w:rsid w:val="00E01073"/>
    <w:rsid w:val="00E0139F"/>
    <w:rsid w:val="00E01684"/>
    <w:rsid w:val="00E02C32"/>
    <w:rsid w:val="00E02E6E"/>
    <w:rsid w:val="00E06937"/>
    <w:rsid w:val="00E069DA"/>
    <w:rsid w:val="00E0743C"/>
    <w:rsid w:val="00E07982"/>
    <w:rsid w:val="00E07E9C"/>
    <w:rsid w:val="00E107A0"/>
    <w:rsid w:val="00E10A55"/>
    <w:rsid w:val="00E10FF6"/>
    <w:rsid w:val="00E1164E"/>
    <w:rsid w:val="00E1187F"/>
    <w:rsid w:val="00E11C2C"/>
    <w:rsid w:val="00E122B9"/>
    <w:rsid w:val="00E1306E"/>
    <w:rsid w:val="00E13874"/>
    <w:rsid w:val="00E13E84"/>
    <w:rsid w:val="00E145A9"/>
    <w:rsid w:val="00E15638"/>
    <w:rsid w:val="00E1669F"/>
    <w:rsid w:val="00E16EB8"/>
    <w:rsid w:val="00E177A1"/>
    <w:rsid w:val="00E17803"/>
    <w:rsid w:val="00E204B7"/>
    <w:rsid w:val="00E208BD"/>
    <w:rsid w:val="00E21397"/>
    <w:rsid w:val="00E216C5"/>
    <w:rsid w:val="00E218C3"/>
    <w:rsid w:val="00E21B80"/>
    <w:rsid w:val="00E224FF"/>
    <w:rsid w:val="00E22CDE"/>
    <w:rsid w:val="00E2309F"/>
    <w:rsid w:val="00E231A8"/>
    <w:rsid w:val="00E245A9"/>
    <w:rsid w:val="00E24D83"/>
    <w:rsid w:val="00E253F4"/>
    <w:rsid w:val="00E25462"/>
    <w:rsid w:val="00E255C0"/>
    <w:rsid w:val="00E25D85"/>
    <w:rsid w:val="00E269DE"/>
    <w:rsid w:val="00E26A8B"/>
    <w:rsid w:val="00E26E81"/>
    <w:rsid w:val="00E27ADE"/>
    <w:rsid w:val="00E27FC4"/>
    <w:rsid w:val="00E30260"/>
    <w:rsid w:val="00E306AE"/>
    <w:rsid w:val="00E30BE9"/>
    <w:rsid w:val="00E310D7"/>
    <w:rsid w:val="00E31855"/>
    <w:rsid w:val="00E318B9"/>
    <w:rsid w:val="00E3349B"/>
    <w:rsid w:val="00E33750"/>
    <w:rsid w:val="00E33EDE"/>
    <w:rsid w:val="00E3522C"/>
    <w:rsid w:val="00E3530E"/>
    <w:rsid w:val="00E3589A"/>
    <w:rsid w:val="00E35D9A"/>
    <w:rsid w:val="00E364B8"/>
    <w:rsid w:val="00E3654F"/>
    <w:rsid w:val="00E37488"/>
    <w:rsid w:val="00E37D42"/>
    <w:rsid w:val="00E40D8E"/>
    <w:rsid w:val="00E415F8"/>
    <w:rsid w:val="00E41D9F"/>
    <w:rsid w:val="00E423F1"/>
    <w:rsid w:val="00E4286E"/>
    <w:rsid w:val="00E43014"/>
    <w:rsid w:val="00E43B07"/>
    <w:rsid w:val="00E454A8"/>
    <w:rsid w:val="00E5033A"/>
    <w:rsid w:val="00E504D6"/>
    <w:rsid w:val="00E507D5"/>
    <w:rsid w:val="00E52074"/>
    <w:rsid w:val="00E521F6"/>
    <w:rsid w:val="00E5239F"/>
    <w:rsid w:val="00E52643"/>
    <w:rsid w:val="00E5400D"/>
    <w:rsid w:val="00E54F60"/>
    <w:rsid w:val="00E5611C"/>
    <w:rsid w:val="00E564D6"/>
    <w:rsid w:val="00E573C5"/>
    <w:rsid w:val="00E6141A"/>
    <w:rsid w:val="00E61901"/>
    <w:rsid w:val="00E64E3C"/>
    <w:rsid w:val="00E6646A"/>
    <w:rsid w:val="00E66669"/>
    <w:rsid w:val="00E66B8E"/>
    <w:rsid w:val="00E67DCA"/>
    <w:rsid w:val="00E7029C"/>
    <w:rsid w:val="00E708C3"/>
    <w:rsid w:val="00E70D8E"/>
    <w:rsid w:val="00E70E39"/>
    <w:rsid w:val="00E71162"/>
    <w:rsid w:val="00E721C1"/>
    <w:rsid w:val="00E72574"/>
    <w:rsid w:val="00E72EF7"/>
    <w:rsid w:val="00E739A5"/>
    <w:rsid w:val="00E74DBE"/>
    <w:rsid w:val="00E75185"/>
    <w:rsid w:val="00E754B6"/>
    <w:rsid w:val="00E756E7"/>
    <w:rsid w:val="00E768E9"/>
    <w:rsid w:val="00E77C27"/>
    <w:rsid w:val="00E77D7E"/>
    <w:rsid w:val="00E8046B"/>
    <w:rsid w:val="00E80511"/>
    <w:rsid w:val="00E80A11"/>
    <w:rsid w:val="00E8137D"/>
    <w:rsid w:val="00E82C61"/>
    <w:rsid w:val="00E830AE"/>
    <w:rsid w:val="00E830C8"/>
    <w:rsid w:val="00E8393E"/>
    <w:rsid w:val="00E83F73"/>
    <w:rsid w:val="00E8422E"/>
    <w:rsid w:val="00E84931"/>
    <w:rsid w:val="00E84BEE"/>
    <w:rsid w:val="00E85E3E"/>
    <w:rsid w:val="00E8706F"/>
    <w:rsid w:val="00E9003F"/>
    <w:rsid w:val="00E90E34"/>
    <w:rsid w:val="00E91624"/>
    <w:rsid w:val="00E9282F"/>
    <w:rsid w:val="00E92B87"/>
    <w:rsid w:val="00E934A6"/>
    <w:rsid w:val="00E937D4"/>
    <w:rsid w:val="00E93905"/>
    <w:rsid w:val="00E959E0"/>
    <w:rsid w:val="00E96737"/>
    <w:rsid w:val="00E96B4C"/>
    <w:rsid w:val="00E96D42"/>
    <w:rsid w:val="00E977F5"/>
    <w:rsid w:val="00E97DBB"/>
    <w:rsid w:val="00EA0204"/>
    <w:rsid w:val="00EA07AA"/>
    <w:rsid w:val="00EA09C6"/>
    <w:rsid w:val="00EA0EA0"/>
    <w:rsid w:val="00EA12F7"/>
    <w:rsid w:val="00EA13F1"/>
    <w:rsid w:val="00EA1F4B"/>
    <w:rsid w:val="00EA2A3F"/>
    <w:rsid w:val="00EA2CD2"/>
    <w:rsid w:val="00EA388D"/>
    <w:rsid w:val="00EA448E"/>
    <w:rsid w:val="00EA47B5"/>
    <w:rsid w:val="00EA5ED2"/>
    <w:rsid w:val="00EA67D5"/>
    <w:rsid w:val="00EA6E00"/>
    <w:rsid w:val="00EB16AC"/>
    <w:rsid w:val="00EB335A"/>
    <w:rsid w:val="00EB37E9"/>
    <w:rsid w:val="00EB3C15"/>
    <w:rsid w:val="00EB3E0C"/>
    <w:rsid w:val="00EB4FE8"/>
    <w:rsid w:val="00EB60D7"/>
    <w:rsid w:val="00EB6550"/>
    <w:rsid w:val="00EB70DC"/>
    <w:rsid w:val="00EB76A2"/>
    <w:rsid w:val="00EC02F5"/>
    <w:rsid w:val="00EC10A0"/>
    <w:rsid w:val="00EC13E7"/>
    <w:rsid w:val="00EC14A6"/>
    <w:rsid w:val="00EC231D"/>
    <w:rsid w:val="00EC2797"/>
    <w:rsid w:val="00EC369A"/>
    <w:rsid w:val="00EC714D"/>
    <w:rsid w:val="00ED0390"/>
    <w:rsid w:val="00ED1130"/>
    <w:rsid w:val="00ED118B"/>
    <w:rsid w:val="00ED197A"/>
    <w:rsid w:val="00ED1E12"/>
    <w:rsid w:val="00ED28FF"/>
    <w:rsid w:val="00ED30E0"/>
    <w:rsid w:val="00ED465E"/>
    <w:rsid w:val="00ED5922"/>
    <w:rsid w:val="00ED691F"/>
    <w:rsid w:val="00ED7171"/>
    <w:rsid w:val="00EE1DFD"/>
    <w:rsid w:val="00EE3E21"/>
    <w:rsid w:val="00EE5C97"/>
    <w:rsid w:val="00EE72AB"/>
    <w:rsid w:val="00EE74FC"/>
    <w:rsid w:val="00EE782E"/>
    <w:rsid w:val="00EF0088"/>
    <w:rsid w:val="00EF08A1"/>
    <w:rsid w:val="00EF10C6"/>
    <w:rsid w:val="00EF1287"/>
    <w:rsid w:val="00EF1454"/>
    <w:rsid w:val="00EF1577"/>
    <w:rsid w:val="00EF1731"/>
    <w:rsid w:val="00EF17B6"/>
    <w:rsid w:val="00EF213C"/>
    <w:rsid w:val="00EF2344"/>
    <w:rsid w:val="00EF4019"/>
    <w:rsid w:val="00EF450B"/>
    <w:rsid w:val="00EF48B8"/>
    <w:rsid w:val="00EF4E43"/>
    <w:rsid w:val="00EF578B"/>
    <w:rsid w:val="00EF66C8"/>
    <w:rsid w:val="00EF66D1"/>
    <w:rsid w:val="00F016C7"/>
    <w:rsid w:val="00F01A93"/>
    <w:rsid w:val="00F027FC"/>
    <w:rsid w:val="00F02886"/>
    <w:rsid w:val="00F02C54"/>
    <w:rsid w:val="00F02E19"/>
    <w:rsid w:val="00F03202"/>
    <w:rsid w:val="00F0337B"/>
    <w:rsid w:val="00F04C82"/>
    <w:rsid w:val="00F055A1"/>
    <w:rsid w:val="00F06940"/>
    <w:rsid w:val="00F0696C"/>
    <w:rsid w:val="00F07110"/>
    <w:rsid w:val="00F10278"/>
    <w:rsid w:val="00F12025"/>
    <w:rsid w:val="00F12E07"/>
    <w:rsid w:val="00F13580"/>
    <w:rsid w:val="00F13747"/>
    <w:rsid w:val="00F14622"/>
    <w:rsid w:val="00F166DD"/>
    <w:rsid w:val="00F17AA9"/>
    <w:rsid w:val="00F217ED"/>
    <w:rsid w:val="00F21A1A"/>
    <w:rsid w:val="00F21E15"/>
    <w:rsid w:val="00F22C88"/>
    <w:rsid w:val="00F239C6"/>
    <w:rsid w:val="00F23E3B"/>
    <w:rsid w:val="00F23F0C"/>
    <w:rsid w:val="00F23F7C"/>
    <w:rsid w:val="00F24B79"/>
    <w:rsid w:val="00F259D5"/>
    <w:rsid w:val="00F25A55"/>
    <w:rsid w:val="00F26FEC"/>
    <w:rsid w:val="00F2746E"/>
    <w:rsid w:val="00F27CF5"/>
    <w:rsid w:val="00F3146F"/>
    <w:rsid w:val="00F317DF"/>
    <w:rsid w:val="00F318B1"/>
    <w:rsid w:val="00F31A1A"/>
    <w:rsid w:val="00F31EDA"/>
    <w:rsid w:val="00F323FF"/>
    <w:rsid w:val="00F329B0"/>
    <w:rsid w:val="00F33267"/>
    <w:rsid w:val="00F33527"/>
    <w:rsid w:val="00F3382C"/>
    <w:rsid w:val="00F3396C"/>
    <w:rsid w:val="00F33B4B"/>
    <w:rsid w:val="00F341A2"/>
    <w:rsid w:val="00F34280"/>
    <w:rsid w:val="00F361F3"/>
    <w:rsid w:val="00F36F6A"/>
    <w:rsid w:val="00F379CD"/>
    <w:rsid w:val="00F40AB6"/>
    <w:rsid w:val="00F41336"/>
    <w:rsid w:val="00F420E4"/>
    <w:rsid w:val="00F430D6"/>
    <w:rsid w:val="00F4370D"/>
    <w:rsid w:val="00F43E76"/>
    <w:rsid w:val="00F44CE6"/>
    <w:rsid w:val="00F4513F"/>
    <w:rsid w:val="00F45743"/>
    <w:rsid w:val="00F46A12"/>
    <w:rsid w:val="00F506CD"/>
    <w:rsid w:val="00F51AB8"/>
    <w:rsid w:val="00F51C74"/>
    <w:rsid w:val="00F52AFE"/>
    <w:rsid w:val="00F54647"/>
    <w:rsid w:val="00F55687"/>
    <w:rsid w:val="00F60507"/>
    <w:rsid w:val="00F6092D"/>
    <w:rsid w:val="00F61DCC"/>
    <w:rsid w:val="00F61F86"/>
    <w:rsid w:val="00F62104"/>
    <w:rsid w:val="00F62ACC"/>
    <w:rsid w:val="00F63841"/>
    <w:rsid w:val="00F640C5"/>
    <w:rsid w:val="00F6605A"/>
    <w:rsid w:val="00F666FD"/>
    <w:rsid w:val="00F66EDD"/>
    <w:rsid w:val="00F7003C"/>
    <w:rsid w:val="00F70673"/>
    <w:rsid w:val="00F70723"/>
    <w:rsid w:val="00F7097D"/>
    <w:rsid w:val="00F71608"/>
    <w:rsid w:val="00F7171F"/>
    <w:rsid w:val="00F71948"/>
    <w:rsid w:val="00F7195A"/>
    <w:rsid w:val="00F725AA"/>
    <w:rsid w:val="00F72885"/>
    <w:rsid w:val="00F7353A"/>
    <w:rsid w:val="00F741DD"/>
    <w:rsid w:val="00F74AD7"/>
    <w:rsid w:val="00F7514B"/>
    <w:rsid w:val="00F75986"/>
    <w:rsid w:val="00F763C9"/>
    <w:rsid w:val="00F764BA"/>
    <w:rsid w:val="00F76A66"/>
    <w:rsid w:val="00F77200"/>
    <w:rsid w:val="00F77624"/>
    <w:rsid w:val="00F77D9C"/>
    <w:rsid w:val="00F80DED"/>
    <w:rsid w:val="00F81814"/>
    <w:rsid w:val="00F81EBE"/>
    <w:rsid w:val="00F82338"/>
    <w:rsid w:val="00F824BD"/>
    <w:rsid w:val="00F82916"/>
    <w:rsid w:val="00F83107"/>
    <w:rsid w:val="00F83AFC"/>
    <w:rsid w:val="00F8416F"/>
    <w:rsid w:val="00F84741"/>
    <w:rsid w:val="00F87CE8"/>
    <w:rsid w:val="00F925CD"/>
    <w:rsid w:val="00F938EE"/>
    <w:rsid w:val="00F940BB"/>
    <w:rsid w:val="00F94D12"/>
    <w:rsid w:val="00F96CAB"/>
    <w:rsid w:val="00F97832"/>
    <w:rsid w:val="00FA0E8E"/>
    <w:rsid w:val="00FA17D9"/>
    <w:rsid w:val="00FA1F51"/>
    <w:rsid w:val="00FA23D4"/>
    <w:rsid w:val="00FA27AD"/>
    <w:rsid w:val="00FA32DC"/>
    <w:rsid w:val="00FA3AD8"/>
    <w:rsid w:val="00FA3F19"/>
    <w:rsid w:val="00FA4768"/>
    <w:rsid w:val="00FA476F"/>
    <w:rsid w:val="00FA48E5"/>
    <w:rsid w:val="00FA4B2C"/>
    <w:rsid w:val="00FA527F"/>
    <w:rsid w:val="00FA5A04"/>
    <w:rsid w:val="00FA62EC"/>
    <w:rsid w:val="00FA6979"/>
    <w:rsid w:val="00FB0952"/>
    <w:rsid w:val="00FB0F4B"/>
    <w:rsid w:val="00FB1D12"/>
    <w:rsid w:val="00FB20AF"/>
    <w:rsid w:val="00FB23CD"/>
    <w:rsid w:val="00FB27BC"/>
    <w:rsid w:val="00FB3F02"/>
    <w:rsid w:val="00FB3F0A"/>
    <w:rsid w:val="00FB6DDD"/>
    <w:rsid w:val="00FB6F46"/>
    <w:rsid w:val="00FB7E40"/>
    <w:rsid w:val="00FB7ECD"/>
    <w:rsid w:val="00FC2FBA"/>
    <w:rsid w:val="00FC307E"/>
    <w:rsid w:val="00FC3D5D"/>
    <w:rsid w:val="00FC4B85"/>
    <w:rsid w:val="00FC4DAE"/>
    <w:rsid w:val="00FC53DA"/>
    <w:rsid w:val="00FC56E6"/>
    <w:rsid w:val="00FC5A74"/>
    <w:rsid w:val="00FC695A"/>
    <w:rsid w:val="00FC6EC1"/>
    <w:rsid w:val="00FC7BEF"/>
    <w:rsid w:val="00FD0257"/>
    <w:rsid w:val="00FD0364"/>
    <w:rsid w:val="00FD14E0"/>
    <w:rsid w:val="00FD1F61"/>
    <w:rsid w:val="00FD3F3D"/>
    <w:rsid w:val="00FD4416"/>
    <w:rsid w:val="00FD4B57"/>
    <w:rsid w:val="00FD502B"/>
    <w:rsid w:val="00FD565E"/>
    <w:rsid w:val="00FD56B8"/>
    <w:rsid w:val="00FD6BFB"/>
    <w:rsid w:val="00FD78C3"/>
    <w:rsid w:val="00FE02AE"/>
    <w:rsid w:val="00FE02ED"/>
    <w:rsid w:val="00FE0871"/>
    <w:rsid w:val="00FE0EE5"/>
    <w:rsid w:val="00FE1F9D"/>
    <w:rsid w:val="00FE2B11"/>
    <w:rsid w:val="00FE2C43"/>
    <w:rsid w:val="00FE2C59"/>
    <w:rsid w:val="00FE3386"/>
    <w:rsid w:val="00FE360A"/>
    <w:rsid w:val="00FE3A82"/>
    <w:rsid w:val="00FE4E22"/>
    <w:rsid w:val="00FE55E7"/>
    <w:rsid w:val="00FE6DCA"/>
    <w:rsid w:val="00FF139D"/>
    <w:rsid w:val="00FF1A5A"/>
    <w:rsid w:val="00FF4AF2"/>
    <w:rsid w:val="00FF505F"/>
    <w:rsid w:val="00FF5F87"/>
    <w:rsid w:val="00FF5FE4"/>
    <w:rsid w:val="00FF667E"/>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0888B"/>
  <w15:docId w15:val="{BFE16F18-2EFE-49BD-8C5C-856B3643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52A"/>
    <w:pPr>
      <w:spacing w:after="120" w:line="312" w:lineRule="auto"/>
      <w:jc w:val="both"/>
    </w:pPr>
    <w:rPr>
      <w:rFonts w:eastAsiaTheme="minorEastAsia"/>
      <w:sz w:val="23"/>
      <w:lang w:eastAsia="el-GR"/>
    </w:rPr>
  </w:style>
  <w:style w:type="paragraph" w:styleId="Heading1">
    <w:name w:val="heading 1"/>
    <w:basedOn w:val="Normal"/>
    <w:next w:val="Normal"/>
    <w:link w:val="Heading1Char"/>
    <w:uiPriority w:val="9"/>
    <w:qFormat/>
    <w:rsid w:val="00A659E5"/>
    <w:pPr>
      <w:keepNext/>
      <w:keepLines/>
      <w:pBdr>
        <w:bottom w:val="single" w:sz="18" w:space="1" w:color="FF3300"/>
      </w:pBdr>
      <w:spacing w:after="960" w:line="600" w:lineRule="exact"/>
      <w:jc w:val="left"/>
      <w:outlineLvl w:val="0"/>
    </w:pPr>
    <w:rPr>
      <w:rFonts w:ascii="Calibri Light" w:eastAsiaTheme="majorEastAsia" w:hAnsi="Calibri Light" w:cstheme="majorBidi"/>
      <w:b/>
      <w:bCs/>
      <w:color w:val="4F81BD" w:themeColor="accent1"/>
      <w:w w:val="90"/>
      <w:sz w:val="48"/>
      <w:szCs w:val="28"/>
    </w:rPr>
  </w:style>
  <w:style w:type="paragraph" w:styleId="Heading2">
    <w:name w:val="heading 2"/>
    <w:basedOn w:val="Normal"/>
    <w:next w:val="Normal"/>
    <w:link w:val="Heading2Char"/>
    <w:uiPriority w:val="9"/>
    <w:unhideWhenUsed/>
    <w:qFormat/>
    <w:rsid w:val="00006E35"/>
    <w:pPr>
      <w:keepNext/>
      <w:keepLines/>
      <w:spacing w:before="480"/>
      <w:jc w:val="left"/>
      <w:outlineLvl w:val="1"/>
    </w:pPr>
    <w:rPr>
      <w:rFonts w:ascii="Calibri Light" w:eastAsiaTheme="majorEastAsia" w:hAnsi="Calibri Light" w:cstheme="majorBidi"/>
      <w:b/>
      <w:color w:val="4F81BD" w:themeColor="accent1"/>
      <w:sz w:val="28"/>
      <w:szCs w:val="26"/>
    </w:rPr>
  </w:style>
  <w:style w:type="paragraph" w:styleId="Heading3">
    <w:name w:val="heading 3"/>
    <w:basedOn w:val="Normal"/>
    <w:next w:val="Normal"/>
    <w:link w:val="Heading3Char"/>
    <w:uiPriority w:val="9"/>
    <w:unhideWhenUsed/>
    <w:qFormat/>
    <w:rsid w:val="00583C70"/>
    <w:pPr>
      <w:keepNext/>
      <w:keepLines/>
      <w:spacing w:before="600" w:after="240"/>
      <w:jc w:val="left"/>
      <w:outlineLvl w:val="2"/>
    </w:pPr>
    <w:rPr>
      <w:rFonts w:ascii="Calibri Light" w:eastAsiaTheme="majorEastAsia" w:hAnsi="Calibri Light" w:cstheme="majorBidi"/>
      <w:color w:val="4F81BD" w:themeColor="accent1"/>
      <w:sz w:val="32"/>
      <w:szCs w:val="24"/>
    </w:rPr>
  </w:style>
  <w:style w:type="paragraph" w:styleId="Heading4">
    <w:name w:val="heading 4"/>
    <w:basedOn w:val="Normal"/>
    <w:next w:val="Normal"/>
    <w:link w:val="Heading4Char"/>
    <w:uiPriority w:val="9"/>
    <w:unhideWhenUsed/>
    <w:qFormat/>
    <w:rsid w:val="00E916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87A40"/>
    <w:pPr>
      <w:keepNext/>
      <w:keepLines/>
      <w:spacing w:before="240" w:after="80" w:line="276" w:lineRule="auto"/>
      <w:jc w:val="left"/>
      <w:outlineLvl w:val="4"/>
    </w:pPr>
    <w:rPr>
      <w:rFonts w:ascii="Arial" w:eastAsia="Arial" w:hAnsi="Arial" w:cs="Arial"/>
      <w:color w:val="666666"/>
      <w:sz w:val="22"/>
    </w:rPr>
  </w:style>
  <w:style w:type="paragraph" w:styleId="Heading6">
    <w:name w:val="heading 6"/>
    <w:basedOn w:val="Normal"/>
    <w:next w:val="Normal"/>
    <w:link w:val="Heading6Char"/>
    <w:uiPriority w:val="9"/>
    <w:semiHidden/>
    <w:unhideWhenUsed/>
    <w:qFormat/>
    <w:rsid w:val="00987A40"/>
    <w:pPr>
      <w:keepNext/>
      <w:keepLines/>
      <w:spacing w:before="240" w:after="80" w:line="276" w:lineRule="auto"/>
      <w:jc w:val="left"/>
      <w:outlineLvl w:val="5"/>
    </w:pPr>
    <w:rPr>
      <w:rFonts w:ascii="Arial" w:eastAsia="Arial" w:hAnsi="Arial" w:cs="Arial"/>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1E9C"/>
    <w:pPr>
      <w:autoSpaceDE w:val="0"/>
      <w:autoSpaceDN w:val="0"/>
      <w:adjustRightInd w:val="0"/>
      <w:spacing w:after="0" w:line="240" w:lineRule="auto"/>
    </w:pPr>
    <w:rPr>
      <w:rFonts w:ascii="Lato Black" w:hAnsi="Lato Black" w:cs="Lato Black"/>
      <w:color w:val="000000"/>
      <w:sz w:val="24"/>
      <w:szCs w:val="24"/>
    </w:rPr>
  </w:style>
  <w:style w:type="paragraph" w:styleId="BalloonText">
    <w:name w:val="Balloon Text"/>
    <w:basedOn w:val="Normal"/>
    <w:link w:val="BalloonTextChar"/>
    <w:uiPriority w:val="99"/>
    <w:semiHidden/>
    <w:unhideWhenUsed/>
    <w:rsid w:val="00537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EF0"/>
    <w:rPr>
      <w:rFonts w:ascii="Tahoma" w:eastAsiaTheme="minorEastAsia" w:hAnsi="Tahoma" w:cs="Tahoma"/>
      <w:sz w:val="16"/>
      <w:szCs w:val="16"/>
      <w:lang w:eastAsia="el-GR"/>
    </w:rPr>
  </w:style>
  <w:style w:type="paragraph" w:styleId="ListParagraph">
    <w:name w:val="List Paragraph"/>
    <w:aliases w:val="1st level - Bullet List Paragraph,Bullet EY,Bullet list,Lettre d'introduction,List L1,List Paragraph compact,List Paragraph1,List Paragraph11,Normal bullet 2,Normal bullet 21,Numbered List,Paragraph,Paragraphe de liste 2,Reference list"/>
    <w:basedOn w:val="Normal"/>
    <w:link w:val="ListParagraphChar"/>
    <w:uiPriority w:val="34"/>
    <w:qFormat/>
    <w:rsid w:val="003B1F6E"/>
    <w:pPr>
      <w:ind w:left="720"/>
      <w:contextualSpacing/>
    </w:pPr>
    <w:rPr>
      <w:rFonts w:eastAsiaTheme="minorHAnsi"/>
      <w:lang w:eastAsia="en-US"/>
    </w:rPr>
  </w:style>
  <w:style w:type="paragraph" w:styleId="Header">
    <w:name w:val="header"/>
    <w:basedOn w:val="Normal"/>
    <w:link w:val="HeaderChar"/>
    <w:uiPriority w:val="99"/>
    <w:unhideWhenUsed/>
    <w:rsid w:val="004048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4883"/>
    <w:rPr>
      <w:rFonts w:eastAsiaTheme="minorEastAsia"/>
      <w:lang w:eastAsia="el-GR"/>
    </w:rPr>
  </w:style>
  <w:style w:type="paragraph" w:styleId="Footer">
    <w:name w:val="footer"/>
    <w:basedOn w:val="Normal"/>
    <w:link w:val="FooterChar"/>
    <w:uiPriority w:val="99"/>
    <w:unhideWhenUsed/>
    <w:rsid w:val="004048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4883"/>
    <w:rPr>
      <w:rFonts w:eastAsiaTheme="minorEastAsia"/>
      <w:lang w:eastAsia="el-GR"/>
    </w:rPr>
  </w:style>
  <w:style w:type="paragraph" w:customStyle="1" w:styleId="1">
    <w:name w:val="Παράγραφος λίστας1"/>
    <w:rsid w:val="005A31FF"/>
    <w:pPr>
      <w:suppressAutoHyphens/>
      <w:ind w:left="720"/>
    </w:pPr>
    <w:rPr>
      <w:rFonts w:ascii="Calibri" w:eastAsia="Arial" w:hAnsi="Calibri" w:cs="font266"/>
      <w:kern w:val="1"/>
      <w:lang w:val="en-GB" w:eastAsia="ar-SA"/>
    </w:rPr>
  </w:style>
  <w:style w:type="table" w:styleId="TableGrid">
    <w:name w:val="Table Grid"/>
    <w:basedOn w:val="TableNormal"/>
    <w:uiPriority w:val="59"/>
    <w:rsid w:val="005A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59E5"/>
    <w:rPr>
      <w:rFonts w:ascii="Calibri Light" w:eastAsiaTheme="majorEastAsia" w:hAnsi="Calibri Light" w:cstheme="majorBidi"/>
      <w:b/>
      <w:bCs/>
      <w:color w:val="4F81BD" w:themeColor="accent1"/>
      <w:w w:val="90"/>
      <w:sz w:val="48"/>
      <w:szCs w:val="28"/>
      <w:lang w:eastAsia="el-GR"/>
    </w:rPr>
  </w:style>
  <w:style w:type="paragraph" w:styleId="TOCHeading">
    <w:name w:val="TOC Heading"/>
    <w:basedOn w:val="Heading1"/>
    <w:next w:val="Normal"/>
    <w:uiPriority w:val="39"/>
    <w:unhideWhenUsed/>
    <w:qFormat/>
    <w:rsid w:val="00654672"/>
    <w:pPr>
      <w:outlineLvl w:val="9"/>
    </w:pPr>
    <w:rPr>
      <w:lang w:eastAsia="en-US"/>
    </w:rPr>
  </w:style>
  <w:style w:type="paragraph" w:styleId="Subtitle">
    <w:name w:val="Subtitle"/>
    <w:basedOn w:val="Normal"/>
    <w:next w:val="Normal"/>
    <w:link w:val="SubtitleChar"/>
    <w:uiPriority w:val="11"/>
    <w:qFormat/>
    <w:rsid w:val="00654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4672"/>
    <w:rPr>
      <w:rFonts w:asciiTheme="majorHAnsi" w:eastAsiaTheme="majorEastAsia" w:hAnsiTheme="majorHAnsi" w:cstheme="majorBidi"/>
      <w:i/>
      <w:iCs/>
      <w:color w:val="4F81BD" w:themeColor="accent1"/>
      <w:spacing w:val="15"/>
      <w:sz w:val="24"/>
      <w:szCs w:val="24"/>
      <w:lang w:eastAsia="el-GR"/>
    </w:rPr>
  </w:style>
  <w:style w:type="paragraph" w:styleId="TOC1">
    <w:name w:val="toc 1"/>
    <w:basedOn w:val="Normal"/>
    <w:next w:val="Normal"/>
    <w:autoRedefine/>
    <w:uiPriority w:val="39"/>
    <w:unhideWhenUsed/>
    <w:rsid w:val="00233204"/>
    <w:pPr>
      <w:tabs>
        <w:tab w:val="left" w:pos="284"/>
        <w:tab w:val="right" w:leader="dot" w:pos="9923"/>
      </w:tabs>
      <w:spacing w:after="100" w:line="280" w:lineRule="atLeast"/>
      <w:jc w:val="left"/>
    </w:pPr>
    <w:rPr>
      <w:b/>
      <w:noProof/>
      <w:sz w:val="24"/>
      <w:lang w:val="en-US"/>
    </w:rPr>
  </w:style>
  <w:style w:type="character" w:styleId="Hyperlink">
    <w:name w:val="Hyperlink"/>
    <w:basedOn w:val="DefaultParagraphFont"/>
    <w:uiPriority w:val="99"/>
    <w:unhideWhenUsed/>
    <w:rsid w:val="00654672"/>
    <w:rPr>
      <w:color w:val="0000FF" w:themeColor="hyperlink"/>
      <w:u w:val="single"/>
    </w:rPr>
  </w:style>
  <w:style w:type="character" w:styleId="CommentReference">
    <w:name w:val="annotation reference"/>
    <w:basedOn w:val="DefaultParagraphFont"/>
    <w:uiPriority w:val="99"/>
    <w:semiHidden/>
    <w:unhideWhenUsed/>
    <w:rsid w:val="004631E6"/>
    <w:rPr>
      <w:sz w:val="16"/>
      <w:szCs w:val="16"/>
    </w:rPr>
  </w:style>
  <w:style w:type="paragraph" w:styleId="CommentText">
    <w:name w:val="annotation text"/>
    <w:basedOn w:val="Normal"/>
    <w:link w:val="CommentTextChar"/>
    <w:uiPriority w:val="99"/>
    <w:unhideWhenUsed/>
    <w:rsid w:val="004631E6"/>
    <w:pPr>
      <w:spacing w:line="240" w:lineRule="auto"/>
    </w:pPr>
    <w:rPr>
      <w:sz w:val="20"/>
      <w:szCs w:val="20"/>
    </w:rPr>
  </w:style>
  <w:style w:type="character" w:customStyle="1" w:styleId="CommentTextChar">
    <w:name w:val="Comment Text Char"/>
    <w:basedOn w:val="DefaultParagraphFont"/>
    <w:link w:val="CommentText"/>
    <w:uiPriority w:val="99"/>
    <w:rsid w:val="004631E6"/>
    <w:rPr>
      <w:rFonts w:eastAsiaTheme="minorEastAsia"/>
      <w:sz w:val="20"/>
      <w:szCs w:val="20"/>
      <w:lang w:eastAsia="el-GR"/>
    </w:rPr>
  </w:style>
  <w:style w:type="paragraph" w:styleId="CommentSubject">
    <w:name w:val="annotation subject"/>
    <w:basedOn w:val="CommentText"/>
    <w:next w:val="CommentText"/>
    <w:link w:val="CommentSubjectChar"/>
    <w:uiPriority w:val="99"/>
    <w:semiHidden/>
    <w:unhideWhenUsed/>
    <w:rsid w:val="004631E6"/>
    <w:rPr>
      <w:b/>
      <w:bCs/>
    </w:rPr>
  </w:style>
  <w:style w:type="character" w:customStyle="1" w:styleId="CommentSubjectChar">
    <w:name w:val="Comment Subject Char"/>
    <w:basedOn w:val="CommentTextChar"/>
    <w:link w:val="CommentSubject"/>
    <w:uiPriority w:val="99"/>
    <w:semiHidden/>
    <w:rsid w:val="004631E6"/>
    <w:rPr>
      <w:rFonts w:eastAsiaTheme="minorEastAsia"/>
      <w:b/>
      <w:bCs/>
      <w:sz w:val="20"/>
      <w:szCs w:val="20"/>
      <w:lang w:eastAsia="el-GR"/>
    </w:rPr>
  </w:style>
  <w:style w:type="paragraph" w:customStyle="1" w:styleId="ParagraphNumbering">
    <w:name w:val="Paragraph Numbering"/>
    <w:basedOn w:val="Normal"/>
    <w:uiPriority w:val="1"/>
    <w:qFormat/>
    <w:rsid w:val="004356B9"/>
    <w:pPr>
      <w:numPr>
        <w:numId w:val="1"/>
      </w:numPr>
      <w:spacing w:after="240" w:line="264" w:lineRule="auto"/>
    </w:pPr>
    <w:rPr>
      <w:rFonts w:ascii="Times New Roman" w:eastAsia="Calibri" w:hAnsi="Times New Roman" w:cs="Times New Roman"/>
      <w:sz w:val="24"/>
      <w:szCs w:val="24"/>
      <w:lang w:val="en-US" w:eastAsia="en-US"/>
    </w:rPr>
  </w:style>
  <w:style w:type="paragraph" w:styleId="BodyTextIndent2">
    <w:name w:val="Body Text Indent 2"/>
    <w:basedOn w:val="Normal"/>
    <w:link w:val="BodyTextIndent2Char"/>
    <w:semiHidden/>
    <w:rsid w:val="004356B9"/>
    <w:pPr>
      <w:spacing w:after="0" w:line="240" w:lineRule="auto"/>
      <w:ind w:left="1560" w:hanging="1560"/>
    </w:pPr>
    <w:rPr>
      <w:rFonts w:ascii="Times New Roman" w:eastAsia="Times New Roman" w:hAnsi="Times New Roman" w:cs="Times New Roman"/>
      <w:b/>
      <w:sz w:val="28"/>
      <w:szCs w:val="20"/>
    </w:rPr>
  </w:style>
  <w:style w:type="character" w:customStyle="1" w:styleId="BodyTextIndent2Char">
    <w:name w:val="Body Text Indent 2 Char"/>
    <w:basedOn w:val="DefaultParagraphFont"/>
    <w:link w:val="BodyTextIndent2"/>
    <w:semiHidden/>
    <w:rsid w:val="004356B9"/>
    <w:rPr>
      <w:rFonts w:ascii="Times New Roman" w:eastAsia="Times New Roman" w:hAnsi="Times New Roman" w:cs="Times New Roman"/>
      <w:b/>
      <w:sz w:val="28"/>
      <w:szCs w:val="20"/>
      <w:lang w:eastAsia="el-GR"/>
    </w:rPr>
  </w:style>
  <w:style w:type="paragraph" w:styleId="BodyText3">
    <w:name w:val="Body Text 3"/>
    <w:basedOn w:val="Normal"/>
    <w:link w:val="BodyText3Char"/>
    <w:uiPriority w:val="99"/>
    <w:unhideWhenUsed/>
    <w:rsid w:val="004356B9"/>
    <w:rPr>
      <w:rFonts w:eastAsiaTheme="minorHAnsi"/>
      <w:sz w:val="16"/>
      <w:szCs w:val="16"/>
      <w:lang w:val="en-US" w:eastAsia="en-US"/>
    </w:rPr>
  </w:style>
  <w:style w:type="character" w:customStyle="1" w:styleId="BodyText3Char">
    <w:name w:val="Body Text 3 Char"/>
    <w:basedOn w:val="DefaultParagraphFont"/>
    <w:link w:val="BodyText3"/>
    <w:uiPriority w:val="99"/>
    <w:rsid w:val="004356B9"/>
    <w:rPr>
      <w:sz w:val="16"/>
      <w:szCs w:val="16"/>
      <w:lang w:val="en-US"/>
    </w:rPr>
  </w:style>
  <w:style w:type="paragraph" w:styleId="Revision">
    <w:name w:val="Revision"/>
    <w:hidden/>
    <w:uiPriority w:val="99"/>
    <w:semiHidden/>
    <w:rsid w:val="00E708C3"/>
    <w:pPr>
      <w:spacing w:after="0" w:line="240" w:lineRule="auto"/>
    </w:pPr>
    <w:rPr>
      <w:rFonts w:eastAsiaTheme="minorEastAsia"/>
      <w:lang w:eastAsia="el-GR"/>
    </w:rPr>
  </w:style>
  <w:style w:type="paragraph" w:styleId="Caption">
    <w:name w:val="caption"/>
    <w:basedOn w:val="Normal"/>
    <w:next w:val="Normal"/>
    <w:link w:val="CaptionChar"/>
    <w:uiPriority w:val="35"/>
    <w:unhideWhenUsed/>
    <w:qFormat/>
    <w:rsid w:val="006E29A9"/>
    <w:pPr>
      <w:shd w:val="clear" w:color="auto" w:fill="4F81BD" w:themeFill="accent1"/>
      <w:spacing w:after="60" w:line="240" w:lineRule="auto"/>
    </w:pPr>
    <w:rPr>
      <w:rFonts w:eastAsiaTheme="minorHAnsi"/>
      <w:b/>
      <w:iCs/>
      <w:color w:val="FFFFFF" w:themeColor="background1"/>
      <w:sz w:val="24"/>
      <w:szCs w:val="18"/>
      <w:lang w:val="en-US" w:eastAsia="en-US"/>
    </w:rPr>
  </w:style>
  <w:style w:type="character" w:customStyle="1" w:styleId="Heading2Char">
    <w:name w:val="Heading 2 Char"/>
    <w:basedOn w:val="DefaultParagraphFont"/>
    <w:link w:val="Heading2"/>
    <w:uiPriority w:val="9"/>
    <w:rsid w:val="00006E35"/>
    <w:rPr>
      <w:rFonts w:ascii="Calibri Light" w:eastAsiaTheme="majorEastAsia" w:hAnsi="Calibri Light" w:cstheme="majorBidi"/>
      <w:b/>
      <w:color w:val="4F81BD" w:themeColor="accent1"/>
      <w:sz w:val="28"/>
      <w:szCs w:val="26"/>
      <w:lang w:eastAsia="el-GR"/>
    </w:rPr>
  </w:style>
  <w:style w:type="paragraph" w:styleId="TOC2">
    <w:name w:val="toc 2"/>
    <w:basedOn w:val="Normal"/>
    <w:next w:val="Normal"/>
    <w:autoRedefine/>
    <w:uiPriority w:val="39"/>
    <w:unhideWhenUsed/>
    <w:rsid w:val="002D6D82"/>
    <w:pPr>
      <w:tabs>
        <w:tab w:val="left" w:pos="1276"/>
        <w:tab w:val="right" w:leader="dot" w:pos="9923"/>
      </w:tabs>
      <w:spacing w:after="100" w:line="240" w:lineRule="exact"/>
      <w:ind w:left="1276" w:hanging="992"/>
      <w:jc w:val="left"/>
    </w:pPr>
  </w:style>
  <w:style w:type="paragraph" w:styleId="TableofFigures">
    <w:name w:val="table of figures"/>
    <w:basedOn w:val="Normal"/>
    <w:next w:val="Normal"/>
    <w:uiPriority w:val="99"/>
    <w:unhideWhenUsed/>
    <w:rsid w:val="007D5C51"/>
    <w:pPr>
      <w:spacing w:after="0"/>
    </w:pPr>
  </w:style>
  <w:style w:type="paragraph" w:styleId="FootnoteText">
    <w:name w:val="footnote text"/>
    <w:aliases w:val="Footnote Text Char2,Footnote Text Char1 Char,Footnote Text Char2 Char Char,Footnote Text Char1 Char Char Char,Footnote Text Char2 Char Char Char Char,Footnote Text Char Char1 Char Char Char Char,Footnote Text Char2 Cha,Footnote"/>
    <w:basedOn w:val="Normal"/>
    <w:link w:val="FootnoteTextChar"/>
    <w:uiPriority w:val="99"/>
    <w:unhideWhenUsed/>
    <w:rsid w:val="00DB556D"/>
    <w:pPr>
      <w:spacing w:after="0" w:line="240" w:lineRule="auto"/>
    </w:pPr>
    <w:rPr>
      <w:sz w:val="20"/>
      <w:szCs w:val="20"/>
    </w:rPr>
  </w:style>
  <w:style w:type="character" w:customStyle="1" w:styleId="FootnoteTextChar">
    <w:name w:val="Footnote Text Char"/>
    <w:aliases w:val="Footnote Text Char2 Char,Footnote Text Char1 Char Char,Footnote Text Char2 Char Char Char,Footnote Text Char1 Char Char Char Char,Footnote Text Char2 Char Char Char Char Char,Footnote Text Char Char1 Char Char Char Char Char"/>
    <w:basedOn w:val="DefaultParagraphFont"/>
    <w:link w:val="FootnoteText"/>
    <w:uiPriority w:val="99"/>
    <w:rsid w:val="00DB556D"/>
    <w:rPr>
      <w:rFonts w:eastAsiaTheme="minorEastAsia"/>
      <w:sz w:val="20"/>
      <w:szCs w:val="20"/>
      <w:lang w:eastAsia="el-GR"/>
    </w:r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uiPriority w:val="99"/>
    <w:unhideWhenUsed/>
    <w:rsid w:val="00DB556D"/>
    <w:rPr>
      <w:vertAlign w:val="superscript"/>
    </w:rPr>
  </w:style>
  <w:style w:type="paragraph" w:styleId="NoSpacing">
    <w:name w:val="No Spacing"/>
    <w:link w:val="NoSpacingChar"/>
    <w:uiPriority w:val="1"/>
    <w:qFormat/>
    <w:rsid w:val="00271936"/>
    <w:pPr>
      <w:spacing w:after="0" w:line="240" w:lineRule="auto"/>
    </w:pPr>
    <w:rPr>
      <w:rFonts w:eastAsiaTheme="minorEastAsia"/>
    </w:rPr>
  </w:style>
  <w:style w:type="character" w:customStyle="1" w:styleId="NoSpacingChar">
    <w:name w:val="No Spacing Char"/>
    <w:basedOn w:val="DefaultParagraphFont"/>
    <w:link w:val="NoSpacing"/>
    <w:uiPriority w:val="1"/>
    <w:rsid w:val="00271936"/>
    <w:rPr>
      <w:rFonts w:eastAsiaTheme="minorEastAsia"/>
    </w:rPr>
  </w:style>
  <w:style w:type="character" w:customStyle="1" w:styleId="ListParagraphChar">
    <w:name w:val="List Paragraph Char"/>
    <w:aliases w:val="1st level - Bullet List Paragraph Char,Bullet EY Char,Bullet list Char,Lettre d'introduction Char,List L1 Char,List Paragraph compact Char,List Paragraph1 Char,List Paragraph11 Char,Normal bullet 2 Char,Normal bullet 21 Char"/>
    <w:link w:val="ListParagraph"/>
    <w:qFormat/>
    <w:locked/>
    <w:rsid w:val="007E6722"/>
  </w:style>
  <w:style w:type="paragraph" w:customStyle="1" w:styleId="a">
    <w:name w:val="Υποσημείωση"/>
    <w:rsid w:val="000A6E7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rPr>
  </w:style>
  <w:style w:type="paragraph" w:customStyle="1" w:styleId="Figure">
    <w:name w:val="Figure"/>
    <w:basedOn w:val="Caption"/>
    <w:link w:val="FigureChar"/>
    <w:qFormat/>
    <w:rsid w:val="002D7C5D"/>
  </w:style>
  <w:style w:type="character" w:customStyle="1" w:styleId="CaptionChar">
    <w:name w:val="Caption Char"/>
    <w:basedOn w:val="DefaultParagraphFont"/>
    <w:link w:val="Caption"/>
    <w:uiPriority w:val="35"/>
    <w:rsid w:val="006E29A9"/>
    <w:rPr>
      <w:b/>
      <w:iCs/>
      <w:color w:val="FFFFFF" w:themeColor="background1"/>
      <w:sz w:val="24"/>
      <w:szCs w:val="18"/>
      <w:shd w:val="clear" w:color="auto" w:fill="4F81BD" w:themeFill="accent1"/>
      <w:lang w:val="en-US"/>
    </w:rPr>
  </w:style>
  <w:style w:type="character" w:customStyle="1" w:styleId="FigureChar">
    <w:name w:val="Figure Char"/>
    <w:basedOn w:val="CaptionChar"/>
    <w:link w:val="Figure"/>
    <w:rsid w:val="002D7C5D"/>
    <w:rPr>
      <w:b/>
      <w:iCs/>
      <w:color w:val="FFFFFF" w:themeColor="background1"/>
      <w:sz w:val="24"/>
      <w:szCs w:val="18"/>
      <w:shd w:val="clear" w:color="auto" w:fill="4F81BD" w:themeFill="accent1"/>
      <w:lang w:val="en-US"/>
    </w:rPr>
  </w:style>
  <w:style w:type="paragraph" w:styleId="HTMLPreformatted">
    <w:name w:val="HTML Preformatted"/>
    <w:basedOn w:val="Normal"/>
    <w:link w:val="HTMLPreformattedChar"/>
    <w:uiPriority w:val="99"/>
    <w:semiHidden/>
    <w:unhideWhenUsed/>
    <w:rsid w:val="00A9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3E51"/>
    <w:rPr>
      <w:rFonts w:ascii="Courier New" w:eastAsia="Times New Roman" w:hAnsi="Courier New" w:cs="Courier New"/>
      <w:sz w:val="20"/>
      <w:szCs w:val="20"/>
      <w:lang w:eastAsia="el-GR"/>
    </w:rPr>
  </w:style>
  <w:style w:type="character" w:customStyle="1" w:styleId="y2iqfc">
    <w:name w:val="y2iqfc"/>
    <w:basedOn w:val="DefaultParagraphFont"/>
    <w:rsid w:val="00A93E51"/>
  </w:style>
  <w:style w:type="paragraph" w:styleId="NormalWeb">
    <w:name w:val="Normal (Web)"/>
    <w:basedOn w:val="Normal"/>
    <w:rsid w:val="00A93E51"/>
    <w:pPr>
      <w:suppressAutoHyphens/>
      <w:autoSpaceDN w:val="0"/>
      <w:spacing w:before="280" w:after="280" w:line="240" w:lineRule="auto"/>
      <w:jc w:val="left"/>
      <w:textAlignment w:val="baseline"/>
    </w:pPr>
    <w:rPr>
      <w:rFonts w:ascii="Times New Roman" w:eastAsia="Times New Roman" w:hAnsi="Times New Roman" w:cs="Calibri"/>
      <w:kern w:val="3"/>
      <w:sz w:val="24"/>
      <w:szCs w:val="24"/>
      <w:lang w:eastAsia="ar-SA"/>
    </w:rPr>
  </w:style>
  <w:style w:type="paragraph" w:customStyle="1" w:styleId="Table">
    <w:name w:val="Table"/>
    <w:basedOn w:val="Caption"/>
    <w:link w:val="TableChar"/>
    <w:qFormat/>
    <w:rsid w:val="002D7C5D"/>
  </w:style>
  <w:style w:type="paragraph" w:customStyle="1" w:styleId="Source">
    <w:name w:val="Source"/>
    <w:basedOn w:val="Normal"/>
    <w:link w:val="SourceChar"/>
    <w:qFormat/>
    <w:rsid w:val="00B67602"/>
    <w:pPr>
      <w:spacing w:after="240"/>
    </w:pPr>
    <w:rPr>
      <w:rFonts w:ascii="Calibri Light" w:hAnsi="Calibri Light"/>
      <w:i/>
      <w:sz w:val="18"/>
      <w:lang w:val="en-US"/>
    </w:rPr>
  </w:style>
  <w:style w:type="character" w:customStyle="1" w:styleId="TableChar">
    <w:name w:val="Table Char"/>
    <w:basedOn w:val="CaptionChar"/>
    <w:link w:val="Table"/>
    <w:rsid w:val="002D7C5D"/>
    <w:rPr>
      <w:b/>
      <w:iCs/>
      <w:color w:val="FFFFFF" w:themeColor="background1"/>
      <w:sz w:val="24"/>
      <w:szCs w:val="18"/>
      <w:shd w:val="clear" w:color="auto" w:fill="4F81BD" w:themeFill="accent1"/>
      <w:lang w:val="en-US"/>
    </w:rPr>
  </w:style>
  <w:style w:type="character" w:customStyle="1" w:styleId="SourceChar">
    <w:name w:val="Source Char"/>
    <w:basedOn w:val="DefaultParagraphFont"/>
    <w:link w:val="Source"/>
    <w:rsid w:val="00B67602"/>
    <w:rPr>
      <w:rFonts w:ascii="Calibri Light" w:eastAsiaTheme="minorEastAsia" w:hAnsi="Calibri Light"/>
      <w:i/>
      <w:sz w:val="18"/>
      <w:lang w:val="en-US" w:eastAsia="el-GR"/>
    </w:rPr>
  </w:style>
  <w:style w:type="character" w:customStyle="1" w:styleId="Heading3Char">
    <w:name w:val="Heading 3 Char"/>
    <w:basedOn w:val="DefaultParagraphFont"/>
    <w:link w:val="Heading3"/>
    <w:uiPriority w:val="9"/>
    <w:rsid w:val="00583C70"/>
    <w:rPr>
      <w:rFonts w:ascii="Calibri Light" w:eastAsiaTheme="majorEastAsia" w:hAnsi="Calibri Light" w:cstheme="majorBidi"/>
      <w:color w:val="4F81BD" w:themeColor="accent1"/>
      <w:sz w:val="32"/>
      <w:szCs w:val="24"/>
      <w:lang w:eastAsia="el-GR"/>
    </w:rPr>
  </w:style>
  <w:style w:type="paragraph" w:styleId="TOC3">
    <w:name w:val="toc 3"/>
    <w:basedOn w:val="Normal"/>
    <w:next w:val="Normal"/>
    <w:autoRedefine/>
    <w:uiPriority w:val="39"/>
    <w:unhideWhenUsed/>
    <w:rsid w:val="000A4CEB"/>
    <w:pPr>
      <w:tabs>
        <w:tab w:val="left" w:pos="1320"/>
        <w:tab w:val="right" w:leader="dot" w:pos="9911"/>
      </w:tabs>
      <w:spacing w:after="60"/>
      <w:ind w:left="1276" w:hanging="850"/>
      <w:jc w:val="left"/>
    </w:pPr>
  </w:style>
  <w:style w:type="character" w:styleId="Strong">
    <w:name w:val="Strong"/>
    <w:basedOn w:val="DefaultParagraphFont"/>
    <w:uiPriority w:val="22"/>
    <w:qFormat/>
    <w:rsid w:val="00AC728F"/>
    <w:rPr>
      <w:b/>
      <w:bCs/>
    </w:rPr>
  </w:style>
  <w:style w:type="paragraph" w:customStyle="1" w:styleId="Text1">
    <w:name w:val="Text 1"/>
    <w:basedOn w:val="Normal"/>
    <w:rsid w:val="006824F1"/>
    <w:pPr>
      <w:spacing w:after="240" w:line="240" w:lineRule="auto"/>
      <w:ind w:left="482"/>
    </w:pPr>
    <w:rPr>
      <w:rFonts w:ascii="Times New Roman" w:eastAsia="Times New Roman" w:hAnsi="Times New Roman" w:cs="Times New Roman"/>
      <w:sz w:val="24"/>
      <w:szCs w:val="20"/>
      <w:lang w:val="en-GB" w:eastAsia="en-US"/>
    </w:rPr>
  </w:style>
  <w:style w:type="paragraph" w:customStyle="1" w:styleId="P68B1DB1-afc3">
    <w:name w:val="P68B1DB1-afc3"/>
    <w:basedOn w:val="Caption"/>
    <w:rsid w:val="00FB1D12"/>
    <w:pPr>
      <w:shd w:val="clear" w:color="auto" w:fill="auto"/>
      <w:spacing w:after="120" w:line="300" w:lineRule="auto"/>
    </w:pPr>
    <w:rPr>
      <w:rFonts w:ascii="Arial" w:eastAsia="Times New Roman" w:hAnsi="Arial" w:cs="Arial"/>
      <w:iCs w:val="0"/>
      <w:color w:val="auto"/>
      <w:sz w:val="18"/>
      <w:szCs w:val="20"/>
      <w:lang w:val="el-GR" w:eastAsia="el-GR"/>
    </w:rPr>
  </w:style>
  <w:style w:type="character" w:customStyle="1" w:styleId="Heading4Char">
    <w:name w:val="Heading 4 Char"/>
    <w:basedOn w:val="DefaultParagraphFont"/>
    <w:link w:val="Heading4"/>
    <w:uiPriority w:val="9"/>
    <w:rsid w:val="00E91624"/>
    <w:rPr>
      <w:rFonts w:asciiTheme="majorHAnsi" w:eastAsiaTheme="majorEastAsia" w:hAnsiTheme="majorHAnsi" w:cstheme="majorBidi"/>
      <w:i/>
      <w:iCs/>
      <w:color w:val="365F91" w:themeColor="accent1" w:themeShade="BF"/>
      <w:sz w:val="23"/>
      <w:lang w:eastAsia="el-GR"/>
    </w:rPr>
  </w:style>
  <w:style w:type="paragraph" w:customStyle="1" w:styleId="figureright-handed">
    <w:name w:val="figure right-handed"/>
    <w:basedOn w:val="Figure"/>
    <w:link w:val="figureright-handedChar"/>
    <w:qFormat/>
    <w:rsid w:val="002D7C5D"/>
    <w:pPr>
      <w:jc w:val="right"/>
    </w:pPr>
    <w:rPr>
      <w:b w:val="0"/>
    </w:rPr>
  </w:style>
  <w:style w:type="character" w:customStyle="1" w:styleId="figureright-handedChar">
    <w:name w:val="figure right-handed Char"/>
    <w:basedOn w:val="FigureChar"/>
    <w:link w:val="figureright-handed"/>
    <w:rsid w:val="002D7C5D"/>
    <w:rPr>
      <w:b w:val="0"/>
      <w:iCs/>
      <w:color w:val="FFFFFF" w:themeColor="background1"/>
      <w:sz w:val="24"/>
      <w:szCs w:val="18"/>
      <w:shd w:val="clear" w:color="auto" w:fill="4F81BD" w:themeFill="accent1"/>
      <w:lang w:val="en-US"/>
    </w:rPr>
  </w:style>
  <w:style w:type="paragraph" w:customStyle="1" w:styleId="Body">
    <w:name w:val="Body"/>
    <w:rsid w:val="002928DD"/>
    <w:pPr>
      <w:pBdr>
        <w:top w:val="nil"/>
        <w:left w:val="nil"/>
        <w:bottom w:val="nil"/>
        <w:right w:val="nil"/>
        <w:between w:val="nil"/>
        <w:bar w:val="nil"/>
      </w:pBdr>
    </w:pPr>
    <w:rPr>
      <w:rFonts w:ascii="Calibri" w:eastAsia="Arial Unicode MS" w:hAnsi="Calibri" w:cs="Arial Unicode MS"/>
      <w:color w:val="000000"/>
      <w:u w:color="000000"/>
      <w:bdr w:val="nil"/>
      <w:lang w:eastAsia="el-GR"/>
    </w:rPr>
  </w:style>
  <w:style w:type="table" w:customStyle="1" w:styleId="GridTable1Light1">
    <w:name w:val="Grid Table 1 Light1"/>
    <w:basedOn w:val="TableNormal"/>
    <w:uiPriority w:val="46"/>
    <w:rsid w:val="002928DD"/>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2928DD"/>
    <w:rPr>
      <w:i/>
      <w:iCs/>
      <w:color w:val="404040" w:themeColor="text1" w:themeTint="BF"/>
    </w:rPr>
  </w:style>
  <w:style w:type="paragraph" w:customStyle="1" w:styleId="Tabletext">
    <w:name w:val="Table text"/>
    <w:basedOn w:val="Normal"/>
    <w:link w:val="TabletextChar"/>
    <w:qFormat/>
    <w:rsid w:val="00235F2C"/>
    <w:pPr>
      <w:spacing w:after="0" w:line="240" w:lineRule="exact"/>
      <w:jc w:val="left"/>
    </w:pPr>
    <w:rPr>
      <w:rFonts w:ascii="Calibri" w:eastAsia="Times New Roman" w:hAnsi="Calibri"/>
      <w:sz w:val="21"/>
      <w:lang w:val="en-US"/>
    </w:rPr>
  </w:style>
  <w:style w:type="character" w:customStyle="1" w:styleId="TabletextChar">
    <w:name w:val="Table text Char"/>
    <w:basedOn w:val="DefaultParagraphFont"/>
    <w:link w:val="Tabletext"/>
    <w:rsid w:val="00235F2C"/>
    <w:rPr>
      <w:rFonts w:ascii="Calibri" w:eastAsia="Times New Roman" w:hAnsi="Calibri"/>
      <w:sz w:val="21"/>
      <w:lang w:val="en-US" w:eastAsia="el-GR"/>
    </w:rPr>
  </w:style>
  <w:style w:type="character" w:customStyle="1" w:styleId="Heading5Char">
    <w:name w:val="Heading 5 Char"/>
    <w:basedOn w:val="DefaultParagraphFont"/>
    <w:link w:val="Heading5"/>
    <w:uiPriority w:val="9"/>
    <w:semiHidden/>
    <w:rsid w:val="00987A40"/>
    <w:rPr>
      <w:rFonts w:ascii="Arial" w:eastAsia="Arial" w:hAnsi="Arial" w:cs="Arial"/>
      <w:color w:val="666666"/>
      <w:lang w:eastAsia="el-GR"/>
    </w:rPr>
  </w:style>
  <w:style w:type="character" w:customStyle="1" w:styleId="Heading6Char">
    <w:name w:val="Heading 6 Char"/>
    <w:basedOn w:val="DefaultParagraphFont"/>
    <w:link w:val="Heading6"/>
    <w:uiPriority w:val="9"/>
    <w:semiHidden/>
    <w:rsid w:val="00987A40"/>
    <w:rPr>
      <w:rFonts w:ascii="Arial" w:eastAsia="Arial" w:hAnsi="Arial" w:cs="Arial"/>
      <w:i/>
      <w:color w:val="666666"/>
      <w:lang w:eastAsia="el-GR"/>
    </w:rPr>
  </w:style>
  <w:style w:type="table" w:customStyle="1" w:styleId="TableNormal1">
    <w:name w:val="Table Normal1"/>
    <w:rsid w:val="00987A40"/>
    <w:pPr>
      <w:spacing w:after="0"/>
    </w:pPr>
    <w:rPr>
      <w:rFonts w:ascii="Arial" w:eastAsia="Arial" w:hAnsi="Arial" w:cs="Arial"/>
      <w:lang w:eastAsia="el-GR"/>
    </w:rPr>
    <w:tblPr>
      <w:tblCellMar>
        <w:top w:w="0" w:type="dxa"/>
        <w:left w:w="0" w:type="dxa"/>
        <w:bottom w:w="0" w:type="dxa"/>
        <w:right w:w="0" w:type="dxa"/>
      </w:tblCellMar>
    </w:tblPr>
  </w:style>
  <w:style w:type="paragraph" w:styleId="Title">
    <w:name w:val="Title"/>
    <w:basedOn w:val="Normal"/>
    <w:next w:val="Normal"/>
    <w:link w:val="TitleChar"/>
    <w:uiPriority w:val="10"/>
    <w:qFormat/>
    <w:rsid w:val="00987A40"/>
    <w:pPr>
      <w:keepNext/>
      <w:keepLines/>
      <w:spacing w:after="60" w:line="276" w:lineRule="auto"/>
      <w:jc w:val="left"/>
    </w:pPr>
    <w:rPr>
      <w:rFonts w:ascii="Arial" w:eastAsia="Arial" w:hAnsi="Arial" w:cs="Arial"/>
      <w:sz w:val="52"/>
      <w:szCs w:val="52"/>
    </w:rPr>
  </w:style>
  <w:style w:type="character" w:customStyle="1" w:styleId="TitleChar">
    <w:name w:val="Title Char"/>
    <w:basedOn w:val="DefaultParagraphFont"/>
    <w:link w:val="Title"/>
    <w:uiPriority w:val="10"/>
    <w:rsid w:val="00987A40"/>
    <w:rPr>
      <w:rFonts w:ascii="Arial" w:eastAsia="Arial" w:hAnsi="Arial" w:cs="Arial"/>
      <w:sz w:val="52"/>
      <w:szCs w:val="52"/>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3404">
      <w:bodyDiv w:val="1"/>
      <w:marLeft w:val="0"/>
      <w:marRight w:val="0"/>
      <w:marTop w:val="0"/>
      <w:marBottom w:val="0"/>
      <w:divBdr>
        <w:top w:val="none" w:sz="0" w:space="0" w:color="auto"/>
        <w:left w:val="none" w:sz="0" w:space="0" w:color="auto"/>
        <w:bottom w:val="none" w:sz="0" w:space="0" w:color="auto"/>
        <w:right w:val="none" w:sz="0" w:space="0" w:color="auto"/>
      </w:divBdr>
    </w:div>
    <w:div w:id="3015354">
      <w:bodyDiv w:val="1"/>
      <w:marLeft w:val="0"/>
      <w:marRight w:val="0"/>
      <w:marTop w:val="0"/>
      <w:marBottom w:val="0"/>
      <w:divBdr>
        <w:top w:val="none" w:sz="0" w:space="0" w:color="auto"/>
        <w:left w:val="none" w:sz="0" w:space="0" w:color="auto"/>
        <w:bottom w:val="none" w:sz="0" w:space="0" w:color="auto"/>
        <w:right w:val="none" w:sz="0" w:space="0" w:color="auto"/>
      </w:divBdr>
    </w:div>
    <w:div w:id="14618813">
      <w:bodyDiv w:val="1"/>
      <w:marLeft w:val="0"/>
      <w:marRight w:val="0"/>
      <w:marTop w:val="0"/>
      <w:marBottom w:val="0"/>
      <w:divBdr>
        <w:top w:val="none" w:sz="0" w:space="0" w:color="auto"/>
        <w:left w:val="none" w:sz="0" w:space="0" w:color="auto"/>
        <w:bottom w:val="none" w:sz="0" w:space="0" w:color="auto"/>
        <w:right w:val="none" w:sz="0" w:space="0" w:color="auto"/>
      </w:divBdr>
    </w:div>
    <w:div w:id="18090164">
      <w:bodyDiv w:val="1"/>
      <w:marLeft w:val="0"/>
      <w:marRight w:val="0"/>
      <w:marTop w:val="0"/>
      <w:marBottom w:val="0"/>
      <w:divBdr>
        <w:top w:val="none" w:sz="0" w:space="0" w:color="auto"/>
        <w:left w:val="none" w:sz="0" w:space="0" w:color="auto"/>
        <w:bottom w:val="none" w:sz="0" w:space="0" w:color="auto"/>
        <w:right w:val="none" w:sz="0" w:space="0" w:color="auto"/>
      </w:divBdr>
    </w:div>
    <w:div w:id="18550058">
      <w:bodyDiv w:val="1"/>
      <w:marLeft w:val="0"/>
      <w:marRight w:val="0"/>
      <w:marTop w:val="0"/>
      <w:marBottom w:val="0"/>
      <w:divBdr>
        <w:top w:val="none" w:sz="0" w:space="0" w:color="auto"/>
        <w:left w:val="none" w:sz="0" w:space="0" w:color="auto"/>
        <w:bottom w:val="none" w:sz="0" w:space="0" w:color="auto"/>
        <w:right w:val="none" w:sz="0" w:space="0" w:color="auto"/>
      </w:divBdr>
    </w:div>
    <w:div w:id="25328918">
      <w:bodyDiv w:val="1"/>
      <w:marLeft w:val="0"/>
      <w:marRight w:val="0"/>
      <w:marTop w:val="0"/>
      <w:marBottom w:val="0"/>
      <w:divBdr>
        <w:top w:val="none" w:sz="0" w:space="0" w:color="auto"/>
        <w:left w:val="none" w:sz="0" w:space="0" w:color="auto"/>
        <w:bottom w:val="none" w:sz="0" w:space="0" w:color="auto"/>
        <w:right w:val="none" w:sz="0" w:space="0" w:color="auto"/>
      </w:divBdr>
    </w:div>
    <w:div w:id="29453596">
      <w:bodyDiv w:val="1"/>
      <w:marLeft w:val="0"/>
      <w:marRight w:val="0"/>
      <w:marTop w:val="0"/>
      <w:marBottom w:val="0"/>
      <w:divBdr>
        <w:top w:val="none" w:sz="0" w:space="0" w:color="auto"/>
        <w:left w:val="none" w:sz="0" w:space="0" w:color="auto"/>
        <w:bottom w:val="none" w:sz="0" w:space="0" w:color="auto"/>
        <w:right w:val="none" w:sz="0" w:space="0" w:color="auto"/>
      </w:divBdr>
    </w:div>
    <w:div w:id="31195811">
      <w:bodyDiv w:val="1"/>
      <w:marLeft w:val="0"/>
      <w:marRight w:val="0"/>
      <w:marTop w:val="0"/>
      <w:marBottom w:val="0"/>
      <w:divBdr>
        <w:top w:val="none" w:sz="0" w:space="0" w:color="auto"/>
        <w:left w:val="none" w:sz="0" w:space="0" w:color="auto"/>
        <w:bottom w:val="none" w:sz="0" w:space="0" w:color="auto"/>
        <w:right w:val="none" w:sz="0" w:space="0" w:color="auto"/>
      </w:divBdr>
    </w:div>
    <w:div w:id="37050871">
      <w:bodyDiv w:val="1"/>
      <w:marLeft w:val="0"/>
      <w:marRight w:val="0"/>
      <w:marTop w:val="0"/>
      <w:marBottom w:val="0"/>
      <w:divBdr>
        <w:top w:val="none" w:sz="0" w:space="0" w:color="auto"/>
        <w:left w:val="none" w:sz="0" w:space="0" w:color="auto"/>
        <w:bottom w:val="none" w:sz="0" w:space="0" w:color="auto"/>
        <w:right w:val="none" w:sz="0" w:space="0" w:color="auto"/>
      </w:divBdr>
    </w:div>
    <w:div w:id="49109998">
      <w:bodyDiv w:val="1"/>
      <w:marLeft w:val="0"/>
      <w:marRight w:val="0"/>
      <w:marTop w:val="0"/>
      <w:marBottom w:val="0"/>
      <w:divBdr>
        <w:top w:val="none" w:sz="0" w:space="0" w:color="auto"/>
        <w:left w:val="none" w:sz="0" w:space="0" w:color="auto"/>
        <w:bottom w:val="none" w:sz="0" w:space="0" w:color="auto"/>
        <w:right w:val="none" w:sz="0" w:space="0" w:color="auto"/>
      </w:divBdr>
    </w:div>
    <w:div w:id="53503147">
      <w:bodyDiv w:val="1"/>
      <w:marLeft w:val="0"/>
      <w:marRight w:val="0"/>
      <w:marTop w:val="0"/>
      <w:marBottom w:val="0"/>
      <w:divBdr>
        <w:top w:val="none" w:sz="0" w:space="0" w:color="auto"/>
        <w:left w:val="none" w:sz="0" w:space="0" w:color="auto"/>
        <w:bottom w:val="none" w:sz="0" w:space="0" w:color="auto"/>
        <w:right w:val="none" w:sz="0" w:space="0" w:color="auto"/>
      </w:divBdr>
    </w:div>
    <w:div w:id="54934441">
      <w:bodyDiv w:val="1"/>
      <w:marLeft w:val="0"/>
      <w:marRight w:val="0"/>
      <w:marTop w:val="0"/>
      <w:marBottom w:val="0"/>
      <w:divBdr>
        <w:top w:val="none" w:sz="0" w:space="0" w:color="auto"/>
        <w:left w:val="none" w:sz="0" w:space="0" w:color="auto"/>
        <w:bottom w:val="none" w:sz="0" w:space="0" w:color="auto"/>
        <w:right w:val="none" w:sz="0" w:space="0" w:color="auto"/>
      </w:divBdr>
    </w:div>
    <w:div w:id="55518166">
      <w:bodyDiv w:val="1"/>
      <w:marLeft w:val="0"/>
      <w:marRight w:val="0"/>
      <w:marTop w:val="0"/>
      <w:marBottom w:val="0"/>
      <w:divBdr>
        <w:top w:val="none" w:sz="0" w:space="0" w:color="auto"/>
        <w:left w:val="none" w:sz="0" w:space="0" w:color="auto"/>
        <w:bottom w:val="none" w:sz="0" w:space="0" w:color="auto"/>
        <w:right w:val="none" w:sz="0" w:space="0" w:color="auto"/>
      </w:divBdr>
    </w:div>
    <w:div w:id="56051090">
      <w:bodyDiv w:val="1"/>
      <w:marLeft w:val="0"/>
      <w:marRight w:val="0"/>
      <w:marTop w:val="0"/>
      <w:marBottom w:val="0"/>
      <w:divBdr>
        <w:top w:val="none" w:sz="0" w:space="0" w:color="auto"/>
        <w:left w:val="none" w:sz="0" w:space="0" w:color="auto"/>
        <w:bottom w:val="none" w:sz="0" w:space="0" w:color="auto"/>
        <w:right w:val="none" w:sz="0" w:space="0" w:color="auto"/>
      </w:divBdr>
    </w:div>
    <w:div w:id="64451682">
      <w:bodyDiv w:val="1"/>
      <w:marLeft w:val="0"/>
      <w:marRight w:val="0"/>
      <w:marTop w:val="0"/>
      <w:marBottom w:val="0"/>
      <w:divBdr>
        <w:top w:val="none" w:sz="0" w:space="0" w:color="auto"/>
        <w:left w:val="none" w:sz="0" w:space="0" w:color="auto"/>
        <w:bottom w:val="none" w:sz="0" w:space="0" w:color="auto"/>
        <w:right w:val="none" w:sz="0" w:space="0" w:color="auto"/>
      </w:divBdr>
    </w:div>
    <w:div w:id="72356392">
      <w:bodyDiv w:val="1"/>
      <w:marLeft w:val="0"/>
      <w:marRight w:val="0"/>
      <w:marTop w:val="0"/>
      <w:marBottom w:val="0"/>
      <w:divBdr>
        <w:top w:val="none" w:sz="0" w:space="0" w:color="auto"/>
        <w:left w:val="none" w:sz="0" w:space="0" w:color="auto"/>
        <w:bottom w:val="none" w:sz="0" w:space="0" w:color="auto"/>
        <w:right w:val="none" w:sz="0" w:space="0" w:color="auto"/>
      </w:divBdr>
    </w:div>
    <w:div w:id="77529119">
      <w:bodyDiv w:val="1"/>
      <w:marLeft w:val="0"/>
      <w:marRight w:val="0"/>
      <w:marTop w:val="0"/>
      <w:marBottom w:val="0"/>
      <w:divBdr>
        <w:top w:val="none" w:sz="0" w:space="0" w:color="auto"/>
        <w:left w:val="none" w:sz="0" w:space="0" w:color="auto"/>
        <w:bottom w:val="none" w:sz="0" w:space="0" w:color="auto"/>
        <w:right w:val="none" w:sz="0" w:space="0" w:color="auto"/>
      </w:divBdr>
    </w:div>
    <w:div w:id="83381099">
      <w:bodyDiv w:val="1"/>
      <w:marLeft w:val="0"/>
      <w:marRight w:val="0"/>
      <w:marTop w:val="0"/>
      <w:marBottom w:val="0"/>
      <w:divBdr>
        <w:top w:val="none" w:sz="0" w:space="0" w:color="auto"/>
        <w:left w:val="none" w:sz="0" w:space="0" w:color="auto"/>
        <w:bottom w:val="none" w:sz="0" w:space="0" w:color="auto"/>
        <w:right w:val="none" w:sz="0" w:space="0" w:color="auto"/>
      </w:divBdr>
    </w:div>
    <w:div w:id="83845446">
      <w:bodyDiv w:val="1"/>
      <w:marLeft w:val="0"/>
      <w:marRight w:val="0"/>
      <w:marTop w:val="0"/>
      <w:marBottom w:val="0"/>
      <w:divBdr>
        <w:top w:val="none" w:sz="0" w:space="0" w:color="auto"/>
        <w:left w:val="none" w:sz="0" w:space="0" w:color="auto"/>
        <w:bottom w:val="none" w:sz="0" w:space="0" w:color="auto"/>
        <w:right w:val="none" w:sz="0" w:space="0" w:color="auto"/>
      </w:divBdr>
    </w:div>
    <w:div w:id="85199912">
      <w:bodyDiv w:val="1"/>
      <w:marLeft w:val="0"/>
      <w:marRight w:val="0"/>
      <w:marTop w:val="0"/>
      <w:marBottom w:val="0"/>
      <w:divBdr>
        <w:top w:val="none" w:sz="0" w:space="0" w:color="auto"/>
        <w:left w:val="none" w:sz="0" w:space="0" w:color="auto"/>
        <w:bottom w:val="none" w:sz="0" w:space="0" w:color="auto"/>
        <w:right w:val="none" w:sz="0" w:space="0" w:color="auto"/>
      </w:divBdr>
    </w:div>
    <w:div w:id="87119206">
      <w:bodyDiv w:val="1"/>
      <w:marLeft w:val="0"/>
      <w:marRight w:val="0"/>
      <w:marTop w:val="0"/>
      <w:marBottom w:val="0"/>
      <w:divBdr>
        <w:top w:val="none" w:sz="0" w:space="0" w:color="auto"/>
        <w:left w:val="none" w:sz="0" w:space="0" w:color="auto"/>
        <w:bottom w:val="none" w:sz="0" w:space="0" w:color="auto"/>
        <w:right w:val="none" w:sz="0" w:space="0" w:color="auto"/>
      </w:divBdr>
    </w:div>
    <w:div w:id="87310040">
      <w:bodyDiv w:val="1"/>
      <w:marLeft w:val="0"/>
      <w:marRight w:val="0"/>
      <w:marTop w:val="0"/>
      <w:marBottom w:val="0"/>
      <w:divBdr>
        <w:top w:val="none" w:sz="0" w:space="0" w:color="auto"/>
        <w:left w:val="none" w:sz="0" w:space="0" w:color="auto"/>
        <w:bottom w:val="none" w:sz="0" w:space="0" w:color="auto"/>
        <w:right w:val="none" w:sz="0" w:space="0" w:color="auto"/>
      </w:divBdr>
    </w:div>
    <w:div w:id="88156996">
      <w:bodyDiv w:val="1"/>
      <w:marLeft w:val="0"/>
      <w:marRight w:val="0"/>
      <w:marTop w:val="0"/>
      <w:marBottom w:val="0"/>
      <w:divBdr>
        <w:top w:val="none" w:sz="0" w:space="0" w:color="auto"/>
        <w:left w:val="none" w:sz="0" w:space="0" w:color="auto"/>
        <w:bottom w:val="none" w:sz="0" w:space="0" w:color="auto"/>
        <w:right w:val="none" w:sz="0" w:space="0" w:color="auto"/>
      </w:divBdr>
    </w:div>
    <w:div w:id="91323630">
      <w:bodyDiv w:val="1"/>
      <w:marLeft w:val="0"/>
      <w:marRight w:val="0"/>
      <w:marTop w:val="0"/>
      <w:marBottom w:val="0"/>
      <w:divBdr>
        <w:top w:val="none" w:sz="0" w:space="0" w:color="auto"/>
        <w:left w:val="none" w:sz="0" w:space="0" w:color="auto"/>
        <w:bottom w:val="none" w:sz="0" w:space="0" w:color="auto"/>
        <w:right w:val="none" w:sz="0" w:space="0" w:color="auto"/>
      </w:divBdr>
    </w:div>
    <w:div w:id="95449326">
      <w:bodyDiv w:val="1"/>
      <w:marLeft w:val="0"/>
      <w:marRight w:val="0"/>
      <w:marTop w:val="0"/>
      <w:marBottom w:val="0"/>
      <w:divBdr>
        <w:top w:val="none" w:sz="0" w:space="0" w:color="auto"/>
        <w:left w:val="none" w:sz="0" w:space="0" w:color="auto"/>
        <w:bottom w:val="none" w:sz="0" w:space="0" w:color="auto"/>
        <w:right w:val="none" w:sz="0" w:space="0" w:color="auto"/>
      </w:divBdr>
    </w:div>
    <w:div w:id="103883825">
      <w:bodyDiv w:val="1"/>
      <w:marLeft w:val="0"/>
      <w:marRight w:val="0"/>
      <w:marTop w:val="0"/>
      <w:marBottom w:val="0"/>
      <w:divBdr>
        <w:top w:val="none" w:sz="0" w:space="0" w:color="auto"/>
        <w:left w:val="none" w:sz="0" w:space="0" w:color="auto"/>
        <w:bottom w:val="none" w:sz="0" w:space="0" w:color="auto"/>
        <w:right w:val="none" w:sz="0" w:space="0" w:color="auto"/>
      </w:divBdr>
    </w:div>
    <w:div w:id="107894536">
      <w:bodyDiv w:val="1"/>
      <w:marLeft w:val="0"/>
      <w:marRight w:val="0"/>
      <w:marTop w:val="0"/>
      <w:marBottom w:val="0"/>
      <w:divBdr>
        <w:top w:val="none" w:sz="0" w:space="0" w:color="auto"/>
        <w:left w:val="none" w:sz="0" w:space="0" w:color="auto"/>
        <w:bottom w:val="none" w:sz="0" w:space="0" w:color="auto"/>
        <w:right w:val="none" w:sz="0" w:space="0" w:color="auto"/>
      </w:divBdr>
    </w:div>
    <w:div w:id="126511566">
      <w:bodyDiv w:val="1"/>
      <w:marLeft w:val="0"/>
      <w:marRight w:val="0"/>
      <w:marTop w:val="0"/>
      <w:marBottom w:val="0"/>
      <w:divBdr>
        <w:top w:val="none" w:sz="0" w:space="0" w:color="auto"/>
        <w:left w:val="none" w:sz="0" w:space="0" w:color="auto"/>
        <w:bottom w:val="none" w:sz="0" w:space="0" w:color="auto"/>
        <w:right w:val="none" w:sz="0" w:space="0" w:color="auto"/>
      </w:divBdr>
    </w:div>
    <w:div w:id="148327948">
      <w:bodyDiv w:val="1"/>
      <w:marLeft w:val="0"/>
      <w:marRight w:val="0"/>
      <w:marTop w:val="0"/>
      <w:marBottom w:val="0"/>
      <w:divBdr>
        <w:top w:val="none" w:sz="0" w:space="0" w:color="auto"/>
        <w:left w:val="none" w:sz="0" w:space="0" w:color="auto"/>
        <w:bottom w:val="none" w:sz="0" w:space="0" w:color="auto"/>
        <w:right w:val="none" w:sz="0" w:space="0" w:color="auto"/>
      </w:divBdr>
    </w:div>
    <w:div w:id="148401988">
      <w:bodyDiv w:val="1"/>
      <w:marLeft w:val="0"/>
      <w:marRight w:val="0"/>
      <w:marTop w:val="0"/>
      <w:marBottom w:val="0"/>
      <w:divBdr>
        <w:top w:val="none" w:sz="0" w:space="0" w:color="auto"/>
        <w:left w:val="none" w:sz="0" w:space="0" w:color="auto"/>
        <w:bottom w:val="none" w:sz="0" w:space="0" w:color="auto"/>
        <w:right w:val="none" w:sz="0" w:space="0" w:color="auto"/>
      </w:divBdr>
    </w:div>
    <w:div w:id="160590263">
      <w:bodyDiv w:val="1"/>
      <w:marLeft w:val="0"/>
      <w:marRight w:val="0"/>
      <w:marTop w:val="0"/>
      <w:marBottom w:val="0"/>
      <w:divBdr>
        <w:top w:val="none" w:sz="0" w:space="0" w:color="auto"/>
        <w:left w:val="none" w:sz="0" w:space="0" w:color="auto"/>
        <w:bottom w:val="none" w:sz="0" w:space="0" w:color="auto"/>
        <w:right w:val="none" w:sz="0" w:space="0" w:color="auto"/>
      </w:divBdr>
    </w:div>
    <w:div w:id="170604479">
      <w:bodyDiv w:val="1"/>
      <w:marLeft w:val="0"/>
      <w:marRight w:val="0"/>
      <w:marTop w:val="0"/>
      <w:marBottom w:val="0"/>
      <w:divBdr>
        <w:top w:val="none" w:sz="0" w:space="0" w:color="auto"/>
        <w:left w:val="none" w:sz="0" w:space="0" w:color="auto"/>
        <w:bottom w:val="none" w:sz="0" w:space="0" w:color="auto"/>
        <w:right w:val="none" w:sz="0" w:space="0" w:color="auto"/>
      </w:divBdr>
    </w:div>
    <w:div w:id="171071451">
      <w:bodyDiv w:val="1"/>
      <w:marLeft w:val="0"/>
      <w:marRight w:val="0"/>
      <w:marTop w:val="0"/>
      <w:marBottom w:val="0"/>
      <w:divBdr>
        <w:top w:val="none" w:sz="0" w:space="0" w:color="auto"/>
        <w:left w:val="none" w:sz="0" w:space="0" w:color="auto"/>
        <w:bottom w:val="none" w:sz="0" w:space="0" w:color="auto"/>
        <w:right w:val="none" w:sz="0" w:space="0" w:color="auto"/>
      </w:divBdr>
    </w:div>
    <w:div w:id="171650400">
      <w:bodyDiv w:val="1"/>
      <w:marLeft w:val="0"/>
      <w:marRight w:val="0"/>
      <w:marTop w:val="0"/>
      <w:marBottom w:val="0"/>
      <w:divBdr>
        <w:top w:val="none" w:sz="0" w:space="0" w:color="auto"/>
        <w:left w:val="none" w:sz="0" w:space="0" w:color="auto"/>
        <w:bottom w:val="none" w:sz="0" w:space="0" w:color="auto"/>
        <w:right w:val="none" w:sz="0" w:space="0" w:color="auto"/>
      </w:divBdr>
    </w:div>
    <w:div w:id="175851102">
      <w:bodyDiv w:val="1"/>
      <w:marLeft w:val="0"/>
      <w:marRight w:val="0"/>
      <w:marTop w:val="0"/>
      <w:marBottom w:val="0"/>
      <w:divBdr>
        <w:top w:val="none" w:sz="0" w:space="0" w:color="auto"/>
        <w:left w:val="none" w:sz="0" w:space="0" w:color="auto"/>
        <w:bottom w:val="none" w:sz="0" w:space="0" w:color="auto"/>
        <w:right w:val="none" w:sz="0" w:space="0" w:color="auto"/>
      </w:divBdr>
    </w:div>
    <w:div w:id="176117768">
      <w:bodyDiv w:val="1"/>
      <w:marLeft w:val="0"/>
      <w:marRight w:val="0"/>
      <w:marTop w:val="0"/>
      <w:marBottom w:val="0"/>
      <w:divBdr>
        <w:top w:val="none" w:sz="0" w:space="0" w:color="auto"/>
        <w:left w:val="none" w:sz="0" w:space="0" w:color="auto"/>
        <w:bottom w:val="none" w:sz="0" w:space="0" w:color="auto"/>
        <w:right w:val="none" w:sz="0" w:space="0" w:color="auto"/>
      </w:divBdr>
    </w:div>
    <w:div w:id="181170835">
      <w:bodyDiv w:val="1"/>
      <w:marLeft w:val="0"/>
      <w:marRight w:val="0"/>
      <w:marTop w:val="0"/>
      <w:marBottom w:val="0"/>
      <w:divBdr>
        <w:top w:val="none" w:sz="0" w:space="0" w:color="auto"/>
        <w:left w:val="none" w:sz="0" w:space="0" w:color="auto"/>
        <w:bottom w:val="none" w:sz="0" w:space="0" w:color="auto"/>
        <w:right w:val="none" w:sz="0" w:space="0" w:color="auto"/>
      </w:divBdr>
    </w:div>
    <w:div w:id="182935641">
      <w:bodyDiv w:val="1"/>
      <w:marLeft w:val="0"/>
      <w:marRight w:val="0"/>
      <w:marTop w:val="0"/>
      <w:marBottom w:val="0"/>
      <w:divBdr>
        <w:top w:val="none" w:sz="0" w:space="0" w:color="auto"/>
        <w:left w:val="none" w:sz="0" w:space="0" w:color="auto"/>
        <w:bottom w:val="none" w:sz="0" w:space="0" w:color="auto"/>
        <w:right w:val="none" w:sz="0" w:space="0" w:color="auto"/>
      </w:divBdr>
    </w:div>
    <w:div w:id="189076580">
      <w:bodyDiv w:val="1"/>
      <w:marLeft w:val="0"/>
      <w:marRight w:val="0"/>
      <w:marTop w:val="0"/>
      <w:marBottom w:val="0"/>
      <w:divBdr>
        <w:top w:val="none" w:sz="0" w:space="0" w:color="auto"/>
        <w:left w:val="none" w:sz="0" w:space="0" w:color="auto"/>
        <w:bottom w:val="none" w:sz="0" w:space="0" w:color="auto"/>
        <w:right w:val="none" w:sz="0" w:space="0" w:color="auto"/>
      </w:divBdr>
    </w:div>
    <w:div w:id="189299371">
      <w:bodyDiv w:val="1"/>
      <w:marLeft w:val="0"/>
      <w:marRight w:val="0"/>
      <w:marTop w:val="0"/>
      <w:marBottom w:val="0"/>
      <w:divBdr>
        <w:top w:val="none" w:sz="0" w:space="0" w:color="auto"/>
        <w:left w:val="none" w:sz="0" w:space="0" w:color="auto"/>
        <w:bottom w:val="none" w:sz="0" w:space="0" w:color="auto"/>
        <w:right w:val="none" w:sz="0" w:space="0" w:color="auto"/>
      </w:divBdr>
    </w:div>
    <w:div w:id="189342341">
      <w:bodyDiv w:val="1"/>
      <w:marLeft w:val="0"/>
      <w:marRight w:val="0"/>
      <w:marTop w:val="0"/>
      <w:marBottom w:val="0"/>
      <w:divBdr>
        <w:top w:val="none" w:sz="0" w:space="0" w:color="auto"/>
        <w:left w:val="none" w:sz="0" w:space="0" w:color="auto"/>
        <w:bottom w:val="none" w:sz="0" w:space="0" w:color="auto"/>
        <w:right w:val="none" w:sz="0" w:space="0" w:color="auto"/>
      </w:divBdr>
    </w:div>
    <w:div w:id="190539240">
      <w:bodyDiv w:val="1"/>
      <w:marLeft w:val="0"/>
      <w:marRight w:val="0"/>
      <w:marTop w:val="0"/>
      <w:marBottom w:val="0"/>
      <w:divBdr>
        <w:top w:val="none" w:sz="0" w:space="0" w:color="auto"/>
        <w:left w:val="none" w:sz="0" w:space="0" w:color="auto"/>
        <w:bottom w:val="none" w:sz="0" w:space="0" w:color="auto"/>
        <w:right w:val="none" w:sz="0" w:space="0" w:color="auto"/>
      </w:divBdr>
    </w:div>
    <w:div w:id="210918619">
      <w:bodyDiv w:val="1"/>
      <w:marLeft w:val="0"/>
      <w:marRight w:val="0"/>
      <w:marTop w:val="0"/>
      <w:marBottom w:val="0"/>
      <w:divBdr>
        <w:top w:val="none" w:sz="0" w:space="0" w:color="auto"/>
        <w:left w:val="none" w:sz="0" w:space="0" w:color="auto"/>
        <w:bottom w:val="none" w:sz="0" w:space="0" w:color="auto"/>
        <w:right w:val="none" w:sz="0" w:space="0" w:color="auto"/>
      </w:divBdr>
    </w:div>
    <w:div w:id="213347204">
      <w:bodyDiv w:val="1"/>
      <w:marLeft w:val="0"/>
      <w:marRight w:val="0"/>
      <w:marTop w:val="0"/>
      <w:marBottom w:val="0"/>
      <w:divBdr>
        <w:top w:val="none" w:sz="0" w:space="0" w:color="auto"/>
        <w:left w:val="none" w:sz="0" w:space="0" w:color="auto"/>
        <w:bottom w:val="none" w:sz="0" w:space="0" w:color="auto"/>
        <w:right w:val="none" w:sz="0" w:space="0" w:color="auto"/>
      </w:divBdr>
    </w:div>
    <w:div w:id="221527142">
      <w:bodyDiv w:val="1"/>
      <w:marLeft w:val="0"/>
      <w:marRight w:val="0"/>
      <w:marTop w:val="0"/>
      <w:marBottom w:val="0"/>
      <w:divBdr>
        <w:top w:val="none" w:sz="0" w:space="0" w:color="auto"/>
        <w:left w:val="none" w:sz="0" w:space="0" w:color="auto"/>
        <w:bottom w:val="none" w:sz="0" w:space="0" w:color="auto"/>
        <w:right w:val="none" w:sz="0" w:space="0" w:color="auto"/>
      </w:divBdr>
    </w:div>
    <w:div w:id="229275552">
      <w:bodyDiv w:val="1"/>
      <w:marLeft w:val="0"/>
      <w:marRight w:val="0"/>
      <w:marTop w:val="0"/>
      <w:marBottom w:val="0"/>
      <w:divBdr>
        <w:top w:val="none" w:sz="0" w:space="0" w:color="auto"/>
        <w:left w:val="none" w:sz="0" w:space="0" w:color="auto"/>
        <w:bottom w:val="none" w:sz="0" w:space="0" w:color="auto"/>
        <w:right w:val="none" w:sz="0" w:space="0" w:color="auto"/>
      </w:divBdr>
    </w:div>
    <w:div w:id="230778850">
      <w:bodyDiv w:val="1"/>
      <w:marLeft w:val="0"/>
      <w:marRight w:val="0"/>
      <w:marTop w:val="0"/>
      <w:marBottom w:val="0"/>
      <w:divBdr>
        <w:top w:val="none" w:sz="0" w:space="0" w:color="auto"/>
        <w:left w:val="none" w:sz="0" w:space="0" w:color="auto"/>
        <w:bottom w:val="none" w:sz="0" w:space="0" w:color="auto"/>
        <w:right w:val="none" w:sz="0" w:space="0" w:color="auto"/>
      </w:divBdr>
    </w:div>
    <w:div w:id="231161273">
      <w:bodyDiv w:val="1"/>
      <w:marLeft w:val="0"/>
      <w:marRight w:val="0"/>
      <w:marTop w:val="0"/>
      <w:marBottom w:val="0"/>
      <w:divBdr>
        <w:top w:val="none" w:sz="0" w:space="0" w:color="auto"/>
        <w:left w:val="none" w:sz="0" w:space="0" w:color="auto"/>
        <w:bottom w:val="none" w:sz="0" w:space="0" w:color="auto"/>
        <w:right w:val="none" w:sz="0" w:space="0" w:color="auto"/>
      </w:divBdr>
    </w:div>
    <w:div w:id="233904537">
      <w:bodyDiv w:val="1"/>
      <w:marLeft w:val="0"/>
      <w:marRight w:val="0"/>
      <w:marTop w:val="0"/>
      <w:marBottom w:val="0"/>
      <w:divBdr>
        <w:top w:val="none" w:sz="0" w:space="0" w:color="auto"/>
        <w:left w:val="none" w:sz="0" w:space="0" w:color="auto"/>
        <w:bottom w:val="none" w:sz="0" w:space="0" w:color="auto"/>
        <w:right w:val="none" w:sz="0" w:space="0" w:color="auto"/>
      </w:divBdr>
    </w:div>
    <w:div w:id="238370811">
      <w:bodyDiv w:val="1"/>
      <w:marLeft w:val="0"/>
      <w:marRight w:val="0"/>
      <w:marTop w:val="0"/>
      <w:marBottom w:val="0"/>
      <w:divBdr>
        <w:top w:val="none" w:sz="0" w:space="0" w:color="auto"/>
        <w:left w:val="none" w:sz="0" w:space="0" w:color="auto"/>
        <w:bottom w:val="none" w:sz="0" w:space="0" w:color="auto"/>
        <w:right w:val="none" w:sz="0" w:space="0" w:color="auto"/>
      </w:divBdr>
    </w:div>
    <w:div w:id="241961168">
      <w:bodyDiv w:val="1"/>
      <w:marLeft w:val="0"/>
      <w:marRight w:val="0"/>
      <w:marTop w:val="0"/>
      <w:marBottom w:val="0"/>
      <w:divBdr>
        <w:top w:val="none" w:sz="0" w:space="0" w:color="auto"/>
        <w:left w:val="none" w:sz="0" w:space="0" w:color="auto"/>
        <w:bottom w:val="none" w:sz="0" w:space="0" w:color="auto"/>
        <w:right w:val="none" w:sz="0" w:space="0" w:color="auto"/>
      </w:divBdr>
    </w:div>
    <w:div w:id="244925072">
      <w:bodyDiv w:val="1"/>
      <w:marLeft w:val="0"/>
      <w:marRight w:val="0"/>
      <w:marTop w:val="0"/>
      <w:marBottom w:val="0"/>
      <w:divBdr>
        <w:top w:val="none" w:sz="0" w:space="0" w:color="auto"/>
        <w:left w:val="none" w:sz="0" w:space="0" w:color="auto"/>
        <w:bottom w:val="none" w:sz="0" w:space="0" w:color="auto"/>
        <w:right w:val="none" w:sz="0" w:space="0" w:color="auto"/>
      </w:divBdr>
    </w:div>
    <w:div w:id="244925570">
      <w:bodyDiv w:val="1"/>
      <w:marLeft w:val="0"/>
      <w:marRight w:val="0"/>
      <w:marTop w:val="0"/>
      <w:marBottom w:val="0"/>
      <w:divBdr>
        <w:top w:val="none" w:sz="0" w:space="0" w:color="auto"/>
        <w:left w:val="none" w:sz="0" w:space="0" w:color="auto"/>
        <w:bottom w:val="none" w:sz="0" w:space="0" w:color="auto"/>
        <w:right w:val="none" w:sz="0" w:space="0" w:color="auto"/>
      </w:divBdr>
    </w:div>
    <w:div w:id="245575462">
      <w:bodyDiv w:val="1"/>
      <w:marLeft w:val="0"/>
      <w:marRight w:val="0"/>
      <w:marTop w:val="0"/>
      <w:marBottom w:val="0"/>
      <w:divBdr>
        <w:top w:val="none" w:sz="0" w:space="0" w:color="auto"/>
        <w:left w:val="none" w:sz="0" w:space="0" w:color="auto"/>
        <w:bottom w:val="none" w:sz="0" w:space="0" w:color="auto"/>
        <w:right w:val="none" w:sz="0" w:space="0" w:color="auto"/>
      </w:divBdr>
    </w:div>
    <w:div w:id="255745539">
      <w:bodyDiv w:val="1"/>
      <w:marLeft w:val="0"/>
      <w:marRight w:val="0"/>
      <w:marTop w:val="0"/>
      <w:marBottom w:val="0"/>
      <w:divBdr>
        <w:top w:val="none" w:sz="0" w:space="0" w:color="auto"/>
        <w:left w:val="none" w:sz="0" w:space="0" w:color="auto"/>
        <w:bottom w:val="none" w:sz="0" w:space="0" w:color="auto"/>
        <w:right w:val="none" w:sz="0" w:space="0" w:color="auto"/>
      </w:divBdr>
    </w:div>
    <w:div w:id="256912815">
      <w:bodyDiv w:val="1"/>
      <w:marLeft w:val="0"/>
      <w:marRight w:val="0"/>
      <w:marTop w:val="0"/>
      <w:marBottom w:val="0"/>
      <w:divBdr>
        <w:top w:val="none" w:sz="0" w:space="0" w:color="auto"/>
        <w:left w:val="none" w:sz="0" w:space="0" w:color="auto"/>
        <w:bottom w:val="none" w:sz="0" w:space="0" w:color="auto"/>
        <w:right w:val="none" w:sz="0" w:space="0" w:color="auto"/>
      </w:divBdr>
    </w:div>
    <w:div w:id="257911078">
      <w:bodyDiv w:val="1"/>
      <w:marLeft w:val="0"/>
      <w:marRight w:val="0"/>
      <w:marTop w:val="0"/>
      <w:marBottom w:val="0"/>
      <w:divBdr>
        <w:top w:val="none" w:sz="0" w:space="0" w:color="auto"/>
        <w:left w:val="none" w:sz="0" w:space="0" w:color="auto"/>
        <w:bottom w:val="none" w:sz="0" w:space="0" w:color="auto"/>
        <w:right w:val="none" w:sz="0" w:space="0" w:color="auto"/>
      </w:divBdr>
    </w:div>
    <w:div w:id="270868542">
      <w:bodyDiv w:val="1"/>
      <w:marLeft w:val="0"/>
      <w:marRight w:val="0"/>
      <w:marTop w:val="0"/>
      <w:marBottom w:val="0"/>
      <w:divBdr>
        <w:top w:val="none" w:sz="0" w:space="0" w:color="auto"/>
        <w:left w:val="none" w:sz="0" w:space="0" w:color="auto"/>
        <w:bottom w:val="none" w:sz="0" w:space="0" w:color="auto"/>
        <w:right w:val="none" w:sz="0" w:space="0" w:color="auto"/>
      </w:divBdr>
    </w:div>
    <w:div w:id="276956157">
      <w:bodyDiv w:val="1"/>
      <w:marLeft w:val="0"/>
      <w:marRight w:val="0"/>
      <w:marTop w:val="0"/>
      <w:marBottom w:val="0"/>
      <w:divBdr>
        <w:top w:val="none" w:sz="0" w:space="0" w:color="auto"/>
        <w:left w:val="none" w:sz="0" w:space="0" w:color="auto"/>
        <w:bottom w:val="none" w:sz="0" w:space="0" w:color="auto"/>
        <w:right w:val="none" w:sz="0" w:space="0" w:color="auto"/>
      </w:divBdr>
    </w:div>
    <w:div w:id="277880836">
      <w:bodyDiv w:val="1"/>
      <w:marLeft w:val="0"/>
      <w:marRight w:val="0"/>
      <w:marTop w:val="0"/>
      <w:marBottom w:val="0"/>
      <w:divBdr>
        <w:top w:val="none" w:sz="0" w:space="0" w:color="auto"/>
        <w:left w:val="none" w:sz="0" w:space="0" w:color="auto"/>
        <w:bottom w:val="none" w:sz="0" w:space="0" w:color="auto"/>
        <w:right w:val="none" w:sz="0" w:space="0" w:color="auto"/>
      </w:divBdr>
    </w:div>
    <w:div w:id="281958645">
      <w:bodyDiv w:val="1"/>
      <w:marLeft w:val="0"/>
      <w:marRight w:val="0"/>
      <w:marTop w:val="0"/>
      <w:marBottom w:val="0"/>
      <w:divBdr>
        <w:top w:val="none" w:sz="0" w:space="0" w:color="auto"/>
        <w:left w:val="none" w:sz="0" w:space="0" w:color="auto"/>
        <w:bottom w:val="none" w:sz="0" w:space="0" w:color="auto"/>
        <w:right w:val="none" w:sz="0" w:space="0" w:color="auto"/>
      </w:divBdr>
    </w:div>
    <w:div w:id="285307956">
      <w:bodyDiv w:val="1"/>
      <w:marLeft w:val="0"/>
      <w:marRight w:val="0"/>
      <w:marTop w:val="0"/>
      <w:marBottom w:val="0"/>
      <w:divBdr>
        <w:top w:val="none" w:sz="0" w:space="0" w:color="auto"/>
        <w:left w:val="none" w:sz="0" w:space="0" w:color="auto"/>
        <w:bottom w:val="none" w:sz="0" w:space="0" w:color="auto"/>
        <w:right w:val="none" w:sz="0" w:space="0" w:color="auto"/>
      </w:divBdr>
    </w:div>
    <w:div w:id="287205032">
      <w:bodyDiv w:val="1"/>
      <w:marLeft w:val="0"/>
      <w:marRight w:val="0"/>
      <w:marTop w:val="0"/>
      <w:marBottom w:val="0"/>
      <w:divBdr>
        <w:top w:val="none" w:sz="0" w:space="0" w:color="auto"/>
        <w:left w:val="none" w:sz="0" w:space="0" w:color="auto"/>
        <w:bottom w:val="none" w:sz="0" w:space="0" w:color="auto"/>
        <w:right w:val="none" w:sz="0" w:space="0" w:color="auto"/>
      </w:divBdr>
    </w:div>
    <w:div w:id="287245096">
      <w:bodyDiv w:val="1"/>
      <w:marLeft w:val="0"/>
      <w:marRight w:val="0"/>
      <w:marTop w:val="0"/>
      <w:marBottom w:val="0"/>
      <w:divBdr>
        <w:top w:val="none" w:sz="0" w:space="0" w:color="auto"/>
        <w:left w:val="none" w:sz="0" w:space="0" w:color="auto"/>
        <w:bottom w:val="none" w:sz="0" w:space="0" w:color="auto"/>
        <w:right w:val="none" w:sz="0" w:space="0" w:color="auto"/>
      </w:divBdr>
    </w:div>
    <w:div w:id="294264220">
      <w:bodyDiv w:val="1"/>
      <w:marLeft w:val="0"/>
      <w:marRight w:val="0"/>
      <w:marTop w:val="0"/>
      <w:marBottom w:val="0"/>
      <w:divBdr>
        <w:top w:val="none" w:sz="0" w:space="0" w:color="auto"/>
        <w:left w:val="none" w:sz="0" w:space="0" w:color="auto"/>
        <w:bottom w:val="none" w:sz="0" w:space="0" w:color="auto"/>
        <w:right w:val="none" w:sz="0" w:space="0" w:color="auto"/>
      </w:divBdr>
    </w:div>
    <w:div w:id="304048978">
      <w:bodyDiv w:val="1"/>
      <w:marLeft w:val="0"/>
      <w:marRight w:val="0"/>
      <w:marTop w:val="0"/>
      <w:marBottom w:val="0"/>
      <w:divBdr>
        <w:top w:val="none" w:sz="0" w:space="0" w:color="auto"/>
        <w:left w:val="none" w:sz="0" w:space="0" w:color="auto"/>
        <w:bottom w:val="none" w:sz="0" w:space="0" w:color="auto"/>
        <w:right w:val="none" w:sz="0" w:space="0" w:color="auto"/>
      </w:divBdr>
    </w:div>
    <w:div w:id="310332786">
      <w:bodyDiv w:val="1"/>
      <w:marLeft w:val="0"/>
      <w:marRight w:val="0"/>
      <w:marTop w:val="0"/>
      <w:marBottom w:val="0"/>
      <w:divBdr>
        <w:top w:val="none" w:sz="0" w:space="0" w:color="auto"/>
        <w:left w:val="none" w:sz="0" w:space="0" w:color="auto"/>
        <w:bottom w:val="none" w:sz="0" w:space="0" w:color="auto"/>
        <w:right w:val="none" w:sz="0" w:space="0" w:color="auto"/>
      </w:divBdr>
    </w:div>
    <w:div w:id="313876913">
      <w:bodyDiv w:val="1"/>
      <w:marLeft w:val="0"/>
      <w:marRight w:val="0"/>
      <w:marTop w:val="0"/>
      <w:marBottom w:val="0"/>
      <w:divBdr>
        <w:top w:val="none" w:sz="0" w:space="0" w:color="auto"/>
        <w:left w:val="none" w:sz="0" w:space="0" w:color="auto"/>
        <w:bottom w:val="none" w:sz="0" w:space="0" w:color="auto"/>
        <w:right w:val="none" w:sz="0" w:space="0" w:color="auto"/>
      </w:divBdr>
    </w:div>
    <w:div w:id="319846198">
      <w:bodyDiv w:val="1"/>
      <w:marLeft w:val="0"/>
      <w:marRight w:val="0"/>
      <w:marTop w:val="0"/>
      <w:marBottom w:val="0"/>
      <w:divBdr>
        <w:top w:val="none" w:sz="0" w:space="0" w:color="auto"/>
        <w:left w:val="none" w:sz="0" w:space="0" w:color="auto"/>
        <w:bottom w:val="none" w:sz="0" w:space="0" w:color="auto"/>
        <w:right w:val="none" w:sz="0" w:space="0" w:color="auto"/>
      </w:divBdr>
    </w:div>
    <w:div w:id="322634301">
      <w:bodyDiv w:val="1"/>
      <w:marLeft w:val="0"/>
      <w:marRight w:val="0"/>
      <w:marTop w:val="0"/>
      <w:marBottom w:val="0"/>
      <w:divBdr>
        <w:top w:val="none" w:sz="0" w:space="0" w:color="auto"/>
        <w:left w:val="none" w:sz="0" w:space="0" w:color="auto"/>
        <w:bottom w:val="none" w:sz="0" w:space="0" w:color="auto"/>
        <w:right w:val="none" w:sz="0" w:space="0" w:color="auto"/>
      </w:divBdr>
    </w:div>
    <w:div w:id="337001555">
      <w:bodyDiv w:val="1"/>
      <w:marLeft w:val="0"/>
      <w:marRight w:val="0"/>
      <w:marTop w:val="0"/>
      <w:marBottom w:val="0"/>
      <w:divBdr>
        <w:top w:val="none" w:sz="0" w:space="0" w:color="auto"/>
        <w:left w:val="none" w:sz="0" w:space="0" w:color="auto"/>
        <w:bottom w:val="none" w:sz="0" w:space="0" w:color="auto"/>
        <w:right w:val="none" w:sz="0" w:space="0" w:color="auto"/>
      </w:divBdr>
    </w:div>
    <w:div w:id="340162365">
      <w:bodyDiv w:val="1"/>
      <w:marLeft w:val="0"/>
      <w:marRight w:val="0"/>
      <w:marTop w:val="0"/>
      <w:marBottom w:val="0"/>
      <w:divBdr>
        <w:top w:val="none" w:sz="0" w:space="0" w:color="auto"/>
        <w:left w:val="none" w:sz="0" w:space="0" w:color="auto"/>
        <w:bottom w:val="none" w:sz="0" w:space="0" w:color="auto"/>
        <w:right w:val="none" w:sz="0" w:space="0" w:color="auto"/>
      </w:divBdr>
    </w:div>
    <w:div w:id="344404869">
      <w:bodyDiv w:val="1"/>
      <w:marLeft w:val="0"/>
      <w:marRight w:val="0"/>
      <w:marTop w:val="0"/>
      <w:marBottom w:val="0"/>
      <w:divBdr>
        <w:top w:val="none" w:sz="0" w:space="0" w:color="auto"/>
        <w:left w:val="none" w:sz="0" w:space="0" w:color="auto"/>
        <w:bottom w:val="none" w:sz="0" w:space="0" w:color="auto"/>
        <w:right w:val="none" w:sz="0" w:space="0" w:color="auto"/>
      </w:divBdr>
    </w:div>
    <w:div w:id="349720138">
      <w:bodyDiv w:val="1"/>
      <w:marLeft w:val="0"/>
      <w:marRight w:val="0"/>
      <w:marTop w:val="0"/>
      <w:marBottom w:val="0"/>
      <w:divBdr>
        <w:top w:val="none" w:sz="0" w:space="0" w:color="auto"/>
        <w:left w:val="none" w:sz="0" w:space="0" w:color="auto"/>
        <w:bottom w:val="none" w:sz="0" w:space="0" w:color="auto"/>
        <w:right w:val="none" w:sz="0" w:space="0" w:color="auto"/>
      </w:divBdr>
    </w:div>
    <w:div w:id="350108915">
      <w:bodyDiv w:val="1"/>
      <w:marLeft w:val="0"/>
      <w:marRight w:val="0"/>
      <w:marTop w:val="0"/>
      <w:marBottom w:val="0"/>
      <w:divBdr>
        <w:top w:val="none" w:sz="0" w:space="0" w:color="auto"/>
        <w:left w:val="none" w:sz="0" w:space="0" w:color="auto"/>
        <w:bottom w:val="none" w:sz="0" w:space="0" w:color="auto"/>
        <w:right w:val="none" w:sz="0" w:space="0" w:color="auto"/>
      </w:divBdr>
    </w:div>
    <w:div w:id="354843782">
      <w:bodyDiv w:val="1"/>
      <w:marLeft w:val="0"/>
      <w:marRight w:val="0"/>
      <w:marTop w:val="0"/>
      <w:marBottom w:val="0"/>
      <w:divBdr>
        <w:top w:val="none" w:sz="0" w:space="0" w:color="auto"/>
        <w:left w:val="none" w:sz="0" w:space="0" w:color="auto"/>
        <w:bottom w:val="none" w:sz="0" w:space="0" w:color="auto"/>
        <w:right w:val="none" w:sz="0" w:space="0" w:color="auto"/>
      </w:divBdr>
    </w:div>
    <w:div w:id="355278044">
      <w:bodyDiv w:val="1"/>
      <w:marLeft w:val="0"/>
      <w:marRight w:val="0"/>
      <w:marTop w:val="0"/>
      <w:marBottom w:val="0"/>
      <w:divBdr>
        <w:top w:val="none" w:sz="0" w:space="0" w:color="auto"/>
        <w:left w:val="none" w:sz="0" w:space="0" w:color="auto"/>
        <w:bottom w:val="none" w:sz="0" w:space="0" w:color="auto"/>
        <w:right w:val="none" w:sz="0" w:space="0" w:color="auto"/>
      </w:divBdr>
    </w:div>
    <w:div w:id="355352278">
      <w:bodyDiv w:val="1"/>
      <w:marLeft w:val="0"/>
      <w:marRight w:val="0"/>
      <w:marTop w:val="0"/>
      <w:marBottom w:val="0"/>
      <w:divBdr>
        <w:top w:val="none" w:sz="0" w:space="0" w:color="auto"/>
        <w:left w:val="none" w:sz="0" w:space="0" w:color="auto"/>
        <w:bottom w:val="none" w:sz="0" w:space="0" w:color="auto"/>
        <w:right w:val="none" w:sz="0" w:space="0" w:color="auto"/>
      </w:divBdr>
    </w:div>
    <w:div w:id="360127510">
      <w:bodyDiv w:val="1"/>
      <w:marLeft w:val="0"/>
      <w:marRight w:val="0"/>
      <w:marTop w:val="0"/>
      <w:marBottom w:val="0"/>
      <w:divBdr>
        <w:top w:val="none" w:sz="0" w:space="0" w:color="auto"/>
        <w:left w:val="none" w:sz="0" w:space="0" w:color="auto"/>
        <w:bottom w:val="none" w:sz="0" w:space="0" w:color="auto"/>
        <w:right w:val="none" w:sz="0" w:space="0" w:color="auto"/>
      </w:divBdr>
    </w:div>
    <w:div w:id="362287794">
      <w:bodyDiv w:val="1"/>
      <w:marLeft w:val="0"/>
      <w:marRight w:val="0"/>
      <w:marTop w:val="0"/>
      <w:marBottom w:val="0"/>
      <w:divBdr>
        <w:top w:val="none" w:sz="0" w:space="0" w:color="auto"/>
        <w:left w:val="none" w:sz="0" w:space="0" w:color="auto"/>
        <w:bottom w:val="none" w:sz="0" w:space="0" w:color="auto"/>
        <w:right w:val="none" w:sz="0" w:space="0" w:color="auto"/>
      </w:divBdr>
    </w:div>
    <w:div w:id="362677854">
      <w:bodyDiv w:val="1"/>
      <w:marLeft w:val="0"/>
      <w:marRight w:val="0"/>
      <w:marTop w:val="0"/>
      <w:marBottom w:val="0"/>
      <w:divBdr>
        <w:top w:val="none" w:sz="0" w:space="0" w:color="auto"/>
        <w:left w:val="none" w:sz="0" w:space="0" w:color="auto"/>
        <w:bottom w:val="none" w:sz="0" w:space="0" w:color="auto"/>
        <w:right w:val="none" w:sz="0" w:space="0" w:color="auto"/>
      </w:divBdr>
    </w:div>
    <w:div w:id="369646749">
      <w:bodyDiv w:val="1"/>
      <w:marLeft w:val="0"/>
      <w:marRight w:val="0"/>
      <w:marTop w:val="0"/>
      <w:marBottom w:val="0"/>
      <w:divBdr>
        <w:top w:val="none" w:sz="0" w:space="0" w:color="auto"/>
        <w:left w:val="none" w:sz="0" w:space="0" w:color="auto"/>
        <w:bottom w:val="none" w:sz="0" w:space="0" w:color="auto"/>
        <w:right w:val="none" w:sz="0" w:space="0" w:color="auto"/>
      </w:divBdr>
    </w:div>
    <w:div w:id="375931492">
      <w:bodyDiv w:val="1"/>
      <w:marLeft w:val="0"/>
      <w:marRight w:val="0"/>
      <w:marTop w:val="0"/>
      <w:marBottom w:val="0"/>
      <w:divBdr>
        <w:top w:val="none" w:sz="0" w:space="0" w:color="auto"/>
        <w:left w:val="none" w:sz="0" w:space="0" w:color="auto"/>
        <w:bottom w:val="none" w:sz="0" w:space="0" w:color="auto"/>
        <w:right w:val="none" w:sz="0" w:space="0" w:color="auto"/>
      </w:divBdr>
    </w:div>
    <w:div w:id="381708270">
      <w:bodyDiv w:val="1"/>
      <w:marLeft w:val="0"/>
      <w:marRight w:val="0"/>
      <w:marTop w:val="0"/>
      <w:marBottom w:val="0"/>
      <w:divBdr>
        <w:top w:val="none" w:sz="0" w:space="0" w:color="auto"/>
        <w:left w:val="none" w:sz="0" w:space="0" w:color="auto"/>
        <w:bottom w:val="none" w:sz="0" w:space="0" w:color="auto"/>
        <w:right w:val="none" w:sz="0" w:space="0" w:color="auto"/>
      </w:divBdr>
    </w:div>
    <w:div w:id="384568620">
      <w:bodyDiv w:val="1"/>
      <w:marLeft w:val="0"/>
      <w:marRight w:val="0"/>
      <w:marTop w:val="0"/>
      <w:marBottom w:val="0"/>
      <w:divBdr>
        <w:top w:val="none" w:sz="0" w:space="0" w:color="auto"/>
        <w:left w:val="none" w:sz="0" w:space="0" w:color="auto"/>
        <w:bottom w:val="none" w:sz="0" w:space="0" w:color="auto"/>
        <w:right w:val="none" w:sz="0" w:space="0" w:color="auto"/>
      </w:divBdr>
    </w:div>
    <w:div w:id="388459156">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389963719">
      <w:bodyDiv w:val="1"/>
      <w:marLeft w:val="0"/>
      <w:marRight w:val="0"/>
      <w:marTop w:val="0"/>
      <w:marBottom w:val="0"/>
      <w:divBdr>
        <w:top w:val="none" w:sz="0" w:space="0" w:color="auto"/>
        <w:left w:val="none" w:sz="0" w:space="0" w:color="auto"/>
        <w:bottom w:val="none" w:sz="0" w:space="0" w:color="auto"/>
        <w:right w:val="none" w:sz="0" w:space="0" w:color="auto"/>
      </w:divBdr>
    </w:div>
    <w:div w:id="392000656">
      <w:bodyDiv w:val="1"/>
      <w:marLeft w:val="0"/>
      <w:marRight w:val="0"/>
      <w:marTop w:val="0"/>
      <w:marBottom w:val="0"/>
      <w:divBdr>
        <w:top w:val="none" w:sz="0" w:space="0" w:color="auto"/>
        <w:left w:val="none" w:sz="0" w:space="0" w:color="auto"/>
        <w:bottom w:val="none" w:sz="0" w:space="0" w:color="auto"/>
        <w:right w:val="none" w:sz="0" w:space="0" w:color="auto"/>
      </w:divBdr>
    </w:div>
    <w:div w:id="392779558">
      <w:bodyDiv w:val="1"/>
      <w:marLeft w:val="0"/>
      <w:marRight w:val="0"/>
      <w:marTop w:val="0"/>
      <w:marBottom w:val="0"/>
      <w:divBdr>
        <w:top w:val="none" w:sz="0" w:space="0" w:color="auto"/>
        <w:left w:val="none" w:sz="0" w:space="0" w:color="auto"/>
        <w:bottom w:val="none" w:sz="0" w:space="0" w:color="auto"/>
        <w:right w:val="none" w:sz="0" w:space="0" w:color="auto"/>
      </w:divBdr>
    </w:div>
    <w:div w:id="395475282">
      <w:bodyDiv w:val="1"/>
      <w:marLeft w:val="0"/>
      <w:marRight w:val="0"/>
      <w:marTop w:val="0"/>
      <w:marBottom w:val="0"/>
      <w:divBdr>
        <w:top w:val="none" w:sz="0" w:space="0" w:color="auto"/>
        <w:left w:val="none" w:sz="0" w:space="0" w:color="auto"/>
        <w:bottom w:val="none" w:sz="0" w:space="0" w:color="auto"/>
        <w:right w:val="none" w:sz="0" w:space="0" w:color="auto"/>
      </w:divBdr>
    </w:div>
    <w:div w:id="396050080">
      <w:bodyDiv w:val="1"/>
      <w:marLeft w:val="0"/>
      <w:marRight w:val="0"/>
      <w:marTop w:val="0"/>
      <w:marBottom w:val="0"/>
      <w:divBdr>
        <w:top w:val="none" w:sz="0" w:space="0" w:color="auto"/>
        <w:left w:val="none" w:sz="0" w:space="0" w:color="auto"/>
        <w:bottom w:val="none" w:sz="0" w:space="0" w:color="auto"/>
        <w:right w:val="none" w:sz="0" w:space="0" w:color="auto"/>
      </w:divBdr>
    </w:div>
    <w:div w:id="396712525">
      <w:bodyDiv w:val="1"/>
      <w:marLeft w:val="0"/>
      <w:marRight w:val="0"/>
      <w:marTop w:val="0"/>
      <w:marBottom w:val="0"/>
      <w:divBdr>
        <w:top w:val="none" w:sz="0" w:space="0" w:color="auto"/>
        <w:left w:val="none" w:sz="0" w:space="0" w:color="auto"/>
        <w:bottom w:val="none" w:sz="0" w:space="0" w:color="auto"/>
        <w:right w:val="none" w:sz="0" w:space="0" w:color="auto"/>
      </w:divBdr>
    </w:div>
    <w:div w:id="409160681">
      <w:bodyDiv w:val="1"/>
      <w:marLeft w:val="0"/>
      <w:marRight w:val="0"/>
      <w:marTop w:val="0"/>
      <w:marBottom w:val="0"/>
      <w:divBdr>
        <w:top w:val="none" w:sz="0" w:space="0" w:color="auto"/>
        <w:left w:val="none" w:sz="0" w:space="0" w:color="auto"/>
        <w:bottom w:val="none" w:sz="0" w:space="0" w:color="auto"/>
        <w:right w:val="none" w:sz="0" w:space="0" w:color="auto"/>
      </w:divBdr>
    </w:div>
    <w:div w:id="412625589">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3819581">
      <w:bodyDiv w:val="1"/>
      <w:marLeft w:val="0"/>
      <w:marRight w:val="0"/>
      <w:marTop w:val="0"/>
      <w:marBottom w:val="0"/>
      <w:divBdr>
        <w:top w:val="none" w:sz="0" w:space="0" w:color="auto"/>
        <w:left w:val="none" w:sz="0" w:space="0" w:color="auto"/>
        <w:bottom w:val="none" w:sz="0" w:space="0" w:color="auto"/>
        <w:right w:val="none" w:sz="0" w:space="0" w:color="auto"/>
      </w:divBdr>
    </w:div>
    <w:div w:id="417602779">
      <w:bodyDiv w:val="1"/>
      <w:marLeft w:val="0"/>
      <w:marRight w:val="0"/>
      <w:marTop w:val="0"/>
      <w:marBottom w:val="0"/>
      <w:divBdr>
        <w:top w:val="none" w:sz="0" w:space="0" w:color="auto"/>
        <w:left w:val="none" w:sz="0" w:space="0" w:color="auto"/>
        <w:bottom w:val="none" w:sz="0" w:space="0" w:color="auto"/>
        <w:right w:val="none" w:sz="0" w:space="0" w:color="auto"/>
      </w:divBdr>
    </w:div>
    <w:div w:id="420030055">
      <w:bodyDiv w:val="1"/>
      <w:marLeft w:val="0"/>
      <w:marRight w:val="0"/>
      <w:marTop w:val="0"/>
      <w:marBottom w:val="0"/>
      <w:divBdr>
        <w:top w:val="none" w:sz="0" w:space="0" w:color="auto"/>
        <w:left w:val="none" w:sz="0" w:space="0" w:color="auto"/>
        <w:bottom w:val="none" w:sz="0" w:space="0" w:color="auto"/>
        <w:right w:val="none" w:sz="0" w:space="0" w:color="auto"/>
      </w:divBdr>
    </w:div>
    <w:div w:id="423691131">
      <w:bodyDiv w:val="1"/>
      <w:marLeft w:val="0"/>
      <w:marRight w:val="0"/>
      <w:marTop w:val="0"/>
      <w:marBottom w:val="0"/>
      <w:divBdr>
        <w:top w:val="none" w:sz="0" w:space="0" w:color="auto"/>
        <w:left w:val="none" w:sz="0" w:space="0" w:color="auto"/>
        <w:bottom w:val="none" w:sz="0" w:space="0" w:color="auto"/>
        <w:right w:val="none" w:sz="0" w:space="0" w:color="auto"/>
      </w:divBdr>
    </w:div>
    <w:div w:id="425275005">
      <w:bodyDiv w:val="1"/>
      <w:marLeft w:val="0"/>
      <w:marRight w:val="0"/>
      <w:marTop w:val="0"/>
      <w:marBottom w:val="0"/>
      <w:divBdr>
        <w:top w:val="none" w:sz="0" w:space="0" w:color="auto"/>
        <w:left w:val="none" w:sz="0" w:space="0" w:color="auto"/>
        <w:bottom w:val="none" w:sz="0" w:space="0" w:color="auto"/>
        <w:right w:val="none" w:sz="0" w:space="0" w:color="auto"/>
      </w:divBdr>
    </w:div>
    <w:div w:id="430706875">
      <w:bodyDiv w:val="1"/>
      <w:marLeft w:val="0"/>
      <w:marRight w:val="0"/>
      <w:marTop w:val="0"/>
      <w:marBottom w:val="0"/>
      <w:divBdr>
        <w:top w:val="none" w:sz="0" w:space="0" w:color="auto"/>
        <w:left w:val="none" w:sz="0" w:space="0" w:color="auto"/>
        <w:bottom w:val="none" w:sz="0" w:space="0" w:color="auto"/>
        <w:right w:val="none" w:sz="0" w:space="0" w:color="auto"/>
      </w:divBdr>
    </w:div>
    <w:div w:id="438263366">
      <w:bodyDiv w:val="1"/>
      <w:marLeft w:val="0"/>
      <w:marRight w:val="0"/>
      <w:marTop w:val="0"/>
      <w:marBottom w:val="0"/>
      <w:divBdr>
        <w:top w:val="none" w:sz="0" w:space="0" w:color="auto"/>
        <w:left w:val="none" w:sz="0" w:space="0" w:color="auto"/>
        <w:bottom w:val="none" w:sz="0" w:space="0" w:color="auto"/>
        <w:right w:val="none" w:sz="0" w:space="0" w:color="auto"/>
      </w:divBdr>
    </w:div>
    <w:div w:id="440613936">
      <w:bodyDiv w:val="1"/>
      <w:marLeft w:val="0"/>
      <w:marRight w:val="0"/>
      <w:marTop w:val="0"/>
      <w:marBottom w:val="0"/>
      <w:divBdr>
        <w:top w:val="none" w:sz="0" w:space="0" w:color="auto"/>
        <w:left w:val="none" w:sz="0" w:space="0" w:color="auto"/>
        <w:bottom w:val="none" w:sz="0" w:space="0" w:color="auto"/>
        <w:right w:val="none" w:sz="0" w:space="0" w:color="auto"/>
      </w:divBdr>
    </w:div>
    <w:div w:id="443497662">
      <w:bodyDiv w:val="1"/>
      <w:marLeft w:val="0"/>
      <w:marRight w:val="0"/>
      <w:marTop w:val="0"/>
      <w:marBottom w:val="0"/>
      <w:divBdr>
        <w:top w:val="none" w:sz="0" w:space="0" w:color="auto"/>
        <w:left w:val="none" w:sz="0" w:space="0" w:color="auto"/>
        <w:bottom w:val="none" w:sz="0" w:space="0" w:color="auto"/>
        <w:right w:val="none" w:sz="0" w:space="0" w:color="auto"/>
      </w:divBdr>
    </w:div>
    <w:div w:id="447041665">
      <w:bodyDiv w:val="1"/>
      <w:marLeft w:val="0"/>
      <w:marRight w:val="0"/>
      <w:marTop w:val="0"/>
      <w:marBottom w:val="0"/>
      <w:divBdr>
        <w:top w:val="none" w:sz="0" w:space="0" w:color="auto"/>
        <w:left w:val="none" w:sz="0" w:space="0" w:color="auto"/>
        <w:bottom w:val="none" w:sz="0" w:space="0" w:color="auto"/>
        <w:right w:val="none" w:sz="0" w:space="0" w:color="auto"/>
      </w:divBdr>
    </w:div>
    <w:div w:id="449209144">
      <w:bodyDiv w:val="1"/>
      <w:marLeft w:val="0"/>
      <w:marRight w:val="0"/>
      <w:marTop w:val="0"/>
      <w:marBottom w:val="0"/>
      <w:divBdr>
        <w:top w:val="none" w:sz="0" w:space="0" w:color="auto"/>
        <w:left w:val="none" w:sz="0" w:space="0" w:color="auto"/>
        <w:bottom w:val="none" w:sz="0" w:space="0" w:color="auto"/>
        <w:right w:val="none" w:sz="0" w:space="0" w:color="auto"/>
      </w:divBdr>
    </w:div>
    <w:div w:id="464279796">
      <w:bodyDiv w:val="1"/>
      <w:marLeft w:val="0"/>
      <w:marRight w:val="0"/>
      <w:marTop w:val="0"/>
      <w:marBottom w:val="0"/>
      <w:divBdr>
        <w:top w:val="none" w:sz="0" w:space="0" w:color="auto"/>
        <w:left w:val="none" w:sz="0" w:space="0" w:color="auto"/>
        <w:bottom w:val="none" w:sz="0" w:space="0" w:color="auto"/>
        <w:right w:val="none" w:sz="0" w:space="0" w:color="auto"/>
      </w:divBdr>
    </w:div>
    <w:div w:id="467282898">
      <w:bodyDiv w:val="1"/>
      <w:marLeft w:val="0"/>
      <w:marRight w:val="0"/>
      <w:marTop w:val="0"/>
      <w:marBottom w:val="0"/>
      <w:divBdr>
        <w:top w:val="none" w:sz="0" w:space="0" w:color="auto"/>
        <w:left w:val="none" w:sz="0" w:space="0" w:color="auto"/>
        <w:bottom w:val="none" w:sz="0" w:space="0" w:color="auto"/>
        <w:right w:val="none" w:sz="0" w:space="0" w:color="auto"/>
      </w:divBdr>
    </w:div>
    <w:div w:id="468977259">
      <w:bodyDiv w:val="1"/>
      <w:marLeft w:val="0"/>
      <w:marRight w:val="0"/>
      <w:marTop w:val="0"/>
      <w:marBottom w:val="0"/>
      <w:divBdr>
        <w:top w:val="none" w:sz="0" w:space="0" w:color="auto"/>
        <w:left w:val="none" w:sz="0" w:space="0" w:color="auto"/>
        <w:bottom w:val="none" w:sz="0" w:space="0" w:color="auto"/>
        <w:right w:val="none" w:sz="0" w:space="0" w:color="auto"/>
      </w:divBdr>
    </w:div>
    <w:div w:id="482236681">
      <w:bodyDiv w:val="1"/>
      <w:marLeft w:val="0"/>
      <w:marRight w:val="0"/>
      <w:marTop w:val="0"/>
      <w:marBottom w:val="0"/>
      <w:divBdr>
        <w:top w:val="none" w:sz="0" w:space="0" w:color="auto"/>
        <w:left w:val="none" w:sz="0" w:space="0" w:color="auto"/>
        <w:bottom w:val="none" w:sz="0" w:space="0" w:color="auto"/>
        <w:right w:val="none" w:sz="0" w:space="0" w:color="auto"/>
      </w:divBdr>
    </w:div>
    <w:div w:id="488252929">
      <w:bodyDiv w:val="1"/>
      <w:marLeft w:val="0"/>
      <w:marRight w:val="0"/>
      <w:marTop w:val="0"/>
      <w:marBottom w:val="0"/>
      <w:divBdr>
        <w:top w:val="none" w:sz="0" w:space="0" w:color="auto"/>
        <w:left w:val="none" w:sz="0" w:space="0" w:color="auto"/>
        <w:bottom w:val="none" w:sz="0" w:space="0" w:color="auto"/>
        <w:right w:val="none" w:sz="0" w:space="0" w:color="auto"/>
      </w:divBdr>
    </w:div>
    <w:div w:id="491721640">
      <w:bodyDiv w:val="1"/>
      <w:marLeft w:val="0"/>
      <w:marRight w:val="0"/>
      <w:marTop w:val="0"/>
      <w:marBottom w:val="0"/>
      <w:divBdr>
        <w:top w:val="none" w:sz="0" w:space="0" w:color="auto"/>
        <w:left w:val="none" w:sz="0" w:space="0" w:color="auto"/>
        <w:bottom w:val="none" w:sz="0" w:space="0" w:color="auto"/>
        <w:right w:val="none" w:sz="0" w:space="0" w:color="auto"/>
      </w:divBdr>
    </w:div>
    <w:div w:id="498926502">
      <w:bodyDiv w:val="1"/>
      <w:marLeft w:val="0"/>
      <w:marRight w:val="0"/>
      <w:marTop w:val="0"/>
      <w:marBottom w:val="0"/>
      <w:divBdr>
        <w:top w:val="none" w:sz="0" w:space="0" w:color="auto"/>
        <w:left w:val="none" w:sz="0" w:space="0" w:color="auto"/>
        <w:bottom w:val="none" w:sz="0" w:space="0" w:color="auto"/>
        <w:right w:val="none" w:sz="0" w:space="0" w:color="auto"/>
      </w:divBdr>
    </w:div>
    <w:div w:id="503593676">
      <w:bodyDiv w:val="1"/>
      <w:marLeft w:val="0"/>
      <w:marRight w:val="0"/>
      <w:marTop w:val="0"/>
      <w:marBottom w:val="0"/>
      <w:divBdr>
        <w:top w:val="none" w:sz="0" w:space="0" w:color="auto"/>
        <w:left w:val="none" w:sz="0" w:space="0" w:color="auto"/>
        <w:bottom w:val="none" w:sz="0" w:space="0" w:color="auto"/>
        <w:right w:val="none" w:sz="0" w:space="0" w:color="auto"/>
      </w:divBdr>
    </w:div>
    <w:div w:id="504980416">
      <w:bodyDiv w:val="1"/>
      <w:marLeft w:val="0"/>
      <w:marRight w:val="0"/>
      <w:marTop w:val="0"/>
      <w:marBottom w:val="0"/>
      <w:divBdr>
        <w:top w:val="none" w:sz="0" w:space="0" w:color="auto"/>
        <w:left w:val="none" w:sz="0" w:space="0" w:color="auto"/>
        <w:bottom w:val="none" w:sz="0" w:space="0" w:color="auto"/>
        <w:right w:val="none" w:sz="0" w:space="0" w:color="auto"/>
      </w:divBdr>
    </w:div>
    <w:div w:id="514347821">
      <w:bodyDiv w:val="1"/>
      <w:marLeft w:val="0"/>
      <w:marRight w:val="0"/>
      <w:marTop w:val="0"/>
      <w:marBottom w:val="0"/>
      <w:divBdr>
        <w:top w:val="none" w:sz="0" w:space="0" w:color="auto"/>
        <w:left w:val="none" w:sz="0" w:space="0" w:color="auto"/>
        <w:bottom w:val="none" w:sz="0" w:space="0" w:color="auto"/>
        <w:right w:val="none" w:sz="0" w:space="0" w:color="auto"/>
      </w:divBdr>
    </w:div>
    <w:div w:id="518200293">
      <w:bodyDiv w:val="1"/>
      <w:marLeft w:val="0"/>
      <w:marRight w:val="0"/>
      <w:marTop w:val="0"/>
      <w:marBottom w:val="0"/>
      <w:divBdr>
        <w:top w:val="none" w:sz="0" w:space="0" w:color="auto"/>
        <w:left w:val="none" w:sz="0" w:space="0" w:color="auto"/>
        <w:bottom w:val="none" w:sz="0" w:space="0" w:color="auto"/>
        <w:right w:val="none" w:sz="0" w:space="0" w:color="auto"/>
      </w:divBdr>
    </w:div>
    <w:div w:id="522940942">
      <w:bodyDiv w:val="1"/>
      <w:marLeft w:val="0"/>
      <w:marRight w:val="0"/>
      <w:marTop w:val="0"/>
      <w:marBottom w:val="0"/>
      <w:divBdr>
        <w:top w:val="none" w:sz="0" w:space="0" w:color="auto"/>
        <w:left w:val="none" w:sz="0" w:space="0" w:color="auto"/>
        <w:bottom w:val="none" w:sz="0" w:space="0" w:color="auto"/>
        <w:right w:val="none" w:sz="0" w:space="0" w:color="auto"/>
      </w:divBdr>
    </w:div>
    <w:div w:id="540016694">
      <w:bodyDiv w:val="1"/>
      <w:marLeft w:val="0"/>
      <w:marRight w:val="0"/>
      <w:marTop w:val="0"/>
      <w:marBottom w:val="0"/>
      <w:divBdr>
        <w:top w:val="none" w:sz="0" w:space="0" w:color="auto"/>
        <w:left w:val="none" w:sz="0" w:space="0" w:color="auto"/>
        <w:bottom w:val="none" w:sz="0" w:space="0" w:color="auto"/>
        <w:right w:val="none" w:sz="0" w:space="0" w:color="auto"/>
      </w:divBdr>
    </w:div>
    <w:div w:id="540216133">
      <w:bodyDiv w:val="1"/>
      <w:marLeft w:val="0"/>
      <w:marRight w:val="0"/>
      <w:marTop w:val="0"/>
      <w:marBottom w:val="0"/>
      <w:divBdr>
        <w:top w:val="none" w:sz="0" w:space="0" w:color="auto"/>
        <w:left w:val="none" w:sz="0" w:space="0" w:color="auto"/>
        <w:bottom w:val="none" w:sz="0" w:space="0" w:color="auto"/>
        <w:right w:val="none" w:sz="0" w:space="0" w:color="auto"/>
      </w:divBdr>
    </w:div>
    <w:div w:id="544680265">
      <w:bodyDiv w:val="1"/>
      <w:marLeft w:val="0"/>
      <w:marRight w:val="0"/>
      <w:marTop w:val="0"/>
      <w:marBottom w:val="0"/>
      <w:divBdr>
        <w:top w:val="none" w:sz="0" w:space="0" w:color="auto"/>
        <w:left w:val="none" w:sz="0" w:space="0" w:color="auto"/>
        <w:bottom w:val="none" w:sz="0" w:space="0" w:color="auto"/>
        <w:right w:val="none" w:sz="0" w:space="0" w:color="auto"/>
      </w:divBdr>
    </w:div>
    <w:div w:id="549027420">
      <w:bodyDiv w:val="1"/>
      <w:marLeft w:val="0"/>
      <w:marRight w:val="0"/>
      <w:marTop w:val="0"/>
      <w:marBottom w:val="0"/>
      <w:divBdr>
        <w:top w:val="none" w:sz="0" w:space="0" w:color="auto"/>
        <w:left w:val="none" w:sz="0" w:space="0" w:color="auto"/>
        <w:bottom w:val="none" w:sz="0" w:space="0" w:color="auto"/>
        <w:right w:val="none" w:sz="0" w:space="0" w:color="auto"/>
      </w:divBdr>
    </w:div>
    <w:div w:id="552543667">
      <w:bodyDiv w:val="1"/>
      <w:marLeft w:val="0"/>
      <w:marRight w:val="0"/>
      <w:marTop w:val="0"/>
      <w:marBottom w:val="0"/>
      <w:divBdr>
        <w:top w:val="none" w:sz="0" w:space="0" w:color="auto"/>
        <w:left w:val="none" w:sz="0" w:space="0" w:color="auto"/>
        <w:bottom w:val="none" w:sz="0" w:space="0" w:color="auto"/>
        <w:right w:val="none" w:sz="0" w:space="0" w:color="auto"/>
      </w:divBdr>
    </w:div>
    <w:div w:id="555776851">
      <w:bodyDiv w:val="1"/>
      <w:marLeft w:val="0"/>
      <w:marRight w:val="0"/>
      <w:marTop w:val="0"/>
      <w:marBottom w:val="0"/>
      <w:divBdr>
        <w:top w:val="none" w:sz="0" w:space="0" w:color="auto"/>
        <w:left w:val="none" w:sz="0" w:space="0" w:color="auto"/>
        <w:bottom w:val="none" w:sz="0" w:space="0" w:color="auto"/>
        <w:right w:val="none" w:sz="0" w:space="0" w:color="auto"/>
      </w:divBdr>
    </w:div>
    <w:div w:id="555899017">
      <w:bodyDiv w:val="1"/>
      <w:marLeft w:val="0"/>
      <w:marRight w:val="0"/>
      <w:marTop w:val="0"/>
      <w:marBottom w:val="0"/>
      <w:divBdr>
        <w:top w:val="none" w:sz="0" w:space="0" w:color="auto"/>
        <w:left w:val="none" w:sz="0" w:space="0" w:color="auto"/>
        <w:bottom w:val="none" w:sz="0" w:space="0" w:color="auto"/>
        <w:right w:val="none" w:sz="0" w:space="0" w:color="auto"/>
      </w:divBdr>
    </w:div>
    <w:div w:id="559899581">
      <w:bodyDiv w:val="1"/>
      <w:marLeft w:val="0"/>
      <w:marRight w:val="0"/>
      <w:marTop w:val="0"/>
      <w:marBottom w:val="0"/>
      <w:divBdr>
        <w:top w:val="none" w:sz="0" w:space="0" w:color="auto"/>
        <w:left w:val="none" w:sz="0" w:space="0" w:color="auto"/>
        <w:bottom w:val="none" w:sz="0" w:space="0" w:color="auto"/>
        <w:right w:val="none" w:sz="0" w:space="0" w:color="auto"/>
      </w:divBdr>
    </w:div>
    <w:div w:id="559905390">
      <w:bodyDiv w:val="1"/>
      <w:marLeft w:val="0"/>
      <w:marRight w:val="0"/>
      <w:marTop w:val="0"/>
      <w:marBottom w:val="0"/>
      <w:divBdr>
        <w:top w:val="none" w:sz="0" w:space="0" w:color="auto"/>
        <w:left w:val="none" w:sz="0" w:space="0" w:color="auto"/>
        <w:bottom w:val="none" w:sz="0" w:space="0" w:color="auto"/>
        <w:right w:val="none" w:sz="0" w:space="0" w:color="auto"/>
      </w:divBdr>
    </w:div>
    <w:div w:id="561138194">
      <w:bodyDiv w:val="1"/>
      <w:marLeft w:val="0"/>
      <w:marRight w:val="0"/>
      <w:marTop w:val="0"/>
      <w:marBottom w:val="0"/>
      <w:divBdr>
        <w:top w:val="none" w:sz="0" w:space="0" w:color="auto"/>
        <w:left w:val="none" w:sz="0" w:space="0" w:color="auto"/>
        <w:bottom w:val="none" w:sz="0" w:space="0" w:color="auto"/>
        <w:right w:val="none" w:sz="0" w:space="0" w:color="auto"/>
      </w:divBdr>
    </w:div>
    <w:div w:id="563562098">
      <w:bodyDiv w:val="1"/>
      <w:marLeft w:val="0"/>
      <w:marRight w:val="0"/>
      <w:marTop w:val="0"/>
      <w:marBottom w:val="0"/>
      <w:divBdr>
        <w:top w:val="none" w:sz="0" w:space="0" w:color="auto"/>
        <w:left w:val="none" w:sz="0" w:space="0" w:color="auto"/>
        <w:bottom w:val="none" w:sz="0" w:space="0" w:color="auto"/>
        <w:right w:val="none" w:sz="0" w:space="0" w:color="auto"/>
      </w:divBdr>
    </w:div>
    <w:div w:id="567888870">
      <w:bodyDiv w:val="1"/>
      <w:marLeft w:val="0"/>
      <w:marRight w:val="0"/>
      <w:marTop w:val="0"/>
      <w:marBottom w:val="0"/>
      <w:divBdr>
        <w:top w:val="none" w:sz="0" w:space="0" w:color="auto"/>
        <w:left w:val="none" w:sz="0" w:space="0" w:color="auto"/>
        <w:bottom w:val="none" w:sz="0" w:space="0" w:color="auto"/>
        <w:right w:val="none" w:sz="0" w:space="0" w:color="auto"/>
      </w:divBdr>
    </w:div>
    <w:div w:id="571700233">
      <w:bodyDiv w:val="1"/>
      <w:marLeft w:val="0"/>
      <w:marRight w:val="0"/>
      <w:marTop w:val="0"/>
      <w:marBottom w:val="0"/>
      <w:divBdr>
        <w:top w:val="none" w:sz="0" w:space="0" w:color="auto"/>
        <w:left w:val="none" w:sz="0" w:space="0" w:color="auto"/>
        <w:bottom w:val="none" w:sz="0" w:space="0" w:color="auto"/>
        <w:right w:val="none" w:sz="0" w:space="0" w:color="auto"/>
      </w:divBdr>
    </w:div>
    <w:div w:id="571768565">
      <w:bodyDiv w:val="1"/>
      <w:marLeft w:val="0"/>
      <w:marRight w:val="0"/>
      <w:marTop w:val="0"/>
      <w:marBottom w:val="0"/>
      <w:divBdr>
        <w:top w:val="none" w:sz="0" w:space="0" w:color="auto"/>
        <w:left w:val="none" w:sz="0" w:space="0" w:color="auto"/>
        <w:bottom w:val="none" w:sz="0" w:space="0" w:color="auto"/>
        <w:right w:val="none" w:sz="0" w:space="0" w:color="auto"/>
      </w:divBdr>
    </w:div>
    <w:div w:id="578053316">
      <w:bodyDiv w:val="1"/>
      <w:marLeft w:val="0"/>
      <w:marRight w:val="0"/>
      <w:marTop w:val="0"/>
      <w:marBottom w:val="0"/>
      <w:divBdr>
        <w:top w:val="none" w:sz="0" w:space="0" w:color="auto"/>
        <w:left w:val="none" w:sz="0" w:space="0" w:color="auto"/>
        <w:bottom w:val="none" w:sz="0" w:space="0" w:color="auto"/>
        <w:right w:val="none" w:sz="0" w:space="0" w:color="auto"/>
      </w:divBdr>
    </w:div>
    <w:div w:id="580062174">
      <w:bodyDiv w:val="1"/>
      <w:marLeft w:val="0"/>
      <w:marRight w:val="0"/>
      <w:marTop w:val="0"/>
      <w:marBottom w:val="0"/>
      <w:divBdr>
        <w:top w:val="none" w:sz="0" w:space="0" w:color="auto"/>
        <w:left w:val="none" w:sz="0" w:space="0" w:color="auto"/>
        <w:bottom w:val="none" w:sz="0" w:space="0" w:color="auto"/>
        <w:right w:val="none" w:sz="0" w:space="0" w:color="auto"/>
      </w:divBdr>
    </w:div>
    <w:div w:id="590896329">
      <w:bodyDiv w:val="1"/>
      <w:marLeft w:val="0"/>
      <w:marRight w:val="0"/>
      <w:marTop w:val="0"/>
      <w:marBottom w:val="0"/>
      <w:divBdr>
        <w:top w:val="none" w:sz="0" w:space="0" w:color="auto"/>
        <w:left w:val="none" w:sz="0" w:space="0" w:color="auto"/>
        <w:bottom w:val="none" w:sz="0" w:space="0" w:color="auto"/>
        <w:right w:val="none" w:sz="0" w:space="0" w:color="auto"/>
      </w:divBdr>
    </w:div>
    <w:div w:id="593056690">
      <w:bodyDiv w:val="1"/>
      <w:marLeft w:val="0"/>
      <w:marRight w:val="0"/>
      <w:marTop w:val="0"/>
      <w:marBottom w:val="0"/>
      <w:divBdr>
        <w:top w:val="none" w:sz="0" w:space="0" w:color="auto"/>
        <w:left w:val="none" w:sz="0" w:space="0" w:color="auto"/>
        <w:bottom w:val="none" w:sz="0" w:space="0" w:color="auto"/>
        <w:right w:val="none" w:sz="0" w:space="0" w:color="auto"/>
      </w:divBdr>
    </w:div>
    <w:div w:id="593904276">
      <w:bodyDiv w:val="1"/>
      <w:marLeft w:val="0"/>
      <w:marRight w:val="0"/>
      <w:marTop w:val="0"/>
      <w:marBottom w:val="0"/>
      <w:divBdr>
        <w:top w:val="none" w:sz="0" w:space="0" w:color="auto"/>
        <w:left w:val="none" w:sz="0" w:space="0" w:color="auto"/>
        <w:bottom w:val="none" w:sz="0" w:space="0" w:color="auto"/>
        <w:right w:val="none" w:sz="0" w:space="0" w:color="auto"/>
      </w:divBdr>
    </w:div>
    <w:div w:id="595332896">
      <w:bodyDiv w:val="1"/>
      <w:marLeft w:val="0"/>
      <w:marRight w:val="0"/>
      <w:marTop w:val="0"/>
      <w:marBottom w:val="0"/>
      <w:divBdr>
        <w:top w:val="none" w:sz="0" w:space="0" w:color="auto"/>
        <w:left w:val="none" w:sz="0" w:space="0" w:color="auto"/>
        <w:bottom w:val="none" w:sz="0" w:space="0" w:color="auto"/>
        <w:right w:val="none" w:sz="0" w:space="0" w:color="auto"/>
      </w:divBdr>
    </w:div>
    <w:div w:id="596208052">
      <w:bodyDiv w:val="1"/>
      <w:marLeft w:val="0"/>
      <w:marRight w:val="0"/>
      <w:marTop w:val="0"/>
      <w:marBottom w:val="0"/>
      <w:divBdr>
        <w:top w:val="none" w:sz="0" w:space="0" w:color="auto"/>
        <w:left w:val="none" w:sz="0" w:space="0" w:color="auto"/>
        <w:bottom w:val="none" w:sz="0" w:space="0" w:color="auto"/>
        <w:right w:val="none" w:sz="0" w:space="0" w:color="auto"/>
      </w:divBdr>
    </w:div>
    <w:div w:id="597757639">
      <w:bodyDiv w:val="1"/>
      <w:marLeft w:val="0"/>
      <w:marRight w:val="0"/>
      <w:marTop w:val="0"/>
      <w:marBottom w:val="0"/>
      <w:divBdr>
        <w:top w:val="none" w:sz="0" w:space="0" w:color="auto"/>
        <w:left w:val="none" w:sz="0" w:space="0" w:color="auto"/>
        <w:bottom w:val="none" w:sz="0" w:space="0" w:color="auto"/>
        <w:right w:val="none" w:sz="0" w:space="0" w:color="auto"/>
      </w:divBdr>
    </w:div>
    <w:div w:id="612250190">
      <w:bodyDiv w:val="1"/>
      <w:marLeft w:val="0"/>
      <w:marRight w:val="0"/>
      <w:marTop w:val="0"/>
      <w:marBottom w:val="0"/>
      <w:divBdr>
        <w:top w:val="none" w:sz="0" w:space="0" w:color="auto"/>
        <w:left w:val="none" w:sz="0" w:space="0" w:color="auto"/>
        <w:bottom w:val="none" w:sz="0" w:space="0" w:color="auto"/>
        <w:right w:val="none" w:sz="0" w:space="0" w:color="auto"/>
      </w:divBdr>
    </w:div>
    <w:div w:id="627206464">
      <w:bodyDiv w:val="1"/>
      <w:marLeft w:val="0"/>
      <w:marRight w:val="0"/>
      <w:marTop w:val="0"/>
      <w:marBottom w:val="0"/>
      <w:divBdr>
        <w:top w:val="none" w:sz="0" w:space="0" w:color="auto"/>
        <w:left w:val="none" w:sz="0" w:space="0" w:color="auto"/>
        <w:bottom w:val="none" w:sz="0" w:space="0" w:color="auto"/>
        <w:right w:val="none" w:sz="0" w:space="0" w:color="auto"/>
      </w:divBdr>
    </w:div>
    <w:div w:id="630137954">
      <w:bodyDiv w:val="1"/>
      <w:marLeft w:val="0"/>
      <w:marRight w:val="0"/>
      <w:marTop w:val="0"/>
      <w:marBottom w:val="0"/>
      <w:divBdr>
        <w:top w:val="none" w:sz="0" w:space="0" w:color="auto"/>
        <w:left w:val="none" w:sz="0" w:space="0" w:color="auto"/>
        <w:bottom w:val="none" w:sz="0" w:space="0" w:color="auto"/>
        <w:right w:val="none" w:sz="0" w:space="0" w:color="auto"/>
      </w:divBdr>
    </w:div>
    <w:div w:id="639506769">
      <w:bodyDiv w:val="1"/>
      <w:marLeft w:val="0"/>
      <w:marRight w:val="0"/>
      <w:marTop w:val="0"/>
      <w:marBottom w:val="0"/>
      <w:divBdr>
        <w:top w:val="none" w:sz="0" w:space="0" w:color="auto"/>
        <w:left w:val="none" w:sz="0" w:space="0" w:color="auto"/>
        <w:bottom w:val="none" w:sz="0" w:space="0" w:color="auto"/>
        <w:right w:val="none" w:sz="0" w:space="0" w:color="auto"/>
      </w:divBdr>
    </w:div>
    <w:div w:id="655648781">
      <w:bodyDiv w:val="1"/>
      <w:marLeft w:val="0"/>
      <w:marRight w:val="0"/>
      <w:marTop w:val="0"/>
      <w:marBottom w:val="0"/>
      <w:divBdr>
        <w:top w:val="none" w:sz="0" w:space="0" w:color="auto"/>
        <w:left w:val="none" w:sz="0" w:space="0" w:color="auto"/>
        <w:bottom w:val="none" w:sz="0" w:space="0" w:color="auto"/>
        <w:right w:val="none" w:sz="0" w:space="0" w:color="auto"/>
      </w:divBdr>
    </w:div>
    <w:div w:id="688144828">
      <w:bodyDiv w:val="1"/>
      <w:marLeft w:val="0"/>
      <w:marRight w:val="0"/>
      <w:marTop w:val="0"/>
      <w:marBottom w:val="0"/>
      <w:divBdr>
        <w:top w:val="none" w:sz="0" w:space="0" w:color="auto"/>
        <w:left w:val="none" w:sz="0" w:space="0" w:color="auto"/>
        <w:bottom w:val="none" w:sz="0" w:space="0" w:color="auto"/>
        <w:right w:val="none" w:sz="0" w:space="0" w:color="auto"/>
      </w:divBdr>
    </w:div>
    <w:div w:id="688334481">
      <w:bodyDiv w:val="1"/>
      <w:marLeft w:val="0"/>
      <w:marRight w:val="0"/>
      <w:marTop w:val="0"/>
      <w:marBottom w:val="0"/>
      <w:divBdr>
        <w:top w:val="none" w:sz="0" w:space="0" w:color="auto"/>
        <w:left w:val="none" w:sz="0" w:space="0" w:color="auto"/>
        <w:bottom w:val="none" w:sz="0" w:space="0" w:color="auto"/>
        <w:right w:val="none" w:sz="0" w:space="0" w:color="auto"/>
      </w:divBdr>
    </w:div>
    <w:div w:id="699627076">
      <w:bodyDiv w:val="1"/>
      <w:marLeft w:val="0"/>
      <w:marRight w:val="0"/>
      <w:marTop w:val="0"/>
      <w:marBottom w:val="0"/>
      <w:divBdr>
        <w:top w:val="none" w:sz="0" w:space="0" w:color="auto"/>
        <w:left w:val="none" w:sz="0" w:space="0" w:color="auto"/>
        <w:bottom w:val="none" w:sz="0" w:space="0" w:color="auto"/>
        <w:right w:val="none" w:sz="0" w:space="0" w:color="auto"/>
      </w:divBdr>
    </w:div>
    <w:div w:id="702754709">
      <w:bodyDiv w:val="1"/>
      <w:marLeft w:val="0"/>
      <w:marRight w:val="0"/>
      <w:marTop w:val="0"/>
      <w:marBottom w:val="0"/>
      <w:divBdr>
        <w:top w:val="none" w:sz="0" w:space="0" w:color="auto"/>
        <w:left w:val="none" w:sz="0" w:space="0" w:color="auto"/>
        <w:bottom w:val="none" w:sz="0" w:space="0" w:color="auto"/>
        <w:right w:val="none" w:sz="0" w:space="0" w:color="auto"/>
      </w:divBdr>
    </w:div>
    <w:div w:id="706490873">
      <w:bodyDiv w:val="1"/>
      <w:marLeft w:val="0"/>
      <w:marRight w:val="0"/>
      <w:marTop w:val="0"/>
      <w:marBottom w:val="0"/>
      <w:divBdr>
        <w:top w:val="none" w:sz="0" w:space="0" w:color="auto"/>
        <w:left w:val="none" w:sz="0" w:space="0" w:color="auto"/>
        <w:bottom w:val="none" w:sz="0" w:space="0" w:color="auto"/>
        <w:right w:val="none" w:sz="0" w:space="0" w:color="auto"/>
      </w:divBdr>
    </w:div>
    <w:div w:id="706760638">
      <w:bodyDiv w:val="1"/>
      <w:marLeft w:val="0"/>
      <w:marRight w:val="0"/>
      <w:marTop w:val="0"/>
      <w:marBottom w:val="0"/>
      <w:divBdr>
        <w:top w:val="none" w:sz="0" w:space="0" w:color="auto"/>
        <w:left w:val="none" w:sz="0" w:space="0" w:color="auto"/>
        <w:bottom w:val="none" w:sz="0" w:space="0" w:color="auto"/>
        <w:right w:val="none" w:sz="0" w:space="0" w:color="auto"/>
      </w:divBdr>
    </w:div>
    <w:div w:id="712922972">
      <w:bodyDiv w:val="1"/>
      <w:marLeft w:val="0"/>
      <w:marRight w:val="0"/>
      <w:marTop w:val="0"/>
      <w:marBottom w:val="0"/>
      <w:divBdr>
        <w:top w:val="none" w:sz="0" w:space="0" w:color="auto"/>
        <w:left w:val="none" w:sz="0" w:space="0" w:color="auto"/>
        <w:bottom w:val="none" w:sz="0" w:space="0" w:color="auto"/>
        <w:right w:val="none" w:sz="0" w:space="0" w:color="auto"/>
      </w:divBdr>
    </w:div>
    <w:div w:id="716709468">
      <w:bodyDiv w:val="1"/>
      <w:marLeft w:val="0"/>
      <w:marRight w:val="0"/>
      <w:marTop w:val="0"/>
      <w:marBottom w:val="0"/>
      <w:divBdr>
        <w:top w:val="none" w:sz="0" w:space="0" w:color="auto"/>
        <w:left w:val="none" w:sz="0" w:space="0" w:color="auto"/>
        <w:bottom w:val="none" w:sz="0" w:space="0" w:color="auto"/>
        <w:right w:val="none" w:sz="0" w:space="0" w:color="auto"/>
      </w:divBdr>
    </w:div>
    <w:div w:id="726296865">
      <w:bodyDiv w:val="1"/>
      <w:marLeft w:val="0"/>
      <w:marRight w:val="0"/>
      <w:marTop w:val="0"/>
      <w:marBottom w:val="0"/>
      <w:divBdr>
        <w:top w:val="none" w:sz="0" w:space="0" w:color="auto"/>
        <w:left w:val="none" w:sz="0" w:space="0" w:color="auto"/>
        <w:bottom w:val="none" w:sz="0" w:space="0" w:color="auto"/>
        <w:right w:val="none" w:sz="0" w:space="0" w:color="auto"/>
      </w:divBdr>
    </w:div>
    <w:div w:id="730277447">
      <w:bodyDiv w:val="1"/>
      <w:marLeft w:val="0"/>
      <w:marRight w:val="0"/>
      <w:marTop w:val="0"/>
      <w:marBottom w:val="0"/>
      <w:divBdr>
        <w:top w:val="none" w:sz="0" w:space="0" w:color="auto"/>
        <w:left w:val="none" w:sz="0" w:space="0" w:color="auto"/>
        <w:bottom w:val="none" w:sz="0" w:space="0" w:color="auto"/>
        <w:right w:val="none" w:sz="0" w:space="0" w:color="auto"/>
      </w:divBdr>
    </w:div>
    <w:div w:id="737438693">
      <w:bodyDiv w:val="1"/>
      <w:marLeft w:val="0"/>
      <w:marRight w:val="0"/>
      <w:marTop w:val="0"/>
      <w:marBottom w:val="0"/>
      <w:divBdr>
        <w:top w:val="none" w:sz="0" w:space="0" w:color="auto"/>
        <w:left w:val="none" w:sz="0" w:space="0" w:color="auto"/>
        <w:bottom w:val="none" w:sz="0" w:space="0" w:color="auto"/>
        <w:right w:val="none" w:sz="0" w:space="0" w:color="auto"/>
      </w:divBdr>
    </w:div>
    <w:div w:id="745346073">
      <w:bodyDiv w:val="1"/>
      <w:marLeft w:val="0"/>
      <w:marRight w:val="0"/>
      <w:marTop w:val="0"/>
      <w:marBottom w:val="0"/>
      <w:divBdr>
        <w:top w:val="none" w:sz="0" w:space="0" w:color="auto"/>
        <w:left w:val="none" w:sz="0" w:space="0" w:color="auto"/>
        <w:bottom w:val="none" w:sz="0" w:space="0" w:color="auto"/>
        <w:right w:val="none" w:sz="0" w:space="0" w:color="auto"/>
      </w:divBdr>
    </w:div>
    <w:div w:id="748115990">
      <w:bodyDiv w:val="1"/>
      <w:marLeft w:val="0"/>
      <w:marRight w:val="0"/>
      <w:marTop w:val="0"/>
      <w:marBottom w:val="0"/>
      <w:divBdr>
        <w:top w:val="none" w:sz="0" w:space="0" w:color="auto"/>
        <w:left w:val="none" w:sz="0" w:space="0" w:color="auto"/>
        <w:bottom w:val="none" w:sz="0" w:space="0" w:color="auto"/>
        <w:right w:val="none" w:sz="0" w:space="0" w:color="auto"/>
      </w:divBdr>
    </w:div>
    <w:div w:id="750614945">
      <w:bodyDiv w:val="1"/>
      <w:marLeft w:val="0"/>
      <w:marRight w:val="0"/>
      <w:marTop w:val="0"/>
      <w:marBottom w:val="0"/>
      <w:divBdr>
        <w:top w:val="none" w:sz="0" w:space="0" w:color="auto"/>
        <w:left w:val="none" w:sz="0" w:space="0" w:color="auto"/>
        <w:bottom w:val="none" w:sz="0" w:space="0" w:color="auto"/>
        <w:right w:val="none" w:sz="0" w:space="0" w:color="auto"/>
      </w:divBdr>
    </w:div>
    <w:div w:id="750738545">
      <w:bodyDiv w:val="1"/>
      <w:marLeft w:val="0"/>
      <w:marRight w:val="0"/>
      <w:marTop w:val="0"/>
      <w:marBottom w:val="0"/>
      <w:divBdr>
        <w:top w:val="none" w:sz="0" w:space="0" w:color="auto"/>
        <w:left w:val="none" w:sz="0" w:space="0" w:color="auto"/>
        <w:bottom w:val="none" w:sz="0" w:space="0" w:color="auto"/>
        <w:right w:val="none" w:sz="0" w:space="0" w:color="auto"/>
      </w:divBdr>
    </w:div>
    <w:div w:id="751581750">
      <w:bodyDiv w:val="1"/>
      <w:marLeft w:val="0"/>
      <w:marRight w:val="0"/>
      <w:marTop w:val="0"/>
      <w:marBottom w:val="0"/>
      <w:divBdr>
        <w:top w:val="none" w:sz="0" w:space="0" w:color="auto"/>
        <w:left w:val="none" w:sz="0" w:space="0" w:color="auto"/>
        <w:bottom w:val="none" w:sz="0" w:space="0" w:color="auto"/>
        <w:right w:val="none" w:sz="0" w:space="0" w:color="auto"/>
      </w:divBdr>
    </w:div>
    <w:div w:id="754327457">
      <w:bodyDiv w:val="1"/>
      <w:marLeft w:val="0"/>
      <w:marRight w:val="0"/>
      <w:marTop w:val="0"/>
      <w:marBottom w:val="0"/>
      <w:divBdr>
        <w:top w:val="none" w:sz="0" w:space="0" w:color="auto"/>
        <w:left w:val="none" w:sz="0" w:space="0" w:color="auto"/>
        <w:bottom w:val="none" w:sz="0" w:space="0" w:color="auto"/>
        <w:right w:val="none" w:sz="0" w:space="0" w:color="auto"/>
      </w:divBdr>
    </w:div>
    <w:div w:id="754666439">
      <w:bodyDiv w:val="1"/>
      <w:marLeft w:val="0"/>
      <w:marRight w:val="0"/>
      <w:marTop w:val="0"/>
      <w:marBottom w:val="0"/>
      <w:divBdr>
        <w:top w:val="none" w:sz="0" w:space="0" w:color="auto"/>
        <w:left w:val="none" w:sz="0" w:space="0" w:color="auto"/>
        <w:bottom w:val="none" w:sz="0" w:space="0" w:color="auto"/>
        <w:right w:val="none" w:sz="0" w:space="0" w:color="auto"/>
      </w:divBdr>
    </w:div>
    <w:div w:id="758255698">
      <w:bodyDiv w:val="1"/>
      <w:marLeft w:val="0"/>
      <w:marRight w:val="0"/>
      <w:marTop w:val="0"/>
      <w:marBottom w:val="0"/>
      <w:divBdr>
        <w:top w:val="none" w:sz="0" w:space="0" w:color="auto"/>
        <w:left w:val="none" w:sz="0" w:space="0" w:color="auto"/>
        <w:bottom w:val="none" w:sz="0" w:space="0" w:color="auto"/>
        <w:right w:val="none" w:sz="0" w:space="0" w:color="auto"/>
      </w:divBdr>
    </w:div>
    <w:div w:id="758335887">
      <w:bodyDiv w:val="1"/>
      <w:marLeft w:val="0"/>
      <w:marRight w:val="0"/>
      <w:marTop w:val="0"/>
      <w:marBottom w:val="0"/>
      <w:divBdr>
        <w:top w:val="none" w:sz="0" w:space="0" w:color="auto"/>
        <w:left w:val="none" w:sz="0" w:space="0" w:color="auto"/>
        <w:bottom w:val="none" w:sz="0" w:space="0" w:color="auto"/>
        <w:right w:val="none" w:sz="0" w:space="0" w:color="auto"/>
      </w:divBdr>
    </w:div>
    <w:div w:id="761074882">
      <w:bodyDiv w:val="1"/>
      <w:marLeft w:val="0"/>
      <w:marRight w:val="0"/>
      <w:marTop w:val="0"/>
      <w:marBottom w:val="0"/>
      <w:divBdr>
        <w:top w:val="none" w:sz="0" w:space="0" w:color="auto"/>
        <w:left w:val="none" w:sz="0" w:space="0" w:color="auto"/>
        <w:bottom w:val="none" w:sz="0" w:space="0" w:color="auto"/>
        <w:right w:val="none" w:sz="0" w:space="0" w:color="auto"/>
      </w:divBdr>
    </w:div>
    <w:div w:id="768550117">
      <w:bodyDiv w:val="1"/>
      <w:marLeft w:val="0"/>
      <w:marRight w:val="0"/>
      <w:marTop w:val="0"/>
      <w:marBottom w:val="0"/>
      <w:divBdr>
        <w:top w:val="none" w:sz="0" w:space="0" w:color="auto"/>
        <w:left w:val="none" w:sz="0" w:space="0" w:color="auto"/>
        <w:bottom w:val="none" w:sz="0" w:space="0" w:color="auto"/>
        <w:right w:val="none" w:sz="0" w:space="0" w:color="auto"/>
      </w:divBdr>
    </w:div>
    <w:div w:id="770395752">
      <w:bodyDiv w:val="1"/>
      <w:marLeft w:val="0"/>
      <w:marRight w:val="0"/>
      <w:marTop w:val="0"/>
      <w:marBottom w:val="0"/>
      <w:divBdr>
        <w:top w:val="none" w:sz="0" w:space="0" w:color="auto"/>
        <w:left w:val="none" w:sz="0" w:space="0" w:color="auto"/>
        <w:bottom w:val="none" w:sz="0" w:space="0" w:color="auto"/>
        <w:right w:val="none" w:sz="0" w:space="0" w:color="auto"/>
      </w:divBdr>
    </w:div>
    <w:div w:id="783964081">
      <w:bodyDiv w:val="1"/>
      <w:marLeft w:val="0"/>
      <w:marRight w:val="0"/>
      <w:marTop w:val="0"/>
      <w:marBottom w:val="0"/>
      <w:divBdr>
        <w:top w:val="none" w:sz="0" w:space="0" w:color="auto"/>
        <w:left w:val="none" w:sz="0" w:space="0" w:color="auto"/>
        <w:bottom w:val="none" w:sz="0" w:space="0" w:color="auto"/>
        <w:right w:val="none" w:sz="0" w:space="0" w:color="auto"/>
      </w:divBdr>
    </w:div>
    <w:div w:id="787355613">
      <w:bodyDiv w:val="1"/>
      <w:marLeft w:val="0"/>
      <w:marRight w:val="0"/>
      <w:marTop w:val="0"/>
      <w:marBottom w:val="0"/>
      <w:divBdr>
        <w:top w:val="none" w:sz="0" w:space="0" w:color="auto"/>
        <w:left w:val="none" w:sz="0" w:space="0" w:color="auto"/>
        <w:bottom w:val="none" w:sz="0" w:space="0" w:color="auto"/>
        <w:right w:val="none" w:sz="0" w:space="0" w:color="auto"/>
      </w:divBdr>
    </w:div>
    <w:div w:id="793790218">
      <w:bodyDiv w:val="1"/>
      <w:marLeft w:val="0"/>
      <w:marRight w:val="0"/>
      <w:marTop w:val="0"/>
      <w:marBottom w:val="0"/>
      <w:divBdr>
        <w:top w:val="none" w:sz="0" w:space="0" w:color="auto"/>
        <w:left w:val="none" w:sz="0" w:space="0" w:color="auto"/>
        <w:bottom w:val="none" w:sz="0" w:space="0" w:color="auto"/>
        <w:right w:val="none" w:sz="0" w:space="0" w:color="auto"/>
      </w:divBdr>
    </w:div>
    <w:div w:id="794828984">
      <w:bodyDiv w:val="1"/>
      <w:marLeft w:val="0"/>
      <w:marRight w:val="0"/>
      <w:marTop w:val="0"/>
      <w:marBottom w:val="0"/>
      <w:divBdr>
        <w:top w:val="none" w:sz="0" w:space="0" w:color="auto"/>
        <w:left w:val="none" w:sz="0" w:space="0" w:color="auto"/>
        <w:bottom w:val="none" w:sz="0" w:space="0" w:color="auto"/>
        <w:right w:val="none" w:sz="0" w:space="0" w:color="auto"/>
      </w:divBdr>
    </w:div>
    <w:div w:id="794911004">
      <w:bodyDiv w:val="1"/>
      <w:marLeft w:val="0"/>
      <w:marRight w:val="0"/>
      <w:marTop w:val="0"/>
      <w:marBottom w:val="0"/>
      <w:divBdr>
        <w:top w:val="none" w:sz="0" w:space="0" w:color="auto"/>
        <w:left w:val="none" w:sz="0" w:space="0" w:color="auto"/>
        <w:bottom w:val="none" w:sz="0" w:space="0" w:color="auto"/>
        <w:right w:val="none" w:sz="0" w:space="0" w:color="auto"/>
      </w:divBdr>
    </w:div>
    <w:div w:id="796727130">
      <w:bodyDiv w:val="1"/>
      <w:marLeft w:val="0"/>
      <w:marRight w:val="0"/>
      <w:marTop w:val="0"/>
      <w:marBottom w:val="0"/>
      <w:divBdr>
        <w:top w:val="none" w:sz="0" w:space="0" w:color="auto"/>
        <w:left w:val="none" w:sz="0" w:space="0" w:color="auto"/>
        <w:bottom w:val="none" w:sz="0" w:space="0" w:color="auto"/>
        <w:right w:val="none" w:sz="0" w:space="0" w:color="auto"/>
      </w:divBdr>
    </w:div>
    <w:div w:id="799297519">
      <w:bodyDiv w:val="1"/>
      <w:marLeft w:val="0"/>
      <w:marRight w:val="0"/>
      <w:marTop w:val="0"/>
      <w:marBottom w:val="0"/>
      <w:divBdr>
        <w:top w:val="none" w:sz="0" w:space="0" w:color="auto"/>
        <w:left w:val="none" w:sz="0" w:space="0" w:color="auto"/>
        <w:bottom w:val="none" w:sz="0" w:space="0" w:color="auto"/>
        <w:right w:val="none" w:sz="0" w:space="0" w:color="auto"/>
      </w:divBdr>
    </w:div>
    <w:div w:id="800462405">
      <w:bodyDiv w:val="1"/>
      <w:marLeft w:val="0"/>
      <w:marRight w:val="0"/>
      <w:marTop w:val="0"/>
      <w:marBottom w:val="0"/>
      <w:divBdr>
        <w:top w:val="none" w:sz="0" w:space="0" w:color="auto"/>
        <w:left w:val="none" w:sz="0" w:space="0" w:color="auto"/>
        <w:bottom w:val="none" w:sz="0" w:space="0" w:color="auto"/>
        <w:right w:val="none" w:sz="0" w:space="0" w:color="auto"/>
      </w:divBdr>
    </w:div>
    <w:div w:id="802886983">
      <w:bodyDiv w:val="1"/>
      <w:marLeft w:val="0"/>
      <w:marRight w:val="0"/>
      <w:marTop w:val="0"/>
      <w:marBottom w:val="0"/>
      <w:divBdr>
        <w:top w:val="none" w:sz="0" w:space="0" w:color="auto"/>
        <w:left w:val="none" w:sz="0" w:space="0" w:color="auto"/>
        <w:bottom w:val="none" w:sz="0" w:space="0" w:color="auto"/>
        <w:right w:val="none" w:sz="0" w:space="0" w:color="auto"/>
      </w:divBdr>
    </w:div>
    <w:div w:id="803740881">
      <w:bodyDiv w:val="1"/>
      <w:marLeft w:val="0"/>
      <w:marRight w:val="0"/>
      <w:marTop w:val="0"/>
      <w:marBottom w:val="0"/>
      <w:divBdr>
        <w:top w:val="none" w:sz="0" w:space="0" w:color="auto"/>
        <w:left w:val="none" w:sz="0" w:space="0" w:color="auto"/>
        <w:bottom w:val="none" w:sz="0" w:space="0" w:color="auto"/>
        <w:right w:val="none" w:sz="0" w:space="0" w:color="auto"/>
      </w:divBdr>
    </w:div>
    <w:div w:id="807354971">
      <w:bodyDiv w:val="1"/>
      <w:marLeft w:val="0"/>
      <w:marRight w:val="0"/>
      <w:marTop w:val="0"/>
      <w:marBottom w:val="0"/>
      <w:divBdr>
        <w:top w:val="none" w:sz="0" w:space="0" w:color="auto"/>
        <w:left w:val="none" w:sz="0" w:space="0" w:color="auto"/>
        <w:bottom w:val="none" w:sz="0" w:space="0" w:color="auto"/>
        <w:right w:val="none" w:sz="0" w:space="0" w:color="auto"/>
      </w:divBdr>
    </w:div>
    <w:div w:id="818419952">
      <w:bodyDiv w:val="1"/>
      <w:marLeft w:val="0"/>
      <w:marRight w:val="0"/>
      <w:marTop w:val="0"/>
      <w:marBottom w:val="0"/>
      <w:divBdr>
        <w:top w:val="none" w:sz="0" w:space="0" w:color="auto"/>
        <w:left w:val="none" w:sz="0" w:space="0" w:color="auto"/>
        <w:bottom w:val="none" w:sz="0" w:space="0" w:color="auto"/>
        <w:right w:val="none" w:sz="0" w:space="0" w:color="auto"/>
      </w:divBdr>
    </w:div>
    <w:div w:id="820921681">
      <w:bodyDiv w:val="1"/>
      <w:marLeft w:val="0"/>
      <w:marRight w:val="0"/>
      <w:marTop w:val="0"/>
      <w:marBottom w:val="0"/>
      <w:divBdr>
        <w:top w:val="none" w:sz="0" w:space="0" w:color="auto"/>
        <w:left w:val="none" w:sz="0" w:space="0" w:color="auto"/>
        <w:bottom w:val="none" w:sz="0" w:space="0" w:color="auto"/>
        <w:right w:val="none" w:sz="0" w:space="0" w:color="auto"/>
      </w:divBdr>
    </w:div>
    <w:div w:id="825631900">
      <w:bodyDiv w:val="1"/>
      <w:marLeft w:val="0"/>
      <w:marRight w:val="0"/>
      <w:marTop w:val="0"/>
      <w:marBottom w:val="0"/>
      <w:divBdr>
        <w:top w:val="none" w:sz="0" w:space="0" w:color="auto"/>
        <w:left w:val="none" w:sz="0" w:space="0" w:color="auto"/>
        <w:bottom w:val="none" w:sz="0" w:space="0" w:color="auto"/>
        <w:right w:val="none" w:sz="0" w:space="0" w:color="auto"/>
      </w:divBdr>
    </w:div>
    <w:div w:id="835658214">
      <w:bodyDiv w:val="1"/>
      <w:marLeft w:val="0"/>
      <w:marRight w:val="0"/>
      <w:marTop w:val="0"/>
      <w:marBottom w:val="0"/>
      <w:divBdr>
        <w:top w:val="none" w:sz="0" w:space="0" w:color="auto"/>
        <w:left w:val="none" w:sz="0" w:space="0" w:color="auto"/>
        <w:bottom w:val="none" w:sz="0" w:space="0" w:color="auto"/>
        <w:right w:val="none" w:sz="0" w:space="0" w:color="auto"/>
      </w:divBdr>
    </w:div>
    <w:div w:id="841820616">
      <w:bodyDiv w:val="1"/>
      <w:marLeft w:val="0"/>
      <w:marRight w:val="0"/>
      <w:marTop w:val="0"/>
      <w:marBottom w:val="0"/>
      <w:divBdr>
        <w:top w:val="none" w:sz="0" w:space="0" w:color="auto"/>
        <w:left w:val="none" w:sz="0" w:space="0" w:color="auto"/>
        <w:bottom w:val="none" w:sz="0" w:space="0" w:color="auto"/>
        <w:right w:val="none" w:sz="0" w:space="0" w:color="auto"/>
      </w:divBdr>
    </w:div>
    <w:div w:id="847913429">
      <w:bodyDiv w:val="1"/>
      <w:marLeft w:val="0"/>
      <w:marRight w:val="0"/>
      <w:marTop w:val="0"/>
      <w:marBottom w:val="0"/>
      <w:divBdr>
        <w:top w:val="none" w:sz="0" w:space="0" w:color="auto"/>
        <w:left w:val="none" w:sz="0" w:space="0" w:color="auto"/>
        <w:bottom w:val="none" w:sz="0" w:space="0" w:color="auto"/>
        <w:right w:val="none" w:sz="0" w:space="0" w:color="auto"/>
      </w:divBdr>
    </w:div>
    <w:div w:id="849174732">
      <w:bodyDiv w:val="1"/>
      <w:marLeft w:val="0"/>
      <w:marRight w:val="0"/>
      <w:marTop w:val="0"/>
      <w:marBottom w:val="0"/>
      <w:divBdr>
        <w:top w:val="none" w:sz="0" w:space="0" w:color="auto"/>
        <w:left w:val="none" w:sz="0" w:space="0" w:color="auto"/>
        <w:bottom w:val="none" w:sz="0" w:space="0" w:color="auto"/>
        <w:right w:val="none" w:sz="0" w:space="0" w:color="auto"/>
      </w:divBdr>
    </w:div>
    <w:div w:id="852914897">
      <w:bodyDiv w:val="1"/>
      <w:marLeft w:val="0"/>
      <w:marRight w:val="0"/>
      <w:marTop w:val="0"/>
      <w:marBottom w:val="0"/>
      <w:divBdr>
        <w:top w:val="none" w:sz="0" w:space="0" w:color="auto"/>
        <w:left w:val="none" w:sz="0" w:space="0" w:color="auto"/>
        <w:bottom w:val="none" w:sz="0" w:space="0" w:color="auto"/>
        <w:right w:val="none" w:sz="0" w:space="0" w:color="auto"/>
      </w:divBdr>
    </w:div>
    <w:div w:id="855315536">
      <w:bodyDiv w:val="1"/>
      <w:marLeft w:val="0"/>
      <w:marRight w:val="0"/>
      <w:marTop w:val="0"/>
      <w:marBottom w:val="0"/>
      <w:divBdr>
        <w:top w:val="none" w:sz="0" w:space="0" w:color="auto"/>
        <w:left w:val="none" w:sz="0" w:space="0" w:color="auto"/>
        <w:bottom w:val="none" w:sz="0" w:space="0" w:color="auto"/>
        <w:right w:val="none" w:sz="0" w:space="0" w:color="auto"/>
      </w:divBdr>
    </w:div>
    <w:div w:id="860124702">
      <w:bodyDiv w:val="1"/>
      <w:marLeft w:val="0"/>
      <w:marRight w:val="0"/>
      <w:marTop w:val="0"/>
      <w:marBottom w:val="0"/>
      <w:divBdr>
        <w:top w:val="none" w:sz="0" w:space="0" w:color="auto"/>
        <w:left w:val="none" w:sz="0" w:space="0" w:color="auto"/>
        <w:bottom w:val="none" w:sz="0" w:space="0" w:color="auto"/>
        <w:right w:val="none" w:sz="0" w:space="0" w:color="auto"/>
      </w:divBdr>
    </w:div>
    <w:div w:id="881329371">
      <w:bodyDiv w:val="1"/>
      <w:marLeft w:val="0"/>
      <w:marRight w:val="0"/>
      <w:marTop w:val="0"/>
      <w:marBottom w:val="0"/>
      <w:divBdr>
        <w:top w:val="none" w:sz="0" w:space="0" w:color="auto"/>
        <w:left w:val="none" w:sz="0" w:space="0" w:color="auto"/>
        <w:bottom w:val="none" w:sz="0" w:space="0" w:color="auto"/>
        <w:right w:val="none" w:sz="0" w:space="0" w:color="auto"/>
      </w:divBdr>
    </w:div>
    <w:div w:id="897284351">
      <w:bodyDiv w:val="1"/>
      <w:marLeft w:val="0"/>
      <w:marRight w:val="0"/>
      <w:marTop w:val="0"/>
      <w:marBottom w:val="0"/>
      <w:divBdr>
        <w:top w:val="none" w:sz="0" w:space="0" w:color="auto"/>
        <w:left w:val="none" w:sz="0" w:space="0" w:color="auto"/>
        <w:bottom w:val="none" w:sz="0" w:space="0" w:color="auto"/>
        <w:right w:val="none" w:sz="0" w:space="0" w:color="auto"/>
      </w:divBdr>
    </w:div>
    <w:div w:id="900289938">
      <w:bodyDiv w:val="1"/>
      <w:marLeft w:val="0"/>
      <w:marRight w:val="0"/>
      <w:marTop w:val="0"/>
      <w:marBottom w:val="0"/>
      <w:divBdr>
        <w:top w:val="none" w:sz="0" w:space="0" w:color="auto"/>
        <w:left w:val="none" w:sz="0" w:space="0" w:color="auto"/>
        <w:bottom w:val="none" w:sz="0" w:space="0" w:color="auto"/>
        <w:right w:val="none" w:sz="0" w:space="0" w:color="auto"/>
      </w:divBdr>
    </w:div>
    <w:div w:id="913006118">
      <w:bodyDiv w:val="1"/>
      <w:marLeft w:val="0"/>
      <w:marRight w:val="0"/>
      <w:marTop w:val="0"/>
      <w:marBottom w:val="0"/>
      <w:divBdr>
        <w:top w:val="none" w:sz="0" w:space="0" w:color="auto"/>
        <w:left w:val="none" w:sz="0" w:space="0" w:color="auto"/>
        <w:bottom w:val="none" w:sz="0" w:space="0" w:color="auto"/>
        <w:right w:val="none" w:sz="0" w:space="0" w:color="auto"/>
      </w:divBdr>
    </w:div>
    <w:div w:id="918322861">
      <w:bodyDiv w:val="1"/>
      <w:marLeft w:val="0"/>
      <w:marRight w:val="0"/>
      <w:marTop w:val="0"/>
      <w:marBottom w:val="0"/>
      <w:divBdr>
        <w:top w:val="none" w:sz="0" w:space="0" w:color="auto"/>
        <w:left w:val="none" w:sz="0" w:space="0" w:color="auto"/>
        <w:bottom w:val="none" w:sz="0" w:space="0" w:color="auto"/>
        <w:right w:val="none" w:sz="0" w:space="0" w:color="auto"/>
      </w:divBdr>
    </w:div>
    <w:div w:id="923880168">
      <w:bodyDiv w:val="1"/>
      <w:marLeft w:val="0"/>
      <w:marRight w:val="0"/>
      <w:marTop w:val="0"/>
      <w:marBottom w:val="0"/>
      <w:divBdr>
        <w:top w:val="none" w:sz="0" w:space="0" w:color="auto"/>
        <w:left w:val="none" w:sz="0" w:space="0" w:color="auto"/>
        <w:bottom w:val="none" w:sz="0" w:space="0" w:color="auto"/>
        <w:right w:val="none" w:sz="0" w:space="0" w:color="auto"/>
      </w:divBdr>
    </w:div>
    <w:div w:id="930503048">
      <w:bodyDiv w:val="1"/>
      <w:marLeft w:val="0"/>
      <w:marRight w:val="0"/>
      <w:marTop w:val="0"/>
      <w:marBottom w:val="0"/>
      <w:divBdr>
        <w:top w:val="none" w:sz="0" w:space="0" w:color="auto"/>
        <w:left w:val="none" w:sz="0" w:space="0" w:color="auto"/>
        <w:bottom w:val="none" w:sz="0" w:space="0" w:color="auto"/>
        <w:right w:val="none" w:sz="0" w:space="0" w:color="auto"/>
      </w:divBdr>
    </w:div>
    <w:div w:id="931858903">
      <w:bodyDiv w:val="1"/>
      <w:marLeft w:val="0"/>
      <w:marRight w:val="0"/>
      <w:marTop w:val="0"/>
      <w:marBottom w:val="0"/>
      <w:divBdr>
        <w:top w:val="none" w:sz="0" w:space="0" w:color="auto"/>
        <w:left w:val="none" w:sz="0" w:space="0" w:color="auto"/>
        <w:bottom w:val="none" w:sz="0" w:space="0" w:color="auto"/>
        <w:right w:val="none" w:sz="0" w:space="0" w:color="auto"/>
      </w:divBdr>
    </w:div>
    <w:div w:id="934747964">
      <w:bodyDiv w:val="1"/>
      <w:marLeft w:val="0"/>
      <w:marRight w:val="0"/>
      <w:marTop w:val="0"/>
      <w:marBottom w:val="0"/>
      <w:divBdr>
        <w:top w:val="none" w:sz="0" w:space="0" w:color="auto"/>
        <w:left w:val="none" w:sz="0" w:space="0" w:color="auto"/>
        <w:bottom w:val="none" w:sz="0" w:space="0" w:color="auto"/>
        <w:right w:val="none" w:sz="0" w:space="0" w:color="auto"/>
      </w:divBdr>
    </w:div>
    <w:div w:id="935551233">
      <w:bodyDiv w:val="1"/>
      <w:marLeft w:val="0"/>
      <w:marRight w:val="0"/>
      <w:marTop w:val="0"/>
      <w:marBottom w:val="0"/>
      <w:divBdr>
        <w:top w:val="none" w:sz="0" w:space="0" w:color="auto"/>
        <w:left w:val="none" w:sz="0" w:space="0" w:color="auto"/>
        <w:bottom w:val="none" w:sz="0" w:space="0" w:color="auto"/>
        <w:right w:val="none" w:sz="0" w:space="0" w:color="auto"/>
      </w:divBdr>
    </w:div>
    <w:div w:id="936212474">
      <w:bodyDiv w:val="1"/>
      <w:marLeft w:val="0"/>
      <w:marRight w:val="0"/>
      <w:marTop w:val="0"/>
      <w:marBottom w:val="0"/>
      <w:divBdr>
        <w:top w:val="none" w:sz="0" w:space="0" w:color="auto"/>
        <w:left w:val="none" w:sz="0" w:space="0" w:color="auto"/>
        <w:bottom w:val="none" w:sz="0" w:space="0" w:color="auto"/>
        <w:right w:val="none" w:sz="0" w:space="0" w:color="auto"/>
      </w:divBdr>
    </w:div>
    <w:div w:id="936518072">
      <w:bodyDiv w:val="1"/>
      <w:marLeft w:val="0"/>
      <w:marRight w:val="0"/>
      <w:marTop w:val="0"/>
      <w:marBottom w:val="0"/>
      <w:divBdr>
        <w:top w:val="none" w:sz="0" w:space="0" w:color="auto"/>
        <w:left w:val="none" w:sz="0" w:space="0" w:color="auto"/>
        <w:bottom w:val="none" w:sz="0" w:space="0" w:color="auto"/>
        <w:right w:val="none" w:sz="0" w:space="0" w:color="auto"/>
      </w:divBdr>
    </w:div>
    <w:div w:id="936787357">
      <w:bodyDiv w:val="1"/>
      <w:marLeft w:val="0"/>
      <w:marRight w:val="0"/>
      <w:marTop w:val="0"/>
      <w:marBottom w:val="0"/>
      <w:divBdr>
        <w:top w:val="none" w:sz="0" w:space="0" w:color="auto"/>
        <w:left w:val="none" w:sz="0" w:space="0" w:color="auto"/>
        <w:bottom w:val="none" w:sz="0" w:space="0" w:color="auto"/>
        <w:right w:val="none" w:sz="0" w:space="0" w:color="auto"/>
      </w:divBdr>
    </w:div>
    <w:div w:id="942154895">
      <w:bodyDiv w:val="1"/>
      <w:marLeft w:val="0"/>
      <w:marRight w:val="0"/>
      <w:marTop w:val="0"/>
      <w:marBottom w:val="0"/>
      <w:divBdr>
        <w:top w:val="none" w:sz="0" w:space="0" w:color="auto"/>
        <w:left w:val="none" w:sz="0" w:space="0" w:color="auto"/>
        <w:bottom w:val="none" w:sz="0" w:space="0" w:color="auto"/>
        <w:right w:val="none" w:sz="0" w:space="0" w:color="auto"/>
      </w:divBdr>
    </w:div>
    <w:div w:id="942614071">
      <w:bodyDiv w:val="1"/>
      <w:marLeft w:val="0"/>
      <w:marRight w:val="0"/>
      <w:marTop w:val="0"/>
      <w:marBottom w:val="0"/>
      <w:divBdr>
        <w:top w:val="none" w:sz="0" w:space="0" w:color="auto"/>
        <w:left w:val="none" w:sz="0" w:space="0" w:color="auto"/>
        <w:bottom w:val="none" w:sz="0" w:space="0" w:color="auto"/>
        <w:right w:val="none" w:sz="0" w:space="0" w:color="auto"/>
      </w:divBdr>
    </w:div>
    <w:div w:id="944264656">
      <w:bodyDiv w:val="1"/>
      <w:marLeft w:val="0"/>
      <w:marRight w:val="0"/>
      <w:marTop w:val="0"/>
      <w:marBottom w:val="0"/>
      <w:divBdr>
        <w:top w:val="none" w:sz="0" w:space="0" w:color="auto"/>
        <w:left w:val="none" w:sz="0" w:space="0" w:color="auto"/>
        <w:bottom w:val="none" w:sz="0" w:space="0" w:color="auto"/>
        <w:right w:val="none" w:sz="0" w:space="0" w:color="auto"/>
      </w:divBdr>
    </w:div>
    <w:div w:id="958143972">
      <w:bodyDiv w:val="1"/>
      <w:marLeft w:val="0"/>
      <w:marRight w:val="0"/>
      <w:marTop w:val="0"/>
      <w:marBottom w:val="0"/>
      <w:divBdr>
        <w:top w:val="none" w:sz="0" w:space="0" w:color="auto"/>
        <w:left w:val="none" w:sz="0" w:space="0" w:color="auto"/>
        <w:bottom w:val="none" w:sz="0" w:space="0" w:color="auto"/>
        <w:right w:val="none" w:sz="0" w:space="0" w:color="auto"/>
      </w:divBdr>
    </w:div>
    <w:div w:id="958603508">
      <w:bodyDiv w:val="1"/>
      <w:marLeft w:val="0"/>
      <w:marRight w:val="0"/>
      <w:marTop w:val="0"/>
      <w:marBottom w:val="0"/>
      <w:divBdr>
        <w:top w:val="none" w:sz="0" w:space="0" w:color="auto"/>
        <w:left w:val="none" w:sz="0" w:space="0" w:color="auto"/>
        <w:bottom w:val="none" w:sz="0" w:space="0" w:color="auto"/>
        <w:right w:val="none" w:sz="0" w:space="0" w:color="auto"/>
      </w:divBdr>
    </w:div>
    <w:div w:id="958608442">
      <w:bodyDiv w:val="1"/>
      <w:marLeft w:val="0"/>
      <w:marRight w:val="0"/>
      <w:marTop w:val="0"/>
      <w:marBottom w:val="0"/>
      <w:divBdr>
        <w:top w:val="none" w:sz="0" w:space="0" w:color="auto"/>
        <w:left w:val="none" w:sz="0" w:space="0" w:color="auto"/>
        <w:bottom w:val="none" w:sz="0" w:space="0" w:color="auto"/>
        <w:right w:val="none" w:sz="0" w:space="0" w:color="auto"/>
      </w:divBdr>
    </w:div>
    <w:div w:id="972448615">
      <w:bodyDiv w:val="1"/>
      <w:marLeft w:val="0"/>
      <w:marRight w:val="0"/>
      <w:marTop w:val="0"/>
      <w:marBottom w:val="0"/>
      <w:divBdr>
        <w:top w:val="none" w:sz="0" w:space="0" w:color="auto"/>
        <w:left w:val="none" w:sz="0" w:space="0" w:color="auto"/>
        <w:bottom w:val="none" w:sz="0" w:space="0" w:color="auto"/>
        <w:right w:val="none" w:sz="0" w:space="0" w:color="auto"/>
      </w:divBdr>
    </w:div>
    <w:div w:id="973019948">
      <w:bodyDiv w:val="1"/>
      <w:marLeft w:val="0"/>
      <w:marRight w:val="0"/>
      <w:marTop w:val="0"/>
      <w:marBottom w:val="0"/>
      <w:divBdr>
        <w:top w:val="none" w:sz="0" w:space="0" w:color="auto"/>
        <w:left w:val="none" w:sz="0" w:space="0" w:color="auto"/>
        <w:bottom w:val="none" w:sz="0" w:space="0" w:color="auto"/>
        <w:right w:val="none" w:sz="0" w:space="0" w:color="auto"/>
      </w:divBdr>
    </w:div>
    <w:div w:id="975767839">
      <w:bodyDiv w:val="1"/>
      <w:marLeft w:val="0"/>
      <w:marRight w:val="0"/>
      <w:marTop w:val="0"/>
      <w:marBottom w:val="0"/>
      <w:divBdr>
        <w:top w:val="none" w:sz="0" w:space="0" w:color="auto"/>
        <w:left w:val="none" w:sz="0" w:space="0" w:color="auto"/>
        <w:bottom w:val="none" w:sz="0" w:space="0" w:color="auto"/>
        <w:right w:val="none" w:sz="0" w:space="0" w:color="auto"/>
      </w:divBdr>
    </w:div>
    <w:div w:id="979193416">
      <w:bodyDiv w:val="1"/>
      <w:marLeft w:val="0"/>
      <w:marRight w:val="0"/>
      <w:marTop w:val="0"/>
      <w:marBottom w:val="0"/>
      <w:divBdr>
        <w:top w:val="none" w:sz="0" w:space="0" w:color="auto"/>
        <w:left w:val="none" w:sz="0" w:space="0" w:color="auto"/>
        <w:bottom w:val="none" w:sz="0" w:space="0" w:color="auto"/>
        <w:right w:val="none" w:sz="0" w:space="0" w:color="auto"/>
      </w:divBdr>
    </w:div>
    <w:div w:id="986010246">
      <w:bodyDiv w:val="1"/>
      <w:marLeft w:val="0"/>
      <w:marRight w:val="0"/>
      <w:marTop w:val="0"/>
      <w:marBottom w:val="0"/>
      <w:divBdr>
        <w:top w:val="none" w:sz="0" w:space="0" w:color="auto"/>
        <w:left w:val="none" w:sz="0" w:space="0" w:color="auto"/>
        <w:bottom w:val="none" w:sz="0" w:space="0" w:color="auto"/>
        <w:right w:val="none" w:sz="0" w:space="0" w:color="auto"/>
      </w:divBdr>
    </w:div>
    <w:div w:id="997418964">
      <w:bodyDiv w:val="1"/>
      <w:marLeft w:val="0"/>
      <w:marRight w:val="0"/>
      <w:marTop w:val="0"/>
      <w:marBottom w:val="0"/>
      <w:divBdr>
        <w:top w:val="none" w:sz="0" w:space="0" w:color="auto"/>
        <w:left w:val="none" w:sz="0" w:space="0" w:color="auto"/>
        <w:bottom w:val="none" w:sz="0" w:space="0" w:color="auto"/>
        <w:right w:val="none" w:sz="0" w:space="0" w:color="auto"/>
      </w:divBdr>
    </w:div>
    <w:div w:id="1004742566">
      <w:bodyDiv w:val="1"/>
      <w:marLeft w:val="0"/>
      <w:marRight w:val="0"/>
      <w:marTop w:val="0"/>
      <w:marBottom w:val="0"/>
      <w:divBdr>
        <w:top w:val="none" w:sz="0" w:space="0" w:color="auto"/>
        <w:left w:val="none" w:sz="0" w:space="0" w:color="auto"/>
        <w:bottom w:val="none" w:sz="0" w:space="0" w:color="auto"/>
        <w:right w:val="none" w:sz="0" w:space="0" w:color="auto"/>
      </w:divBdr>
    </w:div>
    <w:div w:id="1011488235">
      <w:bodyDiv w:val="1"/>
      <w:marLeft w:val="0"/>
      <w:marRight w:val="0"/>
      <w:marTop w:val="0"/>
      <w:marBottom w:val="0"/>
      <w:divBdr>
        <w:top w:val="none" w:sz="0" w:space="0" w:color="auto"/>
        <w:left w:val="none" w:sz="0" w:space="0" w:color="auto"/>
        <w:bottom w:val="none" w:sz="0" w:space="0" w:color="auto"/>
        <w:right w:val="none" w:sz="0" w:space="0" w:color="auto"/>
      </w:divBdr>
    </w:div>
    <w:div w:id="1015693214">
      <w:bodyDiv w:val="1"/>
      <w:marLeft w:val="0"/>
      <w:marRight w:val="0"/>
      <w:marTop w:val="0"/>
      <w:marBottom w:val="0"/>
      <w:divBdr>
        <w:top w:val="none" w:sz="0" w:space="0" w:color="auto"/>
        <w:left w:val="none" w:sz="0" w:space="0" w:color="auto"/>
        <w:bottom w:val="none" w:sz="0" w:space="0" w:color="auto"/>
        <w:right w:val="none" w:sz="0" w:space="0" w:color="auto"/>
      </w:divBdr>
    </w:div>
    <w:div w:id="1019159231">
      <w:bodyDiv w:val="1"/>
      <w:marLeft w:val="0"/>
      <w:marRight w:val="0"/>
      <w:marTop w:val="0"/>
      <w:marBottom w:val="0"/>
      <w:divBdr>
        <w:top w:val="none" w:sz="0" w:space="0" w:color="auto"/>
        <w:left w:val="none" w:sz="0" w:space="0" w:color="auto"/>
        <w:bottom w:val="none" w:sz="0" w:space="0" w:color="auto"/>
        <w:right w:val="none" w:sz="0" w:space="0" w:color="auto"/>
      </w:divBdr>
    </w:div>
    <w:div w:id="1022172324">
      <w:bodyDiv w:val="1"/>
      <w:marLeft w:val="0"/>
      <w:marRight w:val="0"/>
      <w:marTop w:val="0"/>
      <w:marBottom w:val="0"/>
      <w:divBdr>
        <w:top w:val="none" w:sz="0" w:space="0" w:color="auto"/>
        <w:left w:val="none" w:sz="0" w:space="0" w:color="auto"/>
        <w:bottom w:val="none" w:sz="0" w:space="0" w:color="auto"/>
        <w:right w:val="none" w:sz="0" w:space="0" w:color="auto"/>
      </w:divBdr>
    </w:div>
    <w:div w:id="1025211305">
      <w:bodyDiv w:val="1"/>
      <w:marLeft w:val="0"/>
      <w:marRight w:val="0"/>
      <w:marTop w:val="0"/>
      <w:marBottom w:val="0"/>
      <w:divBdr>
        <w:top w:val="none" w:sz="0" w:space="0" w:color="auto"/>
        <w:left w:val="none" w:sz="0" w:space="0" w:color="auto"/>
        <w:bottom w:val="none" w:sz="0" w:space="0" w:color="auto"/>
        <w:right w:val="none" w:sz="0" w:space="0" w:color="auto"/>
      </w:divBdr>
    </w:div>
    <w:div w:id="1025714622">
      <w:bodyDiv w:val="1"/>
      <w:marLeft w:val="0"/>
      <w:marRight w:val="0"/>
      <w:marTop w:val="0"/>
      <w:marBottom w:val="0"/>
      <w:divBdr>
        <w:top w:val="none" w:sz="0" w:space="0" w:color="auto"/>
        <w:left w:val="none" w:sz="0" w:space="0" w:color="auto"/>
        <w:bottom w:val="none" w:sz="0" w:space="0" w:color="auto"/>
        <w:right w:val="none" w:sz="0" w:space="0" w:color="auto"/>
      </w:divBdr>
    </w:div>
    <w:div w:id="1026558858">
      <w:bodyDiv w:val="1"/>
      <w:marLeft w:val="0"/>
      <w:marRight w:val="0"/>
      <w:marTop w:val="0"/>
      <w:marBottom w:val="0"/>
      <w:divBdr>
        <w:top w:val="none" w:sz="0" w:space="0" w:color="auto"/>
        <w:left w:val="none" w:sz="0" w:space="0" w:color="auto"/>
        <w:bottom w:val="none" w:sz="0" w:space="0" w:color="auto"/>
        <w:right w:val="none" w:sz="0" w:space="0" w:color="auto"/>
      </w:divBdr>
    </w:div>
    <w:div w:id="1028141446">
      <w:bodyDiv w:val="1"/>
      <w:marLeft w:val="0"/>
      <w:marRight w:val="0"/>
      <w:marTop w:val="0"/>
      <w:marBottom w:val="0"/>
      <w:divBdr>
        <w:top w:val="none" w:sz="0" w:space="0" w:color="auto"/>
        <w:left w:val="none" w:sz="0" w:space="0" w:color="auto"/>
        <w:bottom w:val="none" w:sz="0" w:space="0" w:color="auto"/>
        <w:right w:val="none" w:sz="0" w:space="0" w:color="auto"/>
      </w:divBdr>
    </w:div>
    <w:div w:id="1030492190">
      <w:bodyDiv w:val="1"/>
      <w:marLeft w:val="0"/>
      <w:marRight w:val="0"/>
      <w:marTop w:val="0"/>
      <w:marBottom w:val="0"/>
      <w:divBdr>
        <w:top w:val="none" w:sz="0" w:space="0" w:color="auto"/>
        <w:left w:val="none" w:sz="0" w:space="0" w:color="auto"/>
        <w:bottom w:val="none" w:sz="0" w:space="0" w:color="auto"/>
        <w:right w:val="none" w:sz="0" w:space="0" w:color="auto"/>
      </w:divBdr>
    </w:div>
    <w:div w:id="1030573310">
      <w:bodyDiv w:val="1"/>
      <w:marLeft w:val="0"/>
      <w:marRight w:val="0"/>
      <w:marTop w:val="0"/>
      <w:marBottom w:val="0"/>
      <w:divBdr>
        <w:top w:val="none" w:sz="0" w:space="0" w:color="auto"/>
        <w:left w:val="none" w:sz="0" w:space="0" w:color="auto"/>
        <w:bottom w:val="none" w:sz="0" w:space="0" w:color="auto"/>
        <w:right w:val="none" w:sz="0" w:space="0" w:color="auto"/>
      </w:divBdr>
    </w:div>
    <w:div w:id="1039889914">
      <w:bodyDiv w:val="1"/>
      <w:marLeft w:val="0"/>
      <w:marRight w:val="0"/>
      <w:marTop w:val="0"/>
      <w:marBottom w:val="0"/>
      <w:divBdr>
        <w:top w:val="none" w:sz="0" w:space="0" w:color="auto"/>
        <w:left w:val="none" w:sz="0" w:space="0" w:color="auto"/>
        <w:bottom w:val="none" w:sz="0" w:space="0" w:color="auto"/>
        <w:right w:val="none" w:sz="0" w:space="0" w:color="auto"/>
      </w:divBdr>
    </w:div>
    <w:div w:id="1052004792">
      <w:bodyDiv w:val="1"/>
      <w:marLeft w:val="0"/>
      <w:marRight w:val="0"/>
      <w:marTop w:val="0"/>
      <w:marBottom w:val="0"/>
      <w:divBdr>
        <w:top w:val="none" w:sz="0" w:space="0" w:color="auto"/>
        <w:left w:val="none" w:sz="0" w:space="0" w:color="auto"/>
        <w:bottom w:val="none" w:sz="0" w:space="0" w:color="auto"/>
        <w:right w:val="none" w:sz="0" w:space="0" w:color="auto"/>
      </w:divBdr>
    </w:div>
    <w:div w:id="1066226179">
      <w:bodyDiv w:val="1"/>
      <w:marLeft w:val="0"/>
      <w:marRight w:val="0"/>
      <w:marTop w:val="0"/>
      <w:marBottom w:val="0"/>
      <w:divBdr>
        <w:top w:val="none" w:sz="0" w:space="0" w:color="auto"/>
        <w:left w:val="none" w:sz="0" w:space="0" w:color="auto"/>
        <w:bottom w:val="none" w:sz="0" w:space="0" w:color="auto"/>
        <w:right w:val="none" w:sz="0" w:space="0" w:color="auto"/>
      </w:divBdr>
    </w:div>
    <w:div w:id="1068577409">
      <w:bodyDiv w:val="1"/>
      <w:marLeft w:val="0"/>
      <w:marRight w:val="0"/>
      <w:marTop w:val="0"/>
      <w:marBottom w:val="0"/>
      <w:divBdr>
        <w:top w:val="none" w:sz="0" w:space="0" w:color="auto"/>
        <w:left w:val="none" w:sz="0" w:space="0" w:color="auto"/>
        <w:bottom w:val="none" w:sz="0" w:space="0" w:color="auto"/>
        <w:right w:val="none" w:sz="0" w:space="0" w:color="auto"/>
      </w:divBdr>
    </w:div>
    <w:div w:id="1082602867">
      <w:bodyDiv w:val="1"/>
      <w:marLeft w:val="0"/>
      <w:marRight w:val="0"/>
      <w:marTop w:val="0"/>
      <w:marBottom w:val="0"/>
      <w:divBdr>
        <w:top w:val="none" w:sz="0" w:space="0" w:color="auto"/>
        <w:left w:val="none" w:sz="0" w:space="0" w:color="auto"/>
        <w:bottom w:val="none" w:sz="0" w:space="0" w:color="auto"/>
        <w:right w:val="none" w:sz="0" w:space="0" w:color="auto"/>
      </w:divBdr>
    </w:div>
    <w:div w:id="1083573490">
      <w:bodyDiv w:val="1"/>
      <w:marLeft w:val="0"/>
      <w:marRight w:val="0"/>
      <w:marTop w:val="0"/>
      <w:marBottom w:val="0"/>
      <w:divBdr>
        <w:top w:val="none" w:sz="0" w:space="0" w:color="auto"/>
        <w:left w:val="none" w:sz="0" w:space="0" w:color="auto"/>
        <w:bottom w:val="none" w:sz="0" w:space="0" w:color="auto"/>
        <w:right w:val="none" w:sz="0" w:space="0" w:color="auto"/>
      </w:divBdr>
    </w:div>
    <w:div w:id="1084648478">
      <w:bodyDiv w:val="1"/>
      <w:marLeft w:val="0"/>
      <w:marRight w:val="0"/>
      <w:marTop w:val="0"/>
      <w:marBottom w:val="0"/>
      <w:divBdr>
        <w:top w:val="none" w:sz="0" w:space="0" w:color="auto"/>
        <w:left w:val="none" w:sz="0" w:space="0" w:color="auto"/>
        <w:bottom w:val="none" w:sz="0" w:space="0" w:color="auto"/>
        <w:right w:val="none" w:sz="0" w:space="0" w:color="auto"/>
      </w:divBdr>
    </w:div>
    <w:div w:id="1091583271">
      <w:bodyDiv w:val="1"/>
      <w:marLeft w:val="0"/>
      <w:marRight w:val="0"/>
      <w:marTop w:val="0"/>
      <w:marBottom w:val="0"/>
      <w:divBdr>
        <w:top w:val="none" w:sz="0" w:space="0" w:color="auto"/>
        <w:left w:val="none" w:sz="0" w:space="0" w:color="auto"/>
        <w:bottom w:val="none" w:sz="0" w:space="0" w:color="auto"/>
        <w:right w:val="none" w:sz="0" w:space="0" w:color="auto"/>
      </w:divBdr>
    </w:div>
    <w:div w:id="1098450060">
      <w:bodyDiv w:val="1"/>
      <w:marLeft w:val="0"/>
      <w:marRight w:val="0"/>
      <w:marTop w:val="0"/>
      <w:marBottom w:val="0"/>
      <w:divBdr>
        <w:top w:val="none" w:sz="0" w:space="0" w:color="auto"/>
        <w:left w:val="none" w:sz="0" w:space="0" w:color="auto"/>
        <w:bottom w:val="none" w:sz="0" w:space="0" w:color="auto"/>
        <w:right w:val="none" w:sz="0" w:space="0" w:color="auto"/>
      </w:divBdr>
    </w:div>
    <w:div w:id="1104764793">
      <w:bodyDiv w:val="1"/>
      <w:marLeft w:val="0"/>
      <w:marRight w:val="0"/>
      <w:marTop w:val="0"/>
      <w:marBottom w:val="0"/>
      <w:divBdr>
        <w:top w:val="none" w:sz="0" w:space="0" w:color="auto"/>
        <w:left w:val="none" w:sz="0" w:space="0" w:color="auto"/>
        <w:bottom w:val="none" w:sz="0" w:space="0" w:color="auto"/>
        <w:right w:val="none" w:sz="0" w:space="0" w:color="auto"/>
      </w:divBdr>
    </w:div>
    <w:div w:id="1123572689">
      <w:bodyDiv w:val="1"/>
      <w:marLeft w:val="0"/>
      <w:marRight w:val="0"/>
      <w:marTop w:val="0"/>
      <w:marBottom w:val="0"/>
      <w:divBdr>
        <w:top w:val="none" w:sz="0" w:space="0" w:color="auto"/>
        <w:left w:val="none" w:sz="0" w:space="0" w:color="auto"/>
        <w:bottom w:val="none" w:sz="0" w:space="0" w:color="auto"/>
        <w:right w:val="none" w:sz="0" w:space="0" w:color="auto"/>
      </w:divBdr>
    </w:div>
    <w:div w:id="1130129659">
      <w:bodyDiv w:val="1"/>
      <w:marLeft w:val="0"/>
      <w:marRight w:val="0"/>
      <w:marTop w:val="0"/>
      <w:marBottom w:val="0"/>
      <w:divBdr>
        <w:top w:val="none" w:sz="0" w:space="0" w:color="auto"/>
        <w:left w:val="none" w:sz="0" w:space="0" w:color="auto"/>
        <w:bottom w:val="none" w:sz="0" w:space="0" w:color="auto"/>
        <w:right w:val="none" w:sz="0" w:space="0" w:color="auto"/>
      </w:divBdr>
    </w:div>
    <w:div w:id="1141776175">
      <w:bodyDiv w:val="1"/>
      <w:marLeft w:val="0"/>
      <w:marRight w:val="0"/>
      <w:marTop w:val="0"/>
      <w:marBottom w:val="0"/>
      <w:divBdr>
        <w:top w:val="none" w:sz="0" w:space="0" w:color="auto"/>
        <w:left w:val="none" w:sz="0" w:space="0" w:color="auto"/>
        <w:bottom w:val="none" w:sz="0" w:space="0" w:color="auto"/>
        <w:right w:val="none" w:sz="0" w:space="0" w:color="auto"/>
      </w:divBdr>
    </w:div>
    <w:div w:id="1148403838">
      <w:bodyDiv w:val="1"/>
      <w:marLeft w:val="0"/>
      <w:marRight w:val="0"/>
      <w:marTop w:val="0"/>
      <w:marBottom w:val="0"/>
      <w:divBdr>
        <w:top w:val="none" w:sz="0" w:space="0" w:color="auto"/>
        <w:left w:val="none" w:sz="0" w:space="0" w:color="auto"/>
        <w:bottom w:val="none" w:sz="0" w:space="0" w:color="auto"/>
        <w:right w:val="none" w:sz="0" w:space="0" w:color="auto"/>
      </w:divBdr>
    </w:div>
    <w:div w:id="1156648043">
      <w:bodyDiv w:val="1"/>
      <w:marLeft w:val="0"/>
      <w:marRight w:val="0"/>
      <w:marTop w:val="0"/>
      <w:marBottom w:val="0"/>
      <w:divBdr>
        <w:top w:val="none" w:sz="0" w:space="0" w:color="auto"/>
        <w:left w:val="none" w:sz="0" w:space="0" w:color="auto"/>
        <w:bottom w:val="none" w:sz="0" w:space="0" w:color="auto"/>
        <w:right w:val="none" w:sz="0" w:space="0" w:color="auto"/>
      </w:divBdr>
    </w:div>
    <w:div w:id="1168521926">
      <w:bodyDiv w:val="1"/>
      <w:marLeft w:val="0"/>
      <w:marRight w:val="0"/>
      <w:marTop w:val="0"/>
      <w:marBottom w:val="0"/>
      <w:divBdr>
        <w:top w:val="none" w:sz="0" w:space="0" w:color="auto"/>
        <w:left w:val="none" w:sz="0" w:space="0" w:color="auto"/>
        <w:bottom w:val="none" w:sz="0" w:space="0" w:color="auto"/>
        <w:right w:val="none" w:sz="0" w:space="0" w:color="auto"/>
      </w:divBdr>
    </w:div>
    <w:div w:id="1170102623">
      <w:bodyDiv w:val="1"/>
      <w:marLeft w:val="0"/>
      <w:marRight w:val="0"/>
      <w:marTop w:val="0"/>
      <w:marBottom w:val="0"/>
      <w:divBdr>
        <w:top w:val="none" w:sz="0" w:space="0" w:color="auto"/>
        <w:left w:val="none" w:sz="0" w:space="0" w:color="auto"/>
        <w:bottom w:val="none" w:sz="0" w:space="0" w:color="auto"/>
        <w:right w:val="none" w:sz="0" w:space="0" w:color="auto"/>
      </w:divBdr>
    </w:div>
    <w:div w:id="1176917483">
      <w:bodyDiv w:val="1"/>
      <w:marLeft w:val="0"/>
      <w:marRight w:val="0"/>
      <w:marTop w:val="0"/>
      <w:marBottom w:val="0"/>
      <w:divBdr>
        <w:top w:val="none" w:sz="0" w:space="0" w:color="auto"/>
        <w:left w:val="none" w:sz="0" w:space="0" w:color="auto"/>
        <w:bottom w:val="none" w:sz="0" w:space="0" w:color="auto"/>
        <w:right w:val="none" w:sz="0" w:space="0" w:color="auto"/>
      </w:divBdr>
    </w:div>
    <w:div w:id="1179349979">
      <w:bodyDiv w:val="1"/>
      <w:marLeft w:val="0"/>
      <w:marRight w:val="0"/>
      <w:marTop w:val="0"/>
      <w:marBottom w:val="0"/>
      <w:divBdr>
        <w:top w:val="none" w:sz="0" w:space="0" w:color="auto"/>
        <w:left w:val="none" w:sz="0" w:space="0" w:color="auto"/>
        <w:bottom w:val="none" w:sz="0" w:space="0" w:color="auto"/>
        <w:right w:val="none" w:sz="0" w:space="0" w:color="auto"/>
      </w:divBdr>
    </w:div>
    <w:div w:id="1181549049">
      <w:bodyDiv w:val="1"/>
      <w:marLeft w:val="0"/>
      <w:marRight w:val="0"/>
      <w:marTop w:val="0"/>
      <w:marBottom w:val="0"/>
      <w:divBdr>
        <w:top w:val="none" w:sz="0" w:space="0" w:color="auto"/>
        <w:left w:val="none" w:sz="0" w:space="0" w:color="auto"/>
        <w:bottom w:val="none" w:sz="0" w:space="0" w:color="auto"/>
        <w:right w:val="none" w:sz="0" w:space="0" w:color="auto"/>
      </w:divBdr>
    </w:div>
    <w:div w:id="1189179201">
      <w:bodyDiv w:val="1"/>
      <w:marLeft w:val="0"/>
      <w:marRight w:val="0"/>
      <w:marTop w:val="0"/>
      <w:marBottom w:val="0"/>
      <w:divBdr>
        <w:top w:val="none" w:sz="0" w:space="0" w:color="auto"/>
        <w:left w:val="none" w:sz="0" w:space="0" w:color="auto"/>
        <w:bottom w:val="none" w:sz="0" w:space="0" w:color="auto"/>
        <w:right w:val="none" w:sz="0" w:space="0" w:color="auto"/>
      </w:divBdr>
    </w:div>
    <w:div w:id="1200388530">
      <w:bodyDiv w:val="1"/>
      <w:marLeft w:val="0"/>
      <w:marRight w:val="0"/>
      <w:marTop w:val="0"/>
      <w:marBottom w:val="0"/>
      <w:divBdr>
        <w:top w:val="none" w:sz="0" w:space="0" w:color="auto"/>
        <w:left w:val="none" w:sz="0" w:space="0" w:color="auto"/>
        <w:bottom w:val="none" w:sz="0" w:space="0" w:color="auto"/>
        <w:right w:val="none" w:sz="0" w:space="0" w:color="auto"/>
      </w:divBdr>
    </w:div>
    <w:div w:id="1210340258">
      <w:bodyDiv w:val="1"/>
      <w:marLeft w:val="0"/>
      <w:marRight w:val="0"/>
      <w:marTop w:val="0"/>
      <w:marBottom w:val="0"/>
      <w:divBdr>
        <w:top w:val="none" w:sz="0" w:space="0" w:color="auto"/>
        <w:left w:val="none" w:sz="0" w:space="0" w:color="auto"/>
        <w:bottom w:val="none" w:sz="0" w:space="0" w:color="auto"/>
        <w:right w:val="none" w:sz="0" w:space="0" w:color="auto"/>
      </w:divBdr>
    </w:div>
    <w:div w:id="1213158192">
      <w:bodyDiv w:val="1"/>
      <w:marLeft w:val="0"/>
      <w:marRight w:val="0"/>
      <w:marTop w:val="0"/>
      <w:marBottom w:val="0"/>
      <w:divBdr>
        <w:top w:val="none" w:sz="0" w:space="0" w:color="auto"/>
        <w:left w:val="none" w:sz="0" w:space="0" w:color="auto"/>
        <w:bottom w:val="none" w:sz="0" w:space="0" w:color="auto"/>
        <w:right w:val="none" w:sz="0" w:space="0" w:color="auto"/>
      </w:divBdr>
    </w:div>
    <w:div w:id="1215972424">
      <w:bodyDiv w:val="1"/>
      <w:marLeft w:val="0"/>
      <w:marRight w:val="0"/>
      <w:marTop w:val="0"/>
      <w:marBottom w:val="0"/>
      <w:divBdr>
        <w:top w:val="none" w:sz="0" w:space="0" w:color="auto"/>
        <w:left w:val="none" w:sz="0" w:space="0" w:color="auto"/>
        <w:bottom w:val="none" w:sz="0" w:space="0" w:color="auto"/>
        <w:right w:val="none" w:sz="0" w:space="0" w:color="auto"/>
      </w:divBdr>
    </w:div>
    <w:div w:id="1221868894">
      <w:bodyDiv w:val="1"/>
      <w:marLeft w:val="0"/>
      <w:marRight w:val="0"/>
      <w:marTop w:val="0"/>
      <w:marBottom w:val="0"/>
      <w:divBdr>
        <w:top w:val="none" w:sz="0" w:space="0" w:color="auto"/>
        <w:left w:val="none" w:sz="0" w:space="0" w:color="auto"/>
        <w:bottom w:val="none" w:sz="0" w:space="0" w:color="auto"/>
        <w:right w:val="none" w:sz="0" w:space="0" w:color="auto"/>
      </w:divBdr>
    </w:div>
    <w:div w:id="1224488754">
      <w:bodyDiv w:val="1"/>
      <w:marLeft w:val="0"/>
      <w:marRight w:val="0"/>
      <w:marTop w:val="0"/>
      <w:marBottom w:val="0"/>
      <w:divBdr>
        <w:top w:val="none" w:sz="0" w:space="0" w:color="auto"/>
        <w:left w:val="none" w:sz="0" w:space="0" w:color="auto"/>
        <w:bottom w:val="none" w:sz="0" w:space="0" w:color="auto"/>
        <w:right w:val="none" w:sz="0" w:space="0" w:color="auto"/>
      </w:divBdr>
    </w:div>
    <w:div w:id="1224945783">
      <w:bodyDiv w:val="1"/>
      <w:marLeft w:val="0"/>
      <w:marRight w:val="0"/>
      <w:marTop w:val="0"/>
      <w:marBottom w:val="0"/>
      <w:divBdr>
        <w:top w:val="none" w:sz="0" w:space="0" w:color="auto"/>
        <w:left w:val="none" w:sz="0" w:space="0" w:color="auto"/>
        <w:bottom w:val="none" w:sz="0" w:space="0" w:color="auto"/>
        <w:right w:val="none" w:sz="0" w:space="0" w:color="auto"/>
      </w:divBdr>
    </w:div>
    <w:div w:id="1224949898">
      <w:bodyDiv w:val="1"/>
      <w:marLeft w:val="0"/>
      <w:marRight w:val="0"/>
      <w:marTop w:val="0"/>
      <w:marBottom w:val="0"/>
      <w:divBdr>
        <w:top w:val="none" w:sz="0" w:space="0" w:color="auto"/>
        <w:left w:val="none" w:sz="0" w:space="0" w:color="auto"/>
        <w:bottom w:val="none" w:sz="0" w:space="0" w:color="auto"/>
        <w:right w:val="none" w:sz="0" w:space="0" w:color="auto"/>
      </w:divBdr>
    </w:div>
    <w:div w:id="1231772566">
      <w:bodyDiv w:val="1"/>
      <w:marLeft w:val="0"/>
      <w:marRight w:val="0"/>
      <w:marTop w:val="0"/>
      <w:marBottom w:val="0"/>
      <w:divBdr>
        <w:top w:val="none" w:sz="0" w:space="0" w:color="auto"/>
        <w:left w:val="none" w:sz="0" w:space="0" w:color="auto"/>
        <w:bottom w:val="none" w:sz="0" w:space="0" w:color="auto"/>
        <w:right w:val="none" w:sz="0" w:space="0" w:color="auto"/>
      </w:divBdr>
    </w:div>
    <w:div w:id="1253272027">
      <w:bodyDiv w:val="1"/>
      <w:marLeft w:val="0"/>
      <w:marRight w:val="0"/>
      <w:marTop w:val="0"/>
      <w:marBottom w:val="0"/>
      <w:divBdr>
        <w:top w:val="none" w:sz="0" w:space="0" w:color="auto"/>
        <w:left w:val="none" w:sz="0" w:space="0" w:color="auto"/>
        <w:bottom w:val="none" w:sz="0" w:space="0" w:color="auto"/>
        <w:right w:val="none" w:sz="0" w:space="0" w:color="auto"/>
      </w:divBdr>
    </w:div>
    <w:div w:id="1253977890">
      <w:bodyDiv w:val="1"/>
      <w:marLeft w:val="0"/>
      <w:marRight w:val="0"/>
      <w:marTop w:val="0"/>
      <w:marBottom w:val="0"/>
      <w:divBdr>
        <w:top w:val="none" w:sz="0" w:space="0" w:color="auto"/>
        <w:left w:val="none" w:sz="0" w:space="0" w:color="auto"/>
        <w:bottom w:val="none" w:sz="0" w:space="0" w:color="auto"/>
        <w:right w:val="none" w:sz="0" w:space="0" w:color="auto"/>
      </w:divBdr>
    </w:div>
    <w:div w:id="1257061773">
      <w:bodyDiv w:val="1"/>
      <w:marLeft w:val="0"/>
      <w:marRight w:val="0"/>
      <w:marTop w:val="0"/>
      <w:marBottom w:val="0"/>
      <w:divBdr>
        <w:top w:val="none" w:sz="0" w:space="0" w:color="auto"/>
        <w:left w:val="none" w:sz="0" w:space="0" w:color="auto"/>
        <w:bottom w:val="none" w:sz="0" w:space="0" w:color="auto"/>
        <w:right w:val="none" w:sz="0" w:space="0" w:color="auto"/>
      </w:divBdr>
    </w:div>
    <w:div w:id="1261140949">
      <w:bodyDiv w:val="1"/>
      <w:marLeft w:val="0"/>
      <w:marRight w:val="0"/>
      <w:marTop w:val="0"/>
      <w:marBottom w:val="0"/>
      <w:divBdr>
        <w:top w:val="none" w:sz="0" w:space="0" w:color="auto"/>
        <w:left w:val="none" w:sz="0" w:space="0" w:color="auto"/>
        <w:bottom w:val="none" w:sz="0" w:space="0" w:color="auto"/>
        <w:right w:val="none" w:sz="0" w:space="0" w:color="auto"/>
      </w:divBdr>
    </w:div>
    <w:div w:id="1272669074">
      <w:bodyDiv w:val="1"/>
      <w:marLeft w:val="0"/>
      <w:marRight w:val="0"/>
      <w:marTop w:val="0"/>
      <w:marBottom w:val="0"/>
      <w:divBdr>
        <w:top w:val="none" w:sz="0" w:space="0" w:color="auto"/>
        <w:left w:val="none" w:sz="0" w:space="0" w:color="auto"/>
        <w:bottom w:val="none" w:sz="0" w:space="0" w:color="auto"/>
        <w:right w:val="none" w:sz="0" w:space="0" w:color="auto"/>
      </w:divBdr>
    </w:div>
    <w:div w:id="1274439531">
      <w:bodyDiv w:val="1"/>
      <w:marLeft w:val="0"/>
      <w:marRight w:val="0"/>
      <w:marTop w:val="0"/>
      <w:marBottom w:val="0"/>
      <w:divBdr>
        <w:top w:val="none" w:sz="0" w:space="0" w:color="auto"/>
        <w:left w:val="none" w:sz="0" w:space="0" w:color="auto"/>
        <w:bottom w:val="none" w:sz="0" w:space="0" w:color="auto"/>
        <w:right w:val="none" w:sz="0" w:space="0" w:color="auto"/>
      </w:divBdr>
    </w:div>
    <w:div w:id="1297949957">
      <w:bodyDiv w:val="1"/>
      <w:marLeft w:val="0"/>
      <w:marRight w:val="0"/>
      <w:marTop w:val="0"/>
      <w:marBottom w:val="0"/>
      <w:divBdr>
        <w:top w:val="none" w:sz="0" w:space="0" w:color="auto"/>
        <w:left w:val="none" w:sz="0" w:space="0" w:color="auto"/>
        <w:bottom w:val="none" w:sz="0" w:space="0" w:color="auto"/>
        <w:right w:val="none" w:sz="0" w:space="0" w:color="auto"/>
      </w:divBdr>
    </w:div>
    <w:div w:id="1298873134">
      <w:bodyDiv w:val="1"/>
      <w:marLeft w:val="0"/>
      <w:marRight w:val="0"/>
      <w:marTop w:val="0"/>
      <w:marBottom w:val="0"/>
      <w:divBdr>
        <w:top w:val="none" w:sz="0" w:space="0" w:color="auto"/>
        <w:left w:val="none" w:sz="0" w:space="0" w:color="auto"/>
        <w:bottom w:val="none" w:sz="0" w:space="0" w:color="auto"/>
        <w:right w:val="none" w:sz="0" w:space="0" w:color="auto"/>
      </w:divBdr>
    </w:div>
    <w:div w:id="1302079580">
      <w:bodyDiv w:val="1"/>
      <w:marLeft w:val="0"/>
      <w:marRight w:val="0"/>
      <w:marTop w:val="0"/>
      <w:marBottom w:val="0"/>
      <w:divBdr>
        <w:top w:val="none" w:sz="0" w:space="0" w:color="auto"/>
        <w:left w:val="none" w:sz="0" w:space="0" w:color="auto"/>
        <w:bottom w:val="none" w:sz="0" w:space="0" w:color="auto"/>
        <w:right w:val="none" w:sz="0" w:space="0" w:color="auto"/>
      </w:divBdr>
    </w:div>
    <w:div w:id="1307079252">
      <w:bodyDiv w:val="1"/>
      <w:marLeft w:val="0"/>
      <w:marRight w:val="0"/>
      <w:marTop w:val="0"/>
      <w:marBottom w:val="0"/>
      <w:divBdr>
        <w:top w:val="none" w:sz="0" w:space="0" w:color="auto"/>
        <w:left w:val="none" w:sz="0" w:space="0" w:color="auto"/>
        <w:bottom w:val="none" w:sz="0" w:space="0" w:color="auto"/>
        <w:right w:val="none" w:sz="0" w:space="0" w:color="auto"/>
      </w:divBdr>
    </w:div>
    <w:div w:id="1311716067">
      <w:bodyDiv w:val="1"/>
      <w:marLeft w:val="0"/>
      <w:marRight w:val="0"/>
      <w:marTop w:val="0"/>
      <w:marBottom w:val="0"/>
      <w:divBdr>
        <w:top w:val="none" w:sz="0" w:space="0" w:color="auto"/>
        <w:left w:val="none" w:sz="0" w:space="0" w:color="auto"/>
        <w:bottom w:val="none" w:sz="0" w:space="0" w:color="auto"/>
        <w:right w:val="none" w:sz="0" w:space="0" w:color="auto"/>
      </w:divBdr>
    </w:div>
    <w:div w:id="1318264188">
      <w:bodyDiv w:val="1"/>
      <w:marLeft w:val="0"/>
      <w:marRight w:val="0"/>
      <w:marTop w:val="0"/>
      <w:marBottom w:val="0"/>
      <w:divBdr>
        <w:top w:val="none" w:sz="0" w:space="0" w:color="auto"/>
        <w:left w:val="none" w:sz="0" w:space="0" w:color="auto"/>
        <w:bottom w:val="none" w:sz="0" w:space="0" w:color="auto"/>
        <w:right w:val="none" w:sz="0" w:space="0" w:color="auto"/>
      </w:divBdr>
    </w:div>
    <w:div w:id="1326083084">
      <w:bodyDiv w:val="1"/>
      <w:marLeft w:val="0"/>
      <w:marRight w:val="0"/>
      <w:marTop w:val="0"/>
      <w:marBottom w:val="0"/>
      <w:divBdr>
        <w:top w:val="none" w:sz="0" w:space="0" w:color="auto"/>
        <w:left w:val="none" w:sz="0" w:space="0" w:color="auto"/>
        <w:bottom w:val="none" w:sz="0" w:space="0" w:color="auto"/>
        <w:right w:val="none" w:sz="0" w:space="0" w:color="auto"/>
      </w:divBdr>
    </w:div>
    <w:div w:id="1327709477">
      <w:bodyDiv w:val="1"/>
      <w:marLeft w:val="0"/>
      <w:marRight w:val="0"/>
      <w:marTop w:val="0"/>
      <w:marBottom w:val="0"/>
      <w:divBdr>
        <w:top w:val="none" w:sz="0" w:space="0" w:color="auto"/>
        <w:left w:val="none" w:sz="0" w:space="0" w:color="auto"/>
        <w:bottom w:val="none" w:sz="0" w:space="0" w:color="auto"/>
        <w:right w:val="none" w:sz="0" w:space="0" w:color="auto"/>
      </w:divBdr>
    </w:div>
    <w:div w:id="1330256975">
      <w:bodyDiv w:val="1"/>
      <w:marLeft w:val="0"/>
      <w:marRight w:val="0"/>
      <w:marTop w:val="0"/>
      <w:marBottom w:val="0"/>
      <w:divBdr>
        <w:top w:val="none" w:sz="0" w:space="0" w:color="auto"/>
        <w:left w:val="none" w:sz="0" w:space="0" w:color="auto"/>
        <w:bottom w:val="none" w:sz="0" w:space="0" w:color="auto"/>
        <w:right w:val="none" w:sz="0" w:space="0" w:color="auto"/>
      </w:divBdr>
    </w:div>
    <w:div w:id="1333144552">
      <w:bodyDiv w:val="1"/>
      <w:marLeft w:val="0"/>
      <w:marRight w:val="0"/>
      <w:marTop w:val="0"/>
      <w:marBottom w:val="0"/>
      <w:divBdr>
        <w:top w:val="none" w:sz="0" w:space="0" w:color="auto"/>
        <w:left w:val="none" w:sz="0" w:space="0" w:color="auto"/>
        <w:bottom w:val="none" w:sz="0" w:space="0" w:color="auto"/>
        <w:right w:val="none" w:sz="0" w:space="0" w:color="auto"/>
      </w:divBdr>
    </w:div>
    <w:div w:id="1333484230">
      <w:bodyDiv w:val="1"/>
      <w:marLeft w:val="0"/>
      <w:marRight w:val="0"/>
      <w:marTop w:val="0"/>
      <w:marBottom w:val="0"/>
      <w:divBdr>
        <w:top w:val="none" w:sz="0" w:space="0" w:color="auto"/>
        <w:left w:val="none" w:sz="0" w:space="0" w:color="auto"/>
        <w:bottom w:val="none" w:sz="0" w:space="0" w:color="auto"/>
        <w:right w:val="none" w:sz="0" w:space="0" w:color="auto"/>
      </w:divBdr>
    </w:div>
    <w:div w:id="1336764632">
      <w:bodyDiv w:val="1"/>
      <w:marLeft w:val="0"/>
      <w:marRight w:val="0"/>
      <w:marTop w:val="0"/>
      <w:marBottom w:val="0"/>
      <w:divBdr>
        <w:top w:val="none" w:sz="0" w:space="0" w:color="auto"/>
        <w:left w:val="none" w:sz="0" w:space="0" w:color="auto"/>
        <w:bottom w:val="none" w:sz="0" w:space="0" w:color="auto"/>
        <w:right w:val="none" w:sz="0" w:space="0" w:color="auto"/>
      </w:divBdr>
    </w:div>
    <w:div w:id="1339384531">
      <w:bodyDiv w:val="1"/>
      <w:marLeft w:val="0"/>
      <w:marRight w:val="0"/>
      <w:marTop w:val="0"/>
      <w:marBottom w:val="0"/>
      <w:divBdr>
        <w:top w:val="none" w:sz="0" w:space="0" w:color="auto"/>
        <w:left w:val="none" w:sz="0" w:space="0" w:color="auto"/>
        <w:bottom w:val="none" w:sz="0" w:space="0" w:color="auto"/>
        <w:right w:val="none" w:sz="0" w:space="0" w:color="auto"/>
      </w:divBdr>
    </w:div>
    <w:div w:id="1344282404">
      <w:bodyDiv w:val="1"/>
      <w:marLeft w:val="0"/>
      <w:marRight w:val="0"/>
      <w:marTop w:val="0"/>
      <w:marBottom w:val="0"/>
      <w:divBdr>
        <w:top w:val="none" w:sz="0" w:space="0" w:color="auto"/>
        <w:left w:val="none" w:sz="0" w:space="0" w:color="auto"/>
        <w:bottom w:val="none" w:sz="0" w:space="0" w:color="auto"/>
        <w:right w:val="none" w:sz="0" w:space="0" w:color="auto"/>
      </w:divBdr>
    </w:div>
    <w:div w:id="1346328957">
      <w:bodyDiv w:val="1"/>
      <w:marLeft w:val="0"/>
      <w:marRight w:val="0"/>
      <w:marTop w:val="0"/>
      <w:marBottom w:val="0"/>
      <w:divBdr>
        <w:top w:val="none" w:sz="0" w:space="0" w:color="auto"/>
        <w:left w:val="none" w:sz="0" w:space="0" w:color="auto"/>
        <w:bottom w:val="none" w:sz="0" w:space="0" w:color="auto"/>
        <w:right w:val="none" w:sz="0" w:space="0" w:color="auto"/>
      </w:divBdr>
    </w:div>
    <w:div w:id="1346983202">
      <w:bodyDiv w:val="1"/>
      <w:marLeft w:val="0"/>
      <w:marRight w:val="0"/>
      <w:marTop w:val="0"/>
      <w:marBottom w:val="0"/>
      <w:divBdr>
        <w:top w:val="none" w:sz="0" w:space="0" w:color="auto"/>
        <w:left w:val="none" w:sz="0" w:space="0" w:color="auto"/>
        <w:bottom w:val="none" w:sz="0" w:space="0" w:color="auto"/>
        <w:right w:val="none" w:sz="0" w:space="0" w:color="auto"/>
      </w:divBdr>
    </w:div>
    <w:div w:id="1351177276">
      <w:bodyDiv w:val="1"/>
      <w:marLeft w:val="0"/>
      <w:marRight w:val="0"/>
      <w:marTop w:val="0"/>
      <w:marBottom w:val="0"/>
      <w:divBdr>
        <w:top w:val="none" w:sz="0" w:space="0" w:color="auto"/>
        <w:left w:val="none" w:sz="0" w:space="0" w:color="auto"/>
        <w:bottom w:val="none" w:sz="0" w:space="0" w:color="auto"/>
        <w:right w:val="none" w:sz="0" w:space="0" w:color="auto"/>
      </w:divBdr>
    </w:div>
    <w:div w:id="1353187973">
      <w:bodyDiv w:val="1"/>
      <w:marLeft w:val="0"/>
      <w:marRight w:val="0"/>
      <w:marTop w:val="0"/>
      <w:marBottom w:val="0"/>
      <w:divBdr>
        <w:top w:val="none" w:sz="0" w:space="0" w:color="auto"/>
        <w:left w:val="none" w:sz="0" w:space="0" w:color="auto"/>
        <w:bottom w:val="none" w:sz="0" w:space="0" w:color="auto"/>
        <w:right w:val="none" w:sz="0" w:space="0" w:color="auto"/>
      </w:divBdr>
    </w:div>
    <w:div w:id="1353337364">
      <w:bodyDiv w:val="1"/>
      <w:marLeft w:val="0"/>
      <w:marRight w:val="0"/>
      <w:marTop w:val="0"/>
      <w:marBottom w:val="0"/>
      <w:divBdr>
        <w:top w:val="none" w:sz="0" w:space="0" w:color="auto"/>
        <w:left w:val="none" w:sz="0" w:space="0" w:color="auto"/>
        <w:bottom w:val="none" w:sz="0" w:space="0" w:color="auto"/>
        <w:right w:val="none" w:sz="0" w:space="0" w:color="auto"/>
      </w:divBdr>
    </w:div>
    <w:div w:id="1364136482">
      <w:bodyDiv w:val="1"/>
      <w:marLeft w:val="0"/>
      <w:marRight w:val="0"/>
      <w:marTop w:val="0"/>
      <w:marBottom w:val="0"/>
      <w:divBdr>
        <w:top w:val="none" w:sz="0" w:space="0" w:color="auto"/>
        <w:left w:val="none" w:sz="0" w:space="0" w:color="auto"/>
        <w:bottom w:val="none" w:sz="0" w:space="0" w:color="auto"/>
        <w:right w:val="none" w:sz="0" w:space="0" w:color="auto"/>
      </w:divBdr>
    </w:div>
    <w:div w:id="1367364615">
      <w:bodyDiv w:val="1"/>
      <w:marLeft w:val="0"/>
      <w:marRight w:val="0"/>
      <w:marTop w:val="0"/>
      <w:marBottom w:val="0"/>
      <w:divBdr>
        <w:top w:val="none" w:sz="0" w:space="0" w:color="auto"/>
        <w:left w:val="none" w:sz="0" w:space="0" w:color="auto"/>
        <w:bottom w:val="none" w:sz="0" w:space="0" w:color="auto"/>
        <w:right w:val="none" w:sz="0" w:space="0" w:color="auto"/>
      </w:divBdr>
    </w:div>
    <w:div w:id="1372533721">
      <w:bodyDiv w:val="1"/>
      <w:marLeft w:val="0"/>
      <w:marRight w:val="0"/>
      <w:marTop w:val="0"/>
      <w:marBottom w:val="0"/>
      <w:divBdr>
        <w:top w:val="none" w:sz="0" w:space="0" w:color="auto"/>
        <w:left w:val="none" w:sz="0" w:space="0" w:color="auto"/>
        <w:bottom w:val="none" w:sz="0" w:space="0" w:color="auto"/>
        <w:right w:val="none" w:sz="0" w:space="0" w:color="auto"/>
      </w:divBdr>
    </w:div>
    <w:div w:id="1373766447">
      <w:bodyDiv w:val="1"/>
      <w:marLeft w:val="0"/>
      <w:marRight w:val="0"/>
      <w:marTop w:val="0"/>
      <w:marBottom w:val="0"/>
      <w:divBdr>
        <w:top w:val="none" w:sz="0" w:space="0" w:color="auto"/>
        <w:left w:val="none" w:sz="0" w:space="0" w:color="auto"/>
        <w:bottom w:val="none" w:sz="0" w:space="0" w:color="auto"/>
        <w:right w:val="none" w:sz="0" w:space="0" w:color="auto"/>
      </w:divBdr>
    </w:div>
    <w:div w:id="1375692419">
      <w:bodyDiv w:val="1"/>
      <w:marLeft w:val="0"/>
      <w:marRight w:val="0"/>
      <w:marTop w:val="0"/>
      <w:marBottom w:val="0"/>
      <w:divBdr>
        <w:top w:val="none" w:sz="0" w:space="0" w:color="auto"/>
        <w:left w:val="none" w:sz="0" w:space="0" w:color="auto"/>
        <w:bottom w:val="none" w:sz="0" w:space="0" w:color="auto"/>
        <w:right w:val="none" w:sz="0" w:space="0" w:color="auto"/>
      </w:divBdr>
    </w:div>
    <w:div w:id="1379353762">
      <w:bodyDiv w:val="1"/>
      <w:marLeft w:val="0"/>
      <w:marRight w:val="0"/>
      <w:marTop w:val="0"/>
      <w:marBottom w:val="0"/>
      <w:divBdr>
        <w:top w:val="none" w:sz="0" w:space="0" w:color="auto"/>
        <w:left w:val="none" w:sz="0" w:space="0" w:color="auto"/>
        <w:bottom w:val="none" w:sz="0" w:space="0" w:color="auto"/>
        <w:right w:val="none" w:sz="0" w:space="0" w:color="auto"/>
      </w:divBdr>
    </w:div>
    <w:div w:id="1386561750">
      <w:bodyDiv w:val="1"/>
      <w:marLeft w:val="0"/>
      <w:marRight w:val="0"/>
      <w:marTop w:val="0"/>
      <w:marBottom w:val="0"/>
      <w:divBdr>
        <w:top w:val="none" w:sz="0" w:space="0" w:color="auto"/>
        <w:left w:val="none" w:sz="0" w:space="0" w:color="auto"/>
        <w:bottom w:val="none" w:sz="0" w:space="0" w:color="auto"/>
        <w:right w:val="none" w:sz="0" w:space="0" w:color="auto"/>
      </w:divBdr>
    </w:div>
    <w:div w:id="1389766175">
      <w:bodyDiv w:val="1"/>
      <w:marLeft w:val="0"/>
      <w:marRight w:val="0"/>
      <w:marTop w:val="0"/>
      <w:marBottom w:val="0"/>
      <w:divBdr>
        <w:top w:val="none" w:sz="0" w:space="0" w:color="auto"/>
        <w:left w:val="none" w:sz="0" w:space="0" w:color="auto"/>
        <w:bottom w:val="none" w:sz="0" w:space="0" w:color="auto"/>
        <w:right w:val="none" w:sz="0" w:space="0" w:color="auto"/>
      </w:divBdr>
    </w:div>
    <w:div w:id="1397314928">
      <w:bodyDiv w:val="1"/>
      <w:marLeft w:val="0"/>
      <w:marRight w:val="0"/>
      <w:marTop w:val="0"/>
      <w:marBottom w:val="0"/>
      <w:divBdr>
        <w:top w:val="none" w:sz="0" w:space="0" w:color="auto"/>
        <w:left w:val="none" w:sz="0" w:space="0" w:color="auto"/>
        <w:bottom w:val="none" w:sz="0" w:space="0" w:color="auto"/>
        <w:right w:val="none" w:sz="0" w:space="0" w:color="auto"/>
      </w:divBdr>
    </w:div>
    <w:div w:id="1398748385">
      <w:bodyDiv w:val="1"/>
      <w:marLeft w:val="0"/>
      <w:marRight w:val="0"/>
      <w:marTop w:val="0"/>
      <w:marBottom w:val="0"/>
      <w:divBdr>
        <w:top w:val="none" w:sz="0" w:space="0" w:color="auto"/>
        <w:left w:val="none" w:sz="0" w:space="0" w:color="auto"/>
        <w:bottom w:val="none" w:sz="0" w:space="0" w:color="auto"/>
        <w:right w:val="none" w:sz="0" w:space="0" w:color="auto"/>
      </w:divBdr>
    </w:div>
    <w:div w:id="1400328749">
      <w:bodyDiv w:val="1"/>
      <w:marLeft w:val="0"/>
      <w:marRight w:val="0"/>
      <w:marTop w:val="0"/>
      <w:marBottom w:val="0"/>
      <w:divBdr>
        <w:top w:val="none" w:sz="0" w:space="0" w:color="auto"/>
        <w:left w:val="none" w:sz="0" w:space="0" w:color="auto"/>
        <w:bottom w:val="none" w:sz="0" w:space="0" w:color="auto"/>
        <w:right w:val="none" w:sz="0" w:space="0" w:color="auto"/>
      </w:divBdr>
    </w:div>
    <w:div w:id="1407263821">
      <w:bodyDiv w:val="1"/>
      <w:marLeft w:val="0"/>
      <w:marRight w:val="0"/>
      <w:marTop w:val="0"/>
      <w:marBottom w:val="0"/>
      <w:divBdr>
        <w:top w:val="none" w:sz="0" w:space="0" w:color="auto"/>
        <w:left w:val="none" w:sz="0" w:space="0" w:color="auto"/>
        <w:bottom w:val="none" w:sz="0" w:space="0" w:color="auto"/>
        <w:right w:val="none" w:sz="0" w:space="0" w:color="auto"/>
      </w:divBdr>
    </w:div>
    <w:div w:id="1410689732">
      <w:bodyDiv w:val="1"/>
      <w:marLeft w:val="0"/>
      <w:marRight w:val="0"/>
      <w:marTop w:val="0"/>
      <w:marBottom w:val="0"/>
      <w:divBdr>
        <w:top w:val="none" w:sz="0" w:space="0" w:color="auto"/>
        <w:left w:val="none" w:sz="0" w:space="0" w:color="auto"/>
        <w:bottom w:val="none" w:sz="0" w:space="0" w:color="auto"/>
        <w:right w:val="none" w:sz="0" w:space="0" w:color="auto"/>
      </w:divBdr>
    </w:div>
    <w:div w:id="1414887419">
      <w:bodyDiv w:val="1"/>
      <w:marLeft w:val="0"/>
      <w:marRight w:val="0"/>
      <w:marTop w:val="0"/>
      <w:marBottom w:val="0"/>
      <w:divBdr>
        <w:top w:val="none" w:sz="0" w:space="0" w:color="auto"/>
        <w:left w:val="none" w:sz="0" w:space="0" w:color="auto"/>
        <w:bottom w:val="none" w:sz="0" w:space="0" w:color="auto"/>
        <w:right w:val="none" w:sz="0" w:space="0" w:color="auto"/>
      </w:divBdr>
    </w:div>
    <w:div w:id="1416434397">
      <w:bodyDiv w:val="1"/>
      <w:marLeft w:val="0"/>
      <w:marRight w:val="0"/>
      <w:marTop w:val="0"/>
      <w:marBottom w:val="0"/>
      <w:divBdr>
        <w:top w:val="none" w:sz="0" w:space="0" w:color="auto"/>
        <w:left w:val="none" w:sz="0" w:space="0" w:color="auto"/>
        <w:bottom w:val="none" w:sz="0" w:space="0" w:color="auto"/>
        <w:right w:val="none" w:sz="0" w:space="0" w:color="auto"/>
      </w:divBdr>
    </w:div>
    <w:div w:id="1416587744">
      <w:bodyDiv w:val="1"/>
      <w:marLeft w:val="0"/>
      <w:marRight w:val="0"/>
      <w:marTop w:val="0"/>
      <w:marBottom w:val="0"/>
      <w:divBdr>
        <w:top w:val="none" w:sz="0" w:space="0" w:color="auto"/>
        <w:left w:val="none" w:sz="0" w:space="0" w:color="auto"/>
        <w:bottom w:val="none" w:sz="0" w:space="0" w:color="auto"/>
        <w:right w:val="none" w:sz="0" w:space="0" w:color="auto"/>
      </w:divBdr>
    </w:div>
    <w:div w:id="1417746496">
      <w:bodyDiv w:val="1"/>
      <w:marLeft w:val="0"/>
      <w:marRight w:val="0"/>
      <w:marTop w:val="0"/>
      <w:marBottom w:val="0"/>
      <w:divBdr>
        <w:top w:val="none" w:sz="0" w:space="0" w:color="auto"/>
        <w:left w:val="none" w:sz="0" w:space="0" w:color="auto"/>
        <w:bottom w:val="none" w:sz="0" w:space="0" w:color="auto"/>
        <w:right w:val="none" w:sz="0" w:space="0" w:color="auto"/>
      </w:divBdr>
    </w:div>
    <w:div w:id="1435979808">
      <w:bodyDiv w:val="1"/>
      <w:marLeft w:val="0"/>
      <w:marRight w:val="0"/>
      <w:marTop w:val="0"/>
      <w:marBottom w:val="0"/>
      <w:divBdr>
        <w:top w:val="none" w:sz="0" w:space="0" w:color="auto"/>
        <w:left w:val="none" w:sz="0" w:space="0" w:color="auto"/>
        <w:bottom w:val="none" w:sz="0" w:space="0" w:color="auto"/>
        <w:right w:val="none" w:sz="0" w:space="0" w:color="auto"/>
      </w:divBdr>
    </w:div>
    <w:div w:id="1438021628">
      <w:bodyDiv w:val="1"/>
      <w:marLeft w:val="0"/>
      <w:marRight w:val="0"/>
      <w:marTop w:val="0"/>
      <w:marBottom w:val="0"/>
      <w:divBdr>
        <w:top w:val="none" w:sz="0" w:space="0" w:color="auto"/>
        <w:left w:val="none" w:sz="0" w:space="0" w:color="auto"/>
        <w:bottom w:val="none" w:sz="0" w:space="0" w:color="auto"/>
        <w:right w:val="none" w:sz="0" w:space="0" w:color="auto"/>
      </w:divBdr>
    </w:div>
    <w:div w:id="1441995778">
      <w:bodyDiv w:val="1"/>
      <w:marLeft w:val="0"/>
      <w:marRight w:val="0"/>
      <w:marTop w:val="0"/>
      <w:marBottom w:val="0"/>
      <w:divBdr>
        <w:top w:val="none" w:sz="0" w:space="0" w:color="auto"/>
        <w:left w:val="none" w:sz="0" w:space="0" w:color="auto"/>
        <w:bottom w:val="none" w:sz="0" w:space="0" w:color="auto"/>
        <w:right w:val="none" w:sz="0" w:space="0" w:color="auto"/>
      </w:divBdr>
    </w:div>
    <w:div w:id="1442261420">
      <w:bodyDiv w:val="1"/>
      <w:marLeft w:val="0"/>
      <w:marRight w:val="0"/>
      <w:marTop w:val="0"/>
      <w:marBottom w:val="0"/>
      <w:divBdr>
        <w:top w:val="none" w:sz="0" w:space="0" w:color="auto"/>
        <w:left w:val="none" w:sz="0" w:space="0" w:color="auto"/>
        <w:bottom w:val="none" w:sz="0" w:space="0" w:color="auto"/>
        <w:right w:val="none" w:sz="0" w:space="0" w:color="auto"/>
      </w:divBdr>
    </w:div>
    <w:div w:id="1443647244">
      <w:bodyDiv w:val="1"/>
      <w:marLeft w:val="0"/>
      <w:marRight w:val="0"/>
      <w:marTop w:val="0"/>
      <w:marBottom w:val="0"/>
      <w:divBdr>
        <w:top w:val="none" w:sz="0" w:space="0" w:color="auto"/>
        <w:left w:val="none" w:sz="0" w:space="0" w:color="auto"/>
        <w:bottom w:val="none" w:sz="0" w:space="0" w:color="auto"/>
        <w:right w:val="none" w:sz="0" w:space="0" w:color="auto"/>
      </w:divBdr>
    </w:div>
    <w:div w:id="1448811239">
      <w:bodyDiv w:val="1"/>
      <w:marLeft w:val="0"/>
      <w:marRight w:val="0"/>
      <w:marTop w:val="0"/>
      <w:marBottom w:val="0"/>
      <w:divBdr>
        <w:top w:val="none" w:sz="0" w:space="0" w:color="auto"/>
        <w:left w:val="none" w:sz="0" w:space="0" w:color="auto"/>
        <w:bottom w:val="none" w:sz="0" w:space="0" w:color="auto"/>
        <w:right w:val="none" w:sz="0" w:space="0" w:color="auto"/>
      </w:divBdr>
    </w:div>
    <w:div w:id="1449467069">
      <w:bodyDiv w:val="1"/>
      <w:marLeft w:val="0"/>
      <w:marRight w:val="0"/>
      <w:marTop w:val="0"/>
      <w:marBottom w:val="0"/>
      <w:divBdr>
        <w:top w:val="none" w:sz="0" w:space="0" w:color="auto"/>
        <w:left w:val="none" w:sz="0" w:space="0" w:color="auto"/>
        <w:bottom w:val="none" w:sz="0" w:space="0" w:color="auto"/>
        <w:right w:val="none" w:sz="0" w:space="0" w:color="auto"/>
      </w:divBdr>
    </w:div>
    <w:div w:id="1450780040">
      <w:bodyDiv w:val="1"/>
      <w:marLeft w:val="0"/>
      <w:marRight w:val="0"/>
      <w:marTop w:val="0"/>
      <w:marBottom w:val="0"/>
      <w:divBdr>
        <w:top w:val="none" w:sz="0" w:space="0" w:color="auto"/>
        <w:left w:val="none" w:sz="0" w:space="0" w:color="auto"/>
        <w:bottom w:val="none" w:sz="0" w:space="0" w:color="auto"/>
        <w:right w:val="none" w:sz="0" w:space="0" w:color="auto"/>
      </w:divBdr>
    </w:div>
    <w:div w:id="1451899652">
      <w:bodyDiv w:val="1"/>
      <w:marLeft w:val="0"/>
      <w:marRight w:val="0"/>
      <w:marTop w:val="0"/>
      <w:marBottom w:val="0"/>
      <w:divBdr>
        <w:top w:val="none" w:sz="0" w:space="0" w:color="auto"/>
        <w:left w:val="none" w:sz="0" w:space="0" w:color="auto"/>
        <w:bottom w:val="none" w:sz="0" w:space="0" w:color="auto"/>
        <w:right w:val="none" w:sz="0" w:space="0" w:color="auto"/>
      </w:divBdr>
    </w:div>
    <w:div w:id="1454204067">
      <w:bodyDiv w:val="1"/>
      <w:marLeft w:val="0"/>
      <w:marRight w:val="0"/>
      <w:marTop w:val="0"/>
      <w:marBottom w:val="0"/>
      <w:divBdr>
        <w:top w:val="none" w:sz="0" w:space="0" w:color="auto"/>
        <w:left w:val="none" w:sz="0" w:space="0" w:color="auto"/>
        <w:bottom w:val="none" w:sz="0" w:space="0" w:color="auto"/>
        <w:right w:val="none" w:sz="0" w:space="0" w:color="auto"/>
      </w:divBdr>
    </w:div>
    <w:div w:id="1454598793">
      <w:bodyDiv w:val="1"/>
      <w:marLeft w:val="0"/>
      <w:marRight w:val="0"/>
      <w:marTop w:val="0"/>
      <w:marBottom w:val="0"/>
      <w:divBdr>
        <w:top w:val="none" w:sz="0" w:space="0" w:color="auto"/>
        <w:left w:val="none" w:sz="0" w:space="0" w:color="auto"/>
        <w:bottom w:val="none" w:sz="0" w:space="0" w:color="auto"/>
        <w:right w:val="none" w:sz="0" w:space="0" w:color="auto"/>
      </w:divBdr>
    </w:div>
    <w:div w:id="1461263635">
      <w:bodyDiv w:val="1"/>
      <w:marLeft w:val="0"/>
      <w:marRight w:val="0"/>
      <w:marTop w:val="0"/>
      <w:marBottom w:val="0"/>
      <w:divBdr>
        <w:top w:val="none" w:sz="0" w:space="0" w:color="auto"/>
        <w:left w:val="none" w:sz="0" w:space="0" w:color="auto"/>
        <w:bottom w:val="none" w:sz="0" w:space="0" w:color="auto"/>
        <w:right w:val="none" w:sz="0" w:space="0" w:color="auto"/>
      </w:divBdr>
    </w:div>
    <w:div w:id="1467889210">
      <w:bodyDiv w:val="1"/>
      <w:marLeft w:val="0"/>
      <w:marRight w:val="0"/>
      <w:marTop w:val="0"/>
      <w:marBottom w:val="0"/>
      <w:divBdr>
        <w:top w:val="none" w:sz="0" w:space="0" w:color="auto"/>
        <w:left w:val="none" w:sz="0" w:space="0" w:color="auto"/>
        <w:bottom w:val="none" w:sz="0" w:space="0" w:color="auto"/>
        <w:right w:val="none" w:sz="0" w:space="0" w:color="auto"/>
      </w:divBdr>
    </w:div>
    <w:div w:id="1471240886">
      <w:bodyDiv w:val="1"/>
      <w:marLeft w:val="0"/>
      <w:marRight w:val="0"/>
      <w:marTop w:val="0"/>
      <w:marBottom w:val="0"/>
      <w:divBdr>
        <w:top w:val="none" w:sz="0" w:space="0" w:color="auto"/>
        <w:left w:val="none" w:sz="0" w:space="0" w:color="auto"/>
        <w:bottom w:val="none" w:sz="0" w:space="0" w:color="auto"/>
        <w:right w:val="none" w:sz="0" w:space="0" w:color="auto"/>
      </w:divBdr>
    </w:div>
    <w:div w:id="1475635220">
      <w:bodyDiv w:val="1"/>
      <w:marLeft w:val="0"/>
      <w:marRight w:val="0"/>
      <w:marTop w:val="0"/>
      <w:marBottom w:val="0"/>
      <w:divBdr>
        <w:top w:val="none" w:sz="0" w:space="0" w:color="auto"/>
        <w:left w:val="none" w:sz="0" w:space="0" w:color="auto"/>
        <w:bottom w:val="none" w:sz="0" w:space="0" w:color="auto"/>
        <w:right w:val="none" w:sz="0" w:space="0" w:color="auto"/>
      </w:divBdr>
    </w:div>
    <w:div w:id="1489251339">
      <w:bodyDiv w:val="1"/>
      <w:marLeft w:val="0"/>
      <w:marRight w:val="0"/>
      <w:marTop w:val="0"/>
      <w:marBottom w:val="0"/>
      <w:divBdr>
        <w:top w:val="none" w:sz="0" w:space="0" w:color="auto"/>
        <w:left w:val="none" w:sz="0" w:space="0" w:color="auto"/>
        <w:bottom w:val="none" w:sz="0" w:space="0" w:color="auto"/>
        <w:right w:val="none" w:sz="0" w:space="0" w:color="auto"/>
      </w:divBdr>
    </w:div>
    <w:div w:id="1489397887">
      <w:bodyDiv w:val="1"/>
      <w:marLeft w:val="0"/>
      <w:marRight w:val="0"/>
      <w:marTop w:val="0"/>
      <w:marBottom w:val="0"/>
      <w:divBdr>
        <w:top w:val="none" w:sz="0" w:space="0" w:color="auto"/>
        <w:left w:val="none" w:sz="0" w:space="0" w:color="auto"/>
        <w:bottom w:val="none" w:sz="0" w:space="0" w:color="auto"/>
        <w:right w:val="none" w:sz="0" w:space="0" w:color="auto"/>
      </w:divBdr>
    </w:div>
    <w:div w:id="1492714087">
      <w:bodyDiv w:val="1"/>
      <w:marLeft w:val="0"/>
      <w:marRight w:val="0"/>
      <w:marTop w:val="0"/>
      <w:marBottom w:val="0"/>
      <w:divBdr>
        <w:top w:val="none" w:sz="0" w:space="0" w:color="auto"/>
        <w:left w:val="none" w:sz="0" w:space="0" w:color="auto"/>
        <w:bottom w:val="none" w:sz="0" w:space="0" w:color="auto"/>
        <w:right w:val="none" w:sz="0" w:space="0" w:color="auto"/>
      </w:divBdr>
    </w:div>
    <w:div w:id="1493108917">
      <w:bodyDiv w:val="1"/>
      <w:marLeft w:val="0"/>
      <w:marRight w:val="0"/>
      <w:marTop w:val="0"/>
      <w:marBottom w:val="0"/>
      <w:divBdr>
        <w:top w:val="none" w:sz="0" w:space="0" w:color="auto"/>
        <w:left w:val="none" w:sz="0" w:space="0" w:color="auto"/>
        <w:bottom w:val="none" w:sz="0" w:space="0" w:color="auto"/>
        <w:right w:val="none" w:sz="0" w:space="0" w:color="auto"/>
      </w:divBdr>
    </w:div>
    <w:div w:id="1496915539">
      <w:bodyDiv w:val="1"/>
      <w:marLeft w:val="0"/>
      <w:marRight w:val="0"/>
      <w:marTop w:val="0"/>
      <w:marBottom w:val="0"/>
      <w:divBdr>
        <w:top w:val="none" w:sz="0" w:space="0" w:color="auto"/>
        <w:left w:val="none" w:sz="0" w:space="0" w:color="auto"/>
        <w:bottom w:val="none" w:sz="0" w:space="0" w:color="auto"/>
        <w:right w:val="none" w:sz="0" w:space="0" w:color="auto"/>
      </w:divBdr>
    </w:div>
    <w:div w:id="1504858188">
      <w:bodyDiv w:val="1"/>
      <w:marLeft w:val="0"/>
      <w:marRight w:val="0"/>
      <w:marTop w:val="0"/>
      <w:marBottom w:val="0"/>
      <w:divBdr>
        <w:top w:val="none" w:sz="0" w:space="0" w:color="auto"/>
        <w:left w:val="none" w:sz="0" w:space="0" w:color="auto"/>
        <w:bottom w:val="none" w:sz="0" w:space="0" w:color="auto"/>
        <w:right w:val="none" w:sz="0" w:space="0" w:color="auto"/>
      </w:divBdr>
    </w:div>
    <w:div w:id="1505590220">
      <w:bodyDiv w:val="1"/>
      <w:marLeft w:val="0"/>
      <w:marRight w:val="0"/>
      <w:marTop w:val="0"/>
      <w:marBottom w:val="0"/>
      <w:divBdr>
        <w:top w:val="none" w:sz="0" w:space="0" w:color="auto"/>
        <w:left w:val="none" w:sz="0" w:space="0" w:color="auto"/>
        <w:bottom w:val="none" w:sz="0" w:space="0" w:color="auto"/>
        <w:right w:val="none" w:sz="0" w:space="0" w:color="auto"/>
      </w:divBdr>
    </w:div>
    <w:div w:id="1508709453">
      <w:bodyDiv w:val="1"/>
      <w:marLeft w:val="0"/>
      <w:marRight w:val="0"/>
      <w:marTop w:val="0"/>
      <w:marBottom w:val="0"/>
      <w:divBdr>
        <w:top w:val="none" w:sz="0" w:space="0" w:color="auto"/>
        <w:left w:val="none" w:sz="0" w:space="0" w:color="auto"/>
        <w:bottom w:val="none" w:sz="0" w:space="0" w:color="auto"/>
        <w:right w:val="none" w:sz="0" w:space="0" w:color="auto"/>
      </w:divBdr>
    </w:div>
    <w:div w:id="1510172052">
      <w:bodyDiv w:val="1"/>
      <w:marLeft w:val="0"/>
      <w:marRight w:val="0"/>
      <w:marTop w:val="0"/>
      <w:marBottom w:val="0"/>
      <w:divBdr>
        <w:top w:val="none" w:sz="0" w:space="0" w:color="auto"/>
        <w:left w:val="none" w:sz="0" w:space="0" w:color="auto"/>
        <w:bottom w:val="none" w:sz="0" w:space="0" w:color="auto"/>
        <w:right w:val="none" w:sz="0" w:space="0" w:color="auto"/>
      </w:divBdr>
    </w:div>
    <w:div w:id="1518230814">
      <w:bodyDiv w:val="1"/>
      <w:marLeft w:val="0"/>
      <w:marRight w:val="0"/>
      <w:marTop w:val="0"/>
      <w:marBottom w:val="0"/>
      <w:divBdr>
        <w:top w:val="none" w:sz="0" w:space="0" w:color="auto"/>
        <w:left w:val="none" w:sz="0" w:space="0" w:color="auto"/>
        <w:bottom w:val="none" w:sz="0" w:space="0" w:color="auto"/>
        <w:right w:val="none" w:sz="0" w:space="0" w:color="auto"/>
      </w:divBdr>
    </w:div>
    <w:div w:id="1518888450">
      <w:bodyDiv w:val="1"/>
      <w:marLeft w:val="0"/>
      <w:marRight w:val="0"/>
      <w:marTop w:val="0"/>
      <w:marBottom w:val="0"/>
      <w:divBdr>
        <w:top w:val="none" w:sz="0" w:space="0" w:color="auto"/>
        <w:left w:val="none" w:sz="0" w:space="0" w:color="auto"/>
        <w:bottom w:val="none" w:sz="0" w:space="0" w:color="auto"/>
        <w:right w:val="none" w:sz="0" w:space="0" w:color="auto"/>
      </w:divBdr>
    </w:div>
    <w:div w:id="1519808023">
      <w:bodyDiv w:val="1"/>
      <w:marLeft w:val="0"/>
      <w:marRight w:val="0"/>
      <w:marTop w:val="0"/>
      <w:marBottom w:val="0"/>
      <w:divBdr>
        <w:top w:val="none" w:sz="0" w:space="0" w:color="auto"/>
        <w:left w:val="none" w:sz="0" w:space="0" w:color="auto"/>
        <w:bottom w:val="none" w:sz="0" w:space="0" w:color="auto"/>
        <w:right w:val="none" w:sz="0" w:space="0" w:color="auto"/>
      </w:divBdr>
    </w:div>
    <w:div w:id="1536625719">
      <w:bodyDiv w:val="1"/>
      <w:marLeft w:val="0"/>
      <w:marRight w:val="0"/>
      <w:marTop w:val="0"/>
      <w:marBottom w:val="0"/>
      <w:divBdr>
        <w:top w:val="none" w:sz="0" w:space="0" w:color="auto"/>
        <w:left w:val="none" w:sz="0" w:space="0" w:color="auto"/>
        <w:bottom w:val="none" w:sz="0" w:space="0" w:color="auto"/>
        <w:right w:val="none" w:sz="0" w:space="0" w:color="auto"/>
      </w:divBdr>
    </w:div>
    <w:div w:id="1537691318">
      <w:bodyDiv w:val="1"/>
      <w:marLeft w:val="0"/>
      <w:marRight w:val="0"/>
      <w:marTop w:val="0"/>
      <w:marBottom w:val="0"/>
      <w:divBdr>
        <w:top w:val="none" w:sz="0" w:space="0" w:color="auto"/>
        <w:left w:val="none" w:sz="0" w:space="0" w:color="auto"/>
        <w:bottom w:val="none" w:sz="0" w:space="0" w:color="auto"/>
        <w:right w:val="none" w:sz="0" w:space="0" w:color="auto"/>
      </w:divBdr>
    </w:div>
    <w:div w:id="1539852190">
      <w:bodyDiv w:val="1"/>
      <w:marLeft w:val="0"/>
      <w:marRight w:val="0"/>
      <w:marTop w:val="0"/>
      <w:marBottom w:val="0"/>
      <w:divBdr>
        <w:top w:val="none" w:sz="0" w:space="0" w:color="auto"/>
        <w:left w:val="none" w:sz="0" w:space="0" w:color="auto"/>
        <w:bottom w:val="none" w:sz="0" w:space="0" w:color="auto"/>
        <w:right w:val="none" w:sz="0" w:space="0" w:color="auto"/>
      </w:divBdr>
    </w:div>
    <w:div w:id="1550991162">
      <w:bodyDiv w:val="1"/>
      <w:marLeft w:val="0"/>
      <w:marRight w:val="0"/>
      <w:marTop w:val="0"/>
      <w:marBottom w:val="0"/>
      <w:divBdr>
        <w:top w:val="none" w:sz="0" w:space="0" w:color="auto"/>
        <w:left w:val="none" w:sz="0" w:space="0" w:color="auto"/>
        <w:bottom w:val="none" w:sz="0" w:space="0" w:color="auto"/>
        <w:right w:val="none" w:sz="0" w:space="0" w:color="auto"/>
      </w:divBdr>
    </w:div>
    <w:div w:id="1567108492">
      <w:bodyDiv w:val="1"/>
      <w:marLeft w:val="0"/>
      <w:marRight w:val="0"/>
      <w:marTop w:val="0"/>
      <w:marBottom w:val="0"/>
      <w:divBdr>
        <w:top w:val="none" w:sz="0" w:space="0" w:color="auto"/>
        <w:left w:val="none" w:sz="0" w:space="0" w:color="auto"/>
        <w:bottom w:val="none" w:sz="0" w:space="0" w:color="auto"/>
        <w:right w:val="none" w:sz="0" w:space="0" w:color="auto"/>
      </w:divBdr>
    </w:div>
    <w:div w:id="1567447205">
      <w:bodyDiv w:val="1"/>
      <w:marLeft w:val="0"/>
      <w:marRight w:val="0"/>
      <w:marTop w:val="0"/>
      <w:marBottom w:val="0"/>
      <w:divBdr>
        <w:top w:val="none" w:sz="0" w:space="0" w:color="auto"/>
        <w:left w:val="none" w:sz="0" w:space="0" w:color="auto"/>
        <w:bottom w:val="none" w:sz="0" w:space="0" w:color="auto"/>
        <w:right w:val="none" w:sz="0" w:space="0" w:color="auto"/>
      </w:divBdr>
    </w:div>
    <w:div w:id="1578201693">
      <w:bodyDiv w:val="1"/>
      <w:marLeft w:val="0"/>
      <w:marRight w:val="0"/>
      <w:marTop w:val="0"/>
      <w:marBottom w:val="0"/>
      <w:divBdr>
        <w:top w:val="none" w:sz="0" w:space="0" w:color="auto"/>
        <w:left w:val="none" w:sz="0" w:space="0" w:color="auto"/>
        <w:bottom w:val="none" w:sz="0" w:space="0" w:color="auto"/>
        <w:right w:val="none" w:sz="0" w:space="0" w:color="auto"/>
      </w:divBdr>
    </w:div>
    <w:div w:id="1581980875">
      <w:bodyDiv w:val="1"/>
      <w:marLeft w:val="0"/>
      <w:marRight w:val="0"/>
      <w:marTop w:val="0"/>
      <w:marBottom w:val="0"/>
      <w:divBdr>
        <w:top w:val="none" w:sz="0" w:space="0" w:color="auto"/>
        <w:left w:val="none" w:sz="0" w:space="0" w:color="auto"/>
        <w:bottom w:val="none" w:sz="0" w:space="0" w:color="auto"/>
        <w:right w:val="none" w:sz="0" w:space="0" w:color="auto"/>
      </w:divBdr>
    </w:div>
    <w:div w:id="1591547655">
      <w:bodyDiv w:val="1"/>
      <w:marLeft w:val="0"/>
      <w:marRight w:val="0"/>
      <w:marTop w:val="0"/>
      <w:marBottom w:val="0"/>
      <w:divBdr>
        <w:top w:val="none" w:sz="0" w:space="0" w:color="auto"/>
        <w:left w:val="none" w:sz="0" w:space="0" w:color="auto"/>
        <w:bottom w:val="none" w:sz="0" w:space="0" w:color="auto"/>
        <w:right w:val="none" w:sz="0" w:space="0" w:color="auto"/>
      </w:divBdr>
    </w:div>
    <w:div w:id="1594171260">
      <w:bodyDiv w:val="1"/>
      <w:marLeft w:val="0"/>
      <w:marRight w:val="0"/>
      <w:marTop w:val="0"/>
      <w:marBottom w:val="0"/>
      <w:divBdr>
        <w:top w:val="none" w:sz="0" w:space="0" w:color="auto"/>
        <w:left w:val="none" w:sz="0" w:space="0" w:color="auto"/>
        <w:bottom w:val="none" w:sz="0" w:space="0" w:color="auto"/>
        <w:right w:val="none" w:sz="0" w:space="0" w:color="auto"/>
      </w:divBdr>
    </w:div>
    <w:div w:id="1602685407">
      <w:bodyDiv w:val="1"/>
      <w:marLeft w:val="0"/>
      <w:marRight w:val="0"/>
      <w:marTop w:val="0"/>
      <w:marBottom w:val="0"/>
      <w:divBdr>
        <w:top w:val="none" w:sz="0" w:space="0" w:color="auto"/>
        <w:left w:val="none" w:sz="0" w:space="0" w:color="auto"/>
        <w:bottom w:val="none" w:sz="0" w:space="0" w:color="auto"/>
        <w:right w:val="none" w:sz="0" w:space="0" w:color="auto"/>
      </w:divBdr>
    </w:div>
    <w:div w:id="1610547866">
      <w:bodyDiv w:val="1"/>
      <w:marLeft w:val="0"/>
      <w:marRight w:val="0"/>
      <w:marTop w:val="0"/>
      <w:marBottom w:val="0"/>
      <w:divBdr>
        <w:top w:val="none" w:sz="0" w:space="0" w:color="auto"/>
        <w:left w:val="none" w:sz="0" w:space="0" w:color="auto"/>
        <w:bottom w:val="none" w:sz="0" w:space="0" w:color="auto"/>
        <w:right w:val="none" w:sz="0" w:space="0" w:color="auto"/>
      </w:divBdr>
    </w:div>
    <w:div w:id="1611664781">
      <w:bodyDiv w:val="1"/>
      <w:marLeft w:val="0"/>
      <w:marRight w:val="0"/>
      <w:marTop w:val="0"/>
      <w:marBottom w:val="0"/>
      <w:divBdr>
        <w:top w:val="none" w:sz="0" w:space="0" w:color="auto"/>
        <w:left w:val="none" w:sz="0" w:space="0" w:color="auto"/>
        <w:bottom w:val="none" w:sz="0" w:space="0" w:color="auto"/>
        <w:right w:val="none" w:sz="0" w:space="0" w:color="auto"/>
      </w:divBdr>
    </w:div>
    <w:div w:id="1612862836">
      <w:bodyDiv w:val="1"/>
      <w:marLeft w:val="0"/>
      <w:marRight w:val="0"/>
      <w:marTop w:val="0"/>
      <w:marBottom w:val="0"/>
      <w:divBdr>
        <w:top w:val="none" w:sz="0" w:space="0" w:color="auto"/>
        <w:left w:val="none" w:sz="0" w:space="0" w:color="auto"/>
        <w:bottom w:val="none" w:sz="0" w:space="0" w:color="auto"/>
        <w:right w:val="none" w:sz="0" w:space="0" w:color="auto"/>
      </w:divBdr>
    </w:div>
    <w:div w:id="1614706225">
      <w:bodyDiv w:val="1"/>
      <w:marLeft w:val="0"/>
      <w:marRight w:val="0"/>
      <w:marTop w:val="0"/>
      <w:marBottom w:val="0"/>
      <w:divBdr>
        <w:top w:val="none" w:sz="0" w:space="0" w:color="auto"/>
        <w:left w:val="none" w:sz="0" w:space="0" w:color="auto"/>
        <w:bottom w:val="none" w:sz="0" w:space="0" w:color="auto"/>
        <w:right w:val="none" w:sz="0" w:space="0" w:color="auto"/>
      </w:divBdr>
    </w:div>
    <w:div w:id="1623422060">
      <w:bodyDiv w:val="1"/>
      <w:marLeft w:val="0"/>
      <w:marRight w:val="0"/>
      <w:marTop w:val="0"/>
      <w:marBottom w:val="0"/>
      <w:divBdr>
        <w:top w:val="none" w:sz="0" w:space="0" w:color="auto"/>
        <w:left w:val="none" w:sz="0" w:space="0" w:color="auto"/>
        <w:bottom w:val="none" w:sz="0" w:space="0" w:color="auto"/>
        <w:right w:val="none" w:sz="0" w:space="0" w:color="auto"/>
      </w:divBdr>
    </w:div>
    <w:div w:id="1623533509">
      <w:bodyDiv w:val="1"/>
      <w:marLeft w:val="0"/>
      <w:marRight w:val="0"/>
      <w:marTop w:val="0"/>
      <w:marBottom w:val="0"/>
      <w:divBdr>
        <w:top w:val="none" w:sz="0" w:space="0" w:color="auto"/>
        <w:left w:val="none" w:sz="0" w:space="0" w:color="auto"/>
        <w:bottom w:val="none" w:sz="0" w:space="0" w:color="auto"/>
        <w:right w:val="none" w:sz="0" w:space="0" w:color="auto"/>
      </w:divBdr>
    </w:div>
    <w:div w:id="1630286391">
      <w:bodyDiv w:val="1"/>
      <w:marLeft w:val="0"/>
      <w:marRight w:val="0"/>
      <w:marTop w:val="0"/>
      <w:marBottom w:val="0"/>
      <w:divBdr>
        <w:top w:val="none" w:sz="0" w:space="0" w:color="auto"/>
        <w:left w:val="none" w:sz="0" w:space="0" w:color="auto"/>
        <w:bottom w:val="none" w:sz="0" w:space="0" w:color="auto"/>
        <w:right w:val="none" w:sz="0" w:space="0" w:color="auto"/>
      </w:divBdr>
    </w:div>
    <w:div w:id="1639649390">
      <w:bodyDiv w:val="1"/>
      <w:marLeft w:val="0"/>
      <w:marRight w:val="0"/>
      <w:marTop w:val="0"/>
      <w:marBottom w:val="0"/>
      <w:divBdr>
        <w:top w:val="none" w:sz="0" w:space="0" w:color="auto"/>
        <w:left w:val="none" w:sz="0" w:space="0" w:color="auto"/>
        <w:bottom w:val="none" w:sz="0" w:space="0" w:color="auto"/>
        <w:right w:val="none" w:sz="0" w:space="0" w:color="auto"/>
      </w:divBdr>
    </w:div>
    <w:div w:id="1641224378">
      <w:bodyDiv w:val="1"/>
      <w:marLeft w:val="0"/>
      <w:marRight w:val="0"/>
      <w:marTop w:val="0"/>
      <w:marBottom w:val="0"/>
      <w:divBdr>
        <w:top w:val="none" w:sz="0" w:space="0" w:color="auto"/>
        <w:left w:val="none" w:sz="0" w:space="0" w:color="auto"/>
        <w:bottom w:val="none" w:sz="0" w:space="0" w:color="auto"/>
        <w:right w:val="none" w:sz="0" w:space="0" w:color="auto"/>
      </w:divBdr>
    </w:div>
    <w:div w:id="1641420097">
      <w:bodyDiv w:val="1"/>
      <w:marLeft w:val="0"/>
      <w:marRight w:val="0"/>
      <w:marTop w:val="0"/>
      <w:marBottom w:val="0"/>
      <w:divBdr>
        <w:top w:val="none" w:sz="0" w:space="0" w:color="auto"/>
        <w:left w:val="none" w:sz="0" w:space="0" w:color="auto"/>
        <w:bottom w:val="none" w:sz="0" w:space="0" w:color="auto"/>
        <w:right w:val="none" w:sz="0" w:space="0" w:color="auto"/>
      </w:divBdr>
    </w:div>
    <w:div w:id="1646154196">
      <w:bodyDiv w:val="1"/>
      <w:marLeft w:val="0"/>
      <w:marRight w:val="0"/>
      <w:marTop w:val="0"/>
      <w:marBottom w:val="0"/>
      <w:divBdr>
        <w:top w:val="none" w:sz="0" w:space="0" w:color="auto"/>
        <w:left w:val="none" w:sz="0" w:space="0" w:color="auto"/>
        <w:bottom w:val="none" w:sz="0" w:space="0" w:color="auto"/>
        <w:right w:val="none" w:sz="0" w:space="0" w:color="auto"/>
      </w:divBdr>
    </w:div>
    <w:div w:id="1648197072">
      <w:bodyDiv w:val="1"/>
      <w:marLeft w:val="0"/>
      <w:marRight w:val="0"/>
      <w:marTop w:val="0"/>
      <w:marBottom w:val="0"/>
      <w:divBdr>
        <w:top w:val="none" w:sz="0" w:space="0" w:color="auto"/>
        <w:left w:val="none" w:sz="0" w:space="0" w:color="auto"/>
        <w:bottom w:val="none" w:sz="0" w:space="0" w:color="auto"/>
        <w:right w:val="none" w:sz="0" w:space="0" w:color="auto"/>
      </w:divBdr>
    </w:div>
    <w:div w:id="1649047719">
      <w:bodyDiv w:val="1"/>
      <w:marLeft w:val="0"/>
      <w:marRight w:val="0"/>
      <w:marTop w:val="0"/>
      <w:marBottom w:val="0"/>
      <w:divBdr>
        <w:top w:val="none" w:sz="0" w:space="0" w:color="auto"/>
        <w:left w:val="none" w:sz="0" w:space="0" w:color="auto"/>
        <w:bottom w:val="none" w:sz="0" w:space="0" w:color="auto"/>
        <w:right w:val="none" w:sz="0" w:space="0" w:color="auto"/>
      </w:divBdr>
    </w:div>
    <w:div w:id="1655261039">
      <w:bodyDiv w:val="1"/>
      <w:marLeft w:val="0"/>
      <w:marRight w:val="0"/>
      <w:marTop w:val="0"/>
      <w:marBottom w:val="0"/>
      <w:divBdr>
        <w:top w:val="none" w:sz="0" w:space="0" w:color="auto"/>
        <w:left w:val="none" w:sz="0" w:space="0" w:color="auto"/>
        <w:bottom w:val="none" w:sz="0" w:space="0" w:color="auto"/>
        <w:right w:val="none" w:sz="0" w:space="0" w:color="auto"/>
      </w:divBdr>
    </w:div>
    <w:div w:id="1655644093">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86977156">
      <w:bodyDiv w:val="1"/>
      <w:marLeft w:val="0"/>
      <w:marRight w:val="0"/>
      <w:marTop w:val="0"/>
      <w:marBottom w:val="0"/>
      <w:divBdr>
        <w:top w:val="none" w:sz="0" w:space="0" w:color="auto"/>
        <w:left w:val="none" w:sz="0" w:space="0" w:color="auto"/>
        <w:bottom w:val="none" w:sz="0" w:space="0" w:color="auto"/>
        <w:right w:val="none" w:sz="0" w:space="0" w:color="auto"/>
      </w:divBdr>
    </w:div>
    <w:div w:id="1692338140">
      <w:bodyDiv w:val="1"/>
      <w:marLeft w:val="0"/>
      <w:marRight w:val="0"/>
      <w:marTop w:val="0"/>
      <w:marBottom w:val="0"/>
      <w:divBdr>
        <w:top w:val="none" w:sz="0" w:space="0" w:color="auto"/>
        <w:left w:val="none" w:sz="0" w:space="0" w:color="auto"/>
        <w:bottom w:val="none" w:sz="0" w:space="0" w:color="auto"/>
        <w:right w:val="none" w:sz="0" w:space="0" w:color="auto"/>
      </w:divBdr>
    </w:div>
    <w:div w:id="1693992456">
      <w:bodyDiv w:val="1"/>
      <w:marLeft w:val="0"/>
      <w:marRight w:val="0"/>
      <w:marTop w:val="0"/>
      <w:marBottom w:val="0"/>
      <w:divBdr>
        <w:top w:val="none" w:sz="0" w:space="0" w:color="auto"/>
        <w:left w:val="none" w:sz="0" w:space="0" w:color="auto"/>
        <w:bottom w:val="none" w:sz="0" w:space="0" w:color="auto"/>
        <w:right w:val="none" w:sz="0" w:space="0" w:color="auto"/>
      </w:divBdr>
    </w:div>
    <w:div w:id="1695496663">
      <w:bodyDiv w:val="1"/>
      <w:marLeft w:val="0"/>
      <w:marRight w:val="0"/>
      <w:marTop w:val="0"/>
      <w:marBottom w:val="0"/>
      <w:divBdr>
        <w:top w:val="none" w:sz="0" w:space="0" w:color="auto"/>
        <w:left w:val="none" w:sz="0" w:space="0" w:color="auto"/>
        <w:bottom w:val="none" w:sz="0" w:space="0" w:color="auto"/>
        <w:right w:val="none" w:sz="0" w:space="0" w:color="auto"/>
      </w:divBdr>
    </w:div>
    <w:div w:id="1700205172">
      <w:bodyDiv w:val="1"/>
      <w:marLeft w:val="0"/>
      <w:marRight w:val="0"/>
      <w:marTop w:val="0"/>
      <w:marBottom w:val="0"/>
      <w:divBdr>
        <w:top w:val="none" w:sz="0" w:space="0" w:color="auto"/>
        <w:left w:val="none" w:sz="0" w:space="0" w:color="auto"/>
        <w:bottom w:val="none" w:sz="0" w:space="0" w:color="auto"/>
        <w:right w:val="none" w:sz="0" w:space="0" w:color="auto"/>
      </w:divBdr>
    </w:div>
    <w:div w:id="1703091956">
      <w:bodyDiv w:val="1"/>
      <w:marLeft w:val="0"/>
      <w:marRight w:val="0"/>
      <w:marTop w:val="0"/>
      <w:marBottom w:val="0"/>
      <w:divBdr>
        <w:top w:val="none" w:sz="0" w:space="0" w:color="auto"/>
        <w:left w:val="none" w:sz="0" w:space="0" w:color="auto"/>
        <w:bottom w:val="none" w:sz="0" w:space="0" w:color="auto"/>
        <w:right w:val="none" w:sz="0" w:space="0" w:color="auto"/>
      </w:divBdr>
    </w:div>
    <w:div w:id="1710177433">
      <w:bodyDiv w:val="1"/>
      <w:marLeft w:val="0"/>
      <w:marRight w:val="0"/>
      <w:marTop w:val="0"/>
      <w:marBottom w:val="0"/>
      <w:divBdr>
        <w:top w:val="none" w:sz="0" w:space="0" w:color="auto"/>
        <w:left w:val="none" w:sz="0" w:space="0" w:color="auto"/>
        <w:bottom w:val="none" w:sz="0" w:space="0" w:color="auto"/>
        <w:right w:val="none" w:sz="0" w:space="0" w:color="auto"/>
      </w:divBdr>
    </w:div>
    <w:div w:id="1713187106">
      <w:bodyDiv w:val="1"/>
      <w:marLeft w:val="0"/>
      <w:marRight w:val="0"/>
      <w:marTop w:val="0"/>
      <w:marBottom w:val="0"/>
      <w:divBdr>
        <w:top w:val="none" w:sz="0" w:space="0" w:color="auto"/>
        <w:left w:val="none" w:sz="0" w:space="0" w:color="auto"/>
        <w:bottom w:val="none" w:sz="0" w:space="0" w:color="auto"/>
        <w:right w:val="none" w:sz="0" w:space="0" w:color="auto"/>
      </w:divBdr>
    </w:div>
    <w:div w:id="1724712180">
      <w:bodyDiv w:val="1"/>
      <w:marLeft w:val="0"/>
      <w:marRight w:val="0"/>
      <w:marTop w:val="0"/>
      <w:marBottom w:val="0"/>
      <w:divBdr>
        <w:top w:val="none" w:sz="0" w:space="0" w:color="auto"/>
        <w:left w:val="none" w:sz="0" w:space="0" w:color="auto"/>
        <w:bottom w:val="none" w:sz="0" w:space="0" w:color="auto"/>
        <w:right w:val="none" w:sz="0" w:space="0" w:color="auto"/>
      </w:divBdr>
    </w:div>
    <w:div w:id="1725106342">
      <w:bodyDiv w:val="1"/>
      <w:marLeft w:val="0"/>
      <w:marRight w:val="0"/>
      <w:marTop w:val="0"/>
      <w:marBottom w:val="0"/>
      <w:divBdr>
        <w:top w:val="none" w:sz="0" w:space="0" w:color="auto"/>
        <w:left w:val="none" w:sz="0" w:space="0" w:color="auto"/>
        <w:bottom w:val="none" w:sz="0" w:space="0" w:color="auto"/>
        <w:right w:val="none" w:sz="0" w:space="0" w:color="auto"/>
      </w:divBdr>
    </w:div>
    <w:div w:id="1740980442">
      <w:bodyDiv w:val="1"/>
      <w:marLeft w:val="0"/>
      <w:marRight w:val="0"/>
      <w:marTop w:val="0"/>
      <w:marBottom w:val="0"/>
      <w:divBdr>
        <w:top w:val="none" w:sz="0" w:space="0" w:color="auto"/>
        <w:left w:val="none" w:sz="0" w:space="0" w:color="auto"/>
        <w:bottom w:val="none" w:sz="0" w:space="0" w:color="auto"/>
        <w:right w:val="none" w:sz="0" w:space="0" w:color="auto"/>
      </w:divBdr>
    </w:div>
    <w:div w:id="1742412173">
      <w:bodyDiv w:val="1"/>
      <w:marLeft w:val="0"/>
      <w:marRight w:val="0"/>
      <w:marTop w:val="0"/>
      <w:marBottom w:val="0"/>
      <w:divBdr>
        <w:top w:val="none" w:sz="0" w:space="0" w:color="auto"/>
        <w:left w:val="none" w:sz="0" w:space="0" w:color="auto"/>
        <w:bottom w:val="none" w:sz="0" w:space="0" w:color="auto"/>
        <w:right w:val="none" w:sz="0" w:space="0" w:color="auto"/>
      </w:divBdr>
    </w:div>
    <w:div w:id="1747877470">
      <w:bodyDiv w:val="1"/>
      <w:marLeft w:val="0"/>
      <w:marRight w:val="0"/>
      <w:marTop w:val="0"/>
      <w:marBottom w:val="0"/>
      <w:divBdr>
        <w:top w:val="none" w:sz="0" w:space="0" w:color="auto"/>
        <w:left w:val="none" w:sz="0" w:space="0" w:color="auto"/>
        <w:bottom w:val="none" w:sz="0" w:space="0" w:color="auto"/>
        <w:right w:val="none" w:sz="0" w:space="0" w:color="auto"/>
      </w:divBdr>
    </w:div>
    <w:div w:id="1754888851">
      <w:bodyDiv w:val="1"/>
      <w:marLeft w:val="0"/>
      <w:marRight w:val="0"/>
      <w:marTop w:val="0"/>
      <w:marBottom w:val="0"/>
      <w:divBdr>
        <w:top w:val="none" w:sz="0" w:space="0" w:color="auto"/>
        <w:left w:val="none" w:sz="0" w:space="0" w:color="auto"/>
        <w:bottom w:val="none" w:sz="0" w:space="0" w:color="auto"/>
        <w:right w:val="none" w:sz="0" w:space="0" w:color="auto"/>
      </w:divBdr>
    </w:div>
    <w:div w:id="1756242246">
      <w:bodyDiv w:val="1"/>
      <w:marLeft w:val="0"/>
      <w:marRight w:val="0"/>
      <w:marTop w:val="0"/>
      <w:marBottom w:val="0"/>
      <w:divBdr>
        <w:top w:val="none" w:sz="0" w:space="0" w:color="auto"/>
        <w:left w:val="none" w:sz="0" w:space="0" w:color="auto"/>
        <w:bottom w:val="none" w:sz="0" w:space="0" w:color="auto"/>
        <w:right w:val="none" w:sz="0" w:space="0" w:color="auto"/>
      </w:divBdr>
    </w:div>
    <w:div w:id="1757745262">
      <w:bodyDiv w:val="1"/>
      <w:marLeft w:val="0"/>
      <w:marRight w:val="0"/>
      <w:marTop w:val="0"/>
      <w:marBottom w:val="0"/>
      <w:divBdr>
        <w:top w:val="none" w:sz="0" w:space="0" w:color="auto"/>
        <w:left w:val="none" w:sz="0" w:space="0" w:color="auto"/>
        <w:bottom w:val="none" w:sz="0" w:space="0" w:color="auto"/>
        <w:right w:val="none" w:sz="0" w:space="0" w:color="auto"/>
      </w:divBdr>
    </w:div>
    <w:div w:id="1768425758">
      <w:bodyDiv w:val="1"/>
      <w:marLeft w:val="0"/>
      <w:marRight w:val="0"/>
      <w:marTop w:val="0"/>
      <w:marBottom w:val="0"/>
      <w:divBdr>
        <w:top w:val="none" w:sz="0" w:space="0" w:color="auto"/>
        <w:left w:val="none" w:sz="0" w:space="0" w:color="auto"/>
        <w:bottom w:val="none" w:sz="0" w:space="0" w:color="auto"/>
        <w:right w:val="none" w:sz="0" w:space="0" w:color="auto"/>
      </w:divBdr>
    </w:div>
    <w:div w:id="1769617191">
      <w:bodyDiv w:val="1"/>
      <w:marLeft w:val="0"/>
      <w:marRight w:val="0"/>
      <w:marTop w:val="0"/>
      <w:marBottom w:val="0"/>
      <w:divBdr>
        <w:top w:val="none" w:sz="0" w:space="0" w:color="auto"/>
        <w:left w:val="none" w:sz="0" w:space="0" w:color="auto"/>
        <w:bottom w:val="none" w:sz="0" w:space="0" w:color="auto"/>
        <w:right w:val="none" w:sz="0" w:space="0" w:color="auto"/>
      </w:divBdr>
    </w:div>
    <w:div w:id="1773471895">
      <w:bodyDiv w:val="1"/>
      <w:marLeft w:val="0"/>
      <w:marRight w:val="0"/>
      <w:marTop w:val="0"/>
      <w:marBottom w:val="0"/>
      <w:divBdr>
        <w:top w:val="none" w:sz="0" w:space="0" w:color="auto"/>
        <w:left w:val="none" w:sz="0" w:space="0" w:color="auto"/>
        <w:bottom w:val="none" w:sz="0" w:space="0" w:color="auto"/>
        <w:right w:val="none" w:sz="0" w:space="0" w:color="auto"/>
      </w:divBdr>
    </w:div>
    <w:div w:id="1787387402">
      <w:bodyDiv w:val="1"/>
      <w:marLeft w:val="0"/>
      <w:marRight w:val="0"/>
      <w:marTop w:val="0"/>
      <w:marBottom w:val="0"/>
      <w:divBdr>
        <w:top w:val="none" w:sz="0" w:space="0" w:color="auto"/>
        <w:left w:val="none" w:sz="0" w:space="0" w:color="auto"/>
        <w:bottom w:val="none" w:sz="0" w:space="0" w:color="auto"/>
        <w:right w:val="none" w:sz="0" w:space="0" w:color="auto"/>
      </w:divBdr>
    </w:div>
    <w:div w:id="1792283251">
      <w:bodyDiv w:val="1"/>
      <w:marLeft w:val="0"/>
      <w:marRight w:val="0"/>
      <w:marTop w:val="0"/>
      <w:marBottom w:val="0"/>
      <w:divBdr>
        <w:top w:val="none" w:sz="0" w:space="0" w:color="auto"/>
        <w:left w:val="none" w:sz="0" w:space="0" w:color="auto"/>
        <w:bottom w:val="none" w:sz="0" w:space="0" w:color="auto"/>
        <w:right w:val="none" w:sz="0" w:space="0" w:color="auto"/>
      </w:divBdr>
    </w:div>
    <w:div w:id="1794980472">
      <w:bodyDiv w:val="1"/>
      <w:marLeft w:val="0"/>
      <w:marRight w:val="0"/>
      <w:marTop w:val="0"/>
      <w:marBottom w:val="0"/>
      <w:divBdr>
        <w:top w:val="none" w:sz="0" w:space="0" w:color="auto"/>
        <w:left w:val="none" w:sz="0" w:space="0" w:color="auto"/>
        <w:bottom w:val="none" w:sz="0" w:space="0" w:color="auto"/>
        <w:right w:val="none" w:sz="0" w:space="0" w:color="auto"/>
      </w:divBdr>
    </w:div>
    <w:div w:id="1801068359">
      <w:bodyDiv w:val="1"/>
      <w:marLeft w:val="0"/>
      <w:marRight w:val="0"/>
      <w:marTop w:val="0"/>
      <w:marBottom w:val="0"/>
      <w:divBdr>
        <w:top w:val="none" w:sz="0" w:space="0" w:color="auto"/>
        <w:left w:val="none" w:sz="0" w:space="0" w:color="auto"/>
        <w:bottom w:val="none" w:sz="0" w:space="0" w:color="auto"/>
        <w:right w:val="none" w:sz="0" w:space="0" w:color="auto"/>
      </w:divBdr>
    </w:div>
    <w:div w:id="1811703039">
      <w:bodyDiv w:val="1"/>
      <w:marLeft w:val="0"/>
      <w:marRight w:val="0"/>
      <w:marTop w:val="0"/>
      <w:marBottom w:val="0"/>
      <w:divBdr>
        <w:top w:val="none" w:sz="0" w:space="0" w:color="auto"/>
        <w:left w:val="none" w:sz="0" w:space="0" w:color="auto"/>
        <w:bottom w:val="none" w:sz="0" w:space="0" w:color="auto"/>
        <w:right w:val="none" w:sz="0" w:space="0" w:color="auto"/>
      </w:divBdr>
    </w:div>
    <w:div w:id="1818256632">
      <w:bodyDiv w:val="1"/>
      <w:marLeft w:val="0"/>
      <w:marRight w:val="0"/>
      <w:marTop w:val="0"/>
      <w:marBottom w:val="0"/>
      <w:divBdr>
        <w:top w:val="none" w:sz="0" w:space="0" w:color="auto"/>
        <w:left w:val="none" w:sz="0" w:space="0" w:color="auto"/>
        <w:bottom w:val="none" w:sz="0" w:space="0" w:color="auto"/>
        <w:right w:val="none" w:sz="0" w:space="0" w:color="auto"/>
      </w:divBdr>
    </w:div>
    <w:div w:id="1836534524">
      <w:bodyDiv w:val="1"/>
      <w:marLeft w:val="0"/>
      <w:marRight w:val="0"/>
      <w:marTop w:val="0"/>
      <w:marBottom w:val="0"/>
      <w:divBdr>
        <w:top w:val="none" w:sz="0" w:space="0" w:color="auto"/>
        <w:left w:val="none" w:sz="0" w:space="0" w:color="auto"/>
        <w:bottom w:val="none" w:sz="0" w:space="0" w:color="auto"/>
        <w:right w:val="none" w:sz="0" w:space="0" w:color="auto"/>
      </w:divBdr>
    </w:div>
    <w:div w:id="1840195451">
      <w:bodyDiv w:val="1"/>
      <w:marLeft w:val="0"/>
      <w:marRight w:val="0"/>
      <w:marTop w:val="0"/>
      <w:marBottom w:val="0"/>
      <w:divBdr>
        <w:top w:val="none" w:sz="0" w:space="0" w:color="auto"/>
        <w:left w:val="none" w:sz="0" w:space="0" w:color="auto"/>
        <w:bottom w:val="none" w:sz="0" w:space="0" w:color="auto"/>
        <w:right w:val="none" w:sz="0" w:space="0" w:color="auto"/>
      </w:divBdr>
    </w:div>
    <w:div w:id="1849174047">
      <w:bodyDiv w:val="1"/>
      <w:marLeft w:val="0"/>
      <w:marRight w:val="0"/>
      <w:marTop w:val="0"/>
      <w:marBottom w:val="0"/>
      <w:divBdr>
        <w:top w:val="none" w:sz="0" w:space="0" w:color="auto"/>
        <w:left w:val="none" w:sz="0" w:space="0" w:color="auto"/>
        <w:bottom w:val="none" w:sz="0" w:space="0" w:color="auto"/>
        <w:right w:val="none" w:sz="0" w:space="0" w:color="auto"/>
      </w:divBdr>
    </w:div>
    <w:div w:id="1849827292">
      <w:bodyDiv w:val="1"/>
      <w:marLeft w:val="0"/>
      <w:marRight w:val="0"/>
      <w:marTop w:val="0"/>
      <w:marBottom w:val="0"/>
      <w:divBdr>
        <w:top w:val="none" w:sz="0" w:space="0" w:color="auto"/>
        <w:left w:val="none" w:sz="0" w:space="0" w:color="auto"/>
        <w:bottom w:val="none" w:sz="0" w:space="0" w:color="auto"/>
        <w:right w:val="none" w:sz="0" w:space="0" w:color="auto"/>
      </w:divBdr>
    </w:div>
    <w:div w:id="1856769584">
      <w:bodyDiv w:val="1"/>
      <w:marLeft w:val="0"/>
      <w:marRight w:val="0"/>
      <w:marTop w:val="0"/>
      <w:marBottom w:val="0"/>
      <w:divBdr>
        <w:top w:val="none" w:sz="0" w:space="0" w:color="auto"/>
        <w:left w:val="none" w:sz="0" w:space="0" w:color="auto"/>
        <w:bottom w:val="none" w:sz="0" w:space="0" w:color="auto"/>
        <w:right w:val="none" w:sz="0" w:space="0" w:color="auto"/>
      </w:divBdr>
    </w:div>
    <w:div w:id="1856924530">
      <w:bodyDiv w:val="1"/>
      <w:marLeft w:val="0"/>
      <w:marRight w:val="0"/>
      <w:marTop w:val="0"/>
      <w:marBottom w:val="0"/>
      <w:divBdr>
        <w:top w:val="none" w:sz="0" w:space="0" w:color="auto"/>
        <w:left w:val="none" w:sz="0" w:space="0" w:color="auto"/>
        <w:bottom w:val="none" w:sz="0" w:space="0" w:color="auto"/>
        <w:right w:val="none" w:sz="0" w:space="0" w:color="auto"/>
      </w:divBdr>
    </w:div>
    <w:div w:id="1868104164">
      <w:bodyDiv w:val="1"/>
      <w:marLeft w:val="0"/>
      <w:marRight w:val="0"/>
      <w:marTop w:val="0"/>
      <w:marBottom w:val="0"/>
      <w:divBdr>
        <w:top w:val="none" w:sz="0" w:space="0" w:color="auto"/>
        <w:left w:val="none" w:sz="0" w:space="0" w:color="auto"/>
        <w:bottom w:val="none" w:sz="0" w:space="0" w:color="auto"/>
        <w:right w:val="none" w:sz="0" w:space="0" w:color="auto"/>
      </w:divBdr>
    </w:div>
    <w:div w:id="1873954315">
      <w:bodyDiv w:val="1"/>
      <w:marLeft w:val="0"/>
      <w:marRight w:val="0"/>
      <w:marTop w:val="0"/>
      <w:marBottom w:val="0"/>
      <w:divBdr>
        <w:top w:val="none" w:sz="0" w:space="0" w:color="auto"/>
        <w:left w:val="none" w:sz="0" w:space="0" w:color="auto"/>
        <w:bottom w:val="none" w:sz="0" w:space="0" w:color="auto"/>
        <w:right w:val="none" w:sz="0" w:space="0" w:color="auto"/>
      </w:divBdr>
    </w:div>
    <w:div w:id="1874808265">
      <w:bodyDiv w:val="1"/>
      <w:marLeft w:val="0"/>
      <w:marRight w:val="0"/>
      <w:marTop w:val="0"/>
      <w:marBottom w:val="0"/>
      <w:divBdr>
        <w:top w:val="none" w:sz="0" w:space="0" w:color="auto"/>
        <w:left w:val="none" w:sz="0" w:space="0" w:color="auto"/>
        <w:bottom w:val="none" w:sz="0" w:space="0" w:color="auto"/>
        <w:right w:val="none" w:sz="0" w:space="0" w:color="auto"/>
      </w:divBdr>
    </w:div>
    <w:div w:id="1875536436">
      <w:bodyDiv w:val="1"/>
      <w:marLeft w:val="0"/>
      <w:marRight w:val="0"/>
      <w:marTop w:val="0"/>
      <w:marBottom w:val="0"/>
      <w:divBdr>
        <w:top w:val="none" w:sz="0" w:space="0" w:color="auto"/>
        <w:left w:val="none" w:sz="0" w:space="0" w:color="auto"/>
        <w:bottom w:val="none" w:sz="0" w:space="0" w:color="auto"/>
        <w:right w:val="none" w:sz="0" w:space="0" w:color="auto"/>
      </w:divBdr>
    </w:div>
    <w:div w:id="1876458416">
      <w:bodyDiv w:val="1"/>
      <w:marLeft w:val="0"/>
      <w:marRight w:val="0"/>
      <w:marTop w:val="0"/>
      <w:marBottom w:val="0"/>
      <w:divBdr>
        <w:top w:val="none" w:sz="0" w:space="0" w:color="auto"/>
        <w:left w:val="none" w:sz="0" w:space="0" w:color="auto"/>
        <w:bottom w:val="none" w:sz="0" w:space="0" w:color="auto"/>
        <w:right w:val="none" w:sz="0" w:space="0" w:color="auto"/>
      </w:divBdr>
    </w:div>
    <w:div w:id="1877083517">
      <w:bodyDiv w:val="1"/>
      <w:marLeft w:val="0"/>
      <w:marRight w:val="0"/>
      <w:marTop w:val="0"/>
      <w:marBottom w:val="0"/>
      <w:divBdr>
        <w:top w:val="none" w:sz="0" w:space="0" w:color="auto"/>
        <w:left w:val="none" w:sz="0" w:space="0" w:color="auto"/>
        <w:bottom w:val="none" w:sz="0" w:space="0" w:color="auto"/>
        <w:right w:val="none" w:sz="0" w:space="0" w:color="auto"/>
      </w:divBdr>
    </w:div>
    <w:div w:id="1882328006">
      <w:bodyDiv w:val="1"/>
      <w:marLeft w:val="0"/>
      <w:marRight w:val="0"/>
      <w:marTop w:val="0"/>
      <w:marBottom w:val="0"/>
      <w:divBdr>
        <w:top w:val="none" w:sz="0" w:space="0" w:color="auto"/>
        <w:left w:val="none" w:sz="0" w:space="0" w:color="auto"/>
        <w:bottom w:val="none" w:sz="0" w:space="0" w:color="auto"/>
        <w:right w:val="none" w:sz="0" w:space="0" w:color="auto"/>
      </w:divBdr>
    </w:div>
    <w:div w:id="1884710532">
      <w:bodyDiv w:val="1"/>
      <w:marLeft w:val="0"/>
      <w:marRight w:val="0"/>
      <w:marTop w:val="0"/>
      <w:marBottom w:val="0"/>
      <w:divBdr>
        <w:top w:val="none" w:sz="0" w:space="0" w:color="auto"/>
        <w:left w:val="none" w:sz="0" w:space="0" w:color="auto"/>
        <w:bottom w:val="none" w:sz="0" w:space="0" w:color="auto"/>
        <w:right w:val="none" w:sz="0" w:space="0" w:color="auto"/>
      </w:divBdr>
    </w:div>
    <w:div w:id="1889491102">
      <w:bodyDiv w:val="1"/>
      <w:marLeft w:val="0"/>
      <w:marRight w:val="0"/>
      <w:marTop w:val="0"/>
      <w:marBottom w:val="0"/>
      <w:divBdr>
        <w:top w:val="none" w:sz="0" w:space="0" w:color="auto"/>
        <w:left w:val="none" w:sz="0" w:space="0" w:color="auto"/>
        <w:bottom w:val="none" w:sz="0" w:space="0" w:color="auto"/>
        <w:right w:val="none" w:sz="0" w:space="0" w:color="auto"/>
      </w:divBdr>
    </w:div>
    <w:div w:id="1890410728">
      <w:bodyDiv w:val="1"/>
      <w:marLeft w:val="0"/>
      <w:marRight w:val="0"/>
      <w:marTop w:val="0"/>
      <w:marBottom w:val="0"/>
      <w:divBdr>
        <w:top w:val="none" w:sz="0" w:space="0" w:color="auto"/>
        <w:left w:val="none" w:sz="0" w:space="0" w:color="auto"/>
        <w:bottom w:val="none" w:sz="0" w:space="0" w:color="auto"/>
        <w:right w:val="none" w:sz="0" w:space="0" w:color="auto"/>
      </w:divBdr>
    </w:div>
    <w:div w:id="1891963396">
      <w:bodyDiv w:val="1"/>
      <w:marLeft w:val="0"/>
      <w:marRight w:val="0"/>
      <w:marTop w:val="0"/>
      <w:marBottom w:val="0"/>
      <w:divBdr>
        <w:top w:val="none" w:sz="0" w:space="0" w:color="auto"/>
        <w:left w:val="none" w:sz="0" w:space="0" w:color="auto"/>
        <w:bottom w:val="none" w:sz="0" w:space="0" w:color="auto"/>
        <w:right w:val="none" w:sz="0" w:space="0" w:color="auto"/>
      </w:divBdr>
    </w:div>
    <w:div w:id="1907297072">
      <w:bodyDiv w:val="1"/>
      <w:marLeft w:val="0"/>
      <w:marRight w:val="0"/>
      <w:marTop w:val="0"/>
      <w:marBottom w:val="0"/>
      <w:divBdr>
        <w:top w:val="none" w:sz="0" w:space="0" w:color="auto"/>
        <w:left w:val="none" w:sz="0" w:space="0" w:color="auto"/>
        <w:bottom w:val="none" w:sz="0" w:space="0" w:color="auto"/>
        <w:right w:val="none" w:sz="0" w:space="0" w:color="auto"/>
      </w:divBdr>
    </w:div>
    <w:div w:id="1911037090">
      <w:bodyDiv w:val="1"/>
      <w:marLeft w:val="0"/>
      <w:marRight w:val="0"/>
      <w:marTop w:val="0"/>
      <w:marBottom w:val="0"/>
      <w:divBdr>
        <w:top w:val="none" w:sz="0" w:space="0" w:color="auto"/>
        <w:left w:val="none" w:sz="0" w:space="0" w:color="auto"/>
        <w:bottom w:val="none" w:sz="0" w:space="0" w:color="auto"/>
        <w:right w:val="none" w:sz="0" w:space="0" w:color="auto"/>
      </w:divBdr>
    </w:div>
    <w:div w:id="1911691118">
      <w:bodyDiv w:val="1"/>
      <w:marLeft w:val="0"/>
      <w:marRight w:val="0"/>
      <w:marTop w:val="0"/>
      <w:marBottom w:val="0"/>
      <w:divBdr>
        <w:top w:val="none" w:sz="0" w:space="0" w:color="auto"/>
        <w:left w:val="none" w:sz="0" w:space="0" w:color="auto"/>
        <w:bottom w:val="none" w:sz="0" w:space="0" w:color="auto"/>
        <w:right w:val="none" w:sz="0" w:space="0" w:color="auto"/>
      </w:divBdr>
    </w:div>
    <w:div w:id="1927763525">
      <w:bodyDiv w:val="1"/>
      <w:marLeft w:val="0"/>
      <w:marRight w:val="0"/>
      <w:marTop w:val="0"/>
      <w:marBottom w:val="0"/>
      <w:divBdr>
        <w:top w:val="none" w:sz="0" w:space="0" w:color="auto"/>
        <w:left w:val="none" w:sz="0" w:space="0" w:color="auto"/>
        <w:bottom w:val="none" w:sz="0" w:space="0" w:color="auto"/>
        <w:right w:val="none" w:sz="0" w:space="0" w:color="auto"/>
      </w:divBdr>
    </w:div>
    <w:div w:id="1929729673">
      <w:bodyDiv w:val="1"/>
      <w:marLeft w:val="0"/>
      <w:marRight w:val="0"/>
      <w:marTop w:val="0"/>
      <w:marBottom w:val="0"/>
      <w:divBdr>
        <w:top w:val="none" w:sz="0" w:space="0" w:color="auto"/>
        <w:left w:val="none" w:sz="0" w:space="0" w:color="auto"/>
        <w:bottom w:val="none" w:sz="0" w:space="0" w:color="auto"/>
        <w:right w:val="none" w:sz="0" w:space="0" w:color="auto"/>
      </w:divBdr>
    </w:div>
    <w:div w:id="1937858886">
      <w:bodyDiv w:val="1"/>
      <w:marLeft w:val="0"/>
      <w:marRight w:val="0"/>
      <w:marTop w:val="0"/>
      <w:marBottom w:val="0"/>
      <w:divBdr>
        <w:top w:val="none" w:sz="0" w:space="0" w:color="auto"/>
        <w:left w:val="none" w:sz="0" w:space="0" w:color="auto"/>
        <w:bottom w:val="none" w:sz="0" w:space="0" w:color="auto"/>
        <w:right w:val="none" w:sz="0" w:space="0" w:color="auto"/>
      </w:divBdr>
    </w:div>
    <w:div w:id="1938555837">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8996850">
      <w:bodyDiv w:val="1"/>
      <w:marLeft w:val="0"/>
      <w:marRight w:val="0"/>
      <w:marTop w:val="0"/>
      <w:marBottom w:val="0"/>
      <w:divBdr>
        <w:top w:val="none" w:sz="0" w:space="0" w:color="auto"/>
        <w:left w:val="none" w:sz="0" w:space="0" w:color="auto"/>
        <w:bottom w:val="none" w:sz="0" w:space="0" w:color="auto"/>
        <w:right w:val="none" w:sz="0" w:space="0" w:color="auto"/>
      </w:divBdr>
    </w:div>
    <w:div w:id="1952400290">
      <w:bodyDiv w:val="1"/>
      <w:marLeft w:val="0"/>
      <w:marRight w:val="0"/>
      <w:marTop w:val="0"/>
      <w:marBottom w:val="0"/>
      <w:divBdr>
        <w:top w:val="none" w:sz="0" w:space="0" w:color="auto"/>
        <w:left w:val="none" w:sz="0" w:space="0" w:color="auto"/>
        <w:bottom w:val="none" w:sz="0" w:space="0" w:color="auto"/>
        <w:right w:val="none" w:sz="0" w:space="0" w:color="auto"/>
      </w:divBdr>
    </w:div>
    <w:div w:id="1961834127">
      <w:bodyDiv w:val="1"/>
      <w:marLeft w:val="0"/>
      <w:marRight w:val="0"/>
      <w:marTop w:val="0"/>
      <w:marBottom w:val="0"/>
      <w:divBdr>
        <w:top w:val="none" w:sz="0" w:space="0" w:color="auto"/>
        <w:left w:val="none" w:sz="0" w:space="0" w:color="auto"/>
        <w:bottom w:val="none" w:sz="0" w:space="0" w:color="auto"/>
        <w:right w:val="none" w:sz="0" w:space="0" w:color="auto"/>
      </w:divBdr>
    </w:div>
    <w:div w:id="1966695256">
      <w:bodyDiv w:val="1"/>
      <w:marLeft w:val="0"/>
      <w:marRight w:val="0"/>
      <w:marTop w:val="0"/>
      <w:marBottom w:val="0"/>
      <w:divBdr>
        <w:top w:val="none" w:sz="0" w:space="0" w:color="auto"/>
        <w:left w:val="none" w:sz="0" w:space="0" w:color="auto"/>
        <w:bottom w:val="none" w:sz="0" w:space="0" w:color="auto"/>
        <w:right w:val="none" w:sz="0" w:space="0" w:color="auto"/>
      </w:divBdr>
    </w:div>
    <w:div w:id="1968853132">
      <w:bodyDiv w:val="1"/>
      <w:marLeft w:val="0"/>
      <w:marRight w:val="0"/>
      <w:marTop w:val="0"/>
      <w:marBottom w:val="0"/>
      <w:divBdr>
        <w:top w:val="none" w:sz="0" w:space="0" w:color="auto"/>
        <w:left w:val="none" w:sz="0" w:space="0" w:color="auto"/>
        <w:bottom w:val="none" w:sz="0" w:space="0" w:color="auto"/>
        <w:right w:val="none" w:sz="0" w:space="0" w:color="auto"/>
      </w:divBdr>
    </w:div>
    <w:div w:id="1969043376">
      <w:bodyDiv w:val="1"/>
      <w:marLeft w:val="0"/>
      <w:marRight w:val="0"/>
      <w:marTop w:val="0"/>
      <w:marBottom w:val="0"/>
      <w:divBdr>
        <w:top w:val="none" w:sz="0" w:space="0" w:color="auto"/>
        <w:left w:val="none" w:sz="0" w:space="0" w:color="auto"/>
        <w:bottom w:val="none" w:sz="0" w:space="0" w:color="auto"/>
        <w:right w:val="none" w:sz="0" w:space="0" w:color="auto"/>
      </w:divBdr>
    </w:div>
    <w:div w:id="1971086819">
      <w:bodyDiv w:val="1"/>
      <w:marLeft w:val="0"/>
      <w:marRight w:val="0"/>
      <w:marTop w:val="0"/>
      <w:marBottom w:val="0"/>
      <w:divBdr>
        <w:top w:val="none" w:sz="0" w:space="0" w:color="auto"/>
        <w:left w:val="none" w:sz="0" w:space="0" w:color="auto"/>
        <w:bottom w:val="none" w:sz="0" w:space="0" w:color="auto"/>
        <w:right w:val="none" w:sz="0" w:space="0" w:color="auto"/>
      </w:divBdr>
    </w:div>
    <w:div w:id="1972442150">
      <w:bodyDiv w:val="1"/>
      <w:marLeft w:val="0"/>
      <w:marRight w:val="0"/>
      <w:marTop w:val="0"/>
      <w:marBottom w:val="0"/>
      <w:divBdr>
        <w:top w:val="none" w:sz="0" w:space="0" w:color="auto"/>
        <w:left w:val="none" w:sz="0" w:space="0" w:color="auto"/>
        <w:bottom w:val="none" w:sz="0" w:space="0" w:color="auto"/>
        <w:right w:val="none" w:sz="0" w:space="0" w:color="auto"/>
      </w:divBdr>
    </w:div>
    <w:div w:id="1976763442">
      <w:bodyDiv w:val="1"/>
      <w:marLeft w:val="0"/>
      <w:marRight w:val="0"/>
      <w:marTop w:val="0"/>
      <w:marBottom w:val="0"/>
      <w:divBdr>
        <w:top w:val="none" w:sz="0" w:space="0" w:color="auto"/>
        <w:left w:val="none" w:sz="0" w:space="0" w:color="auto"/>
        <w:bottom w:val="none" w:sz="0" w:space="0" w:color="auto"/>
        <w:right w:val="none" w:sz="0" w:space="0" w:color="auto"/>
      </w:divBdr>
    </w:div>
    <w:div w:id="1989048996">
      <w:bodyDiv w:val="1"/>
      <w:marLeft w:val="0"/>
      <w:marRight w:val="0"/>
      <w:marTop w:val="0"/>
      <w:marBottom w:val="0"/>
      <w:divBdr>
        <w:top w:val="none" w:sz="0" w:space="0" w:color="auto"/>
        <w:left w:val="none" w:sz="0" w:space="0" w:color="auto"/>
        <w:bottom w:val="none" w:sz="0" w:space="0" w:color="auto"/>
        <w:right w:val="none" w:sz="0" w:space="0" w:color="auto"/>
      </w:divBdr>
    </w:div>
    <w:div w:id="1994983340">
      <w:bodyDiv w:val="1"/>
      <w:marLeft w:val="0"/>
      <w:marRight w:val="0"/>
      <w:marTop w:val="0"/>
      <w:marBottom w:val="0"/>
      <w:divBdr>
        <w:top w:val="none" w:sz="0" w:space="0" w:color="auto"/>
        <w:left w:val="none" w:sz="0" w:space="0" w:color="auto"/>
        <w:bottom w:val="none" w:sz="0" w:space="0" w:color="auto"/>
        <w:right w:val="none" w:sz="0" w:space="0" w:color="auto"/>
      </w:divBdr>
    </w:div>
    <w:div w:id="1999574667">
      <w:bodyDiv w:val="1"/>
      <w:marLeft w:val="0"/>
      <w:marRight w:val="0"/>
      <w:marTop w:val="0"/>
      <w:marBottom w:val="0"/>
      <w:divBdr>
        <w:top w:val="none" w:sz="0" w:space="0" w:color="auto"/>
        <w:left w:val="none" w:sz="0" w:space="0" w:color="auto"/>
        <w:bottom w:val="none" w:sz="0" w:space="0" w:color="auto"/>
        <w:right w:val="none" w:sz="0" w:space="0" w:color="auto"/>
      </w:divBdr>
    </w:div>
    <w:div w:id="1999729718">
      <w:bodyDiv w:val="1"/>
      <w:marLeft w:val="0"/>
      <w:marRight w:val="0"/>
      <w:marTop w:val="0"/>
      <w:marBottom w:val="0"/>
      <w:divBdr>
        <w:top w:val="none" w:sz="0" w:space="0" w:color="auto"/>
        <w:left w:val="none" w:sz="0" w:space="0" w:color="auto"/>
        <w:bottom w:val="none" w:sz="0" w:space="0" w:color="auto"/>
        <w:right w:val="none" w:sz="0" w:space="0" w:color="auto"/>
      </w:divBdr>
    </w:div>
    <w:div w:id="1999840400">
      <w:bodyDiv w:val="1"/>
      <w:marLeft w:val="0"/>
      <w:marRight w:val="0"/>
      <w:marTop w:val="0"/>
      <w:marBottom w:val="0"/>
      <w:divBdr>
        <w:top w:val="none" w:sz="0" w:space="0" w:color="auto"/>
        <w:left w:val="none" w:sz="0" w:space="0" w:color="auto"/>
        <w:bottom w:val="none" w:sz="0" w:space="0" w:color="auto"/>
        <w:right w:val="none" w:sz="0" w:space="0" w:color="auto"/>
      </w:divBdr>
    </w:div>
    <w:div w:id="2001157516">
      <w:bodyDiv w:val="1"/>
      <w:marLeft w:val="0"/>
      <w:marRight w:val="0"/>
      <w:marTop w:val="0"/>
      <w:marBottom w:val="0"/>
      <w:divBdr>
        <w:top w:val="none" w:sz="0" w:space="0" w:color="auto"/>
        <w:left w:val="none" w:sz="0" w:space="0" w:color="auto"/>
        <w:bottom w:val="none" w:sz="0" w:space="0" w:color="auto"/>
        <w:right w:val="none" w:sz="0" w:space="0" w:color="auto"/>
      </w:divBdr>
    </w:div>
    <w:div w:id="2013145830">
      <w:bodyDiv w:val="1"/>
      <w:marLeft w:val="0"/>
      <w:marRight w:val="0"/>
      <w:marTop w:val="0"/>
      <w:marBottom w:val="0"/>
      <w:divBdr>
        <w:top w:val="none" w:sz="0" w:space="0" w:color="auto"/>
        <w:left w:val="none" w:sz="0" w:space="0" w:color="auto"/>
        <w:bottom w:val="none" w:sz="0" w:space="0" w:color="auto"/>
        <w:right w:val="none" w:sz="0" w:space="0" w:color="auto"/>
      </w:divBdr>
    </w:div>
    <w:div w:id="2017925521">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26665695">
      <w:bodyDiv w:val="1"/>
      <w:marLeft w:val="0"/>
      <w:marRight w:val="0"/>
      <w:marTop w:val="0"/>
      <w:marBottom w:val="0"/>
      <w:divBdr>
        <w:top w:val="none" w:sz="0" w:space="0" w:color="auto"/>
        <w:left w:val="none" w:sz="0" w:space="0" w:color="auto"/>
        <w:bottom w:val="none" w:sz="0" w:space="0" w:color="auto"/>
        <w:right w:val="none" w:sz="0" w:space="0" w:color="auto"/>
      </w:divBdr>
    </w:div>
    <w:div w:id="2026857739">
      <w:bodyDiv w:val="1"/>
      <w:marLeft w:val="0"/>
      <w:marRight w:val="0"/>
      <w:marTop w:val="0"/>
      <w:marBottom w:val="0"/>
      <w:divBdr>
        <w:top w:val="none" w:sz="0" w:space="0" w:color="auto"/>
        <w:left w:val="none" w:sz="0" w:space="0" w:color="auto"/>
        <w:bottom w:val="none" w:sz="0" w:space="0" w:color="auto"/>
        <w:right w:val="none" w:sz="0" w:space="0" w:color="auto"/>
      </w:divBdr>
    </w:div>
    <w:div w:id="2038775558">
      <w:bodyDiv w:val="1"/>
      <w:marLeft w:val="0"/>
      <w:marRight w:val="0"/>
      <w:marTop w:val="0"/>
      <w:marBottom w:val="0"/>
      <w:divBdr>
        <w:top w:val="none" w:sz="0" w:space="0" w:color="auto"/>
        <w:left w:val="none" w:sz="0" w:space="0" w:color="auto"/>
        <w:bottom w:val="none" w:sz="0" w:space="0" w:color="auto"/>
        <w:right w:val="none" w:sz="0" w:space="0" w:color="auto"/>
      </w:divBdr>
    </w:div>
    <w:div w:id="2042506951">
      <w:bodyDiv w:val="1"/>
      <w:marLeft w:val="0"/>
      <w:marRight w:val="0"/>
      <w:marTop w:val="0"/>
      <w:marBottom w:val="0"/>
      <w:divBdr>
        <w:top w:val="none" w:sz="0" w:space="0" w:color="auto"/>
        <w:left w:val="none" w:sz="0" w:space="0" w:color="auto"/>
        <w:bottom w:val="none" w:sz="0" w:space="0" w:color="auto"/>
        <w:right w:val="none" w:sz="0" w:space="0" w:color="auto"/>
      </w:divBdr>
    </w:div>
    <w:div w:id="2042627087">
      <w:bodyDiv w:val="1"/>
      <w:marLeft w:val="0"/>
      <w:marRight w:val="0"/>
      <w:marTop w:val="0"/>
      <w:marBottom w:val="0"/>
      <w:divBdr>
        <w:top w:val="none" w:sz="0" w:space="0" w:color="auto"/>
        <w:left w:val="none" w:sz="0" w:space="0" w:color="auto"/>
        <w:bottom w:val="none" w:sz="0" w:space="0" w:color="auto"/>
        <w:right w:val="none" w:sz="0" w:space="0" w:color="auto"/>
      </w:divBdr>
    </w:div>
    <w:div w:id="2062629988">
      <w:bodyDiv w:val="1"/>
      <w:marLeft w:val="0"/>
      <w:marRight w:val="0"/>
      <w:marTop w:val="0"/>
      <w:marBottom w:val="0"/>
      <w:divBdr>
        <w:top w:val="none" w:sz="0" w:space="0" w:color="auto"/>
        <w:left w:val="none" w:sz="0" w:space="0" w:color="auto"/>
        <w:bottom w:val="none" w:sz="0" w:space="0" w:color="auto"/>
        <w:right w:val="none" w:sz="0" w:space="0" w:color="auto"/>
      </w:divBdr>
    </w:div>
    <w:div w:id="2063744728">
      <w:bodyDiv w:val="1"/>
      <w:marLeft w:val="0"/>
      <w:marRight w:val="0"/>
      <w:marTop w:val="0"/>
      <w:marBottom w:val="0"/>
      <w:divBdr>
        <w:top w:val="none" w:sz="0" w:space="0" w:color="auto"/>
        <w:left w:val="none" w:sz="0" w:space="0" w:color="auto"/>
        <w:bottom w:val="none" w:sz="0" w:space="0" w:color="auto"/>
        <w:right w:val="none" w:sz="0" w:space="0" w:color="auto"/>
      </w:divBdr>
    </w:div>
    <w:div w:id="2067609110">
      <w:bodyDiv w:val="1"/>
      <w:marLeft w:val="0"/>
      <w:marRight w:val="0"/>
      <w:marTop w:val="0"/>
      <w:marBottom w:val="0"/>
      <w:divBdr>
        <w:top w:val="none" w:sz="0" w:space="0" w:color="auto"/>
        <w:left w:val="none" w:sz="0" w:space="0" w:color="auto"/>
        <w:bottom w:val="none" w:sz="0" w:space="0" w:color="auto"/>
        <w:right w:val="none" w:sz="0" w:space="0" w:color="auto"/>
      </w:divBdr>
    </w:div>
    <w:div w:id="2070759322">
      <w:bodyDiv w:val="1"/>
      <w:marLeft w:val="0"/>
      <w:marRight w:val="0"/>
      <w:marTop w:val="0"/>
      <w:marBottom w:val="0"/>
      <w:divBdr>
        <w:top w:val="none" w:sz="0" w:space="0" w:color="auto"/>
        <w:left w:val="none" w:sz="0" w:space="0" w:color="auto"/>
        <w:bottom w:val="none" w:sz="0" w:space="0" w:color="auto"/>
        <w:right w:val="none" w:sz="0" w:space="0" w:color="auto"/>
      </w:divBdr>
    </w:div>
    <w:div w:id="2071686795">
      <w:bodyDiv w:val="1"/>
      <w:marLeft w:val="0"/>
      <w:marRight w:val="0"/>
      <w:marTop w:val="0"/>
      <w:marBottom w:val="0"/>
      <w:divBdr>
        <w:top w:val="none" w:sz="0" w:space="0" w:color="auto"/>
        <w:left w:val="none" w:sz="0" w:space="0" w:color="auto"/>
        <w:bottom w:val="none" w:sz="0" w:space="0" w:color="auto"/>
        <w:right w:val="none" w:sz="0" w:space="0" w:color="auto"/>
      </w:divBdr>
    </w:div>
    <w:div w:id="2071880766">
      <w:bodyDiv w:val="1"/>
      <w:marLeft w:val="0"/>
      <w:marRight w:val="0"/>
      <w:marTop w:val="0"/>
      <w:marBottom w:val="0"/>
      <w:divBdr>
        <w:top w:val="none" w:sz="0" w:space="0" w:color="auto"/>
        <w:left w:val="none" w:sz="0" w:space="0" w:color="auto"/>
        <w:bottom w:val="none" w:sz="0" w:space="0" w:color="auto"/>
        <w:right w:val="none" w:sz="0" w:space="0" w:color="auto"/>
      </w:divBdr>
    </w:div>
    <w:div w:id="2073042157">
      <w:bodyDiv w:val="1"/>
      <w:marLeft w:val="0"/>
      <w:marRight w:val="0"/>
      <w:marTop w:val="0"/>
      <w:marBottom w:val="0"/>
      <w:divBdr>
        <w:top w:val="none" w:sz="0" w:space="0" w:color="auto"/>
        <w:left w:val="none" w:sz="0" w:space="0" w:color="auto"/>
        <w:bottom w:val="none" w:sz="0" w:space="0" w:color="auto"/>
        <w:right w:val="none" w:sz="0" w:space="0" w:color="auto"/>
      </w:divBdr>
    </w:div>
    <w:div w:id="2074697883">
      <w:bodyDiv w:val="1"/>
      <w:marLeft w:val="0"/>
      <w:marRight w:val="0"/>
      <w:marTop w:val="0"/>
      <w:marBottom w:val="0"/>
      <w:divBdr>
        <w:top w:val="none" w:sz="0" w:space="0" w:color="auto"/>
        <w:left w:val="none" w:sz="0" w:space="0" w:color="auto"/>
        <w:bottom w:val="none" w:sz="0" w:space="0" w:color="auto"/>
        <w:right w:val="none" w:sz="0" w:space="0" w:color="auto"/>
      </w:divBdr>
    </w:div>
    <w:div w:id="2078630584">
      <w:bodyDiv w:val="1"/>
      <w:marLeft w:val="0"/>
      <w:marRight w:val="0"/>
      <w:marTop w:val="0"/>
      <w:marBottom w:val="0"/>
      <w:divBdr>
        <w:top w:val="none" w:sz="0" w:space="0" w:color="auto"/>
        <w:left w:val="none" w:sz="0" w:space="0" w:color="auto"/>
        <w:bottom w:val="none" w:sz="0" w:space="0" w:color="auto"/>
        <w:right w:val="none" w:sz="0" w:space="0" w:color="auto"/>
      </w:divBdr>
    </w:div>
    <w:div w:id="2079397012">
      <w:bodyDiv w:val="1"/>
      <w:marLeft w:val="0"/>
      <w:marRight w:val="0"/>
      <w:marTop w:val="0"/>
      <w:marBottom w:val="0"/>
      <w:divBdr>
        <w:top w:val="none" w:sz="0" w:space="0" w:color="auto"/>
        <w:left w:val="none" w:sz="0" w:space="0" w:color="auto"/>
        <w:bottom w:val="none" w:sz="0" w:space="0" w:color="auto"/>
        <w:right w:val="none" w:sz="0" w:space="0" w:color="auto"/>
      </w:divBdr>
    </w:div>
    <w:div w:id="2079549758">
      <w:bodyDiv w:val="1"/>
      <w:marLeft w:val="0"/>
      <w:marRight w:val="0"/>
      <w:marTop w:val="0"/>
      <w:marBottom w:val="0"/>
      <w:divBdr>
        <w:top w:val="none" w:sz="0" w:space="0" w:color="auto"/>
        <w:left w:val="none" w:sz="0" w:space="0" w:color="auto"/>
        <w:bottom w:val="none" w:sz="0" w:space="0" w:color="auto"/>
        <w:right w:val="none" w:sz="0" w:space="0" w:color="auto"/>
      </w:divBdr>
    </w:div>
    <w:div w:id="2082944167">
      <w:bodyDiv w:val="1"/>
      <w:marLeft w:val="0"/>
      <w:marRight w:val="0"/>
      <w:marTop w:val="0"/>
      <w:marBottom w:val="0"/>
      <w:divBdr>
        <w:top w:val="none" w:sz="0" w:space="0" w:color="auto"/>
        <w:left w:val="none" w:sz="0" w:space="0" w:color="auto"/>
        <w:bottom w:val="none" w:sz="0" w:space="0" w:color="auto"/>
        <w:right w:val="none" w:sz="0" w:space="0" w:color="auto"/>
      </w:divBdr>
    </w:div>
    <w:div w:id="2087143461">
      <w:bodyDiv w:val="1"/>
      <w:marLeft w:val="0"/>
      <w:marRight w:val="0"/>
      <w:marTop w:val="0"/>
      <w:marBottom w:val="0"/>
      <w:divBdr>
        <w:top w:val="none" w:sz="0" w:space="0" w:color="auto"/>
        <w:left w:val="none" w:sz="0" w:space="0" w:color="auto"/>
        <w:bottom w:val="none" w:sz="0" w:space="0" w:color="auto"/>
        <w:right w:val="none" w:sz="0" w:space="0" w:color="auto"/>
      </w:divBdr>
    </w:div>
    <w:div w:id="2087534138">
      <w:bodyDiv w:val="1"/>
      <w:marLeft w:val="0"/>
      <w:marRight w:val="0"/>
      <w:marTop w:val="0"/>
      <w:marBottom w:val="0"/>
      <w:divBdr>
        <w:top w:val="none" w:sz="0" w:space="0" w:color="auto"/>
        <w:left w:val="none" w:sz="0" w:space="0" w:color="auto"/>
        <w:bottom w:val="none" w:sz="0" w:space="0" w:color="auto"/>
        <w:right w:val="none" w:sz="0" w:space="0" w:color="auto"/>
      </w:divBdr>
    </w:div>
    <w:div w:id="2092660141">
      <w:bodyDiv w:val="1"/>
      <w:marLeft w:val="0"/>
      <w:marRight w:val="0"/>
      <w:marTop w:val="0"/>
      <w:marBottom w:val="0"/>
      <w:divBdr>
        <w:top w:val="none" w:sz="0" w:space="0" w:color="auto"/>
        <w:left w:val="none" w:sz="0" w:space="0" w:color="auto"/>
        <w:bottom w:val="none" w:sz="0" w:space="0" w:color="auto"/>
        <w:right w:val="none" w:sz="0" w:space="0" w:color="auto"/>
      </w:divBdr>
    </w:div>
    <w:div w:id="2099131560">
      <w:bodyDiv w:val="1"/>
      <w:marLeft w:val="0"/>
      <w:marRight w:val="0"/>
      <w:marTop w:val="0"/>
      <w:marBottom w:val="0"/>
      <w:divBdr>
        <w:top w:val="none" w:sz="0" w:space="0" w:color="auto"/>
        <w:left w:val="none" w:sz="0" w:space="0" w:color="auto"/>
        <w:bottom w:val="none" w:sz="0" w:space="0" w:color="auto"/>
        <w:right w:val="none" w:sz="0" w:space="0" w:color="auto"/>
      </w:divBdr>
    </w:div>
    <w:div w:id="2100445053">
      <w:bodyDiv w:val="1"/>
      <w:marLeft w:val="0"/>
      <w:marRight w:val="0"/>
      <w:marTop w:val="0"/>
      <w:marBottom w:val="0"/>
      <w:divBdr>
        <w:top w:val="none" w:sz="0" w:space="0" w:color="auto"/>
        <w:left w:val="none" w:sz="0" w:space="0" w:color="auto"/>
        <w:bottom w:val="none" w:sz="0" w:space="0" w:color="auto"/>
        <w:right w:val="none" w:sz="0" w:space="0" w:color="auto"/>
      </w:divBdr>
    </w:div>
    <w:div w:id="2115664497">
      <w:bodyDiv w:val="1"/>
      <w:marLeft w:val="0"/>
      <w:marRight w:val="0"/>
      <w:marTop w:val="0"/>
      <w:marBottom w:val="0"/>
      <w:divBdr>
        <w:top w:val="none" w:sz="0" w:space="0" w:color="auto"/>
        <w:left w:val="none" w:sz="0" w:space="0" w:color="auto"/>
        <w:bottom w:val="none" w:sz="0" w:space="0" w:color="auto"/>
        <w:right w:val="none" w:sz="0" w:space="0" w:color="auto"/>
      </w:divBdr>
    </w:div>
    <w:div w:id="2116945992">
      <w:bodyDiv w:val="1"/>
      <w:marLeft w:val="0"/>
      <w:marRight w:val="0"/>
      <w:marTop w:val="0"/>
      <w:marBottom w:val="0"/>
      <w:divBdr>
        <w:top w:val="none" w:sz="0" w:space="0" w:color="auto"/>
        <w:left w:val="none" w:sz="0" w:space="0" w:color="auto"/>
        <w:bottom w:val="none" w:sz="0" w:space="0" w:color="auto"/>
        <w:right w:val="none" w:sz="0" w:space="0" w:color="auto"/>
      </w:divBdr>
    </w:div>
    <w:div w:id="2123644601">
      <w:bodyDiv w:val="1"/>
      <w:marLeft w:val="0"/>
      <w:marRight w:val="0"/>
      <w:marTop w:val="0"/>
      <w:marBottom w:val="0"/>
      <w:divBdr>
        <w:top w:val="none" w:sz="0" w:space="0" w:color="auto"/>
        <w:left w:val="none" w:sz="0" w:space="0" w:color="auto"/>
        <w:bottom w:val="none" w:sz="0" w:space="0" w:color="auto"/>
        <w:right w:val="none" w:sz="0" w:space="0" w:color="auto"/>
      </w:divBdr>
    </w:div>
    <w:div w:id="2123722228">
      <w:bodyDiv w:val="1"/>
      <w:marLeft w:val="0"/>
      <w:marRight w:val="0"/>
      <w:marTop w:val="0"/>
      <w:marBottom w:val="0"/>
      <w:divBdr>
        <w:top w:val="none" w:sz="0" w:space="0" w:color="auto"/>
        <w:left w:val="none" w:sz="0" w:space="0" w:color="auto"/>
        <w:bottom w:val="none" w:sz="0" w:space="0" w:color="auto"/>
        <w:right w:val="none" w:sz="0" w:space="0" w:color="auto"/>
      </w:divBdr>
    </w:div>
    <w:div w:id="2129620855">
      <w:bodyDiv w:val="1"/>
      <w:marLeft w:val="0"/>
      <w:marRight w:val="0"/>
      <w:marTop w:val="0"/>
      <w:marBottom w:val="0"/>
      <w:divBdr>
        <w:top w:val="none" w:sz="0" w:space="0" w:color="auto"/>
        <w:left w:val="none" w:sz="0" w:space="0" w:color="auto"/>
        <w:bottom w:val="none" w:sz="0" w:space="0" w:color="auto"/>
        <w:right w:val="none" w:sz="0" w:space="0" w:color="auto"/>
      </w:divBdr>
    </w:div>
    <w:div w:id="2132556428">
      <w:bodyDiv w:val="1"/>
      <w:marLeft w:val="0"/>
      <w:marRight w:val="0"/>
      <w:marTop w:val="0"/>
      <w:marBottom w:val="0"/>
      <w:divBdr>
        <w:top w:val="none" w:sz="0" w:space="0" w:color="auto"/>
        <w:left w:val="none" w:sz="0" w:space="0" w:color="auto"/>
        <w:bottom w:val="none" w:sz="0" w:space="0" w:color="auto"/>
        <w:right w:val="none" w:sz="0" w:space="0" w:color="auto"/>
      </w:divBdr>
    </w:div>
    <w:div w:id="2134203984">
      <w:bodyDiv w:val="1"/>
      <w:marLeft w:val="0"/>
      <w:marRight w:val="0"/>
      <w:marTop w:val="0"/>
      <w:marBottom w:val="0"/>
      <w:divBdr>
        <w:top w:val="none" w:sz="0" w:space="0" w:color="auto"/>
        <w:left w:val="none" w:sz="0" w:space="0" w:color="auto"/>
        <w:bottom w:val="none" w:sz="0" w:space="0" w:color="auto"/>
        <w:right w:val="none" w:sz="0" w:space="0" w:color="auto"/>
      </w:divBdr>
    </w:div>
    <w:div w:id="2134245866">
      <w:bodyDiv w:val="1"/>
      <w:marLeft w:val="0"/>
      <w:marRight w:val="0"/>
      <w:marTop w:val="0"/>
      <w:marBottom w:val="0"/>
      <w:divBdr>
        <w:top w:val="none" w:sz="0" w:space="0" w:color="auto"/>
        <w:left w:val="none" w:sz="0" w:space="0" w:color="auto"/>
        <w:bottom w:val="none" w:sz="0" w:space="0" w:color="auto"/>
        <w:right w:val="none" w:sz="0" w:space="0" w:color="auto"/>
      </w:divBdr>
    </w:div>
    <w:div w:id="214121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6.png"/><Relationship Id="rId27" Type="http://schemas.openxmlformats.org/officeDocument/2006/relationships/footer" Target="footer9.xml"/></Relationships>
</file>

<file path=word/charts/_rels/chart1.xml.rels><?xml version="1.0" encoding="UTF-8" standalone="yes"?>
<Relationships xmlns="http://schemas.openxmlformats.org/package/2006/relationships"><Relationship Id="rId3" Type="http://schemas.openxmlformats.org/officeDocument/2006/relationships/oleObject" Target="file:///F:\A256306%20data\EFC\Thematic\Review%20of%20fiscal%20rules\Medium%20term%20plan%202024\Fiscal\stress%20scenari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A256306%20data\EFC\Thematic\Review%20of%20fiscal%20rules\Medium%20term%20plan%202024\Fiscal\stress%20scen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'debt ratio'!$B$3</c:f>
              <c:strCache>
                <c:ptCount val="1"/>
                <c:pt idx="0">
                  <c:v>adjustment scenario</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'debt ratio'!$C$2:$Q$2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ratio'!$C$3:$Q$3</c:f>
              <c:numCache>
                <c:formatCode>0.0</c:formatCode>
                <c:ptCount val="15"/>
                <c:pt idx="0">
                  <c:v>153.68429504588511</c:v>
                </c:pt>
                <c:pt idx="1">
                  <c:v>149.13105531476435</c:v>
                </c:pt>
                <c:pt idx="2">
                  <c:v>143.06988287394879</c:v>
                </c:pt>
                <c:pt idx="3">
                  <c:v>138.04926609183042</c:v>
                </c:pt>
                <c:pt idx="4">
                  <c:v>133.37884852730835</c:v>
                </c:pt>
                <c:pt idx="5">
                  <c:v>130.06845701579147</c:v>
                </c:pt>
                <c:pt idx="6">
                  <c:v>127.06077568716549</c:v>
                </c:pt>
                <c:pt idx="7">
                  <c:v>124.30246862633301</c:v>
                </c:pt>
                <c:pt idx="8">
                  <c:v>121.66931806051764</c:v>
                </c:pt>
                <c:pt idx="9">
                  <c:v>120.55633537559012</c:v>
                </c:pt>
                <c:pt idx="10">
                  <c:v>119.60075323370837</c:v>
                </c:pt>
                <c:pt idx="11">
                  <c:v>118.41237227115414</c:v>
                </c:pt>
                <c:pt idx="12">
                  <c:v>117.14652600660858</c:v>
                </c:pt>
                <c:pt idx="13">
                  <c:v>115.94976952754932</c:v>
                </c:pt>
                <c:pt idx="14">
                  <c:v>114.88113380920879</c:v>
                </c:pt>
              </c:numCache>
            </c:numRef>
          </c:val>
          <c:smooth val="0"/>
          <c:extLst xmlns:c16r2="http://schemas.microsoft.com/office/drawing/2015/06/chart">
            <c:ext xmlns:c16="http://schemas.microsoft.com/office/drawing/2014/chart" uri="{C3380CC4-5D6E-409C-BE32-E72D297353CC}">
              <c16:uniqueId val="{00000000-E0CB-4BE3-B4A7-C97F05EEF124}"/>
            </c:ext>
          </c:extLst>
        </c:ser>
        <c:ser>
          <c:idx val="1"/>
          <c:order val="1"/>
          <c:tx>
            <c:strRef>
              <c:f>'debt ratio'!$B$4</c:f>
              <c:strCache>
                <c:ptCount val="1"/>
                <c:pt idx="0">
                  <c:v>financial stress</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'debt ratio'!$C$2:$Q$2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ratio'!$C$4:$Q$4</c:f>
              <c:numCache>
                <c:formatCode>0.0</c:formatCode>
                <c:ptCount val="15"/>
                <c:pt idx="0">
                  <c:v>153.68429504588511</c:v>
                </c:pt>
                <c:pt idx="1">
                  <c:v>149.13105531476435</c:v>
                </c:pt>
                <c:pt idx="2">
                  <c:v>143.06988287394887</c:v>
                </c:pt>
                <c:pt idx="3">
                  <c:v>138.04926609183045</c:v>
                </c:pt>
                <c:pt idx="4">
                  <c:v>133.37884852730835</c:v>
                </c:pt>
                <c:pt idx="5">
                  <c:v>130.54065987156818</c:v>
                </c:pt>
                <c:pt idx="6">
                  <c:v>127.74086696229809</c:v>
                </c:pt>
                <c:pt idx="7">
                  <c:v>125.1783922936842</c:v>
                </c:pt>
                <c:pt idx="8">
                  <c:v>122.72660182391928</c:v>
                </c:pt>
                <c:pt idx="9">
                  <c:v>121.78334563921473</c:v>
                </c:pt>
                <c:pt idx="10">
                  <c:v>120.9810554550602</c:v>
                </c:pt>
                <c:pt idx="11">
                  <c:v>119.92862167141152</c:v>
                </c:pt>
                <c:pt idx="12">
                  <c:v>118.78609031970137</c:v>
                </c:pt>
                <c:pt idx="13">
                  <c:v>117.69888991044868</c:v>
                </c:pt>
                <c:pt idx="14">
                  <c:v>116.72687786197119</c:v>
                </c:pt>
              </c:numCache>
            </c:numRef>
          </c:val>
          <c:smooth val="0"/>
          <c:extLst xmlns:c16r2="http://schemas.microsoft.com/office/drawing/2015/06/chart">
            <c:ext xmlns:c16="http://schemas.microsoft.com/office/drawing/2014/chart" uri="{C3380CC4-5D6E-409C-BE32-E72D297353CC}">
              <c16:uniqueId val="{00000001-E0CB-4BE3-B4A7-C97F05EEF124}"/>
            </c:ext>
          </c:extLst>
        </c:ser>
        <c:ser>
          <c:idx val="2"/>
          <c:order val="2"/>
          <c:tx>
            <c:strRef>
              <c:f>'debt ratio'!$B$5</c:f>
              <c:strCache>
                <c:ptCount val="1"/>
                <c:pt idx="0">
                  <c:v>lower SPB</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numRef>
              <c:f>'debt ratio'!$C$2:$Q$2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ratio'!$C$5:$Q$5</c:f>
              <c:numCache>
                <c:formatCode>0.0</c:formatCode>
                <c:ptCount val="15"/>
                <c:pt idx="0">
                  <c:v>153.68429504588508</c:v>
                </c:pt>
                <c:pt idx="1">
                  <c:v>149.13105531476432</c:v>
                </c:pt>
                <c:pt idx="2">
                  <c:v>143.06988287394881</c:v>
                </c:pt>
                <c:pt idx="3">
                  <c:v>138.04926609183042</c:v>
                </c:pt>
                <c:pt idx="4">
                  <c:v>133.37884852730829</c:v>
                </c:pt>
                <c:pt idx="5">
                  <c:v>129.97186088216245</c:v>
                </c:pt>
                <c:pt idx="6">
                  <c:v>127.11337391669596</c:v>
                </c:pt>
                <c:pt idx="7">
                  <c:v>124.83305568428796</c:v>
                </c:pt>
                <c:pt idx="8">
                  <c:v>122.7999676615223</c:v>
                </c:pt>
                <c:pt idx="9">
                  <c:v>122.35666412797163</c:v>
                </c:pt>
                <c:pt idx="10">
                  <c:v>121.9257591140455</c:v>
                </c:pt>
                <c:pt idx="11">
                  <c:v>121.26000149092687</c:v>
                </c:pt>
                <c:pt idx="12">
                  <c:v>120.52028847078057</c:v>
                </c:pt>
                <c:pt idx="13">
                  <c:v>119.85104214914013</c:v>
                </c:pt>
                <c:pt idx="14">
                  <c:v>119.31122480655381</c:v>
                </c:pt>
              </c:numCache>
            </c:numRef>
          </c:val>
          <c:smooth val="0"/>
          <c:extLst xmlns:c16r2="http://schemas.microsoft.com/office/drawing/2015/06/chart">
            <c:ext xmlns:c16="http://schemas.microsoft.com/office/drawing/2014/chart" uri="{C3380CC4-5D6E-409C-BE32-E72D297353CC}">
              <c16:uniqueId val="{00000002-E0CB-4BE3-B4A7-C97F05EEF124}"/>
            </c:ext>
          </c:extLst>
        </c:ser>
        <c:ser>
          <c:idx val="3"/>
          <c:order val="3"/>
          <c:tx>
            <c:strRef>
              <c:f>'debt ratio'!$B$6</c:f>
              <c:strCache>
                <c:ptCount val="1"/>
                <c:pt idx="0">
                  <c:v>adverse (r-g)</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numRef>
              <c:f>'debt ratio'!$C$2:$Q$2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ratio'!$C$6:$Q$6</c:f>
              <c:numCache>
                <c:formatCode>0.0</c:formatCode>
                <c:ptCount val="15"/>
                <c:pt idx="0">
                  <c:v>153.68429504588508</c:v>
                </c:pt>
                <c:pt idx="1">
                  <c:v>149.13105531476432</c:v>
                </c:pt>
                <c:pt idx="2">
                  <c:v>143.06988287394881</c:v>
                </c:pt>
                <c:pt idx="3">
                  <c:v>138.04926609183042</c:v>
                </c:pt>
                <c:pt idx="4">
                  <c:v>133.37884852730829</c:v>
                </c:pt>
                <c:pt idx="5">
                  <c:v>130.80178725148122</c:v>
                </c:pt>
                <c:pt idx="6">
                  <c:v>128.54594775914518</c:v>
                </c:pt>
                <c:pt idx="7">
                  <c:v>126.56272960556072</c:v>
                </c:pt>
                <c:pt idx="8">
                  <c:v>124.73437877636324</c:v>
                </c:pt>
                <c:pt idx="9">
                  <c:v>124.4537999919832</c:v>
                </c:pt>
                <c:pt idx="10">
                  <c:v>124.37982602974448</c:v>
                </c:pt>
                <c:pt idx="11">
                  <c:v>124.09325861185833</c:v>
                </c:pt>
                <c:pt idx="12">
                  <c:v>123.76525721989167</c:v>
                </c:pt>
                <c:pt idx="13">
                  <c:v>123.53851842587927</c:v>
                </c:pt>
                <c:pt idx="14">
                  <c:v>123.47303605847507</c:v>
                </c:pt>
              </c:numCache>
            </c:numRef>
          </c:val>
          <c:smooth val="0"/>
          <c:extLst xmlns:c16r2="http://schemas.microsoft.com/office/drawing/2015/06/chart">
            <c:ext xmlns:c16="http://schemas.microsoft.com/office/drawing/2014/chart" uri="{C3380CC4-5D6E-409C-BE32-E72D297353CC}">
              <c16:uniqueId val="{00000003-E0CB-4BE3-B4A7-C97F05EEF124}"/>
            </c:ext>
          </c:extLst>
        </c:ser>
        <c:dLbls>
          <c:showLegendKey val="0"/>
          <c:showVal val="0"/>
          <c:showCatName val="0"/>
          <c:showSerName val="0"/>
          <c:showPercent val="0"/>
          <c:showBubbleSize val="0"/>
        </c:dLbls>
        <c:smooth val="0"/>
        <c:axId val="377637280"/>
        <c:axId val="377637840"/>
      </c:lineChart>
      <c:catAx>
        <c:axId val="377637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l-GR"/>
          </a:p>
        </c:txPr>
        <c:crossAx val="377637840"/>
        <c:crosses val="autoZero"/>
        <c:auto val="1"/>
        <c:lblAlgn val="ctr"/>
        <c:lblOffset val="100"/>
        <c:noMultiLvlLbl val="0"/>
      </c:catAx>
      <c:valAx>
        <c:axId val="377637840"/>
        <c:scaling>
          <c:orientation val="minMax"/>
          <c:min val="1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l-GR"/>
          </a:p>
        </c:txPr>
        <c:crossAx val="37763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'debt reduction'!$B$3</c:f>
              <c:strCache>
                <c:ptCount val="1"/>
                <c:pt idx="0">
                  <c:v>baseline</c:v>
                </c:pt>
              </c:strCache>
            </c:strRef>
          </c:tx>
          <c:spPr>
            <a:ln w="31750" cap="rnd">
              <a:solidFill>
                <a:srgbClr val="C00000"/>
              </a:solidFill>
              <a:round/>
            </a:ln>
            <a:effectLst/>
          </c:spPr>
          <c:marker>
            <c:symbol val="none"/>
          </c:marker>
          <c:cat>
            <c:numRef>
              <c:f>'debt reduction'!$C$2:$Q$2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reduction'!$C$3:$Q$3</c:f>
              <c:numCache>
                <c:formatCode>0.00</c:formatCode>
                <c:ptCount val="15"/>
                <c:pt idx="0">
                  <c:v>-8.226841905740498</c:v>
                </c:pt>
                <c:pt idx="1">
                  <c:v>-4.5532397311207617</c:v>
                </c:pt>
                <c:pt idx="2">
                  <c:v>-6.0611724408154615</c:v>
                </c:pt>
                <c:pt idx="3">
                  <c:v>-5.0206167821184176</c:v>
                </c:pt>
                <c:pt idx="4">
                  <c:v>-4.6704175645221575</c:v>
                </c:pt>
                <c:pt idx="5">
                  <c:v>-3.3103915115168729</c:v>
                </c:pt>
                <c:pt idx="6">
                  <c:v>-3.007681328625929</c:v>
                </c:pt>
                <c:pt idx="7">
                  <c:v>-2.7583070608324798</c:v>
                </c:pt>
                <c:pt idx="8">
                  <c:v>-2.6331505658153596</c:v>
                </c:pt>
                <c:pt idx="9">
                  <c:v>-1.1129826849274995</c:v>
                </c:pt>
                <c:pt idx="10">
                  <c:v>-0.9555821418817344</c:v>
                </c:pt>
                <c:pt idx="11">
                  <c:v>-1.1883809625542183</c:v>
                </c:pt>
                <c:pt idx="12">
                  <c:v>-1.2658462645455744</c:v>
                </c:pt>
                <c:pt idx="13">
                  <c:v>-1.1967564790592582</c:v>
                </c:pt>
                <c:pt idx="14">
                  <c:v>-1.0686357183405368</c:v>
                </c:pt>
              </c:numCache>
            </c:numRef>
          </c:val>
          <c:smooth val="0"/>
          <c:extLst xmlns:c16r2="http://schemas.microsoft.com/office/drawing/2015/06/chart">
            <c:ext xmlns:c16="http://schemas.microsoft.com/office/drawing/2014/chart" uri="{C3380CC4-5D6E-409C-BE32-E72D297353CC}">
              <c16:uniqueId val="{00000000-6771-4D7D-B7C1-58C4B81BCC1F}"/>
            </c:ext>
          </c:extLst>
        </c:ser>
        <c:ser>
          <c:idx val="1"/>
          <c:order val="1"/>
          <c:tx>
            <c:strRef>
              <c:f>'debt reduction'!$B$4</c:f>
              <c:strCache>
                <c:ptCount val="1"/>
                <c:pt idx="0">
                  <c:v>financial stress</c:v>
                </c:pt>
              </c:strCache>
            </c:strRef>
          </c:tx>
          <c:spPr>
            <a:ln w="22225" cap="rnd">
              <a:solidFill>
                <a:schemeClr val="accent6"/>
              </a:solidFill>
              <a:prstDash val="dash"/>
              <a:round/>
            </a:ln>
            <a:effectLst/>
          </c:spPr>
          <c:marker>
            <c:symbol val="none"/>
          </c:marker>
          <c:cat>
            <c:numRef>
              <c:f>'debt reduction'!$C$2:$Q$2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reduction'!$C$4:$Q$4</c:f>
              <c:numCache>
                <c:formatCode>0.00</c:formatCode>
                <c:ptCount val="15"/>
                <c:pt idx="0">
                  <c:v>-8.226841905740498</c:v>
                </c:pt>
                <c:pt idx="1">
                  <c:v>-4.5532397311207617</c:v>
                </c:pt>
                <c:pt idx="2">
                  <c:v>-6.0611724408154615</c:v>
                </c:pt>
                <c:pt idx="3">
                  <c:v>-5.0206167821184176</c:v>
                </c:pt>
                <c:pt idx="4">
                  <c:v>-4.6704175645221575</c:v>
                </c:pt>
                <c:pt idx="5">
                  <c:v>-2.8381886557400904</c:v>
                </c:pt>
                <c:pt idx="6">
                  <c:v>-2.7997929092701646</c:v>
                </c:pt>
                <c:pt idx="7">
                  <c:v>-2.5624746686138362</c:v>
                </c:pt>
                <c:pt idx="8">
                  <c:v>-2.4517904697649584</c:v>
                </c:pt>
                <c:pt idx="9">
                  <c:v>-0.9432561847045472</c:v>
                </c:pt>
                <c:pt idx="10">
                  <c:v>-0.80229018415453779</c:v>
                </c:pt>
                <c:pt idx="11">
                  <c:v>-1.0524337836486752</c:v>
                </c:pt>
                <c:pt idx="12">
                  <c:v>-1.1425313517101177</c:v>
                </c:pt>
                <c:pt idx="13">
                  <c:v>-1.0872004092526868</c:v>
                </c:pt>
                <c:pt idx="14">
                  <c:v>-0.97201204847749867</c:v>
                </c:pt>
              </c:numCache>
            </c:numRef>
          </c:val>
          <c:smooth val="0"/>
          <c:extLst xmlns:c16r2="http://schemas.microsoft.com/office/drawing/2015/06/chart">
            <c:ext xmlns:c16="http://schemas.microsoft.com/office/drawing/2014/chart" uri="{C3380CC4-5D6E-409C-BE32-E72D297353CC}">
              <c16:uniqueId val="{00000001-6771-4D7D-B7C1-58C4B81BCC1F}"/>
            </c:ext>
          </c:extLst>
        </c:ser>
        <c:ser>
          <c:idx val="2"/>
          <c:order val="2"/>
          <c:tx>
            <c:strRef>
              <c:f>'debt reduction'!$B$5</c:f>
              <c:strCache>
                <c:ptCount val="1"/>
                <c:pt idx="0">
                  <c:v>lower SPB</c:v>
                </c:pt>
              </c:strCache>
            </c:strRef>
          </c:tx>
          <c:spPr>
            <a:ln w="22225" cap="rnd">
              <a:solidFill>
                <a:schemeClr val="accent1"/>
              </a:solidFill>
              <a:prstDash val="dash"/>
              <a:round/>
            </a:ln>
            <a:effectLst/>
          </c:spPr>
          <c:marker>
            <c:symbol val="none"/>
          </c:marker>
          <c:cat>
            <c:numRef>
              <c:f>'debt reduction'!$C$2:$Q$2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reduction'!$C$5:$Q$5</c:f>
              <c:numCache>
                <c:formatCode>0.00</c:formatCode>
                <c:ptCount val="15"/>
                <c:pt idx="0">
                  <c:v>-8.2268419057405087</c:v>
                </c:pt>
                <c:pt idx="1">
                  <c:v>-4.5532397311207617</c:v>
                </c:pt>
                <c:pt idx="2">
                  <c:v>-6.0611724408154615</c:v>
                </c:pt>
                <c:pt idx="3">
                  <c:v>-5.0206167821184184</c:v>
                </c:pt>
                <c:pt idx="4">
                  <c:v>-4.6704175645221566</c:v>
                </c:pt>
                <c:pt idx="5">
                  <c:v>-3.4069876451458301</c:v>
                </c:pt>
                <c:pt idx="6">
                  <c:v>-2.8584869654664877</c:v>
                </c:pt>
                <c:pt idx="7">
                  <c:v>-2.2803182324080438</c:v>
                </c:pt>
                <c:pt idx="8">
                  <c:v>-2.0330880227656545</c:v>
                </c:pt>
                <c:pt idx="9">
                  <c:v>-0.44330353355065666</c:v>
                </c:pt>
                <c:pt idx="10">
                  <c:v>-0.43090501392610286</c:v>
                </c:pt>
                <c:pt idx="11">
                  <c:v>-0.66575762311865772</c:v>
                </c:pt>
                <c:pt idx="12">
                  <c:v>-0.73971302014628892</c:v>
                </c:pt>
                <c:pt idx="13">
                  <c:v>-0.66924632164045128</c:v>
                </c:pt>
                <c:pt idx="14">
                  <c:v>-0.53981734258630498</c:v>
                </c:pt>
              </c:numCache>
            </c:numRef>
          </c:val>
          <c:smooth val="0"/>
          <c:extLst xmlns:c16r2="http://schemas.microsoft.com/office/drawing/2015/06/chart">
            <c:ext xmlns:c16="http://schemas.microsoft.com/office/drawing/2014/chart" uri="{C3380CC4-5D6E-409C-BE32-E72D297353CC}">
              <c16:uniqueId val="{00000002-6771-4D7D-B7C1-58C4B81BCC1F}"/>
            </c:ext>
          </c:extLst>
        </c:ser>
        <c:ser>
          <c:idx val="3"/>
          <c:order val="3"/>
          <c:tx>
            <c:strRef>
              <c:f>'debt reduction'!$B$6</c:f>
              <c:strCache>
                <c:ptCount val="1"/>
                <c:pt idx="0">
                  <c:v>adverse (r-g)</c:v>
                </c:pt>
              </c:strCache>
            </c:strRef>
          </c:tx>
          <c:spPr>
            <a:ln w="22225" cap="rnd">
              <a:solidFill>
                <a:schemeClr val="accent5">
                  <a:lumMod val="50000"/>
                </a:schemeClr>
              </a:solidFill>
              <a:prstDash val="dash"/>
              <a:round/>
            </a:ln>
            <a:effectLst/>
          </c:spPr>
          <c:marker>
            <c:symbol val="none"/>
          </c:marker>
          <c:cat>
            <c:numRef>
              <c:f>'debt reduction'!$C$2:$Q$2</c:f>
              <c:numCache>
                <c:formatCode>General</c:formatCode>
                <c:ptCount val="15"/>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numCache>
            </c:numRef>
          </c:cat>
          <c:val>
            <c:numRef>
              <c:f>'debt reduction'!$C$6:$Q$6</c:f>
              <c:numCache>
                <c:formatCode>0.00</c:formatCode>
                <c:ptCount val="15"/>
                <c:pt idx="0">
                  <c:v>-8.2268419057405087</c:v>
                </c:pt>
                <c:pt idx="1">
                  <c:v>-4.5532397311207617</c:v>
                </c:pt>
                <c:pt idx="2">
                  <c:v>-6.0611724408154615</c:v>
                </c:pt>
                <c:pt idx="3">
                  <c:v>-5.0206167821184184</c:v>
                </c:pt>
                <c:pt idx="4">
                  <c:v>-4.6704175645221566</c:v>
                </c:pt>
                <c:pt idx="5">
                  <c:v>-2.5770612758271012</c:v>
                </c:pt>
                <c:pt idx="6">
                  <c:v>-2.2558394923360128</c:v>
                </c:pt>
                <c:pt idx="7">
                  <c:v>-1.9832181535844629</c:v>
                </c:pt>
                <c:pt idx="8">
                  <c:v>-1.8283508291974591</c:v>
                </c:pt>
                <c:pt idx="9">
                  <c:v>-0.28057878438005351</c:v>
                </c:pt>
                <c:pt idx="10">
                  <c:v>-7.3973962238725044E-2</c:v>
                </c:pt>
                <c:pt idx="11">
                  <c:v>-0.28656741788615064</c:v>
                </c:pt>
                <c:pt idx="12">
                  <c:v>-0.32800139196666972</c:v>
                </c:pt>
                <c:pt idx="13">
                  <c:v>-0.2267387940123953</c:v>
                </c:pt>
                <c:pt idx="14">
                  <c:v>-6.5482367404188599E-2</c:v>
                </c:pt>
              </c:numCache>
            </c:numRef>
          </c:val>
          <c:smooth val="0"/>
          <c:extLst xmlns:c16r2="http://schemas.microsoft.com/office/drawing/2015/06/chart">
            <c:ext xmlns:c16="http://schemas.microsoft.com/office/drawing/2014/chart" uri="{C3380CC4-5D6E-409C-BE32-E72D297353CC}">
              <c16:uniqueId val="{00000003-6771-4D7D-B7C1-58C4B81BCC1F}"/>
            </c:ext>
          </c:extLst>
        </c:ser>
        <c:dLbls>
          <c:showLegendKey val="0"/>
          <c:showVal val="0"/>
          <c:showCatName val="0"/>
          <c:showSerName val="0"/>
          <c:showPercent val="0"/>
          <c:showBubbleSize val="0"/>
        </c:dLbls>
        <c:smooth val="0"/>
        <c:axId val="415546528"/>
        <c:axId val="415547088"/>
      </c:lineChart>
      <c:catAx>
        <c:axId val="415546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l-GR"/>
          </a:p>
        </c:txPr>
        <c:crossAx val="415547088"/>
        <c:crosses val="autoZero"/>
        <c:auto val="1"/>
        <c:lblAlgn val="ctr"/>
        <c:lblOffset val="100"/>
        <c:noMultiLvlLbl val="0"/>
      </c:catAx>
      <c:valAx>
        <c:axId val="4155470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solidFill>
                <a:latin typeface="+mn-lt"/>
                <a:ea typeface="+mn-ea"/>
                <a:cs typeface="+mn-cs"/>
              </a:defRPr>
            </a:pPr>
            <a:endParaRPr lang="el-GR"/>
          </a:p>
        </c:txPr>
        <c:crossAx val="415546528"/>
        <c:crosses val="autoZero"/>
        <c:crossBetween val="between"/>
      </c:valAx>
      <c:spPr>
        <a:noFill/>
        <a:ln>
          <a:noFill/>
        </a:ln>
        <a:effectLst/>
      </c:spPr>
    </c:plotArea>
    <c:legend>
      <c:legendPos val="b"/>
      <c:layout>
        <c:manualLayout>
          <c:xMode val="edge"/>
          <c:yMode val="edge"/>
          <c:x val="7.1911792894217744E-2"/>
          <c:y val="0.87577955780011418"/>
          <c:w val="0.85617622536360316"/>
          <c:h val="8.101352909378886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l-G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310395-C64A-4051-B85B-8E6DBBC9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60139</Words>
  <Characters>324754</Characters>
  <Application>Microsoft Office Word</Application>
  <DocSecurity>0</DocSecurity>
  <Lines>2706</Lines>
  <Paragraphs>768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Greece_MTFSP_2025-28</vt:lpstr>
      <vt:lpstr>Greece_MTFSP_2025-28</vt:lpstr>
    </vt:vector>
  </TitlesOfParts>
  <Company>Athens, April 2021</Company>
  <LinksUpToDate>false</LinksUpToDate>
  <CharactersWithSpaces>384125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Greece_MTFSP_2025-28</dc:title>
  <dc:subject>2022</dc:subject>
  <dc:creator>Δημήτριος Χείλαρης</dc:creator>
  <cp:lastModifiedBy>Pantelis Arsenis</cp:lastModifiedBy>
  <cp:revision>2</cp:revision>
  <cp:lastPrinted>2024-09-28T16:56:00Z</cp:lastPrinted>
  <dcterms:created xsi:type="dcterms:W3CDTF">2024-10-07T11:55:00Z</dcterms:created>
  <dcterms:modified xsi:type="dcterms:W3CDTF">2024-10-07T11:55:00Z</dcterms:modified>
</cp:coreProperties>
</file>