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B0F7" w14:textId="77777777" w:rsidR="00951BB6" w:rsidRPr="00951BB6" w:rsidRDefault="00951BB6" w:rsidP="00951BB6">
      <w:pPr>
        <w:pBdr>
          <w:bottom w:val="single" w:sz="6" w:space="0" w:color="auto"/>
        </w:pBdr>
        <w:spacing w:after="0" w:line="240" w:lineRule="auto"/>
        <w:ind w:firstLine="720"/>
        <w:jc w:val="both"/>
        <w:rPr>
          <w:rFonts w:cs="Calibri"/>
          <w:color w:val="000000" w:themeColor="text1"/>
        </w:rPr>
      </w:pPr>
      <w:r w:rsidRPr="00951BB6">
        <w:rPr>
          <w:rFonts w:cs="Calibri"/>
          <w:noProof/>
          <w:color w:val="000000" w:themeColor="text1"/>
          <w:lang w:eastAsia="el-GR"/>
        </w:rPr>
        <w:drawing>
          <wp:inline distT="0" distB="0" distL="0" distR="0" wp14:anchorId="19949694" wp14:editId="746176D7">
            <wp:extent cx="659765" cy="668020"/>
            <wp:effectExtent l="19050" t="0" r="6985" b="0"/>
            <wp:docPr id="1" name="Εικόνα 1" descr="Προβολή εικόνας πλήρους μεγέθου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ροβολή εικόνας πλήρους μεγέθους"/>
                    <pic:cNvPicPr>
                      <a:picLocks noChangeAspect="1" noChangeArrowheads="1"/>
                    </pic:cNvPicPr>
                  </pic:nvPicPr>
                  <pic:blipFill>
                    <a:blip r:embed="rId8" cstate="print"/>
                    <a:srcRect/>
                    <a:stretch>
                      <a:fillRect/>
                    </a:stretch>
                  </pic:blipFill>
                  <pic:spPr bwMode="auto">
                    <a:xfrm>
                      <a:off x="0" y="0"/>
                      <a:ext cx="659765" cy="668020"/>
                    </a:xfrm>
                    <a:prstGeom prst="rect">
                      <a:avLst/>
                    </a:prstGeom>
                    <a:noFill/>
                    <a:ln w="9525">
                      <a:noFill/>
                      <a:miter lim="800000"/>
                      <a:headEnd/>
                      <a:tailEnd/>
                    </a:ln>
                  </pic:spPr>
                </pic:pic>
              </a:graphicData>
            </a:graphic>
          </wp:inline>
        </w:drawing>
      </w:r>
    </w:p>
    <w:p w14:paraId="2942B72B" w14:textId="77777777" w:rsidR="00951BB6" w:rsidRPr="00951BB6" w:rsidRDefault="00951BB6" w:rsidP="00951BB6">
      <w:pPr>
        <w:pBdr>
          <w:bottom w:val="single" w:sz="6" w:space="0" w:color="auto"/>
        </w:pBdr>
        <w:spacing w:after="0" w:line="240" w:lineRule="auto"/>
        <w:jc w:val="both"/>
        <w:rPr>
          <w:rFonts w:cs="Calibri"/>
          <w:color w:val="000000" w:themeColor="text1"/>
        </w:rPr>
      </w:pPr>
      <w:r w:rsidRPr="00951BB6">
        <w:rPr>
          <w:rFonts w:cs="Calibri"/>
          <w:color w:val="000000" w:themeColor="text1"/>
        </w:rPr>
        <w:t>ΕΛΛΗΝΙΚΗ ΔΗΜΟΚΡΑΤΙΑ</w:t>
      </w:r>
    </w:p>
    <w:p w14:paraId="7F79B260" w14:textId="77777777" w:rsidR="00951BB6" w:rsidRPr="00951BB6" w:rsidRDefault="00951BB6" w:rsidP="00951BB6">
      <w:pPr>
        <w:pStyle w:val="Heading2"/>
        <w:numPr>
          <w:ilvl w:val="1"/>
          <w:numId w:val="10"/>
        </w:numPr>
        <w:pBdr>
          <w:top w:val="single" w:sz="6" w:space="1" w:color="auto"/>
          <w:bottom w:val="single" w:sz="6" w:space="2" w:color="auto"/>
        </w:pBdr>
        <w:suppressAutoHyphens/>
        <w:spacing w:before="0" w:after="0" w:line="240" w:lineRule="auto"/>
        <w:jc w:val="both"/>
        <w:rPr>
          <w:rFonts w:ascii="Calibri" w:hAnsi="Calibri" w:cs="Calibri"/>
          <w:i w:val="0"/>
          <w:color w:val="000000" w:themeColor="text1"/>
          <w:sz w:val="22"/>
          <w:szCs w:val="22"/>
          <w:lang w:val="el-GR"/>
        </w:rPr>
      </w:pPr>
      <w:r w:rsidRPr="00951BB6">
        <w:rPr>
          <w:rFonts w:ascii="Calibri" w:hAnsi="Calibri" w:cs="Calibri"/>
          <w:i w:val="0"/>
          <w:color w:val="000000" w:themeColor="text1"/>
          <w:sz w:val="22"/>
          <w:szCs w:val="22"/>
        </w:rPr>
        <w:t>ΥΠΟΥΡΓΕΙΟ ΟΙΚΟΝΟΜΙΚΩΝ</w:t>
      </w:r>
    </w:p>
    <w:p w14:paraId="7ABD1132" w14:textId="77777777" w:rsidR="00951BB6" w:rsidRPr="00951BB6" w:rsidRDefault="00951BB6" w:rsidP="00951BB6">
      <w:pPr>
        <w:pStyle w:val="Heading3"/>
        <w:numPr>
          <w:ilvl w:val="2"/>
          <w:numId w:val="10"/>
        </w:numPr>
        <w:suppressAutoHyphens/>
        <w:spacing w:before="0" w:after="0" w:line="240" w:lineRule="auto"/>
        <w:ind w:right="-1"/>
        <w:rPr>
          <w:rFonts w:ascii="Calibri" w:hAnsi="Calibri" w:cs="Calibri"/>
          <w:color w:val="000000" w:themeColor="text1"/>
          <w:sz w:val="22"/>
          <w:szCs w:val="22"/>
        </w:rPr>
      </w:pPr>
      <w:proofErr w:type="spellStart"/>
      <w:r w:rsidRPr="00951BB6">
        <w:rPr>
          <w:rFonts w:ascii="Calibri" w:hAnsi="Calibri" w:cs="Calibri"/>
          <w:color w:val="000000" w:themeColor="text1"/>
          <w:sz w:val="22"/>
          <w:szCs w:val="22"/>
        </w:rPr>
        <w:t>Νίκης</w:t>
      </w:r>
      <w:proofErr w:type="spellEnd"/>
      <w:r w:rsidRPr="00951BB6">
        <w:rPr>
          <w:rFonts w:ascii="Calibri" w:hAnsi="Calibri" w:cs="Calibri"/>
          <w:color w:val="000000" w:themeColor="text1"/>
          <w:sz w:val="22"/>
          <w:szCs w:val="22"/>
        </w:rPr>
        <w:t xml:space="preserve"> 5-7</w:t>
      </w:r>
    </w:p>
    <w:p w14:paraId="4249A2F9" w14:textId="77777777" w:rsidR="00951BB6" w:rsidRPr="00951BB6" w:rsidRDefault="00951BB6" w:rsidP="00951BB6">
      <w:pPr>
        <w:pStyle w:val="Heading3"/>
        <w:numPr>
          <w:ilvl w:val="2"/>
          <w:numId w:val="10"/>
        </w:numPr>
        <w:suppressAutoHyphens/>
        <w:spacing w:before="0" w:after="0" w:line="240" w:lineRule="auto"/>
        <w:ind w:right="-1"/>
        <w:rPr>
          <w:rFonts w:ascii="Calibri" w:hAnsi="Calibri" w:cs="Calibri"/>
          <w:color w:val="000000" w:themeColor="text1"/>
          <w:sz w:val="22"/>
          <w:szCs w:val="22"/>
        </w:rPr>
      </w:pPr>
      <w:r w:rsidRPr="00951BB6">
        <w:rPr>
          <w:rFonts w:ascii="Calibri" w:hAnsi="Calibri" w:cs="Calibri"/>
          <w:color w:val="000000" w:themeColor="text1"/>
          <w:sz w:val="22"/>
          <w:szCs w:val="22"/>
        </w:rPr>
        <w:t xml:space="preserve">10563 </w:t>
      </w:r>
      <w:proofErr w:type="spellStart"/>
      <w:r w:rsidRPr="00951BB6">
        <w:rPr>
          <w:rFonts w:ascii="Calibri" w:hAnsi="Calibri" w:cs="Calibri"/>
          <w:color w:val="000000" w:themeColor="text1"/>
          <w:sz w:val="22"/>
          <w:szCs w:val="22"/>
        </w:rPr>
        <w:t>Αθήν</w:t>
      </w:r>
      <w:proofErr w:type="spellEnd"/>
      <w:r w:rsidRPr="00951BB6">
        <w:rPr>
          <w:rFonts w:ascii="Calibri" w:hAnsi="Calibri" w:cs="Calibri"/>
          <w:color w:val="000000" w:themeColor="text1"/>
          <w:sz w:val="22"/>
          <w:szCs w:val="22"/>
        </w:rPr>
        <w:t>α</w:t>
      </w:r>
    </w:p>
    <w:p w14:paraId="1DFE1562" w14:textId="77777777" w:rsidR="00951BB6" w:rsidRPr="00951BB6" w:rsidRDefault="00951BB6" w:rsidP="00951BB6">
      <w:pPr>
        <w:spacing w:after="0" w:line="240" w:lineRule="auto"/>
        <w:rPr>
          <w:rFonts w:cs="Calibri"/>
          <w:b/>
          <w:color w:val="000000" w:themeColor="text1"/>
        </w:rPr>
      </w:pPr>
      <w:r w:rsidRPr="00951BB6">
        <w:rPr>
          <w:rFonts w:cs="Calibri"/>
          <w:b/>
          <w:color w:val="000000" w:themeColor="text1"/>
        </w:rPr>
        <w:t xml:space="preserve">ΓΡΑΦΕΙΟ ΤΥΠΟΥ </w:t>
      </w:r>
      <w:r w:rsidRPr="00951BB6">
        <w:rPr>
          <w:rFonts w:cs="Calibri"/>
          <w:b/>
          <w:color w:val="000000" w:themeColor="text1"/>
        </w:rPr>
        <w:tab/>
      </w:r>
      <w:r w:rsidRPr="00951BB6">
        <w:rPr>
          <w:rFonts w:cs="Calibri"/>
          <w:b/>
          <w:color w:val="000000" w:themeColor="text1"/>
        </w:rPr>
        <w:tab/>
      </w:r>
      <w:r w:rsidRPr="00951BB6">
        <w:rPr>
          <w:rFonts w:cs="Calibri"/>
          <w:b/>
          <w:color w:val="000000" w:themeColor="text1"/>
        </w:rPr>
        <w:tab/>
        <w:t xml:space="preserve">                       </w:t>
      </w:r>
      <w:r w:rsidRPr="00951BB6">
        <w:rPr>
          <w:rFonts w:cs="Calibri"/>
          <w:b/>
          <w:color w:val="000000" w:themeColor="text1"/>
        </w:rPr>
        <w:tab/>
      </w:r>
      <w:r w:rsidRPr="00951BB6">
        <w:rPr>
          <w:rFonts w:cs="Calibri"/>
          <w:b/>
          <w:color w:val="000000" w:themeColor="text1"/>
        </w:rPr>
        <w:tab/>
        <w:t xml:space="preserve">            </w:t>
      </w:r>
    </w:p>
    <w:p w14:paraId="37870BCC" w14:textId="77777777" w:rsidR="00951BB6" w:rsidRPr="00951BB6" w:rsidRDefault="00951BB6" w:rsidP="00951BB6">
      <w:pPr>
        <w:pBdr>
          <w:bottom w:val="single" w:sz="6" w:space="1" w:color="auto"/>
        </w:pBdr>
        <w:spacing w:after="0" w:line="240" w:lineRule="auto"/>
        <w:rPr>
          <w:rFonts w:cs="Calibri"/>
          <w:b/>
          <w:color w:val="000000" w:themeColor="text1"/>
        </w:rPr>
      </w:pPr>
      <w:r w:rsidRPr="00951BB6">
        <w:rPr>
          <w:rFonts w:cs="Calibri"/>
          <w:b/>
          <w:color w:val="000000" w:themeColor="text1"/>
        </w:rPr>
        <w:t>e-</w:t>
      </w:r>
      <w:proofErr w:type="spellStart"/>
      <w:r w:rsidRPr="00951BB6">
        <w:rPr>
          <w:rFonts w:cs="Calibri"/>
          <w:b/>
          <w:color w:val="000000" w:themeColor="text1"/>
        </w:rPr>
        <w:t>mail</w:t>
      </w:r>
      <w:proofErr w:type="spellEnd"/>
      <w:r w:rsidRPr="00951BB6">
        <w:rPr>
          <w:rFonts w:cs="Calibri"/>
          <w:b/>
          <w:color w:val="000000" w:themeColor="text1"/>
        </w:rPr>
        <w:t>: press@minfin.gr</w:t>
      </w:r>
    </w:p>
    <w:p w14:paraId="52DC579E" w14:textId="77777777" w:rsidR="00951BB6" w:rsidRPr="00951BB6" w:rsidRDefault="00951BB6" w:rsidP="00951BB6">
      <w:pPr>
        <w:spacing w:after="0" w:line="240" w:lineRule="auto"/>
        <w:jc w:val="both"/>
        <w:rPr>
          <w:rStyle w:val="mesotitlos"/>
          <w:rFonts w:eastAsia="Μοντέρνα" w:cs="Calibri"/>
          <w:bCs/>
          <w:color w:val="000000" w:themeColor="text1"/>
        </w:rPr>
      </w:pPr>
    </w:p>
    <w:p w14:paraId="6A1A1F50" w14:textId="77777777" w:rsidR="00951BB6" w:rsidRPr="002C37BA" w:rsidRDefault="00CC47D5" w:rsidP="00951BB6">
      <w:pPr>
        <w:spacing w:after="0" w:line="240" w:lineRule="auto"/>
        <w:jc w:val="right"/>
        <w:rPr>
          <w:rStyle w:val="mesotitlos"/>
          <w:rFonts w:eastAsia="Μοντέρνα" w:cs="Calibri"/>
          <w:b/>
          <w:bCs/>
          <w:color w:val="000000" w:themeColor="text1"/>
          <w:sz w:val="24"/>
          <w:szCs w:val="24"/>
        </w:rPr>
      </w:pPr>
      <w:r>
        <w:rPr>
          <w:rStyle w:val="mesotitlos"/>
          <w:rFonts w:eastAsia="Μοντέρνα" w:cs="Calibri"/>
          <w:b/>
          <w:bCs/>
          <w:color w:val="000000" w:themeColor="text1"/>
          <w:sz w:val="24"/>
          <w:szCs w:val="24"/>
        </w:rPr>
        <w:t>Π</w:t>
      </w:r>
      <w:r w:rsidR="00564DA0">
        <w:rPr>
          <w:rStyle w:val="mesotitlos"/>
          <w:rFonts w:eastAsia="Μοντέρνα" w:cs="Calibri"/>
          <w:b/>
          <w:bCs/>
          <w:color w:val="000000" w:themeColor="text1"/>
          <w:sz w:val="24"/>
          <w:szCs w:val="24"/>
        </w:rPr>
        <w:t>αρασκευή</w:t>
      </w:r>
      <w:r w:rsidR="001D3CFB" w:rsidRPr="002C37BA">
        <w:rPr>
          <w:rStyle w:val="mesotitlos"/>
          <w:rFonts w:eastAsia="Μοντέρνα" w:cs="Calibri"/>
          <w:b/>
          <w:bCs/>
          <w:color w:val="000000" w:themeColor="text1"/>
          <w:sz w:val="24"/>
          <w:szCs w:val="24"/>
        </w:rPr>
        <w:t xml:space="preserve">, </w:t>
      </w:r>
      <w:r w:rsidR="00564DA0">
        <w:rPr>
          <w:rStyle w:val="mesotitlos"/>
          <w:rFonts w:eastAsia="Μοντέρνα" w:cs="Calibri"/>
          <w:b/>
          <w:bCs/>
          <w:color w:val="000000" w:themeColor="text1"/>
          <w:sz w:val="24"/>
          <w:szCs w:val="24"/>
        </w:rPr>
        <w:t>16 Σεπτεμβρ</w:t>
      </w:r>
      <w:r>
        <w:rPr>
          <w:rStyle w:val="mesotitlos"/>
          <w:rFonts w:eastAsia="Μοντέρνα" w:cs="Calibri"/>
          <w:b/>
          <w:bCs/>
          <w:color w:val="000000" w:themeColor="text1"/>
          <w:sz w:val="24"/>
          <w:szCs w:val="24"/>
        </w:rPr>
        <w:t>ίου</w:t>
      </w:r>
      <w:r w:rsidR="00A46016">
        <w:rPr>
          <w:rStyle w:val="mesotitlos"/>
          <w:rFonts w:eastAsia="Μοντέρνα" w:cs="Calibri"/>
          <w:b/>
          <w:bCs/>
          <w:color w:val="000000" w:themeColor="text1"/>
          <w:sz w:val="24"/>
          <w:szCs w:val="24"/>
        </w:rPr>
        <w:t xml:space="preserve"> 2022</w:t>
      </w:r>
    </w:p>
    <w:p w14:paraId="073034E1" w14:textId="77777777" w:rsidR="00951BB6" w:rsidRPr="002C37BA" w:rsidRDefault="00951BB6" w:rsidP="00951BB6">
      <w:pPr>
        <w:spacing w:after="0" w:line="240" w:lineRule="auto"/>
        <w:rPr>
          <w:rStyle w:val="mesotitlos"/>
          <w:rFonts w:eastAsia="Μοντέρνα" w:cs="Calibri"/>
          <w:b/>
          <w:bCs/>
          <w:color w:val="000000" w:themeColor="text1"/>
          <w:sz w:val="24"/>
          <w:szCs w:val="24"/>
        </w:rPr>
      </w:pPr>
    </w:p>
    <w:p w14:paraId="5F695608" w14:textId="77777777" w:rsidR="005B64B3" w:rsidRPr="00564DA0" w:rsidRDefault="00951BB6" w:rsidP="00564DA0">
      <w:pPr>
        <w:spacing w:after="0"/>
        <w:jc w:val="center"/>
        <w:rPr>
          <w:rFonts w:eastAsia="Times New Roman" w:cstheme="minorHAnsi"/>
          <w:b/>
          <w:color w:val="000000" w:themeColor="text1"/>
          <w:sz w:val="24"/>
          <w:szCs w:val="24"/>
          <w:lang w:eastAsia="el-GR"/>
        </w:rPr>
      </w:pPr>
      <w:r w:rsidRPr="00967B5A">
        <w:rPr>
          <w:rFonts w:eastAsia="Times New Roman" w:cs="Calibri"/>
          <w:b/>
          <w:color w:val="000000" w:themeColor="text1"/>
          <w:sz w:val="24"/>
          <w:lang w:eastAsia="el-GR"/>
        </w:rPr>
        <w:t>Δελτίο Τύπου</w:t>
      </w:r>
    </w:p>
    <w:p w14:paraId="671656E2" w14:textId="77777777" w:rsidR="00564DA0" w:rsidRPr="00564DA0" w:rsidRDefault="00564DA0" w:rsidP="00564DA0">
      <w:pPr>
        <w:spacing w:after="0"/>
        <w:contextualSpacing/>
        <w:jc w:val="center"/>
        <w:rPr>
          <w:rFonts w:cstheme="minorHAnsi"/>
          <w:b/>
          <w:sz w:val="24"/>
          <w:szCs w:val="24"/>
        </w:rPr>
      </w:pPr>
      <w:r w:rsidRPr="00564DA0">
        <w:rPr>
          <w:rFonts w:cstheme="minorHAnsi"/>
          <w:b/>
          <w:sz w:val="24"/>
          <w:szCs w:val="24"/>
        </w:rPr>
        <w:t>Εκτέλεση Κρατικού Προϋπολογισμού Αυγούστου 2022</w:t>
      </w:r>
    </w:p>
    <w:p w14:paraId="5F0FFE1B" w14:textId="77777777" w:rsidR="00564DA0" w:rsidRPr="00564DA0" w:rsidRDefault="00564DA0" w:rsidP="00564DA0">
      <w:pPr>
        <w:spacing w:after="0"/>
        <w:contextualSpacing/>
        <w:jc w:val="both"/>
        <w:rPr>
          <w:rFonts w:cstheme="minorHAnsi"/>
        </w:rPr>
      </w:pPr>
    </w:p>
    <w:p w14:paraId="03944221" w14:textId="77777777" w:rsidR="00564DA0" w:rsidRPr="00564DA0" w:rsidRDefault="00564DA0" w:rsidP="00564DA0">
      <w:pPr>
        <w:spacing w:after="0"/>
        <w:contextualSpacing/>
        <w:jc w:val="both"/>
        <w:rPr>
          <w:rFonts w:cstheme="minorHAnsi"/>
        </w:rPr>
      </w:pPr>
      <w:r w:rsidRPr="00564DA0">
        <w:rPr>
          <w:rFonts w:cstheme="minorHAnsi"/>
        </w:rPr>
        <w:t>Σύμφωνα με τα προσωρινά στοιχεία εκτέλεσης του κρατικού προϋπολογισμού, σε τροποποιημένη ταμειακή βάση, για την περίοδο του Ιανουαρίου – Αυγούστου 2022, παρουσιάζεται έλλειμμα στο ισοζύγιο του κρατικού προϋπολογισμού ύψους 4.114 εκατ. ευρώ έναντι στόχου για έλλειμμα 9.992 εκατ. ευρώ που έχει περιληφθεί για το αντίστοιχο διάστημα του 2022 στην εισηγητική έκθεση του Προϋπολογισμού 2022 και ελλείμματος 10.519 εκατ. ευρώ το αντίστοιχο διάστημα του 2021. Το πρωτογενές αποτέλεσμα διαμορφώθηκε σε πλεόνασμα ύψους 10 εκατ. ευρώ, έναντι στόχου για πρωτογενές έλλειμμα 5.942 εκατ. ευρώ και πρωτογενούς ελλείμματος 6.381 εκατ. ευρώ για την ίδια περίοδο το 2021.</w:t>
      </w:r>
    </w:p>
    <w:p w14:paraId="69B9AA2D" w14:textId="77777777" w:rsidR="00564DA0" w:rsidRPr="00564DA0" w:rsidRDefault="00564DA0" w:rsidP="00564DA0">
      <w:pPr>
        <w:spacing w:after="0"/>
        <w:contextualSpacing/>
        <w:jc w:val="both"/>
        <w:rPr>
          <w:rFonts w:cstheme="minorHAnsi"/>
        </w:rPr>
      </w:pPr>
    </w:p>
    <w:p w14:paraId="12C27769" w14:textId="77777777" w:rsidR="00564DA0" w:rsidRPr="00564DA0" w:rsidRDefault="00564DA0" w:rsidP="00564DA0">
      <w:pPr>
        <w:pStyle w:val="NormalWeb"/>
        <w:spacing w:before="0" w:beforeAutospacing="0" w:after="0" w:afterAutospacing="0" w:line="276" w:lineRule="auto"/>
        <w:contextualSpacing/>
        <w:jc w:val="both"/>
        <w:rPr>
          <w:rFonts w:asciiTheme="minorHAnsi" w:hAnsiTheme="minorHAnsi" w:cstheme="minorHAnsi"/>
          <w:sz w:val="22"/>
          <w:szCs w:val="22"/>
        </w:rPr>
      </w:pPr>
      <w:r w:rsidRPr="00564DA0">
        <w:rPr>
          <w:rFonts w:asciiTheme="minorHAnsi" w:hAnsiTheme="minorHAnsi" w:cstheme="minorHAnsi"/>
          <w:sz w:val="22"/>
          <w:szCs w:val="22"/>
        </w:rPr>
        <w:t>Το ύψος των καθαρών εσόδων του κρατικού προϋπολογισμού ανήλθε σε</w:t>
      </w:r>
      <w:r>
        <w:rPr>
          <w:rFonts w:asciiTheme="minorHAnsi" w:hAnsiTheme="minorHAnsi" w:cstheme="minorHAnsi"/>
          <w:sz w:val="22"/>
          <w:szCs w:val="22"/>
        </w:rPr>
        <w:t xml:space="preserve"> </w:t>
      </w:r>
      <w:r w:rsidRPr="00564DA0">
        <w:rPr>
          <w:rFonts w:asciiTheme="minorHAnsi" w:hAnsiTheme="minorHAnsi" w:cstheme="minorHAnsi"/>
          <w:sz w:val="22"/>
          <w:szCs w:val="22"/>
        </w:rPr>
        <w:t>39.222 εκατ. ευρώ, παρουσιάζοντας αύξηση κατά 5.685 εκατ. ευρώ ή 17% έναντι της εκτίμησης για το αντίστοιχο διάστημα που έχει περιληφθεί στην εισηγητική έκθεση του Προϋπολογισμού 2022, παρά τα μειωμένα έσοδα του ΠΔΕ.</w:t>
      </w:r>
    </w:p>
    <w:p w14:paraId="496BC2AC" w14:textId="77777777" w:rsidR="00564DA0" w:rsidRPr="00564DA0" w:rsidRDefault="00564DA0" w:rsidP="00564DA0">
      <w:pPr>
        <w:pStyle w:val="NormalWeb"/>
        <w:spacing w:before="0" w:beforeAutospacing="0" w:after="0" w:afterAutospacing="0" w:line="276" w:lineRule="auto"/>
        <w:contextualSpacing/>
        <w:jc w:val="both"/>
        <w:rPr>
          <w:rFonts w:asciiTheme="minorHAnsi" w:hAnsiTheme="minorHAnsi" w:cstheme="minorHAnsi"/>
          <w:sz w:val="22"/>
          <w:szCs w:val="22"/>
        </w:rPr>
      </w:pPr>
    </w:p>
    <w:p w14:paraId="46181DEB" w14:textId="77777777" w:rsidR="00564DA0" w:rsidRPr="00564DA0" w:rsidRDefault="00564DA0" w:rsidP="00564DA0">
      <w:pPr>
        <w:pStyle w:val="NormalWeb"/>
        <w:spacing w:before="0" w:beforeAutospacing="0" w:after="0" w:afterAutospacing="0" w:line="276" w:lineRule="auto"/>
        <w:contextualSpacing/>
        <w:jc w:val="both"/>
        <w:rPr>
          <w:rFonts w:asciiTheme="minorHAnsi" w:hAnsiTheme="minorHAnsi" w:cstheme="minorHAnsi"/>
          <w:sz w:val="22"/>
          <w:szCs w:val="22"/>
        </w:rPr>
      </w:pPr>
      <w:r w:rsidRPr="00564DA0">
        <w:rPr>
          <w:rFonts w:asciiTheme="minorHAnsi" w:hAnsiTheme="minorHAnsi" w:cstheme="minorHAnsi"/>
          <w:sz w:val="22"/>
          <w:szCs w:val="22"/>
        </w:rPr>
        <w:t>Τα συνολικά έσοδα του κρατικού προϋπολογισμού ανήλθαν σε 42.797 εκατ. ευρώ, αυξημένα κατά 6.388 εκατ. ευρώ ή 17,5% έναντι του στόχου.</w:t>
      </w:r>
    </w:p>
    <w:p w14:paraId="2640AD9E" w14:textId="77777777" w:rsidR="00564DA0" w:rsidRPr="00564DA0" w:rsidRDefault="00564DA0" w:rsidP="00564DA0">
      <w:pPr>
        <w:pStyle w:val="NormalWeb"/>
        <w:spacing w:before="0" w:beforeAutospacing="0" w:after="0" w:afterAutospacing="0" w:line="276" w:lineRule="auto"/>
        <w:contextualSpacing/>
        <w:jc w:val="both"/>
        <w:rPr>
          <w:rFonts w:asciiTheme="minorHAnsi" w:hAnsiTheme="minorHAnsi" w:cstheme="minorHAnsi"/>
          <w:sz w:val="22"/>
          <w:szCs w:val="22"/>
        </w:rPr>
      </w:pPr>
    </w:p>
    <w:p w14:paraId="1A5159CC" w14:textId="77777777" w:rsidR="00564DA0" w:rsidRPr="00564DA0" w:rsidRDefault="00564DA0" w:rsidP="00564DA0">
      <w:pPr>
        <w:spacing w:after="0"/>
        <w:jc w:val="both"/>
        <w:rPr>
          <w:rFonts w:cstheme="minorHAnsi"/>
        </w:rPr>
      </w:pPr>
      <w:r w:rsidRPr="00564DA0">
        <w:rPr>
          <w:rFonts w:cstheme="minorHAnsi"/>
        </w:rPr>
        <w:t xml:space="preserve">Τα έσοδα από φόρους ανήλθαν σε 35.844 εκατ. ευρώ, αυξημένα κατά 5.621 εκατ. ευρώ ή 18,6% έναντι του στόχου που έχει περιληφθεί στην εισηγητική έκθεση του Προϋπολογισμού 2022.  Η </w:t>
      </w:r>
      <w:proofErr w:type="spellStart"/>
      <w:r w:rsidRPr="00564DA0">
        <w:rPr>
          <w:rFonts w:cstheme="minorHAnsi"/>
        </w:rPr>
        <w:t>υπερεκτέλεση</w:t>
      </w:r>
      <w:proofErr w:type="spellEnd"/>
      <w:r w:rsidRPr="00564DA0">
        <w:rPr>
          <w:rFonts w:cstheme="minorHAnsi"/>
        </w:rPr>
        <w:t xml:space="preserve"> αυτή οφείλεται:</w:t>
      </w:r>
    </w:p>
    <w:p w14:paraId="3DEEA0F4" w14:textId="77777777" w:rsidR="00564DA0" w:rsidRPr="00564DA0" w:rsidRDefault="00564DA0" w:rsidP="00564DA0">
      <w:pPr>
        <w:spacing w:after="0"/>
        <w:jc w:val="both"/>
        <w:rPr>
          <w:rFonts w:cstheme="minorHAnsi"/>
        </w:rPr>
      </w:pPr>
      <w:r w:rsidRPr="00564DA0">
        <w:rPr>
          <w:rFonts w:cstheme="minorHAnsi"/>
        </w:rPr>
        <w:t>α) στην καλύτερη απόδοση των φόρων του προηγούμενου έτους που εισπράχθηκαν σε δόσεις μέχρι και το τέλος Φεβρουαρίου 2022,</w:t>
      </w:r>
    </w:p>
    <w:p w14:paraId="06A1932D" w14:textId="77777777" w:rsidR="00564DA0" w:rsidRPr="00564DA0" w:rsidRDefault="00564DA0" w:rsidP="00564DA0">
      <w:pPr>
        <w:spacing w:after="0"/>
        <w:jc w:val="both"/>
        <w:rPr>
          <w:rFonts w:cstheme="minorHAnsi"/>
        </w:rPr>
      </w:pPr>
      <w:r w:rsidRPr="00564DA0">
        <w:rPr>
          <w:rFonts w:cstheme="minorHAnsi"/>
        </w:rPr>
        <w:t>β) στην παράταση της προθεσμίας πληρωμής των τελών κυκλοφορίας μέχρι το τέλος Φεβρουαρίου 2022,</w:t>
      </w:r>
    </w:p>
    <w:p w14:paraId="7F97D35A" w14:textId="77777777" w:rsidR="00564DA0" w:rsidRPr="00564DA0" w:rsidRDefault="00564DA0" w:rsidP="00564DA0">
      <w:pPr>
        <w:spacing w:after="0"/>
        <w:jc w:val="both"/>
        <w:rPr>
          <w:rFonts w:cstheme="minorHAnsi"/>
        </w:rPr>
      </w:pPr>
      <w:r w:rsidRPr="00564DA0">
        <w:rPr>
          <w:rFonts w:cstheme="minorHAnsi"/>
        </w:rPr>
        <w:t xml:space="preserve">γ) στην καλύτερη απόδοση στην είσπραξη των φόρων του τρέχοντος έτους </w:t>
      </w:r>
      <w:r w:rsidRPr="00564DA0">
        <w:rPr>
          <w:rFonts w:eastAsia="Times New Roman" w:cstheme="minorHAnsi"/>
          <w:bCs/>
          <w:lang w:eastAsia="el-GR"/>
        </w:rPr>
        <w:t>και</w:t>
      </w:r>
    </w:p>
    <w:p w14:paraId="7E9411C3" w14:textId="77777777" w:rsidR="00564DA0" w:rsidRPr="00564DA0" w:rsidRDefault="00564DA0" w:rsidP="00564DA0">
      <w:pPr>
        <w:spacing w:after="0"/>
        <w:jc w:val="both"/>
        <w:rPr>
          <w:rFonts w:eastAsia="Times New Roman" w:cstheme="minorHAnsi"/>
          <w:bCs/>
          <w:lang w:eastAsia="el-GR"/>
        </w:rPr>
      </w:pPr>
      <w:r w:rsidRPr="00564DA0">
        <w:rPr>
          <w:rFonts w:eastAsia="Times New Roman" w:cstheme="minorHAnsi"/>
          <w:bCs/>
          <w:lang w:eastAsia="el-GR"/>
        </w:rPr>
        <w:t>δ) στην είσπραξη μέχρι το τέλος Αυγούστου 2022 των τεσσάρων από τις οκτώ δόσεις του ΕΝΦΙΑ οι οποίες είχαν προβλεφθεί ότι θα εισπραχθούν από τον Σεπτέμβριο έως τον Δεκέμβριο του τρέχοντος έτους.</w:t>
      </w:r>
    </w:p>
    <w:p w14:paraId="117A5F9A" w14:textId="77777777" w:rsidR="00564DA0" w:rsidRPr="00564DA0" w:rsidRDefault="00564DA0" w:rsidP="00564DA0">
      <w:pPr>
        <w:spacing w:after="0"/>
        <w:jc w:val="both"/>
        <w:rPr>
          <w:rFonts w:eastAsia="Times New Roman" w:cstheme="minorHAnsi"/>
          <w:bCs/>
          <w:lang w:eastAsia="el-GR"/>
        </w:rPr>
      </w:pPr>
    </w:p>
    <w:p w14:paraId="1EB250DE" w14:textId="77777777" w:rsidR="00564DA0" w:rsidRPr="00564DA0" w:rsidRDefault="00564DA0" w:rsidP="00564DA0">
      <w:pPr>
        <w:spacing w:after="0"/>
        <w:contextualSpacing/>
        <w:jc w:val="both"/>
        <w:rPr>
          <w:rFonts w:eastAsia="Times New Roman" w:cstheme="minorHAnsi"/>
          <w:lang w:eastAsia="el-GR"/>
        </w:rPr>
      </w:pPr>
      <w:r w:rsidRPr="00564DA0">
        <w:rPr>
          <w:rFonts w:eastAsia="Times New Roman" w:cstheme="minorHAnsi"/>
          <w:lang w:eastAsia="el-GR"/>
        </w:rPr>
        <w:lastRenderedPageBreak/>
        <w:t>Η ακριβής κατανομή μεταξύ των κατηγοριών εσόδων του κρατικού προϋπολογισμού θα πραγματοποιηθεί με την έκδοση του οριστικού δελτίου.</w:t>
      </w:r>
    </w:p>
    <w:p w14:paraId="39D517C9" w14:textId="77777777" w:rsidR="00564DA0" w:rsidRPr="00564DA0" w:rsidRDefault="00564DA0" w:rsidP="00564DA0">
      <w:pPr>
        <w:pStyle w:val="NormalWeb"/>
        <w:spacing w:before="0" w:beforeAutospacing="0" w:after="0" w:afterAutospacing="0" w:line="276" w:lineRule="auto"/>
        <w:contextualSpacing/>
        <w:jc w:val="both"/>
        <w:rPr>
          <w:rFonts w:asciiTheme="minorHAnsi" w:eastAsia="Calibri" w:hAnsiTheme="minorHAnsi" w:cstheme="minorHAnsi"/>
          <w:bCs/>
          <w:sz w:val="22"/>
          <w:szCs w:val="22"/>
          <w:lang w:eastAsia="en-US"/>
        </w:rPr>
      </w:pPr>
    </w:p>
    <w:p w14:paraId="3EFE4A45" w14:textId="77777777" w:rsidR="00564DA0" w:rsidRPr="00564DA0" w:rsidRDefault="00564DA0" w:rsidP="00564DA0">
      <w:pPr>
        <w:pStyle w:val="NormalWeb"/>
        <w:spacing w:before="0" w:beforeAutospacing="0" w:after="0" w:afterAutospacing="0" w:line="276" w:lineRule="auto"/>
        <w:contextualSpacing/>
        <w:jc w:val="both"/>
        <w:rPr>
          <w:rFonts w:asciiTheme="minorHAnsi" w:hAnsiTheme="minorHAnsi" w:cstheme="minorHAnsi"/>
          <w:sz w:val="22"/>
          <w:szCs w:val="22"/>
        </w:rPr>
      </w:pPr>
      <w:r w:rsidRPr="00564DA0">
        <w:rPr>
          <w:rFonts w:asciiTheme="minorHAnsi" w:hAnsiTheme="minorHAnsi" w:cstheme="minorHAnsi"/>
          <w:sz w:val="22"/>
          <w:szCs w:val="22"/>
        </w:rPr>
        <w:t>Οι επιστροφές εσόδων ανήλθαν σε 3.575 εκατ. ευρώ, αυξημένες κατά 704 εκατ. ευρώ από τον στόχο (2.872 εκατ. ευρώ).</w:t>
      </w:r>
    </w:p>
    <w:p w14:paraId="3C740126" w14:textId="77777777" w:rsidR="00564DA0" w:rsidRPr="00564DA0" w:rsidRDefault="00564DA0" w:rsidP="00564DA0">
      <w:pPr>
        <w:spacing w:after="0"/>
        <w:contextualSpacing/>
        <w:jc w:val="both"/>
        <w:rPr>
          <w:rFonts w:cstheme="minorHAnsi"/>
        </w:rPr>
      </w:pPr>
    </w:p>
    <w:p w14:paraId="495CDE9A" w14:textId="77777777" w:rsidR="00564DA0" w:rsidRPr="00564DA0" w:rsidRDefault="00564DA0" w:rsidP="00564DA0">
      <w:pPr>
        <w:pStyle w:val="NormalWeb"/>
        <w:spacing w:before="0" w:beforeAutospacing="0" w:after="0" w:afterAutospacing="0" w:line="276" w:lineRule="auto"/>
        <w:contextualSpacing/>
        <w:jc w:val="both"/>
        <w:rPr>
          <w:rFonts w:asciiTheme="minorHAnsi" w:hAnsiTheme="minorHAnsi" w:cstheme="minorHAnsi"/>
          <w:sz w:val="22"/>
          <w:szCs w:val="22"/>
        </w:rPr>
      </w:pPr>
      <w:r w:rsidRPr="00564DA0">
        <w:rPr>
          <w:rFonts w:asciiTheme="minorHAnsi" w:hAnsiTheme="minorHAnsi" w:cstheme="minorHAnsi"/>
          <w:sz w:val="22"/>
          <w:szCs w:val="22"/>
        </w:rPr>
        <w:t>Τα συνολικά έσοδα του Προϋπολογισμού Δημοσίων Επενδύσεων (ΠΔΕ) ανήλθαν σε 1.921 εκατ. ευρώ, μειωμένα κατά 849 εκατ. ευρώ από τον στόχο (2.770 εκατ. ευρώ).</w:t>
      </w:r>
    </w:p>
    <w:p w14:paraId="0AD4A4F2" w14:textId="77777777" w:rsidR="00564DA0" w:rsidRPr="00564DA0" w:rsidRDefault="00564DA0" w:rsidP="00564DA0">
      <w:pPr>
        <w:pStyle w:val="NormalWeb"/>
        <w:spacing w:before="0" w:beforeAutospacing="0" w:after="0" w:afterAutospacing="0" w:line="276" w:lineRule="auto"/>
        <w:contextualSpacing/>
        <w:jc w:val="both"/>
        <w:rPr>
          <w:rFonts w:asciiTheme="minorHAnsi" w:hAnsiTheme="minorHAnsi" w:cstheme="minorHAnsi"/>
          <w:sz w:val="22"/>
          <w:szCs w:val="22"/>
        </w:rPr>
      </w:pPr>
    </w:p>
    <w:p w14:paraId="1AC89A14" w14:textId="77777777" w:rsidR="00564DA0" w:rsidRPr="00564DA0" w:rsidRDefault="00564DA0" w:rsidP="00564DA0">
      <w:pPr>
        <w:spacing w:after="0"/>
        <w:jc w:val="both"/>
        <w:rPr>
          <w:rFonts w:eastAsia="Times New Roman" w:cstheme="minorHAnsi"/>
          <w:bCs/>
          <w:lang w:eastAsia="el-GR"/>
        </w:rPr>
      </w:pPr>
      <w:r w:rsidRPr="00564DA0">
        <w:rPr>
          <w:rFonts w:cstheme="minorHAnsi"/>
        </w:rPr>
        <w:t>Για τον Αύγουστο 2022 το σύνολο των καθαρών εσόδων του κρατικού προϋπολογισμού ανήλθε στα 5.519 εκατ. ευρώ, αυξημένο κατά 882 εκατ. ευρώ σε σχέση με τον μηνιαίο στόχο.</w:t>
      </w:r>
    </w:p>
    <w:p w14:paraId="1CCBB3A8" w14:textId="77777777" w:rsidR="00564DA0" w:rsidRPr="00564DA0" w:rsidRDefault="00564DA0" w:rsidP="00564DA0">
      <w:pPr>
        <w:pStyle w:val="NormalWeb"/>
        <w:spacing w:before="0" w:beforeAutospacing="0" w:after="0" w:afterAutospacing="0" w:line="276" w:lineRule="auto"/>
        <w:contextualSpacing/>
        <w:jc w:val="both"/>
        <w:rPr>
          <w:rFonts w:asciiTheme="minorHAnsi" w:hAnsiTheme="minorHAnsi" w:cstheme="minorHAnsi"/>
          <w:sz w:val="22"/>
          <w:szCs w:val="22"/>
        </w:rPr>
      </w:pPr>
      <w:r w:rsidRPr="00564DA0">
        <w:rPr>
          <w:rFonts w:asciiTheme="minorHAnsi" w:hAnsiTheme="minorHAnsi" w:cstheme="minorHAnsi"/>
          <w:sz w:val="22"/>
          <w:szCs w:val="22"/>
        </w:rPr>
        <w:t>Τα συνολικά έσοδα του κρατικού προϋπολογισμού ανήλθαν σε 5.945 εκατ. ευρώ, αυξημένα κατά 827 εκατ. ευρώ έναντι της εκτίμησης για το αντίστοιχο διάστημα που έχει περιληφθεί στην εισηγητική έκθεση του Προϋπολογισμού 2022.</w:t>
      </w:r>
    </w:p>
    <w:p w14:paraId="4DB7E4F5" w14:textId="77777777" w:rsidR="00564DA0" w:rsidRPr="00564DA0" w:rsidRDefault="00564DA0" w:rsidP="00564DA0">
      <w:pPr>
        <w:pStyle w:val="NormalWeb"/>
        <w:spacing w:before="0" w:beforeAutospacing="0" w:after="0" w:afterAutospacing="0" w:line="276" w:lineRule="auto"/>
        <w:contextualSpacing/>
        <w:jc w:val="both"/>
        <w:rPr>
          <w:rFonts w:asciiTheme="minorHAnsi" w:hAnsiTheme="minorHAnsi" w:cstheme="minorHAnsi"/>
          <w:sz w:val="22"/>
          <w:szCs w:val="22"/>
        </w:rPr>
      </w:pPr>
      <w:r w:rsidRPr="00564DA0">
        <w:rPr>
          <w:rFonts w:asciiTheme="minorHAnsi" w:hAnsiTheme="minorHAnsi" w:cstheme="minorHAnsi"/>
          <w:sz w:val="22"/>
          <w:szCs w:val="22"/>
        </w:rPr>
        <w:t>Τα έσοδα από φόρους ανήλθαν σε 5.695 εκατ. ευρώ, αυξημένα κατά 1.401 εκατ. ευρώ ή 32,6% έναντι του στόχου, λόγω της είσπραξης της τέταρτης δόσης του ΕΝΦΙΑ που είχε προβλεφθεί ότι θα εισπραχθεί τον μήνα Δεκέμβριο αλλά κυρίως εξαιτίας της λήξης της προθεσμίας πληρωμής της πρώτης και της δεύτερης δόσης του φόρου εισοδήματος στο τέλος Αυγούστου.</w:t>
      </w:r>
    </w:p>
    <w:p w14:paraId="22D77C4C" w14:textId="77777777" w:rsidR="00564DA0" w:rsidRPr="00564DA0" w:rsidRDefault="00564DA0" w:rsidP="00564DA0">
      <w:pPr>
        <w:pStyle w:val="NormalWeb"/>
        <w:spacing w:before="0" w:beforeAutospacing="0" w:after="0" w:afterAutospacing="0" w:line="276" w:lineRule="auto"/>
        <w:contextualSpacing/>
        <w:jc w:val="both"/>
        <w:rPr>
          <w:rFonts w:asciiTheme="minorHAnsi" w:hAnsiTheme="minorHAnsi" w:cstheme="minorHAnsi"/>
          <w:sz w:val="22"/>
          <w:szCs w:val="22"/>
        </w:rPr>
      </w:pPr>
      <w:r w:rsidRPr="00564DA0">
        <w:rPr>
          <w:rFonts w:asciiTheme="minorHAnsi" w:hAnsiTheme="minorHAnsi" w:cstheme="minorHAnsi"/>
          <w:sz w:val="22"/>
          <w:szCs w:val="22"/>
        </w:rPr>
        <w:t>Οι επιστροφές εσόδων ανήλθαν σε 426 εκατ. ευρώ, μειωμένες κατά 55 εκατ. ευρώ σε σχέση με τον στόχο (481 εκατ. ευρώ).</w:t>
      </w:r>
    </w:p>
    <w:p w14:paraId="3FC83BA9" w14:textId="77777777" w:rsidR="00564DA0" w:rsidRPr="00564DA0" w:rsidRDefault="00564DA0" w:rsidP="00564DA0">
      <w:pPr>
        <w:pStyle w:val="NormalWeb"/>
        <w:spacing w:before="0" w:beforeAutospacing="0" w:after="0" w:afterAutospacing="0" w:line="276" w:lineRule="auto"/>
        <w:contextualSpacing/>
        <w:jc w:val="both"/>
        <w:rPr>
          <w:rFonts w:asciiTheme="minorHAnsi" w:hAnsiTheme="minorHAnsi" w:cstheme="minorHAnsi"/>
          <w:sz w:val="22"/>
          <w:szCs w:val="22"/>
        </w:rPr>
      </w:pPr>
      <w:r w:rsidRPr="00564DA0">
        <w:rPr>
          <w:rFonts w:asciiTheme="minorHAnsi" w:hAnsiTheme="minorHAnsi" w:cstheme="minorHAnsi"/>
          <w:sz w:val="22"/>
          <w:szCs w:val="22"/>
        </w:rPr>
        <w:t>Τα συνολικά έσοδα του Προϋπολογισμού Δημοσίων Επενδύσεων (ΠΔΕ) ανήλθαν σε 143 εκατ. ευρώ, μειωμένα κατά 467 εκατ. ευρώ σε σχέση με τον στόχο (610 εκατ. ευρώ).</w:t>
      </w:r>
    </w:p>
    <w:p w14:paraId="7FA5AA3E" w14:textId="77777777" w:rsidR="00564DA0" w:rsidRPr="00564DA0" w:rsidRDefault="00564DA0" w:rsidP="00564DA0">
      <w:pPr>
        <w:pStyle w:val="NormalWeb"/>
        <w:tabs>
          <w:tab w:val="left" w:pos="1785"/>
        </w:tabs>
        <w:spacing w:before="0" w:beforeAutospacing="0" w:after="0" w:afterAutospacing="0" w:line="276" w:lineRule="auto"/>
        <w:contextualSpacing/>
        <w:jc w:val="both"/>
        <w:rPr>
          <w:rFonts w:asciiTheme="minorHAnsi" w:hAnsiTheme="minorHAnsi" w:cstheme="minorHAnsi"/>
          <w:sz w:val="22"/>
          <w:szCs w:val="22"/>
        </w:rPr>
      </w:pPr>
    </w:p>
    <w:p w14:paraId="1181034A" w14:textId="77777777" w:rsidR="00564DA0" w:rsidRPr="00564DA0" w:rsidRDefault="00564DA0" w:rsidP="00564DA0">
      <w:pPr>
        <w:pStyle w:val="NormalWeb"/>
        <w:tabs>
          <w:tab w:val="left" w:pos="1785"/>
        </w:tabs>
        <w:spacing w:before="0" w:beforeAutospacing="0" w:after="0" w:afterAutospacing="0" w:line="276" w:lineRule="auto"/>
        <w:contextualSpacing/>
        <w:jc w:val="both"/>
        <w:rPr>
          <w:rFonts w:asciiTheme="minorHAnsi" w:hAnsiTheme="minorHAnsi" w:cstheme="minorHAnsi"/>
          <w:sz w:val="22"/>
          <w:szCs w:val="22"/>
        </w:rPr>
      </w:pPr>
      <w:r w:rsidRPr="00564DA0">
        <w:rPr>
          <w:rFonts w:asciiTheme="minorHAnsi" w:hAnsiTheme="minorHAnsi" w:cstheme="minorHAnsi"/>
          <w:sz w:val="22"/>
          <w:szCs w:val="22"/>
        </w:rPr>
        <w:t>Οι δαπάνες του Κρατικού Προϋπολογισμού για την περίοδο του Ιανουαρίου – Αυγούστου 2022 ανήλθαν στα 43.336 εκατ. ευρώ και παρουσιάζονται μειωμένες κατά 193 εκατ. ευρώ έναντι του στόχου (43.529 εκατ. ευρώ), που έχει περιληφθεί στην εισηγητική έκθεση του Προϋπολογισμού 2022.</w:t>
      </w:r>
    </w:p>
    <w:p w14:paraId="1D67DD9D" w14:textId="77777777" w:rsidR="00564DA0" w:rsidRPr="00564DA0" w:rsidRDefault="00564DA0" w:rsidP="00564DA0">
      <w:pPr>
        <w:pStyle w:val="NormalWeb"/>
        <w:spacing w:before="0" w:beforeAutospacing="0" w:after="0" w:afterAutospacing="0" w:line="276" w:lineRule="auto"/>
        <w:contextualSpacing/>
        <w:jc w:val="both"/>
        <w:rPr>
          <w:rFonts w:asciiTheme="minorHAnsi" w:hAnsiTheme="minorHAnsi" w:cstheme="minorHAnsi"/>
          <w:sz w:val="22"/>
          <w:szCs w:val="22"/>
        </w:rPr>
      </w:pPr>
    </w:p>
    <w:p w14:paraId="34AD9E90" w14:textId="77777777" w:rsidR="00564DA0" w:rsidRPr="00564DA0" w:rsidRDefault="00564DA0" w:rsidP="00564DA0">
      <w:pPr>
        <w:pStyle w:val="NormalWeb"/>
        <w:spacing w:before="0" w:beforeAutospacing="0" w:after="0" w:afterAutospacing="0" w:line="276" w:lineRule="auto"/>
        <w:contextualSpacing/>
        <w:jc w:val="both"/>
        <w:rPr>
          <w:rFonts w:asciiTheme="minorHAnsi" w:hAnsiTheme="minorHAnsi" w:cstheme="minorHAnsi"/>
          <w:sz w:val="22"/>
          <w:szCs w:val="22"/>
        </w:rPr>
      </w:pPr>
      <w:r w:rsidRPr="00564DA0">
        <w:rPr>
          <w:rFonts w:asciiTheme="minorHAnsi" w:hAnsiTheme="minorHAnsi" w:cstheme="minorHAnsi"/>
          <w:sz w:val="22"/>
          <w:szCs w:val="22"/>
        </w:rPr>
        <w:t>Στο σκέλος του Τακτικού Προϋπολογισμού οι πληρωμές παρουσιάζονται μειωμένες έναντι του στόχου κατά 865 εκατ. ευρώ. Η εξέλιξη αυτή οφείλεται κυρίως στον ετεροχρονισμό των πληρωμών των εξοπλιστικών προγραμμάτων κατά 803 εκατ. ευρώ. Μειωμένες παρουσιάζονται και οι πληρωμές για καταπτώσεις εγγυήσεων κατά 438 εκατ. ευρώ. Αντίθετα αυξημένες πληρωμές σε σχέση με τον στόχο παρατηρούνται κυρίως στις επιχορηγήσεις σε ΟΚΑ (κατά 323 εκατ. ευρώ).</w:t>
      </w:r>
    </w:p>
    <w:p w14:paraId="03A8BB94" w14:textId="77777777" w:rsidR="00564DA0" w:rsidRPr="00564DA0" w:rsidRDefault="00564DA0" w:rsidP="00564DA0">
      <w:pPr>
        <w:pStyle w:val="NormalWeb"/>
        <w:spacing w:before="0" w:beforeAutospacing="0" w:after="0" w:afterAutospacing="0" w:line="276" w:lineRule="auto"/>
        <w:contextualSpacing/>
        <w:jc w:val="both"/>
        <w:rPr>
          <w:rFonts w:asciiTheme="minorHAnsi" w:hAnsiTheme="minorHAnsi" w:cstheme="minorHAnsi"/>
          <w:sz w:val="22"/>
          <w:szCs w:val="22"/>
        </w:rPr>
      </w:pPr>
    </w:p>
    <w:p w14:paraId="7B30D841" w14:textId="77777777" w:rsidR="00564DA0" w:rsidRPr="00564DA0" w:rsidRDefault="00564DA0" w:rsidP="00564DA0">
      <w:pPr>
        <w:pStyle w:val="NormalWeb"/>
        <w:spacing w:before="0" w:beforeAutospacing="0" w:after="0" w:afterAutospacing="0" w:line="276" w:lineRule="auto"/>
        <w:contextualSpacing/>
        <w:jc w:val="both"/>
        <w:rPr>
          <w:rFonts w:asciiTheme="minorHAnsi" w:hAnsiTheme="minorHAnsi" w:cstheme="minorHAnsi"/>
          <w:sz w:val="22"/>
          <w:szCs w:val="22"/>
        </w:rPr>
      </w:pPr>
      <w:r w:rsidRPr="00564DA0">
        <w:rPr>
          <w:rFonts w:asciiTheme="minorHAnsi" w:hAnsiTheme="minorHAnsi" w:cstheme="minorHAnsi"/>
          <w:sz w:val="22"/>
          <w:szCs w:val="22"/>
        </w:rPr>
        <w:t>Οι πληρωμές στο σκέλος των επενδυτικών δαπανών ανήλθαν στα 6.193 εκατ. ευρώ, παρουσιάζοντας αύξηση κατά 672 εκατ. ευρώ σε σχέση με τον στόχο των 5.521 εκατ. ευρώ.</w:t>
      </w:r>
    </w:p>
    <w:p w14:paraId="1BE53E5C" w14:textId="77777777" w:rsidR="00564DA0" w:rsidRPr="00564DA0" w:rsidRDefault="00564DA0" w:rsidP="00564DA0">
      <w:pPr>
        <w:pStyle w:val="NormalWeb"/>
        <w:spacing w:before="0" w:beforeAutospacing="0" w:after="0" w:afterAutospacing="0" w:line="276" w:lineRule="auto"/>
        <w:contextualSpacing/>
        <w:jc w:val="both"/>
        <w:rPr>
          <w:rFonts w:asciiTheme="minorHAnsi" w:hAnsiTheme="minorHAnsi" w:cstheme="minorHAnsi"/>
          <w:sz w:val="22"/>
          <w:szCs w:val="22"/>
        </w:rPr>
      </w:pPr>
    </w:p>
    <w:p w14:paraId="449615EE" w14:textId="77777777" w:rsidR="00564DA0" w:rsidRPr="00564DA0" w:rsidRDefault="00564DA0" w:rsidP="00564DA0">
      <w:pPr>
        <w:pStyle w:val="NormalWeb"/>
        <w:spacing w:before="0" w:beforeAutospacing="0" w:after="0" w:afterAutospacing="0" w:line="276" w:lineRule="auto"/>
        <w:contextualSpacing/>
        <w:jc w:val="both"/>
        <w:rPr>
          <w:rFonts w:asciiTheme="minorHAnsi" w:hAnsiTheme="minorHAnsi" w:cstheme="minorHAnsi"/>
          <w:sz w:val="22"/>
          <w:szCs w:val="22"/>
        </w:rPr>
      </w:pPr>
      <w:r w:rsidRPr="00564DA0">
        <w:rPr>
          <w:rFonts w:asciiTheme="minorHAnsi" w:hAnsiTheme="minorHAnsi" w:cstheme="minorHAnsi"/>
          <w:sz w:val="22"/>
          <w:szCs w:val="22"/>
        </w:rPr>
        <w:t>Η προσωρινή εικόνα των κυριότερων πληρωμών των δαπανών για δημοσιονομικά μέτρα που ελήφθησαν λόγω της πανδημίας για την περίοδο του Ιανουαρίου - Αυγούστου, έχει ως εξής:</w:t>
      </w:r>
    </w:p>
    <w:p w14:paraId="4CD42261" w14:textId="77777777" w:rsidR="00564DA0" w:rsidRPr="00564DA0" w:rsidRDefault="00564DA0" w:rsidP="00564DA0">
      <w:pPr>
        <w:pStyle w:val="NormalWeb"/>
        <w:spacing w:before="0" w:beforeAutospacing="0" w:after="0" w:afterAutospacing="0" w:line="276" w:lineRule="auto"/>
        <w:contextualSpacing/>
        <w:jc w:val="both"/>
        <w:rPr>
          <w:rFonts w:asciiTheme="minorHAnsi" w:hAnsiTheme="minorHAnsi" w:cstheme="minorHAnsi"/>
          <w:sz w:val="22"/>
          <w:szCs w:val="22"/>
        </w:rPr>
      </w:pPr>
      <w:r w:rsidRPr="00564DA0">
        <w:rPr>
          <w:rFonts w:asciiTheme="minorHAnsi" w:hAnsiTheme="minorHAnsi" w:cstheme="minorHAnsi"/>
          <w:sz w:val="22"/>
          <w:szCs w:val="22"/>
        </w:rPr>
        <w:t xml:space="preserve">α) η ενίσχυση μικρών και πολύ μικρών επιχειρήσεων που επλήγησαν από τον </w:t>
      </w:r>
      <w:r w:rsidRPr="00564DA0">
        <w:rPr>
          <w:rFonts w:asciiTheme="minorHAnsi" w:hAnsiTheme="minorHAnsi" w:cstheme="minorHAnsi"/>
          <w:sz w:val="22"/>
          <w:szCs w:val="22"/>
          <w:lang w:val="en-US"/>
        </w:rPr>
        <w:t>COVID</w:t>
      </w:r>
      <w:r w:rsidRPr="00564DA0">
        <w:rPr>
          <w:rFonts w:asciiTheme="minorHAnsi" w:hAnsiTheme="minorHAnsi" w:cstheme="minorHAnsi"/>
          <w:sz w:val="22"/>
          <w:szCs w:val="22"/>
        </w:rPr>
        <w:t>-19 στις Περιφέρειες ύψους 160 εκατ. ευρώ από το ΠΔΕ,</w:t>
      </w:r>
    </w:p>
    <w:p w14:paraId="0137B1B1" w14:textId="77777777" w:rsidR="00564DA0" w:rsidRPr="00564DA0" w:rsidRDefault="00564DA0" w:rsidP="00564DA0">
      <w:pPr>
        <w:pStyle w:val="NormalWeb"/>
        <w:spacing w:before="0" w:beforeAutospacing="0" w:after="0" w:afterAutospacing="0" w:line="276" w:lineRule="auto"/>
        <w:contextualSpacing/>
        <w:jc w:val="both"/>
        <w:rPr>
          <w:rFonts w:asciiTheme="minorHAnsi" w:hAnsiTheme="minorHAnsi" w:cstheme="minorHAnsi"/>
          <w:sz w:val="22"/>
          <w:szCs w:val="22"/>
        </w:rPr>
      </w:pPr>
      <w:r w:rsidRPr="00564DA0">
        <w:rPr>
          <w:rFonts w:asciiTheme="minorHAnsi" w:hAnsiTheme="minorHAnsi" w:cstheme="minorHAnsi"/>
          <w:sz w:val="22"/>
          <w:szCs w:val="22"/>
        </w:rPr>
        <w:lastRenderedPageBreak/>
        <w:t>β) η συνεισφορά του δημοσίου για την αποπληρωμή επιχειρηματικών δανείων πληγέντων δανειοληπτών ύψους 83 εκατ. ευρώ από το ΠΔΕ,</w:t>
      </w:r>
    </w:p>
    <w:p w14:paraId="50A88D98" w14:textId="77777777" w:rsidR="00564DA0" w:rsidRPr="00564DA0" w:rsidRDefault="00564DA0" w:rsidP="00564DA0">
      <w:pPr>
        <w:pStyle w:val="NormalWeb"/>
        <w:spacing w:before="0" w:beforeAutospacing="0" w:after="0" w:afterAutospacing="0" w:line="276" w:lineRule="auto"/>
        <w:contextualSpacing/>
        <w:jc w:val="both"/>
        <w:rPr>
          <w:rFonts w:asciiTheme="minorHAnsi" w:hAnsiTheme="minorHAnsi" w:cstheme="minorHAnsi"/>
          <w:sz w:val="22"/>
          <w:szCs w:val="22"/>
        </w:rPr>
      </w:pPr>
      <w:r w:rsidRPr="00564DA0">
        <w:rPr>
          <w:rFonts w:asciiTheme="minorHAnsi" w:hAnsiTheme="minorHAnsi" w:cstheme="minorHAnsi"/>
          <w:sz w:val="22"/>
          <w:szCs w:val="22"/>
        </w:rPr>
        <w:t>γ) η επιδότηση κεφαλαίου κίνησης σε τουριστικές επιχειρήσεις ύψους 42 εκατ. ευρώ από το ΠΔΕ,</w:t>
      </w:r>
    </w:p>
    <w:p w14:paraId="6D4CE632" w14:textId="77777777" w:rsidR="00564DA0" w:rsidRPr="00564DA0" w:rsidRDefault="00564DA0" w:rsidP="00564DA0">
      <w:pPr>
        <w:pStyle w:val="NormalWeb"/>
        <w:spacing w:before="0" w:beforeAutospacing="0" w:after="0" w:afterAutospacing="0" w:line="276" w:lineRule="auto"/>
        <w:contextualSpacing/>
        <w:jc w:val="both"/>
        <w:rPr>
          <w:rFonts w:asciiTheme="minorHAnsi" w:hAnsiTheme="minorHAnsi" w:cstheme="minorHAnsi"/>
          <w:sz w:val="22"/>
          <w:szCs w:val="22"/>
        </w:rPr>
      </w:pPr>
      <w:r w:rsidRPr="00564DA0">
        <w:rPr>
          <w:rFonts w:asciiTheme="minorHAnsi" w:hAnsiTheme="minorHAnsi" w:cstheme="minorHAnsi"/>
          <w:sz w:val="22"/>
          <w:szCs w:val="22"/>
        </w:rPr>
        <w:t>δ) η ενίσχυση των φορέων υγείας με επικουρικό προσωπικό στις Περιφέρειες ύψους 62 εκατ. ευρώ από το ΠΔΕ,</w:t>
      </w:r>
    </w:p>
    <w:p w14:paraId="3A27F9A3" w14:textId="77777777" w:rsidR="00564DA0" w:rsidRPr="00564DA0" w:rsidRDefault="00564DA0" w:rsidP="00564DA0">
      <w:pPr>
        <w:pStyle w:val="NormalWeb"/>
        <w:spacing w:before="0" w:beforeAutospacing="0" w:after="0" w:afterAutospacing="0" w:line="276" w:lineRule="auto"/>
        <w:contextualSpacing/>
        <w:jc w:val="both"/>
        <w:rPr>
          <w:rFonts w:asciiTheme="minorHAnsi" w:hAnsiTheme="minorHAnsi" w:cstheme="minorHAnsi"/>
          <w:sz w:val="22"/>
          <w:szCs w:val="22"/>
        </w:rPr>
      </w:pPr>
      <w:r w:rsidRPr="00564DA0">
        <w:rPr>
          <w:rFonts w:asciiTheme="minorHAnsi" w:hAnsiTheme="minorHAnsi" w:cstheme="minorHAnsi"/>
          <w:sz w:val="22"/>
          <w:szCs w:val="22"/>
        </w:rPr>
        <w:t>ε) η έκτακτη επιχορήγηση των πληττόμενων από την πανδημία επιχειρήσεων ψυχαγωγίας, γυμναστηρίων, σχολών χορού κ.λπ. ύψους 44 εκατ. ευρώ, από το ΠΔΕ,</w:t>
      </w:r>
    </w:p>
    <w:p w14:paraId="2AA0A43A" w14:textId="77777777" w:rsidR="00564DA0" w:rsidRPr="00564DA0" w:rsidRDefault="00564DA0" w:rsidP="00564DA0">
      <w:pPr>
        <w:pStyle w:val="NormalWeb"/>
        <w:spacing w:before="0" w:beforeAutospacing="0" w:after="0" w:afterAutospacing="0" w:line="276" w:lineRule="auto"/>
        <w:contextualSpacing/>
        <w:jc w:val="both"/>
        <w:rPr>
          <w:rFonts w:asciiTheme="minorHAnsi" w:hAnsiTheme="minorHAnsi" w:cstheme="minorHAnsi"/>
          <w:sz w:val="22"/>
          <w:szCs w:val="22"/>
        </w:rPr>
      </w:pPr>
      <w:r w:rsidRPr="00564DA0">
        <w:rPr>
          <w:rFonts w:asciiTheme="minorHAnsi" w:hAnsiTheme="minorHAnsi" w:cstheme="minorHAnsi"/>
          <w:sz w:val="22"/>
          <w:szCs w:val="22"/>
        </w:rPr>
        <w:t>στ) η δαπάνη αποζημίωσης ειδικού σκοπού ύψους 149 εκατ. ευρώ, η οποία πληρώθηκε από το Υπουργείο Εργασίας και Κοινωνικών Υποθέσεων (κατηγορία μεταβιβάσεων),</w:t>
      </w:r>
    </w:p>
    <w:p w14:paraId="6FC91FE1" w14:textId="77777777" w:rsidR="00564DA0" w:rsidRPr="00564DA0" w:rsidRDefault="00564DA0" w:rsidP="00564DA0">
      <w:pPr>
        <w:pStyle w:val="NormalWeb"/>
        <w:spacing w:before="0" w:beforeAutospacing="0" w:after="0" w:afterAutospacing="0" w:line="276" w:lineRule="auto"/>
        <w:contextualSpacing/>
        <w:jc w:val="both"/>
        <w:rPr>
          <w:rFonts w:asciiTheme="minorHAnsi" w:hAnsiTheme="minorHAnsi" w:cstheme="minorHAnsi"/>
          <w:sz w:val="22"/>
          <w:szCs w:val="22"/>
        </w:rPr>
      </w:pPr>
      <w:r w:rsidRPr="00564DA0">
        <w:rPr>
          <w:rFonts w:asciiTheme="minorHAnsi" w:hAnsiTheme="minorHAnsi" w:cstheme="minorHAnsi"/>
          <w:sz w:val="22"/>
          <w:szCs w:val="22"/>
        </w:rPr>
        <w:t>ζ) οι πρόσθετες επιχορηγήσεις προς τον ΕΟΠΥΥ, ύψους 100 εκατ. ευρώ και προς τα νοσοκομεία και τις ΔΥΠΕ, ύψους 91 εκατ. ευρώ καθώς και η αγορά εμβολίων ύψους 269 εκατ. ευρώ,</w:t>
      </w:r>
    </w:p>
    <w:p w14:paraId="11D900A3" w14:textId="77777777" w:rsidR="00564DA0" w:rsidRPr="00564DA0" w:rsidRDefault="00564DA0" w:rsidP="00564DA0">
      <w:pPr>
        <w:pStyle w:val="NormalWeb"/>
        <w:spacing w:before="0" w:beforeAutospacing="0" w:after="0" w:afterAutospacing="0" w:line="276" w:lineRule="auto"/>
        <w:contextualSpacing/>
        <w:jc w:val="both"/>
        <w:rPr>
          <w:rFonts w:asciiTheme="minorHAnsi" w:hAnsiTheme="minorHAnsi" w:cstheme="minorHAnsi"/>
          <w:sz w:val="22"/>
          <w:szCs w:val="22"/>
        </w:rPr>
      </w:pPr>
      <w:r w:rsidRPr="00564DA0">
        <w:rPr>
          <w:rFonts w:asciiTheme="minorHAnsi" w:hAnsiTheme="minorHAnsi" w:cstheme="minorHAnsi"/>
          <w:sz w:val="22"/>
          <w:szCs w:val="22"/>
        </w:rPr>
        <w:t xml:space="preserve">η) η πρόσθετη επιχορήγηση προς την ΔΥΠΑ (πρώην ΟΑΕΔ) ύψους 400 εκατ. ευρώ για την κάλυψη της απώλειας εσόδων λόγω μείωσης των ασφαλιστικών εισφορών των εργαζομένων και η επιχορήγηση προς τον </w:t>
      </w:r>
      <w:r w:rsidRPr="00564DA0">
        <w:rPr>
          <w:rFonts w:asciiTheme="minorHAnsi" w:hAnsiTheme="minorHAnsi" w:cstheme="minorHAnsi"/>
          <w:sz w:val="22"/>
          <w:szCs w:val="22"/>
          <w:lang w:val="en-US"/>
        </w:rPr>
        <w:t>e</w:t>
      </w:r>
      <w:r w:rsidRPr="00564DA0">
        <w:rPr>
          <w:rFonts w:asciiTheme="minorHAnsi" w:hAnsiTheme="minorHAnsi" w:cstheme="minorHAnsi"/>
          <w:sz w:val="22"/>
          <w:szCs w:val="22"/>
        </w:rPr>
        <w:t xml:space="preserve">-ΕΦΚΑ ύψους 150 εκατ. ευρώ για την κάλυψη απώλειας εσόδων από τη μείωση των υπέρ της ΔΥΠΑ </w:t>
      </w:r>
      <w:proofErr w:type="spellStart"/>
      <w:r w:rsidRPr="00564DA0">
        <w:rPr>
          <w:rFonts w:asciiTheme="minorHAnsi" w:hAnsiTheme="minorHAnsi" w:cstheme="minorHAnsi"/>
          <w:sz w:val="22"/>
          <w:szCs w:val="22"/>
        </w:rPr>
        <w:t>συνεισπραττόμενων</w:t>
      </w:r>
      <w:proofErr w:type="spellEnd"/>
      <w:r w:rsidRPr="00564DA0">
        <w:rPr>
          <w:rFonts w:asciiTheme="minorHAnsi" w:hAnsiTheme="minorHAnsi" w:cstheme="minorHAnsi"/>
          <w:sz w:val="22"/>
          <w:szCs w:val="22"/>
        </w:rPr>
        <w:t xml:space="preserve"> εισφορών και</w:t>
      </w:r>
    </w:p>
    <w:p w14:paraId="4CFA3778" w14:textId="77777777" w:rsidR="00564DA0" w:rsidRPr="00564DA0" w:rsidRDefault="00564DA0" w:rsidP="00564DA0">
      <w:pPr>
        <w:pStyle w:val="NormalWeb"/>
        <w:spacing w:before="0" w:beforeAutospacing="0" w:after="0" w:afterAutospacing="0" w:line="276" w:lineRule="auto"/>
        <w:contextualSpacing/>
        <w:jc w:val="both"/>
        <w:rPr>
          <w:rFonts w:asciiTheme="minorHAnsi" w:hAnsiTheme="minorHAnsi" w:cstheme="minorHAnsi"/>
          <w:sz w:val="22"/>
          <w:szCs w:val="22"/>
        </w:rPr>
      </w:pPr>
      <w:r w:rsidRPr="00564DA0">
        <w:rPr>
          <w:rFonts w:asciiTheme="minorHAnsi" w:hAnsiTheme="minorHAnsi" w:cstheme="minorHAnsi"/>
          <w:sz w:val="22"/>
          <w:szCs w:val="22"/>
        </w:rPr>
        <w:t>θ) η κρατική αποζημίωση εκμισθωτών ύψους 49 εκατ. ευρώ, λόγω μειωμένων μισθωμάτων που λαμβάνουν.</w:t>
      </w:r>
    </w:p>
    <w:p w14:paraId="362ED0A9" w14:textId="77777777" w:rsidR="00564DA0" w:rsidRPr="00564DA0" w:rsidRDefault="00564DA0" w:rsidP="00564DA0">
      <w:pPr>
        <w:spacing w:after="0"/>
        <w:contextualSpacing/>
        <w:jc w:val="both"/>
        <w:rPr>
          <w:rFonts w:cstheme="minorHAnsi"/>
        </w:rPr>
      </w:pPr>
    </w:p>
    <w:p w14:paraId="3D07A39C" w14:textId="77777777" w:rsidR="00564DA0" w:rsidRPr="00564DA0" w:rsidRDefault="00564DA0" w:rsidP="00564DA0">
      <w:pPr>
        <w:spacing w:after="0"/>
        <w:contextualSpacing/>
        <w:jc w:val="both"/>
        <w:rPr>
          <w:rFonts w:cstheme="minorHAnsi"/>
        </w:rPr>
      </w:pPr>
      <w:r w:rsidRPr="00564DA0">
        <w:rPr>
          <w:rFonts w:cstheme="minorHAnsi"/>
        </w:rPr>
        <w:t>Η προσωρινή εικόνα των κυριότερων πληρωμών των δαπανών για τα μέτρα αντιμετώπισης της ενεργειακής κρίσης, που αφορούν στην Κεντρική Διοίκηση, για την περίοδο του Ιανουαρίου – Αυγούστου, έχει ως εξής:</w:t>
      </w:r>
    </w:p>
    <w:p w14:paraId="691C64B2" w14:textId="77777777" w:rsidR="00564DA0" w:rsidRPr="00564DA0" w:rsidRDefault="00564DA0" w:rsidP="00564DA0">
      <w:pPr>
        <w:spacing w:after="0"/>
        <w:contextualSpacing/>
        <w:jc w:val="both"/>
        <w:rPr>
          <w:rFonts w:cstheme="minorHAnsi"/>
        </w:rPr>
      </w:pPr>
      <w:r w:rsidRPr="00564DA0">
        <w:rPr>
          <w:rFonts w:cstheme="minorHAnsi"/>
        </w:rPr>
        <w:t xml:space="preserve">α) επιχορήγηση προς τον ΟΠΕΚΑ ύψους 207 εκατ. ευρώ η οποία αναλύεται στα εξής επιμέρους: 120 εκατ. ευρώ για την έκτακτη δόση του επιδόματος τέκνου, 46 εκατ. ευρώ για την καταβολή της προσαύξησης της εισοδηματικής ενίσχυσης των δικαιούχων του ελάχιστου εγγυημένου εισοδήματος, 33 εκατ. για την έκτακτη οικονομική ενίσχυση των </w:t>
      </w:r>
      <w:proofErr w:type="spellStart"/>
      <w:r w:rsidRPr="00564DA0">
        <w:rPr>
          <w:rFonts w:cstheme="minorHAnsi"/>
        </w:rPr>
        <w:t>ΑμεΑ</w:t>
      </w:r>
      <w:proofErr w:type="spellEnd"/>
      <w:r w:rsidRPr="00564DA0">
        <w:rPr>
          <w:rFonts w:cstheme="minorHAnsi"/>
        </w:rPr>
        <w:t xml:space="preserve"> και 7 εκατ. ευρώ για την προσαύξηση της σύνταξης των ανασφάλιστων υπερηλίκων,</w:t>
      </w:r>
    </w:p>
    <w:p w14:paraId="014FF661" w14:textId="77777777" w:rsidR="00564DA0" w:rsidRPr="00564DA0" w:rsidRDefault="00564DA0" w:rsidP="00564DA0">
      <w:pPr>
        <w:spacing w:after="0"/>
        <w:contextualSpacing/>
        <w:jc w:val="both"/>
        <w:rPr>
          <w:rFonts w:cstheme="minorHAnsi"/>
        </w:rPr>
      </w:pPr>
      <w:r w:rsidRPr="00564DA0">
        <w:rPr>
          <w:rFonts w:cstheme="minorHAnsi"/>
        </w:rPr>
        <w:t xml:space="preserve">β) επιχορήγηση προς τον </w:t>
      </w:r>
      <w:r w:rsidRPr="00564DA0">
        <w:rPr>
          <w:rFonts w:cstheme="minorHAnsi"/>
          <w:lang w:val="en-US"/>
        </w:rPr>
        <w:t>e</w:t>
      </w:r>
      <w:r w:rsidRPr="00564DA0">
        <w:rPr>
          <w:rFonts w:cstheme="minorHAnsi"/>
        </w:rPr>
        <w:t>-ΕΦΚΑ ύψους 135 εκατ. ευρώ για την έκτακτη οικονομική ενίσχυση των ευάλωτων συνταξιούχων,</w:t>
      </w:r>
    </w:p>
    <w:p w14:paraId="73ABA86C" w14:textId="77777777" w:rsidR="00564DA0" w:rsidRPr="00564DA0" w:rsidRDefault="00564DA0" w:rsidP="00564DA0">
      <w:pPr>
        <w:spacing w:after="0"/>
        <w:contextualSpacing/>
        <w:jc w:val="both"/>
        <w:rPr>
          <w:rFonts w:cstheme="minorHAnsi"/>
        </w:rPr>
      </w:pPr>
      <w:r w:rsidRPr="00564DA0">
        <w:rPr>
          <w:rFonts w:cstheme="minorHAnsi"/>
        </w:rPr>
        <w:t>γ) επιχορήγηση προς την Κοινωνία της Πληροφορίας για την ενίσχυση φυσικών προσώπων και ελεύθερων επαγγελματιών με σκοπό την αντιμετώπιση της αύξησης του κόστους των καυσίμων κίνησης (</w:t>
      </w:r>
      <w:r w:rsidRPr="00564DA0">
        <w:rPr>
          <w:rFonts w:cstheme="minorHAnsi"/>
          <w:lang w:val="en-US"/>
        </w:rPr>
        <w:t>fuel</w:t>
      </w:r>
      <w:r w:rsidRPr="00564DA0">
        <w:rPr>
          <w:rFonts w:cstheme="minorHAnsi"/>
        </w:rPr>
        <w:t xml:space="preserve"> </w:t>
      </w:r>
      <w:r w:rsidRPr="00564DA0">
        <w:rPr>
          <w:rFonts w:cstheme="minorHAnsi"/>
          <w:lang w:val="en-US"/>
        </w:rPr>
        <w:t>pass</w:t>
      </w:r>
      <w:r w:rsidRPr="00564DA0">
        <w:rPr>
          <w:rFonts w:cstheme="minorHAnsi"/>
        </w:rPr>
        <w:t>) ύψους 301 εκατ. ευρώ και για την ενίσχυση λόγω αυξημένων λογαριασμών ηλεκτρικού ρεύματος (</w:t>
      </w:r>
      <w:r w:rsidRPr="00564DA0">
        <w:rPr>
          <w:rFonts w:cstheme="minorHAnsi"/>
          <w:lang w:val="en-US"/>
        </w:rPr>
        <w:t>power</w:t>
      </w:r>
      <w:r w:rsidRPr="00564DA0">
        <w:rPr>
          <w:rFonts w:cstheme="minorHAnsi"/>
        </w:rPr>
        <w:t xml:space="preserve"> </w:t>
      </w:r>
      <w:r w:rsidRPr="00564DA0">
        <w:rPr>
          <w:rFonts w:cstheme="minorHAnsi"/>
          <w:lang w:val="en-US"/>
        </w:rPr>
        <w:t>pass</w:t>
      </w:r>
      <w:r w:rsidRPr="00564DA0">
        <w:rPr>
          <w:rFonts w:cstheme="minorHAnsi"/>
        </w:rPr>
        <w:t>) ύψους 280 εκατ. ευρώ,</w:t>
      </w:r>
    </w:p>
    <w:p w14:paraId="1B69387D" w14:textId="77777777" w:rsidR="00564DA0" w:rsidRPr="00564DA0" w:rsidRDefault="00564DA0" w:rsidP="00564DA0">
      <w:pPr>
        <w:spacing w:after="0"/>
        <w:contextualSpacing/>
        <w:jc w:val="both"/>
        <w:rPr>
          <w:rFonts w:cstheme="minorHAnsi"/>
        </w:rPr>
      </w:pPr>
      <w:r w:rsidRPr="00564DA0">
        <w:rPr>
          <w:rFonts w:cstheme="minorHAnsi"/>
        </w:rPr>
        <w:t>δ) επιχορήγηση προς τον ΟΠΕΚΕΠΕ ύψους 50 εκατ. ευρώ για την αντιμετώπιση των συνεπειών στην ελληνική κτηνοτροφία λόγω των διεθνών εξελίξεων,</w:t>
      </w:r>
    </w:p>
    <w:p w14:paraId="2EA8DF2A" w14:textId="77777777" w:rsidR="00564DA0" w:rsidRPr="00564DA0" w:rsidRDefault="00564DA0" w:rsidP="00564DA0">
      <w:pPr>
        <w:spacing w:after="0"/>
        <w:contextualSpacing/>
        <w:jc w:val="both"/>
        <w:rPr>
          <w:rFonts w:cstheme="minorHAnsi"/>
        </w:rPr>
      </w:pPr>
      <w:r w:rsidRPr="00564DA0">
        <w:rPr>
          <w:rFonts w:cstheme="minorHAnsi"/>
        </w:rPr>
        <w:t>ε) αποζημίωση ειδικού σκοπού για τη στήριξη εκμεταλλευτών και οδηγών ΤΑΞΙ ύψους 5 εκατ. ευρώ και</w:t>
      </w:r>
    </w:p>
    <w:p w14:paraId="1F861A3D" w14:textId="77777777" w:rsidR="00564DA0" w:rsidRPr="00564DA0" w:rsidRDefault="00564DA0" w:rsidP="00564DA0">
      <w:pPr>
        <w:spacing w:after="0"/>
        <w:contextualSpacing/>
        <w:jc w:val="both"/>
        <w:rPr>
          <w:rFonts w:cstheme="minorHAnsi"/>
        </w:rPr>
      </w:pPr>
      <w:r w:rsidRPr="00564DA0">
        <w:rPr>
          <w:rFonts w:cstheme="minorHAnsi"/>
        </w:rPr>
        <w:t>στ) επιδότηση του πετρελαίου εσωτερικής καύσης (</w:t>
      </w:r>
      <w:r w:rsidRPr="00564DA0">
        <w:rPr>
          <w:rFonts w:cstheme="minorHAnsi"/>
          <w:lang w:val="en-US"/>
        </w:rPr>
        <w:t>diesel</w:t>
      </w:r>
      <w:r w:rsidRPr="00564DA0">
        <w:rPr>
          <w:rFonts w:cstheme="minorHAnsi"/>
        </w:rPr>
        <w:t>) κίνησης ύψους 102 εκατ. ευρώ.</w:t>
      </w:r>
    </w:p>
    <w:p w14:paraId="76A950AD" w14:textId="77777777" w:rsidR="00564DA0" w:rsidRPr="00564DA0" w:rsidRDefault="00564DA0" w:rsidP="00564DA0">
      <w:pPr>
        <w:spacing w:after="0"/>
        <w:contextualSpacing/>
        <w:jc w:val="both"/>
        <w:rPr>
          <w:rFonts w:cstheme="minorHAnsi"/>
        </w:rPr>
      </w:pPr>
    </w:p>
    <w:p w14:paraId="5888F7BB" w14:textId="77777777" w:rsidR="00564DA0" w:rsidRPr="00564DA0" w:rsidRDefault="00564DA0" w:rsidP="00564DA0">
      <w:pPr>
        <w:spacing w:after="0"/>
        <w:jc w:val="both"/>
        <w:rPr>
          <w:rFonts w:eastAsia="Times New Roman" w:cstheme="minorHAnsi"/>
          <w:b/>
          <w:color w:val="000000" w:themeColor="text1"/>
          <w:lang w:eastAsia="el-GR"/>
        </w:rPr>
      </w:pPr>
      <w:r w:rsidRPr="00564DA0">
        <w:rPr>
          <w:rFonts w:cstheme="minorHAnsi"/>
        </w:rPr>
        <w:t>Για την περίοδο του Ιανουαρίου – Αυγούστου 2022 οι δαπάνες του κρατικού προϋπολογισμού παρουσιάζονται μειωμένες, σε σχέση με την αντίστοιχη περίοδο του 2021, κατά 1.869 εκατ. ευρώ.</w:t>
      </w:r>
    </w:p>
    <w:sectPr w:rsidR="00564DA0" w:rsidRPr="00564DA0" w:rsidSect="00012F3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11214" w14:textId="77777777" w:rsidR="003314E6" w:rsidRDefault="003314E6" w:rsidP="00951BB6">
      <w:pPr>
        <w:spacing w:after="0" w:line="240" w:lineRule="auto"/>
      </w:pPr>
      <w:r>
        <w:separator/>
      </w:r>
    </w:p>
  </w:endnote>
  <w:endnote w:type="continuationSeparator" w:id="0">
    <w:p w14:paraId="4051BBA6" w14:textId="77777777" w:rsidR="003314E6" w:rsidRDefault="003314E6" w:rsidP="0095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Μοντέρνα">
    <w:altName w:val="Tahoma"/>
    <w:panose1 w:val="00000000000000000000"/>
    <w:charset w:val="4D"/>
    <w:family w:val="roman"/>
    <w:notTrueType/>
    <w:pitch w:val="default"/>
    <w:sig w:usb0="00000000" w:usb1="00000001" w:usb2="00000000" w:usb3="03370B9C" w:csb0="FFFFFFFF" w:csb1="0337087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03A2" w14:textId="77777777" w:rsidR="00951BB6" w:rsidRDefault="00951BB6">
    <w:pPr>
      <w:pStyle w:val="Footer"/>
      <w:jc w:val="center"/>
    </w:pPr>
  </w:p>
  <w:p w14:paraId="3CC9184C" w14:textId="77777777" w:rsidR="00951BB6" w:rsidRDefault="00951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07D9" w14:textId="77777777" w:rsidR="003314E6" w:rsidRDefault="003314E6" w:rsidP="00951BB6">
      <w:pPr>
        <w:spacing w:after="0" w:line="240" w:lineRule="auto"/>
      </w:pPr>
      <w:r>
        <w:separator/>
      </w:r>
    </w:p>
  </w:footnote>
  <w:footnote w:type="continuationSeparator" w:id="0">
    <w:p w14:paraId="470FA4D8" w14:textId="77777777" w:rsidR="003314E6" w:rsidRDefault="003314E6" w:rsidP="00951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96C31C9"/>
    <w:multiLevelType w:val="hybridMultilevel"/>
    <w:tmpl w:val="07FA6874"/>
    <w:lvl w:ilvl="0" w:tplc="04080011">
      <w:start w:val="11"/>
      <w:numFmt w:val="decimal"/>
      <w:lvlText w:val="%1)"/>
      <w:lvlJc w:val="left"/>
      <w:pPr>
        <w:ind w:left="720" w:hanging="360"/>
      </w:pPr>
      <w:rPr>
        <w:rFonts w:ascii="Times New Roman" w:eastAsia="Times New Roman" w:hAnsi="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681EC1"/>
    <w:multiLevelType w:val="hybridMultilevel"/>
    <w:tmpl w:val="0DCED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05C84"/>
    <w:multiLevelType w:val="hybridMultilevel"/>
    <w:tmpl w:val="E506BC16"/>
    <w:lvl w:ilvl="0" w:tplc="04080011">
      <w:start w:val="11"/>
      <w:numFmt w:val="decimal"/>
      <w:lvlText w:val="%1)"/>
      <w:lvlJc w:val="left"/>
      <w:pPr>
        <w:ind w:left="720" w:hanging="360"/>
      </w:pPr>
      <w:rPr>
        <w:rFonts w:ascii="Times New Roman" w:eastAsia="Times New Roman" w:hAnsi="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B2B0159"/>
    <w:multiLevelType w:val="hybridMultilevel"/>
    <w:tmpl w:val="E2D47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CBA0CF8"/>
    <w:multiLevelType w:val="multilevel"/>
    <w:tmpl w:val="73FA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F502E4"/>
    <w:multiLevelType w:val="hybridMultilevel"/>
    <w:tmpl w:val="E392FED4"/>
    <w:lvl w:ilvl="0" w:tplc="E430CB9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67E3E06"/>
    <w:multiLevelType w:val="hybridMultilevel"/>
    <w:tmpl w:val="9CFCD890"/>
    <w:lvl w:ilvl="0" w:tplc="D798A17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AF46304"/>
    <w:multiLevelType w:val="hybridMultilevel"/>
    <w:tmpl w:val="A880D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0443D34"/>
    <w:multiLevelType w:val="hybridMultilevel"/>
    <w:tmpl w:val="EFCCF818"/>
    <w:lvl w:ilvl="0" w:tplc="A1A2528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2DC221A"/>
    <w:multiLevelType w:val="hybridMultilevel"/>
    <w:tmpl w:val="EA6A89E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7850A5E"/>
    <w:multiLevelType w:val="hybridMultilevel"/>
    <w:tmpl w:val="BBD0D288"/>
    <w:lvl w:ilvl="0" w:tplc="04080011">
      <w:start w:val="11"/>
      <w:numFmt w:val="decimal"/>
      <w:lvlText w:val="%1)"/>
      <w:lvlJc w:val="left"/>
      <w:pPr>
        <w:ind w:left="720" w:hanging="360"/>
      </w:pPr>
      <w:rPr>
        <w:rFonts w:ascii="Times New Roman" w:eastAsia="Times New Roman" w:hAnsi="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C4A69BF"/>
    <w:multiLevelType w:val="hybridMultilevel"/>
    <w:tmpl w:val="05A29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771777">
    <w:abstractNumId w:val="9"/>
  </w:num>
  <w:num w:numId="2" w16cid:durableId="860585542">
    <w:abstractNumId w:val="6"/>
  </w:num>
  <w:num w:numId="3" w16cid:durableId="1134058830">
    <w:abstractNumId w:val="8"/>
  </w:num>
  <w:num w:numId="4" w16cid:durableId="614749762">
    <w:abstractNumId w:val="4"/>
  </w:num>
  <w:num w:numId="5" w16cid:durableId="417096222">
    <w:abstractNumId w:val="7"/>
  </w:num>
  <w:num w:numId="6" w16cid:durableId="518590139">
    <w:abstractNumId w:val="3"/>
  </w:num>
  <w:num w:numId="7" w16cid:durableId="1770390117">
    <w:abstractNumId w:val="1"/>
  </w:num>
  <w:num w:numId="8" w16cid:durableId="1543860593">
    <w:abstractNumId w:val="11"/>
  </w:num>
  <w:num w:numId="9" w16cid:durableId="724640500">
    <w:abstractNumId w:val="5"/>
  </w:num>
  <w:num w:numId="10" w16cid:durableId="16034958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3209779">
    <w:abstractNumId w:val="10"/>
  </w:num>
  <w:num w:numId="12" w16cid:durableId="1062633275">
    <w:abstractNumId w:val="2"/>
  </w:num>
  <w:num w:numId="13" w16cid:durableId="17277264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4F"/>
    <w:rsid w:val="00004BEB"/>
    <w:rsid w:val="00012F33"/>
    <w:rsid w:val="00034A06"/>
    <w:rsid w:val="00042985"/>
    <w:rsid w:val="00071882"/>
    <w:rsid w:val="00081A4A"/>
    <w:rsid w:val="00083335"/>
    <w:rsid w:val="000A473F"/>
    <w:rsid w:val="000B5702"/>
    <w:rsid w:val="000F09C9"/>
    <w:rsid w:val="000F254D"/>
    <w:rsid w:val="00107AEA"/>
    <w:rsid w:val="00122B39"/>
    <w:rsid w:val="001270AC"/>
    <w:rsid w:val="00127D2F"/>
    <w:rsid w:val="0013459B"/>
    <w:rsid w:val="00135474"/>
    <w:rsid w:val="00155326"/>
    <w:rsid w:val="00160C47"/>
    <w:rsid w:val="00166E84"/>
    <w:rsid w:val="00174600"/>
    <w:rsid w:val="001815A2"/>
    <w:rsid w:val="001919E0"/>
    <w:rsid w:val="00191F8D"/>
    <w:rsid w:val="001967B9"/>
    <w:rsid w:val="001A480B"/>
    <w:rsid w:val="001B0748"/>
    <w:rsid w:val="001B5C4E"/>
    <w:rsid w:val="001B7C84"/>
    <w:rsid w:val="001C314E"/>
    <w:rsid w:val="001C6054"/>
    <w:rsid w:val="001D23D1"/>
    <w:rsid w:val="001D3CFB"/>
    <w:rsid w:val="001E1A70"/>
    <w:rsid w:val="001E1CAD"/>
    <w:rsid w:val="001E4B9F"/>
    <w:rsid w:val="001E6044"/>
    <w:rsid w:val="001F1514"/>
    <w:rsid w:val="00207AB0"/>
    <w:rsid w:val="002101E3"/>
    <w:rsid w:val="00223B5C"/>
    <w:rsid w:val="00233B4E"/>
    <w:rsid w:val="002353B8"/>
    <w:rsid w:val="002358D2"/>
    <w:rsid w:val="00243F2D"/>
    <w:rsid w:val="00251B56"/>
    <w:rsid w:val="00261814"/>
    <w:rsid w:val="00267FDE"/>
    <w:rsid w:val="00272D70"/>
    <w:rsid w:val="00287785"/>
    <w:rsid w:val="002904C5"/>
    <w:rsid w:val="00295A98"/>
    <w:rsid w:val="002A5AAD"/>
    <w:rsid w:val="002C16FD"/>
    <w:rsid w:val="002C37BA"/>
    <w:rsid w:val="002D396C"/>
    <w:rsid w:val="002E77FF"/>
    <w:rsid w:val="002F1F64"/>
    <w:rsid w:val="003028F1"/>
    <w:rsid w:val="00312339"/>
    <w:rsid w:val="00327F2D"/>
    <w:rsid w:val="003314E6"/>
    <w:rsid w:val="0037695C"/>
    <w:rsid w:val="003856A2"/>
    <w:rsid w:val="0039528F"/>
    <w:rsid w:val="003A0AEB"/>
    <w:rsid w:val="003A246A"/>
    <w:rsid w:val="003B0F74"/>
    <w:rsid w:val="003B2E18"/>
    <w:rsid w:val="003E5A62"/>
    <w:rsid w:val="003F4423"/>
    <w:rsid w:val="004040AB"/>
    <w:rsid w:val="0040417F"/>
    <w:rsid w:val="00412E8F"/>
    <w:rsid w:val="004228FE"/>
    <w:rsid w:val="00430036"/>
    <w:rsid w:val="0043206A"/>
    <w:rsid w:val="00441257"/>
    <w:rsid w:val="00443896"/>
    <w:rsid w:val="004532C0"/>
    <w:rsid w:val="00463AC1"/>
    <w:rsid w:val="00472EB8"/>
    <w:rsid w:val="00483A20"/>
    <w:rsid w:val="00491531"/>
    <w:rsid w:val="004A1D71"/>
    <w:rsid w:val="004A4F00"/>
    <w:rsid w:val="004B4C2C"/>
    <w:rsid w:val="004D0DFA"/>
    <w:rsid w:val="004D2A28"/>
    <w:rsid w:val="004D3441"/>
    <w:rsid w:val="004F1EB5"/>
    <w:rsid w:val="00500CB6"/>
    <w:rsid w:val="005017E3"/>
    <w:rsid w:val="00503214"/>
    <w:rsid w:val="005425A4"/>
    <w:rsid w:val="005472AB"/>
    <w:rsid w:val="00552723"/>
    <w:rsid w:val="00553FBB"/>
    <w:rsid w:val="00564DA0"/>
    <w:rsid w:val="00583120"/>
    <w:rsid w:val="00586FA4"/>
    <w:rsid w:val="005A2AD8"/>
    <w:rsid w:val="005B0526"/>
    <w:rsid w:val="005B128E"/>
    <w:rsid w:val="005B3A65"/>
    <w:rsid w:val="005B64B3"/>
    <w:rsid w:val="005C0514"/>
    <w:rsid w:val="005D36AF"/>
    <w:rsid w:val="00617713"/>
    <w:rsid w:val="0062689F"/>
    <w:rsid w:val="006336C6"/>
    <w:rsid w:val="0063411E"/>
    <w:rsid w:val="00650472"/>
    <w:rsid w:val="006576D2"/>
    <w:rsid w:val="0067116C"/>
    <w:rsid w:val="00695434"/>
    <w:rsid w:val="006A7DEE"/>
    <w:rsid w:val="006B5F76"/>
    <w:rsid w:val="006C5616"/>
    <w:rsid w:val="006D114F"/>
    <w:rsid w:val="006D31B4"/>
    <w:rsid w:val="006E619E"/>
    <w:rsid w:val="006E6BD0"/>
    <w:rsid w:val="006F6FFA"/>
    <w:rsid w:val="00700AEF"/>
    <w:rsid w:val="00713D7F"/>
    <w:rsid w:val="0071690F"/>
    <w:rsid w:val="00731904"/>
    <w:rsid w:val="00731E8A"/>
    <w:rsid w:val="00736255"/>
    <w:rsid w:val="00771169"/>
    <w:rsid w:val="0077141C"/>
    <w:rsid w:val="00773AB5"/>
    <w:rsid w:val="00775A43"/>
    <w:rsid w:val="00776E9C"/>
    <w:rsid w:val="00777A57"/>
    <w:rsid w:val="007919D2"/>
    <w:rsid w:val="00794D51"/>
    <w:rsid w:val="00795F48"/>
    <w:rsid w:val="007A0316"/>
    <w:rsid w:val="007A21E3"/>
    <w:rsid w:val="007A3408"/>
    <w:rsid w:val="007A4A53"/>
    <w:rsid w:val="007A6E27"/>
    <w:rsid w:val="007B35D4"/>
    <w:rsid w:val="007C38D1"/>
    <w:rsid w:val="007C3D1C"/>
    <w:rsid w:val="007D252B"/>
    <w:rsid w:val="007E599F"/>
    <w:rsid w:val="007F7CDB"/>
    <w:rsid w:val="008067B3"/>
    <w:rsid w:val="0080774E"/>
    <w:rsid w:val="00811FD2"/>
    <w:rsid w:val="00830736"/>
    <w:rsid w:val="00835D53"/>
    <w:rsid w:val="008437D4"/>
    <w:rsid w:val="008529E9"/>
    <w:rsid w:val="0085440C"/>
    <w:rsid w:val="00857332"/>
    <w:rsid w:val="008718BF"/>
    <w:rsid w:val="008741C5"/>
    <w:rsid w:val="00877813"/>
    <w:rsid w:val="00882029"/>
    <w:rsid w:val="00883DA7"/>
    <w:rsid w:val="00884C7B"/>
    <w:rsid w:val="00887AAD"/>
    <w:rsid w:val="00887AE4"/>
    <w:rsid w:val="00895EE8"/>
    <w:rsid w:val="00896EA2"/>
    <w:rsid w:val="008B0048"/>
    <w:rsid w:val="008C0460"/>
    <w:rsid w:val="008C25CF"/>
    <w:rsid w:val="008C70DF"/>
    <w:rsid w:val="008D2DFF"/>
    <w:rsid w:val="008E1FD8"/>
    <w:rsid w:val="0090099E"/>
    <w:rsid w:val="0090151E"/>
    <w:rsid w:val="00907669"/>
    <w:rsid w:val="00915A11"/>
    <w:rsid w:val="00920CDE"/>
    <w:rsid w:val="009347AC"/>
    <w:rsid w:val="00936022"/>
    <w:rsid w:val="00937E31"/>
    <w:rsid w:val="0094302B"/>
    <w:rsid w:val="00951BB6"/>
    <w:rsid w:val="009534D1"/>
    <w:rsid w:val="009671E5"/>
    <w:rsid w:val="00967B5A"/>
    <w:rsid w:val="00972788"/>
    <w:rsid w:val="009843F4"/>
    <w:rsid w:val="00994122"/>
    <w:rsid w:val="009C496E"/>
    <w:rsid w:val="009C6C34"/>
    <w:rsid w:val="009D242D"/>
    <w:rsid w:val="009D428F"/>
    <w:rsid w:val="009E2F06"/>
    <w:rsid w:val="009E39C1"/>
    <w:rsid w:val="009F6A60"/>
    <w:rsid w:val="00A0153F"/>
    <w:rsid w:val="00A44828"/>
    <w:rsid w:val="00A46016"/>
    <w:rsid w:val="00A47891"/>
    <w:rsid w:val="00A60547"/>
    <w:rsid w:val="00A6193D"/>
    <w:rsid w:val="00A65EF9"/>
    <w:rsid w:val="00A740EC"/>
    <w:rsid w:val="00A83C3C"/>
    <w:rsid w:val="00A84E01"/>
    <w:rsid w:val="00A852FD"/>
    <w:rsid w:val="00A8656C"/>
    <w:rsid w:val="00A91F9F"/>
    <w:rsid w:val="00AA26BE"/>
    <w:rsid w:val="00AB0920"/>
    <w:rsid w:val="00AB310C"/>
    <w:rsid w:val="00AB3FD0"/>
    <w:rsid w:val="00AC741F"/>
    <w:rsid w:val="00AC7564"/>
    <w:rsid w:val="00AC7EDB"/>
    <w:rsid w:val="00AD12A2"/>
    <w:rsid w:val="00AE059A"/>
    <w:rsid w:val="00AE1B93"/>
    <w:rsid w:val="00AE5CDD"/>
    <w:rsid w:val="00AF2524"/>
    <w:rsid w:val="00B01682"/>
    <w:rsid w:val="00B13F42"/>
    <w:rsid w:val="00B142CC"/>
    <w:rsid w:val="00B36D83"/>
    <w:rsid w:val="00B37763"/>
    <w:rsid w:val="00B4086D"/>
    <w:rsid w:val="00B46003"/>
    <w:rsid w:val="00B511F3"/>
    <w:rsid w:val="00B52507"/>
    <w:rsid w:val="00B56E70"/>
    <w:rsid w:val="00B60766"/>
    <w:rsid w:val="00B7492D"/>
    <w:rsid w:val="00B922D8"/>
    <w:rsid w:val="00BA1039"/>
    <w:rsid w:val="00BA6D55"/>
    <w:rsid w:val="00BB3C0C"/>
    <w:rsid w:val="00BC0F32"/>
    <w:rsid w:val="00BC1FB6"/>
    <w:rsid w:val="00BD1515"/>
    <w:rsid w:val="00BD7D94"/>
    <w:rsid w:val="00BE0811"/>
    <w:rsid w:val="00BE63C3"/>
    <w:rsid w:val="00BE7939"/>
    <w:rsid w:val="00BF03D0"/>
    <w:rsid w:val="00C16332"/>
    <w:rsid w:val="00C21228"/>
    <w:rsid w:val="00C22982"/>
    <w:rsid w:val="00C24937"/>
    <w:rsid w:val="00C338F9"/>
    <w:rsid w:val="00C35EE8"/>
    <w:rsid w:val="00C42A62"/>
    <w:rsid w:val="00C51A4B"/>
    <w:rsid w:val="00C53DA1"/>
    <w:rsid w:val="00C66C9A"/>
    <w:rsid w:val="00C95935"/>
    <w:rsid w:val="00C96559"/>
    <w:rsid w:val="00C967C9"/>
    <w:rsid w:val="00C97A18"/>
    <w:rsid w:val="00CA3DCE"/>
    <w:rsid w:val="00CA6950"/>
    <w:rsid w:val="00CA6A4C"/>
    <w:rsid w:val="00CA7468"/>
    <w:rsid w:val="00CC154D"/>
    <w:rsid w:val="00CC47D5"/>
    <w:rsid w:val="00CD04D0"/>
    <w:rsid w:val="00CD3E82"/>
    <w:rsid w:val="00CD7929"/>
    <w:rsid w:val="00CE59C2"/>
    <w:rsid w:val="00CF0C3F"/>
    <w:rsid w:val="00CF4C20"/>
    <w:rsid w:val="00CF5977"/>
    <w:rsid w:val="00D03408"/>
    <w:rsid w:val="00D1404A"/>
    <w:rsid w:val="00D16BFB"/>
    <w:rsid w:val="00D219AE"/>
    <w:rsid w:val="00D3164E"/>
    <w:rsid w:val="00D36A6C"/>
    <w:rsid w:val="00D4223C"/>
    <w:rsid w:val="00D449CC"/>
    <w:rsid w:val="00D4602D"/>
    <w:rsid w:val="00D5362B"/>
    <w:rsid w:val="00D56121"/>
    <w:rsid w:val="00D61706"/>
    <w:rsid w:val="00D873FB"/>
    <w:rsid w:val="00D922C2"/>
    <w:rsid w:val="00DB1D47"/>
    <w:rsid w:val="00DE038A"/>
    <w:rsid w:val="00E05F8C"/>
    <w:rsid w:val="00E2405E"/>
    <w:rsid w:val="00E27E17"/>
    <w:rsid w:val="00E403D8"/>
    <w:rsid w:val="00E42406"/>
    <w:rsid w:val="00E43400"/>
    <w:rsid w:val="00E43E3D"/>
    <w:rsid w:val="00E44FA9"/>
    <w:rsid w:val="00E5405E"/>
    <w:rsid w:val="00E56C12"/>
    <w:rsid w:val="00E63B19"/>
    <w:rsid w:val="00E6683F"/>
    <w:rsid w:val="00E67B80"/>
    <w:rsid w:val="00E7075B"/>
    <w:rsid w:val="00E718F5"/>
    <w:rsid w:val="00E848A8"/>
    <w:rsid w:val="00E938C4"/>
    <w:rsid w:val="00EB73B5"/>
    <w:rsid w:val="00EC05CF"/>
    <w:rsid w:val="00EC0A0B"/>
    <w:rsid w:val="00EC156D"/>
    <w:rsid w:val="00EC49CA"/>
    <w:rsid w:val="00EE7073"/>
    <w:rsid w:val="00F006BF"/>
    <w:rsid w:val="00F06780"/>
    <w:rsid w:val="00F12899"/>
    <w:rsid w:val="00F2677B"/>
    <w:rsid w:val="00F44E11"/>
    <w:rsid w:val="00F47701"/>
    <w:rsid w:val="00F51744"/>
    <w:rsid w:val="00F65E3A"/>
    <w:rsid w:val="00F74F9A"/>
    <w:rsid w:val="00F7612D"/>
    <w:rsid w:val="00F94FA0"/>
    <w:rsid w:val="00FA749B"/>
    <w:rsid w:val="00FC70B8"/>
    <w:rsid w:val="00FD2076"/>
    <w:rsid w:val="00FE1A2A"/>
    <w:rsid w:val="00FE4B80"/>
    <w:rsid w:val="00FF352E"/>
    <w:rsid w:val="00FF55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7D98"/>
  <w15:docId w15:val="{92A19BD2-3C7C-4C04-B6E7-FB0B0FC6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F33"/>
  </w:style>
  <w:style w:type="paragraph" w:styleId="Heading2">
    <w:name w:val="heading 2"/>
    <w:basedOn w:val="Normal"/>
    <w:next w:val="Normal"/>
    <w:link w:val="Heading2Char"/>
    <w:uiPriority w:val="9"/>
    <w:semiHidden/>
    <w:unhideWhenUsed/>
    <w:qFormat/>
    <w:rsid w:val="00951BB6"/>
    <w:pPr>
      <w:keepNext/>
      <w:spacing w:before="240" w:after="6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951BB6"/>
    <w:pPr>
      <w:keepNext/>
      <w:spacing w:before="240" w:after="6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che List Paragraph,Dot pt,No Spacing1,List Paragraph Char Char Char,Indicator Text,Numbered Para 1,Bullet 1,List Paragraph1,F5 List Paragraph,Bullet Points,List Paragraph11,MAIN CONTENT,List Paragraph12,Bullet2,Bullet21,Bullet22,bl11"/>
    <w:basedOn w:val="Normal"/>
    <w:link w:val="ListParagraphChar"/>
    <w:uiPriority w:val="34"/>
    <w:qFormat/>
    <w:rsid w:val="006D114F"/>
    <w:pPr>
      <w:ind w:left="720"/>
      <w:contextualSpacing/>
    </w:pPr>
  </w:style>
  <w:style w:type="character" w:styleId="Hyperlink">
    <w:name w:val="Hyperlink"/>
    <w:basedOn w:val="DefaultParagraphFont"/>
    <w:uiPriority w:val="99"/>
    <w:unhideWhenUsed/>
    <w:rsid w:val="00EC05CF"/>
    <w:rPr>
      <w:color w:val="0000FF" w:themeColor="hyperlink"/>
      <w:u w:val="single"/>
    </w:rPr>
  </w:style>
  <w:style w:type="paragraph" w:styleId="NormalWeb">
    <w:name w:val="Normal (Web)"/>
    <w:basedOn w:val="Normal"/>
    <w:uiPriority w:val="99"/>
    <w:semiHidden/>
    <w:unhideWhenUsed/>
    <w:rsid w:val="006336C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ListParagraphChar">
    <w:name w:val="List Paragraph Char"/>
    <w:aliases w:val="Fiche List Paragraph Char,Dot pt Char,No Spacing1 Char,List Paragraph Char Char Char Char,Indicator Text Char,Numbered Para 1 Char,Bullet 1 Char,List Paragraph1 Char,F5 List Paragraph Char,Bullet Points Char,List Paragraph11 Char"/>
    <w:basedOn w:val="DefaultParagraphFont"/>
    <w:link w:val="ListParagraph"/>
    <w:uiPriority w:val="34"/>
    <w:qFormat/>
    <w:rsid w:val="00B4086D"/>
  </w:style>
  <w:style w:type="paragraph" w:customStyle="1" w:styleId="yiv7320889411gmail-yiv6767120177ydp637ca272msonormal">
    <w:name w:val="yiv7320889411gmail-yiv6767120177ydp637ca272msonormal"/>
    <w:basedOn w:val="Normal"/>
    <w:rsid w:val="00FF55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7486493407msonormal">
    <w:name w:val="yiv7486493407msonormal"/>
    <w:basedOn w:val="Normal"/>
    <w:rsid w:val="00BE79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951BB6"/>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951BB6"/>
    <w:rPr>
      <w:rFonts w:ascii="Cambria" w:eastAsia="Times New Roman" w:hAnsi="Cambria" w:cs="Times New Roman"/>
      <w:b/>
      <w:bCs/>
      <w:sz w:val="26"/>
      <w:szCs w:val="26"/>
      <w:lang w:val="en-US"/>
    </w:rPr>
  </w:style>
  <w:style w:type="character" w:customStyle="1" w:styleId="mesotitlos">
    <w:name w:val="mesotitlos"/>
    <w:basedOn w:val="DefaultParagraphFont"/>
    <w:rsid w:val="00951BB6"/>
  </w:style>
  <w:style w:type="paragraph" w:styleId="BalloonText">
    <w:name w:val="Balloon Text"/>
    <w:basedOn w:val="Normal"/>
    <w:link w:val="BalloonTextChar"/>
    <w:uiPriority w:val="99"/>
    <w:semiHidden/>
    <w:unhideWhenUsed/>
    <w:rsid w:val="00951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BB6"/>
    <w:rPr>
      <w:rFonts w:ascii="Tahoma" w:hAnsi="Tahoma" w:cs="Tahoma"/>
      <w:sz w:val="16"/>
      <w:szCs w:val="16"/>
    </w:rPr>
  </w:style>
  <w:style w:type="paragraph" w:styleId="Header">
    <w:name w:val="header"/>
    <w:basedOn w:val="Normal"/>
    <w:link w:val="HeaderChar"/>
    <w:uiPriority w:val="99"/>
    <w:semiHidden/>
    <w:unhideWhenUsed/>
    <w:rsid w:val="00951BB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51BB6"/>
  </w:style>
  <w:style w:type="paragraph" w:styleId="Footer">
    <w:name w:val="footer"/>
    <w:basedOn w:val="Normal"/>
    <w:link w:val="FooterChar"/>
    <w:uiPriority w:val="99"/>
    <w:unhideWhenUsed/>
    <w:rsid w:val="00951B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1BB6"/>
  </w:style>
  <w:style w:type="paragraph" w:customStyle="1" w:styleId="s18">
    <w:name w:val="s18"/>
    <w:basedOn w:val="Normal"/>
    <w:rsid w:val="000F254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umpedfont15">
    <w:name w:val="bumpedfont15"/>
    <w:basedOn w:val="DefaultParagraphFont"/>
    <w:rsid w:val="000F2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2273">
      <w:bodyDiv w:val="1"/>
      <w:marLeft w:val="0"/>
      <w:marRight w:val="0"/>
      <w:marTop w:val="0"/>
      <w:marBottom w:val="0"/>
      <w:divBdr>
        <w:top w:val="none" w:sz="0" w:space="0" w:color="auto"/>
        <w:left w:val="none" w:sz="0" w:space="0" w:color="auto"/>
        <w:bottom w:val="none" w:sz="0" w:space="0" w:color="auto"/>
        <w:right w:val="none" w:sz="0" w:space="0" w:color="auto"/>
      </w:divBdr>
    </w:div>
    <w:div w:id="141042955">
      <w:bodyDiv w:val="1"/>
      <w:marLeft w:val="0"/>
      <w:marRight w:val="0"/>
      <w:marTop w:val="0"/>
      <w:marBottom w:val="0"/>
      <w:divBdr>
        <w:top w:val="none" w:sz="0" w:space="0" w:color="auto"/>
        <w:left w:val="none" w:sz="0" w:space="0" w:color="auto"/>
        <w:bottom w:val="none" w:sz="0" w:space="0" w:color="auto"/>
        <w:right w:val="none" w:sz="0" w:space="0" w:color="auto"/>
      </w:divBdr>
    </w:div>
    <w:div w:id="309865062">
      <w:bodyDiv w:val="1"/>
      <w:marLeft w:val="0"/>
      <w:marRight w:val="0"/>
      <w:marTop w:val="0"/>
      <w:marBottom w:val="0"/>
      <w:divBdr>
        <w:top w:val="none" w:sz="0" w:space="0" w:color="auto"/>
        <w:left w:val="none" w:sz="0" w:space="0" w:color="auto"/>
        <w:bottom w:val="none" w:sz="0" w:space="0" w:color="auto"/>
        <w:right w:val="none" w:sz="0" w:space="0" w:color="auto"/>
      </w:divBdr>
    </w:div>
    <w:div w:id="334572337">
      <w:bodyDiv w:val="1"/>
      <w:marLeft w:val="0"/>
      <w:marRight w:val="0"/>
      <w:marTop w:val="0"/>
      <w:marBottom w:val="0"/>
      <w:divBdr>
        <w:top w:val="none" w:sz="0" w:space="0" w:color="auto"/>
        <w:left w:val="none" w:sz="0" w:space="0" w:color="auto"/>
        <w:bottom w:val="none" w:sz="0" w:space="0" w:color="auto"/>
        <w:right w:val="none" w:sz="0" w:space="0" w:color="auto"/>
      </w:divBdr>
    </w:div>
    <w:div w:id="350492962">
      <w:bodyDiv w:val="1"/>
      <w:marLeft w:val="0"/>
      <w:marRight w:val="0"/>
      <w:marTop w:val="0"/>
      <w:marBottom w:val="0"/>
      <w:divBdr>
        <w:top w:val="none" w:sz="0" w:space="0" w:color="auto"/>
        <w:left w:val="none" w:sz="0" w:space="0" w:color="auto"/>
        <w:bottom w:val="none" w:sz="0" w:space="0" w:color="auto"/>
        <w:right w:val="none" w:sz="0" w:space="0" w:color="auto"/>
      </w:divBdr>
    </w:div>
    <w:div w:id="385298056">
      <w:bodyDiv w:val="1"/>
      <w:marLeft w:val="0"/>
      <w:marRight w:val="0"/>
      <w:marTop w:val="0"/>
      <w:marBottom w:val="0"/>
      <w:divBdr>
        <w:top w:val="none" w:sz="0" w:space="0" w:color="auto"/>
        <w:left w:val="none" w:sz="0" w:space="0" w:color="auto"/>
        <w:bottom w:val="none" w:sz="0" w:space="0" w:color="auto"/>
        <w:right w:val="none" w:sz="0" w:space="0" w:color="auto"/>
      </w:divBdr>
    </w:div>
    <w:div w:id="467625858">
      <w:bodyDiv w:val="1"/>
      <w:marLeft w:val="0"/>
      <w:marRight w:val="0"/>
      <w:marTop w:val="0"/>
      <w:marBottom w:val="0"/>
      <w:divBdr>
        <w:top w:val="none" w:sz="0" w:space="0" w:color="auto"/>
        <w:left w:val="none" w:sz="0" w:space="0" w:color="auto"/>
        <w:bottom w:val="none" w:sz="0" w:space="0" w:color="auto"/>
        <w:right w:val="none" w:sz="0" w:space="0" w:color="auto"/>
      </w:divBdr>
    </w:div>
    <w:div w:id="507598911">
      <w:bodyDiv w:val="1"/>
      <w:marLeft w:val="0"/>
      <w:marRight w:val="0"/>
      <w:marTop w:val="0"/>
      <w:marBottom w:val="0"/>
      <w:divBdr>
        <w:top w:val="none" w:sz="0" w:space="0" w:color="auto"/>
        <w:left w:val="none" w:sz="0" w:space="0" w:color="auto"/>
        <w:bottom w:val="none" w:sz="0" w:space="0" w:color="auto"/>
        <w:right w:val="none" w:sz="0" w:space="0" w:color="auto"/>
      </w:divBdr>
    </w:div>
    <w:div w:id="589318635">
      <w:bodyDiv w:val="1"/>
      <w:marLeft w:val="0"/>
      <w:marRight w:val="0"/>
      <w:marTop w:val="0"/>
      <w:marBottom w:val="0"/>
      <w:divBdr>
        <w:top w:val="none" w:sz="0" w:space="0" w:color="auto"/>
        <w:left w:val="none" w:sz="0" w:space="0" w:color="auto"/>
        <w:bottom w:val="none" w:sz="0" w:space="0" w:color="auto"/>
        <w:right w:val="none" w:sz="0" w:space="0" w:color="auto"/>
      </w:divBdr>
      <w:divsChild>
        <w:div w:id="1160728312">
          <w:marLeft w:val="0"/>
          <w:marRight w:val="0"/>
          <w:marTop w:val="0"/>
          <w:marBottom w:val="0"/>
          <w:divBdr>
            <w:top w:val="none" w:sz="0" w:space="0" w:color="auto"/>
            <w:left w:val="none" w:sz="0" w:space="0" w:color="auto"/>
            <w:bottom w:val="none" w:sz="0" w:space="0" w:color="auto"/>
            <w:right w:val="none" w:sz="0" w:space="0" w:color="auto"/>
          </w:divBdr>
          <w:divsChild>
            <w:div w:id="1678380982">
              <w:marLeft w:val="0"/>
              <w:marRight w:val="0"/>
              <w:marTop w:val="0"/>
              <w:marBottom w:val="0"/>
              <w:divBdr>
                <w:top w:val="none" w:sz="0" w:space="0" w:color="auto"/>
                <w:left w:val="none" w:sz="0" w:space="0" w:color="auto"/>
                <w:bottom w:val="none" w:sz="0" w:space="0" w:color="auto"/>
                <w:right w:val="none" w:sz="0" w:space="0" w:color="auto"/>
              </w:divBdr>
              <w:divsChild>
                <w:div w:id="2019698353">
                  <w:marLeft w:val="0"/>
                  <w:marRight w:val="0"/>
                  <w:marTop w:val="0"/>
                  <w:marBottom w:val="0"/>
                  <w:divBdr>
                    <w:top w:val="none" w:sz="0" w:space="0" w:color="auto"/>
                    <w:left w:val="none" w:sz="0" w:space="0" w:color="auto"/>
                    <w:bottom w:val="none" w:sz="0" w:space="0" w:color="auto"/>
                    <w:right w:val="none" w:sz="0" w:space="0" w:color="auto"/>
                  </w:divBdr>
                  <w:divsChild>
                    <w:div w:id="1146625152">
                      <w:marLeft w:val="0"/>
                      <w:marRight w:val="0"/>
                      <w:marTop w:val="0"/>
                      <w:marBottom w:val="0"/>
                      <w:divBdr>
                        <w:top w:val="none" w:sz="0" w:space="0" w:color="auto"/>
                        <w:left w:val="none" w:sz="0" w:space="0" w:color="auto"/>
                        <w:bottom w:val="none" w:sz="0" w:space="0" w:color="auto"/>
                        <w:right w:val="none" w:sz="0" w:space="0" w:color="auto"/>
                      </w:divBdr>
                      <w:divsChild>
                        <w:div w:id="308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703044">
      <w:bodyDiv w:val="1"/>
      <w:marLeft w:val="0"/>
      <w:marRight w:val="0"/>
      <w:marTop w:val="0"/>
      <w:marBottom w:val="0"/>
      <w:divBdr>
        <w:top w:val="none" w:sz="0" w:space="0" w:color="auto"/>
        <w:left w:val="none" w:sz="0" w:space="0" w:color="auto"/>
        <w:bottom w:val="none" w:sz="0" w:space="0" w:color="auto"/>
        <w:right w:val="none" w:sz="0" w:space="0" w:color="auto"/>
      </w:divBdr>
      <w:divsChild>
        <w:div w:id="971864368">
          <w:marLeft w:val="0"/>
          <w:marRight w:val="0"/>
          <w:marTop w:val="0"/>
          <w:marBottom w:val="0"/>
          <w:divBdr>
            <w:top w:val="none" w:sz="0" w:space="0" w:color="auto"/>
            <w:left w:val="none" w:sz="0" w:space="0" w:color="auto"/>
            <w:bottom w:val="none" w:sz="0" w:space="0" w:color="auto"/>
            <w:right w:val="none" w:sz="0" w:space="0" w:color="auto"/>
          </w:divBdr>
          <w:divsChild>
            <w:div w:id="148785872">
              <w:marLeft w:val="0"/>
              <w:marRight w:val="0"/>
              <w:marTop w:val="0"/>
              <w:marBottom w:val="0"/>
              <w:divBdr>
                <w:top w:val="none" w:sz="0" w:space="0" w:color="auto"/>
                <w:left w:val="none" w:sz="0" w:space="0" w:color="auto"/>
                <w:bottom w:val="none" w:sz="0" w:space="0" w:color="auto"/>
                <w:right w:val="none" w:sz="0" w:space="0" w:color="auto"/>
              </w:divBdr>
              <w:divsChild>
                <w:div w:id="631061575">
                  <w:marLeft w:val="0"/>
                  <w:marRight w:val="0"/>
                  <w:marTop w:val="0"/>
                  <w:marBottom w:val="0"/>
                  <w:divBdr>
                    <w:top w:val="none" w:sz="0" w:space="0" w:color="auto"/>
                    <w:left w:val="none" w:sz="0" w:space="0" w:color="auto"/>
                    <w:bottom w:val="none" w:sz="0" w:space="0" w:color="auto"/>
                    <w:right w:val="none" w:sz="0" w:space="0" w:color="auto"/>
                  </w:divBdr>
                  <w:divsChild>
                    <w:div w:id="1927575444">
                      <w:marLeft w:val="0"/>
                      <w:marRight w:val="0"/>
                      <w:marTop w:val="0"/>
                      <w:marBottom w:val="0"/>
                      <w:divBdr>
                        <w:top w:val="none" w:sz="0" w:space="0" w:color="auto"/>
                        <w:left w:val="none" w:sz="0" w:space="0" w:color="auto"/>
                        <w:bottom w:val="none" w:sz="0" w:space="0" w:color="auto"/>
                        <w:right w:val="none" w:sz="0" w:space="0" w:color="auto"/>
                      </w:divBdr>
                      <w:divsChild>
                        <w:div w:id="2111005019">
                          <w:marLeft w:val="0"/>
                          <w:marRight w:val="0"/>
                          <w:marTop w:val="0"/>
                          <w:marBottom w:val="0"/>
                          <w:divBdr>
                            <w:top w:val="none" w:sz="0" w:space="0" w:color="auto"/>
                            <w:left w:val="none" w:sz="0" w:space="0" w:color="auto"/>
                            <w:bottom w:val="none" w:sz="0" w:space="0" w:color="auto"/>
                            <w:right w:val="none" w:sz="0" w:space="0" w:color="auto"/>
                          </w:divBdr>
                          <w:divsChild>
                            <w:div w:id="1843086300">
                              <w:marLeft w:val="0"/>
                              <w:marRight w:val="0"/>
                              <w:marTop w:val="0"/>
                              <w:marBottom w:val="0"/>
                              <w:divBdr>
                                <w:top w:val="none" w:sz="0" w:space="0" w:color="auto"/>
                                <w:left w:val="none" w:sz="0" w:space="0" w:color="auto"/>
                                <w:bottom w:val="none" w:sz="0" w:space="0" w:color="auto"/>
                                <w:right w:val="none" w:sz="0" w:space="0" w:color="auto"/>
                              </w:divBdr>
                              <w:divsChild>
                                <w:div w:id="1229341629">
                                  <w:marLeft w:val="0"/>
                                  <w:marRight w:val="0"/>
                                  <w:marTop w:val="0"/>
                                  <w:marBottom w:val="0"/>
                                  <w:divBdr>
                                    <w:top w:val="none" w:sz="0" w:space="0" w:color="auto"/>
                                    <w:left w:val="none" w:sz="0" w:space="0" w:color="auto"/>
                                    <w:bottom w:val="none" w:sz="0" w:space="0" w:color="auto"/>
                                    <w:right w:val="none" w:sz="0" w:space="0" w:color="auto"/>
                                  </w:divBdr>
                                </w:div>
                                <w:div w:id="12755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2351">
          <w:marLeft w:val="0"/>
          <w:marRight w:val="0"/>
          <w:marTop w:val="0"/>
          <w:marBottom w:val="0"/>
          <w:divBdr>
            <w:top w:val="none" w:sz="0" w:space="0" w:color="auto"/>
            <w:left w:val="none" w:sz="0" w:space="0" w:color="auto"/>
            <w:bottom w:val="none" w:sz="0" w:space="0" w:color="auto"/>
            <w:right w:val="none" w:sz="0" w:space="0" w:color="auto"/>
          </w:divBdr>
          <w:divsChild>
            <w:div w:id="1777556233">
              <w:marLeft w:val="0"/>
              <w:marRight w:val="0"/>
              <w:marTop w:val="0"/>
              <w:marBottom w:val="0"/>
              <w:divBdr>
                <w:top w:val="none" w:sz="0" w:space="0" w:color="auto"/>
                <w:left w:val="none" w:sz="0" w:space="0" w:color="auto"/>
                <w:bottom w:val="none" w:sz="0" w:space="0" w:color="auto"/>
                <w:right w:val="none" w:sz="0" w:space="0" w:color="auto"/>
              </w:divBdr>
              <w:divsChild>
                <w:div w:id="20651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71788">
      <w:bodyDiv w:val="1"/>
      <w:marLeft w:val="0"/>
      <w:marRight w:val="0"/>
      <w:marTop w:val="0"/>
      <w:marBottom w:val="0"/>
      <w:divBdr>
        <w:top w:val="none" w:sz="0" w:space="0" w:color="auto"/>
        <w:left w:val="none" w:sz="0" w:space="0" w:color="auto"/>
        <w:bottom w:val="none" w:sz="0" w:space="0" w:color="auto"/>
        <w:right w:val="none" w:sz="0" w:space="0" w:color="auto"/>
      </w:divBdr>
    </w:div>
    <w:div w:id="822741568">
      <w:bodyDiv w:val="1"/>
      <w:marLeft w:val="0"/>
      <w:marRight w:val="0"/>
      <w:marTop w:val="0"/>
      <w:marBottom w:val="0"/>
      <w:divBdr>
        <w:top w:val="none" w:sz="0" w:space="0" w:color="auto"/>
        <w:left w:val="none" w:sz="0" w:space="0" w:color="auto"/>
        <w:bottom w:val="none" w:sz="0" w:space="0" w:color="auto"/>
        <w:right w:val="none" w:sz="0" w:space="0" w:color="auto"/>
      </w:divBdr>
    </w:div>
    <w:div w:id="841623295">
      <w:bodyDiv w:val="1"/>
      <w:marLeft w:val="0"/>
      <w:marRight w:val="0"/>
      <w:marTop w:val="0"/>
      <w:marBottom w:val="0"/>
      <w:divBdr>
        <w:top w:val="none" w:sz="0" w:space="0" w:color="auto"/>
        <w:left w:val="none" w:sz="0" w:space="0" w:color="auto"/>
        <w:bottom w:val="none" w:sz="0" w:space="0" w:color="auto"/>
        <w:right w:val="none" w:sz="0" w:space="0" w:color="auto"/>
      </w:divBdr>
    </w:div>
    <w:div w:id="979384081">
      <w:bodyDiv w:val="1"/>
      <w:marLeft w:val="0"/>
      <w:marRight w:val="0"/>
      <w:marTop w:val="0"/>
      <w:marBottom w:val="0"/>
      <w:divBdr>
        <w:top w:val="none" w:sz="0" w:space="0" w:color="auto"/>
        <w:left w:val="none" w:sz="0" w:space="0" w:color="auto"/>
        <w:bottom w:val="none" w:sz="0" w:space="0" w:color="auto"/>
        <w:right w:val="none" w:sz="0" w:space="0" w:color="auto"/>
      </w:divBdr>
    </w:div>
    <w:div w:id="1448626423">
      <w:bodyDiv w:val="1"/>
      <w:marLeft w:val="0"/>
      <w:marRight w:val="0"/>
      <w:marTop w:val="0"/>
      <w:marBottom w:val="0"/>
      <w:divBdr>
        <w:top w:val="none" w:sz="0" w:space="0" w:color="auto"/>
        <w:left w:val="none" w:sz="0" w:space="0" w:color="auto"/>
        <w:bottom w:val="none" w:sz="0" w:space="0" w:color="auto"/>
        <w:right w:val="none" w:sz="0" w:space="0" w:color="auto"/>
      </w:divBdr>
    </w:div>
    <w:div w:id="1449081464">
      <w:bodyDiv w:val="1"/>
      <w:marLeft w:val="0"/>
      <w:marRight w:val="0"/>
      <w:marTop w:val="0"/>
      <w:marBottom w:val="0"/>
      <w:divBdr>
        <w:top w:val="none" w:sz="0" w:space="0" w:color="auto"/>
        <w:left w:val="none" w:sz="0" w:space="0" w:color="auto"/>
        <w:bottom w:val="none" w:sz="0" w:space="0" w:color="auto"/>
        <w:right w:val="none" w:sz="0" w:space="0" w:color="auto"/>
      </w:divBdr>
    </w:div>
    <w:div w:id="1485469239">
      <w:bodyDiv w:val="1"/>
      <w:marLeft w:val="0"/>
      <w:marRight w:val="0"/>
      <w:marTop w:val="0"/>
      <w:marBottom w:val="0"/>
      <w:divBdr>
        <w:top w:val="none" w:sz="0" w:space="0" w:color="auto"/>
        <w:left w:val="none" w:sz="0" w:space="0" w:color="auto"/>
        <w:bottom w:val="none" w:sz="0" w:space="0" w:color="auto"/>
        <w:right w:val="none" w:sz="0" w:space="0" w:color="auto"/>
      </w:divBdr>
    </w:div>
    <w:div w:id="1486164810">
      <w:bodyDiv w:val="1"/>
      <w:marLeft w:val="0"/>
      <w:marRight w:val="0"/>
      <w:marTop w:val="0"/>
      <w:marBottom w:val="0"/>
      <w:divBdr>
        <w:top w:val="none" w:sz="0" w:space="0" w:color="auto"/>
        <w:left w:val="none" w:sz="0" w:space="0" w:color="auto"/>
        <w:bottom w:val="none" w:sz="0" w:space="0" w:color="auto"/>
        <w:right w:val="none" w:sz="0" w:space="0" w:color="auto"/>
      </w:divBdr>
    </w:div>
    <w:div w:id="1500000187">
      <w:bodyDiv w:val="1"/>
      <w:marLeft w:val="0"/>
      <w:marRight w:val="0"/>
      <w:marTop w:val="0"/>
      <w:marBottom w:val="0"/>
      <w:divBdr>
        <w:top w:val="none" w:sz="0" w:space="0" w:color="auto"/>
        <w:left w:val="none" w:sz="0" w:space="0" w:color="auto"/>
        <w:bottom w:val="none" w:sz="0" w:space="0" w:color="auto"/>
        <w:right w:val="none" w:sz="0" w:space="0" w:color="auto"/>
      </w:divBdr>
    </w:div>
    <w:div w:id="1603682438">
      <w:bodyDiv w:val="1"/>
      <w:marLeft w:val="0"/>
      <w:marRight w:val="0"/>
      <w:marTop w:val="0"/>
      <w:marBottom w:val="0"/>
      <w:divBdr>
        <w:top w:val="none" w:sz="0" w:space="0" w:color="auto"/>
        <w:left w:val="none" w:sz="0" w:space="0" w:color="auto"/>
        <w:bottom w:val="none" w:sz="0" w:space="0" w:color="auto"/>
        <w:right w:val="none" w:sz="0" w:space="0" w:color="auto"/>
      </w:divBdr>
    </w:div>
    <w:div w:id="1609771516">
      <w:bodyDiv w:val="1"/>
      <w:marLeft w:val="0"/>
      <w:marRight w:val="0"/>
      <w:marTop w:val="0"/>
      <w:marBottom w:val="0"/>
      <w:divBdr>
        <w:top w:val="none" w:sz="0" w:space="0" w:color="auto"/>
        <w:left w:val="none" w:sz="0" w:space="0" w:color="auto"/>
        <w:bottom w:val="none" w:sz="0" w:space="0" w:color="auto"/>
        <w:right w:val="none" w:sz="0" w:space="0" w:color="auto"/>
      </w:divBdr>
    </w:div>
    <w:div w:id="1647009357">
      <w:bodyDiv w:val="1"/>
      <w:marLeft w:val="0"/>
      <w:marRight w:val="0"/>
      <w:marTop w:val="0"/>
      <w:marBottom w:val="0"/>
      <w:divBdr>
        <w:top w:val="none" w:sz="0" w:space="0" w:color="auto"/>
        <w:left w:val="none" w:sz="0" w:space="0" w:color="auto"/>
        <w:bottom w:val="none" w:sz="0" w:space="0" w:color="auto"/>
        <w:right w:val="none" w:sz="0" w:space="0" w:color="auto"/>
      </w:divBdr>
    </w:div>
    <w:div w:id="1669088723">
      <w:bodyDiv w:val="1"/>
      <w:marLeft w:val="0"/>
      <w:marRight w:val="0"/>
      <w:marTop w:val="0"/>
      <w:marBottom w:val="0"/>
      <w:divBdr>
        <w:top w:val="none" w:sz="0" w:space="0" w:color="auto"/>
        <w:left w:val="none" w:sz="0" w:space="0" w:color="auto"/>
        <w:bottom w:val="none" w:sz="0" w:space="0" w:color="auto"/>
        <w:right w:val="none" w:sz="0" w:space="0" w:color="auto"/>
      </w:divBdr>
    </w:div>
    <w:div w:id="1700929459">
      <w:bodyDiv w:val="1"/>
      <w:marLeft w:val="0"/>
      <w:marRight w:val="0"/>
      <w:marTop w:val="0"/>
      <w:marBottom w:val="0"/>
      <w:divBdr>
        <w:top w:val="none" w:sz="0" w:space="0" w:color="auto"/>
        <w:left w:val="none" w:sz="0" w:space="0" w:color="auto"/>
        <w:bottom w:val="none" w:sz="0" w:space="0" w:color="auto"/>
        <w:right w:val="none" w:sz="0" w:space="0" w:color="auto"/>
      </w:divBdr>
    </w:div>
    <w:div w:id="1744987037">
      <w:bodyDiv w:val="1"/>
      <w:marLeft w:val="0"/>
      <w:marRight w:val="0"/>
      <w:marTop w:val="0"/>
      <w:marBottom w:val="0"/>
      <w:divBdr>
        <w:top w:val="none" w:sz="0" w:space="0" w:color="auto"/>
        <w:left w:val="none" w:sz="0" w:space="0" w:color="auto"/>
        <w:bottom w:val="none" w:sz="0" w:space="0" w:color="auto"/>
        <w:right w:val="none" w:sz="0" w:space="0" w:color="auto"/>
      </w:divBdr>
    </w:div>
    <w:div w:id="1755587733">
      <w:bodyDiv w:val="1"/>
      <w:marLeft w:val="0"/>
      <w:marRight w:val="0"/>
      <w:marTop w:val="0"/>
      <w:marBottom w:val="0"/>
      <w:divBdr>
        <w:top w:val="none" w:sz="0" w:space="0" w:color="auto"/>
        <w:left w:val="none" w:sz="0" w:space="0" w:color="auto"/>
        <w:bottom w:val="none" w:sz="0" w:space="0" w:color="auto"/>
        <w:right w:val="none" w:sz="0" w:space="0" w:color="auto"/>
      </w:divBdr>
    </w:div>
    <w:div w:id="1787120742">
      <w:bodyDiv w:val="1"/>
      <w:marLeft w:val="0"/>
      <w:marRight w:val="0"/>
      <w:marTop w:val="0"/>
      <w:marBottom w:val="0"/>
      <w:divBdr>
        <w:top w:val="none" w:sz="0" w:space="0" w:color="auto"/>
        <w:left w:val="none" w:sz="0" w:space="0" w:color="auto"/>
        <w:bottom w:val="none" w:sz="0" w:space="0" w:color="auto"/>
        <w:right w:val="none" w:sz="0" w:space="0" w:color="auto"/>
      </w:divBdr>
    </w:div>
    <w:div w:id="2011054471">
      <w:bodyDiv w:val="1"/>
      <w:marLeft w:val="0"/>
      <w:marRight w:val="0"/>
      <w:marTop w:val="0"/>
      <w:marBottom w:val="0"/>
      <w:divBdr>
        <w:top w:val="none" w:sz="0" w:space="0" w:color="auto"/>
        <w:left w:val="none" w:sz="0" w:space="0" w:color="auto"/>
        <w:bottom w:val="none" w:sz="0" w:space="0" w:color="auto"/>
        <w:right w:val="none" w:sz="0" w:space="0" w:color="auto"/>
      </w:divBdr>
    </w:div>
    <w:div w:id="20617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4.bp.blogspot.com/_iiluUEluqEA/R9azs5KQbgI/AAAAAAAAAAM/iQoPv6m4Jwo/s320/%CE%B5%CE%B8%CE%BD%CE%BF%CF%83%CE%B7%CE%BC%CE%BF.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6263</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ΛΙΑΚΟΠΟΥΛΟΥ ΧΡΙΣΤΙΝΑ</dc:creator>
  <cp:lastModifiedBy>Kostats Sarris</cp:lastModifiedBy>
  <cp:revision>2</cp:revision>
  <cp:lastPrinted>2022-07-14T12:38:00Z</cp:lastPrinted>
  <dcterms:created xsi:type="dcterms:W3CDTF">2022-09-16T09:14:00Z</dcterms:created>
  <dcterms:modified xsi:type="dcterms:W3CDTF">2022-09-16T09:14:00Z</dcterms:modified>
</cp:coreProperties>
</file>