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0BE0" w14:textId="77777777" w:rsidR="00680C0B" w:rsidRDefault="00694558">
      <w:pPr>
        <w:pStyle w:val="Pagedecouverture"/>
        <w:rPr>
          <w:noProof/>
        </w:rPr>
      </w:pPr>
      <w:r>
        <w:rPr>
          <w:noProof/>
        </w:rPr>
        <w:drawing>
          <wp:inline distT="0" distB="0" distL="0" distR="0" wp14:anchorId="2A5FEC16" wp14:editId="3CF0D398">
            <wp:extent cx="5778500" cy="5405755"/>
            <wp:effectExtent l="0" t="0" r="0" b="4445"/>
            <wp:docPr id="1" name="Εικόνα 1" descr="300DC647-3B5F-4305-BE2C-ECCC3D531B6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300DC647-3B5F-4305-BE2C-ECCC3D531B6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0" cy="5405755"/>
                    </a:xfrm>
                    <a:prstGeom prst="rect">
                      <a:avLst/>
                    </a:prstGeom>
                    <a:noFill/>
                    <a:ln>
                      <a:noFill/>
                    </a:ln>
                  </pic:spPr>
                </pic:pic>
              </a:graphicData>
            </a:graphic>
          </wp:inline>
        </w:drawing>
      </w:r>
    </w:p>
    <w:p w14:paraId="56A24D97" w14:textId="77777777" w:rsidR="00680C0B" w:rsidRDefault="00680C0B">
      <w:pPr>
        <w:rPr>
          <w:noProof/>
        </w:rPr>
        <w:sectPr w:rsidR="00680C0B">
          <w:footerReference w:type="default" r:id="rId9"/>
          <w:pgSz w:w="11907" w:h="16839"/>
          <w:pgMar w:top="1134" w:right="1417" w:bottom="1134" w:left="1417" w:header="709" w:footer="709" w:gutter="0"/>
          <w:pgNumType w:start="0"/>
          <w:cols w:space="720"/>
          <w:docGrid w:linePitch="360"/>
        </w:sectPr>
      </w:pPr>
    </w:p>
    <w:p w14:paraId="2B87830E" w14:textId="77777777" w:rsidR="00680C0B" w:rsidRDefault="00A8232D">
      <w:pPr>
        <w:pStyle w:val="Exposdesmotifstitre"/>
        <w:rPr>
          <w:noProof/>
        </w:rPr>
      </w:pPr>
      <w:r>
        <w:rPr>
          <w:noProof/>
        </w:rPr>
        <w:lastRenderedPageBreak/>
        <w:t>ΑΙΤΙΟΛΟΓΙΚΗ ΕΚΘΕΣΗ</w:t>
      </w:r>
    </w:p>
    <w:p w14:paraId="08BB8AD4" w14:textId="77777777" w:rsidR="00680C0B" w:rsidRDefault="00A8232D">
      <w:pPr>
        <w:pStyle w:val="ManualHeading1"/>
        <w:rPr>
          <w:noProof/>
        </w:rPr>
      </w:pPr>
      <w:r>
        <w:rPr>
          <w:noProof/>
        </w:rPr>
        <w:t>1.</w:t>
      </w:r>
      <w:r>
        <w:rPr>
          <w:noProof/>
        </w:rPr>
        <w:tab/>
        <w:t>ΠΛΑΙΣΙΟ ΤΗΣ ΠΡΟΤΑΣΗΣ</w:t>
      </w:r>
    </w:p>
    <w:p w14:paraId="1DC99938" w14:textId="77777777" w:rsidR="00680C0B" w:rsidRDefault="00A8232D">
      <w:pPr>
        <w:pStyle w:val="ManualHeading2"/>
        <w:rPr>
          <w:rFonts w:eastAsia="Arial Unicode MS"/>
          <w:noProof/>
        </w:rPr>
      </w:pPr>
      <w:r>
        <w:rPr>
          <w:noProof/>
          <w:color w:val="000000"/>
          <w:u w:color="000000"/>
          <w:bdr w:val="nil"/>
        </w:rPr>
        <w:t>•</w:t>
      </w:r>
      <w:r>
        <w:rPr>
          <w:noProof/>
        </w:rPr>
        <w:tab/>
        <w:t>Αιτιολόγηση και στόχοι της πρότασης</w:t>
      </w:r>
    </w:p>
    <w:p w14:paraId="5A07C7A4" w14:textId="77777777" w:rsidR="00680C0B" w:rsidRDefault="00A8232D">
      <w:pPr>
        <w:pBdr>
          <w:top w:val="nil"/>
          <w:left w:val="nil"/>
          <w:bottom w:val="nil"/>
          <w:right w:val="nil"/>
          <w:between w:val="nil"/>
          <w:bar w:val="nil"/>
        </w:pBdr>
        <w:spacing w:before="0" w:after="240"/>
        <w:rPr>
          <w:rFonts w:eastAsia="Arial Unicode MS"/>
          <w:noProof/>
        </w:rPr>
      </w:pPr>
      <w:r>
        <w:rPr>
          <w:noProof/>
        </w:rPr>
        <w:t xml:space="preserve">Η οδηγία για τη δημοσιοποίηση μη χρηματοοικονομικών πληροφοριών (οδηγία 2014/95/ΕΕ, NFRD), για την τροποποίηση της </w:t>
      </w:r>
      <w:r>
        <w:rPr>
          <w:noProof/>
        </w:rPr>
        <w:t>λογιστικής οδηγίας, εκδόθηκε το 2014</w:t>
      </w:r>
      <w:r>
        <w:rPr>
          <w:rStyle w:val="FootnoteReference"/>
          <w:noProof/>
        </w:rPr>
        <w:footnoteReference w:id="2"/>
      </w:r>
      <w:r>
        <w:rPr>
          <w:noProof/>
        </w:rPr>
        <w:t xml:space="preserve">. Οι εταιρείες που εμπίπτουν στο πεδίο εφαρμογής της οδηγίας για τη δημοσιοποίηση μη χρηματοοικονομικών πληροφοριών έπρεπε να υποβάλουν για πρώτη φορά εκθέσεις σύμφωνα με τις διατάξεις της οδηγίας το 2018 (για το οικονομικό έτος 2017). </w:t>
      </w:r>
    </w:p>
    <w:p w14:paraId="7782D7A9" w14:textId="77777777" w:rsidR="00680C0B" w:rsidRDefault="00A8232D">
      <w:pPr>
        <w:rPr>
          <w:noProof/>
          <w:szCs w:val="24"/>
        </w:rPr>
      </w:pPr>
      <w:r>
        <w:rPr>
          <w:noProof/>
        </w:rPr>
        <w:t>Η οδηγία για τη δημ</w:t>
      </w:r>
      <w:r>
        <w:rPr>
          <w:noProof/>
        </w:rPr>
        <w:t>οσιοποίηση μη χρηματοοικονομικών πληροφοριών ισχύει για μεγάλες οντότητες δημόσιου συμφέροντος με μέσο αριθμό εργαζομένων άνω των 500, καθώς και για οντότητες δημόσιου συμφέροντος που είναι μητρικές επιχειρήσεις ενός μεγάλου ομίλου με μέσο αριθμό εργαζομέν</w:t>
      </w:r>
      <w:r>
        <w:rPr>
          <w:noProof/>
        </w:rPr>
        <w:t>ων άνω των 500, σε ενοποιημένη βάση</w:t>
      </w:r>
      <w:r>
        <w:rPr>
          <w:rStyle w:val="FootnoteReference"/>
          <w:noProof/>
        </w:rPr>
        <w:footnoteReference w:id="3"/>
      </w:r>
      <w:r>
        <w:rPr>
          <w:noProof/>
        </w:rPr>
        <w:t>. Η οδηγία για τη δημοσιοποίηση μη χρηματοοικονομικών πληροφοριών απαλλάσσει τις θυγατρικές επιχειρήσεις από τις υποχρεώσεις υποβολής εκθέσεων εάν η μητρική τους εταιρεία υποβάλλει εκθέσεις για το σύνολο του ομίλου, συμ</w:t>
      </w:r>
      <w:r>
        <w:rPr>
          <w:noProof/>
        </w:rPr>
        <w:t>περιλαμβανομένων των θυγατρικών. Στις απαιτήσεις υποβολής εκθέσεων της οδηγίας για τη δημοσιοποίηση μη χρηματοοικονομικών πληροφοριών υπόκεινται περίπου 11 700 εταιρείες</w:t>
      </w:r>
      <w:r>
        <w:rPr>
          <w:rStyle w:val="FootnoteReference"/>
          <w:noProof/>
        </w:rPr>
        <w:footnoteReference w:id="4"/>
      </w:r>
      <w:r>
        <w:rPr>
          <w:noProof/>
        </w:rPr>
        <w:t xml:space="preserve">. </w:t>
      </w:r>
    </w:p>
    <w:p w14:paraId="71985C9D" w14:textId="77777777" w:rsidR="00680C0B" w:rsidRDefault="00A8232D">
      <w:pPr>
        <w:pBdr>
          <w:top w:val="nil"/>
          <w:left w:val="nil"/>
          <w:bottom w:val="nil"/>
          <w:right w:val="nil"/>
          <w:between w:val="nil"/>
          <w:bar w:val="nil"/>
        </w:pBdr>
        <w:spacing w:before="0" w:after="240"/>
        <w:rPr>
          <w:rFonts w:eastAsia="Arial Unicode MS"/>
          <w:noProof/>
        </w:rPr>
      </w:pPr>
      <w:r>
        <w:rPr>
          <w:noProof/>
        </w:rPr>
        <w:t xml:space="preserve">Με την οδηγία για τη δημοσιοποίηση μη χρηματοοικονομικών πληροφοριών θεσπίστηκε η </w:t>
      </w:r>
      <w:r>
        <w:rPr>
          <w:noProof/>
        </w:rPr>
        <w:t>απαίτηση υποβολής εκθέσεων από τις εταιρείες τόσο σχετικά με τον τρόπο με τον οποίο τα ζητήματα βιωσιμότητας επηρεάζουν τις επιδόσεις τους, τη θέση και την εξέλιξή τους (προσέγγιση «από τα έξω προς τα μέσα») όσο και σχετικά με τον αντίκτυπό τους στους ανθρ</w:t>
      </w:r>
      <w:r>
        <w:rPr>
          <w:noProof/>
        </w:rPr>
        <w:t xml:space="preserve">ώπους και το περιβάλλον (προσέγγιση «από τα μέσα προς τα έξω»). Αυτή η προσέγγιση αποκαλείται συχνά προσέγγιση «διπλής σημαντικότητας».  </w:t>
      </w:r>
    </w:p>
    <w:p w14:paraId="7D25D45D" w14:textId="77777777" w:rsidR="00680C0B" w:rsidRDefault="00A8232D">
      <w:pPr>
        <w:rPr>
          <w:noProof/>
          <w:szCs w:val="24"/>
        </w:rPr>
      </w:pPr>
      <w:r>
        <w:rPr>
          <w:noProof/>
        </w:rPr>
        <w:t>Σύμφωνα με την οδηγία για τη δημοσιοποίηση μη χρηματοοικονομικών πληροφοριών, το 2017 η Επιτροπή δημοσίευσε μη δεσμευτ</w:t>
      </w:r>
      <w:r>
        <w:rPr>
          <w:noProof/>
        </w:rPr>
        <w:t>ικές κατευθυντήριες γραμμές για τις εταιρείες σχετικά με την υποβολή εκθέσεων</w:t>
      </w:r>
      <w:r>
        <w:rPr>
          <w:rStyle w:val="FootnoteReference"/>
          <w:noProof/>
        </w:rPr>
        <w:footnoteReference w:id="5"/>
      </w:r>
      <w:r>
        <w:rPr>
          <w:noProof/>
        </w:rPr>
        <w:t>. Το 2019 δημοσίευσε συμπληρωματικές κατευθυντήριες γραμμές σχετικά με την υποβολή πληροφοριών που αφορούν το κλίμα</w:t>
      </w:r>
      <w:r>
        <w:rPr>
          <w:rStyle w:val="FootnoteReference"/>
          <w:noProof/>
        </w:rPr>
        <w:footnoteReference w:id="6"/>
      </w:r>
      <w:r>
        <w:rPr>
          <w:noProof/>
        </w:rPr>
        <w:t>. Οι εν λόγω κατευθυντήριες γραμμές δεν επέφεραν επαρκείς βε</w:t>
      </w:r>
      <w:r>
        <w:rPr>
          <w:noProof/>
        </w:rPr>
        <w:t>λτιώσεις στην ποιότητα των πληροφοριών που δημοσιοποιούν οι εταιρείες σύμφωνα με την οδηγία για τη δημοσιοποίηση μη χρηματοοικονομικών πληροφοριών.</w:t>
      </w:r>
    </w:p>
    <w:p w14:paraId="2F50F231" w14:textId="77777777" w:rsidR="00680C0B" w:rsidRDefault="00A8232D">
      <w:pPr>
        <w:pBdr>
          <w:top w:val="nil"/>
          <w:left w:val="nil"/>
          <w:bottom w:val="nil"/>
          <w:right w:val="nil"/>
          <w:between w:val="nil"/>
          <w:bar w:val="nil"/>
        </w:pBdr>
        <w:spacing w:before="0" w:after="240"/>
        <w:rPr>
          <w:rFonts w:eastAsia="Arial Unicode MS"/>
          <w:noProof/>
        </w:rPr>
      </w:pPr>
      <w:r>
        <w:rPr>
          <w:noProof/>
        </w:rPr>
        <w:t>Η Ευρωπαϊκή Επιτροπή δεσμεύτηκε να προτείνει αναθεώρηση της οδηγίας για τη δημοσιοποίηση μη χρηματοοικονομικ</w:t>
      </w:r>
      <w:r>
        <w:rPr>
          <w:noProof/>
        </w:rPr>
        <w:t>ών πληροφοριών στην Ευρωπαϊκή Πράσινη Συμφωνία και στο πρόγραμμα εργασίας της για το 2020</w:t>
      </w:r>
      <w:r>
        <w:rPr>
          <w:rStyle w:val="FootnoteReference"/>
          <w:noProof/>
        </w:rPr>
        <w:footnoteReference w:id="7"/>
      </w:r>
      <w:r>
        <w:rPr>
          <w:noProof/>
        </w:rPr>
        <w:t xml:space="preserve">. Η Ευρωπαϊκή Πράσινη Συμφωνία αποσκοπεί στον μετασχηματισμό της ΕΕ σε μια οικονομία σύγχρονη, αποδοτική ως προς τη χρήση των </w:t>
      </w:r>
      <w:r>
        <w:rPr>
          <w:noProof/>
        </w:rPr>
        <w:lastRenderedPageBreak/>
        <w:t>πόρων και ανταγωνιστική, στην οποία έως</w:t>
      </w:r>
      <w:r>
        <w:rPr>
          <w:noProof/>
        </w:rPr>
        <w:t xml:space="preserve"> το 2050 θα έχουν μηδενιστεί οι καθαρές εκπομπές αερίων του θερμοκηπίου</w:t>
      </w:r>
      <w:r>
        <w:rPr>
          <w:rStyle w:val="FootnoteReference"/>
          <w:noProof/>
        </w:rPr>
        <w:footnoteReference w:id="8"/>
      </w:r>
      <w:r>
        <w:rPr>
          <w:noProof/>
        </w:rPr>
        <w:t>. Με τον τρόπο αυτόν θα αποσυνδεθεί η οικονομική ανάπτυξη από τη χρήση των πόρων και θα διασφαλιστεί ότι όλες οι περιφέρειες και οι πολίτες της ΕΕ συμμετέχουν στην κοινωνικά δίκαιη με</w:t>
      </w:r>
      <w:r>
        <w:rPr>
          <w:noProof/>
        </w:rPr>
        <w:t>τάβαση σε ένα βιώσιμο οικονομικό σύστημα. Αποσκοπεί επίσης στην προστασία, τη διατήρηση και την ενίσχυση του φυσικού κεφαλαίου της ΕΕ, καθώς και στην προστασία της υγείας και της ευημερίας των πολιτών από κινδύνους και επιπτώσεις που σχετίζονται με το περι</w:t>
      </w:r>
      <w:r>
        <w:rPr>
          <w:noProof/>
        </w:rPr>
        <w:t>βάλλον. Η αναθεώρηση της οδηγίας για τη δημοσιοποίηση μη χρηματοοικονομικών πληροφοριών θα συμβάλει στον στόχο της οικοδόμησης μιας οικονομίας στην υπηρεσία των ανθρώπων. Θα ενισχύσει την κοινωνική οικονομία της αγοράς της ΕΕ, βοηθώντας να διασφαλιστεί ότι</w:t>
      </w:r>
      <w:r>
        <w:rPr>
          <w:noProof/>
        </w:rPr>
        <w:t xml:space="preserve"> θα είναι έτοιμη για το μέλλον και ότι θα προσφέρει σταθερότητα, απασχόληση, ανάπτυξη και επενδύσεις. Οι στόχοι αυτοί είναι ιδιαίτερα σημαντικοί εάν ληφθεί υπόψη η κοινωνικοοικονομική ζημία που προκάλεσε η πανδημία COVID-19 και η ανάγκη για βιώσιμη και δίκ</w:t>
      </w:r>
      <w:r>
        <w:rPr>
          <w:noProof/>
        </w:rPr>
        <w:t>αιη ανάκαμψη χωρίς αποκλεισμούς.</w:t>
      </w:r>
    </w:p>
    <w:p w14:paraId="4F6805C3" w14:textId="77777777" w:rsidR="00680C0B" w:rsidRDefault="00A8232D">
      <w:pPr>
        <w:pBdr>
          <w:top w:val="nil"/>
          <w:left w:val="nil"/>
          <w:bottom w:val="nil"/>
          <w:right w:val="nil"/>
          <w:between w:val="nil"/>
          <w:bar w:val="nil"/>
        </w:pBdr>
        <w:spacing w:before="0" w:after="240"/>
        <w:rPr>
          <w:rFonts w:eastAsia="Arial Unicode MS"/>
          <w:noProof/>
        </w:rPr>
      </w:pPr>
      <w:r>
        <w:rPr>
          <w:noProof/>
        </w:rPr>
        <w:t>Σύμφωνα με το σχέδιο δράσης της Επιτροπής για τα βιώσιμα χρηματοοικονομικά, η ΕΕ έλαβε ορισμένα μέτρα με σκοπό να διασφαλίσει ότι ο χρηματοπιστωτικός τομέας διαδραματίζει σημαντικό ρόλο στην επίτευξη των στόχων της Ευρωπαϊκ</w:t>
      </w:r>
      <w:r>
        <w:rPr>
          <w:noProof/>
        </w:rPr>
        <w:t>ής Πράσινης Συμφωνίας</w:t>
      </w:r>
      <w:r>
        <w:rPr>
          <w:rStyle w:val="FootnoteReference"/>
          <w:noProof/>
        </w:rPr>
        <w:footnoteReference w:id="9"/>
      </w:r>
      <w:r>
        <w:rPr>
          <w:noProof/>
        </w:rPr>
        <w:t>. Η βελτίωση των δεδομένων από τις εταιρείες σχετικά τόσο με τους κινδύνους βιωσιμότητας στους οποίους εκτίθενται όσο και με τον αντίκτυπό τους στους ανθρώπους και το περιβάλλον έχει θεμελιώδη σημασία για την επιτυχή υλοποίηση της Ευ</w:t>
      </w:r>
      <w:r>
        <w:rPr>
          <w:noProof/>
        </w:rPr>
        <w:t>ρωπαϊκής Πράσινης Συμφωνίας και του σχεδίου δράσης για τα βιώσιμα χρηματοοικονομικά. Καθιστώντας τις εταιρείες πιο υπόλογες και διαφανείς όσον αφορά τον αντίκτυπό τους στους ανθρώπους και στο περιβάλλον, η παρούσα πρόταση μπορεί επίσης να συμβάλει στην ενί</w:t>
      </w:r>
      <w:r>
        <w:rPr>
          <w:noProof/>
        </w:rPr>
        <w:t>σχυση των σχέσεων μεταξύ των επιχειρήσεων και της κοινωνίας. Θα δημιουργήσει επίσης ευκαιρίες για τις εταιρείες, τους επενδυτές, την κοινωνία των πολιτών και άλλα ενδιαφερόμενα μέρη, ώστε να βελτιώσουν ριζικά τον τρόπο με τον οποίο δημοσιοποιούνται και χρη</w:t>
      </w:r>
      <w:r>
        <w:rPr>
          <w:noProof/>
        </w:rPr>
        <w:t>σιμοποιούνται οι πληροφορίες βιωσιμότητας χάρη στις ψηφιακές τεχνολογίες. Τον Δεκέμβριο του 2019 το Συμβούλιο, στα συμπεράσματά του σχετικά με την Ένωση Κεφαλαιαγορών, υπογράμμισε τη σημασία της ύπαρξης αξιόπιστων, συγκρίσιμων και συναφών πληροφοριών για τ</w:t>
      </w:r>
      <w:r>
        <w:rPr>
          <w:noProof/>
        </w:rPr>
        <w:t>ους κινδύνους, τις ευκαιρίες και τις επιπτώσεις που σχετίζονται με τη βιωσιμότητα, και κάλεσε την Επιτροπή να εξετάσει το ενδεχόμενο ανάπτυξης ενός ευρωπαϊκού προτύπου υποβολής μη χρηματοοικονομικών πληροφοριών</w:t>
      </w:r>
      <w:r>
        <w:rPr>
          <w:rStyle w:val="FootnoteReference"/>
          <w:noProof/>
        </w:rPr>
        <w:footnoteReference w:id="10"/>
      </w:r>
      <w:r>
        <w:rPr>
          <w:noProof/>
        </w:rPr>
        <w:t>.</w:t>
      </w:r>
    </w:p>
    <w:p w14:paraId="64B1DA03" w14:textId="77777777" w:rsidR="00680C0B" w:rsidRDefault="00A8232D">
      <w:pPr>
        <w:pBdr>
          <w:top w:val="nil"/>
          <w:left w:val="nil"/>
          <w:bottom w:val="nil"/>
          <w:right w:val="nil"/>
          <w:between w:val="nil"/>
          <w:bar w:val="nil"/>
        </w:pBdr>
        <w:spacing w:before="0" w:after="240"/>
        <w:rPr>
          <w:rFonts w:eastAsia="Arial Unicode MS"/>
          <w:noProof/>
        </w:rPr>
      </w:pPr>
      <w:r>
        <w:rPr>
          <w:noProof/>
        </w:rPr>
        <w:t xml:space="preserve">Τον Μάιο του 2018, το Ευρωπαϊκό </w:t>
      </w:r>
      <w:r>
        <w:rPr>
          <w:noProof/>
        </w:rPr>
        <w:t>Κοινοβούλιο, στο ψήφισμά του σχετικά με τη βιώσιμη χρηματοδότηση, ζήτησε να αναπτυχθούν περαιτέρω οι απαιτήσεις υποβολής εκθέσεων στο πλαίσιο της οδηγίας για τη δημοσιοποίηση μη χρηματοοικονομικών πληροφοριών (NFRD)</w:t>
      </w:r>
      <w:r>
        <w:rPr>
          <w:rStyle w:val="FootnoteReference"/>
          <w:noProof/>
        </w:rPr>
        <w:footnoteReference w:id="11"/>
      </w:r>
      <w:r>
        <w:rPr>
          <w:noProof/>
        </w:rPr>
        <w:t>. Τον Δεκέμβριο του 2020, στο ψήφισμά τ</w:t>
      </w:r>
      <w:r>
        <w:rPr>
          <w:noProof/>
        </w:rPr>
        <w:t>ου σχετικά με τη βιώσιμη εταιρική διακυβέρνηση, χαιρέτισε τη δέσμευση της Επιτροπής να επανεξετάσει την οδηγία για τη δημοσιοποίηση μη χρηματοοικονομικών πληροφοριών, απηύθυνε έκκληση να επεκταθεί το πεδίο εφαρμογής της σε πρόσθετες κατηγορίες εταιρειών κα</w:t>
      </w:r>
      <w:r>
        <w:rPr>
          <w:noProof/>
        </w:rPr>
        <w:t xml:space="preserve">ι εξέφρασε την ικανοποίησή του για τη δέσμευση της Επιτροπής να αναπτύξει πρότυπα της ΕΕ για την υποβολή μη χρηματοοικονομικών </w:t>
      </w:r>
      <w:r>
        <w:rPr>
          <w:noProof/>
        </w:rPr>
        <w:lastRenderedPageBreak/>
        <w:t>πληροφοριών</w:t>
      </w:r>
      <w:r>
        <w:rPr>
          <w:rStyle w:val="FootnoteReference"/>
          <w:noProof/>
        </w:rPr>
        <w:footnoteReference w:id="12"/>
      </w:r>
      <w:r>
        <w:rPr>
          <w:noProof/>
        </w:rPr>
        <w:t>. Το Ευρωπαϊκό Κοινοβούλιο θεώρησε επίσης ότι οι μη χρηματοοικονομικές πληροφορίες που δημοσιεύονται από εταιρείες δ</w:t>
      </w:r>
      <w:r>
        <w:rPr>
          <w:noProof/>
        </w:rPr>
        <w:t xml:space="preserve">υνάμει της οδηγίας για τη δημοσιοποίηση μη χρηματοοικονομικών πληροφοριών θα πρέπει να υπόκεινται σε υποχρεωτικό λογιστικό έλεγχο. </w:t>
      </w:r>
    </w:p>
    <w:p w14:paraId="16058C92" w14:textId="77777777" w:rsidR="00680C0B" w:rsidRDefault="00A8232D">
      <w:pPr>
        <w:pBdr>
          <w:top w:val="nil"/>
          <w:left w:val="nil"/>
          <w:bottom w:val="nil"/>
          <w:right w:val="nil"/>
          <w:between w:val="nil"/>
          <w:bar w:val="nil"/>
        </w:pBdr>
        <w:spacing w:before="0" w:after="240"/>
        <w:rPr>
          <w:rFonts w:eastAsia="Arial Unicode MS"/>
          <w:noProof/>
        </w:rPr>
      </w:pPr>
      <w:r>
        <w:rPr>
          <w:noProof/>
        </w:rPr>
        <w:t xml:space="preserve">Οι κύριοι χρήστες των πληροφοριών βιωσιμότητας που δημοσιοποιούνται στις ετήσιες εκθέσεις των εταιρειών είναι επενδυτές και </w:t>
      </w:r>
      <w:r>
        <w:rPr>
          <w:noProof/>
        </w:rPr>
        <w:t>μη κυβερνητικές οργανώσεις, κοινωνικοί εταίροι και λοιπά ενδιαφερόμενα μέρη. Οι επενδυτές, συμπεριλαμβανομένων των διαχειριστών περιουσιακών στοιχείων, επιθυμούν να κατανοήσουν καλύτερα τους κινδύνους και τις ευκαιρίες που προκύπτουν, τα ζητήματα βιωσιμότη</w:t>
      </w:r>
      <w:r>
        <w:rPr>
          <w:noProof/>
        </w:rPr>
        <w:t>τας για τις επενδύσεις τους, καθώς και τον αντίκτυπο αυτών των επενδύσεων στους ανθρώπους και το περιβάλλον. Οι μη κυβερνητικές οργανώσεις, οι κοινωνικοί εταίροι και τα λοιπά ενδιαφερόμενα μέρη επιθυμούν μεγαλύτερη λογοδοσία από τις επιχειρήσεις όσον αφορά</w:t>
      </w:r>
      <w:r>
        <w:rPr>
          <w:noProof/>
        </w:rPr>
        <w:t xml:space="preserve"> τον αντίκτυπο των δραστηριοτήτων τους στους ανθρώπους και το περιβάλλον.</w:t>
      </w:r>
    </w:p>
    <w:p w14:paraId="6DEE6A98" w14:textId="77777777" w:rsidR="00680C0B" w:rsidRDefault="00A8232D">
      <w:pPr>
        <w:pBdr>
          <w:top w:val="nil"/>
          <w:left w:val="nil"/>
          <w:bottom w:val="nil"/>
          <w:right w:val="nil"/>
          <w:between w:val="nil"/>
          <w:bar w:val="nil"/>
        </w:pBdr>
        <w:spacing w:before="0" w:after="240"/>
        <w:rPr>
          <w:rFonts w:eastAsia="Arial Unicode MS"/>
          <w:noProof/>
        </w:rPr>
      </w:pPr>
      <w:r>
        <w:rPr>
          <w:noProof/>
        </w:rPr>
        <w:t>Το ισχύον νομικό πλαίσιο δεν διασφαλίζει την κάλυψη των αναγκών πληροφόρησης των εν λόγω χρηστών. Αυτό οφείλεται στο γεγονός ότι ορισμένες εταιρείες από τις οποίες οι χρήστες επιθυμο</w:t>
      </w:r>
      <w:r>
        <w:rPr>
          <w:noProof/>
        </w:rPr>
        <w:t>ύν πληροφορίες βιωσιμότητας δεν δημοσιεύουν τέτοιες πληροφορίες, ενώ πολλές από τις εταιρείες που δημοσιεύουν πληροφορίες βιωσιμότητας δεν δημοσιεύουν όλες τις πληροφορίες που έχουν σημασία για τους χρήστες. Όταν υποβάλλονται πληροφορίες, συχνά δεν είναι ε</w:t>
      </w:r>
      <w:r>
        <w:rPr>
          <w:noProof/>
        </w:rPr>
        <w:t>παρκώς αξιόπιστες ούτε επαρκώς συγκρίσιμες μεταξύ των εταιρειών. Συχνά οι πληροφορίες είναι δύσκολο να εντοπιστούν από τους χρήστες και σπανίως είναι διαθέσιμες σε μια μηχαναναγνώσιμη ψηφιακή μορφή. Η υποβολή πληροφοριών σχετικά με τα άυλα στοιχεία ενεργητ</w:t>
      </w:r>
      <w:r>
        <w:rPr>
          <w:noProof/>
        </w:rPr>
        <w:t>ικού, συμπεριλαμβανομένων των άυλων στοιχείων ενεργητικού που δημιουργούνται εσωτερικά, είναι ανεπαρκής, παρότι τα εν λόγω άυλα στοιχεία αντιπροσωπεύουν την πλειονότητα των επενδύσεων του ιδιωτικού τομέα σε προηγμένες οικονομίες (π.χ. ανθρώπινο κεφάλαιο, ε</w:t>
      </w:r>
      <w:r>
        <w:rPr>
          <w:noProof/>
        </w:rPr>
        <w:t xml:space="preserve">μπορικό σήμα και διανοητική ιδιοκτησία και άυλα στοιχεία ενεργητικού που σχετίζονται με την έρευνα και την ανάπτυξη). </w:t>
      </w:r>
    </w:p>
    <w:p w14:paraId="6E7C33D7" w14:textId="77777777" w:rsidR="00680C0B" w:rsidRDefault="00A8232D">
      <w:pPr>
        <w:pBdr>
          <w:top w:val="nil"/>
          <w:left w:val="nil"/>
          <w:bottom w:val="nil"/>
          <w:right w:val="nil"/>
          <w:between w:val="nil"/>
          <w:bar w:val="nil"/>
        </w:pBdr>
        <w:spacing w:before="0" w:after="240"/>
        <w:rPr>
          <w:rFonts w:eastAsia="Arial Unicode MS"/>
          <w:noProof/>
        </w:rPr>
      </w:pPr>
      <w:r>
        <w:rPr>
          <w:noProof/>
        </w:rPr>
        <w:t>Οι ανάγκες πληροφόρησης των χρηστών έχουν αυξηθεί σημαντικά τα τελευταία έτη και είναι σχεδόν βέβαιο ότι θα συνεχίσουν να αυξάνονται. Αυτ</w:t>
      </w:r>
      <w:r>
        <w:rPr>
          <w:noProof/>
        </w:rPr>
        <w:t>ό οφείλεται σε πολλούς λόγους. Ένας λόγος είναι η αυξανόμενη συνειδητοποίηση των επενδυτών ότι τα ζητήματα βιωσιμότητας μπορούν να θέσουν σε κίνδυνο τις οικονομικές επιδόσεις των εταιρειών. Ένας άλλος λόγος είναι η αναπτυσσόμενη αγορά επενδυτικών προϊόντων</w:t>
      </w:r>
      <w:r>
        <w:rPr>
          <w:noProof/>
        </w:rPr>
        <w:t xml:space="preserve"> που επιδιώκουν ρητά τη συμμόρφωση με ορισμένα πρότυπα βιωσιμότητας ή την επίτευξη ορισμένων στόχων βιωσιμότητας. Άλλος ένας λόγος είναι οι κανονιστικές ρυθμίσεις, συμπεριλαμβανομένου του κανονισμού περί γνωστοποιήσεων αειφορίας στον τομέα των χρηματοπιστω</w:t>
      </w:r>
      <w:r>
        <w:rPr>
          <w:noProof/>
        </w:rPr>
        <w:t>τικών υπηρεσιών και του κανονισμού για την ταξινόμηση. Ως αποτέλεσμα των δύο αυτών κανονισμών, οι διαχειριστές περιουσιακών στοιχείων και οι χρηματοοικονομικοί σύμβουλοι χρειάζονται περισσότερες πληροφορίες βιωσιμότητας από τις εταιρείες στις οποίες γίνοντ</w:t>
      </w:r>
      <w:r>
        <w:rPr>
          <w:noProof/>
        </w:rPr>
        <w:t>αι επενδύσεις</w:t>
      </w:r>
      <w:r>
        <w:rPr>
          <w:rStyle w:val="FootnoteReference"/>
          <w:noProof/>
        </w:rPr>
        <w:footnoteReference w:id="13"/>
      </w:r>
      <w:r>
        <w:rPr>
          <w:noProof/>
        </w:rPr>
        <w:t xml:space="preserve">. Τέλος, η πανδημία COVID-19 είναι πιθανό να επιταχύνει περαιτέρω την αύξηση της ζήτησης πληροφοριών βιωσιμότητας από τις εταιρείες, για παράδειγμα όσον αφορά την ευπάθεια των εργαζομένων και την ανθεκτικότητα των αλυσίδων εφοδιασμού. </w:t>
      </w:r>
    </w:p>
    <w:p w14:paraId="2DDDAB3A" w14:textId="77777777" w:rsidR="00680C0B" w:rsidRDefault="00A8232D">
      <w:pPr>
        <w:pBdr>
          <w:top w:val="nil"/>
          <w:left w:val="nil"/>
          <w:bottom w:val="nil"/>
          <w:right w:val="nil"/>
          <w:between w:val="nil"/>
          <w:bar w:val="nil"/>
        </w:pBdr>
        <w:spacing w:before="0" w:after="240"/>
        <w:rPr>
          <w:rFonts w:eastAsia="Arial Unicode MS"/>
          <w:noProof/>
        </w:rPr>
      </w:pPr>
      <w:r>
        <w:rPr>
          <w:noProof/>
        </w:rPr>
        <w:t>Συνεπ</w:t>
      </w:r>
      <w:r>
        <w:rPr>
          <w:noProof/>
        </w:rPr>
        <w:t>ώς, διευρύνεται το χάσμα που υπάρχει μεταξύ της υποβολής πληροφοριών βιωσιμότητας από τις εταιρείες και των αναγκών των χρηστών για τους οποίους προορίζονται οι εν λόγω πληροφορίες. Αφενός, αυτό σημαίνει ότι οι επενδυτές δεν έχουν τη δυνατότητα να λαμβάνου</w:t>
      </w:r>
      <w:r>
        <w:rPr>
          <w:noProof/>
        </w:rPr>
        <w:t xml:space="preserve">ν επαρκώς υπόψη τους κινδύνους που συνδέονται με τη βιωσιμότητα στις επενδυτικές αποφάσεις </w:t>
      </w:r>
      <w:r>
        <w:rPr>
          <w:noProof/>
        </w:rPr>
        <w:lastRenderedPageBreak/>
        <w:t>τους. Τούτο μπορεί με τη σειρά του να δημιουργήσει συστημικούς κινδύνους που απειλούν τη χρηματοπιστωτική σταθερότητα. Αφετέρου, το χάσμα αυτό σημαίνει ότι οι επενδυ</w:t>
      </w:r>
      <w:r>
        <w:rPr>
          <w:noProof/>
        </w:rPr>
        <w:t xml:space="preserve">τές δεν μπορούν να διοχετεύσουν χρηματοοικονομικούς πόρους σε εταιρείες με βιώσιμα επιχειρηματικά μοντέλα και δραστηριότητες. Αυτό με τη σειρά του υπονομεύει την επίτευξη των στόχων της Ευρωπαϊκής Πράσινης Συμφωνίας. Επιπλέον, περιορίζει την ικανότητα των </w:t>
      </w:r>
      <w:r>
        <w:rPr>
          <w:noProof/>
        </w:rPr>
        <w:t>ενδιαφερόμενων μερών να καθιστούν τις επιχειρήσεις υπόλογες για τον αντίκτυπο που έχουν στους ανθρώπους και το περιβάλλον, δημιουργώντας έλλειμμα λογοδοσίας το οποίο μπορεί να υπονομεύσει την αποτελεσματική λειτουργία της κοινωνικής οικονομίας της αγοράς.</w:t>
      </w:r>
    </w:p>
    <w:p w14:paraId="2BFEAE1B" w14:textId="77777777" w:rsidR="00680C0B" w:rsidRDefault="00A8232D">
      <w:pPr>
        <w:pBdr>
          <w:top w:val="nil"/>
          <w:left w:val="nil"/>
          <w:bottom w:val="nil"/>
          <w:right w:val="nil"/>
          <w:between w:val="nil"/>
          <w:bar w:val="nil"/>
        </w:pBdr>
        <w:spacing w:before="0" w:after="240"/>
        <w:rPr>
          <w:rFonts w:eastAsia="Arial Unicode MS"/>
          <w:noProof/>
        </w:rPr>
      </w:pPr>
      <w:r>
        <w:rPr>
          <w:noProof/>
        </w:rPr>
        <w:t>Η υφιστάμενη κατάσταση είναι επίσης προβληματική για τις εταιρείες που πρέπει να υποβάλλουν στοιχεία. Η έλλειψη ακρίβειας στις ισχύουσες απαιτήσεις, καθώς και ο μεγάλος αριθμός των υφιστάμενων ιδιωτικών προτύπων και πλαισίων, δυσκολεύουν τις εταιρείες να γ</w:t>
      </w:r>
      <w:r>
        <w:rPr>
          <w:noProof/>
        </w:rPr>
        <w:t>νωρίζουν ακριβώς ποιες πληροφορίες θα πρέπει να υποβάλλουν. Συχνά αντιμετωπίζουν δυσκολίες όσον αφορά την απόκτηση των πληροφοριών που χρειάζονται οι ίδιες από τους προμηθευτές, τους πελάτες και τις εταιρείες στις οποίες γίνονται επενδύσεις. Πολλές εταιρεί</w:t>
      </w:r>
      <w:r>
        <w:rPr>
          <w:noProof/>
        </w:rPr>
        <w:t xml:space="preserve">ες λαμβάνουν από ενδιαφερόμενα μέρη αιτήματα παροχής πληροφοριών βιωσιμότητας, επιπλέον των πληροφοριών που υποβάλλουν για τη συμμόρφωσή τους με τις ισχύουσες νομικές απαιτήσεις. Όλα αυτά δημιουργούν περιττές επιχειρηματικές δαπάνες. </w:t>
      </w:r>
    </w:p>
    <w:p w14:paraId="646A1A12" w14:textId="77777777" w:rsidR="00680C0B" w:rsidRDefault="00A8232D">
      <w:pPr>
        <w:pBdr>
          <w:top w:val="nil"/>
          <w:left w:val="nil"/>
          <w:bottom w:val="nil"/>
          <w:right w:val="nil"/>
          <w:between w:val="nil"/>
          <w:bar w:val="nil"/>
        </w:pBdr>
        <w:spacing w:before="0" w:after="240"/>
        <w:rPr>
          <w:rFonts w:eastAsia="Arial Unicode MS"/>
          <w:noProof/>
        </w:rPr>
      </w:pPr>
      <w:r>
        <w:rPr>
          <w:noProof/>
        </w:rPr>
        <w:t>Κατά συνέπεια, στόχος</w:t>
      </w:r>
      <w:r>
        <w:rPr>
          <w:noProof/>
        </w:rPr>
        <w:t xml:space="preserve"> της παρούσας πρότασης είναι η βελτίωση της υποβολής εκθέσεων βιωσιμότητας με το μικρότερο δυνατό κόστος, ώστε να αξιοποιηθεί καλύτερα η δυνατότητα της ευρωπαϊκής ενιαίας αγοράς να συμβάλει στη μετάβαση προς ένα πλήρως βιώσιμο και χωρίς αποκλεισμούς οικονο</w:t>
      </w:r>
      <w:r>
        <w:rPr>
          <w:noProof/>
        </w:rPr>
        <w:t xml:space="preserve">μικό και χρηματοπιστωτικό σύστημα σύμφωνα με την Ευρωπαϊκή Πράσινη Συμφωνία και τους στόχους βιώσιμης ανάπτυξης των Ηνωμένων Εθνών. </w:t>
      </w:r>
    </w:p>
    <w:p w14:paraId="557723B1" w14:textId="77777777" w:rsidR="00680C0B" w:rsidRDefault="00A8232D">
      <w:pPr>
        <w:pBdr>
          <w:top w:val="nil"/>
          <w:left w:val="nil"/>
          <w:bottom w:val="nil"/>
          <w:right w:val="nil"/>
          <w:between w:val="nil"/>
          <w:bar w:val="nil"/>
        </w:pBdr>
        <w:spacing w:before="0" w:after="240"/>
        <w:rPr>
          <w:rFonts w:eastAsia="Arial Unicode MS"/>
          <w:noProof/>
        </w:rPr>
      </w:pPr>
      <w:r>
        <w:rPr>
          <w:noProof/>
        </w:rPr>
        <w:t>Στόχος της πρότασης είναι να διασφαλιστεί επαρκές επίπεδο δημοσιοποίησης των πληροφοριών σχετικά με τους κινδύνους που συνε</w:t>
      </w:r>
      <w:r>
        <w:rPr>
          <w:noProof/>
        </w:rPr>
        <w:t>πάγονται για τις εταιρείες τα ζητήματα βιωσιμότητας, καθώς και σχετικά με τον αντίκτυπο των ίδιων των εταιρειών στους ανθρώπους και το περιβάλλον. Αυτό σημαίνει ότι οι εταιρείες από τις οποίες οι χρήστες χρειάζονται πληροφορίες βιωσιμότητας θα πρέπει να υπ</w:t>
      </w:r>
      <w:r>
        <w:rPr>
          <w:noProof/>
        </w:rPr>
        <w:t xml:space="preserve">οβάλλουν τις εν λόγω πληροφορίες και ότι οι εταιρείες θα πρέπει να υποβάλλουν όλες τις πληροφορίες τις οποίες θεωρούν συναφείς οι χρήστες. Οι πληροφορίες που υποβάλλονται θα πρέπει να είναι συγκρίσιμες, αξιόπιστες και να μπορούν να εντοπίζονται εύκολα από </w:t>
      </w:r>
      <w:r>
        <w:rPr>
          <w:noProof/>
        </w:rPr>
        <w:t>τους χρήστες και να χρησιμοποιούνται με ψηφιακές τεχνολογίες. Κάτι τέτοιο συνεπάγεται αλλαγή της κατάστασης των πληροφοριών βιωσιμότητας, ώστε να αποκτήσουν μεγαλύτερη συγκρισιμότητα σε σχέση με τις χρηματοοικονομικές πληροφορίες.</w:t>
      </w:r>
    </w:p>
    <w:p w14:paraId="56A12081" w14:textId="77777777" w:rsidR="00680C0B" w:rsidRDefault="00A8232D">
      <w:pPr>
        <w:pBdr>
          <w:top w:val="nil"/>
          <w:left w:val="nil"/>
          <w:bottom w:val="nil"/>
          <w:right w:val="nil"/>
          <w:between w:val="nil"/>
          <w:bar w:val="nil"/>
        </w:pBdr>
        <w:spacing w:before="0" w:after="240"/>
        <w:rPr>
          <w:rFonts w:eastAsia="Arial Unicode MS"/>
          <w:noProof/>
        </w:rPr>
      </w:pPr>
      <w:r>
        <w:rPr>
          <w:noProof/>
        </w:rPr>
        <w:t>Η πρόταση αναμένεται να σ</w:t>
      </w:r>
      <w:r>
        <w:rPr>
          <w:noProof/>
        </w:rPr>
        <w:t>υμβάλει στη μείωση των συστημικών κινδύνων για την οικονομία. Θα βελτιώσει επίσης την κατανομή χρηματοοικονομικών κεφαλαίων σε εταιρείες και δραστηριότητες που αντιμετωπίζουν κοινωνικά, υγειονομικά και περιβαλλοντικά προβλήματα. Τέλος, θα καταστήσει τις επ</w:t>
      </w:r>
      <w:r>
        <w:rPr>
          <w:noProof/>
        </w:rPr>
        <w:t>ιχειρήσεις πιο υπόλογες για τις επιπτώσεις τους στους ανθρώπους και το περιβάλλον, οικοδομώντας με αυτόν τον τρόπο την εμπιστοσύνη μεταξύ αυτών και της κοινωνίας.</w:t>
      </w:r>
    </w:p>
    <w:p w14:paraId="7E68E195" w14:textId="77777777" w:rsidR="00680C0B" w:rsidRDefault="00A8232D">
      <w:pPr>
        <w:pBdr>
          <w:top w:val="nil"/>
          <w:left w:val="nil"/>
          <w:bottom w:val="nil"/>
          <w:right w:val="nil"/>
          <w:between w:val="nil"/>
          <w:bar w:val="nil"/>
        </w:pBdr>
        <w:spacing w:before="0" w:after="240"/>
        <w:rPr>
          <w:rFonts w:eastAsia="Arial Unicode MS"/>
          <w:noProof/>
        </w:rPr>
      </w:pPr>
      <w:r>
        <w:rPr>
          <w:noProof/>
        </w:rPr>
        <w:t>Στόχος της πρότασης είναι να μειώσει τις περιττές δαπάνες των επιχειρήσεων όσον αφορά την υπο</w:t>
      </w:r>
      <w:r>
        <w:rPr>
          <w:noProof/>
        </w:rPr>
        <w:t xml:space="preserve">βολή εκθέσεων βιωσιμότητας και να τους παράσχει τη δυνατότητα να ανταποκρίνονται αποτελεσματικά στην αυξανόμενη ζήτηση για πληροφορίες βιωσιμότητας. Θα επιφέρει σαφήνεια και βεβαιότητα όσον αφορά τις πληροφορίες βιωσιμότητας που πρέπει να υποβάλλονται και </w:t>
      </w:r>
      <w:r>
        <w:rPr>
          <w:noProof/>
        </w:rPr>
        <w:t xml:space="preserve">θα διευκολύνει τις εργασίες των συντακτών για την απόκτηση των πληροφοριών που χρειάζονται για τους σκοπούς της υποβολής εκθέσεων από τους επιχειρηματικούς εταίρους τους (προμηθευτές, πελάτες και εταιρείες στις οποίες γίνονται </w:t>
      </w:r>
      <w:r>
        <w:rPr>
          <w:noProof/>
        </w:rPr>
        <w:lastRenderedPageBreak/>
        <w:t>επενδύσεις). Θα πρέπει επίσης</w:t>
      </w:r>
      <w:r>
        <w:rPr>
          <w:noProof/>
        </w:rPr>
        <w:t xml:space="preserve"> να μειώσει τον αριθμό των αιτημάτων που λαμβάνουν οι εταιρείες για την παροχή πληροφοριών βιωσιμότητας, επιπλέον των πληροφοριών που δημοσιεύουν στις ετήσιες εκθέσεις τους. </w:t>
      </w:r>
    </w:p>
    <w:p w14:paraId="18A3007A" w14:textId="77777777" w:rsidR="00680C0B" w:rsidRDefault="00A8232D">
      <w:pPr>
        <w:pBdr>
          <w:top w:val="nil"/>
          <w:left w:val="nil"/>
          <w:bottom w:val="nil"/>
          <w:right w:val="nil"/>
          <w:between w:val="nil"/>
          <w:bar w:val="nil"/>
        </w:pBdr>
        <w:spacing w:before="0" w:after="240"/>
        <w:rPr>
          <w:rFonts w:eastAsia="Arial Unicode MS"/>
          <w:noProof/>
        </w:rPr>
      </w:pPr>
      <w:r>
        <w:rPr>
          <w:noProof/>
        </w:rPr>
        <w:t xml:space="preserve">Σε διεθνές επίπεδο έχουν αναληφθεί διάφορες σημαντικές πρωτοβουλίες. Στόχος τους </w:t>
      </w:r>
      <w:r>
        <w:rPr>
          <w:noProof/>
        </w:rPr>
        <w:t xml:space="preserve">είναι να συμβάλουν στην επίτευξη παγκόσμιας σύγκλισης και εναρμόνισης των προτύπων για την υποβολή εκθέσεων βιωσιμότητας. Η ΕΕ υποστηρίζει πλήρως αυτόν τον φιλόδοξο στόχο. Οι εταιρείες και οι επενδυτές της ΕΕ που δραστηριοποιούνται σε παγκόσμιο επίπεδο θα </w:t>
      </w:r>
      <w:r>
        <w:rPr>
          <w:noProof/>
        </w:rPr>
        <w:t xml:space="preserve">επωφεληθούν από την εν λόγω σύγκλιση και εναρμόνιση. Η Επιτροπή στηρίζει πρωτοβουλίες της G20, της G7, του Συμβουλίου Χρηματοπιστωτικής Σταθερότητας και άλλων φορέων για την εξασφάλιση διεθνούς δέσμευσης όσον αφορά την ανάπτυξη βασικών παγκόσμιων προτύπων </w:t>
      </w:r>
      <w:r>
        <w:rPr>
          <w:noProof/>
        </w:rPr>
        <w:t>υποβολής εκθέσεων βιωσιμότητας, τα οποία θα βασίζονται στις εργασίες της ειδικής ομάδας για τη δημοσιοποίηση χρηματοοικονομικών πληροφοριών σχετικών με το κλίμα. Οι προτάσεις του Ιδρύματος Διεθνών Προτύπων Χρηματοοικονομικής Αναφοράς σχετικά με τη δημιουργ</w:t>
      </w:r>
      <w:r>
        <w:rPr>
          <w:noProof/>
        </w:rPr>
        <w:t>ία νέου συμβουλίου προτύπων βιωσιμότητας έχουν ιδιαίτερη σημασία στο πλαίσιο αυτό, όπως και οι εργασίες που έχουν ήδη πραγματοποιηθεί από καθιερωμένες πρωτοβουλίες, συμπεριλαμβανομένης της πρωτοβουλίας για την υποβολή εκθέσεων απολογισμού σε παγκόσμιο επίπ</w:t>
      </w:r>
      <w:r>
        <w:rPr>
          <w:noProof/>
        </w:rPr>
        <w:t>εδο (Global Reporting Initiative, GRI), του οργανισμού λογιστικών προτύπων για τη βιωσιμότητα (Sustainability Accounting Standards Board, SASB), του διεθνούς συμβουλίου ενοποιημένης πληροφόρησης (International Integrated Reporting Council, IIRC), του συμβο</w:t>
      </w:r>
      <w:r>
        <w:rPr>
          <w:noProof/>
        </w:rPr>
        <w:t>υλίου προτύπων για τη δημοσιοποίηση στοιχείων για το κλίμα (Climate Disclosure Standards Board, CDSB) και του CDP (πρώην Carbon Disclosure Project). Η παρούσα πρόταση έχει ως στόχο να αξιοποιήσει και να συνεισφέρει στις διεθνείς πρωτοβουλίες υποβολής εκθέσ</w:t>
      </w:r>
      <w:r>
        <w:rPr>
          <w:noProof/>
        </w:rPr>
        <w:t>εων βιωσιμότητας. Τα πρότυπα της ΕΕ για την υποβολή εκθέσεων βιωσιμότητας θα πρέπει να αναπτυχθούν με την εποικοδομητική αμφίδρομη συνεργασία με κορυφαίες διεθνείς πρωτοβουλίες και θα πρέπει να εναρμονίζονται με τις πρωτοβουλίες αυτές στο μέτρο του δυνατού</w:t>
      </w:r>
      <w:r>
        <w:rPr>
          <w:noProof/>
        </w:rPr>
        <w:t>, λαμβανομένων υπόψη των ιδιαίτερων ευρωπαϊκών χαρακτηριστικών.</w:t>
      </w:r>
    </w:p>
    <w:p w14:paraId="4055F8CD" w14:textId="77777777" w:rsidR="00680C0B" w:rsidRDefault="00A8232D">
      <w:pPr>
        <w:pBdr>
          <w:top w:val="nil"/>
          <w:left w:val="nil"/>
          <w:bottom w:val="nil"/>
          <w:right w:val="nil"/>
          <w:between w:val="nil"/>
          <w:bar w:val="nil"/>
        </w:pBdr>
        <w:spacing w:before="0" w:after="240"/>
        <w:rPr>
          <w:rFonts w:eastAsia="Arial Unicode MS"/>
          <w:noProof/>
        </w:rPr>
      </w:pPr>
      <w:r>
        <w:rPr>
          <w:noProof/>
        </w:rPr>
        <w:t>Η παρούσα πρόταση συνίσταται σε μία οδηγία η οποία θα τροποποιήσει τέσσερις υφιστάμενες νομοθετικές πράξεις. Καταρχάς, θα τροποποιήσει τη λογιστική οδηγία με την αναθεώρηση ορισμένων υφιστάμεν</w:t>
      </w:r>
      <w:r>
        <w:rPr>
          <w:noProof/>
        </w:rPr>
        <w:t>ων διατάξεων και την προσθήκη ορισμένων νέων διατάξεων σχετικά με την υποβολή εκθέσεων βιωσιμότητας. Επιπλέον, θα τροποποιήσει την οδηγία για τους ελέγχους και τον κανονισμό για τους ελέγχους, ώστε να καλύπτεται ο έλεγχος των πληροφοριών βιωσιμότητας. Τέλο</w:t>
      </w:r>
      <w:r>
        <w:rPr>
          <w:noProof/>
        </w:rPr>
        <w:t>ς, θα τροποποιήσει την οδηγία για τη διαφάνεια με σκοπό να επεκταθεί το πεδίο εφαρμογής των απαιτήσεων υποβολής εκθέσεων βιωσιμότητας σε εταιρείες με τίτλους εισηγμένους σε ρυθμιζόμενες αγορές και να αποσαφηνιστεί το καθεστώς εποπτείας της υποβολής εκθέσεω</w:t>
      </w:r>
      <w:r>
        <w:rPr>
          <w:noProof/>
        </w:rPr>
        <w:t xml:space="preserve">ν βιωσιμότητας από τις εν λόγω εταιρείες. </w:t>
      </w:r>
    </w:p>
    <w:p w14:paraId="3D3697F4" w14:textId="77777777" w:rsidR="00680C0B" w:rsidRDefault="00A8232D">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14:paraId="7270506B" w14:textId="77777777" w:rsidR="00680C0B" w:rsidRDefault="00A8232D">
      <w:pPr>
        <w:pBdr>
          <w:top w:val="nil"/>
          <w:left w:val="nil"/>
          <w:bottom w:val="nil"/>
          <w:right w:val="nil"/>
          <w:between w:val="nil"/>
          <w:bar w:val="nil"/>
        </w:pBdr>
        <w:spacing w:before="0" w:after="240"/>
        <w:rPr>
          <w:noProof/>
          <w:szCs w:val="24"/>
        </w:rPr>
      </w:pPr>
      <w:r>
        <w:rPr>
          <w:noProof/>
        </w:rPr>
        <w:t>Η οδηγία για τη δημοσιοποίηση μη χρηματοοικονομικών πληροφοριών, σε συνδυασμό με τον κανονισμό περί γνωστοποιήσεων αειφορίας στον τομέα των χρηματοπιστωτι</w:t>
      </w:r>
      <w:r>
        <w:rPr>
          <w:noProof/>
        </w:rPr>
        <w:t>κών υπηρεσιών και τον κανονισμό για την ταξινόμηση, αποτελούν τις κεντρικές συνιστώσες των απαιτήσεων υποβολής εκθέσεων βιωσιμότητας στις οποίες βασίζεται η στρατηγική της ΕΕ για τη βιώσιμη χρηματοδότηση. Σκοπός του εν λόγω νομικού πλαισίου είναι η δημιουρ</w:t>
      </w:r>
      <w:r>
        <w:rPr>
          <w:noProof/>
        </w:rPr>
        <w:t>γία συνεπούς και συνεκτικής ροής πληροφοριών βιωσιμότητας σε ολόκληρη την χρηματοοικονομική αλυσίδα αξίας.</w:t>
      </w:r>
    </w:p>
    <w:p w14:paraId="59C9FE79" w14:textId="77777777" w:rsidR="00680C0B" w:rsidRDefault="00A8232D">
      <w:pPr>
        <w:pBdr>
          <w:top w:val="nil"/>
          <w:left w:val="nil"/>
          <w:bottom w:val="nil"/>
          <w:right w:val="nil"/>
          <w:between w:val="nil"/>
          <w:bar w:val="nil"/>
        </w:pBdr>
        <w:spacing w:before="0" w:after="240"/>
        <w:rPr>
          <w:rFonts w:eastAsia="Arial Unicode MS"/>
          <w:noProof/>
        </w:rPr>
      </w:pPr>
      <w:r>
        <w:rPr>
          <w:noProof/>
        </w:rPr>
        <w:t>Η παρούσα πρόταση αξιοποιεί και αναθεωρεί τις απαιτήσεις υποβολής εκθέσεων βιωσιμότητας που καθορίζονται στην οδηγία για τη δημοσιοποίηση μη χρηματοο</w:t>
      </w:r>
      <w:r>
        <w:rPr>
          <w:noProof/>
        </w:rPr>
        <w:t xml:space="preserve">ικονομικών πληροφοριών, ώστε οι απαιτήσεις υποβολής εκθέσεων βιωσιμότητας να καταστούν πιο συνεκτικές με το ευρύτερο νομικό πλαίσιο των βιώσιμων χρηματοοικονομικών, συμπεριλαμβανομένου του </w:t>
      </w:r>
      <w:r>
        <w:rPr>
          <w:noProof/>
        </w:rPr>
        <w:lastRenderedPageBreak/>
        <w:t>κανονισμού περί γνωστοποιήσεων αειφορίας στον τομέα των χρηματοπιστ</w:t>
      </w:r>
      <w:r>
        <w:rPr>
          <w:noProof/>
        </w:rPr>
        <w:t xml:space="preserve">ωτικών υπηρεσιών και του κανονισμού για την ταξινόμηση, και να εναρμονιστούν με τους στόχους της Ευρωπαϊκής Πράσινης Συμφωνίας. </w:t>
      </w:r>
    </w:p>
    <w:p w14:paraId="35344D7C" w14:textId="77777777" w:rsidR="00680C0B" w:rsidRDefault="00A8232D">
      <w:pPr>
        <w:pBdr>
          <w:top w:val="nil"/>
          <w:left w:val="nil"/>
          <w:bottom w:val="nil"/>
          <w:right w:val="nil"/>
          <w:between w:val="nil"/>
          <w:bar w:val="nil"/>
        </w:pBdr>
        <w:spacing w:before="0" w:after="240"/>
        <w:rPr>
          <w:noProof/>
          <w:szCs w:val="24"/>
        </w:rPr>
      </w:pPr>
      <w:r>
        <w:rPr>
          <w:noProof/>
        </w:rPr>
        <w:t>Ο κανονισμός περί γνωστοποιήσεων αειφορίας στον τομέα των χρηματοπιστωτικών υπηρεσιών διέπει τον τρόπο με τον οποίο οι συμμετέχ</w:t>
      </w:r>
      <w:r>
        <w:rPr>
          <w:noProof/>
        </w:rPr>
        <w:t xml:space="preserve">οντες στις χρηματοπιστωτικές αγορές (συμπεριλαμβανομένων των διαχειριστών περιουσιακών στοιχείων και των χρηματοοικονομικών συμβούλων) θα πρέπει να γνωστοποιούν πληροφορίες βιωσιμότητας στους τελικούς επενδυτές και τους κατόχους περιουσιακών στοιχείων. Οι </w:t>
      </w:r>
      <w:r>
        <w:rPr>
          <w:noProof/>
        </w:rPr>
        <w:t>συμμετέχοντες στις χρηματοπιστωτικές αγορές, για να μπορούν να εκπληρώνουν τις απαιτήσεις του κανονισμού περί γνωστοποιήσεων αειφορίας στον τομέα των χρηματοπιστωτικών υπηρεσιών —και, ως εκ τούτου, να είναι τελικά σε θέση να ανταποκρίνονται στις ανάγκες τω</w:t>
      </w:r>
      <w:r>
        <w:rPr>
          <w:noProof/>
        </w:rPr>
        <w:t>ν τελικών επενδυτών, συμπεριλαμβανομένων των ιδιωτών και των νοικοκυριών— χρειάζονται επαρκείς πληροφορίες από τις εταιρείες στις οποίες γίνονται επενδύσεις. Επομένως, η παρούσα πρόταση έχει ως στόχο να διασφαλίσει ότι οι εταιρείες στις οποίες γίνονται επε</w:t>
      </w:r>
      <w:r>
        <w:rPr>
          <w:noProof/>
        </w:rPr>
        <w:t>νδύσεις δημοσιοποιούν τις πληροφορίες που χρειάζονται οι συμμετέχοντες στις χρηματοπιστωτικές αγορές προκειμένου να εκπληρώσουν τις δικές τους απαιτήσεις υποβολής εκθέσεων σύμφωνα με τον κανονισμό περί γνωστοποιήσεων αειφορίας στον τομέα των χρηματοπιστωτι</w:t>
      </w:r>
      <w:r>
        <w:rPr>
          <w:noProof/>
        </w:rPr>
        <w:t>κών υπηρεσιών.</w:t>
      </w:r>
    </w:p>
    <w:p w14:paraId="328D6C9C" w14:textId="77777777" w:rsidR="00680C0B" w:rsidRDefault="00A8232D">
      <w:pPr>
        <w:pBdr>
          <w:top w:val="nil"/>
          <w:left w:val="nil"/>
          <w:bottom w:val="nil"/>
          <w:right w:val="nil"/>
          <w:between w:val="nil"/>
          <w:bar w:val="nil"/>
        </w:pBdr>
        <w:spacing w:before="0" w:after="240"/>
        <w:rPr>
          <w:noProof/>
        </w:rPr>
      </w:pPr>
      <w:r>
        <w:rPr>
          <w:noProof/>
        </w:rPr>
        <w:t>Ο κανονισμός για την ταξινόμηση θεσπίζει ένα σύστημα ταξινόμησης για περιβαλλοντικά βιώσιμες οικονομικές δραστηριότητες, με στόχο την ενίσχυση των βιώσιμων επενδύσεων και την καταπολέμηση της «προβολής ψευδοοικολογικής ταυτότητας» από «βιώσι</w:t>
      </w:r>
      <w:r>
        <w:rPr>
          <w:noProof/>
        </w:rPr>
        <w:t>μα» χρηματοπιστωτικά προϊόντα. Επιβάλλει στις εταιρείες που εμπίπτουν στο πεδίο εφαρμογής της οδηγίας για τη δημοσιοποίηση μη χρηματοοικονομικών πληροφοριών την υποχρέωση να δημοσιοποιούν ορισμένους δείκτες σχετικά με τον βαθμό στον οποίο οι δραστηριότητές</w:t>
      </w:r>
      <w:r>
        <w:rPr>
          <w:noProof/>
        </w:rPr>
        <w:t xml:space="preserve"> τους είναι περιβαλλοντικά βιώσιμες σύμφωνα με την ταξινόμηση. Οι εν λόγω υποχρεώσεις δημοσιοποίησης θα καθοριστούν με χωριστή κατ’ εξουσιοδότηση πράξη της Επιτροπής. Οι εν λόγω δείκτες είναι συμπληρωματικοί προς τις πληροφορίες που θα πρέπει να δημοσιοποι</w:t>
      </w:r>
      <w:r>
        <w:rPr>
          <w:noProof/>
        </w:rPr>
        <w:t>ούν οι εταιρείες σύμφωνα με την ίδια την οδηγία για τη δημοσιοποίηση μη χρηματοοικονομικών πληροφοριών, και οι εταιρείες θα πρέπει να τις υποβάλλουν παράλληλα με άλλες πληροφορίες βιωσιμότητας, όπως επιτάσσει η οδηγία για τη δημοσιοποίηση μη χρηματοοικονομ</w:t>
      </w:r>
      <w:r>
        <w:rPr>
          <w:noProof/>
        </w:rPr>
        <w:t xml:space="preserve">ικών πληροφοριών. </w:t>
      </w:r>
    </w:p>
    <w:p w14:paraId="768C58FC" w14:textId="77777777" w:rsidR="00680C0B" w:rsidRDefault="00A8232D">
      <w:pPr>
        <w:pBdr>
          <w:top w:val="nil"/>
          <w:left w:val="nil"/>
          <w:bottom w:val="nil"/>
          <w:right w:val="nil"/>
          <w:between w:val="nil"/>
          <w:bar w:val="nil"/>
        </w:pBdr>
        <w:spacing w:before="0" w:after="240"/>
        <w:rPr>
          <w:noProof/>
        </w:rPr>
      </w:pPr>
      <w:r>
        <w:rPr>
          <w:noProof/>
        </w:rPr>
        <w:t>Η παρούσα πρόταση έχει ως στόχο να διασφαλίσει ότι οι απαιτήσεις υποβολής εκθέσεων των εταιρειών συνάδουν με την ταξινόμηση. Ο στόχος αυτός θα επιτευχθεί κυρίως μέσω των προτεινόμενων προτύπων υποβολής εκθέσεων βιωσιμότητας. Θα λαμβάνοντ</w:t>
      </w:r>
      <w:r>
        <w:rPr>
          <w:noProof/>
        </w:rPr>
        <w:t>αι υπόψη οι δείκτες που θα πρέπει να δημοσιοποιούν οι εταιρείες σχετικά με τον βαθμό στον οποίο οι δραστηριότητές τους είναι περιβαλλοντικά βιώσιμες σύμφωνα με την ταξινόμηση, καθώς και τα κριτήρια ελέγχου και τα όρια της μη πρόκλησης σημαντικής ζημίας βάσ</w:t>
      </w:r>
      <w:r>
        <w:rPr>
          <w:noProof/>
        </w:rPr>
        <w:t>ει της ταξινόμησης.</w:t>
      </w:r>
    </w:p>
    <w:p w14:paraId="013EC438" w14:textId="77777777" w:rsidR="00680C0B" w:rsidRDefault="00A8232D">
      <w:pPr>
        <w:pBdr>
          <w:top w:val="nil"/>
          <w:left w:val="nil"/>
          <w:bottom w:val="nil"/>
          <w:right w:val="nil"/>
          <w:between w:val="nil"/>
          <w:bar w:val="nil"/>
        </w:pBdr>
        <w:spacing w:before="0" w:after="240"/>
        <w:rPr>
          <w:rFonts w:eastAsia="Arial Unicode MS"/>
          <w:noProof/>
        </w:rPr>
      </w:pPr>
      <w:r>
        <w:rPr>
          <w:noProof/>
        </w:rPr>
        <w:t xml:space="preserve">Σε σύγκριση με τις απαιτήσεις υποβολής εκθέσεων για τη βιωσιμότητα που καθορίζονται στην οδηγία για τη δημοσιοποίηση μη χρηματοοικονομικών πληροφοριών, οι κυριότεροι νεωτερισμοί της παρούσας πρότασης είναι οι εξής: </w:t>
      </w:r>
    </w:p>
    <w:p w14:paraId="5FFA57CE" w14:textId="77777777" w:rsidR="00680C0B" w:rsidRDefault="00A8232D">
      <w:pPr>
        <w:pStyle w:val="Tiret0"/>
        <w:numPr>
          <w:ilvl w:val="0"/>
          <w:numId w:val="3"/>
        </w:numPr>
        <w:rPr>
          <w:noProof/>
        </w:rPr>
      </w:pPr>
      <w:r>
        <w:rPr>
          <w:noProof/>
        </w:rPr>
        <w:t xml:space="preserve">επέκταση του πεδίου </w:t>
      </w:r>
      <w:r>
        <w:rPr>
          <w:noProof/>
        </w:rPr>
        <w:t xml:space="preserve">εφαρμογής των υποχρεώσεων υποβολής εκθέσεων σε πρόσθετες εταιρείες, συμπεριλαμβανομένων όλων των μεγάλων εταιρειών και των εισηγμένων εταιρειών (με εξαίρεση τις εισηγμένες πολύ μικρές επιχειρήσεις)· </w:t>
      </w:r>
    </w:p>
    <w:p w14:paraId="22077446" w14:textId="77777777" w:rsidR="00680C0B" w:rsidRDefault="00A8232D">
      <w:pPr>
        <w:pStyle w:val="Tiret0"/>
        <w:rPr>
          <w:noProof/>
        </w:rPr>
      </w:pPr>
      <w:r>
        <w:rPr>
          <w:noProof/>
        </w:rPr>
        <w:t xml:space="preserve">απαίτηση για διασφάλιση των πληροφοριών βιωσιμότητας· </w:t>
      </w:r>
    </w:p>
    <w:p w14:paraId="130458BB" w14:textId="77777777" w:rsidR="00680C0B" w:rsidRDefault="00A8232D">
      <w:pPr>
        <w:pStyle w:val="Tiret0"/>
        <w:rPr>
          <w:noProof/>
        </w:rPr>
      </w:pPr>
      <w:r>
        <w:rPr>
          <w:noProof/>
        </w:rPr>
        <w:lastRenderedPageBreak/>
        <w:t>λ</w:t>
      </w:r>
      <w:r>
        <w:rPr>
          <w:noProof/>
        </w:rPr>
        <w:t xml:space="preserve">επτομερέστερος προσδιορισμός των πληροφοριών που θα πρέπει να υποβάλλουν οι εταιρείες και απαίτηση να υποβάλλουν εκθέσεις σύμφωνα με τα υποχρεωτικά πρότυπα της ΕΕ για την υποβολή εκθέσεων βιωσιμότητας· </w:t>
      </w:r>
    </w:p>
    <w:p w14:paraId="28CCB35C" w14:textId="77777777" w:rsidR="00680C0B" w:rsidRDefault="00A8232D">
      <w:pPr>
        <w:pStyle w:val="Tiret0"/>
        <w:rPr>
          <w:i/>
          <w:noProof/>
          <w:color w:val="008000"/>
        </w:rPr>
      </w:pPr>
      <w:r>
        <w:rPr>
          <w:noProof/>
        </w:rPr>
        <w:t xml:space="preserve">διασφάλιση ότι όλες οι πληροφορίες δημοσιεύονται στο </w:t>
      </w:r>
      <w:r>
        <w:rPr>
          <w:noProof/>
        </w:rPr>
        <w:t xml:space="preserve">πλαίσιο των εκθέσεων διαχείρισης των εταιρειών και ότι δημοσιοποιούνται σε ψηφιακή μηχαναναγνώσιμη μορφή. </w:t>
      </w:r>
    </w:p>
    <w:p w14:paraId="50099774" w14:textId="77777777" w:rsidR="00680C0B" w:rsidRDefault="00A8232D">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14:paraId="1B041E7A" w14:textId="77777777" w:rsidR="00680C0B" w:rsidRDefault="00A8232D">
      <w:pPr>
        <w:pBdr>
          <w:top w:val="nil"/>
          <w:left w:val="nil"/>
          <w:bottom w:val="nil"/>
          <w:right w:val="nil"/>
          <w:between w:val="nil"/>
          <w:bar w:val="nil"/>
        </w:pBdr>
        <w:spacing w:before="0" w:after="240"/>
        <w:rPr>
          <w:noProof/>
          <w:szCs w:val="24"/>
        </w:rPr>
      </w:pPr>
      <w:r>
        <w:rPr>
          <w:noProof/>
        </w:rPr>
        <w:t>Η παρούσα πρόταση συμβάλλει στην ολοκλήρωση της Ένωσης Κεφαλαιαγορών, παρέχοντας στους επενδυτές και σε άλλα</w:t>
      </w:r>
      <w:r>
        <w:rPr>
          <w:noProof/>
        </w:rPr>
        <w:t xml:space="preserve"> ενδιαφερόμενα μέρη τη δυνατότητα πρόσβασης σε συγκρίσιμες πληροφορίες βιωσιμότητας από εταιρείες στις οποίες γίνονται επενδύσεις σε ολόκληρη την ΕΕ. Στο πλαίσιο του σχεδίου δράσης για την Ένωση Κεφαλαιαγορών [COM(2020) 590 final], η Επιτροπή θα υποβάλει ν</w:t>
      </w:r>
      <w:r>
        <w:rPr>
          <w:noProof/>
        </w:rPr>
        <w:t>ομοθετική πρόταση για τη δημιουργία πανευρωπαϊκής πλατφόρμας ψηφιακής πρόσβασης στις εταιρικές χρηματοοικονομικές πληροφορίες και στις πληροφορίες σχετικά με τη βιωσιμότητα (ευρωπαϊκό ενιαίο σημείο πρόσβασης). Η παρούσα πρόταση συμπληρώνει την εν λόγω πρωτ</w:t>
      </w:r>
      <w:r>
        <w:rPr>
          <w:noProof/>
        </w:rPr>
        <w:t xml:space="preserve">οβουλία, συμβάλλοντας στην επίτευξη των στόχων της στρατηγικής ψηφιακών χρηματοοικονομικών υπηρεσιών για την ΕΕ [COM(2020) 591 final], με την απαίτηση ψηφιακής σήμανσης των υποβαλλόμενων πληροφοριών βιωσιμότητας. </w:t>
      </w:r>
    </w:p>
    <w:p w14:paraId="0811DFED" w14:textId="77777777" w:rsidR="00680C0B" w:rsidRDefault="00A8232D">
      <w:pPr>
        <w:pBdr>
          <w:top w:val="nil"/>
          <w:left w:val="nil"/>
          <w:bottom w:val="nil"/>
          <w:right w:val="nil"/>
          <w:between w:val="nil"/>
          <w:bar w:val="nil"/>
        </w:pBdr>
        <w:spacing w:before="0" w:after="240"/>
        <w:rPr>
          <w:rFonts w:eastAsia="Arial Unicode MS"/>
          <w:noProof/>
        </w:rPr>
      </w:pPr>
      <w:r>
        <w:rPr>
          <w:noProof/>
        </w:rPr>
        <w:t>Η παρούσα πρόταση λαμβάνει υπόψη το πρόγρα</w:t>
      </w:r>
      <w:r>
        <w:rPr>
          <w:noProof/>
        </w:rPr>
        <w:t>μμα εργασίας της Επιτροπής για το 2021, και ειδικότερα την επικείμενη πρωτοβουλία για τη βιώσιμη εταιρική διακυβέρνηση, καθώς και τη δέσμευση της Επιτροπής στο πλαίσιο της Ευρωπαϊκής Πράσινης Συμφωνίας για την ενίσχυση της δράσης κατά των ψευδών οικολογικώ</w:t>
      </w:r>
      <w:r>
        <w:rPr>
          <w:noProof/>
        </w:rPr>
        <w:t>ν ισχυρισμών και την υποστήριξη των επιχειρήσεων και άλλων ενδιαφερόμενων μερών για την ανάπτυξη τυποποιημένων λογιστικών πρακτικών όσον αφορά το φυσικό κεφάλαιο, τόσο στην ΕΕ όσο και διεθνώς.</w:t>
      </w:r>
    </w:p>
    <w:p w14:paraId="30C84404" w14:textId="77777777" w:rsidR="00680C0B" w:rsidRDefault="00A8232D">
      <w:pPr>
        <w:pBdr>
          <w:top w:val="nil"/>
          <w:left w:val="nil"/>
          <w:bottom w:val="nil"/>
          <w:right w:val="nil"/>
          <w:between w:val="nil"/>
          <w:bar w:val="nil"/>
        </w:pBdr>
        <w:spacing w:before="0" w:after="240"/>
        <w:rPr>
          <w:rFonts w:eastAsia="Arial Unicode MS"/>
          <w:noProof/>
        </w:rPr>
      </w:pPr>
      <w:r>
        <w:rPr>
          <w:noProof/>
        </w:rPr>
        <w:t xml:space="preserve">Η παρούσα πρόταση συνδέεται με την πρόταση της </w:t>
      </w:r>
      <w:r>
        <w:rPr>
          <w:noProof/>
        </w:rPr>
        <w:t>Επιτροπής για την ενίσχυση της εφαρμογής της αρχής της ισότητας της αμοιβής μεταξύ ανδρών και γυναικών για όμοια εργασία ή για εργασία της αυτής αξίας, μέσω της μισθολογικής διαφάνειας και μηχανισμών επιβολής</w:t>
      </w:r>
      <w:r>
        <w:rPr>
          <w:rStyle w:val="FootnoteReference"/>
          <w:rFonts w:eastAsia="Arial Unicode MS"/>
          <w:noProof/>
        </w:rPr>
        <w:footnoteReference w:id="14"/>
      </w:r>
      <w:r>
        <w:rPr>
          <w:noProof/>
        </w:rPr>
        <w:t xml:space="preserve">. Συνδέεται επίσης με την πρόταση </w:t>
      </w:r>
      <w:r>
        <w:rPr>
          <w:noProof/>
        </w:rPr>
        <w:t>οδηγίας σχετικά με τη βελτίωση της ισόρροπης εκπροσώπησης των φύλων στα διοικητικά συμβούλια των μεγάλων εισηγμένων στο χρηματιστήριο εταιρειών της ΕΕ μέσω της ανταλλαγής πληροφοριών σχετικά με τις πολιτικές των εταιρειών για την πολυμορφία</w:t>
      </w:r>
      <w:r>
        <w:rPr>
          <w:rStyle w:val="FootnoteReference"/>
          <w:rFonts w:eastAsia="Arial Unicode MS"/>
          <w:noProof/>
        </w:rPr>
        <w:footnoteReference w:id="15"/>
      </w:r>
      <w:r>
        <w:rPr>
          <w:noProof/>
        </w:rPr>
        <w:t>.</w:t>
      </w:r>
    </w:p>
    <w:p w14:paraId="0DE61AC8" w14:textId="77777777" w:rsidR="00680C0B" w:rsidRDefault="00A8232D">
      <w:pPr>
        <w:pStyle w:val="ManualHeading1"/>
        <w:rPr>
          <w:noProof/>
        </w:rPr>
      </w:pPr>
      <w:r>
        <w:rPr>
          <w:noProof/>
        </w:rPr>
        <w:t>2.</w:t>
      </w:r>
      <w:r>
        <w:rPr>
          <w:noProof/>
        </w:rPr>
        <w:tab/>
        <w:t>ΝΟΜΙΚΗ ΒΑ</w:t>
      </w:r>
      <w:r>
        <w:rPr>
          <w:noProof/>
        </w:rPr>
        <w:t>ΣΗ, ΕΠΙΚΟΥΡΙΚΟΤΗΤΑ ΚΑΙ ΑΝΑΛΟΓΙΚΟΤΗΤΑ</w:t>
      </w:r>
    </w:p>
    <w:p w14:paraId="4F9E2F84"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Νομική βάση</w:t>
      </w:r>
    </w:p>
    <w:p w14:paraId="0291B206" w14:textId="77777777" w:rsidR="00680C0B" w:rsidRDefault="00A8232D">
      <w:pPr>
        <w:pBdr>
          <w:top w:val="nil"/>
          <w:left w:val="nil"/>
          <w:bottom w:val="nil"/>
          <w:right w:val="nil"/>
          <w:between w:val="nil"/>
          <w:bar w:val="nil"/>
        </w:pBdr>
        <w:spacing w:before="0" w:after="240"/>
        <w:rPr>
          <w:rFonts w:eastAsia="Arial Unicode MS"/>
          <w:noProof/>
        </w:rPr>
      </w:pPr>
      <w:r>
        <w:rPr>
          <w:noProof/>
        </w:rPr>
        <w:t>Νομική βάση της πρότασης είναι τα άρθρα 50 και 114 της Συνθήκης για τη λειτουργία της Ευρωπαϊκής Ένωσης (ΣΛΕΕ). Το άρθρο 50 της ΣΛΕΕ αποτελεί τη νομική βάση για την έκδοση μέτρων της ΕΕ στο εταιρικό δίκαιο</w:t>
      </w:r>
      <w:r>
        <w:rPr>
          <w:noProof/>
        </w:rPr>
        <w:t xml:space="preserve"> με σκοπό την πραγματοποίηση του δικαιώματος εγκατάστασης στην ενιαία αγορά. Συνιστά επίσης τη νομική βάση για τις οδηγίες 2013/34/ΕΕ, 2006/43/ΕΚ, 91/674/ΕΟΚ, 86/635/ΕΟΚ και αποτελεί μέρος της νομικής βάσης της οδηγίας 2004/109/ΕΚ. Το άρθρο 50 της ΣΛΕΕ ανα</w:t>
      </w:r>
      <w:r>
        <w:rPr>
          <w:noProof/>
        </w:rPr>
        <w:t>θέτει στο Ευρωπαϊκό Κοινοβούλιο και το Συμβούλιο να εκδίδουν οδηγίες. Επιπλέον, το άρθρο 114 της ΣΛΕΕ αποτελεί γενική νομική πράξη που αποσκοπεί στην εγκαθίδρυση ή τη διασφάλιση της λειτουργίας της εσωτερικής αγοράς — στην προκειμένη περίπτωση, στην ελεύθε</w:t>
      </w:r>
      <w:r>
        <w:rPr>
          <w:noProof/>
        </w:rPr>
        <w:t xml:space="preserve">ρη κυκλοφορία των κεφαλαίων. Το </w:t>
      </w:r>
      <w:r>
        <w:rPr>
          <w:noProof/>
        </w:rPr>
        <w:lastRenderedPageBreak/>
        <w:t>άρθρο 114 της ΣΛΕΕ περιλαμβάνεται ως νομική βάση της παρούσας οδηγίας για την τροποποίηση της οδηγίας 2004/109/ΕΚ.</w:t>
      </w:r>
    </w:p>
    <w:p w14:paraId="2A674634"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 xml:space="preserve">Επικουρικότητα (σε περίπτωση μη αποκλειστικής αρμοδιότητας) </w:t>
      </w:r>
    </w:p>
    <w:p w14:paraId="56FD114F" w14:textId="77777777" w:rsidR="00680C0B" w:rsidRDefault="00A8232D">
      <w:pPr>
        <w:spacing w:before="0" w:after="240"/>
        <w:rPr>
          <w:rFonts w:eastAsia="Calibri"/>
          <w:noProof/>
        </w:rPr>
      </w:pPr>
      <w:r>
        <w:rPr>
          <w:noProof/>
        </w:rPr>
        <w:t xml:space="preserve">Η λογιστική οδηγία, όπως τροποποιήθηκε με την </w:t>
      </w:r>
      <w:r>
        <w:rPr>
          <w:noProof/>
        </w:rPr>
        <w:t>οδηγία για τη δημοσιοποίηση μη χρηματοοικονομικών πληροφοριών, ρυθμίζει ήδη τη δημοσίευση πληροφοριών βιωσιμότητας στην ΕΕ. Οι κανόνες διαφάνειας είναι αναγκαίοι ώστε να διασφαλίζεται η προστασία των επενδυτών και η χρηματοπιστωτική σταθερότητα σε ολόκληρη</w:t>
      </w:r>
      <w:r>
        <w:rPr>
          <w:noProof/>
        </w:rPr>
        <w:t xml:space="preserve"> την ΕΕ. Οι κοινοί κανόνες για την υποβολή εκθέσεων βιωσιμότητας και τη διασφάλισή της εξασφαλίζουν ισότιμους όρους ανταγωνισμού για τις εταιρείες που είναι εγκατεστημένες στα διάφορα κράτη μέλη. Οι σημαντικές διαφορές που υπάρχουν μεταξύ των κρατών μελών </w:t>
      </w:r>
      <w:r>
        <w:rPr>
          <w:noProof/>
        </w:rPr>
        <w:t>ως προς τις απαιτήσεις υποβολής εκθέσεων βιωσιμότητας και τη διασφάλισή της δημιουργούν πρόσθετες δαπάνες και πολυπλοκότητα για τις εταιρείες που δραστηριοποιούνται σε διασυνοριακό επίπεδο. Η κατάσταση αυτή είναι επιζήμια για την ενιαία αγορά. Τα κράτη μέλ</w:t>
      </w:r>
      <w:r>
        <w:rPr>
          <w:noProof/>
        </w:rPr>
        <w:t xml:space="preserve">η που ενεργούν από μόνα τους δεν έχουν τη δυνατότητα να εξασφαλίσουν τη συνοχή και τη συγκρισιμότητα των απαιτήσεων υποβολής εκθέσεων βιωσιμότητας σε ολόκληρη την ΕΕ. </w:t>
      </w:r>
    </w:p>
    <w:p w14:paraId="458DDB11" w14:textId="77777777" w:rsidR="00680C0B" w:rsidRDefault="00A8232D">
      <w:pPr>
        <w:spacing w:before="0" w:after="240"/>
        <w:rPr>
          <w:rFonts w:eastAsia="Calibri"/>
          <w:noProof/>
        </w:rPr>
      </w:pPr>
      <w:r>
        <w:rPr>
          <w:noProof/>
        </w:rPr>
        <w:t>Επιπλέον, μόνο η παρέμβαση της ΕΕ μπορεί να διασφαλίσει ότι οι κανόνες για την υποβολή ε</w:t>
      </w:r>
      <w:r>
        <w:rPr>
          <w:noProof/>
        </w:rPr>
        <w:t>κθέσεων βιωσιμότητας συνάδουν με άλλες νομοθετικές πράξεις της ΕΕ, συμπεριλαμβανομένου του κανονισμού περί γνωστοποιήσεων αειφορίας στον τομέα των χρηματοπιστωτικών υπηρεσιών και του κανονισμού για την ταξινόμηση, καθώς και με τις κατ’ εξουσιοδότηση και εκ</w:t>
      </w:r>
      <w:r>
        <w:rPr>
          <w:noProof/>
        </w:rPr>
        <w:t>τελεστικές πράξεις που εκδίδονται σύμφωνα με τους εν λόγω κανονισμούς.</w:t>
      </w:r>
    </w:p>
    <w:p w14:paraId="6E19ED12" w14:textId="77777777" w:rsidR="00680C0B" w:rsidRDefault="00A8232D">
      <w:pPr>
        <w:spacing w:before="0" w:after="0"/>
        <w:rPr>
          <w:rFonts w:eastAsia="Calibri"/>
          <w:noProof/>
          <w:szCs w:val="24"/>
        </w:rPr>
      </w:pPr>
      <w:r>
        <w:rPr>
          <w:noProof/>
        </w:rPr>
        <w:t>Η υποβολή εκθέσεων βιωσιμότητας αποτελεί αντικείμενο αυξημένου ενδιαφέροντος και κανονιστικής παρέμβασης σε δικαιοδοσίες σε ολόκληρο τον κόσμο. Ως εκ τούτου, η ΕΕ πρέπει να αναπτύξει μι</w:t>
      </w:r>
      <w:r>
        <w:rPr>
          <w:noProof/>
        </w:rPr>
        <w:t>α συνεκτική και ολοκληρωμένη προσέγγιση για την υποβολή εκθέσεων βιωσιμότητας, ώστε να έχει τη δυνατότητα να συνεργάζεται εποικοδομητικά με τους διεθνείς εταίρους της. Σε σύγκριση με τη μεμονωμένη δράση των κρατών μελών, η παρέμβαση της ΕΕ μπορεί να διασφα</w:t>
      </w:r>
      <w:r>
        <w:rPr>
          <w:noProof/>
        </w:rPr>
        <w:t>λίσει τη σημαντική συμβολή της Ευρώπης στις παγκόσμιες εξελίξεις πολιτικής, με σκοπό την καλύτερη προάσπιση των συμφερόντων των ευρωπαϊκών εταιρειών και άλλων ενδιαφερόμενων μερών.</w:t>
      </w:r>
    </w:p>
    <w:p w14:paraId="73A8B9D5"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Αναλογικότητα</w:t>
      </w:r>
    </w:p>
    <w:p w14:paraId="2AEE089B" w14:textId="77777777" w:rsidR="00680C0B" w:rsidRDefault="00A8232D">
      <w:pPr>
        <w:spacing w:before="0" w:after="240"/>
        <w:rPr>
          <w:rFonts w:eastAsia="Calibri"/>
          <w:noProof/>
        </w:rPr>
      </w:pPr>
      <w:r>
        <w:rPr>
          <w:noProof/>
        </w:rPr>
        <w:t>Ένα βασικό στοιχείο της παρούσας πρότασης συνίσταται στην α</w:t>
      </w:r>
      <w:r>
        <w:rPr>
          <w:noProof/>
        </w:rPr>
        <w:t>παίτηση για ορισμένες κατηγορίες εταιρειών να υποβάλλουν εκθέσεις σύμφωνα με τα υποχρεωτικά πρότυπα υποβολής εκθέσεων βιωσιμότητας. Όπως και στην περίπτωση της χρηματοοικονομικής πληροφόρησης, απαιτούνται κοινά πρότυπα για να διασφαλίζεται ότι οι πληροφορί</w:t>
      </w:r>
      <w:r>
        <w:rPr>
          <w:noProof/>
        </w:rPr>
        <w:t xml:space="preserve">ες που υποβάλλονται είναι συγκρίσιμες και συναφείς. Τα κοινά πρότυπα υποβολής εκθέσεων θα διευκολύνουν επίσης σε μεγάλο βαθμό την ψηφιοποίηση, τη διασφάλιση και την επιβολή της υποβολής εκθέσεων βιωσιμότητας. </w:t>
      </w:r>
    </w:p>
    <w:p w14:paraId="08CCEF43" w14:textId="77777777" w:rsidR="00680C0B" w:rsidRDefault="00A8232D">
      <w:pPr>
        <w:spacing w:before="0" w:after="240"/>
        <w:rPr>
          <w:rFonts w:eastAsia="Calibri"/>
          <w:noProof/>
        </w:rPr>
      </w:pPr>
      <w:r>
        <w:rPr>
          <w:noProof/>
        </w:rPr>
        <w:t>Η παρούσα πρόταση προβλέπει τη θέσπιση απαίτησ</w:t>
      </w:r>
      <w:r>
        <w:rPr>
          <w:noProof/>
        </w:rPr>
        <w:t>ης για τη διασφάλιση των υποβαλλόμενων πληροφοριών βιωσιμότητας, ώστε να είναι αξιόπιστες. Προβλέπει επίσης την υποχρέωση των εταιρειών να επισημαίνουν ψηφιακά τις υποβαλλόμενες πληροφορίες βιωσιμότητας. Η ψηφιακή σήμανση έχει ουσιαστική σημασία για την αξ</w:t>
      </w:r>
      <w:r>
        <w:rPr>
          <w:noProof/>
        </w:rPr>
        <w:t xml:space="preserve">ιοποίηση των ευκαιριών που παρουσιάζουν οι ψηφιακές τεχνολογίες με σκοπό τη ριζική βελτίωση του τρόπου με τον οποίο </w:t>
      </w:r>
      <w:r>
        <w:rPr>
          <w:noProof/>
        </w:rPr>
        <w:lastRenderedPageBreak/>
        <w:t>χρησιμοποιούνται οι πληροφορίες βιωσιμότητας. Η ΕΕ έχει ήδη θεσπίσει απαίτηση για την ψηφιακή σήμανση των χρηματοοικονομικών πληροφοριών</w:t>
      </w:r>
      <w:r>
        <w:rPr>
          <w:rStyle w:val="FootnoteReference"/>
          <w:noProof/>
        </w:rPr>
        <w:footnoteReference w:id="16"/>
      </w:r>
      <w:r>
        <w:rPr>
          <w:noProof/>
        </w:rPr>
        <w:t>.</w:t>
      </w:r>
    </w:p>
    <w:p w14:paraId="3903A5B9" w14:textId="77777777" w:rsidR="00680C0B" w:rsidRDefault="00A8232D">
      <w:pPr>
        <w:spacing w:before="0" w:after="240"/>
        <w:rPr>
          <w:rFonts w:eastAsia="Calibri"/>
          <w:noProof/>
        </w:rPr>
      </w:pPr>
      <w:r>
        <w:rPr>
          <w:noProof/>
        </w:rPr>
        <w:t>Η παρούσα πρόταση υιοθετεί αναλογική προσέγγιση για τον προσδιορισμό των εταιρειών που θα υπόκεινται σε απαίτηση υποχρεωτικής υποβολής εκθέσεων. Δεν επιβάλλει νέες απαιτήσεις στις μικρές και μεσαίες επιχειρήσεις (ΜΜΕ), εκτός από τις ΜΜΕ που είναι εισηγμένε</w:t>
      </w:r>
      <w:r>
        <w:rPr>
          <w:noProof/>
        </w:rPr>
        <w:t>ς σε ρυθμιζόμενες αγορές της ΕΕ. Η πρόταση απαλλάσσει από τις υποχρεωτικές απαιτήσεις υποβολής εκθέσεων τις εισηγμένες πολύ μικρές επιχειρήσεις</w:t>
      </w:r>
      <w:r>
        <w:rPr>
          <w:rStyle w:val="FootnoteReference"/>
          <w:noProof/>
        </w:rPr>
        <w:footnoteReference w:id="17"/>
      </w:r>
      <w:r>
        <w:rPr>
          <w:noProof/>
        </w:rPr>
        <w:t xml:space="preserve">. </w:t>
      </w:r>
    </w:p>
    <w:p w14:paraId="5BF96F84" w14:textId="77777777" w:rsidR="00680C0B" w:rsidRDefault="00A8232D">
      <w:pPr>
        <w:spacing w:before="0" w:after="240"/>
        <w:rPr>
          <w:rFonts w:eastAsia="Calibri"/>
          <w:noProof/>
        </w:rPr>
      </w:pPr>
      <w:r>
        <w:rPr>
          <w:noProof/>
        </w:rPr>
        <w:t>Η Επιτροπή θα εκδώσει πρότυπα για τις μεγάλες εταιρείες και χωριστά, αναλογικά πρότυπα για τις ΜΜΕ. Τα πρότυ</w:t>
      </w:r>
      <w:r>
        <w:rPr>
          <w:noProof/>
        </w:rPr>
        <w:t xml:space="preserve">πα για τις ΜΜΕ θα είναι προσαρμοσμένα στις δυνατότητες και τους πόρους των εν λόγω εταιρειών. </w:t>
      </w:r>
      <w:r>
        <w:rPr>
          <w:noProof/>
          <w:color w:val="000000" w:themeColor="text1"/>
          <w:szCs w:val="24"/>
        </w:rPr>
        <w:t>Ενώ οι ΜΜΕ που είναι εισηγμένες σε ρυθμιζόμενες αγορές θα υποχρεούνται να χρησιμοποιούν αυτά τα αναλογικά πρότυπα,</w:t>
      </w:r>
      <w:r>
        <w:rPr>
          <w:noProof/>
        </w:rPr>
        <w:t xml:space="preserve"> οι μη εισηγμένες ΜΜΕ —οι οποίες αποτελούν τη συ</w:t>
      </w:r>
      <w:r>
        <w:rPr>
          <w:noProof/>
        </w:rPr>
        <w:t xml:space="preserve">ντριπτική πλειονότητα των ΜΜΕ— μπορούν να επιλέξουν να τα χρησιμοποιούν σε προαιρετική βάση. </w:t>
      </w:r>
    </w:p>
    <w:p w14:paraId="0B37F578"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Επιλογή της νομικής πράξης</w:t>
      </w:r>
    </w:p>
    <w:p w14:paraId="7CD0C040" w14:textId="77777777" w:rsidR="00680C0B" w:rsidRDefault="00A8232D">
      <w:pPr>
        <w:spacing w:before="0" w:after="240"/>
        <w:rPr>
          <w:rFonts w:eastAsia="Calibri"/>
          <w:noProof/>
          <w:szCs w:val="24"/>
        </w:rPr>
      </w:pPr>
      <w:r>
        <w:rPr>
          <w:noProof/>
        </w:rPr>
        <w:t>Η παρούσα πρόταση περιλαμβάνει οδηγία η οποία τροποποιεί τις διατάξεις της λογιστικής οδηγίας, της οδηγίας για τη διαφάνεια, της οδηγ</w:t>
      </w:r>
      <w:r>
        <w:rPr>
          <w:noProof/>
        </w:rPr>
        <w:t>ίας για τους ελέγχους και του κανονισμού για τους ελέγχους, εξασφαλίζοντας με τον τρόπο αυτόν τη συνοχή μεταξύ των σχετικών διατάξεων των τεσσάρων αυτών μέσων.</w:t>
      </w:r>
    </w:p>
    <w:p w14:paraId="6F6C5846" w14:textId="77777777" w:rsidR="00680C0B" w:rsidRDefault="00A8232D">
      <w:pPr>
        <w:pStyle w:val="ManualHeading1"/>
        <w:rPr>
          <w:noProof/>
        </w:rPr>
      </w:pPr>
      <w:r>
        <w:rPr>
          <w:noProof/>
        </w:rPr>
        <w:t>3.</w:t>
      </w:r>
      <w:r>
        <w:rPr>
          <w:noProof/>
        </w:rPr>
        <w:tab/>
        <w:t xml:space="preserve">ΑΠΟΤΕΛΕΣΜΑΤΑ ΤΩΝ ΕΚ ΤΩΝ ΥΣΤΕΡΩΝ ΑΞΙΟΛΟΓΗΣΕΩΝ, ΤΩΝ ΔΙΑΒΟΥΛΕΥΣΕΩΝ ΜΕ ΤΑ ΕΝΔΙΑΦΕΡΟΜΕΝΑ ΜΕΡΗ ΚΑΙ </w:t>
      </w:r>
      <w:r>
        <w:rPr>
          <w:noProof/>
        </w:rPr>
        <w:t>ΤΩΝ ΕΚΤΙΜΗΣΕΩΝ ΕΠΙΠΤΩΣΕΩΝ</w:t>
      </w:r>
    </w:p>
    <w:p w14:paraId="2A836D8B"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Εκ των υστέρων αξιολογήσεις / έλεγχοι καταλληλότητας της ισχύουσας νομοθεσίας</w:t>
      </w:r>
    </w:p>
    <w:p w14:paraId="0F0E2792" w14:textId="77777777" w:rsidR="00680C0B" w:rsidRDefault="00A8232D">
      <w:pPr>
        <w:spacing w:before="0" w:after="240"/>
        <w:rPr>
          <w:rFonts w:eastAsia="Arial Unicode MS"/>
          <w:noProof/>
          <w:szCs w:val="24"/>
        </w:rPr>
      </w:pPr>
      <w:r>
        <w:rPr>
          <w:noProof/>
        </w:rPr>
        <w:t xml:space="preserve">Τον Απρίλιο του 2021 η Επιτροπή δημοσίευσε έλεγχο καταλληλότητας του πλαισίου της ΕΕ για την υποβολή εταιρικών εκθέσεων </w:t>
      </w:r>
      <w:r>
        <w:rPr>
          <w:noProof/>
        </w:rPr>
        <w:t>χρηματοοικονομικών και μη χρηματοοικονομικών πληροφοριών, σε συνδυασμό με την υποχρεωτική εξέταση ορισμένων πτυχών της οδηγίας για τη δημοσιοποίηση μη χρηματοοικονομικών πληροφοριών</w:t>
      </w:r>
      <w:r>
        <w:rPr>
          <w:rStyle w:val="FootnoteReference"/>
          <w:noProof/>
        </w:rPr>
        <w:footnoteReference w:id="18"/>
      </w:r>
      <w:r>
        <w:rPr>
          <w:noProof/>
        </w:rPr>
        <w:t>. Το κύριο συμπέρασμα του ελέγχου καταλληλότητας και της εξέτασης ήταν ότ</w:t>
      </w:r>
      <w:r>
        <w:rPr>
          <w:noProof/>
        </w:rPr>
        <w:t xml:space="preserve">ι οι πληροφορίες βιωσιμότητας που </w:t>
      </w:r>
      <w:r>
        <w:rPr>
          <w:noProof/>
        </w:rPr>
        <w:lastRenderedPageBreak/>
        <w:t>δημοσιοποιούν επί του παρόντος οι εταιρείες δεν ανταποκρίνονται στις ανάγκες των χρηστών για τους οποίους προορίζονται οι εν λόγω πληροφορίες και ότι η Επιτροπή θα πρέπει να προτείνει, συνεπώς, την αναθεώρηση της οδηγίας γ</w:t>
      </w:r>
      <w:r>
        <w:rPr>
          <w:noProof/>
        </w:rPr>
        <w:t>ια τη δημοσιοποίηση μη χρηματοοικονομικών πληροφοριών. Το συμπέρασμα αυτό συνάδει με τα πορίσματα της εκτίμησης επιπτώσεων που συνοδεύει την παρούσα πρόταση (βλ. κατωτέρω).</w:t>
      </w:r>
    </w:p>
    <w:p w14:paraId="2D10B6C0"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Διαβουλεύσεις με τα ενδιαφερόμενα μέρη</w:t>
      </w:r>
    </w:p>
    <w:p w14:paraId="753FABC1" w14:textId="77777777" w:rsidR="00680C0B" w:rsidRDefault="00A8232D">
      <w:pPr>
        <w:spacing w:before="0" w:after="240"/>
        <w:rPr>
          <w:rFonts w:eastAsia="Calibri"/>
          <w:noProof/>
        </w:rPr>
      </w:pPr>
      <w:r>
        <w:rPr>
          <w:noProof/>
        </w:rPr>
        <w:t>Οι ακόλουθες δραστηριότητες διαβούλευσης σ</w:t>
      </w:r>
      <w:r>
        <w:rPr>
          <w:noProof/>
        </w:rPr>
        <w:t>υνέβαλαν στη διαμόρφωση του περιεχομένου της παρούσας πρότασης.</w:t>
      </w:r>
    </w:p>
    <w:p w14:paraId="26ACFA4F" w14:textId="77777777" w:rsidR="00680C0B" w:rsidRDefault="00A8232D">
      <w:pPr>
        <w:pStyle w:val="Tiret0"/>
        <w:rPr>
          <w:noProof/>
        </w:rPr>
      </w:pPr>
      <w:r>
        <w:rPr>
          <w:noProof/>
        </w:rPr>
        <w:t>Ανοικτή δημόσια ηλεκτρονική διαβούλευση κατά την περίοδο μεταξύ Μαρτίου και Ιουλίου 2018, με σκοπό την προετοιμασία του ελέγχου καταλληλότητας του πλαισίου της ΕΕ για την υποβολή εταιρικών στο</w:t>
      </w:r>
      <w:r>
        <w:rPr>
          <w:noProof/>
        </w:rPr>
        <w:t>ιχείων.</w:t>
      </w:r>
    </w:p>
    <w:p w14:paraId="550B7174" w14:textId="77777777" w:rsidR="00680C0B" w:rsidRDefault="00A8232D">
      <w:pPr>
        <w:pStyle w:val="Tiret0"/>
        <w:rPr>
          <w:noProof/>
        </w:rPr>
      </w:pPr>
      <w:r>
        <w:rPr>
          <w:noProof/>
        </w:rPr>
        <w:t>Στοχευμένη ηλεκτρονική διαβούλευση κατά την περίοδο μεταξύ Φεβρουαρίου και Μαρτίου 2019, με σκοπό την κατάρτιση κατευθυντήριων γραμμών σχετικά με την υποβολή πληροφοριών που αφορούν το κλίμα.</w:t>
      </w:r>
    </w:p>
    <w:p w14:paraId="330C574B" w14:textId="77777777" w:rsidR="00680C0B" w:rsidRDefault="00A8232D">
      <w:pPr>
        <w:pStyle w:val="Tiret0"/>
        <w:rPr>
          <w:noProof/>
        </w:rPr>
      </w:pPr>
      <w:r>
        <w:rPr>
          <w:noProof/>
        </w:rPr>
        <w:t>Στοχευμένη ηλεκτρονική διαβούλευση με εταιρείες στο πλαί</w:t>
      </w:r>
      <w:r>
        <w:rPr>
          <w:noProof/>
        </w:rPr>
        <w:t xml:space="preserve">σιο της οδηγίας για τη δημοσιοποίηση μη χρηματοοικονομικών πληροφοριών, η οποία διεξήχθη για λογαριασμό της Επιτροπής από εξωτερικούς συμβούλους (CEPS) κατά την περίοδο μεταξύ Δεκεμβρίου 2019 και Μαρτίου 2020. </w:t>
      </w:r>
    </w:p>
    <w:p w14:paraId="7B7D9E27" w14:textId="77777777" w:rsidR="00680C0B" w:rsidRDefault="00A8232D">
      <w:pPr>
        <w:pStyle w:val="Tiret0"/>
        <w:rPr>
          <w:noProof/>
        </w:rPr>
      </w:pPr>
      <w:r>
        <w:rPr>
          <w:noProof/>
        </w:rPr>
        <w:t>Ηλεκτρονική υποβολή σχολίων για την αρχική εκ</w:t>
      </w:r>
      <w:r>
        <w:rPr>
          <w:noProof/>
        </w:rPr>
        <w:t xml:space="preserve">τίμηση επιπτώσεων της Επιτροπής όσον αφορά την αναθεώρηση της οδηγίας για τη δημοσιοποίηση μη χρηματοοικονομικών πληροφοριών κατά την περίοδο μεταξύ Ιανουαρίου και Φεβρουαρίου 2020. </w:t>
      </w:r>
    </w:p>
    <w:p w14:paraId="1D292A11" w14:textId="77777777" w:rsidR="00680C0B" w:rsidRDefault="00A8232D">
      <w:pPr>
        <w:pStyle w:val="Tiret0"/>
        <w:rPr>
          <w:noProof/>
        </w:rPr>
      </w:pPr>
      <w:r>
        <w:rPr>
          <w:noProof/>
        </w:rPr>
        <w:t>Ανοικτή δημόσια ηλεκτρονική διαβούλευση για την αναθεώρηση της οδηγίας γι</w:t>
      </w:r>
      <w:r>
        <w:rPr>
          <w:noProof/>
        </w:rPr>
        <w:t xml:space="preserve">α τη δημοσιοποίηση μη χρηματοοικονομικών πληροφοριών κατά την περίοδο μεταξύ Φεβρουαρίου και Ιουνίου 2020. </w:t>
      </w:r>
    </w:p>
    <w:p w14:paraId="4F3F973B" w14:textId="77777777" w:rsidR="00680C0B" w:rsidRDefault="00A8232D">
      <w:pPr>
        <w:pStyle w:val="Tiret0"/>
        <w:rPr>
          <w:noProof/>
        </w:rPr>
      </w:pPr>
      <w:r>
        <w:rPr>
          <w:noProof/>
        </w:rPr>
        <w:t xml:space="preserve">Στοχευμένη διαδικτυακή έρευνα για τις ΜΜΕ (ομάδα ΜΜΕ) σχετικά με την υποβολή εκθέσεων βιωσιμότητας κατά την περίοδο μεταξύ Μαρτίου και Μαΐου 2020. </w:t>
      </w:r>
    </w:p>
    <w:p w14:paraId="55999018" w14:textId="77777777" w:rsidR="00680C0B" w:rsidRDefault="00A8232D">
      <w:pPr>
        <w:spacing w:before="0" w:after="240"/>
        <w:rPr>
          <w:rFonts w:eastAsia="Calibri"/>
          <w:noProof/>
        </w:rPr>
      </w:pPr>
      <w:r>
        <w:rPr>
          <w:noProof/>
        </w:rPr>
        <w:t>Η Επιτροπή διοργάνωσε επίσης εργαστήρια, με τη συμμετοχή πολλών ενδιαφερόμενων μερών, σχετικά με την έννοια της σημαντικότητας (Νοέμβριος 2019) και τη διασφάλιση των πληροφοριών βιωσιμότητας (Δεκέμβριος 2020), καθώς και χωριστές συνεδριάσεις διαβούλευσης μ</w:t>
      </w:r>
      <w:r>
        <w:rPr>
          <w:noProof/>
        </w:rPr>
        <w:t>ε διάφορες ομάδες ενδιαφερόμενων μερών τον Μάιο 2020 (εταιρείες, οργανώσεις της κοινωνίας των πολιτών και συνδικαλιστικές οργανώσεις).</w:t>
      </w:r>
    </w:p>
    <w:p w14:paraId="7F39C481" w14:textId="77777777" w:rsidR="00680C0B" w:rsidRDefault="00A8232D">
      <w:pPr>
        <w:spacing w:before="0" w:after="240"/>
        <w:rPr>
          <w:rFonts w:eastAsia="Calibri"/>
          <w:noProof/>
        </w:rPr>
      </w:pPr>
      <w:r>
        <w:rPr>
          <w:noProof/>
        </w:rPr>
        <w:t>Οι διαβουλεύσεις αποκάλυψαν ορισμένες διαφορές μεταξύ των χρηστών και των συντακτών των πληροφοριών σχετικά με τη βιωσιμό</w:t>
      </w:r>
      <w:r>
        <w:rPr>
          <w:noProof/>
        </w:rPr>
        <w:t>τητα. Οι χρήστες τείνουν να προτιμούν λεπτομερείς και περιεκτικές απαιτήσεις υποβολής εκθέσεων. Οι υπεύθυνοι κατάρτισης των πληροφοριών διατύπωσαν τον προβληματισμό τους σχετικά με το κόστος τέτοιων απαιτήσεων και δήλωσαν κυρίως την προτίμησή τους να διατη</w:t>
      </w:r>
      <w:r>
        <w:rPr>
          <w:noProof/>
        </w:rPr>
        <w:t>ρούν υψηλό βαθμό διακριτικής ευχέρειας τόσο για τις πληροφορίες που πρέπει να υποβάλλουν όσο και για τον τρόπο με τον οποίο θα τις υποβάλλουν.</w:t>
      </w:r>
    </w:p>
    <w:p w14:paraId="66347642" w14:textId="77777777" w:rsidR="00680C0B" w:rsidRDefault="00A8232D">
      <w:pPr>
        <w:spacing w:before="0" w:after="240"/>
        <w:rPr>
          <w:rFonts w:eastAsia="Calibri"/>
          <w:noProof/>
        </w:rPr>
      </w:pPr>
      <w:r>
        <w:rPr>
          <w:noProof/>
        </w:rPr>
        <w:t>Ωστόσο, η ανοικτή δημόσια διαβούλευση σχετικά με την αναθεώρηση της οδηγίας για τη δημοσιοποίηση μη χρηματοοικονο</w:t>
      </w:r>
      <w:r>
        <w:rPr>
          <w:noProof/>
        </w:rPr>
        <w:t>μικών πληροφοριών κατέδειξε ότι υπήρχε ένθερμη υποστήριξη για υποχρεωτικά πρότυπα υποβολής εκθέσεων βιωσιμότητας (πάνω από το 80 % όσων απάντησαν, μεταξύ των οποίων το 81 % όσων εκπροσωπούν εταιρείες ή συντάσσουν εκθέσεις βιωσιμότητας). Πολλά ενδιαφερόμενα</w:t>
      </w:r>
      <w:r>
        <w:rPr>
          <w:noProof/>
        </w:rPr>
        <w:t xml:space="preserve"> μέρη επισήμαναν ότι, σε περίπτωση που η ΕΕ αναπτύξει πρότυπα υποβολής εκθέσεων βιωσιμότητας, θα πρέπει να βασιστεί στις διεθνείς </w:t>
      </w:r>
      <w:r>
        <w:rPr>
          <w:noProof/>
        </w:rPr>
        <w:lastRenderedPageBreak/>
        <w:t>πρωτοβουλίες καθορισμού προτύπων και να είναι συνεπής με αυτές. Τα ενδιαφερόμενα μέρη υπογράμμισαν επίσης την ανάγκη αποσαφήνι</w:t>
      </w:r>
      <w:r>
        <w:rPr>
          <w:noProof/>
        </w:rPr>
        <w:t xml:space="preserve">σης της υποχρέωσης υποβολής εκθέσεων σύμφωνα με την προσέγγιση διπλής σημαντικότητας. </w:t>
      </w:r>
    </w:p>
    <w:p w14:paraId="05A9A350" w14:textId="77777777" w:rsidR="00680C0B" w:rsidRDefault="00A8232D">
      <w:pPr>
        <w:spacing w:before="0" w:after="240"/>
        <w:rPr>
          <w:rFonts w:eastAsia="Calibri"/>
          <w:noProof/>
        </w:rPr>
      </w:pPr>
      <w:r>
        <w:rPr>
          <w:noProof/>
        </w:rPr>
        <w:t>Οι διαβουλεύσεις κατέδειξαν επίσης ότι υπήρξε ένθερμη υποστήριξη για την επιβολή μέτρων με σκοπό τη διασφάλιση της εναρμόνισης των απαιτήσεων υποβολής εκθέσεων βιωσιμότη</w:t>
      </w:r>
      <w:r>
        <w:rPr>
          <w:noProof/>
        </w:rPr>
        <w:t>τας βάσει της οδηγίας για τη δημοσιοποίηση μη χρηματοοικονομικών πληροφοριών με τη σχετική νομοθεσία της ΕΕ, ιδίως με τον κανονισμό περί γνωστοποιήσεων αειφορίας στον τομέα των χρηματοπιστωτικών υπηρεσιών και τον κανονισμό για την ταξινόμηση.</w:t>
      </w:r>
    </w:p>
    <w:p w14:paraId="57EAE5AA" w14:textId="77777777" w:rsidR="00680C0B" w:rsidRDefault="00A8232D">
      <w:pPr>
        <w:spacing w:before="0" w:after="0"/>
        <w:rPr>
          <w:rFonts w:eastAsia="Calibri"/>
          <w:noProof/>
          <w:szCs w:val="24"/>
        </w:rPr>
      </w:pPr>
      <w:r>
        <w:rPr>
          <w:noProof/>
        </w:rPr>
        <w:t>Τα ενδιαφερόμ</w:t>
      </w:r>
      <w:r>
        <w:rPr>
          <w:noProof/>
        </w:rPr>
        <w:t>ενα μέρη εκφράζουν ευρύ φάσμα απόψεων σχετικά με τις κατηγορίες των εταιρειών που θα πρέπει να υπόκεινται σε υποχρεωτικές απαιτήσεις υποβολής εκθέσεων. Οι περισσότερες οργανώσεις της κοινωνίας των πολιτών και συνδικαλιστικές οργανώσεις υποστηρίζουν την επέ</w:t>
      </w:r>
      <w:r>
        <w:rPr>
          <w:noProof/>
        </w:rPr>
        <w:t>κταση του πεδίου εφαρμογής της οδηγίας για τη δημοσιοποίηση μη χρηματοοικονομικών πληροφοριών σε ευρύ φάσμα εταιρειών, συμπεριλαμβανομένων των μεγάλων μη εισηγμένων επιχειρήσεων και των ΜΜΕ. Πολλά χρηματοπιστωτικά ιδρύματα και διαχειριστές περιουσιακών στο</w:t>
      </w:r>
      <w:r>
        <w:rPr>
          <w:noProof/>
        </w:rPr>
        <w:t xml:space="preserve">ιχείων τάσσονται υπέρ της θέσπισης αναλογικών απαιτήσεων υποβολής εκθέσεων για τις ΜΜΕ, ιδίως για τις εισηγμένες ΜΜΕ. Οι κύριες επιχειρηματικές ενώσεις τάχθηκαν κυρίως κατά της επέκτασης του πεδίου εφαρμογής των απαιτήσεων υποβολής εκθέσεων. Οι οργανώσεις </w:t>
      </w:r>
      <w:r>
        <w:rPr>
          <w:noProof/>
        </w:rPr>
        <w:t>που εκπροσωπούν τις MME και οι περισσότερες από τις ίδιες τις MME αντιτίθενται στη θέσπιση υποχρεωτικών απαιτήσεων για τις MME, αλλά παραμένουν διαλλακτικές όσον αφορά την ιδέα των αναλογικών και προαιρετικών προτύπων για αυτές. Διάφορες ομάδες ενδιαφερόμε</w:t>
      </w:r>
      <w:r>
        <w:rPr>
          <w:noProof/>
        </w:rPr>
        <w:t>νων μερών πρότειναν οι απαιτήσεις υποβολής εκθέσεων να ισχύουν επίσης για εταιρείες τρίτων χωρών.</w:t>
      </w:r>
    </w:p>
    <w:p w14:paraId="69798E09"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Συλλογή και χρήση εμπειρογνωσίας</w:t>
      </w:r>
    </w:p>
    <w:p w14:paraId="774AE2F5" w14:textId="77777777" w:rsidR="00680C0B" w:rsidRDefault="00A8232D">
      <w:pPr>
        <w:spacing w:before="0" w:after="240"/>
        <w:rPr>
          <w:rFonts w:eastAsia="Calibri"/>
          <w:noProof/>
        </w:rPr>
      </w:pPr>
      <w:r>
        <w:rPr>
          <w:noProof/>
        </w:rPr>
        <w:t>Κατά την κατάρτιση της παρούσας πρότασης, η Επιτροπή έλαβε υπόψη τις συστάσεις της ειδικής ομάδας που συστάθηκε από τη Συμβ</w:t>
      </w:r>
      <w:r>
        <w:rPr>
          <w:noProof/>
        </w:rPr>
        <w:t>ουλευτική Ομάδα για θέματα χρηματοοικονομικής αναφοράς της Ευρωπαϊκής Ένωσης (EFRAG) με σκοπό να διερευνήσει τη δυνατότητα ανάπτυξης ευρωπαϊκών προτύπων υποβολής εκθέσεων βιωσιμότητας</w:t>
      </w:r>
      <w:r>
        <w:rPr>
          <w:rStyle w:val="FootnoteReference"/>
          <w:noProof/>
        </w:rPr>
        <w:footnoteReference w:id="19"/>
      </w:r>
      <w:r>
        <w:rPr>
          <w:noProof/>
        </w:rPr>
        <w:t xml:space="preserve">. Επίσης, έλαβε υπόψη τις συστάσεις του προέδρου της EFRAG για πιθανές </w:t>
      </w:r>
      <w:r>
        <w:rPr>
          <w:noProof/>
        </w:rPr>
        <w:t>αλλαγές διακυβέρνησης στην EFRAG, σε περίπτωση που της ζητηθεί να αναπτύξει τα εν λόγω πρότυπα</w:t>
      </w:r>
      <w:r>
        <w:rPr>
          <w:rStyle w:val="FootnoteReference"/>
          <w:noProof/>
        </w:rPr>
        <w:footnoteReference w:id="20"/>
      </w:r>
      <w:r>
        <w:rPr>
          <w:noProof/>
        </w:rPr>
        <w:t>. Η διακυβέρνηση της EFRAG θα τροποποιηθεί αναλόγως πριν από την υποβολή οποιουδήποτε σχεδίου προτύπων από την EFRAG στην Επιτροπή. Ειδικότερα, θα πρέπει να δημ</w:t>
      </w:r>
      <w:r>
        <w:rPr>
          <w:noProof/>
        </w:rPr>
        <w:t>ιουργηθεί ένας νέος πυλώνας υποβολής εκθέσεων βιωσιμότητας, παράλληλα με τον υφιστάμενο πυλώνα χρηματοοικονομικής αναφοράς της EFRAG. Ο νέος πυλώνας θα πρέπει να διαθέτει άρτια δομή διακυβέρνησης και την ενδεδειγμένη διαδικασία που να αντικατοπτρίζει τον ρ</w:t>
      </w:r>
      <w:r>
        <w:rPr>
          <w:noProof/>
        </w:rPr>
        <w:t>όλο της στην ανάπτυξη προτύπων. Θα πρέπει να ενσωματώσει ευρύτερο φάσμα ενδιαφερόμενων μερών σε σύγκριση με τα ενδιαφερόμενα μέρη που υποβάλλουν παραδοσιακά χρηματοοικονομικές εκθέσεις, συμπεριλαμβανομένης της ισόρροπης εκπροσώπησης εμπειρογνωμόνων από τις</w:t>
      </w:r>
      <w:r>
        <w:rPr>
          <w:noProof/>
        </w:rPr>
        <w:t xml:space="preserve"> εθνικές αρχές, την κοινωνία των πολιτών και τον ιδιωτικό τομέα.</w:t>
      </w:r>
    </w:p>
    <w:p w14:paraId="0EF1BC3B" w14:textId="77777777" w:rsidR="00680C0B" w:rsidRDefault="00A8232D">
      <w:pPr>
        <w:spacing w:before="0" w:after="240"/>
        <w:rPr>
          <w:rFonts w:eastAsia="Arial Unicode MS"/>
          <w:noProof/>
          <w:szCs w:val="24"/>
        </w:rPr>
      </w:pPr>
      <w:r>
        <w:rPr>
          <w:noProof/>
        </w:rPr>
        <w:t>Η Επιτροπή ανέθεσε σε συμβούλους τη συλλογή δεδομένων σχετικά με την υποβολή εκθέσεων βιωσιμότητας, συμπεριλαμβανομένου του κόστους, μέσω έρευνας σε εταιρείες που εμπίπτουν στο πεδίο εφαρμογή</w:t>
      </w:r>
      <w:r>
        <w:rPr>
          <w:noProof/>
        </w:rPr>
        <w:t xml:space="preserve">ς της οδηγίας για τη δημοσιοποίηση μη χρηματοοικονομικών </w:t>
      </w:r>
      <w:r>
        <w:rPr>
          <w:noProof/>
        </w:rPr>
        <w:lastRenderedPageBreak/>
        <w:t>πληροφοριών</w:t>
      </w:r>
      <w:r>
        <w:rPr>
          <w:rStyle w:val="FootnoteReference"/>
          <w:noProof/>
        </w:rPr>
        <w:footnoteReference w:id="21"/>
      </w:r>
      <w:r>
        <w:rPr>
          <w:noProof/>
        </w:rPr>
        <w:t>. Επίσης, ανέθεσε σε συμβούλους την ανάλυση πρακτικών της αγοράς και υφιστάμενων πρακτικών στην παροχή δεδομένων, αξιολογήσεων και έρευνας όσον αφορά τη βιωσιμότητα για τον χρηματοπιστωτ</w:t>
      </w:r>
      <w:r>
        <w:rPr>
          <w:noProof/>
        </w:rPr>
        <w:t>ικό τομέα</w:t>
      </w:r>
      <w:r>
        <w:rPr>
          <w:rStyle w:val="FootnoteReference"/>
          <w:noProof/>
        </w:rPr>
        <w:footnoteReference w:id="22"/>
      </w:r>
      <w:r>
        <w:rPr>
          <w:noProof/>
        </w:rPr>
        <w:t>.</w:t>
      </w:r>
    </w:p>
    <w:p w14:paraId="6ACED436"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Εκτίμηση επιπτώσεων</w:t>
      </w:r>
    </w:p>
    <w:p w14:paraId="1BAFFEFA" w14:textId="77777777" w:rsidR="00680C0B" w:rsidRDefault="00A8232D">
      <w:pPr>
        <w:spacing w:before="0" w:after="240"/>
        <w:rPr>
          <w:rFonts w:eastAsia="Calibri"/>
          <w:noProof/>
        </w:rPr>
      </w:pPr>
      <w:r>
        <w:rPr>
          <w:noProof/>
        </w:rPr>
        <w:t>Οι υπηρεσίες της Επιτροπής συνέταξαν εκτίμηση επιπτώσεων για την παρούσα πρόταση</w:t>
      </w:r>
      <w:r>
        <w:rPr>
          <w:rStyle w:val="FootnoteReference"/>
          <w:noProof/>
        </w:rPr>
        <w:footnoteReference w:id="23"/>
      </w:r>
      <w:r>
        <w:rPr>
          <w:noProof/>
        </w:rPr>
        <w:t>. Η επιτροπή ρυθμιστικού ελέγχου διατύπωσε θετική γνώμη, με επιφυλάξεις, σχετικά με το σχέδιο της εκτίμησης επιπτώσεων</w:t>
      </w:r>
      <w:r>
        <w:rPr>
          <w:rStyle w:val="FootnoteReference"/>
          <w:noProof/>
        </w:rPr>
        <w:footnoteReference w:id="24"/>
      </w:r>
      <w:r>
        <w:rPr>
          <w:noProof/>
        </w:rPr>
        <w:t xml:space="preserve">. </w:t>
      </w:r>
    </w:p>
    <w:p w14:paraId="49D56AE7" w14:textId="77777777" w:rsidR="00680C0B" w:rsidRDefault="00A8232D">
      <w:pPr>
        <w:spacing w:before="0" w:after="240"/>
        <w:rPr>
          <w:rFonts w:eastAsia="Arial Unicode MS"/>
          <w:noProof/>
          <w:szCs w:val="24"/>
        </w:rPr>
      </w:pPr>
      <w:r>
        <w:rPr>
          <w:noProof/>
        </w:rPr>
        <w:t>Η εκτίμηση επιπτ</w:t>
      </w:r>
      <w:r>
        <w:rPr>
          <w:noProof/>
        </w:rPr>
        <w:t>ώσεων εστίασε σε επιλογές πολιτικής σε τρεις τομείς: 1) τυποποίηση — αν θα πρέπει να αναπτυχθούν πρότυπα της ΕΕ για την υποβολή εκθέσεων βιωσιμότητας και να απαιτείται η χρήση τους από τις εταιρείες· 2) διασφάλιση (έλεγχος) — αν θα πρέπει να παρέχεται διασ</w:t>
      </w:r>
      <w:r>
        <w:rPr>
          <w:noProof/>
        </w:rPr>
        <w:t>φάλιση για τις υποβαλλόμενες πληροφορίες βιωσιμότητας και, εάν ναι, σε ποιο επίπεδο· και 3) πεδίο εφαρμογής — ποιες κατηγορίες εταιρειών θα πρέπει να υπόκεινται στις απαιτήσεις υποβολής εκθέσεων.</w:t>
      </w:r>
    </w:p>
    <w:p w14:paraId="1B72EE98" w14:textId="77777777" w:rsidR="00680C0B" w:rsidRDefault="00A8232D">
      <w:pPr>
        <w:spacing w:before="0" w:after="240"/>
        <w:rPr>
          <w:rFonts w:eastAsia="Arial Unicode MS"/>
          <w:noProof/>
          <w:szCs w:val="24"/>
        </w:rPr>
      </w:pPr>
      <w:r>
        <w:rPr>
          <w:noProof/>
        </w:rPr>
        <w:t xml:space="preserve">Η προτιμώμενη επιλογή πολιτικής που προσδιορίζεται στην εκτίμηση επιπτώσεων θα: </w:t>
      </w:r>
    </w:p>
    <w:p w14:paraId="23380C6C" w14:textId="77777777" w:rsidR="00680C0B" w:rsidRDefault="00A8232D">
      <w:pPr>
        <w:pStyle w:val="Point0"/>
        <w:rPr>
          <w:noProof/>
        </w:rPr>
      </w:pPr>
      <w:r>
        <w:rPr>
          <w:noProof/>
        </w:rPr>
        <w:t>1)</w:t>
      </w:r>
      <w:r>
        <w:rPr>
          <w:noProof/>
        </w:rPr>
        <w:tab/>
        <w:t xml:space="preserve">επιβάλλει σε όλες τις εταιρείες που εμπίπτουν στο πεδίο εφαρμογής την απαίτηση να υποβάλλουν εκθέσεις σύμφωνα με τα πρότυπα της ΕΕ· </w:t>
      </w:r>
    </w:p>
    <w:p w14:paraId="38413E7C" w14:textId="77777777" w:rsidR="00680C0B" w:rsidRDefault="00A8232D">
      <w:pPr>
        <w:pStyle w:val="Point0"/>
        <w:rPr>
          <w:noProof/>
        </w:rPr>
      </w:pPr>
      <w:r>
        <w:rPr>
          <w:noProof/>
        </w:rPr>
        <w:t>2)</w:t>
      </w:r>
      <w:r>
        <w:rPr>
          <w:noProof/>
        </w:rPr>
        <w:tab/>
        <w:t xml:space="preserve">επιβάλλει σε όλες τις εταιρείες που </w:t>
      </w:r>
      <w:r>
        <w:rPr>
          <w:noProof/>
        </w:rPr>
        <w:t xml:space="preserve">εμπίπτουν στο πεδίο εφαρμογής την υποχρέωση να ζητούν περιορισμένη διασφάλιση των πληροφοριών που υποβάλλονται σχετικά με τη βιωσιμότητα, ενώ θα περιλαμβάνει τη δυνατότητα μετάβασης προς την απαίτηση εύλογης διασφάλισης σε μεταγενέστερο στάδιο· και </w:t>
      </w:r>
    </w:p>
    <w:p w14:paraId="3A06FE2D" w14:textId="77777777" w:rsidR="00680C0B" w:rsidRDefault="00A8232D">
      <w:pPr>
        <w:pStyle w:val="Point0"/>
        <w:rPr>
          <w:noProof/>
        </w:rPr>
      </w:pPr>
      <w:r>
        <w:rPr>
          <w:noProof/>
        </w:rPr>
        <w:t>3)</w:t>
      </w:r>
      <w:r>
        <w:rPr>
          <w:noProof/>
        </w:rPr>
        <w:tab/>
        <w:t>επε</w:t>
      </w:r>
      <w:r>
        <w:rPr>
          <w:noProof/>
        </w:rPr>
        <w:t>κτείνει το πεδίο εφαρμογής σε όλες τις μεγάλες επιχειρήσεις και σε όλες τις εταιρείες που είναι εισηγμένες σε ρυθμιζόμενες αγορές της ΕΕ, εκτός από τις εισηγμένες πολύ μικρές επιχειρήσεις. Το πεδίο εφαρμογής θα περιλαμβάνει εταιρείες που δεν είναι εγκατεστ</w:t>
      </w:r>
      <w:r>
        <w:rPr>
          <w:noProof/>
        </w:rPr>
        <w:t xml:space="preserve">ημένες στην ΕΕ αλλά είναι εισηγμένες σε ρυθμιζόμενες αγορές της ΕΕ, καθώς και τις θυγατρικές στην ΕΕ εταιρειών τρίτων χωρών. </w:t>
      </w:r>
    </w:p>
    <w:p w14:paraId="3951EA1A" w14:textId="77777777" w:rsidR="00680C0B" w:rsidRDefault="00A8232D">
      <w:pPr>
        <w:spacing w:before="0" w:after="240"/>
        <w:rPr>
          <w:rFonts w:eastAsia="Arial Unicode MS"/>
          <w:noProof/>
          <w:szCs w:val="24"/>
        </w:rPr>
      </w:pPr>
      <w:r>
        <w:rPr>
          <w:noProof/>
        </w:rPr>
        <w:t>Η προτιμώμενη επιλογή συνίσταται στον βέλτιστο συμβιβασμό μεταξύ δύο πιθανών τρόπων δράσης. Ο ένας είναι οι λεπτομερείς και περιορ</w:t>
      </w:r>
      <w:r>
        <w:rPr>
          <w:noProof/>
        </w:rPr>
        <w:t>ιστικές απαιτήσεις υποβολής εκθέσεων, η αυστηρή απαίτηση διασφάλισης και το ευρύ πεδίο εφαρμογής — πολύ αποτελεσματικός τρόπος ως προς την κάλυψη των αναγκών των χρηστών, αλλά πιο δαπανηρός για τους υπεύθυνους κατάρτισης των εκθέσεων. Ο άλλος είναι λιγότερ</w:t>
      </w:r>
      <w:r>
        <w:rPr>
          <w:noProof/>
        </w:rPr>
        <w:t>ο λεπτομερείς απαιτήσεις υποβολής εκθέσεων, λιγότερο αυστηρή απαίτηση διασφάλισης και στενότερο πεδίο εφαρμογής — λιγότερο αποτελεσματικός τρόπος ως προς την κάλυψη των αναγκών των χρηστών, αλλά και λιγότερο δαπανηρός για τους συντάκτες των εκθέσεων, τουλά</w:t>
      </w:r>
      <w:r>
        <w:rPr>
          <w:noProof/>
        </w:rPr>
        <w:t xml:space="preserve">χιστον βραχυπρόθεσμα. Σκοπός είναι να επιτευχθεί το πλέον συμφέρον αποτέλεσμα όσον αφορά τους στόχους και τις σχετικές δαπάνες. </w:t>
      </w:r>
    </w:p>
    <w:p w14:paraId="168EB48D" w14:textId="77777777" w:rsidR="00680C0B" w:rsidRDefault="00A8232D">
      <w:pPr>
        <w:spacing w:before="0" w:after="240"/>
        <w:rPr>
          <w:rFonts w:eastAsia="Arial Unicode MS"/>
          <w:noProof/>
          <w:szCs w:val="24"/>
        </w:rPr>
      </w:pPr>
      <w:r>
        <w:rPr>
          <w:noProof/>
        </w:rPr>
        <w:t>Η προτιμώμενη επιλογή επιτρέπει επίσης στα κράτη μέλη να εξουσιοδοτούν ανεξάρτητους παρόχους υπηρεσιών διασφάλισης, εκτός των ν</w:t>
      </w:r>
      <w:r>
        <w:rPr>
          <w:noProof/>
        </w:rPr>
        <w:t xml:space="preserve">όμιμων ελεγκτών ή των ελεγκτικών γραφείων, </w:t>
      </w:r>
      <w:r>
        <w:rPr>
          <w:noProof/>
        </w:rPr>
        <w:lastRenderedPageBreak/>
        <w:t>να διενεργούν τη διασφάλιση της υποβολής εκθέσεων βιωσιμότητας. Στόχος είναι να προσφέρεται στις εταιρείες ευρύτερη επιλογή παρόχων υπηρεσιών διασφάλισης της υποβολής εκθέσεων βιωσιμότητας.</w:t>
      </w:r>
    </w:p>
    <w:p w14:paraId="7BB1352C" w14:textId="77777777" w:rsidR="00680C0B" w:rsidRDefault="00A8232D">
      <w:pPr>
        <w:spacing w:before="0" w:after="240"/>
        <w:rPr>
          <w:rFonts w:eastAsia="Arial Unicode MS"/>
          <w:noProof/>
          <w:szCs w:val="24"/>
        </w:rPr>
      </w:pPr>
      <w:r>
        <w:rPr>
          <w:noProof/>
        </w:rPr>
        <w:t>Οι χρήστες θα επωφελούν</w:t>
      </w:r>
      <w:r>
        <w:rPr>
          <w:noProof/>
        </w:rPr>
        <w:t xml:space="preserve">ται από καλύτερη πρόσβαση σε συγκρίσιμες, συναφείς και αξιόπιστες πληροφορίες σχετικά με τη βιωσιμότητα από περισσότερες εταιρείες. Η δυνατότητα αυτή θα μειώσει, με τη σειρά της, τους επενδυτικούς κινδύνους του χρηματοπιστωτικού συστήματος, θα αυξήσει τις </w:t>
      </w:r>
      <w:r>
        <w:rPr>
          <w:noProof/>
        </w:rPr>
        <w:t>χρηματοοικονομικές ροές προς εταιρείες που έχουν θετικό αντίκτυπο στους ανθρώπους και το περιβάλλον και θα καταστήσει τις εταιρείες πιο υπόλογες. Θα παρέχει σε αποταμιευτές και επενδυτές που επιθυμούν να επενδύσουν με βιώσιμο τρόπο τη δυνατότητα να το πράξ</w:t>
      </w:r>
      <w:r>
        <w:rPr>
          <w:noProof/>
        </w:rPr>
        <w:t xml:space="preserve">ουν. Με την προτεινόμενη επιλογή θα διασφαλιστεί η υποβολή πληροφοριών βιωσιμότητας από περίπου 49 000 εταιρείες (75 % του κύκλου εργασιών όλων των εταιρειών περιορισμένης ευθύνης), σε σύγκριση με τις 11 600 εταιρείες σήμερα (47 % του κύκλου εργασιών όλων </w:t>
      </w:r>
      <w:r>
        <w:rPr>
          <w:noProof/>
        </w:rPr>
        <w:t xml:space="preserve">των εταιρειών περιορισμένης ευθύνης) που εμπίπτουν στο πεδίο εφαρμογής της οδηγίας για τη δημοσιοποίηση μη χρηματοοικονομικών πληροφοριών. Όλες οι μεγάλες επιχειρήσεις και όλες οι εταιρείες που είναι εισηγμένες σε ρυθμιζόμενες αγορές της ΕΕ (εκτός από τις </w:t>
      </w:r>
      <w:r>
        <w:rPr>
          <w:noProof/>
        </w:rPr>
        <w:t>εισηγμένες πολύ μικρές επιχειρήσεις), θα πρέπει να εφαρμόζουν τα πρότυπα της ΕΕ για την υποβολή εκθέσεων βιωσιμότητας και να ζητούν τη διασφάλιση των υποβαλλόμενων πληροφοριών. Συγκριτικά, επί του παρόντος εκτιμάται ότι μόνο το 20 % των μεγάλων επιχειρήσεω</w:t>
      </w:r>
      <w:r>
        <w:rPr>
          <w:noProof/>
        </w:rPr>
        <w:t>ν εφαρμόζει πλήρως κάποιο πρότυπο υποβολής εκθέσεων βιωσιμότητας σήμερα και μόνο το 30 % ζητεί κάποια μορφή διασφάλισης. Η προτεινόμενη επιλογή αναμένεται να έχει έμμεσες θετικές επιπτώσεις στον σεβασμό των θεμελιωδών δικαιωμάτων, καθώς και στους ανθρώπους</w:t>
      </w:r>
      <w:r>
        <w:rPr>
          <w:noProof/>
        </w:rPr>
        <w:t xml:space="preserve"> και το περιβάλλον, δεδομένου ότι οι αυστηρότερες απαιτήσεις υποβολής εκθέσεων μπορούν να επηρεάσουν προς το καλύτερο τη συμπεριφορά των επιχειρήσεων. </w:t>
      </w:r>
    </w:p>
    <w:p w14:paraId="5851E2C7" w14:textId="77777777" w:rsidR="00680C0B" w:rsidRDefault="00A8232D">
      <w:pPr>
        <w:spacing w:before="0" w:after="240"/>
        <w:rPr>
          <w:rFonts w:eastAsia="Arial Unicode MS"/>
          <w:noProof/>
          <w:szCs w:val="24"/>
        </w:rPr>
      </w:pPr>
      <w:r>
        <w:rPr>
          <w:noProof/>
        </w:rPr>
        <w:t>Το συνολικό εκτιμώμενο κόστος της προτιμώμενης επιλογής για τους υπεύθυνους κατάρτισης των εκθέσεων ανέρ</w:t>
      </w:r>
      <w:r>
        <w:rPr>
          <w:noProof/>
        </w:rPr>
        <w:t>χεται σε 1 200 εκατ. EUR για εφάπαξ δαπάνες και σε 3 600 EUR για ετήσιες επαναλαμβανόμενες δαπάνες. Επιπλέον, οι συντάκτες των εκθέσεων θα επιβαρύνονται με δαπάνες λόγω των απαιτήσεων υποβολής εκθέσεων του άρθρου 8 του κανονισμού για την ταξινόμηση</w:t>
      </w:r>
      <w:r>
        <w:rPr>
          <w:rStyle w:val="FootnoteReference"/>
          <w:noProof/>
        </w:rPr>
        <w:footnoteReference w:id="25"/>
      </w:r>
      <w:r>
        <w:rPr>
          <w:noProof/>
        </w:rPr>
        <w:t>. Σε π</w:t>
      </w:r>
      <w:r>
        <w:rPr>
          <w:noProof/>
        </w:rPr>
        <w:t>ερίπτωση που η ΕΕ δεν αναλάβει δράση, οι δαπάνες για τους συντάκτες αναμένεται σε κάθε περίπτωση να αυξηθούν σημαντικά λόγω της αύξησης των μη συντονισμένων αιτημάτων πληροφόρησης από τους χρήστες, της έλλειψης συναίνεσης ως προς τις πληροφορίες που θα πρέ</w:t>
      </w:r>
      <w:r>
        <w:rPr>
          <w:noProof/>
        </w:rPr>
        <w:t>πει να υποβάλλουν οι εταιρείες για την κάλυψη των αναγκών των χρηστών, καθώς και λόγω των δυσεπίλυτων προβλημάτων όσον αφορά την απόκτηση των πληροφοριών βιωσιμότητας που χρειάζονται για τους δικούς τους σκοπούς υποβολής εκθέσεων από προμηθευτές, πελάτες κ</w:t>
      </w:r>
      <w:r>
        <w:rPr>
          <w:noProof/>
        </w:rPr>
        <w:t>αι εταιρείες στις οποίες γίνονται επενδύσεις. Η μη διαθεσιμότητα επαρκώς αναλυτικών δεδομένων καθιστά αδύνατο τον υπολογισμό των δαπανών που βαρύνουν τους συντάκτες, ελλείψει νέων κανόνων. Ωστόσο, εκτιμάται ότι η χρήση προτύπων μπορεί να οδηγήσει σε ετήσια</w:t>
      </w:r>
      <w:r>
        <w:rPr>
          <w:noProof/>
        </w:rPr>
        <w:t xml:space="preserve"> εξοικονόμηση 24 200 EUR – 41 700 EUR ανά εταιρεία (περίπου 280 EUR – 490 εκατ. EUR ετησίως για τον σημερινό πληθυσμό των εταιρειών που εμπίπτουν στο πεδίο εφαρμογής της οδηγίας για τη δημοσιοποίηση μη χρηματοοικονομικών πληροφοριών και 1 200 EUR – 2 000 ε</w:t>
      </w:r>
      <w:r>
        <w:rPr>
          <w:noProof/>
        </w:rPr>
        <w:t xml:space="preserve">κατ. EUR ετησίως όσον αφορά την προτιμώμενη επιλογή), εάν τα </w:t>
      </w:r>
      <w:r>
        <w:rPr>
          <w:noProof/>
        </w:rPr>
        <w:lastRenderedPageBreak/>
        <w:t>πρότυπα εξαλείψουν πλήρως την ανάγκη πρόσθετων αιτημάτων πληροφόρησης προς τους συντάκτες</w:t>
      </w:r>
      <w:r>
        <w:rPr>
          <w:rStyle w:val="FootnoteReference"/>
          <w:noProof/>
        </w:rPr>
        <w:footnoteReference w:id="26"/>
      </w:r>
      <w:r>
        <w:rPr>
          <w:noProof/>
        </w:rPr>
        <w:t>.</w:t>
      </w:r>
    </w:p>
    <w:p w14:paraId="5875C7A1" w14:textId="77777777" w:rsidR="00680C0B" w:rsidRDefault="00A8232D">
      <w:pPr>
        <w:spacing w:before="0" w:after="240"/>
        <w:rPr>
          <w:rFonts w:eastAsia="Arial Unicode MS"/>
          <w:noProof/>
          <w:szCs w:val="24"/>
        </w:rPr>
      </w:pPr>
      <w:r>
        <w:rPr>
          <w:noProof/>
        </w:rPr>
        <w:t>Οι εταιρείες της ΕΕ διατρέχουν τον κίνδυνο να επιβαρυνθούν με υψηλότερες δαπάνες για την υποβολή εκθέσ</w:t>
      </w:r>
      <w:r>
        <w:rPr>
          <w:noProof/>
        </w:rPr>
        <w:t>εων σε σύγκριση με τις εταιρείες τρίτων χωρών, σε περίπτωση που άλλες δικαιοδοσίες δεν ακολουθήσουν παρόμοια προσέγγιση με την προσέγγιση που περιγράφεται στην παρούσα πρόταση. Συνεπώς, μπορεί να δημιουργηθούν συνθήκες άνισης μεταχείρισης μεταξύ των εταιρε</w:t>
      </w:r>
      <w:r>
        <w:rPr>
          <w:noProof/>
        </w:rPr>
        <w:t>ιών της ΕΕ και των εταιρειών τρίτων χωρών και, κατ’ επέκταση, να υπάρξουν αρνητικές επιπτώσεις για τους ισότιμους όρους ανταγωνισμού στην ενιαία αγορά της ΕΕ. Για να μετριαστεί ο εν λόγω κίνδυνος, οι θυγατρικές στην ΕΕ εταιρειών τρίτων χωρών, καθώς και κάθ</w:t>
      </w:r>
      <w:r>
        <w:rPr>
          <w:noProof/>
        </w:rPr>
        <w:t>ε εταιρεία τρίτης χώρας με κινητές αξίες εισηγμένες σε ρυθμιζόμενη αγορά της ΕΕ, καλύπτονται από τις απαιτήσεις υποβολής εκθέσεων που καθορίζονται στην πρόταση.</w:t>
      </w:r>
    </w:p>
    <w:p w14:paraId="39785570"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Καταλληλότητα και απλούστευση του κανονιστικού πλαισίου</w:t>
      </w:r>
    </w:p>
    <w:p w14:paraId="58727D62" w14:textId="77777777" w:rsidR="00680C0B" w:rsidRDefault="00A8232D">
      <w:pPr>
        <w:spacing w:before="0" w:after="240"/>
        <w:rPr>
          <w:rFonts w:eastAsia="Calibri"/>
          <w:noProof/>
        </w:rPr>
      </w:pPr>
      <w:r>
        <w:rPr>
          <w:noProof/>
        </w:rPr>
        <w:t xml:space="preserve">Για να διασφαλίζεται η προστασία των </w:t>
      </w:r>
      <w:r>
        <w:rPr>
          <w:noProof/>
        </w:rPr>
        <w:t>επενδυτών, όλες οι εταιρείες που είναι εισηγμένες σε ρυθμιζόμενες αγορές θα πρέπει καταρχήν να υπόκεινται στους ίδιους κανόνες για τη δημοσιοποίηση πληροφοριών. Ως εκ τούτου, οι ΜΜΕ που είναι εισηγμένες σε ρυθμιζόμενες αγορές της ΕΕ θα πρέπει να εκπληρώνου</w:t>
      </w:r>
      <w:r>
        <w:rPr>
          <w:noProof/>
        </w:rPr>
        <w:t>ν τις προτεινόμενες νέες απαιτήσεις υποβολής εκθέσεων βιωσιμότητας</w:t>
      </w:r>
      <w:r>
        <w:rPr>
          <w:rStyle w:val="FootnoteReference"/>
          <w:noProof/>
        </w:rPr>
        <w:footnoteReference w:id="27"/>
      </w:r>
      <w:r>
        <w:rPr>
          <w:noProof/>
        </w:rPr>
        <w:t>. Ωστόσο, οι απαιτήσεις για ΜΜΕ που είναι εισηγμένες σε ρυθμιζόμενες αγορές της ΕΕ θα ισχύουν μόνον 3 έτη μετά την εφαρμογή τους σε άλλες εταιρείες, ώστε να υπάρξει πρόβλεψη για τις σχετικ</w:t>
      </w:r>
      <w:r>
        <w:rPr>
          <w:noProof/>
        </w:rPr>
        <w:t>ές οικονομικές δυσκολίες που αντιμετωπίζουν οι μικρότερες επιχειρήσεις λόγω της πανδημίας COVID-19. Η εν λόγω περίοδος σταδιακής εφαρμογής θα επιτρέψει επίσης στις εισηγμένες ΜΜΕ να εφαρμόσουν τις νέες απαιτήσεις όταν θα έχουν ωριμάσει περισσότερο οι πρακτ</w:t>
      </w:r>
      <w:r>
        <w:rPr>
          <w:noProof/>
        </w:rPr>
        <w:t xml:space="preserve">ικές υποβολής εκθέσεων και διασφάλισης που αφορούν τις πληροφορίες βιωσιμότητας. Οι απαιτήσεις δημοσιοποίησης πληροφοριών που περιλαμβάνονται στην παρούσα πρόταση δεν θα ισχύουν για ΜΜΕ με κινητές αξίες εισηγμένες στις αγορές ανάπτυξης MME ή σε πολυμερείς </w:t>
      </w:r>
      <w:r>
        <w:rPr>
          <w:noProof/>
        </w:rPr>
        <w:t xml:space="preserve">μηχανισμούς διαπραγμάτευσης (ΠΜΔ). Επιπλέον, για λόγους αναλογικότητας, δεν ισχύουν για πολύ μικρές επιχειρήσεις που είναι εισηγμένες σε ρυθμιζόμενες αγορές της ΕΕ. </w:t>
      </w:r>
    </w:p>
    <w:p w14:paraId="3B40EE52" w14:textId="77777777" w:rsidR="00680C0B" w:rsidRDefault="00A8232D">
      <w:pPr>
        <w:spacing w:before="0" w:after="240"/>
        <w:rPr>
          <w:rFonts w:eastAsia="Calibri"/>
          <w:noProof/>
        </w:rPr>
      </w:pPr>
      <w:r>
        <w:rPr>
          <w:noProof/>
        </w:rPr>
        <w:t>Η παρούσα πρόταση δεν επιβάλλει σε άλλες ΜΜΕ την υποχρέωση να υποβάλλουν πληροφορίες βιωσι</w:t>
      </w:r>
      <w:r>
        <w:rPr>
          <w:noProof/>
        </w:rPr>
        <w:t>μότητας. Ωστόσο, οι μη εισηγμένες ΜΜΕ μπορούν να αποφασίσουν να χρησιμοποιούν σε προαιρετική βάση τα πρότυπα υποβολής εκθέσεων βιωσιμότητας που θα εκδώσει η Επιτροπή με τη μορφή κατ’ εξουσιοδότηση πράξεων για την υποβολή εκθέσεων από εισηγμένες ΜΜΕ. Στόχος</w:t>
      </w:r>
      <w:r>
        <w:rPr>
          <w:noProof/>
        </w:rPr>
        <w:t xml:space="preserve"> τους είναι να δώσουν σε όλες τις ΜΜΕ τη δυνατότητα να υποβάλλουν πληροφορίες με οικονομικά αποδοτικό τρόπο, ανταποκρινόμενες στα πολυάριθμα αιτήματα παροχής πληροφοριών που λαμβάνουν από άλλες εταιρείες με τις οποίες συναλλάσσονται, όπως τράπεζες, ασφαλισ</w:t>
      </w:r>
      <w:r>
        <w:rPr>
          <w:noProof/>
        </w:rPr>
        <w:t>τικές εταιρείες και μεγάλους εταιρικούς πελάτες, και να συμβάλουν στον καθορισμό των ορίων όσον αφορά τις πληροφορίες τις οποίες οι εταιρείες μπορούν ευλόγως να αναμένουν ότι θα παρέχουν οι ΜΜΕ στην αλυσίδα αξίας τους. Τα πρότυπα αυτά θα πρέπει επίσης να β</w:t>
      </w:r>
      <w:r>
        <w:rPr>
          <w:noProof/>
        </w:rPr>
        <w:t>οηθήσουν τις ΜΜΕ να προσελκύσουν πρόσθετες επενδύσεις και χρηματοδότηση και να συμμετάσχουν πλήρως στη μετάβαση προς τη βιώσιμη οικονομία που περιγράφεται στην Ευρωπαϊκή Πράσινη Συμφωνία, καθώς και να συμβάλλουν σε αυτή. Τα πρότυπα για τις ΜΜΕ θα αποτελούν</w:t>
      </w:r>
      <w:r>
        <w:rPr>
          <w:noProof/>
        </w:rPr>
        <w:t xml:space="preserve"> σημείο αναφοράς για εταιρείες που εμπίπτουν στο πεδίο εφαρμογής της οδηγίας για την υποβολή εκθέσεων βιωσιμότητας από τις εταιρείες </w:t>
      </w:r>
      <w:r>
        <w:rPr>
          <w:noProof/>
        </w:rPr>
        <w:lastRenderedPageBreak/>
        <w:t>όσον αφορά το επίπεδο των πληροφοριών βιωσιμότητας που θα μπορούν ευλόγως να ζητούν από τους προμηθευτές και τους πελάτες τ</w:t>
      </w:r>
      <w:r>
        <w:rPr>
          <w:noProof/>
        </w:rPr>
        <w:t>ων ΜΜΕ στις αλυσίδες αξίας τους.</w:t>
      </w:r>
    </w:p>
    <w:p w14:paraId="450391D6" w14:textId="77777777" w:rsidR="00680C0B" w:rsidRDefault="00A8232D">
      <w:pPr>
        <w:spacing w:before="0" w:after="240"/>
        <w:rPr>
          <w:rFonts w:eastAsia="Calibri"/>
          <w:noProof/>
          <w:szCs w:val="24"/>
        </w:rPr>
      </w:pPr>
      <w:r>
        <w:rPr>
          <w:noProof/>
        </w:rPr>
        <w:t>Η παρούσα πρόταση είναι ψηφιακά συμβατή, δεδομένου ότι επιβάλλει στις εταιρείες την υποχρέωση να επισημαίνουν ψηφιακά τις πληροφορίες βιωσιμότητας που υποβάλλουν σύμφωνα με την ψηφιακή ταξινόμηση.</w:t>
      </w:r>
    </w:p>
    <w:p w14:paraId="34FE949C"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Θεμελιώδη δικαιώματα</w:t>
      </w:r>
    </w:p>
    <w:p w14:paraId="259804A8" w14:textId="77777777" w:rsidR="00680C0B" w:rsidRDefault="00A8232D">
      <w:pPr>
        <w:pBdr>
          <w:top w:val="nil"/>
          <w:left w:val="nil"/>
          <w:bottom w:val="nil"/>
          <w:right w:val="nil"/>
          <w:between w:val="nil"/>
          <w:bar w:val="nil"/>
        </w:pBdr>
        <w:spacing w:before="0" w:after="240"/>
        <w:rPr>
          <w:rFonts w:eastAsia="Arial Unicode MS"/>
          <w:noProof/>
          <w:szCs w:val="24"/>
        </w:rPr>
      </w:pPr>
      <w:r>
        <w:rPr>
          <w:noProof/>
        </w:rPr>
        <w:t>Η π</w:t>
      </w:r>
      <w:r>
        <w:rPr>
          <w:noProof/>
        </w:rPr>
        <w:t xml:space="preserve">ρόταση τηρεί τα θεμελιώδη δικαιώματα και τις αρχές που αναγνωρίζονται στον Χάρτη των Θεμελιωδών Δικαιωμάτων της Ευρωπαϊκής Ένωσης. Θα έχει έμμεσο θετικό αντίκτυπο στα θεμελιώδη δικαιώματα, δεδομένου ότι οι αυστηρότερες απαιτήσεις υποβολής εκθέσεων μπορούν </w:t>
      </w:r>
      <w:r>
        <w:rPr>
          <w:noProof/>
        </w:rPr>
        <w:t>να επηρεάσουν τη συμπεριφορά των επιχειρήσεων προς το καλύτερο. Αναμένεται να χρησιμεύσει ώστε οι εταιρείες να αποκτήσουν μεγαλύτερη επίγνωση των θεμελιωδών δικαιωμάτων και να επηρεάσει θετικά τον τρόπο με τον οποίο προσδιορίζουν και διαχειρίζονται τις πρα</w:t>
      </w:r>
      <w:r>
        <w:rPr>
          <w:noProof/>
        </w:rPr>
        <w:t>γματικές και τις δυνητικές αρνητικές επιπτώσεις στα θεμελιώδη δικαιώματα. Αναμένεται επίσης να αυξήσει τις ροές κεφαλαίων προς τις εταιρείες που σέβονται τα θεμελιώδη δικαιώματα και, γενικότερα, να καταστήσει τις εταιρείες πιο υπόλογες ως προς τον αντίκτυπ</w:t>
      </w:r>
      <w:r>
        <w:rPr>
          <w:noProof/>
        </w:rPr>
        <w:t>ό τους στα θεμελιώδη δικαιώματα.</w:t>
      </w:r>
    </w:p>
    <w:p w14:paraId="53F76EA8" w14:textId="77777777" w:rsidR="00680C0B" w:rsidRDefault="00A8232D">
      <w:pPr>
        <w:pStyle w:val="ManualHeading1"/>
        <w:rPr>
          <w:noProof/>
        </w:rPr>
      </w:pPr>
      <w:r>
        <w:rPr>
          <w:noProof/>
        </w:rPr>
        <w:t>4.</w:t>
      </w:r>
      <w:r>
        <w:rPr>
          <w:noProof/>
        </w:rPr>
        <w:tab/>
        <w:t>ΔΗΜΟΣΙΟΝΟΜΙΚΕΣ ΕΠΙΠΤΩΣΕΙΣ</w:t>
      </w:r>
    </w:p>
    <w:p w14:paraId="565D03C3" w14:textId="77777777" w:rsidR="00680C0B" w:rsidRDefault="00A8232D">
      <w:pPr>
        <w:pBdr>
          <w:top w:val="nil"/>
          <w:left w:val="nil"/>
          <w:bottom w:val="nil"/>
          <w:right w:val="nil"/>
          <w:between w:val="nil"/>
          <w:bar w:val="nil"/>
        </w:pBdr>
        <w:spacing w:before="0" w:after="240"/>
        <w:rPr>
          <w:rFonts w:eastAsia="Arial Unicode MS"/>
          <w:i/>
          <w:noProof/>
          <w:szCs w:val="24"/>
        </w:rPr>
      </w:pPr>
      <w:r>
        <w:rPr>
          <w:noProof/>
        </w:rPr>
        <w:t>Η παρούσα πρόταση δεν συνεπάγεται δημοσιονομικές επιπτώσεις. Για τις δαπάνες που αφορούν τη χρηματοδότηση της ανάπτυξης προτύπων της ΕΕ για την υποβολή εκθέσεων βιωσιμότητας θα χρησιμοποιηθούν υ</w:t>
      </w:r>
      <w:r>
        <w:rPr>
          <w:noProof/>
        </w:rPr>
        <w:t>φιστάμενοι δημοσιονομικοί πόροι.</w:t>
      </w:r>
    </w:p>
    <w:p w14:paraId="49663CC9" w14:textId="77777777" w:rsidR="00680C0B" w:rsidRDefault="00A8232D">
      <w:pPr>
        <w:pStyle w:val="ManualHeading1"/>
        <w:rPr>
          <w:noProof/>
        </w:rPr>
      </w:pPr>
      <w:r>
        <w:rPr>
          <w:noProof/>
        </w:rPr>
        <w:t>5.</w:t>
      </w:r>
      <w:r>
        <w:rPr>
          <w:noProof/>
        </w:rPr>
        <w:tab/>
        <w:t>ΛΟΙΠΑ ΣΤΟΙΧΕΙΑ</w:t>
      </w:r>
    </w:p>
    <w:p w14:paraId="7236C8E7"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Σχέδια εφαρμογής και ρυθμίσεις παρακολούθησης, αξιολόγησης και υποβολής εκθέσεων</w:t>
      </w:r>
    </w:p>
    <w:p w14:paraId="3AC6369C" w14:textId="77777777" w:rsidR="00680C0B" w:rsidRDefault="00A8232D">
      <w:pPr>
        <w:pBdr>
          <w:top w:val="nil"/>
          <w:left w:val="nil"/>
          <w:bottom w:val="nil"/>
          <w:right w:val="nil"/>
          <w:between w:val="nil"/>
          <w:bar w:val="nil"/>
        </w:pBdr>
        <w:spacing w:before="0" w:after="240"/>
        <w:rPr>
          <w:noProof/>
        </w:rPr>
      </w:pPr>
      <w:r>
        <w:rPr>
          <w:noProof/>
        </w:rPr>
        <w:t>Για την παρακολούθηση της προόδου όσον αφορά την επίτευξη των ειδικών στόχων της πρότασης, η Επιτροπή θα διερευνήσει τη δυνατότητα διοργάνωσης περιοδικών ερευνών για τους χρήστες και τους συντάκτες, ανάλογα με τη διαθεσιμότητα των χρηματοοικονομικών πόρων.</w:t>
      </w:r>
      <w:r>
        <w:rPr>
          <w:noProof/>
        </w:rPr>
        <w:t xml:space="preserve"> </w:t>
      </w:r>
    </w:p>
    <w:p w14:paraId="6129DFB4" w14:textId="77777777" w:rsidR="00680C0B" w:rsidRDefault="00A8232D">
      <w:pPr>
        <w:pBdr>
          <w:top w:val="nil"/>
          <w:left w:val="nil"/>
          <w:bottom w:val="nil"/>
          <w:right w:val="nil"/>
          <w:between w:val="nil"/>
          <w:bar w:val="nil"/>
        </w:pBdr>
        <w:spacing w:before="0" w:after="240"/>
        <w:rPr>
          <w:noProof/>
        </w:rPr>
      </w:pPr>
      <w:r>
        <w:rPr>
          <w:noProof/>
        </w:rPr>
        <w:t>Η πρόταση περιλαμβάνει την υποχρέωση της Επιτροπής να υποβάλλει στο Ευρωπαϊκό Κοινοβούλιο και στο Συμβούλιο εκθέσεις σχετικά με την εφαρμογή των απαιτήσεων διασφάλισης το αργότερο 3 έτη μετά την έναρξη εφαρμογής της παρούσας οδηγίας. Η έκθεση θα συνοδεύε</w:t>
      </w:r>
      <w:r>
        <w:rPr>
          <w:noProof/>
        </w:rPr>
        <w:t>ται, κατά περίπτωση, από νομοθετικές προτάσεις για αυστηρότερες απαιτήσεις διασφάλισης («εύλογη διασφάλιση»).</w:t>
      </w:r>
    </w:p>
    <w:p w14:paraId="1E77DED9" w14:textId="77777777" w:rsidR="00680C0B" w:rsidRDefault="00A8232D">
      <w:pPr>
        <w:pBdr>
          <w:top w:val="nil"/>
          <w:left w:val="nil"/>
          <w:bottom w:val="nil"/>
          <w:right w:val="nil"/>
          <w:between w:val="nil"/>
          <w:bar w:val="nil"/>
        </w:pBdr>
        <w:spacing w:before="0" w:after="240"/>
        <w:rPr>
          <w:rFonts w:eastAsia="Arial Unicode MS"/>
          <w:noProof/>
          <w:szCs w:val="24"/>
        </w:rPr>
      </w:pPr>
      <w:r>
        <w:rPr>
          <w:noProof/>
        </w:rPr>
        <w:t xml:space="preserve">Η παρούσα πρόταση δεν απαιτεί σχέδιο εφαρμογής. </w:t>
      </w:r>
    </w:p>
    <w:p w14:paraId="77ACF83B"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Επεξηγηματικά έγγραφα (για οδηγίες)</w:t>
      </w:r>
    </w:p>
    <w:p w14:paraId="41BBE1A0" w14:textId="77777777" w:rsidR="00680C0B" w:rsidRDefault="00A8232D">
      <w:pPr>
        <w:pBdr>
          <w:top w:val="nil"/>
          <w:left w:val="nil"/>
          <w:bottom w:val="nil"/>
          <w:right w:val="nil"/>
          <w:between w:val="nil"/>
          <w:bar w:val="nil"/>
        </w:pBdr>
        <w:spacing w:before="0" w:after="240"/>
        <w:rPr>
          <w:rFonts w:eastAsia="Arial Unicode MS"/>
          <w:noProof/>
          <w:szCs w:val="24"/>
        </w:rPr>
      </w:pPr>
      <w:r>
        <w:rPr>
          <w:noProof/>
        </w:rPr>
        <w:t xml:space="preserve">Δεν θεωρείται αναγκαίο κανένα επεξηγηματικό έγγραφο. </w:t>
      </w:r>
    </w:p>
    <w:p w14:paraId="5FCB8A12" w14:textId="77777777" w:rsidR="00680C0B" w:rsidRDefault="00A8232D">
      <w:pPr>
        <w:pStyle w:val="ManualHeading2"/>
        <w:rPr>
          <w:rFonts w:eastAsia="Arial Unicode MS"/>
          <w:noProof/>
          <w:u w:color="000000"/>
          <w:bdr w:val="nil"/>
        </w:rPr>
      </w:pPr>
      <w:r>
        <w:rPr>
          <w:noProof/>
          <w:u w:color="000000"/>
          <w:bdr w:val="nil"/>
        </w:rPr>
        <w:t>•</w:t>
      </w:r>
      <w:r>
        <w:rPr>
          <w:noProof/>
        </w:rPr>
        <w:tab/>
      </w:r>
      <w:r>
        <w:rPr>
          <w:noProof/>
          <w:u w:color="000000"/>
          <w:bdr w:val="nil"/>
        </w:rPr>
        <w:t>Αναλυτική επεξήγηση των επιμέρους διατάξεων της πρότασης</w:t>
      </w:r>
    </w:p>
    <w:p w14:paraId="1E7CB14D" w14:textId="77777777" w:rsidR="00680C0B" w:rsidRDefault="00A8232D">
      <w:pPr>
        <w:pBdr>
          <w:top w:val="nil"/>
          <w:left w:val="nil"/>
          <w:bottom w:val="nil"/>
          <w:right w:val="nil"/>
          <w:between w:val="nil"/>
          <w:bar w:val="nil"/>
        </w:pBdr>
        <w:spacing w:before="0" w:after="240"/>
        <w:rPr>
          <w:noProof/>
        </w:rPr>
      </w:pPr>
      <w:r>
        <w:rPr>
          <w:noProof/>
        </w:rPr>
        <w:t xml:space="preserve">Το </w:t>
      </w:r>
      <w:r>
        <w:rPr>
          <w:noProof/>
          <w:u w:val="single"/>
        </w:rPr>
        <w:t>άρθρο 1</w:t>
      </w:r>
      <w:r>
        <w:rPr>
          <w:noProof/>
        </w:rPr>
        <w:t xml:space="preserve"> τροποποιεί την οδηγία 2013/34/ΕΕ (στο εξής: λογιστική οδηγία). </w:t>
      </w:r>
    </w:p>
    <w:p w14:paraId="30AAABDE" w14:textId="77777777" w:rsidR="00680C0B" w:rsidRDefault="00A8232D">
      <w:pPr>
        <w:pBdr>
          <w:top w:val="nil"/>
          <w:left w:val="nil"/>
          <w:bottom w:val="nil"/>
          <w:right w:val="nil"/>
          <w:between w:val="nil"/>
          <w:bar w:val="nil"/>
        </w:pBdr>
        <w:spacing w:before="0" w:after="240"/>
        <w:rPr>
          <w:noProof/>
        </w:rPr>
      </w:pPr>
      <w:r>
        <w:rPr>
          <w:noProof/>
        </w:rPr>
        <w:t>Το άρθρο 1 παράγραφος 1 επεκτείνει το πεδίο εφαρμογής των άρθρων της</w:t>
      </w:r>
      <w:r>
        <w:rPr>
          <w:noProof/>
        </w:rPr>
        <w:t xml:space="preserve"> λογιστικής οδηγίας όσον αφορά τις υποχρεώσεις υποβολής εκθέσεων βιωσιμότητας στα πιστωτικά ιδρύματα και </w:t>
      </w:r>
      <w:r>
        <w:rPr>
          <w:noProof/>
        </w:rPr>
        <w:lastRenderedPageBreak/>
        <w:t>τις ασφαλιστικές εταιρείες που, σύμφωνα με τη λογιστική οδηγία, δεν είναι εταιρείες περιορισμένης ευθύνης ή δεν θεωρούνται ότι έχουν περιορισμένη ευθύν</w:t>
      </w:r>
      <w:r>
        <w:rPr>
          <w:noProof/>
        </w:rPr>
        <w:t>η, συμπεριλαμβανομένων των συνεταιριστικών τραπεζών και των αλληλασφαλιστικών εταιρειών και συνεταιριστικών ασφαλιστικών εταιρειών, υπό την προϋπόθεση ότι πληρούν τα σχετικά κριτήρια μεγέθους.</w:t>
      </w:r>
    </w:p>
    <w:p w14:paraId="1E9035C6" w14:textId="77777777" w:rsidR="00680C0B" w:rsidRDefault="00A8232D">
      <w:pPr>
        <w:pBdr>
          <w:top w:val="nil"/>
          <w:left w:val="nil"/>
          <w:bottom w:val="nil"/>
          <w:right w:val="nil"/>
          <w:between w:val="nil"/>
          <w:bar w:val="nil"/>
        </w:pBdr>
        <w:spacing w:before="0" w:after="240"/>
        <w:rPr>
          <w:noProof/>
        </w:rPr>
      </w:pPr>
      <w:r>
        <w:rPr>
          <w:noProof/>
        </w:rPr>
        <w:t>Το άρθρο 1 παράγραφος 2 ορίζει κάποιες έννοιες που είναι αναγκα</w:t>
      </w:r>
      <w:r>
        <w:rPr>
          <w:noProof/>
        </w:rPr>
        <w:t>ίες για την πρόταση. Εισάγει και ορίζει τις έννοιες «θέματα βιωσιμότητας» και «υποβολή εκθέσεων βιωσιμότητας», ενώ οι ισχύουσες διατάξεις της λογιστικής οδηγίας αναφέρονται σε «μη χρηματοοικονομικές πληροφορίες». Ορίζει επίσης τις έννοιες «ανεξάρτητος πάρο</w:t>
      </w:r>
      <w:r>
        <w:rPr>
          <w:noProof/>
        </w:rPr>
        <w:t>χος υπηρεσιών διασφάλισης» και «άυλα στοιχεία ενεργητικού».</w:t>
      </w:r>
    </w:p>
    <w:p w14:paraId="1D6BA368" w14:textId="77777777" w:rsidR="00680C0B" w:rsidRDefault="00A8232D">
      <w:pPr>
        <w:pBdr>
          <w:top w:val="nil"/>
          <w:left w:val="nil"/>
          <w:bottom w:val="nil"/>
          <w:right w:val="nil"/>
          <w:between w:val="nil"/>
          <w:bar w:val="nil"/>
        </w:pBdr>
        <w:spacing w:before="0" w:after="240"/>
        <w:rPr>
          <w:noProof/>
        </w:rPr>
      </w:pPr>
      <w:r>
        <w:rPr>
          <w:noProof/>
        </w:rPr>
        <w:t>Το άρθρο 1 παράγραφος 3 αντικαθιστά το άρθρο 19α της λογιστικής οδηγίας, το οποίο καθορίζει τις απαιτήσεις υποβολής εκθέσεων βιωσιμότητας για ορισμένες εταιρείες. Η πρόταση τροποποιεί το άρθρο 19α</w:t>
      </w:r>
      <w:r>
        <w:rPr>
          <w:noProof/>
        </w:rPr>
        <w:t xml:space="preserve"> ως εξής:</w:t>
      </w:r>
    </w:p>
    <w:p w14:paraId="45688248" w14:textId="77777777" w:rsidR="00680C0B" w:rsidRDefault="00A8232D">
      <w:pPr>
        <w:pStyle w:val="Tiret0"/>
        <w:numPr>
          <w:ilvl w:val="0"/>
          <w:numId w:val="3"/>
        </w:numPr>
        <w:rPr>
          <w:noProof/>
        </w:rPr>
      </w:pPr>
      <w:r>
        <w:rPr>
          <w:noProof/>
        </w:rPr>
        <w:t>Τροποποιεί το προσωπικό πεδίο εφαρμογής των απαιτήσεων υποβολής εκθέσεων, επεκτείνοντας την εφαρμογή τους σε όλες τις μεγάλες επιχειρήσεις και σε όλες τις εταιρείες με τίτλους εισηγμένους σε ρυθμιζόμενες αγορές της ΕΕ, με εξαίρεση τις πολύ μικρές</w:t>
      </w:r>
      <w:r>
        <w:rPr>
          <w:noProof/>
        </w:rPr>
        <w:t xml:space="preserve"> επιχειρήσεις. Προκειμένου να μετριαστεί η επιβάρυνση των εισηγμένων ΜΜΕ όσον αφορά την υποβολή εκθέσεων θα πρέπει να αρχίσουν να υποβάλλουν εκθέσεις σύμφωνα με την παρούσα οδηγία 3 έτη μετά την έναρξη εφαρμογής της.</w:t>
      </w:r>
    </w:p>
    <w:p w14:paraId="555AD228" w14:textId="77777777" w:rsidR="00680C0B" w:rsidRDefault="00A8232D">
      <w:pPr>
        <w:pStyle w:val="Tiret0"/>
        <w:numPr>
          <w:ilvl w:val="0"/>
          <w:numId w:val="3"/>
        </w:numPr>
        <w:rPr>
          <w:noProof/>
        </w:rPr>
      </w:pPr>
      <w:r>
        <w:rPr>
          <w:noProof/>
        </w:rPr>
        <w:t>Αποσαφηνίζει την αρχή της διπλής σημαντ</w:t>
      </w:r>
      <w:r>
        <w:rPr>
          <w:noProof/>
        </w:rPr>
        <w:t xml:space="preserve">ικότητας, εξαλείφοντας κάθε ασάφεια σχετικά με το γεγονός ότι οι εταιρείες θα πρέπει να υποβάλλουν πληροφορίες που είναι αναγκαίες για την κατανόηση του τρόπου με τον οποίο επηρεάζονται οι ίδιες από θέματα βιωσιμότητας, και πληροφορίες που είναι αναγκαίες </w:t>
      </w:r>
      <w:r>
        <w:rPr>
          <w:noProof/>
        </w:rPr>
        <w:t>για την κατανόηση του αντίκτυπου που έχουν οι ίδιες οι εταιρείες στους ανθρώπους και το περιβάλλον.</w:t>
      </w:r>
    </w:p>
    <w:p w14:paraId="183D25BF" w14:textId="77777777" w:rsidR="00680C0B" w:rsidRDefault="00A8232D">
      <w:pPr>
        <w:pStyle w:val="Tiret0"/>
        <w:numPr>
          <w:ilvl w:val="0"/>
          <w:numId w:val="3"/>
        </w:numPr>
        <w:rPr>
          <w:noProof/>
        </w:rPr>
      </w:pPr>
      <w:r>
        <w:rPr>
          <w:noProof/>
        </w:rPr>
        <w:t>Προσδιορίζει λεπτομερέστερα τις πληροφορίες που θα πρέπει να δημοσιοποιούν οι εταιρείες. Σε σύγκριση με τις ισχύουσες διατάξεις, θεσπίζει νέες απαιτήσεις, σ</w:t>
      </w:r>
      <w:r>
        <w:rPr>
          <w:noProof/>
        </w:rPr>
        <w:t>ύμφωνα με τις οποίες οι εταιρείες πρέπει να παρέχουν πληροφορίες σχετικά με τη στρατηγική τους, τους στόχους τους, τον ρόλο του διοικητικού συμβουλίου και της διοίκησής τους, τις κύριες αρνητικές επιπτώσεις που συνδέονται με την εταιρεία και την αλυσίδα αξ</w:t>
      </w:r>
      <w:r>
        <w:rPr>
          <w:noProof/>
        </w:rPr>
        <w:t>ίας της, τα άυλα στοιχεία ενεργητικού και τον τρόπο με τον οποίο έχουν προσδιορίσει τις πληροφορίες που υποβάλλουν.</w:t>
      </w:r>
    </w:p>
    <w:p w14:paraId="7CDDC25C" w14:textId="77777777" w:rsidR="00680C0B" w:rsidRDefault="00A8232D">
      <w:pPr>
        <w:pStyle w:val="Tiret0"/>
        <w:numPr>
          <w:ilvl w:val="0"/>
          <w:numId w:val="3"/>
        </w:numPr>
        <w:rPr>
          <w:noProof/>
        </w:rPr>
      </w:pPr>
      <w:r>
        <w:rPr>
          <w:noProof/>
        </w:rPr>
        <w:t>Ορίζει ότι οι εταιρείες θα πρέπει να υποβάλλουν ποιοτικές και ποσοτικές πληροφορίες, μελλοντοστραφείς και αναδρομικές πληροφορίες, καθώς και</w:t>
      </w:r>
      <w:r>
        <w:rPr>
          <w:noProof/>
        </w:rPr>
        <w:t xml:space="preserve"> πληροφορίες που καλύπτουν βραχυπρόθεσμους, μεσοπρόθεσμους και μακροπρόθεσμους χρονικούς ορίζοντες, ανάλογα με την περίπτωση.</w:t>
      </w:r>
    </w:p>
    <w:p w14:paraId="6276498B" w14:textId="77777777" w:rsidR="00680C0B" w:rsidRDefault="00A8232D">
      <w:pPr>
        <w:pStyle w:val="Tiret0"/>
        <w:numPr>
          <w:ilvl w:val="0"/>
          <w:numId w:val="3"/>
        </w:numPr>
        <w:rPr>
          <w:noProof/>
        </w:rPr>
      </w:pPr>
      <w:r>
        <w:rPr>
          <w:noProof/>
        </w:rPr>
        <w:t>Επιβάλλει σε όλες τις εταιρείες που εμπίπτουν στο πεδίο εφαρμογής της την υποχρέωση να υποβάλλουν εκθέσεις σύμφωνα με τα ευρωπαϊκά</w:t>
      </w:r>
      <w:r>
        <w:rPr>
          <w:noProof/>
        </w:rPr>
        <w:t xml:space="preserve"> πρότυπα υποβολής εκθέσεων βιωσιμότητας, ενώ στις εισηγμένες ΜΜΕ που εμπίπτουν στο πεδίο εφαρμογής της επιβάλλει την υποχρέωση να υποβάλλουν εκθέσεις σύμφωνα με τα πρότυπα υποβολής εκθέσεων βιωσιμότητας που αφορούν ειδικά τις ΜΜΕ.</w:t>
      </w:r>
    </w:p>
    <w:p w14:paraId="6EF038BA" w14:textId="77777777" w:rsidR="00680C0B" w:rsidRDefault="00A8232D">
      <w:pPr>
        <w:pStyle w:val="Tiret0"/>
        <w:numPr>
          <w:ilvl w:val="0"/>
          <w:numId w:val="3"/>
        </w:numPr>
        <w:rPr>
          <w:noProof/>
        </w:rPr>
      </w:pPr>
      <w:r>
        <w:rPr>
          <w:noProof/>
        </w:rPr>
        <w:t>Καταργεί τη δυνατότητα τω</w:t>
      </w:r>
      <w:r>
        <w:rPr>
          <w:noProof/>
        </w:rPr>
        <w:t>ν κρατών μελών να επιτρέπουν στις εταιρείες να υποβάλλουν τις απαιτούμενες πληροφορίες σε χωριστή έκθεση που δεν αποτελεί μέρος της έκθεσης διαχείρισης.</w:t>
      </w:r>
    </w:p>
    <w:p w14:paraId="10BD329B" w14:textId="77777777" w:rsidR="00680C0B" w:rsidRDefault="00A8232D">
      <w:pPr>
        <w:pStyle w:val="Tiret0"/>
        <w:numPr>
          <w:ilvl w:val="0"/>
          <w:numId w:val="3"/>
        </w:numPr>
        <w:rPr>
          <w:noProof/>
        </w:rPr>
      </w:pPr>
      <w:r>
        <w:rPr>
          <w:noProof/>
        </w:rPr>
        <w:t xml:space="preserve">Επιβάλλει στις απαλλασσόμενες θυγατρικές εταιρείες την υποχρέωση να δημοσιεύουν την ενοποιημένη έκθεση </w:t>
      </w:r>
      <w:r>
        <w:rPr>
          <w:noProof/>
        </w:rPr>
        <w:t xml:space="preserve">διαχείρισης της μητρικής εταιρείας που υποβάλλει εκθέσεις </w:t>
      </w:r>
      <w:r>
        <w:rPr>
          <w:noProof/>
        </w:rPr>
        <w:lastRenderedPageBreak/>
        <w:t>σε επίπεδο ομίλου και να συμπεριλαμβάνουν στη (μεμονωμένη) έκθεση διαχείρισης της νομικής οντότητας αναφορά στο γεγονός ότι η εν λόγω εταιρεία απαλλάσσεται από τις απαιτήσεις της οδηγίας.</w:t>
      </w:r>
    </w:p>
    <w:p w14:paraId="454B21AD" w14:textId="77777777" w:rsidR="00680C0B" w:rsidRDefault="00A8232D">
      <w:pPr>
        <w:pBdr>
          <w:top w:val="nil"/>
          <w:left w:val="nil"/>
          <w:bottom w:val="nil"/>
          <w:right w:val="nil"/>
          <w:between w:val="nil"/>
          <w:bar w:val="nil"/>
        </w:pBdr>
        <w:spacing w:before="0" w:after="240"/>
        <w:rPr>
          <w:noProof/>
        </w:rPr>
      </w:pPr>
      <w:r>
        <w:rPr>
          <w:noProof/>
        </w:rPr>
        <w:t>Το άρθρο 1</w:t>
      </w:r>
      <w:r>
        <w:rPr>
          <w:noProof/>
        </w:rPr>
        <w:t xml:space="preserve"> παράγραφος 4 εισάγει στη λογιστική οδηγία τρεις νέες διατάξεις, τα άρθρα 19β, 19γ και 19δ, σχετικά με τα πρότυπα υποβολής εκθέσεων βιωσιμότητας. Το άρθρο 19β εξουσιοδοτεί την Επιτροπή να εκδίδει ενωσιακά πρότυπα υποβολής εκθέσεων βιωσιμότητας μέσω κατ’ εξ</w:t>
      </w:r>
      <w:r>
        <w:rPr>
          <w:noProof/>
        </w:rPr>
        <w:t>ουσιοδότηση πράξεων και προσδιορίζει τις απαιτήσεις για την έκδοσή τους. Πρώτον, καθορίζει ελάχιστα κριτήρια ποιότητας, τα οποία θα πρέπει να πληρούν οι πληροφορίες που υποβάλλονται σύμφωνα με τα πρότυπα. Δεύτερον, προσδιορίζει τα θέματα που θα πρέπει να κ</w:t>
      </w:r>
      <w:r>
        <w:rPr>
          <w:noProof/>
        </w:rPr>
        <w:t>αλύπτουν τα πρότυπα. Τρίτον, προσδιορίζει συγκεκριμένα μέσα και πρωτοβουλίες που θα πρέπει να λαμβάνει ιδιαιτέρως υπόψη η Επιτροπή κατά τη λήψη αποφάσεων σχετικά με το περιεχόμενο των κατ’ εξουσιοδότηση πράξεων, συμπεριλαμβανομένων ορισμένων νομοθετικών πρ</w:t>
      </w:r>
      <w:r>
        <w:rPr>
          <w:noProof/>
        </w:rPr>
        <w:t>άξεων της ΕΕ, καθώς και τις εργασίες διεθνών πρωτοβουλιών καθορισμού προτύπων για την υποβολή εκθέσεων βιωσιμότητας. Επιβάλλει επίσης στην Επιτροπή την υποχρέωση να εκδώσει μια πρώτη δέσμη προτύπων έως τις 31 Οκτωβρίου 2022. Η εν λόγω δέσμη προτύπων θα πρέ</w:t>
      </w:r>
      <w:r>
        <w:rPr>
          <w:noProof/>
        </w:rPr>
        <w:t>πει να προσδιορίζει τις πληροφορίες που θα πρέπει να υποβάλλουν οι εταιρείες σχετικά με όλα τα θέματα βιωσιμότητας και όλους τους τομείς υποβολής στοιχείων που απαριθμούνται στο άρθρο 19α παράγραφος 2. Οι εν λόγω κατ’ εξουσιοδότηση πράξεις θα πρέπει να προ</w:t>
      </w:r>
      <w:r>
        <w:rPr>
          <w:noProof/>
        </w:rPr>
        <w:t xml:space="preserve">σδιορίζουν τουλάχιστον τις πληροφορίες που θα πρέπει να υποβάλλουν οι εταιρείες για την εξυπηρέτηση των αναγκών των συμμετεχόντων στις χρηματοπιστωτικές αγορές σύμφωνα με τις απαιτήσεις γνωστοποίησης του κανονισμού (ΕΕ) 2019/2088. Η δεύτερη δέσμη προτύπων </w:t>
      </w:r>
      <w:r>
        <w:rPr>
          <w:noProof/>
        </w:rPr>
        <w:t>θα πρέπει να εκδοθεί το αργότερο έως τις 31 Οκτωβρίου 2023. Η εν λόγω δέσμη προτύπων θα πρέπει να προσδιορίζει τις συμπληρωματικές πληροφορίες που θα πρέπει να υποβάλλουν οι εταιρείες σχετικά με θέματα βιωσιμότητας και τους τομείς υποβολής στοιχείων που απ</w:t>
      </w:r>
      <w:r>
        <w:rPr>
          <w:noProof/>
        </w:rPr>
        <w:t>αριθμούνται στο άρθρο 19α παράγραφος 2, κατά περίπτωση, καθώς και πληροφορίες που αφορούν ειδικά τον τομέα στον οποίο δραστηριοποιείται κάθε εταιρεία. Τέλος, σύμφωνα με το άρθρο 19β, η Επιτροπή υποχρεούται να επανεξετάζει τα πρότυπα τουλάχιστον ανά τριετία</w:t>
      </w:r>
      <w:r>
        <w:rPr>
          <w:noProof/>
        </w:rPr>
        <w:t>, ώστε να λαμβάνονται υπόψη οι σχετικές εξελίξεις, συμπεριλαμβανομένων των εξελίξεων στα διεθνή πρότυπα. Το άρθρο 19γ επιβάλλει στην Επιτροπή την υποχρέωση να εκδώσει πρότυπα υποβολής εκθέσεων βιωσιμότητας για μικρές και μεσαίες επιχειρήσεις έως τις 31 Οκτ</w:t>
      </w:r>
      <w:r>
        <w:rPr>
          <w:noProof/>
        </w:rPr>
        <w:t>ωβρίου 2023. Σύμφωνα με το άρθρο 19δ, οι εταιρείες υποχρεούνται να καταρτίζουν τις οικονομικές τους καταστάσεις και την έκθεση διαχείρισής τους σε ενιαίο ηλεκτρονικό μορφότυπο για την υποβολή αναφορών σύμφωνα με το άρθρο 3 του κατ’ εξουσιοδότηση κανονισμού</w:t>
      </w:r>
      <w:r>
        <w:rPr>
          <w:noProof/>
        </w:rPr>
        <w:t xml:space="preserve"> (ΕΕ) 2019/815 της Επιτροπής και να επισημαίνουν τις πληροφορίες βιωσιμότητας όπως και όταν ορίζεται στον εν λόγω κανονισμό</w:t>
      </w:r>
      <w:r>
        <w:rPr>
          <w:rStyle w:val="FootnoteReference"/>
          <w:noProof/>
        </w:rPr>
        <w:footnoteReference w:id="28"/>
      </w:r>
      <w:r>
        <w:rPr>
          <w:noProof/>
        </w:rPr>
        <w:t>.</w:t>
      </w:r>
    </w:p>
    <w:p w14:paraId="6E57BA9E" w14:textId="77777777" w:rsidR="00680C0B" w:rsidRDefault="00A8232D">
      <w:pPr>
        <w:pBdr>
          <w:top w:val="nil"/>
          <w:left w:val="nil"/>
          <w:bottom w:val="nil"/>
          <w:right w:val="nil"/>
          <w:between w:val="nil"/>
          <w:bar w:val="nil"/>
        </w:pBdr>
        <w:spacing w:before="0" w:after="240"/>
        <w:rPr>
          <w:noProof/>
        </w:rPr>
      </w:pPr>
      <w:r>
        <w:rPr>
          <w:noProof/>
        </w:rPr>
        <w:t>Το άρθρο 1 παράγραφος 5 τροποποιεί το άρθρο 20 προκειμένου οι εισηγμένες εταιρείες που υπόκεινται στην παρούσα διάταξη να συμπερι</w:t>
      </w:r>
      <w:r>
        <w:rPr>
          <w:noProof/>
        </w:rPr>
        <w:t>λαμβάνουν αναφορά στο φύλο στην περιγραφή της πολιτικής σχετικά με την πολυμορφία που εφαρμόζεται για τα διοικητικά, διαχειριστικά και εποπτικά όργανα της εταιρείας. Τροποποιεί επίσης το άρθρο 20 προκειμένου να παρέχεται η δυνατότητα στις εισηγμένες επιχει</w:t>
      </w:r>
      <w:r>
        <w:rPr>
          <w:noProof/>
        </w:rPr>
        <w:t xml:space="preserve">ρήσεις που υπάγονται στο άρθρο 20 να συμμορφώνονται </w:t>
      </w:r>
      <w:r>
        <w:rPr>
          <w:noProof/>
        </w:rPr>
        <w:lastRenderedPageBreak/>
        <w:t>με τις απαιτήσεις που καθορίζονται στα στοιχεία γ), στ) και ζ), συμπεριλαμβάνοντας τις αναγκαίες πληροφορίες στο πλαίσιο της υποβολής των εκθέσεων βιωσιμότητάς τους</w:t>
      </w:r>
      <w:r>
        <w:rPr>
          <w:rStyle w:val="FootnoteReference"/>
          <w:noProof/>
        </w:rPr>
        <w:footnoteReference w:id="29"/>
      </w:r>
      <w:r>
        <w:rPr>
          <w:noProof/>
        </w:rPr>
        <w:t xml:space="preserve">. </w:t>
      </w:r>
    </w:p>
    <w:p w14:paraId="369F3842" w14:textId="77777777" w:rsidR="00680C0B" w:rsidRDefault="00A8232D">
      <w:pPr>
        <w:pBdr>
          <w:top w:val="nil"/>
          <w:left w:val="nil"/>
          <w:bottom w:val="nil"/>
          <w:right w:val="nil"/>
          <w:between w:val="nil"/>
          <w:bar w:val="nil"/>
        </w:pBdr>
        <w:spacing w:before="0" w:after="240"/>
        <w:rPr>
          <w:noProof/>
          <w:szCs w:val="24"/>
        </w:rPr>
      </w:pPr>
      <w:r>
        <w:rPr>
          <w:noProof/>
        </w:rPr>
        <w:t xml:space="preserve">Το άρθρο 1 παράγραφος 6 </w:t>
      </w:r>
      <w:r>
        <w:rPr>
          <w:noProof/>
        </w:rPr>
        <w:t>τροποποιεί το άρθρο 23 της λογιστικής οδηγίας, διευκρινίζοντας ότι το καθεστώς απαλλαγής για τις ενοποιημένες οικονομικές καταστάσεις και τις ενοποιημένες εκθέσεις διαχείρισης λειτουργεί ανεξάρτητα από το καθεστώς απαλλαγής για την ενοποιημένη υποβολή εκθέ</w:t>
      </w:r>
      <w:r>
        <w:rPr>
          <w:noProof/>
        </w:rPr>
        <w:t>σεων βιωσιμότητας. Κατά συνέπεια, μια εταιρεία μπορεί να απαλλάσσεται από τις απαιτήσεις υποβολής ενοποιημένων οικονομικών καταστάσεων, αλλά όχι από τις απαιτήσεις υποβολής εκθέσεων βιωσιμότητας. Κάτι τέτοιο ισχύει όταν η τελική μητρική εταιρεία της εταιρε</w:t>
      </w:r>
      <w:r>
        <w:rPr>
          <w:noProof/>
        </w:rPr>
        <w:t>ίας καταρτίζει ενοποιημένες οικονομικές καταστάσεις και ενοποιημένες εκθέσεις διαχείρισης σύμφωνα με το δίκαιο της ΕΕ ή ισοδύναμες απαιτήσεις εάν πρόκειται για τρίτη χώρα, αλλά δεν καταρτίζει ενοποιημένες εκθέσεις βιωσιμότητας σύμφωνα με το δίκαιο της ΕΕ ή</w:t>
      </w:r>
      <w:r>
        <w:rPr>
          <w:noProof/>
        </w:rPr>
        <w:t xml:space="preserve"> ισοδύναμες απαιτήσεις εάν πρόκειται για τρίτη χώρα.</w:t>
      </w:r>
    </w:p>
    <w:p w14:paraId="153E155E" w14:textId="77777777" w:rsidR="00680C0B" w:rsidRDefault="00A8232D">
      <w:pPr>
        <w:pBdr>
          <w:top w:val="nil"/>
          <w:left w:val="nil"/>
          <w:bottom w:val="nil"/>
          <w:right w:val="nil"/>
          <w:between w:val="nil"/>
          <w:bar w:val="nil"/>
        </w:pBdr>
        <w:spacing w:before="0" w:after="240"/>
        <w:rPr>
          <w:noProof/>
        </w:rPr>
      </w:pPr>
      <w:r>
        <w:rPr>
          <w:noProof/>
        </w:rPr>
        <w:t>Το άρθρο 1 παράγραφος 7 αντικαθιστά το άρθρο 29α της λογιστικής οδηγίας, ώστε όλες οι απαιτήσεις υποβολής εκθέσεων βιωσιμότητας του άρθρου 19α να εφαρμόζονται, κατά περίπτωση, στις μητρικές εταιρείες που</w:t>
      </w:r>
      <w:r>
        <w:rPr>
          <w:noProof/>
        </w:rPr>
        <w:t xml:space="preserve"> υποβάλλουν εκθέσεις σε ενοποιημένη βάση για ολόκληρο τον όμιλο. </w:t>
      </w:r>
    </w:p>
    <w:p w14:paraId="09C68561" w14:textId="77777777" w:rsidR="00680C0B" w:rsidRDefault="00A8232D">
      <w:pPr>
        <w:pBdr>
          <w:top w:val="nil"/>
          <w:left w:val="nil"/>
          <w:bottom w:val="nil"/>
          <w:right w:val="nil"/>
          <w:between w:val="nil"/>
          <w:bar w:val="nil"/>
        </w:pBdr>
        <w:spacing w:before="0" w:after="240"/>
        <w:rPr>
          <w:noProof/>
        </w:rPr>
      </w:pPr>
      <w:r>
        <w:rPr>
          <w:noProof/>
        </w:rPr>
        <w:t>Το άρθρο 1 παράγραφος 8 τροποποιεί το άρθρο 30 της λογιστικής οδηγίας με σκοπό την εναρμόνισή της με τις νέες απαιτήσεις υποβολής εκθέσεων βιωσιμότητας. Πρώτον, τροποποιείται ώστε να απαιτεί</w:t>
      </w:r>
      <w:r>
        <w:rPr>
          <w:noProof/>
        </w:rPr>
        <w:t xml:space="preserve"> από τα κράτη μέλη να διασφαλίζουν ότι οι εταιρείες δημοσιεύουν εντός 12 μηνών μετά την ημερομηνία κλεισίματος του ισολογισμού, τις νόμιμα εγκεκριμένες ετήσιες οικονομικές καταστάσεις και την έκθεση διαχείρισης με τον ηλεκτρονικό μορφότυπο που προβλέπεται </w:t>
      </w:r>
      <w:r>
        <w:rPr>
          <w:noProof/>
        </w:rPr>
        <w:t>στο νέο άρθρο 19δ. Δεύτερον, τροποποιείται με σκοπό να προβλέπεται ότι, σε περίπτωση που διατυπώνεται γνώμη σχετικά με την υποβολή εκθέσεων βιωσιμότητας από ανεξάρτητο πάροχο υπηρεσιών διασφάλισης, εκτός του νόμιμου ελεγκτή, η εν λόγω γνώμη θα πρέπει να δη</w:t>
      </w:r>
      <w:r>
        <w:rPr>
          <w:noProof/>
        </w:rPr>
        <w:t>μοσιεύεται μαζί με τις ετήσιες οικονομικές καταστάσεις και την έκθεση διαχείρισης. Τέλος, τροποποιείται προκειμένου να επιβληθεί η υποχρέωση στα κράτη μέλη να διασφαλίζουν ότι οι εκθέσεις διαχείρισης που περιέχουν πληροφορίες σχετικές με τη βιωσιμότητα καθ</w:t>
      </w:r>
      <w:r>
        <w:rPr>
          <w:noProof/>
        </w:rPr>
        <w:t xml:space="preserve">ίστανται διαθέσιμες, χωρίς χρονοτριβή μετά τη δημοσίευσή τους, στον σχετικό επίσημα καθορισμένο μηχανισμό που αναφέρεται στην οδηγία 2004/109/ΕΚ του Ευρωπαϊκού Κοινοβουλίου και του Συμβουλίου (οδηγία για τη διαφάνεια). Διευκρινίζει ότι σε περίπτωση που οι </w:t>
      </w:r>
      <w:r>
        <w:rPr>
          <w:noProof/>
        </w:rPr>
        <w:t>εταιρείες οι οποίες συντάσσουν εκθέσεις βιωσιμότητας δεν είναι εισηγμένες σε ρυθμιζόμενες αγορές της ΕΕ, ο οικείος επίσημα καθορισμένος μηχανισμός θα πρέπει να είναι ένας από τους επίσημα καθορισμένους μηχανισμούς του κράτους μέλους στο οποίο έχει την κατα</w:t>
      </w:r>
      <w:r>
        <w:rPr>
          <w:noProof/>
        </w:rPr>
        <w:t>στατική της έδρα η εν λόγω εταιρεία. Αυτό είναι απαραίτητο για τη συμπερίληψη των πληροφοριών βιωσιμότητας που δημοσιοποιούνται από εταιρείες στο ευρωπαϊκό ενιαίο σημείο πρόσβασης, το οποίο θα δημιουργηθεί όπως ανακοινώθηκε στη δράση 1 του σχεδίου δράσης γ</w:t>
      </w:r>
      <w:r>
        <w:rPr>
          <w:noProof/>
        </w:rPr>
        <w:t>ια την Ένωση Κεφαλαιαγορών.</w:t>
      </w:r>
    </w:p>
    <w:p w14:paraId="1FF77FA1" w14:textId="77777777" w:rsidR="00680C0B" w:rsidRDefault="00A8232D">
      <w:pPr>
        <w:pBdr>
          <w:top w:val="nil"/>
          <w:left w:val="nil"/>
          <w:bottom w:val="nil"/>
          <w:right w:val="nil"/>
          <w:between w:val="nil"/>
          <w:bar w:val="nil"/>
        </w:pBdr>
        <w:spacing w:before="0" w:after="240"/>
        <w:rPr>
          <w:noProof/>
        </w:rPr>
      </w:pPr>
      <w:r>
        <w:rPr>
          <w:noProof/>
        </w:rPr>
        <w:t>Το άρθρο 1 παράγραφος 9 τροποποιεί το άρθρο 33 της λογιστικής οδηγίας, εναρμονίζοντας τη συλλογική ευθύνη των μελών των διοικητικών, διαχειριστικών και εποπτικών οργάνων μιας εταιρείας με τις αναθεωρημένες απαιτήσεις υποβολής εκ</w:t>
      </w:r>
      <w:r>
        <w:rPr>
          <w:noProof/>
        </w:rPr>
        <w:t xml:space="preserve">θέσεων βιωσιμότητας. Ειδικότερα, επιβάλλει στα διοικητικά, διαχειριστικά και εποπτικά όργανα την υποχρέωση να διασφαλίζουν ότι η εν λόγω εταιρεία έχει υποβάλει εκθέσεις σύμφωνα με τα πρότυπα της ΕΕ για την υποβολή </w:t>
      </w:r>
      <w:r>
        <w:rPr>
          <w:noProof/>
        </w:rPr>
        <w:lastRenderedPageBreak/>
        <w:t>εκθέσεων βιωσιμότητας, και με τον απαιτούμ</w:t>
      </w:r>
      <w:r>
        <w:rPr>
          <w:noProof/>
        </w:rPr>
        <w:t>ενο ψηφιακό μορφότυπο, και διαγράφει την παραπομπή στην επί του παρόντος επιτρεπόμενη χωριστή έκθεση για την υποβολή εκθέσεων βιωσιμότητας.</w:t>
      </w:r>
    </w:p>
    <w:p w14:paraId="74E80F76" w14:textId="77777777" w:rsidR="00680C0B" w:rsidRDefault="00A8232D">
      <w:pPr>
        <w:pBdr>
          <w:top w:val="nil"/>
          <w:left w:val="nil"/>
          <w:bottom w:val="nil"/>
          <w:right w:val="nil"/>
          <w:between w:val="nil"/>
          <w:bar w:val="nil"/>
        </w:pBdr>
        <w:spacing w:before="0" w:after="240"/>
        <w:rPr>
          <w:noProof/>
          <w:szCs w:val="24"/>
        </w:rPr>
      </w:pPr>
      <w:r>
        <w:rPr>
          <w:noProof/>
        </w:rPr>
        <w:t>Το άρθρο 1 παράγραφος 10 τροποποιεί το άρθρο 34 της λογιστικής οδηγίας όσον αφορά τη διασφάλιση των εκθέσεων βιωσιμό</w:t>
      </w:r>
      <w:r>
        <w:rPr>
          <w:noProof/>
        </w:rPr>
        <w:t>τητας. Ειδικότερα, υποχρεώνει τους νόμιμους ελεγκτές να εκτελούν τη δέσμευση παροχής περιορισμένης διασφάλισης όσον αφορά την υποβολή εκθέσεων βιωσιμότητας μιας εταιρείας, μεταξύ άλλων ως προς τη συμμόρφωση της έκθεσης βιωσιμότητας με τα πρότυπα υποβολής ε</w:t>
      </w:r>
      <w:r>
        <w:rPr>
          <w:noProof/>
        </w:rPr>
        <w:t>κθέσεων βιωσιμότητας, τη διαδικασία που διενεργεί η εταιρεία για τον προσδιορισμό των πληροφοριών που υποβάλλονται σύμφωνα με τα πρότυπα, τη σήμανση της έκθεσης βιωσιμότητας, καθώς και τους δείκτες που αναφέρονται σύμφωνα με το άρθρο 8 του κανονισμού για τ</w:t>
      </w:r>
      <w:r>
        <w:rPr>
          <w:noProof/>
        </w:rPr>
        <w:t>ην ταξινόμηση. Επιπλέον, προβλέπει ότι τα κράτη μέλη επιτρέπουν σε οποιονδήποτε ανεξάρτητο πάροχο υπηρεσιών διασφάλισης, ο οποίος είναι διαπιστευμένος σύμφωνα με τον κανονισμό (ΕΚ) αριθ. 765/2008 του Ευρωπαϊκού Κοινοβουλίου και του Συμβουλίου, να διατυπώνε</w:t>
      </w:r>
      <w:r>
        <w:rPr>
          <w:noProof/>
        </w:rPr>
        <w:t>ι γνώμη σχετικά με την υποβολή εκθέσεων βιωσιμότητας βάσει δέσμευσης παροχής περιορισμένης διασφάλισης. Επιβάλλει επίσης στα κράτη μέλη την υποχρέωση να διασφαλίζουν ότι καθορίζονται συνεπείς απαιτήσεις για όλα τα πρόσωπα και τις επιχειρήσεις, συμπεριλαμβα</w:t>
      </w:r>
      <w:r>
        <w:rPr>
          <w:noProof/>
        </w:rPr>
        <w:t>νομένων των νόμιμων ελεγκτών και των ελεγκτικών γραφείων, που επιτρέπεται να διατυπώνουν τη γνώμη τους σχετικά με τη διασφάλιση της υποβολής εκθέσεων βιωσιμότητας.</w:t>
      </w:r>
    </w:p>
    <w:p w14:paraId="05A6291E" w14:textId="77777777" w:rsidR="00680C0B" w:rsidRDefault="00A8232D">
      <w:pPr>
        <w:rPr>
          <w:noProof/>
        </w:rPr>
      </w:pPr>
      <w:r>
        <w:rPr>
          <w:noProof/>
        </w:rPr>
        <w:t>Το άρθρο 1 παράγραφος 11 τροποποιεί το άρθρο 49 της λογιστικής οδηγίας, θεσπίζοντας τους όρο</w:t>
      </w:r>
      <w:r>
        <w:rPr>
          <w:noProof/>
        </w:rPr>
        <w:t>υς ανάθεσης στην Επιτροπή της εξουσίας να εκδίδει κατ’ εξουσιοδότηση πράξεις σχετικά με τα πρότυπα υποβολής εκθέσεων βιωσιμότητας που αναφέρονται στο νέο άρθρο 19β. Επιβάλλει στην Επιτροπή την υποχρέωση να λαμβάνει υπόψη τις τεχνικές συμβουλές της Συμβουλε</w:t>
      </w:r>
      <w:r>
        <w:rPr>
          <w:noProof/>
        </w:rPr>
        <w:t>υτικής Ομάδας για θέματα χρηματοοικονομικής αναφοράς της Ευρωπαϊκής Ένωσης (EFRAG) κατά την κατάρτιση των εν λόγω πράξεων, υπό την προϋπόθεση ότι έχουν καταρτιστεί με ορθές διαδικασίες, δημόσια εποπτεία και διαφάνεια, καθώς και με την εμπειρογνωσία των σχε</w:t>
      </w:r>
      <w:r>
        <w:rPr>
          <w:noProof/>
        </w:rPr>
        <w:t xml:space="preserve">τικών ενδιαφερομένων, και ότι συνοδεύονται από αναλύσεις κόστους-οφέλους, οι οποίες θα διευκολύνουν την έκδοση προτύπων από την Επιτροπή. Η παρούσα παράγραφος επιβάλλει επίσης στην Ευρωπαϊκή Αρχή Κινητών Αξιών και Αγορών (ESMA) να διατυπώνει γνώμη σχετικά </w:t>
      </w:r>
      <w:r>
        <w:rPr>
          <w:noProof/>
        </w:rPr>
        <w:t>με τις τεχνικές συμβουλές που παρέχει η EFRAG προτού εκδώσει πρότυπα. Η γνώμη αυτή θα πρέπει να υποβάλλεται εντός δύο μηνών από την ημερομηνία παραλαβής του αιτήματος από την Επιτροπή. Πρόκειται για εύλογο χρονικό διάστημα, δεδομένου ότι η ESMA θα συμμετέχ</w:t>
      </w:r>
      <w:r>
        <w:rPr>
          <w:noProof/>
        </w:rPr>
        <w:t xml:space="preserve">ει στις εργασίες της EFRAG και, επομένως, θα είναι εξοικειωμένη με το περιεχόμενο των τεχνικών συμβουλών της EFRAG πριν υποβληθούν στην Επιτροπή. Η Επιτροπή υποχρεούται επίσης να ζητεί, πριν από την έκδοση προτύπων, τη γνώμη της ομάδας εμπειρογνωμόνων των </w:t>
      </w:r>
      <w:r>
        <w:rPr>
          <w:noProof/>
        </w:rPr>
        <w:t>κρατών μελών για τη βιώσιμη χρηματοδότηση, της Ευρωπαϊκής Αρχής Τραπεζών (ΕΑΤ), της Ευρωπαϊκής Αρχής Ασφαλίσεων και Επαγγελματικών Συντάξεων (EIOPA), του Ευρωπαϊκού Οργανισμού Περιβάλλοντος (ΕΟΠ), του Οργανισμού Θεμελιωδών Δικαιωμάτων της Ευρωπαϊκής Ένωσης</w:t>
      </w:r>
      <w:r>
        <w:rPr>
          <w:noProof/>
        </w:rPr>
        <w:t xml:space="preserve"> (FRA), της Ευρωπαϊκής Κεντρικής Τράπεζας, της Επιτροπής Ευρωπαϊκών Φορέων Εποπτείας των Ελεγκτών και της πλατφόρμας για τη βιώσιμη χρηματοδότηση. Όταν ένα από τα ανωτέρω όργανα αποφασίζει να υποβάλει γνώμη, το πράττει εντός δύο μηνών από την ημερομηνία δι</w:t>
      </w:r>
      <w:r>
        <w:rPr>
          <w:noProof/>
        </w:rPr>
        <w:t>αβούλευσης με την Επιτροπή.</w:t>
      </w:r>
    </w:p>
    <w:p w14:paraId="52841221" w14:textId="77777777" w:rsidR="00680C0B" w:rsidRDefault="00A8232D">
      <w:pPr>
        <w:pBdr>
          <w:top w:val="nil"/>
          <w:left w:val="nil"/>
          <w:bottom w:val="nil"/>
          <w:right w:val="nil"/>
          <w:between w:val="nil"/>
          <w:bar w:val="nil"/>
        </w:pBdr>
        <w:spacing w:before="0" w:after="240"/>
        <w:rPr>
          <w:noProof/>
        </w:rPr>
      </w:pPr>
      <w:r>
        <w:rPr>
          <w:noProof/>
        </w:rPr>
        <w:t xml:space="preserve">Το άρθρο 1 παράγραφος 12 τροποποιεί το άρθρο 51 της λογιστικής οδηγίας, προσδιορίζοντας τα ελάχιστα είδη κυρώσεων και διοικητικών μέτρων που θα πρέπει να προβλέπουν τα κράτη μέλη σε περίπτωση παράβασης των εθνικών διατάξεων για </w:t>
      </w:r>
      <w:r>
        <w:rPr>
          <w:noProof/>
        </w:rPr>
        <w:t>τη μεταφορά των απαιτήσεων υποβολής εκθέσεων βιωσιμότητας της λογιστικής οδηγίας στο εθνικό δίκαιο.</w:t>
      </w:r>
    </w:p>
    <w:p w14:paraId="2FB8589A" w14:textId="77777777" w:rsidR="00680C0B" w:rsidRDefault="00A8232D">
      <w:pPr>
        <w:pBdr>
          <w:top w:val="nil"/>
          <w:left w:val="nil"/>
          <w:bottom w:val="nil"/>
          <w:right w:val="nil"/>
          <w:between w:val="nil"/>
          <w:bar w:val="nil"/>
        </w:pBdr>
        <w:spacing w:before="0" w:after="240"/>
        <w:rPr>
          <w:noProof/>
        </w:rPr>
      </w:pPr>
      <w:r>
        <w:rPr>
          <w:noProof/>
        </w:rPr>
        <w:lastRenderedPageBreak/>
        <w:t xml:space="preserve">Το </w:t>
      </w:r>
      <w:r>
        <w:rPr>
          <w:noProof/>
          <w:u w:val="single"/>
        </w:rPr>
        <w:t>άρθρο 2</w:t>
      </w:r>
      <w:r>
        <w:rPr>
          <w:noProof/>
        </w:rPr>
        <w:t xml:space="preserve"> τροποποιεί την οδηγία 2004/109/ΕΚ (οδηγία για τη διαφάνεια). </w:t>
      </w:r>
    </w:p>
    <w:p w14:paraId="4E2BD2E7" w14:textId="77777777" w:rsidR="00680C0B" w:rsidRDefault="00A8232D">
      <w:pPr>
        <w:pBdr>
          <w:top w:val="nil"/>
          <w:left w:val="nil"/>
          <w:bottom w:val="nil"/>
          <w:right w:val="nil"/>
          <w:between w:val="nil"/>
          <w:bar w:val="nil"/>
        </w:pBdr>
        <w:spacing w:before="0" w:after="240"/>
        <w:rPr>
          <w:noProof/>
        </w:rPr>
      </w:pPr>
      <w:r>
        <w:rPr>
          <w:noProof/>
        </w:rPr>
        <w:t>Το άρθρο 2 παράγραφος 1 εισάγει και ορίζει την έννοια της «υποβολής εκθέσεων βιωσιμ</w:t>
      </w:r>
      <w:r>
        <w:rPr>
          <w:noProof/>
        </w:rPr>
        <w:t>ότητας» που είναι αναγκαία για την πρόταση.</w:t>
      </w:r>
    </w:p>
    <w:p w14:paraId="0246C249" w14:textId="77777777" w:rsidR="00680C0B" w:rsidRDefault="00A8232D">
      <w:pPr>
        <w:pBdr>
          <w:top w:val="nil"/>
          <w:left w:val="nil"/>
          <w:bottom w:val="nil"/>
          <w:right w:val="nil"/>
          <w:between w:val="nil"/>
          <w:bar w:val="nil"/>
        </w:pBdr>
        <w:spacing w:before="0" w:after="240"/>
        <w:rPr>
          <w:rFonts w:eastAsia="Times New Roman"/>
          <w:noProof/>
          <w:szCs w:val="24"/>
        </w:rPr>
      </w:pPr>
      <w:r>
        <w:rPr>
          <w:noProof/>
        </w:rPr>
        <w:t xml:space="preserve">Το άρθρο 2 παράγραφος 2 τροποποιεί το άρθρο 4 της οδηγίας για τη διαφάνεια, με σκοπό να λαμβάνονται υπόψη οι ρυθμιζόμενες πληροφορίες από πλευράς υποβολής εκθέσεων βιωσιμότητας που θα πρέπει να </w:t>
      </w:r>
      <w:r>
        <w:rPr>
          <w:noProof/>
        </w:rPr>
        <w:t>καταρτίζονται και να δημοσιεύονται βάσει των διατάξεων της εν λόγω οδηγίας. Πρώτον, τροποποιείται προκειμένου να επιβάλλεται η υποχρέωση η ετήσια οικονομική έκθεση να περιλαμβάνει δηλώσεις των υπευθύνων για την υποβολή χρηματοοικονομικών εκθέσεων στον εκδό</w:t>
      </w:r>
      <w:r>
        <w:rPr>
          <w:noProof/>
        </w:rPr>
        <w:t>τη ότι, εξ όσων γνωρίζουν, η έκθεση διαχείρισης έχει συνταχθεί σύμφωνα με τα πρότυπα υποβολής εκθέσεων βιωσιμότητας, όπως απαιτείται από την οδηγία 2013/34/ΕΕ, κατά περίπτωση. Η απαίτηση να συμπεριλαμβάνονται οι εκθέσεις βιωσιμότητας στην έκθεση διαχείριση</w:t>
      </w:r>
      <w:r>
        <w:rPr>
          <w:noProof/>
        </w:rPr>
        <w:t>ς, ως αποτέλεσμα των τροποποιήσεων που θεσπίζει η παρούσα οδηγία, εξαλείφει την ανάγκη τροποποίησης του άρθρου 4 παράγραφος 2 στοιχείο β) της οδηγίας 2004/109/ΕΚ. Δεύτερον, επικαιροποιούνται οι παραπομπές σε διατάξεις της λογιστικής οδηγίας και της οδηγίας</w:t>
      </w:r>
      <w:r>
        <w:rPr>
          <w:noProof/>
        </w:rPr>
        <w:t> 2006/43/ΕΚ (οδηγία για τους ελέγχους) όσον αφορά την υποχρέωση ελέγχου των οικονομικών καταστάσεων, σύμφωνα με το άρθρο 34 παράγραφος 1 της λογιστικής οδηγίας, και την υποχρέωση δήλωσης αν ο ελεγκτής ή το ελεγκτικό γραφείο έχει εντοπίσει ουσιώδεις ανακρίβ</w:t>
      </w:r>
      <w:r>
        <w:rPr>
          <w:noProof/>
        </w:rPr>
        <w:t>ειες στην έκθεση διαχείρισης, καθώς και όσον αφορά την υποχρέωση δημοσιοποίησης της έκθεσης ελέγχου, συμπεριλαμβανομένης της γνώμης σχετικά με τη διασφάλιση της έκθεσης βιωσιμότητας. Τέλος, επικαιροποιούνται οι παραπομπές σε διατάξεις της λογιστικής οδηγία</w:t>
      </w:r>
      <w:r>
        <w:rPr>
          <w:noProof/>
        </w:rPr>
        <w:t>ς όσον αφορά την σύνταξη της έκθεσης διαχείρισης, και τροποποιούνται ώστε να απαιτείται η υποβολή εκθέσεων βιωσιμότητας. Οι τροποποιήσεις αυτές επιτρέπουν την επέκταση των απαιτήσεων υποβολής εκθέσεων βιωσιμότητας σε εταιρείες που είναι εισηγμένες σε ρυθμι</w:t>
      </w:r>
      <w:r>
        <w:rPr>
          <w:noProof/>
        </w:rPr>
        <w:t>ζόμενες αγορές της ΕΕ, με εξαίρεση τις πολύ μικρές επιχειρήσεις, συμπεριλαμβανομένων των εκδοτών τρίτων χωρών. Αποσαφηνίζουν επίσης τη νομική εντολή που έχουν οι εθνικές αρμόδιες αρχές να εποπτεύουν την υποβολή εκθέσεων βιωσιμότητας.</w:t>
      </w:r>
    </w:p>
    <w:p w14:paraId="6F98203E" w14:textId="77777777" w:rsidR="00680C0B" w:rsidRDefault="00A8232D">
      <w:pPr>
        <w:pBdr>
          <w:top w:val="nil"/>
          <w:left w:val="nil"/>
          <w:bottom w:val="nil"/>
          <w:right w:val="nil"/>
          <w:between w:val="nil"/>
          <w:bar w:val="nil"/>
        </w:pBdr>
        <w:spacing w:before="0" w:after="240"/>
        <w:rPr>
          <w:noProof/>
          <w:szCs w:val="24"/>
        </w:rPr>
      </w:pPr>
      <w:r>
        <w:rPr>
          <w:noProof/>
        </w:rPr>
        <w:t>Το άρθρο 2 παράγραφος </w:t>
      </w:r>
      <w:r>
        <w:rPr>
          <w:noProof/>
        </w:rPr>
        <w:t>3 τροποποιεί το άρθρο 23 παράγραφος 4 της οδηγίας για τη διαφάνεια, με σκοπό να ανατεθεί στην Επιτροπή η εξουσία να εκδώσει μέτρα για την καθιέρωση μηχανισμού για τον προσδιορισμό της ισοδυναμίας των προτύπων υποβολής εκθέσεων βιωσιμότητας που χρησιμοποιού</w:t>
      </w:r>
      <w:r>
        <w:rPr>
          <w:noProof/>
        </w:rPr>
        <w:t>ν εκδότες τρίτων χωρών και να λαμβάνει τις αναγκαίες αποφάσεις για την ισοδυναμία αυτή. Τυχόν αποφάσεις σχετικά με την ισοδυναμία των προτύπων υποβολής εκθέσεων βιωσιμότητας που χρησιμοποιούν εκδότες τρίτων χωρών θα είναι ανεξάρτητες από τις αποφάσεις ισοδ</w:t>
      </w:r>
      <w:r>
        <w:rPr>
          <w:noProof/>
        </w:rPr>
        <w:t>υναμίας που αφορούν τα πρότυπα χρηματοοικονομικής αναφοράς.</w:t>
      </w:r>
    </w:p>
    <w:p w14:paraId="3A19CD6F" w14:textId="77777777" w:rsidR="00680C0B" w:rsidRDefault="00A8232D">
      <w:pPr>
        <w:rPr>
          <w:noProof/>
          <w:szCs w:val="24"/>
        </w:rPr>
      </w:pPr>
      <w:r>
        <w:rPr>
          <w:noProof/>
        </w:rPr>
        <w:t>Το άρθρο 2 παράγραφος 4 εισάγει στην οδηγία για τη διαφάνεια το άρθρο 28δ, το οποίο επιβάλλει στην Ευρωπαϊκή Αρχή Κινητών Αξιών και Αγορών (ESMA) την υποχρέωση να εκδίδει κατευθυντήριες γραμμές γι</w:t>
      </w:r>
      <w:r>
        <w:rPr>
          <w:noProof/>
        </w:rPr>
        <w:t>α τις εθνικές αρμόδιες αρχές, με σκοπό την προώθηση της εποπτικής σύγκλισης της υποβολής εκθέσεων βιωσιμότητας. Ο κανονισμός ESMA [κανονισμός (ΕΕ) αριθ. 1095/2010] χαρακτηρίζει την οδηγία για τη διαφάνεια ως μία από τις νομοθετικές πράξεις της Ένωσης που κ</w:t>
      </w:r>
      <w:r>
        <w:rPr>
          <w:noProof/>
        </w:rPr>
        <w:t>αθορίζουν το πεδίο δράσης της ESMA.</w:t>
      </w:r>
    </w:p>
    <w:p w14:paraId="0AEADCE4" w14:textId="77777777" w:rsidR="00680C0B" w:rsidRDefault="00A8232D">
      <w:pPr>
        <w:pBdr>
          <w:top w:val="nil"/>
          <w:left w:val="nil"/>
          <w:bottom w:val="nil"/>
          <w:right w:val="nil"/>
          <w:between w:val="nil"/>
          <w:bar w:val="nil"/>
        </w:pBdr>
        <w:spacing w:before="0" w:after="240"/>
        <w:rPr>
          <w:noProof/>
          <w:szCs w:val="24"/>
        </w:rPr>
      </w:pPr>
      <w:r>
        <w:rPr>
          <w:noProof/>
        </w:rPr>
        <w:t xml:space="preserve">Το </w:t>
      </w:r>
      <w:r>
        <w:rPr>
          <w:noProof/>
          <w:szCs w:val="24"/>
          <w:u w:val="single"/>
        </w:rPr>
        <w:t>άρθρο 3</w:t>
      </w:r>
      <w:r>
        <w:rPr>
          <w:noProof/>
        </w:rPr>
        <w:t xml:space="preserve"> τροποποιεί την οδηγία 2006/43/ΕΚ (οδηγία για τους ελέγχους). </w:t>
      </w:r>
    </w:p>
    <w:p w14:paraId="6F28C7D4" w14:textId="77777777" w:rsidR="00680C0B" w:rsidRDefault="00A8232D">
      <w:pPr>
        <w:pBdr>
          <w:top w:val="nil"/>
          <w:left w:val="nil"/>
          <w:bottom w:val="nil"/>
          <w:right w:val="nil"/>
          <w:between w:val="nil"/>
          <w:bar w:val="nil"/>
        </w:pBdr>
        <w:spacing w:before="0" w:after="240"/>
        <w:rPr>
          <w:noProof/>
          <w:szCs w:val="24"/>
        </w:rPr>
      </w:pPr>
      <w:r>
        <w:rPr>
          <w:noProof/>
        </w:rPr>
        <w:t>Το άρθρο 3 παράγραφος 1 τροποποιεί το άρθρο 1 της οδηγίας για τους ελέγχους, δηλαδή το αντικείμενο της, ώστε να συμπεριληφθεί η διασφάλιση των ετήσ</w:t>
      </w:r>
      <w:r>
        <w:rPr>
          <w:noProof/>
        </w:rPr>
        <w:t>ιων και των ενοποιημένων εκθέσεων βιωσιμότητας, σε περίπτωση που πραγματοποιείται από τον νόμιμο ελεγκτή ή το ελεγκτικό γραφείο που διενεργεί τον υποχρεωτικό έλεγχο των οικονομικών καταστάσεων.</w:t>
      </w:r>
    </w:p>
    <w:p w14:paraId="0A870847" w14:textId="77777777" w:rsidR="00680C0B" w:rsidRDefault="00A8232D">
      <w:pPr>
        <w:pBdr>
          <w:top w:val="nil"/>
          <w:left w:val="nil"/>
          <w:bottom w:val="nil"/>
          <w:right w:val="nil"/>
          <w:between w:val="nil"/>
          <w:bar w:val="nil"/>
        </w:pBdr>
        <w:spacing w:before="0" w:after="240"/>
        <w:rPr>
          <w:noProof/>
          <w:szCs w:val="24"/>
        </w:rPr>
      </w:pPr>
      <w:r>
        <w:rPr>
          <w:noProof/>
        </w:rPr>
        <w:lastRenderedPageBreak/>
        <w:t>Το άρθρο 3 παράγραφος 2 τροποποιεί και εισάγει ορισμένους ορισ</w:t>
      </w:r>
      <w:r>
        <w:rPr>
          <w:noProof/>
        </w:rPr>
        <w:t>μούς, οι οποίοι είναι αναγκαίοι για την πρόταση, στο άρθρο 2 της οδηγίας για τους ελέγχους. Τροποποιεί τους ορισμούς για τον «νόμιμο ελεγκτή» και το «ελεγκτικό γραφείο», ώστε να λαμβάνονται υπόψη οι πιθανές εργασίες τους για τη διασφάλιση της έκθεσης βιωσι</w:t>
      </w:r>
      <w:r>
        <w:rPr>
          <w:noProof/>
        </w:rPr>
        <w:t>μότητας, κατά περίπτωση. Επιπλέον, εισάγει και ορίζει τους όρους «διασφάλιση της υποβολής εκθέσεων βιωσιμότητας» και «υποβολή εκθέσεων βιωσιμότητας».</w:t>
      </w:r>
    </w:p>
    <w:p w14:paraId="795553CC" w14:textId="77777777" w:rsidR="00680C0B" w:rsidRDefault="00A8232D">
      <w:pPr>
        <w:pBdr>
          <w:top w:val="nil"/>
          <w:left w:val="nil"/>
          <w:bottom w:val="nil"/>
          <w:right w:val="nil"/>
          <w:between w:val="nil"/>
          <w:bar w:val="nil"/>
        </w:pBdr>
        <w:spacing w:before="0" w:after="240"/>
        <w:rPr>
          <w:noProof/>
          <w:szCs w:val="24"/>
        </w:rPr>
      </w:pPr>
      <w:r>
        <w:rPr>
          <w:noProof/>
        </w:rPr>
        <w:t>Το άρθρο 3 παράγραφοι 3 έως 7 τροποποιούν τα άρθρα 6 έως 11 της οδηγίας για τους ελέγχους, τα οποία περιέχ</w:t>
      </w:r>
      <w:r>
        <w:rPr>
          <w:noProof/>
        </w:rPr>
        <w:t>ουν τους κανόνες σχετικά με τη χορήγηση άδειας, τη συνεχή επαγγελματική εκπαίδευση και την αμοιβαία αναγνώριση των νόμιμων ελεγκτών και των ελεγκτικών γραφείων, ώστε να διασφαλίζεται ότι οι νόμιμοι ελεγκτές διαθέτουν, αφενός, το αναγκαίο επίπεδο θεωρητικών</w:t>
      </w:r>
      <w:r>
        <w:rPr>
          <w:noProof/>
        </w:rPr>
        <w:t xml:space="preserve"> γνώσεων σε θέματα διασφάλισης της υποβολής εκθέσεων βιωσιμότητας και, αφετέρου, την ικανότητα πρακτικής εφαρμογής τους.</w:t>
      </w:r>
    </w:p>
    <w:p w14:paraId="597CA84D" w14:textId="77777777" w:rsidR="00680C0B" w:rsidRDefault="00A8232D">
      <w:pPr>
        <w:pBdr>
          <w:top w:val="nil"/>
          <w:left w:val="nil"/>
          <w:bottom w:val="nil"/>
          <w:right w:val="nil"/>
          <w:between w:val="nil"/>
          <w:bar w:val="nil"/>
        </w:pBdr>
        <w:spacing w:before="0" w:after="240"/>
        <w:rPr>
          <w:noProof/>
          <w:szCs w:val="24"/>
        </w:rPr>
      </w:pPr>
      <w:r>
        <w:rPr>
          <w:noProof/>
        </w:rPr>
        <w:t>Το άρθρο 3 παράγραφος 7 τροποποιεί το άρθρο 14, το οποίο περιέχει τους κανόνες σχετικά με τις διαδικασίες που θα πρέπει να θεσπίσουν οι</w:t>
      </w:r>
      <w:r>
        <w:rPr>
          <w:noProof/>
        </w:rPr>
        <w:t xml:space="preserve"> αρμόδιες αρχές για την έγκριση νόμιμων ελεγκτών από διαφορετικό κράτος μέλος. Το άρθρο αυτό τροποποιείται προκειμένου να διασφαλιστεί ότι σε περίπτωση που το κράτος μέλος αποφασίσει ότι ο αιτών που ζητεί τη χορήγηση άδειας θα πρέπει να υποβληθεί σε δοκιμα</w:t>
      </w:r>
      <w:r>
        <w:rPr>
          <w:noProof/>
        </w:rPr>
        <w:t>σία επάρκειας, η δοκιμασία αυτή καλύπτει επίσης τις επαρκείς γνώσεις του νόμιμου ελεγκτή σχετικά με τις νομοθετικές και κανονιστικές διατάξεις του κράτους μέλους υποδοχής που αφορούν τη διασφάλιση της υποβολής εκθέσεων βιωσιμότητας.</w:t>
      </w:r>
    </w:p>
    <w:p w14:paraId="1E518118" w14:textId="77777777" w:rsidR="00680C0B" w:rsidRDefault="00A8232D">
      <w:pPr>
        <w:pBdr>
          <w:top w:val="nil"/>
          <w:left w:val="nil"/>
          <w:bottom w:val="nil"/>
          <w:right w:val="nil"/>
          <w:between w:val="nil"/>
          <w:bar w:val="nil"/>
        </w:pBdr>
        <w:spacing w:before="0" w:after="240"/>
        <w:rPr>
          <w:noProof/>
          <w:szCs w:val="24"/>
        </w:rPr>
      </w:pPr>
      <w:r>
        <w:rPr>
          <w:noProof/>
        </w:rPr>
        <w:t>Το άρθρο 3 παράγραφος 8</w:t>
      </w:r>
      <w:r>
        <w:rPr>
          <w:noProof/>
        </w:rPr>
        <w:t xml:space="preserve"> εισάγει το άρθρο 14α, το οποίο περιλαμβάνει ρήτρα κεκτημένων δικαιωμάτων, προκειμένου να διασφαλιστεί ότι οι νόμιμοι ελεγκτές που έχουν λάβει άδεια μπορούν να συνεχίσουν να διενεργούν υποχρεωτικούς ελέγχους και μπορούν να διενεργούν ελέγχους όσον αφορά τη</w:t>
      </w:r>
      <w:r>
        <w:rPr>
          <w:noProof/>
        </w:rPr>
        <w:t>ν υποβολή εκθέσεων βιωσιμότητας μόλις εφαρμοστούν οι τροποποιημένες νομικές απαιτήσεις. Τα κράτη μέλη θα πρέπει να διασφαλίζουν ότι οι νόμιμοι ελεγκτές που έχουν λάβει ήδη άδεια αποκτούν τις αναγκαίες γνώσεις στον τομέα της υποβολής εκθέσεων βιωσιμότητας κ</w:t>
      </w:r>
      <w:r>
        <w:rPr>
          <w:noProof/>
        </w:rPr>
        <w:t>αι της διασφάλισης της υποβολής εκθέσεων βιωσιμότητας μέσω της συνεχούς επαγγελματικής εκπαίδευσης που απαιτείται βάσει του άρθρου 13 της οδηγίας για τους ελέγχους.</w:t>
      </w:r>
    </w:p>
    <w:p w14:paraId="37D23782" w14:textId="77777777" w:rsidR="00680C0B" w:rsidRDefault="00A8232D">
      <w:pPr>
        <w:rPr>
          <w:noProof/>
        </w:rPr>
      </w:pPr>
      <w:r>
        <w:rPr>
          <w:noProof/>
        </w:rPr>
        <w:t>Το άρθρο 3 παράγραφος 9 τροποποιεί το άρθρο 24β, με σκοπό την προσαρμογή των κανόνων για τη</w:t>
      </w:r>
      <w:r>
        <w:rPr>
          <w:noProof/>
        </w:rPr>
        <w:t xml:space="preserve">ν οργάνωση της εργασίας του ελεγκτή, ώστε να συμπεριλαμβάνονται αναφορές στην εργασία του σχετικά με τη διασφάλιση της υποβολής εκθέσεων βιωσιμότητας. Ειδικότερα, τροποποιείται προκειμένου να απαιτείται ότι οι κύριοι εταίροι ελέγχου συμμετέχουν ενεργά στη </w:t>
      </w:r>
      <w:r>
        <w:rPr>
          <w:noProof/>
        </w:rPr>
        <w:t>διασφάλιση της υποβολής εκθέσεων βιωσιμότητας· ότι κατά τη διενέργεια της διασφάλισης της υποβολής εκθέσεων βιωσιμότητας, ο νόμιμος ελεγκτής αφιερώνει επαρκή χρόνο στην εργασία και κατανέμει επαρκείς πόρους που θα τον διευκολύνουν να εκτελέσει δεόντως τα κ</w:t>
      </w:r>
      <w:r>
        <w:rPr>
          <w:noProof/>
        </w:rPr>
        <w:t>αθήκοντά του· ότι το μητρώο με τους λογαριασμούς των πελατών προσδιορίζει τις αμοιβές για τη διασφάλιση της υποβολής εκθέσεων βιωσιμότητας· και ότι ο φάκελος ελέγχου περιλαμβάνει πληροφορίες σχετικά με τη διασφάλιση της υποβολής εκθέσεων βιωσιμότητας, σε π</w:t>
      </w:r>
      <w:r>
        <w:rPr>
          <w:noProof/>
        </w:rPr>
        <w:t>ερίπτωση που διενεργείται από τον νόμιμο ελεγκτή.</w:t>
      </w:r>
    </w:p>
    <w:p w14:paraId="16A83C23" w14:textId="77777777" w:rsidR="00680C0B" w:rsidRDefault="00A8232D">
      <w:pPr>
        <w:pBdr>
          <w:top w:val="nil"/>
          <w:left w:val="nil"/>
          <w:bottom w:val="nil"/>
          <w:right w:val="nil"/>
          <w:between w:val="nil"/>
          <w:bar w:val="nil"/>
        </w:pBdr>
        <w:spacing w:before="0" w:after="240"/>
        <w:rPr>
          <w:noProof/>
          <w:szCs w:val="24"/>
        </w:rPr>
      </w:pPr>
      <w:r>
        <w:rPr>
          <w:noProof/>
        </w:rPr>
        <w:t>Το άρθρο 3 παράγραφος 10 τροποποιεί το άρθρο 25 ώστε να επιβάλλει στα κράτη μέλη την υποχρέωση να εφαρμόζουν κατάλληλους κανόνες που εγγυώνται ότι η αμοιβή για τη διασφάλιση της υποβολής εκθέσεων βιωσιμότητ</w:t>
      </w:r>
      <w:r>
        <w:rPr>
          <w:noProof/>
        </w:rPr>
        <w:t>ας δεν επηρεάζεται ούτε προσδιορίζεται από την παροχή συμπληρωματικών υπηρεσιών στην ελεγχόμενη οντότητα ή ότι δεν μπορεί να βασίζεται σε κανενός είδους αίρεση.</w:t>
      </w:r>
    </w:p>
    <w:p w14:paraId="4F17D03F" w14:textId="77777777" w:rsidR="00680C0B" w:rsidRDefault="00A8232D">
      <w:pPr>
        <w:pBdr>
          <w:top w:val="nil"/>
          <w:left w:val="nil"/>
          <w:bottom w:val="nil"/>
          <w:right w:val="nil"/>
          <w:between w:val="nil"/>
          <w:bar w:val="nil"/>
        </w:pBdr>
        <w:spacing w:before="0" w:after="240"/>
        <w:rPr>
          <w:noProof/>
          <w:szCs w:val="24"/>
        </w:rPr>
      </w:pPr>
      <w:r>
        <w:rPr>
          <w:noProof/>
        </w:rPr>
        <w:lastRenderedPageBreak/>
        <w:t>Το άρθρο 3 παράγραφος 11 εισάγει το άρθρο 25β για την επέκταση των κανόνων της οδηγίας για τους</w:t>
      </w:r>
      <w:r>
        <w:rPr>
          <w:noProof/>
        </w:rPr>
        <w:t xml:space="preserve"> ελέγχους όσον αφορά την επαγγελματική δεοντολογία, την ανεξαρτησία, την αντικειμενικότητα, την εμπιστευτικότητα και το επαγγελματικό απόρρητο που απαιτούνται από τους ελεγκτές οικονομικών καταστάσεων κατά την εκτέλεση των εργασιών τους για τη διασφάλιση τ</w:t>
      </w:r>
      <w:r>
        <w:rPr>
          <w:noProof/>
        </w:rPr>
        <w:t>ης υποβολής εκθέσεων βιωσιμότητας.</w:t>
      </w:r>
    </w:p>
    <w:p w14:paraId="5F9CF04E" w14:textId="77777777" w:rsidR="00680C0B" w:rsidRDefault="00A8232D">
      <w:pPr>
        <w:rPr>
          <w:rFonts w:eastAsia="Times New Roman"/>
          <w:noProof/>
          <w:szCs w:val="24"/>
        </w:rPr>
      </w:pPr>
      <w:r>
        <w:rPr>
          <w:noProof/>
        </w:rPr>
        <w:t>Το άρθρο 3 παράγραφος 12 εισάγει το άρθρο 26α, το οποίο επιβάλλει στα κράτη μέλη την υποχρέωση να ζητούν από τους ελεγκτές να εκτελούν δεσμεύσεις παροχής διασφάλισης της υποβολής εκθέσεων βιωσιμότητας σύμφωνα με τα πρότυπ</w:t>
      </w:r>
      <w:r>
        <w:rPr>
          <w:noProof/>
        </w:rPr>
        <w:t>α διασφάλισης που εκδίδει η Επιτροπή και να εφαρμόζουν εθνικά πρότυπα, διαδικασίες ή απαιτήσεις διασφάλισης, εκτός εάν η Επιτροπή έχει εκδώσει πρότυπο διασφάλισης που καλύπτει το ίδιο αντικείμενο. Αναθέτει στην Επιτροπή την αρμοδιότητα να εκδίδει, μέσω κατ</w:t>
      </w:r>
      <w:r>
        <w:rPr>
          <w:noProof/>
        </w:rPr>
        <w:t xml:space="preserve">’ εξουσιοδότηση πράξεων, πρότυπα διασφάλισης για τον καθορισμό των διαδικασιών που εφαρμόζει ο ελεγκτής προκειμένου να εξάγει τα συμπεράσματά του σχετικά με τη διασφάλιση της υποβολής εκθέσεων βιωσιμότητας, συμπεριλαμβανομένου του σχεδιασμού της εργασίας, </w:t>
      </w:r>
      <w:r>
        <w:rPr>
          <w:noProof/>
        </w:rPr>
        <w:t>της εξέτασης των κινδύνων και της αντιμετώπισης των κινδύνων, καθώς και του είδους των συμπερασμάτων που θα πρέπει να περιλαμβάνονται στην έκθεση ελέγχου. Επιβάλλει επίσης στους ελεγκτές να βασίζουν τη γνώμη τους σχετικά με την υποβολή εκθέσεων βιωσιμότητα</w:t>
      </w:r>
      <w:r>
        <w:rPr>
          <w:noProof/>
        </w:rPr>
        <w:t>ς σε δέσμευση παροχής εύλογης διασφάλισης, σε περίπτωση που η Επιτροπή κάνει χρήση της επιλογής να εκδώσει πρότυπα για εύλογη διασφάλιση.</w:t>
      </w:r>
    </w:p>
    <w:p w14:paraId="22BBBE00" w14:textId="77777777" w:rsidR="00680C0B" w:rsidRDefault="00A8232D">
      <w:pPr>
        <w:spacing w:before="0" w:after="240"/>
        <w:rPr>
          <w:rFonts w:eastAsia="Calibri"/>
          <w:noProof/>
          <w:szCs w:val="24"/>
        </w:rPr>
      </w:pPr>
      <w:r>
        <w:rPr>
          <w:noProof/>
        </w:rPr>
        <w:t xml:space="preserve">Το άρθρο 3 παράγραφος 13 εισάγει το άρθρο 27α, με σκοπό να επεκταθούν οι κανόνες σχετικά με τον υποχρεωτικό </w:t>
      </w:r>
      <w:r>
        <w:rPr>
          <w:noProof/>
        </w:rPr>
        <w:t>έλεγχο ομίλου εταιρειών όσον αφορά τη διασφάλιση της ενοποιημένης έκθεσης βιωσιμότητας, σε περίπτωση που διενεργείται από τον νόμιμο ελεγκτή.</w:t>
      </w:r>
    </w:p>
    <w:p w14:paraId="1774BB6D" w14:textId="77777777" w:rsidR="00680C0B" w:rsidRDefault="00A8232D">
      <w:pPr>
        <w:pBdr>
          <w:top w:val="nil"/>
          <w:left w:val="nil"/>
          <w:bottom w:val="nil"/>
          <w:right w:val="nil"/>
          <w:between w:val="nil"/>
          <w:bar w:val="nil"/>
        </w:pBdr>
        <w:spacing w:before="0" w:after="240"/>
        <w:rPr>
          <w:rFonts w:eastAsia="Times New Roman"/>
          <w:noProof/>
          <w:szCs w:val="24"/>
        </w:rPr>
      </w:pPr>
      <w:r>
        <w:rPr>
          <w:noProof/>
        </w:rPr>
        <w:t>Το άρθρο 3 παράγραφος 14 τροποποιεί το άρθρο 28 προκειμένου να επιβάλλεται στους νόμιμους ελεγκτές ή στα ελεγκτικά</w:t>
      </w:r>
      <w:r>
        <w:rPr>
          <w:noProof/>
        </w:rPr>
        <w:t xml:space="preserve"> γραφεία που διενεργούν τη διασφάλιση της υποβολής εκθέσεων βιωσιμότητας η υποχρέωση να παρουσιάζουν τα αποτελέσματά τους στην έκθεση ελέγχου και να καταρτίζουν την έκθεση σύμφωνα με τις απαιτήσεις για τα πρότυπα διασφάλισης που εκδίδει η ΕΕ ή το οικείο κρ</w:t>
      </w:r>
      <w:r>
        <w:rPr>
          <w:noProof/>
        </w:rPr>
        <w:t>άτος μέλος. Ειδικότερα, η έκθεση ελέγχου θα πρέπει να προσδιορίζει την ετήσια ή την ενοποιημένη υποβολή εκθέσεων βιωσιμότητας, καθώς και την ημερομηνία και την περίοδο που καλύπτει. Θα πρέπει να προσδιορίζει το πλαίσιο υποβολής εκθέσεων βιωσιμότητας που εφ</w:t>
      </w:r>
      <w:r>
        <w:rPr>
          <w:noProof/>
        </w:rPr>
        <w:t>αρμόστηκε κατά τη σύνταξή της. Θα πρέπει να περιλαμβάνει περιγραφή του πεδίου εφαρμογής της διασφάλισης της έκθεσης βιωσιμότητας και να προσδιορίζει τα πρότυπα διασφάλισης βάσει των οποίων διενεργήθηκε η διασφάλιση της έκθεσης βιωσιμότητας. Τέλος, θα πρέπε</w:t>
      </w:r>
      <w:r>
        <w:rPr>
          <w:noProof/>
        </w:rPr>
        <w:t>ι να περιλαμβάνει τη γνώμη του νόμιμου ελεγκτή σχετικά με την υποβολή εκθέσεων βιωσιμότητας.</w:t>
      </w:r>
    </w:p>
    <w:p w14:paraId="74470BA0" w14:textId="77777777" w:rsidR="00680C0B" w:rsidRDefault="00A8232D">
      <w:pPr>
        <w:pBdr>
          <w:top w:val="nil"/>
          <w:left w:val="nil"/>
          <w:bottom w:val="nil"/>
          <w:right w:val="nil"/>
          <w:between w:val="nil"/>
          <w:bar w:val="nil"/>
        </w:pBdr>
        <w:spacing w:before="0" w:after="240"/>
        <w:rPr>
          <w:rFonts w:eastAsia="Times New Roman"/>
          <w:noProof/>
          <w:szCs w:val="24"/>
        </w:rPr>
      </w:pPr>
      <w:r>
        <w:rPr>
          <w:noProof/>
        </w:rPr>
        <w:t xml:space="preserve">Το άρθρο 3 παράγραφος 15 τροποποιεί το άρθρο 29 της οδηγίας για τους ελέγχους όσον αφορά το σύστημα για τον έλεγχο διασφάλισης ποιότητας που διενεργούν οι νόμιμοι </w:t>
      </w:r>
      <w:r>
        <w:rPr>
          <w:noProof/>
        </w:rPr>
        <w:t>ελεγκτές και τα ελεγκτικά γραφεία, ώστε να εξασφαλίζεται ότι πραγματοποιούνται έλεγχοι διασφάλισης ποιότητας για τους ελέγχους των εκθέσεων βιωσιμότητας και ότι τα πρόσωπα που διενεργούν τους ελέγχους διασφάλισης ποιότητας διαθέτουν κατάλληλη επαγγελματική</w:t>
      </w:r>
      <w:r>
        <w:rPr>
          <w:noProof/>
        </w:rPr>
        <w:t xml:space="preserve"> εκπαίδευση και σχετική πείρα όσον αφορά την διασφάλιση της υποβολής εκθέσεων βιωσιμότητας.</w:t>
      </w:r>
    </w:p>
    <w:p w14:paraId="649600D1" w14:textId="77777777" w:rsidR="00680C0B" w:rsidRDefault="00A8232D">
      <w:pPr>
        <w:spacing w:before="0" w:after="240"/>
        <w:rPr>
          <w:rFonts w:eastAsia="Times New Roman"/>
          <w:noProof/>
          <w:szCs w:val="24"/>
        </w:rPr>
      </w:pPr>
      <w:r>
        <w:rPr>
          <w:noProof/>
        </w:rPr>
        <w:t xml:space="preserve">Το άρθρο 3 παράγραφος 16 εισάγει το άρθρο 30ζ με σκοπό να διευκρινιστεί ότι το καθεστώς ερευνών και κυρώσεων που ισχύει για τους νόμιμους ελεγκτές και τα ελεγκτικά </w:t>
      </w:r>
      <w:r>
        <w:rPr>
          <w:noProof/>
        </w:rPr>
        <w:t>γραφεία που διενεργούν υποχρεωτικούς ελέγχους ισχύει επίσης για τους ελέγχους της υποβολής εκθέσεων βιωσιμότητας.</w:t>
      </w:r>
    </w:p>
    <w:p w14:paraId="69AA5054" w14:textId="77777777" w:rsidR="00680C0B" w:rsidRDefault="00A8232D">
      <w:pPr>
        <w:pBdr>
          <w:top w:val="nil"/>
          <w:left w:val="nil"/>
          <w:bottom w:val="nil"/>
          <w:right w:val="nil"/>
          <w:between w:val="nil"/>
          <w:bar w:val="nil"/>
        </w:pBdr>
        <w:spacing w:before="0" w:after="240"/>
        <w:rPr>
          <w:rFonts w:eastAsia="Times New Roman"/>
          <w:noProof/>
          <w:szCs w:val="24"/>
        </w:rPr>
      </w:pPr>
      <w:r>
        <w:rPr>
          <w:noProof/>
        </w:rPr>
        <w:t>Το άρθρο 3 παράγραφος 17 εισάγει το άρθρο 36α με σκοπό να διευκρινιστεί ότι τόσο οι διατάξεις σχετικά με τη δημόσια εποπτεία όσο και οι ρυθμισ</w:t>
      </w:r>
      <w:r>
        <w:rPr>
          <w:noProof/>
        </w:rPr>
        <w:t xml:space="preserve">τικές συμφωνίες των κρατών </w:t>
      </w:r>
      <w:r>
        <w:rPr>
          <w:noProof/>
        </w:rPr>
        <w:lastRenderedPageBreak/>
        <w:t>μελών που αφορούν τους υποχρεωτικούς ελέγχους ισχύουν επίσης για τη διασφάλιση της υποβολής εκθέσεων βιωσιμότητας.</w:t>
      </w:r>
    </w:p>
    <w:p w14:paraId="45D890C4" w14:textId="77777777" w:rsidR="00680C0B" w:rsidRDefault="00A8232D">
      <w:pPr>
        <w:pBdr>
          <w:top w:val="nil"/>
          <w:left w:val="nil"/>
          <w:bottom w:val="nil"/>
          <w:right w:val="nil"/>
          <w:between w:val="nil"/>
          <w:bar w:val="nil"/>
        </w:pBdr>
        <w:spacing w:before="0" w:after="240"/>
        <w:rPr>
          <w:noProof/>
          <w:szCs w:val="24"/>
        </w:rPr>
      </w:pPr>
      <w:r>
        <w:rPr>
          <w:noProof/>
        </w:rPr>
        <w:t>Το άρθρο 3 παράγραφος 18 εισάγει το άρθρο 38α με σκοπό να διευκρινιστεί ότι οι διατάξεις σχετικά με τον διορισμό κ</w:t>
      </w:r>
      <w:r>
        <w:rPr>
          <w:noProof/>
        </w:rPr>
        <w:t>αι την παύση των νόμιμων ελεγκτών και των ελεγκτικών γραφείων που αφορούν τους υποχρεωτικούς ελέγχους ισχύουν επίσης για τη διασφάλιση της υποβολής εκθέσεων βιωσιμότητας.</w:t>
      </w:r>
    </w:p>
    <w:p w14:paraId="20367869" w14:textId="77777777" w:rsidR="00680C0B" w:rsidRDefault="00A8232D">
      <w:pPr>
        <w:pBdr>
          <w:top w:val="nil"/>
          <w:left w:val="nil"/>
          <w:bottom w:val="nil"/>
          <w:right w:val="nil"/>
          <w:between w:val="nil"/>
          <w:bar w:val="nil"/>
        </w:pBdr>
        <w:spacing w:before="0" w:after="240"/>
        <w:rPr>
          <w:noProof/>
          <w:szCs w:val="24"/>
        </w:rPr>
      </w:pPr>
      <w:r>
        <w:rPr>
          <w:noProof/>
        </w:rPr>
        <w:t>Το άρθρο 3 παράγραφος 19 τροποποιεί το άρθρο 39 με σκοπό να διευκρινιστούν τα καθήκον</w:t>
      </w:r>
      <w:r>
        <w:rPr>
          <w:noProof/>
        </w:rPr>
        <w:t>τα της επιτροπής ελέγχου για τη διασφάλιση της υποβολής εκθέσεων βιωσιμότητας. Ειδικότερα, η επιτροπή ελέγχου θα πρέπει να ενημερώνει το διοικητικό ή το εποπτικό όργανο της ελεγχόμενης οντότητας για το αποτέλεσμα της διασφάλισης της υποβολής εκθέσεων βιωσι</w:t>
      </w:r>
      <w:r>
        <w:rPr>
          <w:noProof/>
        </w:rPr>
        <w:t>μότητας και να επεξηγεί πώς συνέβαλε η επιτροπή ελέγχου στην ακεραιότητα της υποβολής εκθέσεων βιωσιμότητας και ποιος ήταν ο ρόλος της επιτροπής ελέγχου στην εν λόγω διαδικασία. Θα πρέπει να παρακολουθεί τη διαδικασία υποβολής εκθέσεων βιωσιμότητας, συμπερ</w:t>
      </w:r>
      <w:r>
        <w:rPr>
          <w:noProof/>
        </w:rPr>
        <w:t>ιλαμβανομένης της διαδικασίας ψηφιακής υποβολής εκθέσεων, καθώς και τη διαδικασία που διενεργεί η εταιρεία για τον προσδιορισμό των πληροφοριών που υποβάλλονται σύμφωνα με τα σχετικά πρότυπα υποβολής εκθέσεων βιωσιμότητας και να υποβάλλει συστάσεις ή προτά</w:t>
      </w:r>
      <w:r>
        <w:rPr>
          <w:noProof/>
        </w:rPr>
        <w:t>σεις για την εξασφάλιση της ακεραιότητάς της. Θα πρέπει να παρακολουθεί την αποτελεσματικότητα των συστημάτων εσωτερικού ελέγχου διασφάλισης της ποιότητας και διαχείρισης κινδύνων της εταιρείας και, κατά περίπτωση, του τμήματος εσωτερικού ελέγχου της, όσον</w:t>
      </w:r>
      <w:r>
        <w:rPr>
          <w:noProof/>
        </w:rPr>
        <w:t xml:space="preserve"> αφορά την υποβολή εκθέσεων βιωσιμότητας της ελεγχόμενης οντότητας, συμπεριλαμβανομένης της οικείας ψηφιακής υποβολής εκθέσεων που θα απαιτείται βάσει της λογιστικής οδηγίας, χωρίς να παραβιάζει την ανεξαρτησία της οντότητας αυτής. Τέλος, θα πρέπει να παρα</w:t>
      </w:r>
      <w:r>
        <w:rPr>
          <w:noProof/>
        </w:rPr>
        <w:t>κολουθεί τη διασφάλιση της ετήσιας και της ενοποιημένης υποβολής εκθέσεων βιωσιμότητας, και να ανασκοπεί και να παρακολουθεί την ανεξαρτησία των νόμιμων ελεγκτών ή των ελεγκτικών γραφείων.</w:t>
      </w:r>
    </w:p>
    <w:p w14:paraId="64B61960" w14:textId="77777777" w:rsidR="00680C0B" w:rsidRDefault="00A8232D">
      <w:pPr>
        <w:pBdr>
          <w:top w:val="nil"/>
          <w:left w:val="nil"/>
          <w:bottom w:val="nil"/>
          <w:right w:val="nil"/>
          <w:between w:val="nil"/>
          <w:bar w:val="nil"/>
        </w:pBdr>
        <w:spacing w:before="0" w:after="240"/>
        <w:rPr>
          <w:i/>
          <w:noProof/>
          <w:szCs w:val="24"/>
        </w:rPr>
      </w:pPr>
      <w:r>
        <w:rPr>
          <w:noProof/>
        </w:rPr>
        <w:t>Το άρθρο 3 παράγραφος 20 τροποποιεί το άρθρο 45 με σκοπό να εναρμον</w:t>
      </w:r>
      <w:r>
        <w:rPr>
          <w:noProof/>
        </w:rPr>
        <w:t>ιστούν οι απαιτήσεις εγγραφής στα μητρώα και εποπτείας των ελεγκτών και των ελεγκτικών οντοτήτων τρίτων χωρών με το νέο πεδίο εφαρμογής της οδηγίας, το οποίο καλύπτει τη διασφάλιση της υποβολής εκθέσεων βιωσιμότητας.</w:t>
      </w:r>
    </w:p>
    <w:p w14:paraId="38F871C9" w14:textId="77777777" w:rsidR="00680C0B" w:rsidRDefault="00A8232D">
      <w:pPr>
        <w:pBdr>
          <w:top w:val="nil"/>
          <w:left w:val="nil"/>
          <w:bottom w:val="nil"/>
          <w:right w:val="nil"/>
          <w:between w:val="nil"/>
          <w:bar w:val="nil"/>
        </w:pBdr>
        <w:spacing w:before="0" w:after="240"/>
        <w:rPr>
          <w:noProof/>
          <w:szCs w:val="24"/>
        </w:rPr>
      </w:pPr>
      <w:r>
        <w:rPr>
          <w:noProof/>
        </w:rPr>
        <w:t xml:space="preserve">Το άρθρο 3 παράγραφος 21 τροποποιεί το </w:t>
      </w:r>
      <w:r>
        <w:rPr>
          <w:noProof/>
        </w:rPr>
        <w:t>άρθρο 48α με σκοπό να καθοριστούν οι όροι άσκησης της ανάθεσης εξουσιών στην Επιτροπή για την έκδοση προτύπων διασφάλισης της υποβολής εκθέσεων βιωσιμότητας σύμφωνα με το άρθρο 26α παράγραφος 2.</w:t>
      </w:r>
    </w:p>
    <w:p w14:paraId="2E31F3CD" w14:textId="77777777" w:rsidR="00680C0B" w:rsidRDefault="00A8232D">
      <w:pPr>
        <w:pBdr>
          <w:top w:val="nil"/>
          <w:left w:val="nil"/>
          <w:bottom w:val="nil"/>
          <w:right w:val="nil"/>
          <w:between w:val="nil"/>
          <w:bar w:val="nil"/>
        </w:pBdr>
        <w:spacing w:before="0" w:after="240"/>
        <w:rPr>
          <w:noProof/>
        </w:rPr>
      </w:pPr>
      <w:r>
        <w:rPr>
          <w:noProof/>
        </w:rPr>
        <w:t xml:space="preserve">Το </w:t>
      </w:r>
      <w:r>
        <w:rPr>
          <w:noProof/>
          <w:u w:val="single"/>
        </w:rPr>
        <w:t>άρθρο 4</w:t>
      </w:r>
      <w:r>
        <w:rPr>
          <w:noProof/>
        </w:rPr>
        <w:t xml:space="preserve"> τροποποιεί τον κανονισμό (ΕΕ) αριθ. 537/2014 (κανο</w:t>
      </w:r>
      <w:r>
        <w:rPr>
          <w:noProof/>
        </w:rPr>
        <w:t xml:space="preserve">νισμός για τους ελέγχους). </w:t>
      </w:r>
    </w:p>
    <w:p w14:paraId="4D62D9C3" w14:textId="77777777" w:rsidR="00680C0B" w:rsidRDefault="00A8232D">
      <w:pPr>
        <w:spacing w:before="0" w:after="0"/>
        <w:rPr>
          <w:rFonts w:eastAsia="Calibri"/>
          <w:noProof/>
          <w:szCs w:val="24"/>
        </w:rPr>
      </w:pPr>
      <w:r>
        <w:rPr>
          <w:noProof/>
        </w:rPr>
        <w:t>Το άρθρο 4 παράγραφος 1 τροποποιεί το άρθρο 5 του κανονισμού για τους ελέγχους με σκοπό την απαγόρευση της παροχής συμβουλευτικών υπηρεσιών για τη σύνταξη των εκθέσεων βιωσιμότητας κατά τις χρονικές περιόδους που ορίζονται στο ά</w:t>
      </w:r>
      <w:r>
        <w:rPr>
          <w:noProof/>
        </w:rPr>
        <w:t xml:space="preserve">ρθρο 5 του κανονισμού για τους ελέγχους, σε περίπτωση που οι νόμιμοι ελεγκτές ή τα ελεγκτικά γραφεία που διενεργούν τον υποχρεωτικό έλεγχο διενεργούν επίσης τη διασφάλιση της υποβολής εκθέσεων βιωσιμότητας. </w:t>
      </w:r>
    </w:p>
    <w:p w14:paraId="6448E2F5" w14:textId="77777777" w:rsidR="00680C0B" w:rsidRDefault="00A8232D">
      <w:pPr>
        <w:pBdr>
          <w:top w:val="nil"/>
          <w:left w:val="nil"/>
          <w:bottom w:val="nil"/>
          <w:right w:val="nil"/>
          <w:between w:val="nil"/>
          <w:bar w:val="nil"/>
        </w:pBdr>
        <w:spacing w:before="0" w:after="240"/>
        <w:rPr>
          <w:rFonts w:eastAsia="Times New Roman"/>
          <w:noProof/>
          <w:szCs w:val="24"/>
        </w:rPr>
      </w:pPr>
      <w:r>
        <w:rPr>
          <w:noProof/>
        </w:rPr>
        <w:t>Το άρθρο 4 παράγραφος 2 τροποποιεί το άρθρο 14 μ</w:t>
      </w:r>
      <w:r>
        <w:rPr>
          <w:noProof/>
        </w:rPr>
        <w:t>ε σκοπό να επιβάλλεται στους νόμιμους ελεγκτές και τα ελεγκτικά γραφεία η υποχρέωση να ενημερώνουν, σε ετήσια βάση, την οικεία αρμόδια αρχή σχετικά με τα έσοδα, μεταξύ των εσόδων από μη ελεγκτικές υπηρεσίες, τα οποία έχουν εισπράξει από τη διασφάλιση της υ</w:t>
      </w:r>
      <w:r>
        <w:rPr>
          <w:noProof/>
        </w:rPr>
        <w:t>ποβολής εκθέσεων βιωσιμότητας.</w:t>
      </w:r>
    </w:p>
    <w:p w14:paraId="5B37B807" w14:textId="77777777" w:rsidR="00680C0B" w:rsidRDefault="00A8232D">
      <w:pPr>
        <w:pBdr>
          <w:top w:val="nil"/>
          <w:left w:val="nil"/>
          <w:bottom w:val="nil"/>
          <w:right w:val="nil"/>
          <w:between w:val="nil"/>
          <w:bar w:val="nil"/>
        </w:pBdr>
        <w:spacing w:before="0" w:after="240"/>
        <w:rPr>
          <w:noProof/>
        </w:rPr>
      </w:pPr>
      <w:r>
        <w:rPr>
          <w:noProof/>
        </w:rPr>
        <w:t xml:space="preserve">Το </w:t>
      </w:r>
      <w:r>
        <w:rPr>
          <w:noProof/>
          <w:u w:val="single"/>
        </w:rPr>
        <w:t>άρθρο 5</w:t>
      </w:r>
      <w:r>
        <w:rPr>
          <w:noProof/>
        </w:rPr>
        <w:t xml:space="preserve"> επιβάλλει στα κράτη μέλη την υποχρέωση να μεταφέρουν στο εθνικό δίκαιο τα άρθρα 1 έως 3 της οδηγίας έως την 1η Δεκεμβρίου 2022 και να μεριμνήσουν ώστε οι διατάξεις </w:t>
      </w:r>
      <w:r>
        <w:rPr>
          <w:noProof/>
        </w:rPr>
        <w:lastRenderedPageBreak/>
        <w:t>της να εφαρμόζονται στις εταιρείες για το οικονομι</w:t>
      </w:r>
      <w:r>
        <w:rPr>
          <w:noProof/>
        </w:rPr>
        <w:t>κό έτος που αρχίζει την 1η Ιανουαρίου 2023 ή κατά τη διάρκεια του ημερολογιακού έτους 2023.</w:t>
      </w:r>
    </w:p>
    <w:p w14:paraId="039BDB62" w14:textId="77777777" w:rsidR="00680C0B" w:rsidRDefault="00A8232D">
      <w:pPr>
        <w:pBdr>
          <w:top w:val="nil"/>
          <w:left w:val="nil"/>
          <w:bottom w:val="nil"/>
          <w:right w:val="nil"/>
          <w:between w:val="nil"/>
          <w:bar w:val="nil"/>
        </w:pBdr>
        <w:spacing w:before="0" w:after="240"/>
        <w:rPr>
          <w:noProof/>
        </w:rPr>
      </w:pPr>
      <w:r>
        <w:rPr>
          <w:noProof/>
        </w:rPr>
        <w:t xml:space="preserve">Το </w:t>
      </w:r>
      <w:r>
        <w:rPr>
          <w:noProof/>
          <w:u w:val="single"/>
        </w:rPr>
        <w:t>άρθρο 6</w:t>
      </w:r>
      <w:r>
        <w:rPr>
          <w:noProof/>
        </w:rPr>
        <w:t xml:space="preserve"> ορίζει ως ημερομηνία έναρξης εφαρμογής των τροποποιημένων διατάξεων του κανονισμού (ΕΕ) αριθ. 537/2014 (κανονισμός για τους ελέγχους) την 1η Ιανουαρίου 2</w:t>
      </w:r>
      <w:r>
        <w:rPr>
          <w:noProof/>
        </w:rPr>
        <w:t>023.</w:t>
      </w:r>
    </w:p>
    <w:p w14:paraId="0D3BF53A" w14:textId="77777777" w:rsidR="00680C0B" w:rsidRDefault="00680C0B">
      <w:pPr>
        <w:pBdr>
          <w:top w:val="nil"/>
          <w:left w:val="nil"/>
          <w:bottom w:val="nil"/>
          <w:right w:val="nil"/>
          <w:between w:val="nil"/>
          <w:bar w:val="nil"/>
        </w:pBdr>
        <w:spacing w:before="0" w:after="240"/>
        <w:rPr>
          <w:noProof/>
        </w:rPr>
      </w:pPr>
    </w:p>
    <w:p w14:paraId="503B7581" w14:textId="77777777" w:rsidR="00680C0B" w:rsidRDefault="00680C0B">
      <w:pPr>
        <w:spacing w:before="0" w:after="0"/>
        <w:jc w:val="left"/>
        <w:rPr>
          <w:noProof/>
        </w:rPr>
        <w:sectPr w:rsidR="00680C0B">
          <w:footerReference w:type="default" r:id="rId10"/>
          <w:footerReference w:type="first" r:id="rId11"/>
          <w:pgSz w:w="11907" w:h="16839"/>
          <w:pgMar w:top="1134" w:right="1417" w:bottom="1134" w:left="1417" w:header="709" w:footer="709" w:gutter="0"/>
          <w:cols w:space="708"/>
          <w:docGrid w:linePitch="360"/>
        </w:sectPr>
      </w:pPr>
    </w:p>
    <w:p w14:paraId="1417C1FD" w14:textId="77777777" w:rsidR="00680C0B" w:rsidRDefault="00A8232D">
      <w:pPr>
        <w:pStyle w:val="Rfrenceinterinstitutionnelle"/>
        <w:rPr>
          <w:noProof/>
        </w:rPr>
      </w:pPr>
      <w:r>
        <w:rPr>
          <w:noProof/>
        </w:rPr>
        <w:lastRenderedPageBreak/>
        <w:t>2021/0104 (COD)</w:t>
      </w:r>
    </w:p>
    <w:p w14:paraId="6E79BE81" w14:textId="77777777" w:rsidR="00680C0B" w:rsidRDefault="00A8232D">
      <w:pPr>
        <w:pStyle w:val="Statut"/>
        <w:rPr>
          <w:noProof/>
        </w:rPr>
      </w:pPr>
      <w:r>
        <w:rPr>
          <w:noProof/>
        </w:rPr>
        <w:t>Πρόταση</w:t>
      </w:r>
    </w:p>
    <w:p w14:paraId="4F8E5286" w14:textId="77777777" w:rsidR="00680C0B" w:rsidRDefault="00A8232D">
      <w:pPr>
        <w:pStyle w:val="Typedudocument"/>
        <w:rPr>
          <w:noProof/>
        </w:rPr>
      </w:pPr>
      <w:r>
        <w:rPr>
          <w:noProof/>
        </w:rPr>
        <w:t>ΟΔΗΓΙΑ ΤΟΥ ΕΥΡΩΠΑΪΚΟΥ ΚΟΙΝΟΒΟΥΛΙΟΥ ΚΑΙ ΤΟΥ ΣΥΜΒΟΥΛΙΟΥ</w:t>
      </w:r>
    </w:p>
    <w:p w14:paraId="2200BBAB" w14:textId="77777777" w:rsidR="00680C0B" w:rsidRDefault="00A8232D">
      <w:pPr>
        <w:pStyle w:val="Titreobjet"/>
        <w:rPr>
          <w:noProof/>
        </w:rPr>
      </w:pPr>
      <w:r>
        <w:rPr>
          <w:noProof/>
        </w:rPr>
        <w:t xml:space="preserve">για την τροποποίηση της οδηγίας 2013/34/ΕΕ, της οδηγίας 2004/109/ΕΚ, της οδηγίας 2006/43/ΕΚ και του </w:t>
      </w:r>
      <w:r>
        <w:rPr>
          <w:noProof/>
        </w:rPr>
        <w:t>κανονισμού (ΕΕ) αριθ. 537/2014, όσον αφορά την υποβολή εκθέσεων βιωσιμότητας από τις εταιρείες</w:t>
      </w:r>
    </w:p>
    <w:p w14:paraId="112C528F" w14:textId="77777777" w:rsidR="00680C0B" w:rsidRDefault="00A8232D">
      <w:pPr>
        <w:pStyle w:val="IntrtEEE"/>
        <w:rPr>
          <w:noProof/>
        </w:rPr>
      </w:pPr>
      <w:r>
        <w:rPr>
          <w:noProof/>
        </w:rPr>
        <w:t>(Κείμενο που παρουσιάζει ενδιαφέρον για τον ΕΟΧ)</w:t>
      </w:r>
    </w:p>
    <w:p w14:paraId="6C67FDB4" w14:textId="77777777" w:rsidR="00680C0B" w:rsidRDefault="00A8232D">
      <w:pPr>
        <w:pStyle w:val="Institutionquiagit"/>
        <w:rPr>
          <w:noProof/>
        </w:rPr>
      </w:pPr>
      <w:r>
        <w:rPr>
          <w:noProof/>
        </w:rPr>
        <w:t>ΤΟ ΕΥΡΩΠΑΪΚΟ ΚΟΙΝΟΒΟΥΛΙΟ ΚΑΙ ΤΟ ΣΥΜΒΟΥΛΙΟ ΤΗΣ ΕΥΡΩΠΑΪΚΗΣ ΕΝΩΣΗΣ,</w:t>
      </w:r>
    </w:p>
    <w:p w14:paraId="6C7CE6B6" w14:textId="77777777" w:rsidR="00680C0B" w:rsidRDefault="00A8232D">
      <w:pPr>
        <w:rPr>
          <w:noProof/>
          <w:szCs w:val="24"/>
        </w:rPr>
      </w:pPr>
      <w:r>
        <w:rPr>
          <w:noProof/>
        </w:rPr>
        <w:t xml:space="preserve">Έχοντας υπόψη τη Συνθήκη για τη λειτουργία της </w:t>
      </w:r>
      <w:r>
        <w:rPr>
          <w:noProof/>
        </w:rPr>
        <w:t>Ευρωπαϊκής Ένωσης και ιδίως τα άρθρα 50 και 114,</w:t>
      </w:r>
    </w:p>
    <w:p w14:paraId="0EABCBEE" w14:textId="77777777" w:rsidR="00680C0B" w:rsidRDefault="00A8232D">
      <w:pPr>
        <w:rPr>
          <w:noProof/>
          <w:szCs w:val="24"/>
        </w:rPr>
      </w:pPr>
      <w:r>
        <w:rPr>
          <w:noProof/>
        </w:rPr>
        <w:t>Έχοντας υπόψη την πρόταση της Ευρωπαϊκής Επιτροπής,</w:t>
      </w:r>
    </w:p>
    <w:p w14:paraId="6FBB2E05" w14:textId="77777777" w:rsidR="00680C0B" w:rsidRDefault="00A8232D">
      <w:pPr>
        <w:rPr>
          <w:noProof/>
          <w:szCs w:val="24"/>
        </w:rPr>
      </w:pPr>
      <w:r>
        <w:rPr>
          <w:noProof/>
        </w:rPr>
        <w:t>Κατόπιν διαβίβασης του σχεδίου νομοθετικής πράξης στα εθνικά κοινοβούλια,</w:t>
      </w:r>
    </w:p>
    <w:p w14:paraId="7AE1575F" w14:textId="77777777" w:rsidR="00680C0B" w:rsidRDefault="00A8232D">
      <w:pPr>
        <w:rPr>
          <w:noProof/>
          <w:szCs w:val="24"/>
        </w:rPr>
      </w:pPr>
      <w:r>
        <w:rPr>
          <w:noProof/>
        </w:rPr>
        <w:t>Έχοντας υπόψη τη γνώμη της Ευρωπαϊκής Κεντρικής Τράπεζας,</w:t>
      </w:r>
    </w:p>
    <w:p w14:paraId="31E1C489" w14:textId="77777777" w:rsidR="00680C0B" w:rsidRDefault="00A8232D">
      <w:pPr>
        <w:rPr>
          <w:strike/>
          <w:noProof/>
          <w:szCs w:val="24"/>
        </w:rPr>
      </w:pPr>
      <w:r>
        <w:rPr>
          <w:noProof/>
        </w:rPr>
        <w:t xml:space="preserve">Έχοντας υπόψη τη γνώμη </w:t>
      </w:r>
      <w:r>
        <w:rPr>
          <w:noProof/>
        </w:rPr>
        <w:t>της Ευρωπαϊκής Οικονομικής και Κοινωνικής Επιτροπής</w:t>
      </w:r>
      <w:r>
        <w:rPr>
          <w:rStyle w:val="FootnoteReference"/>
          <w:noProof/>
          <w:szCs w:val="24"/>
        </w:rPr>
        <w:footnoteReference w:id="30"/>
      </w:r>
      <w:r>
        <w:rPr>
          <w:noProof/>
        </w:rPr>
        <w:t>,</w:t>
      </w:r>
    </w:p>
    <w:p w14:paraId="3D3D7A56" w14:textId="77777777" w:rsidR="00680C0B" w:rsidRDefault="00A8232D">
      <w:pPr>
        <w:rPr>
          <w:noProof/>
          <w:szCs w:val="24"/>
        </w:rPr>
      </w:pPr>
      <w:r>
        <w:rPr>
          <w:noProof/>
        </w:rPr>
        <w:t>Αποφασίζοντας σύμφωνα με τη συνήθη νομοθετική διαδικασία,</w:t>
      </w:r>
    </w:p>
    <w:p w14:paraId="7A8B026A" w14:textId="77777777" w:rsidR="00680C0B" w:rsidRDefault="00A8232D">
      <w:pPr>
        <w:rPr>
          <w:noProof/>
        </w:rPr>
      </w:pPr>
      <w:r>
        <w:rPr>
          <w:noProof/>
        </w:rPr>
        <w:t>Εκτιμώντας τα ακόλουθα:</w:t>
      </w:r>
    </w:p>
    <w:p w14:paraId="41E8A028" w14:textId="77777777" w:rsidR="00680C0B" w:rsidRDefault="00A8232D">
      <w:pPr>
        <w:pStyle w:val="ManualConsidrant"/>
        <w:rPr>
          <w:noProof/>
        </w:rPr>
      </w:pPr>
      <w:r>
        <w:rPr>
          <w:noProof/>
        </w:rPr>
        <w:t>(1)</w:t>
      </w:r>
      <w:r>
        <w:rPr>
          <w:noProof/>
        </w:rPr>
        <w:tab/>
        <w:t>Η Ευρωπαϊκή Επιτροπή, στην ανακοίνωσή της σχετικά με την Ευρωπαϊκή Πράσινη Συμφωνία που εκδόθηκε στις 11 Δεκεμβρίου</w:t>
      </w:r>
      <w:r>
        <w:rPr>
          <w:noProof/>
        </w:rPr>
        <w:t> 2019</w:t>
      </w:r>
      <w:r>
        <w:rPr>
          <w:rStyle w:val="FootnoteReference"/>
          <w:noProof/>
        </w:rPr>
        <w:footnoteReference w:id="31"/>
      </w:r>
      <w:r>
        <w:rPr>
          <w:noProof/>
        </w:rPr>
        <w:t>, ανέλαβε τη δέσμευση να επανεξετάσει τις διατάξεις σχετικά με τη δημοσιοποίηση μη χρηματοοικονομικών πληροφοριών της οδηγίας 2013/34/ΕΕ του Ευρωπαϊκού Κοινοβουλίου και του Συμβουλίου</w:t>
      </w:r>
      <w:r>
        <w:rPr>
          <w:rStyle w:val="FootnoteReference"/>
          <w:noProof/>
        </w:rPr>
        <w:footnoteReference w:id="32"/>
      </w:r>
      <w:r>
        <w:rPr>
          <w:noProof/>
        </w:rPr>
        <w:t>. Η Ευρωπαϊκή Πράσινη Συμφωνία είναι η νέα στρατηγική της Ευρωπα</w:t>
      </w:r>
      <w:r>
        <w:rPr>
          <w:noProof/>
        </w:rPr>
        <w:t>ϊκής Ένωσης για την ανάπτυξη. Αποσκοπεί στον μετασχηματισμό της Ένωσης σε μια οικονομία σύγχρονη, αποδοτική ως προς τη χρήση των πόρων και ανταγωνιστική, στην οποία θα έχουν μηδενιστεί έως το 2050 οι καθαρές εκπομπές αερίων του θερμοκηπίου. Αποσκοπεί επίση</w:t>
      </w:r>
      <w:r>
        <w:rPr>
          <w:noProof/>
        </w:rPr>
        <w:t>ς στην προστασία, τη διατήρηση και την ενίσχυση του φυσικού κεφαλαίου της Ένωσης, καθώς και στην προστασία της υγείας και της ευημερίας των πολιτών από κινδύνους και επιπτώσεις που σχετίζονται με το περιβάλλον. Η Ευρωπαϊκή Πράσινη Συμφωνία αποσκοπεί στην α</w:t>
      </w:r>
      <w:r>
        <w:rPr>
          <w:noProof/>
        </w:rPr>
        <w:t>ποσύνδεση της οικονομικής ανάπτυξης από τη χρήση των πόρων και στη διασφάλιση της συμμετοχής όλων των περιφερειών και των πολιτών της Ένωσης σε μια κοινωνικά δίκαιη μετάβαση προς ένα βιώσιμο οικονομικό σύστημα. Θα συμβάλει στην επίτευξη του στόχου της οικο</w:t>
      </w:r>
      <w:r>
        <w:rPr>
          <w:noProof/>
        </w:rPr>
        <w:t xml:space="preserve">δόμησης μιας οικονομίας στην υπηρεσία των πολιτών, ενισχύοντας την κοινωνική οικονομία της αγοράς της ΕΕ, βοηθώντας να διασφαλιστεί ότι θα είναι έτοιμη για το </w:t>
      </w:r>
      <w:r>
        <w:rPr>
          <w:noProof/>
        </w:rPr>
        <w:lastRenderedPageBreak/>
        <w:t>μέλλον και ότι θα προσφέρει σταθερότητα, απασχόληση, ανάπτυξη και επενδύσεις. Οι στόχοι αυτοί είν</w:t>
      </w:r>
      <w:r>
        <w:rPr>
          <w:noProof/>
        </w:rPr>
        <w:t xml:space="preserve">αι ιδιαίτερα σημαντικοί εάν ληφθεί υπόψη η κοινωνικοοικονομική ζημία που προκάλεσε η πανδημία COVID-19 και η ανάγκη για βιώσιμη και δίκαιη ανάκαμψη χωρίς αποκλεισμούς. Η Ευρωπαϊκή Επιτροπή, στην πρότασή της τής 4ης Μαρτίου 2020 για έναν ευρωπαϊκό νόμο για </w:t>
      </w:r>
      <w:r>
        <w:rPr>
          <w:noProof/>
        </w:rPr>
        <w:t>το κλίμα, πρότεινε να καταστεί δεσμευτικός στην Ένωση ο στόχος για την επίτευξη κλιματικής ουδετερότητας έως το 2050</w:t>
      </w:r>
      <w:r>
        <w:rPr>
          <w:rStyle w:val="FootnoteReference"/>
          <w:noProof/>
        </w:rPr>
        <w:footnoteReference w:id="33"/>
      </w:r>
      <w:r>
        <w:rPr>
          <w:noProof/>
        </w:rPr>
        <w:t xml:space="preserve">. </w:t>
      </w:r>
    </w:p>
    <w:p w14:paraId="1454FDEB" w14:textId="77777777" w:rsidR="00680C0B" w:rsidRDefault="00A8232D">
      <w:pPr>
        <w:pStyle w:val="ManualConsidrant"/>
        <w:rPr>
          <w:noProof/>
        </w:rPr>
      </w:pPr>
      <w:r>
        <w:rPr>
          <w:noProof/>
        </w:rPr>
        <w:t>(2)</w:t>
      </w:r>
      <w:r>
        <w:rPr>
          <w:noProof/>
        </w:rPr>
        <w:tab/>
        <w:t xml:space="preserve">Στο </w:t>
      </w:r>
      <w:r>
        <w:rPr>
          <w:i/>
          <w:noProof/>
        </w:rPr>
        <w:t>Σχέδιο Δράσης: Χρηματοδότηση της αειφόρου ανάπτυξης</w:t>
      </w:r>
      <w:r>
        <w:rPr>
          <w:noProof/>
        </w:rPr>
        <w:t>, η Επιτροπή θέσπισε μέτρα για την επίτευξη των ακόλουθων στόχων: τον αναπρο</w:t>
      </w:r>
      <w:r>
        <w:rPr>
          <w:noProof/>
        </w:rPr>
        <w:t>σανατολισμό των ροών κεφαλαίων προς αειφόρες επενδύσεις προκειμένου να επιτευχθεί διατηρήσιμη και χωρίς αποκλεισμούς ανάπτυξη, τη διαχείριση χρηματοοικονομικών κινδύνων που προκύπτουν από την κλιματική αλλαγή, την εξάντληση των πόρων, την υποβάθμιση του πε</w:t>
      </w:r>
      <w:r>
        <w:rPr>
          <w:noProof/>
        </w:rPr>
        <w:t>ριβάλλοντος και από κοινωνικά ζητήματα, και την ενίσχυση της διαφάνειας και του μακρόπνοου χαρακτήρα των οικονομικών δραστηριοτήτων</w:t>
      </w:r>
      <w:r>
        <w:rPr>
          <w:rStyle w:val="FootnoteReference"/>
          <w:noProof/>
        </w:rPr>
        <w:footnoteReference w:id="34"/>
      </w:r>
      <w:r>
        <w:rPr>
          <w:noProof/>
        </w:rPr>
        <w:t>. Η δημοσιοποίηση συναφών, συγκρίσιμων και αξιόπιστων πληροφοριών βιωσιμότητας από τις επιχειρήσεις αποτελεί προϋπόθεση για</w:t>
      </w:r>
      <w:r>
        <w:rPr>
          <w:noProof/>
        </w:rPr>
        <w:t xml:space="preserve"> την επίτευξη των στόχων αυτών. Το Ευρωπαϊκό Κοινοβούλιο και το Συμβούλιο εξέδωσαν μια σειρά νομοθετικών πράξεων στο πλαίσιο της εφαρμογής του σχεδίου δράσης για τη χρηματοδότηση της αειφόρου ανάπτυξης. Ο κανονισμός (ΕΕ) 2019/2088 του Ευρωπαϊκού Κοινοβουλί</w:t>
      </w:r>
      <w:r>
        <w:rPr>
          <w:noProof/>
        </w:rPr>
        <w:t>ου και του Συμβουλίου</w:t>
      </w:r>
      <w:r>
        <w:rPr>
          <w:rStyle w:val="FootnoteReference"/>
          <w:noProof/>
        </w:rPr>
        <w:footnoteReference w:id="35"/>
      </w:r>
      <w:r>
        <w:rPr>
          <w:noProof/>
        </w:rPr>
        <w:t xml:space="preserve"> διέπει τον τρόπο με τον οποίο οι συμμετέχοντες στις χρηματοπιστωτικές αγορές και οι χρηματοοικονομικοί σύμβουλοι θα πρέπει να δημοσιοποιούν πληροφορίες βιωσιμότητας στους τελικούς επενδυτές και τους κατόχους περιουσιακών στοιχείων. </w:t>
      </w:r>
      <w:r>
        <w:rPr>
          <w:noProof/>
        </w:rPr>
        <w:t>Ο κανονισμός (ΕΕ) 2020/852 του Ευρωπαϊκού Κοινοβουλίου και του Συμβουλίου</w:t>
      </w:r>
      <w:r>
        <w:rPr>
          <w:rStyle w:val="FootnoteReference"/>
          <w:noProof/>
        </w:rPr>
        <w:footnoteReference w:id="36"/>
      </w:r>
      <w:r>
        <w:rPr>
          <w:noProof/>
        </w:rPr>
        <w:t xml:space="preserve"> δημιουργεί ένα σύστημα ταξινόμησης περιβαλλοντικά βιώσιμων οικονομικών δραστηριοτήτων με στόχο την ενίσχυση των βιώσιμων επενδύσεων και την καταπολέμηση της «προβολής ψευδοοικολογι</w:t>
      </w:r>
      <w:r>
        <w:rPr>
          <w:noProof/>
        </w:rPr>
        <w:t>κής ταυτότητας» χρηματοπιστωτικών προϊόντων που αναφέρονται παράτυπα ως βιώσιμα. Ο κανονισμός (ΕΕ) 2019/2089 του Ευρωπαϊκού Κοινοβουλίου και του Συμβουλίου</w:t>
      </w:r>
      <w:r>
        <w:rPr>
          <w:rStyle w:val="FootnoteReference"/>
          <w:noProof/>
        </w:rPr>
        <w:footnoteReference w:id="37"/>
      </w:r>
      <w:r>
        <w:rPr>
          <w:noProof/>
        </w:rPr>
        <w:t>, ο οποίος συμπληρώνεται με τους κατ’ εξουσιοδότηση κανονισμούς (ΕΕ) 2020/1816</w:t>
      </w:r>
      <w:r>
        <w:rPr>
          <w:rStyle w:val="FootnoteReference"/>
          <w:noProof/>
        </w:rPr>
        <w:footnoteReference w:id="38"/>
      </w:r>
      <w:r>
        <w:rPr>
          <w:noProof/>
        </w:rPr>
        <w:t>, (ΕΕ) 2020/1817</w:t>
      </w:r>
      <w:r>
        <w:rPr>
          <w:rStyle w:val="FootnoteReference"/>
          <w:noProof/>
        </w:rPr>
        <w:footnoteReference w:id="39"/>
      </w:r>
      <w:r>
        <w:rPr>
          <w:noProof/>
        </w:rPr>
        <w:t xml:space="preserve"> </w:t>
      </w:r>
      <w:r>
        <w:rPr>
          <w:noProof/>
        </w:rPr>
        <w:t xml:space="preserve">και </w:t>
      </w:r>
      <w:r>
        <w:rPr>
          <w:noProof/>
        </w:rPr>
        <w:lastRenderedPageBreak/>
        <w:t>(ΕΕ) 2020/1818</w:t>
      </w:r>
      <w:r>
        <w:rPr>
          <w:rStyle w:val="FootnoteReference"/>
          <w:noProof/>
        </w:rPr>
        <w:footnoteReference w:id="40"/>
      </w:r>
      <w:r>
        <w:rPr>
          <w:noProof/>
        </w:rPr>
        <w:t xml:space="preserve"> της Επιτροπής, θεσπίζει απαιτήσεις περιβαλλοντικών, κοινωνικών και σχετικών με τη διακυβέρνηση («ESG») γνωστοποιήσεων για τους διαχειριστές δεικτών και ελάχιστα πρότυπα για την κατασκευή ενωσιακών δεικτών αναφοράς για την κλιματική μετ</w:t>
      </w:r>
      <w:r>
        <w:rPr>
          <w:noProof/>
        </w:rPr>
        <w:t>άβαση και των ευθυγραμμισμένων με τη συμφωνία του Παρισιού ενωσιακών δεικτών αναφοράς. Ο κανονισμός (ΕΕ) αριθ. 575/2013 του Ευρωπαϊκού Κοινοβουλίου και του Συμβουλίου</w:t>
      </w:r>
      <w:r>
        <w:rPr>
          <w:rStyle w:val="FootnoteReference"/>
          <w:noProof/>
        </w:rPr>
        <w:footnoteReference w:id="41"/>
      </w:r>
      <w:r>
        <w:rPr>
          <w:noProof/>
        </w:rPr>
        <w:t xml:space="preserve"> επιβάλλει στα μεγάλα ιδρύματα που έχουν εκδώσει τίτλους, οι οποίοι έχουν εισαχθεί προς διαπραγμάτευση σε ρυθμιζόμενη αγορά, την υποχρέωση να δημοσιοποιούν πληροφορίες σχετικά με τους περιβαλλοντικούς, κοινωνικούς και σχετικούς με τη διακυβέρνηση κινδύνους</w:t>
      </w:r>
      <w:r>
        <w:rPr>
          <w:noProof/>
        </w:rPr>
        <w:t xml:space="preserve"> από τις 28 Ιουνίου 2022. Το νέο πλαίσιο προληπτικής εποπτείας των επιχειρήσεων επενδύσεων, που θεσπίστηκε με τον κανονισμό (ΕΕ) 2019/2033 του Ευρωπαϊκού Κοινοβουλίου και του Συμβουλίου</w:t>
      </w:r>
      <w:r>
        <w:rPr>
          <w:rStyle w:val="FootnoteReference"/>
          <w:noProof/>
        </w:rPr>
        <w:footnoteReference w:id="42"/>
      </w:r>
      <w:r>
        <w:rPr>
          <w:noProof/>
        </w:rPr>
        <w:t xml:space="preserve"> και την οδηγία (ΕΕ) 2019/2034 του Ευρωπαϊκού Κοινοβουλίου και του Συμβουλίου</w:t>
      </w:r>
      <w:r>
        <w:rPr>
          <w:rStyle w:val="FootnoteReference"/>
          <w:noProof/>
        </w:rPr>
        <w:footnoteReference w:id="43"/>
      </w:r>
      <w:r>
        <w:rPr>
          <w:noProof/>
        </w:rPr>
        <w:t>, περιλαμβάνει διατάξεις σχετικά με την καθιέρωση της διάστασης των περιβαλλοντικών, κοινωνικών και σχετικών με τη διακυβέρνηση κινδύνων στη διαδικασία εποπτικού ελέγχου και αξι</w:t>
      </w:r>
      <w:r>
        <w:rPr>
          <w:noProof/>
        </w:rPr>
        <w:t xml:space="preserve">ολόγησης (SREP) από τις αρμόδιες αρχές και περιλαμβάνει απαιτήσεις γνωστοποίησης των περιβαλλοντικών, κοινωνικών και σχετικών με τη διακυβέρνηση κινδύνων για τις επιχειρήσεις επενδύσεων, οι οποίες εφαρμόζονται από 26 Δεκεμβρίου 2022. Η Επιτροπή ανακοίνωσε </w:t>
      </w:r>
      <w:r>
        <w:rPr>
          <w:noProof/>
        </w:rPr>
        <w:t>επίσης πρόταση σχετικά με ένα ευρωπαϊκό πρότυπο πράσινων ομολόγων στο πρόγραμμα εργασίας της για το 2021, δίνοντας συνέχεια στο σχέδιο δράσης για τη χρηματοδότηση της αειφόρου ανάπτυξης.</w:t>
      </w:r>
    </w:p>
    <w:p w14:paraId="1B9DDC9E" w14:textId="77777777" w:rsidR="00680C0B" w:rsidRDefault="00A8232D">
      <w:pPr>
        <w:pStyle w:val="ManualConsidrant"/>
        <w:rPr>
          <w:noProof/>
        </w:rPr>
      </w:pPr>
      <w:r>
        <w:rPr>
          <w:noProof/>
        </w:rPr>
        <w:t>(3)</w:t>
      </w:r>
      <w:r>
        <w:rPr>
          <w:noProof/>
        </w:rPr>
        <w:tab/>
        <w:t>Στις 5 Δεκεμβρίου 2019, στα συμπεράσματά του σχετικά με την εμβάθ</w:t>
      </w:r>
      <w:r>
        <w:rPr>
          <w:noProof/>
        </w:rPr>
        <w:t>υνση της Ένωσης Κεφαλαιαγορών, το Συμβούλιο υπογράμμισε τη σημασία της ύπαρξης αξιόπιστων, συγκρίσιμων και συναφών πληροφοριών για τους κινδύνους, τις ευκαιρίες και τις επιπτώσεις που σχετίζονται με τη βιωσιμότητα, και κάλεσε την Επιτροπή να εξετάσει το εν</w:t>
      </w:r>
      <w:r>
        <w:rPr>
          <w:noProof/>
        </w:rPr>
        <w:t>δεχόμενο ανάπτυξης ενός ευρωπαϊκού προτύπου υποβολής μη χρηματοοικονομικών πληροφοριών.</w:t>
      </w:r>
    </w:p>
    <w:p w14:paraId="12254E60" w14:textId="77777777" w:rsidR="00680C0B" w:rsidRDefault="00A8232D">
      <w:pPr>
        <w:pStyle w:val="ManualConsidrant"/>
        <w:rPr>
          <w:noProof/>
        </w:rPr>
      </w:pPr>
      <w:r>
        <w:rPr>
          <w:noProof/>
        </w:rPr>
        <w:t>(4)</w:t>
      </w:r>
      <w:r>
        <w:rPr>
          <w:noProof/>
        </w:rPr>
        <w:tab/>
        <w:t>Το Ευρωπαϊκό Κοινοβούλιο, στο ψήφισμά του, της 29ης Μαΐου 2018, σχετικά με τη βιώσιμη χρηματοδότηση</w:t>
      </w:r>
      <w:r>
        <w:rPr>
          <w:rStyle w:val="FootnoteReference"/>
          <w:noProof/>
        </w:rPr>
        <w:footnoteReference w:id="44"/>
      </w:r>
      <w:r>
        <w:rPr>
          <w:noProof/>
        </w:rPr>
        <w:t>, ζήτησε να αναπτυχθούν περαιτέρω οι απαιτήσεις για τη δημοσιοπ</w:t>
      </w:r>
      <w:r>
        <w:rPr>
          <w:noProof/>
        </w:rPr>
        <w:t xml:space="preserve">οίηση μη χρηματοοικονομικών πληροφοριών στο πλαίσιο της οδηγίας 2013/34/ΕΕ. Το Ευρωπαϊκό Κοινοβούλιο, στο ψήφισμά του, της </w:t>
      </w:r>
      <w:r>
        <w:rPr>
          <w:noProof/>
        </w:rPr>
        <w:lastRenderedPageBreak/>
        <w:t>17ης Δεκεμβρίου 2020, σχετικά με τη βιώσιμη εταιρική διακυβέρνηση</w:t>
      </w:r>
      <w:r>
        <w:rPr>
          <w:rStyle w:val="FootnoteReference"/>
          <w:noProof/>
        </w:rPr>
        <w:footnoteReference w:id="45"/>
      </w:r>
      <w:r>
        <w:rPr>
          <w:noProof/>
        </w:rPr>
        <w:t>, χαιρέτισε τη δέσμευση της Επιτροπής να επανεξετάσει την οδηγία 2</w:t>
      </w:r>
      <w:r>
        <w:rPr>
          <w:noProof/>
        </w:rPr>
        <w:t xml:space="preserve">013/34/ΕΕ και εξέφρασε την ανάγκη να θεσπιστεί ένα ολοκληρωμένο πλαίσιο της Ένωσης για τη δημοσιοποίηση μη χρηματοοικονομικών πληροφοριών, το οποίο θα περιλαμβάνει υποχρεωτικά πρότυπα της Ένωσης για την υποβολή μη χρηματοοικονομικών εκθέσεων. Το Ευρωπαϊκό </w:t>
      </w:r>
      <w:r>
        <w:rPr>
          <w:noProof/>
        </w:rPr>
        <w:t>Κοινοβούλιο ζήτησε την επέκταση του πεδίου εφαρμογής των απαιτήσεων υποβολής εκθέσεων σε επιπλέον κατηγορίες επιχειρήσεων, καθώς και την καθιέρωση υποχρέωσης ελέγχου.</w:t>
      </w:r>
    </w:p>
    <w:p w14:paraId="3C3C7C76" w14:textId="77777777" w:rsidR="00680C0B" w:rsidRDefault="00A8232D">
      <w:pPr>
        <w:pStyle w:val="ManualConsidrant"/>
        <w:rPr>
          <w:noProof/>
        </w:rPr>
      </w:pPr>
      <w:r>
        <w:rPr>
          <w:noProof/>
        </w:rPr>
        <w:t>(5)</w:t>
      </w:r>
      <w:r>
        <w:rPr>
          <w:noProof/>
        </w:rPr>
        <w:tab/>
        <w:t>Στις 25 Σεπτεμβρίου 2015 η Γενική Συνέλευση των Ηνωμένων Εθνών ενέκρινε ένα νέο παγκό</w:t>
      </w:r>
      <w:r>
        <w:rPr>
          <w:noProof/>
        </w:rPr>
        <w:t>σμιο πλαίσιο για τη βιώσιμη ανάπτυξη: την Ατζέντα του 2030 για τη βιώσιμη ανάπτυξη (στο εξής: Ατζέντα 2030). Στο επίκεντρο της Ατζέντας 2030 βρίσκονται οι στόχοι βιώσιμης ανάπτυξης και καλύπτονται οι τρεις διαστάσεις της βιωσιμότητας: οικονομική, κοινωνική</w:t>
      </w:r>
      <w:r>
        <w:rPr>
          <w:noProof/>
        </w:rPr>
        <w:t xml:space="preserve"> και περιβαλλοντική. Η ανακοίνωση της Επιτροπής, της 22ας Νοεμβρίου 2016, σχετικά με τα επόμενα βήματα για ένα βιώσιμο ευρωπαϊκό μέλλον συνδέει τους στόχους βιώσιμης ανάπτυξης με το ενωσιακό πλαίσιο πολιτικής με στόχο να εξασφαλιστεί η συμπερίληψη των στόχ</w:t>
      </w:r>
      <w:r>
        <w:rPr>
          <w:noProof/>
        </w:rPr>
        <w:t>ων αυτών εξαρχής σε όλες τις δράσεις και τις πρωτοβουλίες πολιτικής της Ένωσης, τόσο εντός της Ένωσης όσο και παγκοσμίως</w:t>
      </w:r>
      <w:r>
        <w:rPr>
          <w:rStyle w:val="FootnoteReference"/>
          <w:noProof/>
        </w:rPr>
        <w:footnoteReference w:id="46"/>
      </w:r>
      <w:r>
        <w:rPr>
          <w:noProof/>
        </w:rPr>
        <w:t>. Το Συμβούλιο, στα συμπεράσματά του της 20ής Ιουνίου 2017, επιβεβαίωσε τη δέσμευση της Ένωσης και των κρατών μελών της να υλοποιήσουν</w:t>
      </w:r>
      <w:r>
        <w:rPr>
          <w:noProof/>
        </w:rPr>
        <w:t xml:space="preserve"> την Ατζέντα του 2030 με πλήρη, συνεκτικό, συνολικό, ολοκληρωμένο και αποτελεσματικό τρόπο, σε στενή συνεργασία με τους εταίρους τους και άλλα ενδιαφερόμενα μέρη</w:t>
      </w:r>
      <w:r>
        <w:rPr>
          <w:rStyle w:val="FootnoteReference"/>
          <w:noProof/>
        </w:rPr>
        <w:footnoteReference w:id="47"/>
      </w:r>
      <w:r>
        <w:rPr>
          <w:noProof/>
        </w:rPr>
        <w:t xml:space="preserve">. </w:t>
      </w:r>
    </w:p>
    <w:p w14:paraId="777F8E8F" w14:textId="77777777" w:rsidR="00680C0B" w:rsidRDefault="00A8232D">
      <w:pPr>
        <w:pStyle w:val="ManualConsidrant"/>
        <w:rPr>
          <w:noProof/>
        </w:rPr>
      </w:pPr>
      <w:r>
        <w:rPr>
          <w:noProof/>
        </w:rPr>
        <w:t>(6)</w:t>
      </w:r>
      <w:r>
        <w:rPr>
          <w:noProof/>
        </w:rPr>
        <w:tab/>
        <w:t>Η οδηγία 2014/95/ΕΕ του Ευρωπαϊκού Κοινοβουλίου και του Συμβουλίου</w:t>
      </w:r>
      <w:r>
        <w:rPr>
          <w:rStyle w:val="FootnoteReference"/>
          <w:noProof/>
        </w:rPr>
        <w:footnoteReference w:id="48"/>
      </w:r>
      <w:r>
        <w:rPr>
          <w:noProof/>
        </w:rPr>
        <w:t xml:space="preserve"> τροποποίησε την ο</w:t>
      </w:r>
      <w:r>
        <w:rPr>
          <w:noProof/>
        </w:rPr>
        <w:t>δηγία 2013/34/ΕΕ όσον αφορά τη δημοσιοποίηση μη χρηματοοικονομικών πληροφοριών από ορισμένες μεγάλες επιχειρήσεις και ομίλους. Με την οδηγία 2014/95/ΕΕ θεσπίστηκε η υποχρέωση των επιχειρήσεων να δημοσιοποιούν πληροφορίες σε σχέση, τουλάχιστον, με περιβαλλο</w:t>
      </w:r>
      <w:r>
        <w:rPr>
          <w:noProof/>
        </w:rPr>
        <w:t xml:space="preserve">ντικά θέματα, κοινωνικά θέματα και θέματα σχετικά με τους εργαζομένους, τον σεβασμό των δικαιωμάτων του ανθρώπου, την καταπολέμηση της διαφθοράς και θέματα σχετικά με τη δωροδοκία. Όσον αφορά τα θέματα αυτά, η οδηγία 2014/95/ΕΕ επιβάλλει στις επιχειρήσεις </w:t>
      </w:r>
      <w:r>
        <w:rPr>
          <w:noProof/>
        </w:rPr>
        <w:t>την υποχρέωση να δημοσιοποιούν πληροφορίες στους ακόλουθους τομείς υποβολής στοιχείων: επιχειρηματικό μοντέλο, πολιτικές (συμπεριλαμβανομένων των διαδικασιών δέουσας επιμέλειας που εφαρμόζουν), τα αποτελέσματα των πολιτικών, κίνδυνοι και διαχείριση κινδύνω</w:t>
      </w:r>
      <w:r>
        <w:rPr>
          <w:noProof/>
        </w:rPr>
        <w:t>ν και βασικοί δείκτες επιδόσεων που σχετίζονται με τον συγκεκριμένο τομέα επιχειρήσεων.</w:t>
      </w:r>
    </w:p>
    <w:p w14:paraId="738D0007" w14:textId="77777777" w:rsidR="00680C0B" w:rsidRDefault="00A8232D">
      <w:pPr>
        <w:pStyle w:val="ManualConsidrant"/>
        <w:rPr>
          <w:noProof/>
        </w:rPr>
      </w:pPr>
      <w:r>
        <w:rPr>
          <w:noProof/>
        </w:rPr>
        <w:t>(7)</w:t>
      </w:r>
      <w:r>
        <w:rPr>
          <w:noProof/>
        </w:rPr>
        <w:tab/>
        <w:t>Πολλά ενδιαφερόμενα μέρη θεωρούν ότι ο όρος «μη χρηματοοικονομικές» είναι ανακριβής, ιδίως επειδή υποδηλώνει ότι οι εν λόγω πληροφορίες δεν έχουν οικονομική σημασία</w:t>
      </w:r>
      <w:r>
        <w:rPr>
          <w:noProof/>
        </w:rPr>
        <w:t>. Ωστόσο, οι εν λόγω πληροφορίες αποκτούν ολοένα μεγαλύτερη οικονομική σημασία. Πολλοί οργανισμοί, πρωτοβουλίες και επαγγελματίες στον τομέα αυτόν αναφέρονται σε πληροφορίες «βιωσιμότητας». Ως εκ τούτου, είναι προτιμότερο να χρησιμοποιείται ο όρος «πληροφο</w:t>
      </w:r>
      <w:r>
        <w:rPr>
          <w:noProof/>
        </w:rPr>
        <w:t xml:space="preserve">ρίες βιωσιμότητας» αντί του όρου «μη </w:t>
      </w:r>
      <w:r>
        <w:rPr>
          <w:noProof/>
        </w:rPr>
        <w:lastRenderedPageBreak/>
        <w:t>χρηματοοικονομικές πληροφορίες». Συνεπώς, η οδηγία 2013/34/ΕΕ θα πρέπει να τροποποιηθεί ώστε να ληφθεί υπόψη η εν λόγω μεταβολή στην ορολογία.</w:t>
      </w:r>
    </w:p>
    <w:p w14:paraId="034704F5" w14:textId="77777777" w:rsidR="00680C0B" w:rsidRDefault="00A8232D">
      <w:pPr>
        <w:pStyle w:val="ManualConsidrant"/>
        <w:rPr>
          <w:noProof/>
        </w:rPr>
      </w:pPr>
      <w:r>
        <w:rPr>
          <w:noProof/>
        </w:rPr>
        <w:t>(8)</w:t>
      </w:r>
      <w:r>
        <w:rPr>
          <w:noProof/>
        </w:rPr>
        <w:tab/>
        <w:t>Οι τελικοί δικαιούχοι της βελτιωμένης υποβολής εκθέσεων βιωσιμότητας από</w:t>
      </w:r>
      <w:r>
        <w:rPr>
          <w:noProof/>
        </w:rPr>
        <w:t xml:space="preserve"> τις επιχειρήσεις είναι ιδιώτες πολίτες και αποταμιευτές. Οι αποταμιευτές που επιθυμούν να επενδύσουν με βιώσιμο τρόπο θα έχουν την ευκαιρία να το πράξουν, ενώ όλοι οι πολίτες θα πρέπει να επωφελούνται από ένα σταθερό, βιώσιμο και χωρίς αποκλεισμούς οικονο</w:t>
      </w:r>
      <w:r>
        <w:rPr>
          <w:noProof/>
        </w:rPr>
        <w:t>μικό σύστημα. Για την υλοποίηση των εν λόγω οφελών, οι πληροφορίες βιωσιμότητας που δημοσιοποιούνται στις ετήσιες εκθέσεις της επιχείρησης θα πρέπει να απευθύνονται πρώτα σε δύο κύριες ομάδες (χρήστες). Η πρώτη ομάδα χρηστών αποτελείται από επενδυτές, συμπ</w:t>
      </w:r>
      <w:r>
        <w:rPr>
          <w:noProof/>
        </w:rPr>
        <w:t>εριλαμβανομένων των διαχειριστών περιουσιακών στοιχείων, οι οποίοι επιθυμούν να κατανοήσουν καλύτερα τους κινδύνους και τις ευκαιρίες που θέτουν τα ζητήματα βιωσιμότητας στις επενδύσεις τους, καθώς και τις επιπτώσεις των επενδύσεων αυτών στους ανθρώπους κα</w:t>
      </w:r>
      <w:r>
        <w:rPr>
          <w:noProof/>
        </w:rPr>
        <w:t>ι το περιβάλλον. Η δεύτερη ομάδα χρηστών αποτελείται από οργανισμούς, συμπεριλαμβανομένων των μη κυβερνητικών οργανώσεων και των κοινωνικών εταίρων, οι οποίοι επιθυμούν μεγαλύτερη λογοδοσία των επιχειρήσεων όσον αφορά τις επιπτώσεις τους στους ανθρώπους κα</w:t>
      </w:r>
      <w:r>
        <w:rPr>
          <w:noProof/>
        </w:rPr>
        <w:t>ι το περιβάλλον. Άλλα ενδιαφερόμενα μέρη μπορούν επίσης να κάνουν χρήση των πληροφοριών βιωσιμότητας που δημοσιοποιούνται στις ετήσιες εκθέσεις. Οι επιχειρηματικοί εταίροι των επιχειρήσεων, συμπεριλαμβανομένων των πελατών, μπορούν να βασίζονται στις πληροφ</w:t>
      </w:r>
      <w:r>
        <w:rPr>
          <w:noProof/>
        </w:rPr>
        <w:t>ορίες αυτές για να κατανοούν και, όταν κρίνεται σκόπιμο, να αναφέρουν τους κινδύνους και τις επιπτώσεις όσον αφορά τη βιωσιμότητα μέσω των δικών τους αλυσίδων αξίας. Οι φορείς χάραξης πολιτικής και οι περιβαλλοντικοί οργανισμοί μπορούν να χρησιμοποιούν τις</w:t>
      </w:r>
      <w:r>
        <w:rPr>
          <w:noProof/>
        </w:rPr>
        <w:t xml:space="preserve"> πληροφορίες αυτές, κυρίως σε συγκεντρωτική βάση, για την παρακολούθηση των περιβαλλοντικών και κοινωνικών τάσεων, για τη συμβολή σε περιβαλλοντικούς λογαριασμούς και για την τεκμηρίωση της δημόσιας πολιτικής. Ορισμένοι ιδιώτες πολίτες και καταναλωτές συμβ</w:t>
      </w:r>
      <w:r>
        <w:rPr>
          <w:noProof/>
        </w:rPr>
        <w:t>ουλεύονται άμεσα τις εκθέσεις των επιχειρήσεων, αλλά ενδέχεται να χρησιμοποιούν τις πληροφορίες αυτές έμμεσα, όπως κατά την εξέταση των συμβουλών ή της γνώμης που διατυπώνουν χρηματοοικονομικοί σύμβουλοι ή μη κυβερνητικές οργανώσεις. Πολλοί επενδυτές και δ</w:t>
      </w:r>
      <w:r>
        <w:rPr>
          <w:noProof/>
        </w:rPr>
        <w:t>ιαχειριστές περιουσιακών στοιχείων αγοράζουν πληροφορίες βιωσιμότητας από τρίτους παρόχους δεδομένων, οι οποίοι συλλέγουν τις πληροφορίες από διάφορες πηγές, συμπεριλαμβανομένων των δημοσιοποιημένων εταιρικών εκθέσεων.</w:t>
      </w:r>
    </w:p>
    <w:p w14:paraId="5695DA95" w14:textId="77777777" w:rsidR="00680C0B" w:rsidRDefault="00A8232D">
      <w:pPr>
        <w:pStyle w:val="ManualConsidrant"/>
        <w:rPr>
          <w:noProof/>
        </w:rPr>
      </w:pPr>
      <w:r>
        <w:rPr>
          <w:noProof/>
        </w:rPr>
        <w:t>(9)</w:t>
      </w:r>
      <w:r>
        <w:rPr>
          <w:noProof/>
        </w:rPr>
        <w:tab/>
        <w:t>Τα τελευταία έτη παρατηρείται πολ</w:t>
      </w:r>
      <w:r>
        <w:rPr>
          <w:noProof/>
        </w:rPr>
        <w:t>ύ σημαντική αύξηση της ζήτησης για πληροφορίες εταιρικής βιωσιμότητας, ιδίως από την πλευρά της επενδυτικής κοινότητας. Αυτή η αύξηση της ζήτησης οφείλεται στη μεταβαλλόμενη φύση των κινδύνων για τις επιχειρήσεις και στην ολοένα και μεγαλύτερη επίγνωση που</w:t>
      </w:r>
      <w:r>
        <w:rPr>
          <w:noProof/>
        </w:rPr>
        <w:t xml:space="preserve"> έχουν οι επενδυτές όσον αφορά τις οικονομικές επιπτώσεις των εν λόγω κινδύνων. Αυτό ισχύει ειδικότερα στην περίπτωση των χρηματοοικονομικών κινδύνων που αφορούν το κλίμα. Επιπλέον, αυξάνεται η επίγνωση των κινδύνων για τις επιχειρήσεις και τις επενδύσεις </w:t>
      </w:r>
      <w:r>
        <w:rPr>
          <w:noProof/>
        </w:rPr>
        <w:t>που προκύπτουν από άλλα περιβαλλοντικά και κοινωνικά ζητήματα, συμπεριλαμβανομένων των ζητημάτων υγείας. Η αύξηση της ζήτησης για πληροφορίες βιωσιμότητας οφείλεται επίσης στην αύξηση των επενδυτικών προϊόντων που επιδιώκουν ρητά την τήρηση ορισμένων προτύ</w:t>
      </w:r>
      <w:r>
        <w:rPr>
          <w:noProof/>
        </w:rPr>
        <w:t>πων βιωσιμότητας ή την επίτευξη ορισμένων στόχων βιωσιμότητας. Μέρος της αύξησης αυτής είναι λογική συνέπεια της νομοθεσίας της Ένωσης που θεσπίστηκε πρόσφατα, κυρίως του κανονισμού (ΕΕ) 2019/2088 και του κανονισμού (ΕΕ) 2020/852. Ένα άλλο μέρος της αύξηση</w:t>
      </w:r>
      <w:r>
        <w:rPr>
          <w:noProof/>
        </w:rPr>
        <w:t xml:space="preserve">ς θα είχε προκύψει σε κάθε περίπτωση, λόγω της ραγδαίως μεταβαλλόμενης ευαισθητοποίησης των πολιτών, των προτιμήσεων των καταναλωτών και των πρακτικών της αγοράς. Η πανδημία COVID-19 αναμένεται να επιταχύνει περαιτέρω </w:t>
      </w:r>
      <w:r>
        <w:rPr>
          <w:noProof/>
        </w:rPr>
        <w:lastRenderedPageBreak/>
        <w:t>την αύξηση των αναγκών πληροφόρησης τω</w:t>
      </w:r>
      <w:r>
        <w:rPr>
          <w:noProof/>
        </w:rPr>
        <w:t>ν χρηστών, κυρίως επειδή αποκάλυψε την ευπάθεια των εργαζομένων και των αλυσίδων αξίας των επιχειρήσεων. Οι πληροφορίες σχετικά με τις περιβαλλοντικές επιπτώσεις είναι επίσης σημαντικές στο πλαίσιο του μετριασμού μελλοντικών πανδημιών, με την ανθρωπογενή δ</w:t>
      </w:r>
      <w:r>
        <w:rPr>
          <w:noProof/>
        </w:rPr>
        <w:t>ιαταραχή των οικοσυστημάτων να συνδέεται όλο και περισσότερο με την εμφάνιση και τη διάδοση ασθενειών.</w:t>
      </w:r>
    </w:p>
    <w:p w14:paraId="4DEF6D15" w14:textId="77777777" w:rsidR="00680C0B" w:rsidRDefault="00A8232D">
      <w:pPr>
        <w:pStyle w:val="ManualConsidrant"/>
        <w:rPr>
          <w:noProof/>
        </w:rPr>
      </w:pPr>
      <w:r>
        <w:rPr>
          <w:noProof/>
        </w:rPr>
        <w:t>(10)</w:t>
      </w:r>
      <w:r>
        <w:rPr>
          <w:noProof/>
        </w:rPr>
        <w:tab/>
        <w:t>Οι ίδιες οι επιχειρήσεις επωφελούνται από την υποβολή εκθέσεων υψηλής ποιότητας σε θέματα βιωσιμότητας. Η αύξηση του αριθμού των επενδυτικών προϊόντ</w:t>
      </w:r>
      <w:r>
        <w:rPr>
          <w:noProof/>
        </w:rPr>
        <w:t>ων που επιδιώκουν να επιτύχουν στόχους βιωσιμότητας σημαίνει ότι η άρτια υποβολή εκθέσεων βιωσιμότητας μπορεί να ενισχύσει την πρόσβαση μιας επιχείρησης σε χρηματοοικονομικά κεφάλαια. Η υποβολή εκθέσεων βιωσιμότητας μπορεί να βοηθήσει τις επιχειρήσεις να π</w:t>
      </w:r>
      <w:r>
        <w:rPr>
          <w:noProof/>
        </w:rPr>
        <w:t>ροσδιορίζουν και να διαχειρίζονται τους δικούς τους κινδύνους και τις ευκαιρίες που σχετίζονται με θέματα βιωσιμότητας. Μπορεί να αποτελέσει τη βάση για καλύτερο διάλογο και επικοινωνία μεταξύ των επιχειρήσεων και των ενδιαφερόμενων μερών, ενώ μπορεί επίση</w:t>
      </w:r>
      <w:r>
        <w:rPr>
          <w:noProof/>
        </w:rPr>
        <w:t xml:space="preserve">ς να συμβάλει στη βελτίωση της φήμης των επιχειρήσεων. </w:t>
      </w:r>
    </w:p>
    <w:p w14:paraId="75389F22" w14:textId="77777777" w:rsidR="00680C0B" w:rsidRDefault="00A8232D">
      <w:pPr>
        <w:pStyle w:val="ManualConsidrant"/>
        <w:rPr>
          <w:noProof/>
        </w:rPr>
      </w:pPr>
      <w:r>
        <w:rPr>
          <w:noProof/>
        </w:rPr>
        <w:t>(11)</w:t>
      </w:r>
      <w:r>
        <w:rPr>
          <w:noProof/>
        </w:rPr>
        <w:tab/>
        <w:t>Στην έκθεση σχετικά με τη ρήτρα επανεξέτασης της οδηγίας για τη δημοσιοποίηση μη χρηματοοικονομικών πληροφοριών (οδηγία 2014/95/ΕΕ), καθώς και στον συνοδευτικό έλεγχο καταλληλότητας για την υποβο</w:t>
      </w:r>
      <w:r>
        <w:rPr>
          <w:noProof/>
        </w:rPr>
        <w:t>λή εκθέσεων από εταιρείες, διαπιστώθηκαν προβλήματα σχετικά με την αποτελεσματικότητα της εν λόγω οδηγίας</w:t>
      </w:r>
      <w:r>
        <w:rPr>
          <w:rStyle w:val="FootnoteReference"/>
          <w:noProof/>
        </w:rPr>
        <w:footnoteReference w:id="49"/>
      </w:r>
      <w:r>
        <w:rPr>
          <w:noProof/>
        </w:rPr>
        <w:t>. Υπάρχουν σημαντικές ενδείξεις ότι πολλές επιχειρήσεις δεν δημοσιοποιούν ουσιώδεις πληροφορίες για όλα τα βασικά θέματα που σχετίζονται με τη βιωσιμ</w:t>
      </w:r>
      <w:r>
        <w:rPr>
          <w:noProof/>
        </w:rPr>
        <w:t>ότητα. Στην έκθεση επισημάνθηκαν επίσης ως σημαντικά προβλήματα η περιορισμένη συγκρισιμότητα και αξιοπιστία των πληροφοριών βιωσιμότητας. Επιπλέον, πολλές επιχειρήσεις από τις οποίες οι χρήστες χρειάζεται να λάβουν πληροφορίες βιωσιμότητας δεν είναι υποχρ</w:t>
      </w:r>
      <w:r>
        <w:rPr>
          <w:noProof/>
        </w:rPr>
        <w:t xml:space="preserve">εωμένες να υποβάλλουν τέτοιες πληροφορίες. </w:t>
      </w:r>
    </w:p>
    <w:p w14:paraId="183DD9C2" w14:textId="77777777" w:rsidR="00680C0B" w:rsidRDefault="00A8232D">
      <w:pPr>
        <w:pStyle w:val="ManualConsidrant"/>
        <w:rPr>
          <w:noProof/>
        </w:rPr>
      </w:pPr>
      <w:r>
        <w:rPr>
          <w:noProof/>
        </w:rPr>
        <w:t>(12)</w:t>
      </w:r>
      <w:r>
        <w:rPr>
          <w:noProof/>
        </w:rPr>
        <w:tab/>
        <w:t xml:space="preserve">Ελλείψει μέτρων πολιτικής, αναμένεται να αυξηθεί το χάσμα μεταξύ των αναγκών πληροφόρησης των χρηστών και των πληροφοριών βιωσιμότητας που υποβάλλουν οι επιχειρήσεις. Το χάσμα αυτό έχει σημαντικές αρνητικές </w:t>
      </w:r>
      <w:r>
        <w:rPr>
          <w:noProof/>
        </w:rPr>
        <w:t>συνέπειες. Οι επενδυτές δεν έχουν τη δυνατότητα να λαμβάνουν επαρκώς υπόψη στις επενδυτικές τους αποφάσεις τους κινδύνους και τις ευκαιρίες που σχετίζονται με τη βιωσιμότητα. Η συγκέντρωση πολλών επενδυτικών αποφάσεων που δεν λαμβάνουν επαρκώς υπόψη τους κ</w:t>
      </w:r>
      <w:r>
        <w:rPr>
          <w:noProof/>
        </w:rPr>
        <w:t>ινδύνους που σχετίζονται με τη βιωσιμότητα ενδέχεται να δημιουργήσει συστημικούς κινδύνους που απειλούν τη χρηματοπιστωτική σταθερότητα. Η Ευρωπαϊκή Κεντρική Τράπεζα και διεθνείς οργανισμοί, όπως το Συμβούλιο Χρηματοπιστωτικής Σταθερότητας, επέστησαν την π</w:t>
      </w:r>
      <w:r>
        <w:rPr>
          <w:noProof/>
        </w:rPr>
        <w:t>ροσοχή στους εν λόγω συστημικούς κινδύνους, ιδίως στην περίπτωση του κλίματος. Οι επενδυτές έχουν επίσης περιορισμένη δυνατότητα να διοχετεύουν χρηματοοικονομικούς πόρους σε επιχειρήσεις και οικονομικές δραστηριότητες που αντιμετωπίζουν και δεν επιδεινώνου</w:t>
      </w:r>
      <w:r>
        <w:rPr>
          <w:noProof/>
        </w:rPr>
        <w:t>ν τα κοινωνικά και περιβαλλοντικά προβλήματα, κατάσταση που υπονομεύει τους στόχους της Ευρωπαϊκής Πράσινης Συμφωνίας και του σχεδίου δράσης για τη χρηματοδότηση της αειφόρου ανάπτυξης. Οι μη κυβερνητικές οργανώσεις, οι κοινωνικοί εταίροι, οι κοινότητες πο</w:t>
      </w:r>
      <w:r>
        <w:rPr>
          <w:noProof/>
        </w:rPr>
        <w:t xml:space="preserve">υ επηρεάζονται από τις δραστηριότητες των επιχειρήσεων και άλλα ενδιαφερόμενα μέρη έχουν περιορισμένη δυνατότητα να καθιστούν τις επιχειρήσεις υπόλογες για τις επιπτώσεις τους στους ανθρώπους και το περιβάλλον. Ως εκ τούτου, δημιουργείται έλλειμμα </w:t>
      </w:r>
      <w:r>
        <w:rPr>
          <w:noProof/>
        </w:rPr>
        <w:lastRenderedPageBreak/>
        <w:t>λογοδοσί</w:t>
      </w:r>
      <w:r>
        <w:rPr>
          <w:noProof/>
        </w:rPr>
        <w:t>ας, το οποίο μπορεί να οδηγήσει σε χαμηλότερα επίπεδα εμπιστοσύνης των πολιτών στις επιχειρήσεις, εξέλιξη που μπορεί να έχει, με τη σειρά της, αρνητικές επιπτώσεις στην αποτελεσματική λειτουργία της κοινωνικής οικονομίας της αγοράς. Η έλλειψη ευρέως αποδεκ</w:t>
      </w:r>
      <w:r>
        <w:rPr>
          <w:noProof/>
        </w:rPr>
        <w:t>τών μετρήσεων και μεθόδων μέτρησης, αποτίμησης και διαχείρισης των κινδύνων που σχετίζονται με τη βιωσιμότητα αποτελεί επίσης εμπόδιο στις προσπάθειες των επιχειρήσεων να διασφαλίσουν ότι τα επιχειρηματικά μοντέλα και οι δραστηριότητές τους έχουν βιώσιμο χ</w:t>
      </w:r>
      <w:r>
        <w:rPr>
          <w:noProof/>
        </w:rPr>
        <w:t xml:space="preserve">αρακτήρα. </w:t>
      </w:r>
    </w:p>
    <w:p w14:paraId="17D7AB70" w14:textId="77777777" w:rsidR="00680C0B" w:rsidRDefault="00A8232D">
      <w:pPr>
        <w:pStyle w:val="ManualConsidrant"/>
        <w:rPr>
          <w:noProof/>
        </w:rPr>
      </w:pPr>
      <w:r>
        <w:rPr>
          <w:noProof/>
        </w:rPr>
        <w:t>(13)</w:t>
      </w:r>
      <w:r>
        <w:rPr>
          <w:noProof/>
        </w:rPr>
        <w:tab/>
        <w:t xml:space="preserve">Στην έκθεση σχετικά με τη ρήτρα επανεξέτασης της οδηγίας 2014/95/ΕΕ, καθώς και στον συνοδευτικό έλεγχο καταλληλότητας για την υποβολή εκθέσεων από εταιρείες, αναγνωρίστηκε επίσης η σημαντική αύξηση των αιτημάτων παροχής πληροφοριών σχετικά </w:t>
      </w:r>
      <w:r>
        <w:rPr>
          <w:noProof/>
        </w:rPr>
        <w:t>με θέματα βιωσιμότητας προς επιχειρήσεις, σε μια προσπάθεια αντιμετώπισης του υφιστάμενου χάσματος πληροφοριών. Επιπλέον, οι υφιστάμενες προσδοκίες για τη χρήση ευρέος φάσματος διαφορετικών πλαισίων και προτύπων από τις επιχειρήσεις είναι πιθανό να συνεχισ</w:t>
      </w:r>
      <w:r>
        <w:rPr>
          <w:noProof/>
        </w:rPr>
        <w:t>τούν και μπορεί ακόμη και να ενταθούν, δεδομένου ότι η αξία που αποδίδεται στις πληροφορίες βιωσιμότητας εξακολουθεί να αυξάνεται. Ελλείψει μέτρων πολιτικής για την επίτευξη συναίνεσης όσον αφορά τις πληροφορίες που θα πρέπει να υποβάλλουν οι επιχειρήσεις,</w:t>
      </w:r>
      <w:r>
        <w:rPr>
          <w:noProof/>
        </w:rPr>
        <w:t xml:space="preserve"> θα υπάρξουν σημαντικές αυξήσεις των δαπανών και της επιβάρυνσης τόσο για τις επιχειρήσεις που υποβάλλουν εκθέσεις όσο και για τους χρήστες των εν λόγω πληροφοριών.</w:t>
      </w:r>
    </w:p>
    <w:p w14:paraId="47D8B7DC" w14:textId="77777777" w:rsidR="00680C0B" w:rsidRDefault="00A8232D">
      <w:pPr>
        <w:pStyle w:val="ManualConsidrant"/>
        <w:rPr>
          <w:noProof/>
        </w:rPr>
      </w:pPr>
      <w:r>
        <w:rPr>
          <w:noProof/>
        </w:rPr>
        <w:t>(14)</w:t>
      </w:r>
      <w:r>
        <w:rPr>
          <w:noProof/>
        </w:rPr>
        <w:tab/>
        <w:t>Το αυξανόμενο χάσμα μεταξύ των αναγκών πληροφόρησης των χρηστών και των υφιστάμενων πρ</w:t>
      </w:r>
      <w:r>
        <w:rPr>
          <w:noProof/>
        </w:rPr>
        <w:t>ακτικών υποβολής εκθέσεων των επιχειρήσεων καθιστά πιο πιθανή τη θέσπιση εθνικών κανόνων ή προτύπων με μεγαλύτερη απόκλιση σε κάθε κράτος μέλος. Οι διαφορετικές απαιτήσεις υποβολής εκθέσεων στα διάφορα κράτη μέλη θα δημιουργήσουν πρόσθετο κόστος και πολυπλ</w:t>
      </w:r>
      <w:r>
        <w:rPr>
          <w:noProof/>
        </w:rPr>
        <w:t>οκότητα για τις επιχειρήσεις που δραστηριοποιούνται σε διασυνοριακό επίπεδο και, ως εκ τούτου, θα υπονομεύσουν τόσο την ενιαία αγορά όσο και το δικαίωμα εγκατάστασης και την ελεύθερη κυκλοφορία των κεφαλαίων σε ολόκληρη την Ένωση. Οι εν λόγω διαφορετικές α</w:t>
      </w:r>
      <w:r>
        <w:rPr>
          <w:noProof/>
        </w:rPr>
        <w:t>παιτήσεις υποβολής εκθέσεων καθιστούν επίσης λιγότερο συγκρίσιμες τις πληροφορίες που υποβάλλονται σε διασυνοριακό επίπεδο, υπονομεύοντας την Ένωση Κεφαλαιαγορών.</w:t>
      </w:r>
    </w:p>
    <w:p w14:paraId="60125A65" w14:textId="77777777" w:rsidR="00680C0B" w:rsidRDefault="00A8232D">
      <w:pPr>
        <w:pStyle w:val="ManualConsidrant"/>
        <w:rPr>
          <w:noProof/>
        </w:rPr>
      </w:pPr>
      <w:r>
        <w:rPr>
          <w:noProof/>
        </w:rPr>
        <w:t>(15)</w:t>
      </w:r>
      <w:r>
        <w:rPr>
          <w:noProof/>
        </w:rPr>
        <w:tab/>
        <w:t>Τα άρθρα 19α και 29α της οδηγίας 2013/34/ΕΕ ισχύουν για μεγάλες επιχειρήσεις που είναι ο</w:t>
      </w:r>
      <w:r>
        <w:rPr>
          <w:noProof/>
        </w:rPr>
        <w:t>ντότητες δημόσιου συμφέροντος με μέσο αριθμό εργαζομένων άνω των 500, καθώς και για οντότητες δημόσιου συμφέροντος που είναι μητρικές επιχειρήσεις ενός μεγάλου ομίλου, των οποίων ο μέσος αριθμός εργαζομένων υπερβαίνει τους 500, σε ενοποιημένη βάση, αντίστο</w:t>
      </w:r>
      <w:r>
        <w:rPr>
          <w:noProof/>
        </w:rPr>
        <w:t>ιχα. Λόγω της αύξησης των αναγκών των χρηστών για πληροφορίες βιωσιμότητας, θα πρέπει να απαιτείται η υποβολή των εν λόγω πληροφοριών από επιπλέον κατηγορίες επιχειρήσεων. Επομένως, είναι σκόπιμο να επιβάλλεται σε όλες τις μεγάλες επιχειρήσεις και όλες τις</w:t>
      </w:r>
      <w:r>
        <w:rPr>
          <w:noProof/>
        </w:rPr>
        <w:t xml:space="preserve"> επιχειρήσεις που είναι εισηγμένες σε ρυθμιζόμενες αγορές, εκτός από τις πολύ μικρές επιχειρήσεις, η υποχρέωση υποβολής λεπτομερών πληροφοριών βιωσιμότητας. Επιπλέον, όλες οι επιχειρήσεις που είναι μητρικές επιχειρήσεις μεγάλων ομίλων θα πρέπει να καταρτίζ</w:t>
      </w:r>
      <w:r>
        <w:rPr>
          <w:noProof/>
        </w:rPr>
        <w:t xml:space="preserve">ουν εκθέσεις βιωσιμότητας σε επίπεδο ομίλου. </w:t>
      </w:r>
    </w:p>
    <w:p w14:paraId="3B22CEFA" w14:textId="77777777" w:rsidR="00680C0B" w:rsidRDefault="00A8232D">
      <w:pPr>
        <w:pStyle w:val="ManualConsidrant"/>
        <w:rPr>
          <w:noProof/>
        </w:rPr>
      </w:pPr>
      <w:r>
        <w:rPr>
          <w:noProof/>
        </w:rPr>
        <w:t>(16)</w:t>
      </w:r>
      <w:r>
        <w:rPr>
          <w:noProof/>
        </w:rPr>
        <w:tab/>
        <w:t>Η απαίτηση δημοσιοποίησης πληροφοριών σχετικά με θέματα βιωσιμότητας και από μεγάλες μη εισηγμένες επιχειρήσεις προκύπτει κυρίως από ανησυχίες σχετικά με τις επιπτώσεις και τη λογοδοσία των εν λόγω επιχειρ</w:t>
      </w:r>
      <w:r>
        <w:rPr>
          <w:noProof/>
        </w:rPr>
        <w:t>ήσεων, μεταξύ άλλων μέσω της αλυσίδας αξίας τους. Από την άποψη αυτή, όλες οι μεγάλες επιχειρήσεις θα πρέπει να υπόκεινται στις ίδιες απαιτήσεις δημοσιοποίησης πληροφοριών βιωσιμότητας. Επιπλέον, οι συμμετέχοντες στις χρηματοπιστωτικές αγορές χρειάζονται ε</w:t>
      </w:r>
      <w:r>
        <w:rPr>
          <w:noProof/>
        </w:rPr>
        <w:t xml:space="preserve">πίσης πληροφορίες και από αυτές τις μεγάλες μη εισηγμένες επιχειρήσεις. </w:t>
      </w:r>
    </w:p>
    <w:p w14:paraId="416B1115" w14:textId="77777777" w:rsidR="00680C0B" w:rsidRDefault="00A8232D">
      <w:pPr>
        <w:pStyle w:val="ManualConsidrant"/>
        <w:rPr>
          <w:noProof/>
        </w:rPr>
      </w:pPr>
      <w:r>
        <w:rPr>
          <w:noProof/>
        </w:rPr>
        <w:lastRenderedPageBreak/>
        <w:t>(17)</w:t>
      </w:r>
      <w:r>
        <w:rPr>
          <w:noProof/>
        </w:rPr>
        <w:tab/>
        <w:t>Η απαίτηση δημοσιοποίησης πληροφοριών σχετικά με θέματα βιωσιμότητας και από επιχειρήσεις που δεν είναι εγκατεστημένες στην Ένωση, αλλά με τίτλους εισηγμένους σε ρυθμιζόμενες αγο</w:t>
      </w:r>
      <w:r>
        <w:rPr>
          <w:noProof/>
        </w:rPr>
        <w:t>ρές, ανταποκρίνεται στις ανάγκες των συμμετεχόντων στις χρηματοπιστωτικές αγορές για πληροφορίες από τις εν λόγω επιχειρήσεις, ώστε να μπορούν να κατανοούν τους κινδύνους και τις επιπτώσεις των επενδύσεών τους και να συμμορφώνονται με τις απαιτήσεις γνωστο</w:t>
      </w:r>
      <w:r>
        <w:rPr>
          <w:noProof/>
        </w:rPr>
        <w:t xml:space="preserve">ποίησης που ορίζονται στον κανονισμό (ΕΕ) 2019/2088. </w:t>
      </w:r>
    </w:p>
    <w:p w14:paraId="437B1850" w14:textId="77777777" w:rsidR="00680C0B" w:rsidRDefault="00A8232D">
      <w:pPr>
        <w:pStyle w:val="ManualConsidrant"/>
        <w:rPr>
          <w:noProof/>
        </w:rPr>
      </w:pPr>
      <w:r>
        <w:rPr>
          <w:noProof/>
        </w:rPr>
        <w:t>(18)</w:t>
      </w:r>
      <w:r>
        <w:rPr>
          <w:noProof/>
        </w:rPr>
        <w:tab/>
        <w:t>Δεδομένης της αυξανόμενης σημασίας των κινδύνων που σχετίζονται με τη βιωσιμότητα και λαμβανομένου υπόψη ότι οι μικρές και μεσαίες επιχειρήσεις (ΜΜΕ) που είναι εισηγμένες σε ρυθμιζόμενες αγορές απο</w:t>
      </w:r>
      <w:r>
        <w:rPr>
          <w:noProof/>
        </w:rPr>
        <w:t>τελούν σημαντικό ποσοστό του συνολικού αριθμού των εισηγμένων επιχειρήσεων στην Ένωση, είναι σκόπιμο να επιβάλλεται και στις εν λόγω ΜΜΕ η υποχρέωση δημοσιοποίησης πληροφοριών σχετικά με θέματα βιωσιμότητας, ώστε να διασφαλίζεται η προστασία των επενδυτών.</w:t>
      </w:r>
      <w:r>
        <w:rPr>
          <w:noProof/>
        </w:rPr>
        <w:t xml:space="preserve"> Η θέσπιση της απαίτησης αυτής θα διευκολύνει την εξασφάλιση της δυνατότητας των συμμετεχόντων στις χρηματοπιστωτικές αγορές να συμπεριλαμβάνουν μικρότερες εισηγμένες επιχειρήσεις σε επενδυτικά χαρτοφυλάκια με βάση τη δημοσιοποίηση των πληροφοριών βιωσιμότ</w:t>
      </w:r>
      <w:r>
        <w:rPr>
          <w:noProof/>
        </w:rPr>
        <w:t>ητας που χρειάζονται οι συμμετέχοντες στις χρηματοπιστωτικές αγορές. Ως εκ τούτου, θα συμβάλει στην προστασία και την ενίσχυση της πρόσβασης των μικρότερων εισηγμένων επιχειρήσεων σε χρηματοοικονομικά κεφάλαια και θα αποτρέψει τις διακρίσεις σε βάρος των ε</w:t>
      </w:r>
      <w:r>
        <w:rPr>
          <w:noProof/>
        </w:rPr>
        <w:t>ν λόγω επιχειρήσεων από την πλευρά των συμμετεχόντων στις χρηματοπιστωτικές αγορές. Η θέσπιση της εν λόγω απαίτησης είναι επίσης απαραίτητη για να διασφαλιστεί ότι οι συμμετέχοντες στις χρηματοπιστωτικές αγορές διαθέτουν τις πληροφορίες που χρειάζονται από</w:t>
      </w:r>
      <w:r>
        <w:rPr>
          <w:noProof/>
        </w:rPr>
        <w:t xml:space="preserve"> τις επιχειρήσεις στις οποίες πραγματοποιούνται επενδύσεις, ώστε να έχουν τη δυνατότητα να συμμορφώνονται με τις δικές τους απαιτήσεις γνωστοποίησης βιωσιμότητας που καθορίζονται στον κανονισμό (ΕΕ) 2019/2088. Ωστόσο, οι ΜΜΕ που είναι εισηγμένες σε ρυθμιζό</w:t>
      </w:r>
      <w:r>
        <w:rPr>
          <w:noProof/>
        </w:rPr>
        <w:t xml:space="preserve">μενες αγορές θα πρέπει να διαθέτουν επαρκή χρόνο για να προετοιμαστούν για την εφαρμογή της απαίτησης υποβολής πληροφοριών βιωσιμότητας, λόγω του μικρότερου μεγέθους και των πιο περιορισμένων πόρων τους, και δεδομένων των δυσχερών οικονομικών συνθηκών που </w:t>
      </w:r>
      <w:r>
        <w:rPr>
          <w:noProof/>
        </w:rPr>
        <w:t>δημιούργησε η πανδημία COVID-19. Θα πρέπει επίσης να τους δοθεί η δυνατότητα να υποβάλλουν εκθέσεις σύμφωνα με πρότυπα που είναι αναλογικά προς τις ικανότητες και τους πόρους των ΜΜΕ. Οι μη εισηγμένες ΜΜΕ μπορούν επίσης να επιλέξουν να χρησιμοποιούν τα ανα</w:t>
      </w:r>
      <w:r>
        <w:rPr>
          <w:noProof/>
        </w:rPr>
        <w:t>λογικά αυτά πρότυπα σε προαιρετική βάση. Τα πρότυπα για τις ΜΜΕ θα αποτελούν σημείο αναφοράς για τις επιχειρήσεις που εμπίπτουν στο πεδίο εφαρμογής της οδηγίας όσον αφορά το επίπεδο των πληροφοριών βιωσιμότητας που θα μπορούν ευλόγως να ζητούν από τους προ</w:t>
      </w:r>
      <w:r>
        <w:rPr>
          <w:noProof/>
        </w:rPr>
        <w:t>μηθευτές και τους πελάτες των ΜΜΕ στις αλυσίδες αξίας τους.</w:t>
      </w:r>
    </w:p>
    <w:p w14:paraId="64608C0D" w14:textId="77777777" w:rsidR="00680C0B" w:rsidRDefault="00A8232D">
      <w:pPr>
        <w:pStyle w:val="ManualConsidrant"/>
        <w:rPr>
          <w:noProof/>
        </w:rPr>
      </w:pPr>
      <w:r>
        <w:rPr>
          <w:noProof/>
        </w:rPr>
        <w:t>(19)</w:t>
      </w:r>
      <w:r>
        <w:rPr>
          <w:noProof/>
        </w:rPr>
        <w:tab/>
        <w:t>Η οδηγία 2004/109/ΕΚ του Ευρωπαϊκού Κοινοβουλίου και του Συμβουλίου</w:t>
      </w:r>
      <w:r>
        <w:rPr>
          <w:rStyle w:val="FootnoteReference"/>
          <w:noProof/>
        </w:rPr>
        <w:footnoteReference w:id="50"/>
      </w:r>
      <w:r>
        <w:rPr>
          <w:noProof/>
        </w:rPr>
        <w:t xml:space="preserve"> εφαρμόζεται σε όλες τις επιχειρήσεις με τίτλους εισηγμένους σε ρυθμιζόμενες αγορές. Για να διασφαλίζεται ότι όλες οι επιχ</w:t>
      </w:r>
      <w:r>
        <w:rPr>
          <w:noProof/>
        </w:rPr>
        <w:t>ειρήσεις με τίτλους εισηγμένους σε ρυθμιζόμενες αγορές, συμπεριλαμβανομένων των εκδοτών τρίτων χωρών, υπάγονται στις ίδιες απαιτήσεις υποβολής εκθέσεων βιωσιμότητας, η οδηγία 2004/109/ΕΚ θα πρέπει να περιέχει τις αναγκαίες παραπομπές σε κάθε απαίτηση υποβο</w:t>
      </w:r>
      <w:r>
        <w:rPr>
          <w:noProof/>
        </w:rPr>
        <w:t xml:space="preserve">λής εκθέσεων βιωσιμότητας στην ετήσια οικονομική έκθεση. </w:t>
      </w:r>
    </w:p>
    <w:p w14:paraId="66E9CA81" w14:textId="77777777" w:rsidR="00680C0B" w:rsidRDefault="00A8232D">
      <w:pPr>
        <w:pStyle w:val="ManualConsidrant"/>
        <w:rPr>
          <w:noProof/>
        </w:rPr>
      </w:pPr>
      <w:r>
        <w:rPr>
          <w:noProof/>
        </w:rPr>
        <w:lastRenderedPageBreak/>
        <w:t>(20)</w:t>
      </w:r>
      <w:r>
        <w:rPr>
          <w:noProof/>
        </w:rPr>
        <w:tab/>
        <w:t>Το άρθρο 23 παράγραφος 4 πρώτο εδάφιο σημείο i) και το άρθρο 23 παράγραφος 4 τέταρτο εδάφιο της οδηγίας 2004/109/ΕΚ αναθέτουν στην Επιτροπή την εξουσία να εκδίδει μέτρα για τη θέσπιση μηχανισμο</w:t>
      </w:r>
      <w:r>
        <w:rPr>
          <w:noProof/>
        </w:rPr>
        <w:t>ύ για τον προσδιορισμό της ισοδυναμίας των πληροφοριών που απαιτούνται βάσει της οδηγίας και για τον καθορισμό γενικών κριτηρίων ισοδυναμίας όσον αφορά τα λογιστικά πρότυπα, αντίστοιχα. Το άρθρο 23 παράγραφος 4 τρίτο εδάφιο της οδηγίας 2004/109/ΕΚ αναθέτει</w:t>
      </w:r>
      <w:r>
        <w:rPr>
          <w:noProof/>
        </w:rPr>
        <w:t xml:space="preserve"> επίσης στην Επιτροπή την εξουσία να λαμβάνει τις αναγκαίες αποφάσεις για την ισοδυναμία των λογιστικών προτύπων που χρησιμοποιούν οι εκδότες τρίτων χωρών. Προκειμένου να αντικατοπτρίζεται η συμπερίληψη των απαιτήσεων υποβολής εκθέσεων βιωσιμότητας στην οδ</w:t>
      </w:r>
      <w:r>
        <w:rPr>
          <w:noProof/>
        </w:rPr>
        <w:t xml:space="preserve">ηγία 2004/109/ΕΚ, θα πρέπει να ανατεθεί στην Επιτροπή η εξουσία να καθιερώσει μηχανισμό για τον προσδιορισμό της ισοδυναμίας των προτύπων υποβολής εκθέσεων βιωσιμότητας που εφαρμόζουν οι εκδότες τίτλων από τρίτες χώρες. Για τον ίδιο λόγο, θα πρέπει επίσης </w:t>
      </w:r>
      <w:r>
        <w:rPr>
          <w:noProof/>
        </w:rPr>
        <w:t>να ανατεθεί στην Επιτροπή η εξουσία να λαμβάνει τις αναγκαίες αποφάσεις για την ισοδυναμία των προτύπων υποβολής εκθέσεων βιωσιμότητας που χρησιμοποιούν οι εκδότες τρίτων χωρών. Οι τροποποιήσεις αυτές θα διασφαλίζουν συνεπή καθεστώτα ισοδυναμίας για τις υπ</w:t>
      </w:r>
      <w:r>
        <w:rPr>
          <w:noProof/>
        </w:rPr>
        <w:t>οχρεώσεις υποβολής εκθέσεων βιωσιμότητας και για τις υποχρεώσεις δημοσιοποίησης χρηματοοικονομικών πληροφοριών όσον αφορά την ετήσια οικονομική έκθεση.</w:t>
      </w:r>
    </w:p>
    <w:p w14:paraId="320A9367" w14:textId="77777777" w:rsidR="00680C0B" w:rsidRDefault="00A8232D">
      <w:pPr>
        <w:pStyle w:val="ManualConsidrant"/>
        <w:rPr>
          <w:noProof/>
        </w:rPr>
      </w:pPr>
      <w:r>
        <w:rPr>
          <w:noProof/>
        </w:rPr>
        <w:t>(21)</w:t>
      </w:r>
      <w:r>
        <w:rPr>
          <w:noProof/>
        </w:rPr>
        <w:tab/>
        <w:t xml:space="preserve">Το άρθρο 19α παράγραφος 3 και το άρθρο 29α παράγραφος 3 της οδηγίας 2013/34/ΕΕ απαλλάσσουν επί του </w:t>
      </w:r>
      <w:r>
        <w:rPr>
          <w:noProof/>
        </w:rPr>
        <w:t>παρόντος όλες τις θυγατρικές επιχειρήσεις από την υποχρέωση δημοσιοποίησης μη χρηματοοικονομικών πληροφοριών όταν οι εν λόγω επιχειρήσεις και οι θυγατρικές τους περιλαμβάνονται στην ενοποιημένη έκθεση διαχείρισης της μητρικής τους επιχείρησης, υπό την προϋ</w:t>
      </w:r>
      <w:r>
        <w:rPr>
          <w:noProof/>
        </w:rPr>
        <w:t>πόθεση ότι περιλαμβάνονται στην έκθεση οι απαιτούμενες μη χρηματοοικονομικές πληροφορίες. Ωστόσο, είναι αναγκαίο να διασφαλιστεί ότι οι πληροφορίες βιωσιμότητας είναι εύκολα προσβάσιμες στους χρήστες και να επιτευχθεί διαφάνεια ως προς το ποια είναι η μητρ</w:t>
      </w:r>
      <w:r>
        <w:rPr>
          <w:noProof/>
        </w:rPr>
        <w:t>ική επιχείρηση της απαλλασσόμενης θυγατρικής που υποβάλλει εκθέσεις σε ενοποιημένο επίπεδο. Κατά συνέπεια, είναι αναγκαίο να ζητείται από τις εν λόγω θυγατρικές επιχειρήσεις να δημοσιεύουν την ενοποιημένη έκθεση διαχείρισης της μητρικής τους επιχείρησης κα</w:t>
      </w:r>
      <w:r>
        <w:rPr>
          <w:noProof/>
        </w:rPr>
        <w:t>ι να περιλαμβάνουν στην έκθεση διαχείρισής τους αναφορά στο γεγονός ότι απαλλάσσονται από την υποβολή πληροφοριών βιωσιμότητας. Η απαλλαγή αυτή θα πρέπει επίσης να εφαρμόζεται όταν η μητρική επιχείρηση που υποβάλλει εκθέσεις σε ενοποιημένο επίπεδο είναι επ</w:t>
      </w:r>
      <w:r>
        <w:rPr>
          <w:noProof/>
        </w:rPr>
        <w:t>ιχείρηση τρίτης χώρας που υποβάλλει πληροφορίες βιωσιμότητας σύμφωνα με τις απαιτήσεις της παρούσας οδηγίας ή κατά τρόπο ισοδύναμο με τα πρότυπα της ΕΕ για την υποβολή εκθέσεων βιωσιμότητας.</w:t>
      </w:r>
    </w:p>
    <w:p w14:paraId="5AC59668" w14:textId="77777777" w:rsidR="00680C0B" w:rsidRDefault="00A8232D">
      <w:pPr>
        <w:pStyle w:val="ManualConsidrant"/>
        <w:rPr>
          <w:noProof/>
        </w:rPr>
      </w:pPr>
      <w:r>
        <w:rPr>
          <w:noProof/>
        </w:rPr>
        <w:t>(22)</w:t>
      </w:r>
      <w:r>
        <w:rPr>
          <w:noProof/>
        </w:rPr>
        <w:tab/>
        <w:t>Το άρθρο 23 της οδηγίας 2013/34/ΕΕ απαλλάσσει τις μητρικές ε</w:t>
      </w:r>
      <w:r>
        <w:rPr>
          <w:noProof/>
        </w:rPr>
        <w:t>πιχειρήσεις από την υποχρέωση κατάρτισης ενοποιημένων οικονομικών καταστάσεων και ενοποιημένης έκθεσης διαχείρισης όταν οι εν λόγω επιχειρήσεις είναι θυγατρικές άλλης μητρικής επιχείρησης που συμμορφώνεται με την εν λόγω υποχρέωση. Ωστόσο, θα πρέπει να διε</w:t>
      </w:r>
      <w:r>
        <w:rPr>
          <w:noProof/>
        </w:rPr>
        <w:t>υκρινιστεί ότι το καθεστώς απαλλαγής για τις ενοποιημένες οικονομικές καταστάσεις και τις ενοποιημένες εκθέσεις διαχείρισης λειτουργεί ανεξάρτητα από το καθεστώς απαλλαγής για την ενοποιημένη υποβολή εκθέσεων βιωσιμότητας. Επομένως, μια επιχείρηση μπορεί ν</w:t>
      </w:r>
      <w:r>
        <w:rPr>
          <w:noProof/>
        </w:rPr>
        <w:t>α απαλλάσσεται από τις υποχρεώσεις υποβολής ενοποιημένων οικονομικών εκθέσεων, αλλά να μην απαλλάσσεται από τις υποχρεώσεις ενοποιημένης υποβολής εκθέσεων βιωσιμότητας όταν η τελική μητρική της καταρτίζει ενοποιημένες οικονομικές καταστάσεις και ενοποιημέν</w:t>
      </w:r>
      <w:r>
        <w:rPr>
          <w:noProof/>
        </w:rPr>
        <w:t>ες εκθέσεις διαχείρισης σύμφωνα με το ενωσιακό δίκαιο ή σύμφωνα με ισοδύναμες απαιτήσεις σε περίπτωση που η επιχείρηση είναι εγκατεστημένη σε τρίτη χώρα, αλλά δεν καταρτίζει ενοποιημένη έκθεση βιωσιμότητας σύμφωνα με το δίκαιο της ΕΕ ή σύμφωνα με ισοδύναμε</w:t>
      </w:r>
      <w:r>
        <w:rPr>
          <w:noProof/>
        </w:rPr>
        <w:t>ς απαιτήσεις σε περίπτωση που η επιχείρηση είναι εγκατεστημένη σε τρίτη χώρα.</w:t>
      </w:r>
    </w:p>
    <w:p w14:paraId="6927F243" w14:textId="77777777" w:rsidR="00680C0B" w:rsidRDefault="00A8232D">
      <w:pPr>
        <w:pStyle w:val="ManualConsidrant"/>
        <w:rPr>
          <w:noProof/>
        </w:rPr>
      </w:pPr>
      <w:r>
        <w:rPr>
          <w:noProof/>
        </w:rPr>
        <w:lastRenderedPageBreak/>
        <w:t>(23)</w:t>
      </w:r>
      <w:r>
        <w:rPr>
          <w:noProof/>
        </w:rPr>
        <w:tab/>
        <w:t xml:space="preserve">Τα πιστωτικά ιδρύματα και οι ασφαλιστικές επιχειρήσεις διαδραματίζουν καίριο ρόλο στη μετάβαση προς ένα πλήρως βιώσιμο και χωρίς αποκλεισμούς οικονομικό και </w:t>
      </w:r>
      <w:r>
        <w:rPr>
          <w:noProof/>
        </w:rPr>
        <w:t>χρηματοπιστωτικό σύστημα σύμφωνα με την Ευρωπαϊκή Πράσινη Συμφωνία. Μπορεί να έχουν σημαντικές θετικές και αρνητικές επιπτώσεις μέσω των δραστηριοτήτων δανεισμού, επενδύσεων και ανάληψης ασφαλιστικών κινδύνων που ασκούν. Κατά συνέπεια, τα πιστωτικά ιδρύματ</w:t>
      </w:r>
      <w:r>
        <w:rPr>
          <w:noProof/>
        </w:rPr>
        <w:t>α και οι ασφαλιστικές επιχειρήσεις πλην εκείνων που υποχρεούνται να συμμορφώνονται με την οδηγία 2013/34/ΕΕ, συμπεριλαμβανομένων των συνεταιριστικών και των αλληλασφαλιστικών επιχειρήσεων, θα πρέπει να υπόκεινται στις απαιτήσεις υποβολής εκθέσεων βιωσιμότη</w:t>
      </w:r>
      <w:r>
        <w:rPr>
          <w:noProof/>
        </w:rPr>
        <w:t>τας, υπό την προϋπόθεση ότι πληρούν ορισμένα κριτήρια μεγέθους. Με τον τρόπο αυτόν, οι χρήστες των εν λόγω πληροφοριών θα έχουν τη δυνατότητα να προβαίνουν σε εκτίμηση τόσο των επιπτώσεων των εν λόγω επιχειρήσεων στην κοινωνία και το περιβάλλον όσο και των</w:t>
      </w:r>
      <w:r>
        <w:rPr>
          <w:noProof/>
        </w:rPr>
        <w:t xml:space="preserve"> κινδύνων που ενδέχεται να αντιμετωπίσουν οι επιχειρήσεις αυτές λόγω θεμάτων βιωσιμότητας. Προκειμένου να διασφαλιστεί η συνοχή με τις απαιτήσεις υποβολής εκθέσεων της οδηγίας 86/635/ΕΟΚ του Συμβουλίου</w:t>
      </w:r>
      <w:r>
        <w:rPr>
          <w:rStyle w:val="FootnoteReference"/>
          <w:noProof/>
        </w:rPr>
        <w:footnoteReference w:id="51"/>
      </w:r>
      <w:r>
        <w:rPr>
          <w:noProof/>
        </w:rPr>
        <w:t xml:space="preserve"> για τους ετήσιους και ενοποιημένους λογαριασμούς των</w:t>
      </w:r>
      <w:r>
        <w:rPr>
          <w:noProof/>
        </w:rPr>
        <w:t xml:space="preserve"> τραπεζών και λοιπών άλλων χρηματοπιστωτικών ιδρυμάτων, τα κράτη μέλη που υποβάλλουν εκθέσεις βιωσιμότητας μπορούν να επιλέξουν να μην εφαρμόζουν τις απαιτήσεις υποβολής εκθέσεων βιωσιμότητας στα πιστωτικά ιδρύματα που απαριθμούνται στο άρθρο 2 παράγραφος </w:t>
      </w:r>
      <w:r>
        <w:rPr>
          <w:noProof/>
        </w:rPr>
        <w:t>5 της οδηγίας 2013/36/ΕΕ του Ευρωπαϊκού Κοινοβουλίου και του Συμβουλίου</w:t>
      </w:r>
      <w:r>
        <w:rPr>
          <w:rStyle w:val="FootnoteReference"/>
          <w:noProof/>
        </w:rPr>
        <w:footnoteReference w:id="52"/>
      </w:r>
      <w:r>
        <w:rPr>
          <w:noProof/>
        </w:rPr>
        <w:t>.</w:t>
      </w:r>
    </w:p>
    <w:p w14:paraId="3C85F66A" w14:textId="77777777" w:rsidR="00680C0B" w:rsidRDefault="00A8232D">
      <w:pPr>
        <w:pStyle w:val="ManualConsidrant"/>
        <w:rPr>
          <w:noProof/>
        </w:rPr>
      </w:pPr>
      <w:r>
        <w:rPr>
          <w:noProof/>
        </w:rPr>
        <w:t>(24)</w:t>
      </w:r>
      <w:r>
        <w:rPr>
          <w:noProof/>
        </w:rPr>
        <w:tab/>
        <w:t>Ο κατάλογος των θεμάτων βιωσιμότητας για τα οποία οι επιχειρήσεις υποχρεούνται να υποβάλλουν εκθέσεις θα πρέπει να είναι όσο το δυνατόν πιο συνεπής με τον ορισμό των «παραγόντω</w:t>
      </w:r>
      <w:r>
        <w:rPr>
          <w:noProof/>
        </w:rPr>
        <w:t>ν αειφορίας» που περιλαμβάνεται στον κανονισμό (ΕΕ) 2019/2088. Ο κατάλογος αυτός θα πρέπει επίσης να ανταποκρίνεται στις ανάγκες και τις προσδοκίες των ίδιων των χρηστών και των επιχειρήσεων, οι οποίοι χρησιμοποιούν συχνά τους όρους «περιβαλλοντικά θέματα»</w:t>
      </w:r>
      <w:r>
        <w:rPr>
          <w:noProof/>
        </w:rPr>
        <w:t>, «κοινωνικά θέματα» και «θέματα διακυβέρνησης» ως μέσο για την κατηγοριοποίηση των τριών κύριων θεμάτων βιωσιμότητας. Ο κατάλογος των παραγόντων αειφορίας που προβλέπεται στον κανονισμό (ΕΕ) 2019/2088 δεν περιλαμβάνει ρητά θέματα διακυβέρνησης. Συνεπώς, ο</w:t>
      </w:r>
      <w:r>
        <w:rPr>
          <w:noProof/>
        </w:rPr>
        <w:t xml:space="preserve"> ορισμός των θεμάτων βιωσιμότητας που περιλαμβάνεται στην οδηγία 2013/34/ΕΕ θα πρέπει να βασίζεται στον ορισμό των «παραγόντων αειφορίας» που παρατίθεται στον κανονισμό (ΕΕ) 2019/2088, αλλά με την προσθήκη των θεμάτων διακυβέρνησης.</w:t>
      </w:r>
    </w:p>
    <w:p w14:paraId="7A4B26EE" w14:textId="77777777" w:rsidR="00680C0B" w:rsidRDefault="00A8232D">
      <w:pPr>
        <w:pStyle w:val="ManualConsidrant"/>
        <w:rPr>
          <w:noProof/>
        </w:rPr>
      </w:pPr>
      <w:r>
        <w:rPr>
          <w:noProof/>
        </w:rPr>
        <w:t>(25)</w:t>
      </w:r>
      <w:r>
        <w:rPr>
          <w:noProof/>
        </w:rPr>
        <w:tab/>
        <w:t>Σύμφωνα με τα άρθρ</w:t>
      </w:r>
      <w:r>
        <w:rPr>
          <w:noProof/>
        </w:rPr>
        <w:t>α 19α και 29α της οδηγίας 2013/34/ΕΕ, απαιτείται η υποβολή εκθέσεων όσον αφορά όχι μόνο τις πληροφορίες «στον βαθμό που απαιτείται για την κατανόηση της εξέλιξης, των επιδόσεων, της θέσης», αλλά και τις πληροφορίες που είναι απαραίτητες για την κατανόηση τ</w:t>
      </w:r>
      <w:r>
        <w:rPr>
          <w:noProof/>
        </w:rPr>
        <w:t xml:space="preserve">ου αντίκτυπου των δραστηριοτήτων της επιχείρησης σε σχέση με περιβαλλοντικά, κοινωνικά και εργασιακά θέματα, τον σεβασμό των δικαιωμάτων του ανθρώπου, την καταπολέμηση της διαφθοράς και με θέματα σχετικά με τη δωροδοκία. Ως εκ τούτου, κατ’ εφαρμογή των εν </w:t>
      </w:r>
      <w:r>
        <w:rPr>
          <w:noProof/>
        </w:rPr>
        <w:t>λόγω άρθρων, οι επιχειρήσεις υποχρεούνται να υποβάλλουν εκθέσεις τόσο σχετικά με τον τρόπο με τον οποίο τα διάφορα θέματα βιωσιμότητας επηρεάζουν την επιχείρηση όσο και σχετικά με τις επιπτώσεις των δραστηριοτήτων της επιχείρησης στους ανθρώπους και το περ</w:t>
      </w:r>
      <w:r>
        <w:rPr>
          <w:noProof/>
        </w:rPr>
        <w:t xml:space="preserve">ιβάλλον. Αυτό αναφέρεται ως προσέγγιση διπλής σημαντικότητας, στο πλαίσιο </w:t>
      </w:r>
      <w:r>
        <w:rPr>
          <w:noProof/>
        </w:rPr>
        <w:lastRenderedPageBreak/>
        <w:t>της οποίας οι κίνδυνοι για την επιχείρηση και οι επιπτώσεις της επιχείρησης αντιπροσωπεύουν η καθεμία μία προσέγγιση σημαντικότητας. Ο έλεγχος καταλληλότητας της υποβολής εταιρικών σ</w:t>
      </w:r>
      <w:r>
        <w:rPr>
          <w:noProof/>
        </w:rPr>
        <w:t>τοιχείων καταδεικνύει ότι αυτές οι δύο προσεγγίσεις συχνά δεν γίνονται κατανοητές ή δεν εφαρμόζονται. Επομένως, είναι απαραίτητο να διευκρινιστεί ότι οι επιχειρήσεις θα πρέπει να εξετάζουν αυτοτελώς κάθε προσέγγιση σημαντικότητας, ενώ θα πρέπει επίσης να δ</w:t>
      </w:r>
      <w:r>
        <w:rPr>
          <w:noProof/>
        </w:rPr>
        <w:t xml:space="preserve">ημοσιοποιούν τόσο τις πληροφορίες που είναι σημαντικές και για τις δύο προσεγγίσεις όσο και τις πληροφορίες που είναι σημαντικές μόνο για τη μία προσέγγιση. </w:t>
      </w:r>
    </w:p>
    <w:p w14:paraId="30218447" w14:textId="77777777" w:rsidR="00680C0B" w:rsidRDefault="00A8232D">
      <w:pPr>
        <w:pStyle w:val="ManualConsidrant"/>
        <w:rPr>
          <w:noProof/>
        </w:rPr>
      </w:pPr>
      <w:r>
        <w:rPr>
          <w:noProof/>
        </w:rPr>
        <w:t>(26)</w:t>
      </w:r>
      <w:r>
        <w:rPr>
          <w:noProof/>
        </w:rPr>
        <w:tab/>
        <w:t>Σύμφωνα με το άρθρο 19α παράγραφος 1 και το άρθρο 29α παράγραφος 1 της οδηγίας 2013/34/ΕΕ, οι</w:t>
      </w:r>
      <w:r>
        <w:rPr>
          <w:noProof/>
        </w:rPr>
        <w:t xml:space="preserve"> επιχειρήσεις υποχρεούνται να δημοσιοποιούν πληροφορίες σχετικά με πέντε τομείς υποβολής στοιχείων: επιχειρηματικό μοντέλο, πολιτικές (συμπεριλαμβανομένων των διαδικασιών δέουσας επιμέλειας που εφαρμόζουν), τα αποτελέσματα των εν λόγω πολιτικών, κίνδυνοι κ</w:t>
      </w:r>
      <w:r>
        <w:rPr>
          <w:noProof/>
        </w:rPr>
        <w:t>αι διαχείριση κινδύνων και βασικοί δείκτες επιδόσεων που σχετίζονται με τον συγκεκριμένο τομέα επιχειρήσεων. Το άρθρο 19α παράγραφος 1 της οδηγίας 2013/34/ΕΕ δεν περιέχει ρητές αναφορές σε άλλους τομείς υποβολής στοιχείων τους οποίους οι χρήστες πληροφοριώ</w:t>
      </w:r>
      <w:r>
        <w:rPr>
          <w:noProof/>
        </w:rPr>
        <w:t>ν θεωρούν συναφείς, ορισμένοι από τους οποίους εναρμονίζονται με τις δημοσιοποιήσεις που περιλαμβάνονται σε διεθνή πλαίσια, συμπεριλαμβανομένων των συστάσεων της ειδικής ομάδας για τη δημοσιοποίηση χρηματοοικονομικών πληροφοριών σχετικών με το κλίμα. Οι απ</w:t>
      </w:r>
      <w:r>
        <w:rPr>
          <w:noProof/>
        </w:rPr>
        <w:t>αιτήσεις δημοσιοποίησης θα πρέπει να διευκρινίζονται με επαρκείς λεπτομέρειες ώστε να διασφαλίζεται ότι οι επιχειρήσεις υποβάλλουν πληροφορίες σχετικά με την ανθεκτικότητά τους έναντι κινδύνων που σχετίζονται με θέματα βιωσιμότητας. Κατά συνέπεια, επιπλέον</w:t>
      </w:r>
      <w:r>
        <w:rPr>
          <w:noProof/>
        </w:rPr>
        <w:t xml:space="preserve"> των τομέων υποβολής στοιχείων που προσδιορίζονται στο άρθρο 19α παράγραφος 1 και στο άρθρο 29α παράγραφος 1 της οδηγίας 2013/34/ΕΕ, οι επιχειρήσεις θα πρέπει να υποχρεούνται να δημοσιοποιούν πληροφορίες σχετικά με την επιχειρηματική τους στρατηγική και τη</w:t>
      </w:r>
      <w:r>
        <w:rPr>
          <w:noProof/>
        </w:rPr>
        <w:t xml:space="preserve">ν ανθεκτικότητα του επιχειρηματικού μοντέλου και της στρατηγικής για τους κινδύνους που σχετίζονται με θέματα βιωσιμότητας, καθώς και τυχόν σχέδια που ενδέχεται να έχουν ώστε να διασφαλίζεται ότι το επιχειρηματικό μοντέλο και η στρατηγική τους συνάδουν με </w:t>
      </w:r>
      <w:r>
        <w:rPr>
          <w:noProof/>
        </w:rPr>
        <w:t>τη μετάβαση προς μια βιώσιμη και κλιματικά ουδέτερη οικονομία· αν και με ποιον τρόπο το επιχειρηματικό μοντέλο και η στρατηγική τους λαμβάνουν υπόψη τα συμφέροντα των ενδιαφερόμενων μερών· τυχόν ευκαιρίες για την επιχείρηση που προκύπτουν από θέματα βιωσιμ</w:t>
      </w:r>
      <w:r>
        <w:rPr>
          <w:noProof/>
        </w:rPr>
        <w:t>ότητας· την εφαρμογή των πτυχών της επιχειρηματικής στρατηγικής που επηρεάζουν ή επηρεάζονται από θέματα βιωσιμότητας· τυχόν στόχους βιωσιμότητας που θέτει η επιχείρηση και την πρόοδο που έχει σημειωθεί για την επίτευξή τους· τον ρόλο του διοικητικού συμβο</w:t>
      </w:r>
      <w:r>
        <w:rPr>
          <w:noProof/>
        </w:rPr>
        <w:t>υλίου και της διοίκησης σε σχέση με θέματα βιωσιμότητας· τις κυριότερες πραγματικές και δυνητικές αρνητικές επιπτώσεις που συνδέονται με τις δραστηριότητες της επιχείρησης· και τον τρόπο με τον οποίο η επιχείρηση έχει προσδιορίσει τις πληροφορίες που υποβά</w:t>
      </w:r>
      <w:r>
        <w:rPr>
          <w:noProof/>
        </w:rPr>
        <w:t>λλει. Από τη στιγμή που η δημοσιοποίηση στοιχείων όπως οι στόχοι και η πρόοδος προς την επίτευξή τους καθίσταται υποχρεωτική, δεν είναι πλέον αναγκαία η χωριστή απαίτηση για τη δημοσιοποίηση των αποτελεσμάτων των πολιτικών.</w:t>
      </w:r>
    </w:p>
    <w:p w14:paraId="10DC6F8A" w14:textId="77777777" w:rsidR="00680C0B" w:rsidRDefault="00A8232D">
      <w:pPr>
        <w:pStyle w:val="ManualConsidrant"/>
        <w:rPr>
          <w:noProof/>
        </w:rPr>
      </w:pPr>
      <w:r>
        <w:rPr>
          <w:noProof/>
        </w:rPr>
        <w:t>(27)</w:t>
      </w:r>
      <w:r>
        <w:rPr>
          <w:noProof/>
        </w:rPr>
        <w:tab/>
        <w:t>Προκειμένου να διασφαλιστεί</w:t>
      </w:r>
      <w:r>
        <w:rPr>
          <w:noProof/>
        </w:rPr>
        <w:t xml:space="preserve"> η συνέπεια με διεθνή μέσα, όπως οι κατευθυντήριες αρχές των Ηνωμένων Εθνών για τις επιχειρήσεις και τα ανθρώπινα δικαιώματα και οι κατευθυντήριες γραμμές του ΟΟΣΑ σχετικά με τη δέουσα επιμέλεια για την υπεύθυνη επιχειρηματική συμπεριφορά, οι απαιτήσεις δη</w:t>
      </w:r>
      <w:r>
        <w:rPr>
          <w:noProof/>
        </w:rPr>
        <w:t>μοσιοποίησης της δέουσας επιμέλειας θα πρέπει να διευκρινιστούν με μεγαλύτερο βαθμό λεπτομέρειας απ’ ό,τι στο άρθρο 19α παράγραφος 1 στοιχείο β) και στο άρθρο 29α παράγραφος 1 στοιχείο β) της οδηγίας 2013/34/ΕΕ. Η δέουσα επιμέλεια είναι η διαδικασία που εφ</w:t>
      </w:r>
      <w:r>
        <w:rPr>
          <w:noProof/>
        </w:rPr>
        <w:t xml:space="preserve">αρμόζουν οι επιχειρήσεις για τον προσδιορισμό, την πρόληψη, τον μετριασμό και την επανόρθωση </w:t>
      </w:r>
      <w:r>
        <w:rPr>
          <w:noProof/>
        </w:rPr>
        <w:lastRenderedPageBreak/>
        <w:t>των κυριότερων πραγματικών και δυνητικών αρνητικών επιπτώσεων που συνδέονται με τις δραστηριότητές τους και προσδιορίζει τον τρόπο αντιμετώπισης αυτών των αρνητικώ</w:t>
      </w:r>
      <w:r>
        <w:rPr>
          <w:noProof/>
        </w:rPr>
        <w:t>ν επιπτώσεων. Οι επιπτώσεις που συνδέονται με τις δραστηριότητες μιας επιχείρησης περιλαμβάνουν τις επιπτώσεις που προκαλούνται άμεσα από την επιχείρηση, τις επιπτώσεις στις οποίες συμβάλλει η επιχείρηση και τις επιπτώσεις που συνδέονται με διαφορετικό τρό</w:t>
      </w:r>
      <w:r>
        <w:rPr>
          <w:noProof/>
        </w:rPr>
        <w:t>πο με την αλυσίδα αξίας της επιχείρησης. Η διαδικασία δέουσας επιμέλειας αφορά ολόκληρη την αλυσίδα αξίας της επιχείρησης, η οποία περιλαμβάνει τις δραστηριότητες της ίδιας της επιχείρησης, τα προϊόντα και τις υπηρεσίες της, καθώς και τις επιχειρηματικές τ</w:t>
      </w:r>
      <w:r>
        <w:rPr>
          <w:noProof/>
        </w:rPr>
        <w:t xml:space="preserve">ης σχέσεις και τις αλυσίδες εφοδιασμού της. Σε εναρμόνιση με τις κατευθυντήριες αρχές των Ηνωμένων Εθνών για τις επιχειρήσεις και τα ανθρώπινα δικαιώματα, μια πραγματική ή δυνητική αρνητική επίπτωση πρέπει να θεωρείται «κυριότερη» όταν συγκαταλέγεται στις </w:t>
      </w:r>
      <w:r>
        <w:rPr>
          <w:noProof/>
        </w:rPr>
        <w:t xml:space="preserve">σημαντικότερες επιπτώσεις που συνδέονται με τις δραστηριότητες της επιχείρησης με βάση τα ακόλουθα: τη σοβαρότητα των επιπτώσεων στους ανθρώπους ή στο περιβάλλον· τον αριθμό των ατόμων που επηρεάζονται ή θα μπορούσαν να επηρεαστούν ή το μέγεθος της ζημίας </w:t>
      </w:r>
      <w:r>
        <w:rPr>
          <w:noProof/>
        </w:rPr>
        <w:t>στο περιβάλλον· και την ευκολία με την οποία θα μπορούσε να επανορθωθεί η ζημία, με την αποκατάσταση του περιβάλλοντος ή των ανθρώπων που επηρεάζονται στην προηγούμενη κατάστασή τους.</w:t>
      </w:r>
    </w:p>
    <w:p w14:paraId="73AFA924" w14:textId="77777777" w:rsidR="00680C0B" w:rsidRDefault="00A8232D">
      <w:pPr>
        <w:pStyle w:val="ManualConsidrant"/>
        <w:rPr>
          <w:noProof/>
        </w:rPr>
      </w:pPr>
      <w:r>
        <w:rPr>
          <w:noProof/>
        </w:rPr>
        <w:t>(28)</w:t>
      </w:r>
      <w:r>
        <w:rPr>
          <w:noProof/>
        </w:rPr>
        <w:tab/>
        <w:t>Σύμφωνα με την οδηγία 2013/34/ΕΕ, δεν απαιτείται η δημοσιοποίηση πλ</w:t>
      </w:r>
      <w:r>
        <w:rPr>
          <w:noProof/>
        </w:rPr>
        <w:t>ηροφοριών σχετικά με άυλα στοιχεία εκτός των άυλων στοιχείων ενεργητικού που αναγνωρίζονται στον ισολογισμό. Είναι ευρέως αποδεκτό ότι η υποβολή πληροφοριών σχετικά με τα άυλα στοιχεία ενεργητικού και άλλους άυλους παράγοντες, συμπεριλαμβανομένων των άυλων</w:t>
      </w:r>
      <w:r>
        <w:rPr>
          <w:noProof/>
        </w:rPr>
        <w:t xml:space="preserve"> στοιχείων που δημιουργούνται εσωτερικά, είναι ανεπαρκής, γεγονός που δεν επιτρέπει την ορθή αξιολόγηση της εξέλιξης, των επιδόσεων και της θέσης μιας επιχείρησης ούτε την παρακολούθηση των επενδύσεων. Για να μπορούν οι επενδυτές να κατανοούν καλύτερα το α</w:t>
      </w:r>
      <w:r>
        <w:rPr>
          <w:noProof/>
        </w:rPr>
        <w:t>υξανόμενο χάσμα μεταξύ της λογιστικής αξίας πολλών επιχειρήσεων και της αποτίμησης τους στην αγορά, το οποίο παρατηρείται σε πολλούς τομείς της οικονομίας, θα πρέπει να απαιτείται επαρκής υποβολή εκθέσεων για τα άυλα στοιχεία. Ως εκ τούτου, είναι απαραίτητ</w:t>
      </w:r>
      <w:r>
        <w:rPr>
          <w:noProof/>
        </w:rPr>
        <w:t>ο να απαιτείται από τις επιχειρήσεις να δημοσιοποιούν πληροφορίες σχετικά με άυλα στοιχεία εκτός των άυλων στοιχείων ενεργητικού που αναγνωρίζονται στον ισολογισμό, μεταξύ των οποίων το πνευματικό κεφάλαιο, το ανθρώπινο κεφάλαιο, συμπεριλαμβανομένης της αν</w:t>
      </w:r>
      <w:r>
        <w:rPr>
          <w:noProof/>
        </w:rPr>
        <w:t>άπτυξης δεξιοτήτων, καθώς και το κοινωνικό κεφάλαιο και το κεφάλαιο της δημιουργίας σχέσεων, συμπεριλαμβανομένου του κεφαλαίου καλής φήμης. Οι πληροφορίες για τα άυλα στοιχεία θα πρέπει επίσης να περιλαμβάνουν πληροφορίες σχετικές με την έρευνα και ανάπτυξ</w:t>
      </w:r>
      <w:r>
        <w:rPr>
          <w:noProof/>
        </w:rPr>
        <w:t>η.</w:t>
      </w:r>
    </w:p>
    <w:p w14:paraId="34F8CA22" w14:textId="77777777" w:rsidR="00680C0B" w:rsidRDefault="00A8232D">
      <w:pPr>
        <w:pStyle w:val="ManualConsidrant"/>
        <w:rPr>
          <w:noProof/>
        </w:rPr>
      </w:pPr>
      <w:r>
        <w:rPr>
          <w:noProof/>
        </w:rPr>
        <w:t>(29)</w:t>
      </w:r>
      <w:r>
        <w:rPr>
          <w:noProof/>
        </w:rPr>
        <w:tab/>
        <w:t>Στο άρθρο 19α παράγραφος 1 και στο άρθρο 29α παράγραφος 1 της οδηγίας 2013/34/ΕΕ δεν διευκρινίζεται αν οι πληροφορίες που πρέπει να υποβάλλονται πρέπει να είναι μελλοντοστραφείς ή πληροφορίες σχετικά με προηγούμενες επιδόσεις. Επί του παρόντος υπάρ</w:t>
      </w:r>
      <w:r>
        <w:rPr>
          <w:noProof/>
        </w:rPr>
        <w:t>χει έλλειψη μελλοντοστραφών δημοσιοποιήσεων, τις οποίες οι χρήστες πληροφοριών βιωσιμότητας εκτιμούν ιδιαιτέρως. Συνεπώς, στα άρθρα 19α και 29α της οδηγίας 2013/34/ΕΕ θα πρέπει να διευκρινίζεται ότι οι πληροφορίες βιωσιμότητας που υποβάλλονται περιλαμβάνου</w:t>
      </w:r>
      <w:r>
        <w:rPr>
          <w:noProof/>
        </w:rPr>
        <w:t>ν μελλοντοστραφείς και αναδρομικές πληροφορίες, τόσο ποιοτικές όσο και ποσοτικές. Οι υποβαλλόμενες πληροφορίες βιωσιμότητας θα πρέπει επίσης να λαμβάνουν υπόψη βραχυπρόθεσμους, μεσοπρόθεσμους και μακροπρόθεσμους χρονικούς ορίζοντες και να περιέχουν πληροφο</w:t>
      </w:r>
      <w:r>
        <w:rPr>
          <w:noProof/>
        </w:rPr>
        <w:t>ρίες σχετικά με ολόκληρη την αλυσίδα αξίας της επιχείρησης, συμπεριλαμβανομένων των δραστηριοτήτων της ίδιας της επιχείρησης, των προϊόντων και των υπηρεσιών της, των επιχειρηματικών της σχέσεων και της αλυσίδας εφοδιασμού της, ανάλογα με την περίπτωση. Οι</w:t>
      </w:r>
      <w:r>
        <w:rPr>
          <w:noProof/>
        </w:rPr>
        <w:t xml:space="preserve"> πληροφορίες σχετικά με ολόκληρη την </w:t>
      </w:r>
      <w:r>
        <w:rPr>
          <w:noProof/>
        </w:rPr>
        <w:lastRenderedPageBreak/>
        <w:t xml:space="preserve">αλυσίδα αξίας της επιχείρησης θα περιλαμβάνουν πληροφορίες σχετικά με την αλυσίδα αξίας της εντός της ΕΕ, καθώς και πληροφορίες που καλύπτουν τρίτες χώρες, εάν η αλυσίδα αξίας της επιχείρησης εκτείνεται εκτός της ΕΕ. </w:t>
      </w:r>
    </w:p>
    <w:p w14:paraId="476F3E29" w14:textId="77777777" w:rsidR="00680C0B" w:rsidRDefault="00A8232D">
      <w:pPr>
        <w:pStyle w:val="ManualConsidrant"/>
        <w:rPr>
          <w:noProof/>
        </w:rPr>
      </w:pPr>
      <w:r>
        <w:rPr>
          <w:noProof/>
        </w:rPr>
        <w:t>(</w:t>
      </w:r>
      <w:r>
        <w:rPr>
          <w:noProof/>
        </w:rPr>
        <w:t>30)</w:t>
      </w:r>
      <w:r>
        <w:rPr>
          <w:noProof/>
        </w:rPr>
        <w:tab/>
        <w:t xml:space="preserve">Σύμφωνα με το άρθρο 19α παράγραφος 1 και το άρθρο 29α παράγραφος 1 της οδηγίας 2013/34/ΕΕ, οι επιχειρήσεις υποχρεούνται να περιλαμβάνουν στις εκθέσεις μη χρηματοοικονομικών πληροφοριών αναφορές και πρόσθετες εξηγήσεις για τα ποσά που αναγράφονται στις </w:t>
      </w:r>
      <w:r>
        <w:rPr>
          <w:noProof/>
        </w:rPr>
        <w:t>ετήσιες οικονομικές καταστάσεις. Ωστόσο, τα άρθρα αυτά δεν απαιτούν από τις επιχειρήσεις να κάνουν αναφορές σε άλλες πληροφορίες στην έκθεση διαχείρισης ή να προσθέτουν συμπληρωματικές εξηγήσεις στις εν λόγω πληροφορίες. Επομένως, διαπιστώνεται επί του παρ</w:t>
      </w:r>
      <w:r>
        <w:rPr>
          <w:noProof/>
        </w:rPr>
        <w:t>όντος έλλειψη αντιστοιχίας μεταξύ των υποβαλλόμενων μη χρηματοοικονομικών πληροφοριών και των λοιπών πληροφοριών που δημοσιοποιούνται στην έκθεση διαχείρισης. Είναι απαραίτητο να θεσπιστούν σαφείς απαιτήσεις σχετικά με το θέμα αυτό.</w:t>
      </w:r>
    </w:p>
    <w:p w14:paraId="11B0937F" w14:textId="77777777" w:rsidR="00680C0B" w:rsidRDefault="00A8232D">
      <w:pPr>
        <w:pStyle w:val="ManualConsidrant"/>
        <w:rPr>
          <w:noProof/>
        </w:rPr>
      </w:pPr>
      <w:r>
        <w:rPr>
          <w:noProof/>
        </w:rPr>
        <w:t>(31)</w:t>
      </w:r>
      <w:r>
        <w:rPr>
          <w:noProof/>
        </w:rPr>
        <w:tab/>
        <w:t>Το άρθρο 19α παράγ</w:t>
      </w:r>
      <w:r>
        <w:rPr>
          <w:noProof/>
        </w:rPr>
        <w:t>ραφος 1 και το άρθρο 29α παράγραφος 1 της οδηγίας 2013/34/ΕΕ επιβάλλουν στις επιχειρήσεις την υποχρέωση να παρέχουν σαφή και αιτιολογημένη εξήγηση για την απουσία πολιτικών σε σχέση με ένα ή περισσότερα από τα θέματα που απαριθμούνται, όταν η επιχείρηση δε</w:t>
      </w:r>
      <w:r>
        <w:rPr>
          <w:noProof/>
        </w:rPr>
        <w:t>ν ασκεί τέτοιες πολιτικές. Η διαφορετική μεταχείριση των δημοσιοποιήσεων σχετικά με τις πολιτικές που ενδέχεται να διαθέτουν οι επιχειρήσεις, σε σύγκριση με τους άλλους τομείς υποβολής στοιχείων που περιλαμβάνονται στα εν λόγω άρθρα, έχει δημιουργήσει σύγχ</w:t>
      </w:r>
      <w:r>
        <w:rPr>
          <w:noProof/>
        </w:rPr>
        <w:t xml:space="preserve">υση μεταξύ των επιχειρήσεων που υποβάλλουν τα στοιχεία και δεν έχει συμβάλει στη βελτίωση της ποιότητας των υποβαλλόμενων πληροφοριών. Συνεπώς, δεν συντρέχουν λόγοι για τη διατήρηση αυτής της διαφορετικής μεταχείρισης των πολιτικών στην οδηγία. Τα πρότυπα </w:t>
      </w:r>
      <w:r>
        <w:rPr>
          <w:noProof/>
        </w:rPr>
        <w:t>θα καθορίζουν ποιες πληροφορίες πρέπει να δημοσιοποιούνται σε σχέση με καθέναν από τους τομείς υποβολής στοιχείων που αναφέρονται στα άρθρα 19α και 29α.</w:t>
      </w:r>
    </w:p>
    <w:p w14:paraId="3E17387E" w14:textId="77777777" w:rsidR="00680C0B" w:rsidRDefault="00A8232D">
      <w:pPr>
        <w:pStyle w:val="ManualConsidrant"/>
        <w:rPr>
          <w:noProof/>
        </w:rPr>
      </w:pPr>
      <w:r>
        <w:rPr>
          <w:noProof/>
        </w:rPr>
        <w:t>(32)</w:t>
      </w:r>
      <w:r>
        <w:rPr>
          <w:noProof/>
        </w:rPr>
        <w:tab/>
      </w:r>
      <w:r>
        <w:rPr>
          <w:noProof/>
        </w:rPr>
        <w:t>Οι επιχειρήσεις που εμπίπτουν στο πεδίο εφαρμογής του άρθρου 19α παράγραφος 1 και του άρθρου 29α παράγραφος 1 της οδηγίας 2013/34/ΕΕ μπορούν να βασίζονται σε εθνικά, ενωσιακά ή διεθνή πλαίσια υποβολής εκθέσεων και, όταν το πράττουν, πρέπει να προσδιορίζουν</w:t>
      </w:r>
      <w:r>
        <w:rPr>
          <w:noProof/>
        </w:rPr>
        <w:t xml:space="preserve"> σε ποια πλαίσια βασίστηκαν. Ωστόσο, η οδηγία 2013/34/ΕΕ δεν απαιτεί από τις επιχειρήσεις να χρησιμοποιούν κοινό πλαίσιο ή πρότυπο υποβολής εκθέσεων ούτε τις αποτρέπει από την επιλογή να μην χρησιμοποιούν κανένα πλαίσιο ή πρότυπο υποβολής εκθέσεων. Όπως απ</w:t>
      </w:r>
      <w:r>
        <w:rPr>
          <w:noProof/>
        </w:rPr>
        <w:t>αιτείται βάσει του άρθρου 2 της οδηγίας 2014/95/ΕΕ, η Επιτροπή δημοσίευσε το 2017 μη δεσμευτικές κατευθυντήριες γραμμές για τις επιχειρήσεις που εμπίπτουν στο πεδίο εφαρμογής της εν λόγω οδηγίας</w:t>
      </w:r>
      <w:r>
        <w:rPr>
          <w:rStyle w:val="FootnoteReference"/>
          <w:noProof/>
        </w:rPr>
        <w:footnoteReference w:id="53"/>
      </w:r>
      <w:r>
        <w:rPr>
          <w:noProof/>
        </w:rPr>
        <w:t>. Το 2019 η Επιτροπή δημοσίευσε συμπληρωματικές κατευθυντήρι</w:t>
      </w:r>
      <w:r>
        <w:rPr>
          <w:noProof/>
        </w:rPr>
        <w:t>ες γραμμές, ειδικά για την υποβολή πληροφοριών που αφορούν το κλίμα</w:t>
      </w:r>
      <w:r>
        <w:rPr>
          <w:rStyle w:val="FootnoteReference"/>
          <w:noProof/>
        </w:rPr>
        <w:footnoteReference w:id="54"/>
      </w:r>
      <w:r>
        <w:rPr>
          <w:noProof/>
        </w:rPr>
        <w:t>. Στις κατευθυντήριες γραμμές σχετικά με την υποβολή πληροφοριών που αφορούν το κλίμα ενσωματώθηκαν ρητά οι συστάσεις της ειδικής ομάδας για τη δημοσιοποίηση χρηματοοικονομικών πληροφοριώ</w:t>
      </w:r>
      <w:r>
        <w:rPr>
          <w:noProof/>
        </w:rPr>
        <w:t>ν σχετικών με το κλίμα. Τα διαθέσιμα στοιχεία δείχνουν ότι οι εν λόγω μη δεσμευτικές κατευθυντήριες γραμμές δεν είχαν σημαντικό αντίκτυπο στην ποιότητα της υποβολής εκθέσεων μη χρηματοοικονομικών πληροφοριών από επιχειρήσεις που εμπίπτουν στο πεδίο εφαρμογ</w:t>
      </w:r>
      <w:r>
        <w:rPr>
          <w:noProof/>
        </w:rPr>
        <w:t xml:space="preserve">ής των άρθρων 19α και 29α της οδηγίας 2013/34/ΕΕ. Το γεγονός ότι οι κατευθυντήριες γραμμές είναι προαιρετικές συνεπάγεται ότι οι </w:t>
      </w:r>
      <w:r>
        <w:rPr>
          <w:noProof/>
        </w:rPr>
        <w:lastRenderedPageBreak/>
        <w:t>επιχειρήσεις έχουν τη διακριτική ευχέρεια να τις εφαρμόζουν ή να μην τις εφαρμόζουν. Κατά συνέπεια, οι κατευθυντήριες γραμμές δ</w:t>
      </w:r>
      <w:r>
        <w:rPr>
          <w:noProof/>
        </w:rPr>
        <w:t>εν διασφαλίζουν από μόνες τους ούτε τη συγκρισιμότητα των πληροφοριών που δημοσιοποιούν οι διάφορες επιχειρήσεις ούτε τη δημοσιοποίηση όλων των πληροφοριών τις οποίες οι χρήστες θεωρούν συναφείς. Αυτός είναι ο λόγος για τον οποίο κρίνεται αναγκαία η θέσπισ</w:t>
      </w:r>
      <w:r>
        <w:rPr>
          <w:noProof/>
        </w:rPr>
        <w:t xml:space="preserve">η υποχρεωτικών κοινών προτύπων υποβολής εκθέσεων προκειμένου να διασφαλίζεται ότι οι πληροφορίες είναι συγκρίσιμες και ότι δημοσιοποιούνται όλες οι συναφείς πληροφορίες. Βάσει της αρχής της διπλής σημαντικότητας, τα πρότυπα θα πρέπει να καλύπτουν όλες τις </w:t>
      </w:r>
      <w:r>
        <w:rPr>
          <w:noProof/>
        </w:rPr>
        <w:t>πληροφορίες οι οποίες είναι σημαντικές για τους χρήστες. Τα κοινά πρότυπα υποβολής εκθέσεων είναι επίσης απαραίτητα για την εξασφάλιση της δυνατότητας ελέγχου και ψηφιοποίησης της υποβολής εκθέσεων βιωσιμότητας, καθώς και για τη διευκόλυνση της εποπτείας κ</w:t>
      </w:r>
      <w:r>
        <w:rPr>
          <w:noProof/>
        </w:rPr>
        <w:t>αι της επιβολής της. Η ανάπτυξη υποχρεωτικών κοινών προτύπων υποβολής εκθέσεων βιωσιμότητας είναι αναγκαία για τη μετάβαση σε μια κατάσταση στην οποία οι πληροφορίες βιωσιμότητας διέπονται από καθεστώς συγκρίσιμο με εκείνο των χρηματοοικονομικών πληροφοριώ</w:t>
      </w:r>
      <w:r>
        <w:rPr>
          <w:noProof/>
        </w:rPr>
        <w:t xml:space="preserve">ν. </w:t>
      </w:r>
    </w:p>
    <w:p w14:paraId="1BDF0CF2" w14:textId="77777777" w:rsidR="00680C0B" w:rsidRDefault="00A8232D">
      <w:pPr>
        <w:pStyle w:val="ManualConsidrant"/>
        <w:rPr>
          <w:noProof/>
        </w:rPr>
      </w:pPr>
      <w:r>
        <w:rPr>
          <w:noProof/>
        </w:rPr>
        <w:t>(33)</w:t>
      </w:r>
      <w:r>
        <w:rPr>
          <w:noProof/>
        </w:rPr>
        <w:tab/>
        <w:t xml:space="preserve">Κανένα υφιστάμενο πρότυπο ή πλαίσιο δεν καλύπτει από μόνο του τις ανάγκες της Ένωσης για λεπτομερή υποβολή εκθέσεων βιωσιμότητας. Οι πληροφορίες που απαιτούνται βάσει της οδηγίας 2013/34/ΕΕ πρέπει να καλύπτουν πληροφορίες οι οποίες είναι συναφείς </w:t>
      </w:r>
      <w:r>
        <w:rPr>
          <w:noProof/>
        </w:rPr>
        <w:t xml:space="preserve">με καθεμία από τις προσεγγίσεις της σημαντικότητας, να καλύπτουν όλα τα θέματα βιωσιμότητας και να εναρμονίζονται, κατά περίπτωση, με άλλες υποχρεώσεις που απορρέουν από το ενωσιακό δίκαιο για τη δημοσιοποίηση πληροφοριών βιωσιμότητας, συμπεριλαμβανομένων </w:t>
      </w:r>
      <w:r>
        <w:rPr>
          <w:noProof/>
        </w:rPr>
        <w:t>των υποχρεώσεων που ορίζονται στον κανονισμό (ΕΕ) 2020/852 και στον κανονισμό (ΕΕ) 2019/2088. Επιπλέον, τα υποχρεωτικά πρότυπα υποβολής εκθέσεων βιωσιμότητας για τις επιχειρήσεις της Ένωσης πρέπει να είναι ανάλογα με το επίπεδο φιλοδοξίας της Ευρωπαϊκής Πρ</w:t>
      </w:r>
      <w:r>
        <w:rPr>
          <w:noProof/>
        </w:rPr>
        <w:t>άσινης Συμφωνίας και του στόχου της Ένωσης σχετικά με την κλιματική ουδετερότητα για το 2050. Ως εκ τούτου, είναι αναγκαίο να εξουσιοδοτηθεί η Επιτροπή να εκδώσει ενωσιακά πρότυπα υποβολής εκθέσεων βιωσιμότητας, επιτρέποντας την ταχεία έγκρισή τους και δια</w:t>
      </w:r>
      <w:r>
        <w:rPr>
          <w:noProof/>
        </w:rPr>
        <w:t>σφαλίζοντας ότι το περιεχόμενο των προτύπων υποβολής εκθέσεων βιωσιμότητας συνάδει με τις ανάγκες της Ένωσης.</w:t>
      </w:r>
    </w:p>
    <w:p w14:paraId="57006B37" w14:textId="77777777" w:rsidR="00680C0B" w:rsidRDefault="00A8232D">
      <w:pPr>
        <w:pStyle w:val="ManualConsidrant"/>
        <w:rPr>
          <w:noProof/>
        </w:rPr>
      </w:pPr>
      <w:r>
        <w:rPr>
          <w:noProof/>
        </w:rPr>
        <w:t>(34)</w:t>
      </w:r>
      <w:r>
        <w:rPr>
          <w:noProof/>
        </w:rPr>
        <w:tab/>
        <w:t xml:space="preserve">Η συμβουλευτική ομάδα για θέματα χρηματοοικονομικής αναφοράς της Ευρωπαϊκής Ένωσης (EFRAG) είναι μια μη κερδοσκοπική ένωση, η οποία ιδρύθηκε </w:t>
      </w:r>
      <w:r>
        <w:rPr>
          <w:noProof/>
        </w:rPr>
        <w:t>δυνάμει του βελγικού δικαίου και εξυπηρετεί το δημόσιο συμφέρον παρέχοντας στην Επιτροπή συμβουλές σχετικά με την έγκριση των διεθνών προτύπων υποβολής χρηματοοικονομικών στοιχείων. Η EFRAG έχει εδραιώσει τη φήμη της ως ευρωπαϊκό κέντρο εμπειρογνωσίας σε θ</w:t>
      </w:r>
      <w:r>
        <w:rPr>
          <w:noProof/>
        </w:rPr>
        <w:t>έματα υποβολής εταιρικών στοιχείων και βρίσκεται σε ιδανική θέση για την προώθηση του συντονισμού μεταξύ των ευρωπαϊκών προτύπων υποβολής εκθέσεων βιωσιμότητας και των διεθνών πρωτοβουλιών που επιδιώκουν την ανάπτυξη συνεκτικών προτύπων σε ολόκληρο τον κόσ</w:t>
      </w:r>
      <w:r>
        <w:rPr>
          <w:noProof/>
        </w:rPr>
        <w:t>μο. Τον Μάρτιο του 2021 μια ειδική ομάδα πολλών ενδιαφερόμενων μερών, η οποία συστάθηκε από την EFRAG, δημοσίευσε συστάσεις για την πιθανή ανάπτυξη προτύπων υποβολής εκθέσεων βιωσιμότητας για την Ευρωπαϊκή Ένωση. Οι εν λόγω συστάσεις περιέχουν προτάσεις γι</w:t>
      </w:r>
      <w:r>
        <w:rPr>
          <w:noProof/>
        </w:rPr>
        <w:t>α την ανάπτυξη ενός συνεκτικού και ολοκληρωμένου συνόλου προτύπων υποβολής εκθέσεων, τα οποία θα καλύπτουν όλα τα θέματα βιωσιμότητας βάσει μιας προσέγγισης διπλής σημαντικότητας. Οι συστάσεις αυτές περιλαμβάνουν επίσης λεπτομερή χάρτη πορείας για την ανάπ</w:t>
      </w:r>
      <w:r>
        <w:rPr>
          <w:noProof/>
        </w:rPr>
        <w:t>τυξη προτύπων αυτού του είδους, καθώς και προτάσεις για αμοιβαία ενίσχυση της συνεργασίας μεταξύ των παγκόσμιων πρωτοβουλιών καθορισμού προτύπων και των πρωτοβουλιών καθορισμού προτύπων της Ευρωπαϊκής Ένωσης. Τον Μάρτιο του 2021 ο πρόεδρος της EFRAG δημοσί</w:t>
      </w:r>
      <w:r>
        <w:rPr>
          <w:noProof/>
        </w:rPr>
        <w:t xml:space="preserve">ευσε συστάσεις για πιθανές αλλαγές διακυβέρνησης στην EFRAG, σε περίπτωση που της ζητηθεί να </w:t>
      </w:r>
      <w:r>
        <w:rPr>
          <w:noProof/>
        </w:rPr>
        <w:lastRenderedPageBreak/>
        <w:t>καταρτίσει τεχνικές συμβουλές σχετικά με τα πρότυπα υποβολής εκθέσεων βιωσιμότητας. Οι εν λόγω συστάσεις περιλαμβάνουν τη δημιουργία, στο πλαίσιο της EFRAG, ενός ν</w:t>
      </w:r>
      <w:r>
        <w:rPr>
          <w:noProof/>
        </w:rPr>
        <w:t>έου πυλώνα υποβολής εκθέσεων βιωσιμότητας, χωρίς να επέλθουν σημαντικές τροποποιήσεις στον υφιστάμενο πυλώνα υποβολής χρηματοοικονομικών στοιχείων. Κατά τη θέσπιση προτύπων υποβολής εκθέσεων βιωσιμότητας, η Επιτροπή θα πρέπει να λαμβάνει υπόψη τις τεχνικές</w:t>
      </w:r>
      <w:r>
        <w:rPr>
          <w:noProof/>
        </w:rPr>
        <w:t xml:space="preserve"> συμβουλές που θα καταρτίζει η EFRAG. Για να διασφαλίζονται πρότυπα υψηλής ποιότητας που συνεισφέρουν στο ευρωπαϊκό δημόσιο συμφέρον και ανταποκρίνονται στις ανάγκες των επιχειρήσεων και των χρηστών των υποβαλλόμενων πληροφοριών, οι τεχνικές συμβουλές της </w:t>
      </w:r>
      <w:r>
        <w:rPr>
          <w:noProof/>
        </w:rPr>
        <w:t xml:space="preserve">EFRAG θα πρέπει να καταρτίζονται με ορθές διαδικασίες, με δημόσια εποπτεία και με διαφάνεια, συνοδευόμενες από αναλύσεις κόστους-οφέλους, καθώς και με την εμπειρογνωσία των σχετικών </w:t>
      </w:r>
      <w:r>
        <w:rPr>
          <w:rFonts w:asciiTheme="majorBidi" w:hAnsiTheme="majorBidi"/>
          <w:noProof/>
          <w:szCs w:val="24"/>
        </w:rPr>
        <w:t>ενδιαφερόμενων μερών</w:t>
      </w:r>
      <w:r>
        <w:rPr>
          <w:noProof/>
        </w:rPr>
        <w:t>. Για να διασφαλίζεται ότι τα ενωσιακά πρότυπα υποβολή</w:t>
      </w:r>
      <w:r>
        <w:rPr>
          <w:noProof/>
        </w:rPr>
        <w:t>ς εκθέσεων βιωσιμότητας λαμβάνουν υπόψη τις απόψεις των κρατών μελών της Ένωσης, πριν από τη θέσπιση των προτύπων, η Επιτροπή θα πρέπει να ζητεί τη γνώμη της ομάδας εμπειρογνωμόνων των κρατών μελών για τη βιώσιμη χρηματοδότηση που αναφέρεται στο άρθρο 24 τ</w:t>
      </w:r>
      <w:r>
        <w:rPr>
          <w:noProof/>
        </w:rPr>
        <w:t>ου κανονισμού (ΕΕ) 2020/852 σχετικά με τις τεχνικές συμβουλές της EFRAG. Η Ευρωπαϊκή Αρχή Κινητών Αξιών και Αγορών (ESMA) διαδραματίζει ρόλο στην κατάρτιση ρυθμιστικών τεχνικών προτύπων σύμφωνα με τον κανονισμό (ΕΕ) 2019/2088 και πρέπει να υπάρχει συνοχή μ</w:t>
      </w:r>
      <w:r>
        <w:rPr>
          <w:noProof/>
        </w:rPr>
        <w:t>εταξύ των εν λόγω ρυθμιστικών τεχνικών προτύπων και των προτύπων υποβολής εκθέσεων βιωσιμότητας. Σύμφωνα με τον κανονισμό (ΕΕ) αριθ. 1095/2010 του Ευρωπαϊκού Κοινοβουλίου και του Συμβουλίου</w:t>
      </w:r>
      <w:r>
        <w:rPr>
          <w:rStyle w:val="FootnoteReference"/>
          <w:noProof/>
        </w:rPr>
        <w:footnoteReference w:id="55"/>
      </w:r>
      <w:r>
        <w:rPr>
          <w:noProof/>
        </w:rPr>
        <w:t>, η ESMA διαδραματίζει επίσης ρόλο στην προώθηση της εποπτικής σύ</w:t>
      </w:r>
      <w:r>
        <w:rPr>
          <w:noProof/>
        </w:rPr>
        <w:t>γκλισης όσον αφορά την επιβολή της υποβολής εταιρικών στοιχείων από εκδότες των οποίων οι κινητές αξίες είναι εισηγμένες σε ρυθμιζόμενες αγορές της ΕΕ και οι οποίοι θα υποχρεούνται να χρησιμοποιούν τα εν λόγω πρότυπα υποβολής εκθέσεων βιωσιμότητας. Επομένω</w:t>
      </w:r>
      <w:r>
        <w:rPr>
          <w:noProof/>
        </w:rPr>
        <w:t>ς, η ESMA θα πρέπει να υποχρεούται να παρέχει γνώμη σχετικά με τις τεχνικές συμβουλές της EFRAG. Η γνώμη αυτή θα πρέπει να υποβάλλεται εντός δύο μηνών από την ημερομηνία παραλαβής του αιτήματος από την Επιτροπή. Επιπλέον, η Επιτροπή θα πρέπει να ζητεί τη γ</w:t>
      </w:r>
      <w:r>
        <w:rPr>
          <w:noProof/>
        </w:rPr>
        <w:t>νώμη της Ευρωπαϊκής Αρχής Τραπεζών, της Ευρωπαϊκής Αρχής Ασφαλίσεων και Επαγγελματικών Συντάξεων, του Ευρωπαϊκού Οργανισμού Περιβάλλοντος, του Οργανισμού Θεμελιωδών Δικαιωμάτων της Ευρωπαϊκής Ένωσης, της Ευρωπαϊκής Κεντρικής Τράπεζας, της Επιτροπής Ευρωπαϊ</w:t>
      </w:r>
      <w:r>
        <w:rPr>
          <w:noProof/>
        </w:rPr>
        <w:t>κών Φορέων Εποπτείας των Ελεγκτών και της πλατφόρμας για τη βιώσιμη χρηματοδότηση, ώστε να διασφαλίζεται ότι τα πρότυπα υποβολής εκθέσεων βιωσιμότητας παρουσιάζουν συνοχή με τη σχετική πολιτική και νομοθεσία της Ένωσης. Όταν ένα από τα ανωτέρω όργανα αποφα</w:t>
      </w:r>
      <w:r>
        <w:rPr>
          <w:noProof/>
        </w:rPr>
        <w:t>σίζει να υποβάλει γνώμη, το πράττει εντός δύο μηνών από την ημερομηνία διαβούλευσης με την Επιτροπή.</w:t>
      </w:r>
    </w:p>
    <w:p w14:paraId="461E0BE0" w14:textId="77777777" w:rsidR="00680C0B" w:rsidRDefault="00A8232D">
      <w:pPr>
        <w:pStyle w:val="ManualConsidrant"/>
        <w:rPr>
          <w:noProof/>
        </w:rPr>
      </w:pPr>
      <w:r>
        <w:rPr>
          <w:noProof/>
        </w:rPr>
        <w:t>(35)</w:t>
      </w:r>
      <w:r>
        <w:rPr>
          <w:noProof/>
        </w:rPr>
        <w:tab/>
        <w:t>Τα πρότυπα υποβολής εκθέσεων βιωσιμότητας θα πρέπει να παρουσιάζουν συνοχή με άλλες νομοθεσίες της Ένωσης. Ειδικότερα, τα πρότυπα αυτά θα πρέπει να εν</w:t>
      </w:r>
      <w:r>
        <w:rPr>
          <w:noProof/>
        </w:rPr>
        <w:t xml:space="preserve">αρμονίζονται με τις απαιτήσεις γνωστοποίησης που προβλέπονται στον κανονισμό (ΕΕ) 2019/2088 και θα πρέπει να λαμβάνουν υπόψη τους υποκείμενους δείκτες και μεθοδολογίες που καθορίζονται στις διάφορες κατ’ εξουσιοδότηση πράξεις που εκδίδονται σύμφωνα με τον </w:t>
      </w:r>
      <w:r>
        <w:rPr>
          <w:noProof/>
        </w:rPr>
        <w:t>κανονισμό (ΕΕ) 2020/852, τις απαιτήσεις κοινοποίησης που ισχύουν για τους διαχειριστές δεικτών αναφοράς σύμφωνα με τον κανονισμό (ΕΕ) 2016/1011 του Ευρωπαϊκού Κοινοβουλίου και του Συμβουλίου</w:t>
      </w:r>
      <w:r>
        <w:rPr>
          <w:rStyle w:val="FootnoteReference"/>
          <w:noProof/>
        </w:rPr>
        <w:footnoteReference w:id="56"/>
      </w:r>
      <w:r>
        <w:rPr>
          <w:noProof/>
        </w:rPr>
        <w:t>, τα ελάχιστα πρότυπα για τη δημιουργία ενωσιακών δεικτών αναφορ</w:t>
      </w:r>
      <w:r>
        <w:rPr>
          <w:noProof/>
        </w:rPr>
        <w:t>άς για την κλιματική μετάβαση και τους ευθυγραμμισμένους με τη συμφωνία του Παρισιού ενωσιακούς δείκτες αναφοράς· και κάθε εργασία που εκτελεί η Ευρωπαϊκή Αρχή Τραπεζών για την εφαρμογή των απαιτήσεων δημοσιοποίησης του πυλώνα ΙΙΙ του κανονισμού (ΕΕ) αριθ.</w:t>
      </w:r>
      <w:r>
        <w:rPr>
          <w:noProof/>
        </w:rPr>
        <w:t> 575/2013. Τα πρότυπα θα πρέπει να λαμβάνουν υπόψη την περιβαλλοντική νομοθεσία της Ένωσης, συμπεριλαμβανομένης της οδηγίας 2003/87/ΕΚ του Ευρωπαϊκού Κοινοβουλίου και του Συμβουλίου</w:t>
      </w:r>
      <w:r>
        <w:rPr>
          <w:rStyle w:val="FootnoteReference"/>
          <w:noProof/>
        </w:rPr>
        <w:footnoteReference w:id="57"/>
      </w:r>
      <w:r>
        <w:rPr>
          <w:noProof/>
        </w:rPr>
        <w:t xml:space="preserve"> και του κανονισμού (ΕΚ) αριθ. 1221/2009 του Ευρωπαϊκού Κοινοβουλίου και </w:t>
      </w:r>
      <w:r>
        <w:rPr>
          <w:noProof/>
        </w:rPr>
        <w:t>του Συμβουλίου</w:t>
      </w:r>
      <w:r>
        <w:rPr>
          <w:rStyle w:val="FootnoteReference"/>
          <w:noProof/>
        </w:rPr>
        <w:footnoteReference w:id="58"/>
      </w:r>
      <w:r>
        <w:rPr>
          <w:noProof/>
        </w:rPr>
        <w:t>, ενώ θα πρέπει να λαμβάνουν υπόψη τη σύσταση 2013/179/ΕΕ της Επιτροπής</w:t>
      </w:r>
      <w:r>
        <w:rPr>
          <w:rStyle w:val="FootnoteReference"/>
          <w:noProof/>
        </w:rPr>
        <w:footnoteReference w:id="59"/>
      </w:r>
      <w:r>
        <w:rPr>
          <w:noProof/>
        </w:rPr>
        <w:t xml:space="preserve"> και τα παραρτήματά της, καθώς και τις επικαιροποιήσεις τους. Επιπλέον, θα πρέπει να λαμβάνονται υπόψη άλλες σχετικές νομοθεσίες της Ένωσης, συμπεριλαμβανομένης της οδ</w:t>
      </w:r>
      <w:r>
        <w:rPr>
          <w:noProof/>
        </w:rPr>
        <w:t>ηγίας 2010/75/ΕΕ του Ευρωπαϊκού Κοινοβουλίου και του Συμβουλίου</w:t>
      </w:r>
      <w:r>
        <w:rPr>
          <w:rStyle w:val="FootnoteReference"/>
          <w:noProof/>
        </w:rPr>
        <w:footnoteReference w:id="60"/>
      </w:r>
      <w:r>
        <w:rPr>
          <w:noProof/>
        </w:rPr>
        <w:t>, καθώς και οι απαιτήσεις που προβλέπονται στο ενωσιακό δίκαιο για τις επιχειρήσεις όσον αφορά τα καθήκοντα των διευθυντών και τη δέουσα επιμέλεια.</w:t>
      </w:r>
    </w:p>
    <w:p w14:paraId="09BA63A0" w14:textId="77777777" w:rsidR="00680C0B" w:rsidRDefault="00A8232D">
      <w:pPr>
        <w:pStyle w:val="ManualConsidrant"/>
        <w:rPr>
          <w:noProof/>
        </w:rPr>
      </w:pPr>
      <w:r>
        <w:rPr>
          <w:noProof/>
        </w:rPr>
        <w:t>(36)</w:t>
      </w:r>
      <w:r>
        <w:rPr>
          <w:noProof/>
        </w:rPr>
        <w:tab/>
        <w:t>Τα πρότυπα υποβολής εκθέσεων βιωσιμότη</w:t>
      </w:r>
      <w:r>
        <w:rPr>
          <w:noProof/>
        </w:rPr>
        <w:t>τας θα πρέπει να λαμβάνουν υπόψη τις κατευθυντήριες γραμμές της Επιτροπής σχετικά με την υποβολή εκθέσεων μη χρηματοοικονομικών πληροφοριών</w:t>
      </w:r>
      <w:r>
        <w:rPr>
          <w:rStyle w:val="FootnoteReference"/>
          <w:noProof/>
        </w:rPr>
        <w:footnoteReference w:id="61"/>
      </w:r>
      <w:r>
        <w:rPr>
          <w:noProof/>
        </w:rPr>
        <w:t xml:space="preserve"> και τις κατευθυντήριες γραμμές της Επιτροπής σχετικά με την υποβολή πληροφοριών που αφορούν το κλίμα</w:t>
      </w:r>
      <w:r>
        <w:rPr>
          <w:rStyle w:val="FootnoteReference"/>
          <w:noProof/>
        </w:rPr>
        <w:footnoteReference w:id="62"/>
      </w:r>
      <w:r>
        <w:rPr>
          <w:noProof/>
        </w:rPr>
        <w:t xml:space="preserve">. Θα πρέπει </w:t>
      </w:r>
      <w:r>
        <w:rPr>
          <w:noProof/>
        </w:rPr>
        <w:t>επίσης να λαμβάνουν υπόψη και άλλες απαιτήσεις υποβολής εκθέσεων της οδηγίας 2013/34/ΕΕ που δεν συνδέονται άμεσα με τη βιωσιμότητα, με σκοπό να παρέχεται στους χρήστες των υποβαλλόμενων πληροφοριών η δυνατότητα καλύτερης κατανόησης της εξέλιξης, των επιδόσ</w:t>
      </w:r>
      <w:r>
        <w:rPr>
          <w:noProof/>
        </w:rPr>
        <w:t>εων, της θέσης και του αντικτύπου της επιχείρησης, μεγιστοποιώντας τις διασυνδέσεις μεταξύ των πληροφοριών βιωσιμότητας και άλλων πληροφοριών που υποβάλλονται σύμφωνα με την οδηγία 2013/34/ΕΕ.</w:t>
      </w:r>
    </w:p>
    <w:p w14:paraId="4E8C9D08" w14:textId="77777777" w:rsidR="00680C0B" w:rsidRDefault="00A8232D">
      <w:pPr>
        <w:pStyle w:val="ManualConsidrant"/>
        <w:rPr>
          <w:noProof/>
        </w:rPr>
      </w:pPr>
      <w:r>
        <w:rPr>
          <w:noProof/>
        </w:rPr>
        <w:t>(37)</w:t>
      </w:r>
      <w:r>
        <w:rPr>
          <w:noProof/>
        </w:rPr>
        <w:tab/>
        <w:t>Τα πρότυπα υποβολής εκθέσεων βιωσιμότητας θα πρέπει να είν</w:t>
      </w:r>
      <w:r>
        <w:rPr>
          <w:noProof/>
        </w:rPr>
        <w:t>αι αναλογικά και δεν θα πρέπει να επιβάλλουν περιττή διοικητική επιβάρυνση στις επιχειρήσεις που υποχρεούνται να τα χρησιμοποιούν. Προκειμένου να ελαχιστοποιηθούν οι διαταράξεις για τις επιχειρήσεις που υποβάλλουν ήδη πληροφορίες βιωσιμότητας, τα πρότυπα υ</w:t>
      </w:r>
      <w:r>
        <w:rPr>
          <w:noProof/>
        </w:rPr>
        <w:t>ποβολής εκθέσεων βιωσιμότητας θα πρέπει να λαμβάνουν υπόψη τα υφιστάμενα πρότυπα και πλαίσια βιωσιμότητας όσον αφορά την υποβολή εκθέσεων και τα υφιστάμενα λογιστικά πρότυπα και πλαίσια, κατά περίπτωση. Τα εν λόγω πρότυπα και πλαίσια περιλαμβάνουν την πρωτ</w:t>
      </w:r>
      <w:r>
        <w:rPr>
          <w:noProof/>
        </w:rPr>
        <w:t xml:space="preserve">οβουλία υποβολής εκθέσεων απολογισμού σε παγκόσμιο επίπεδο (Global Reporting Initiative), τον οργανισμό λογιστικών προτύπων για τη βιωσιμότητα (Sustainability Accounting Standards Board, SASB), το διεθνές συμβούλιο ενοποιημένης πληροφόρησης (International </w:t>
      </w:r>
      <w:r>
        <w:rPr>
          <w:noProof/>
        </w:rPr>
        <w:t>Integrated Reporting Council, IIRC), το Συμβούλιο Διεθνών Λογιστικών Προτύπων, την ειδική ομάδα σχετικά με τη δημοσιοποίηση χρηματοοικονομικών πληροφοριών σχετικών με το κλίμα, το συμβούλιο προτύπων για τη δημοσιοποίηση στοιχείων για το διοξείδιο του άνθρα</w:t>
      </w:r>
      <w:r>
        <w:rPr>
          <w:noProof/>
        </w:rPr>
        <w:t>κα και τον οργανισμό CDP (πρώην Carbon Disclosure Project). Τα πρότυπα της Ευρωπαϊκής Ένωσης θα πρέπει να λαμβάνουν υπόψη τυχόν πρότυπα υποβολής εκθέσεων βιωσιμότητας που καταρτίζονται υπό την αιγίδα του Ιδρύματος Διεθνών Προτύπων Χρηματοοικονομικής Αναφορ</w:t>
      </w:r>
      <w:r>
        <w:rPr>
          <w:noProof/>
        </w:rPr>
        <w:t>άς. Για την αποφυγή περιττών αποσπασματικών ρυθμίσεων που ενδέχεται να έχουν αρνητικές συνέπειες για τις επιχειρήσεις που δραστηριοποιούνται παγκοσμίως, τα ευρωπαϊκά πρότυπα θα πρέπει να συμβάλλουν στη διαδικασία σύγκλισης των προτύπων υποβολής εκθέσεων βι</w:t>
      </w:r>
      <w:r>
        <w:rPr>
          <w:noProof/>
        </w:rPr>
        <w:t xml:space="preserve">ωσιμότητας σε παγκόσμιο επίπεδο. </w:t>
      </w:r>
    </w:p>
    <w:p w14:paraId="037126AF" w14:textId="77777777" w:rsidR="00680C0B" w:rsidRDefault="00A8232D">
      <w:pPr>
        <w:pStyle w:val="ManualConsidrant"/>
        <w:rPr>
          <w:noProof/>
        </w:rPr>
      </w:pPr>
      <w:r>
        <w:rPr>
          <w:noProof/>
        </w:rPr>
        <w:t>(38)</w:t>
      </w:r>
      <w:r>
        <w:rPr>
          <w:noProof/>
        </w:rPr>
        <w:tab/>
        <w:t>Στην ανακοίνωσή της για την Ευρωπαϊκή Πράσινη Συμφωνία, η Ευρωπαϊκή Επιτροπή δεσμεύτηκε να στηρίξει τις επιχειρήσεις και άλλα ενδιαφερόμενα μέρη στην ανάπτυξη τυποποιημένων λογιστικών πρακτικών όσον αφορά το φυσικό κε</w:t>
      </w:r>
      <w:r>
        <w:rPr>
          <w:noProof/>
        </w:rPr>
        <w:t>φάλαιο εντός της ΕΕ και διεθνώς, με σκοπό να εξασφαλιστεί η κατάλληλη διαχείριση των περιβαλλοντικών κινδύνων και των ευκαιριών μετριασμού και για να μειωθεί το σχετικό κόστος των συναλλαγών. Το έργο Transparent, το οποίο χρηματοδοτείται από το πρόγραμμα L</w:t>
      </w:r>
      <w:r>
        <w:rPr>
          <w:noProof/>
        </w:rPr>
        <w:t>IFE, αναπτύσσει επί του παρόντος την πρώτη μεθοδολογία λογιστικής απεικόνισης του φυσικού κεφαλαίου, η οποία θα καταστήσει τις υφιστάμενες μεθόδους πιο συγκρίσιμες και πιο διαφανείς, ενώ ταυτόχρονα θα μειώσει το κατώτατο όριο για τις επιχειρήσεις ώστε να υ</w:t>
      </w:r>
      <w:r>
        <w:rPr>
          <w:noProof/>
        </w:rPr>
        <w:t xml:space="preserve">ιοθετούν και να χρησιμοποιούν τα συστήματα για την υποστήριξη της μελλοντικής προστασίας της επιχειρηματικής τους δραστηριότητας. Το πρωτόκολλο για το φυσικό κεφάλαιο (Natural Capital Protocol) αποτελεί επίσης σημαντικό σημείο αναφοράς σε αυτόν τον τομέα. </w:t>
      </w:r>
      <w:r>
        <w:rPr>
          <w:noProof/>
        </w:rPr>
        <w:t xml:space="preserve">Παρότι οι μέθοδοι λογιστικής απεικόνισης του φυσικού κεφαλαίου χρησιμεύουν κυρίως για την ενίσχυση των αποφάσεων εσωτερικής διαχείρισης, θα πρέπει να λαμβάνονται δεόντως υπόψη κατά τη θέσπιση προτύπων υποβολής εκθέσεων βιωσιμότητας. Ορισμένες μεθοδολογίες </w:t>
      </w:r>
      <w:r>
        <w:rPr>
          <w:noProof/>
        </w:rPr>
        <w:t>λογιστικής απεικόνισης του φυσικού κεφαλαίου επιδιώκουν να προσδώσουν χρηματική αξία στις περιβαλλοντικές επιπτώσεις των δραστηριοτήτων των επιχειρήσεων, γεγονός που μπορεί να βοηθήσει τους χρήστες να κατανοήσουν καλύτερα τις εν λόγω επιπτώσεις. Ως εκ τούτ</w:t>
      </w:r>
      <w:r>
        <w:rPr>
          <w:noProof/>
        </w:rPr>
        <w:t xml:space="preserve">ου, είναι σκόπιμο τα πρότυπα υποβολής εκθέσεων βιωσιμότητας να μπορούν να περιλαμβάνουν χρηματικά αποτιμώμενους δείκτες των επιπτώσεων στη βιωσιμότητα, εάν αυτό κρίνεται αναγκαίο. </w:t>
      </w:r>
    </w:p>
    <w:p w14:paraId="26E5B4D5" w14:textId="77777777" w:rsidR="00680C0B" w:rsidRDefault="00A8232D">
      <w:pPr>
        <w:pStyle w:val="ManualConsidrant"/>
        <w:rPr>
          <w:noProof/>
        </w:rPr>
      </w:pPr>
      <w:r>
        <w:rPr>
          <w:noProof/>
        </w:rPr>
        <w:t>(39)</w:t>
      </w:r>
      <w:r>
        <w:rPr>
          <w:noProof/>
        </w:rPr>
        <w:tab/>
        <w:t>Τα πρότυπα υποβολής εκθέσεων βιωσιμότητας θα πρέπει να λαμβάνουν υπόψη</w:t>
      </w:r>
      <w:r>
        <w:rPr>
          <w:noProof/>
        </w:rPr>
        <w:t xml:space="preserve"> διεθνώς αναγνωρισμένες αρχές και πλαίσια για την υπεύθυνη επιχειρηματική συμπεριφορά, την εταιρική κοινωνική ευθύνη και τη βιώσιμη ανάπτυξη, μεταξύ των οποίων οι στόχοι βιώσιμης ανάπτυξης των Ηνωμένων Εθνών, οι κατευθυντήριες αρχές των Ηνωμένων Εθνών για </w:t>
      </w:r>
      <w:r>
        <w:rPr>
          <w:noProof/>
        </w:rPr>
        <w:t>τις επιχειρήσεις και τα ανθρώπινα δικαιώματα, οι κατευθυντήριες γραμμές του ΟΟΣΑ για τις πολυεθνικές επιχειρήσεις, οι κατευθυντήριες γραμμές του ΟΟΣΑ σχετικά με τη δέουσα επιμέλεια για την υπεύθυνη επιχειρηματική συμπεριφορά και συναφείς τομεακές κατευθυντ</w:t>
      </w:r>
      <w:r>
        <w:rPr>
          <w:noProof/>
        </w:rPr>
        <w:t>ήριες γραμμές, το Παγκόσμιο Συμβόλαιο των Ηνωμένων Εθνών, η τριμερής δήλωση αρχών της Διεθνούς Οργάνωσης Εργασίας για τις πολυεθνικές επιχειρήσεις και την κοινωνική πολιτική, το πρότυπο ISO 26000 για την εταιρική ευθύνη και οι αρχές του ΟΗΕ για υπεύθυνες ε</w:t>
      </w:r>
      <w:r>
        <w:rPr>
          <w:noProof/>
        </w:rPr>
        <w:t xml:space="preserve">πενδύσεις. </w:t>
      </w:r>
    </w:p>
    <w:p w14:paraId="55571E21" w14:textId="77777777" w:rsidR="00680C0B" w:rsidRDefault="00A8232D">
      <w:pPr>
        <w:pStyle w:val="ManualConsidrant"/>
        <w:rPr>
          <w:noProof/>
        </w:rPr>
      </w:pPr>
      <w:r>
        <w:rPr>
          <w:noProof/>
        </w:rPr>
        <w:t>(40)</w:t>
      </w:r>
      <w:r>
        <w:rPr>
          <w:noProof/>
        </w:rPr>
        <w:tab/>
      </w:r>
      <w:r>
        <w:rPr>
          <w:noProof/>
        </w:rPr>
        <w:t>Θα πρέπει να διασφαλίζεται ότι οι πληροφορίες που υποβάλλουν οι επιχειρήσεις σύμφωνα με τα πρότυπα υποβολής εκθέσεων βιωσιμότητας ανταποκρίνονται στις ανάγκες των χρηστών. Επομένως, τα πρότυπα υποβολής εκθέσεων θα πρέπει να προσδιορίζουν τις πληροφορίες πο</w:t>
      </w:r>
      <w:r>
        <w:rPr>
          <w:noProof/>
        </w:rPr>
        <w:t>υ πρέπει να δημοσιοποιούν οι επιχειρήσεις για όλους τους σημαντικούς περιβαλλοντικούς παράγοντες, συμπεριλαμβανομένων των επιπτώσεων και της εξάρτησής τους από το κλίμα, τον αέρα, τη γη, τα ύδατα και τη βιοποικιλότητα. Στον κανονισμό (ΕΕ) 2020/852 περιλαμβ</w:t>
      </w:r>
      <w:r>
        <w:rPr>
          <w:noProof/>
        </w:rPr>
        <w:t>άνεται ταξινόμηση των περιβαλλοντικών στόχων της Ένωσης. Για λόγους συνοχής, είναι σκόπιμο να χρησιμοποιείται παρόμοια ταξινόμηση για τον προσδιορισμό των περιβαλλοντικών παραγόντων που θα πρέπει να διαλαμβάνουν τα πρότυπα υποβολής εκθέσεων βιωσιμότητας. Τ</w:t>
      </w:r>
      <w:r>
        <w:rPr>
          <w:noProof/>
        </w:rPr>
        <w:t>α πρότυπα υποβολής εκθέσεων θα πρέπει να εξετάζουν και να προσδιορίζουν τυχόν γεωγραφικές ή άλλες συναφείς πληροφορίες που θα πρέπει να δημοσιοποιούν οι επιχειρήσεις ώστε να εξασφαλίζεται η κατανόηση των κυριότερων επιπτώσεών τους σε θέματα βιωσιμότητας, κ</w:t>
      </w:r>
      <w:r>
        <w:rPr>
          <w:noProof/>
        </w:rPr>
        <w:t xml:space="preserve">αθώς και των κυριότερων κινδύνων που προκύπτουν για τις επιχειρήσεις από θέματα βιωσιμότητας. </w:t>
      </w:r>
    </w:p>
    <w:p w14:paraId="0A2BAE29" w14:textId="77777777" w:rsidR="00680C0B" w:rsidRDefault="00A8232D">
      <w:pPr>
        <w:pStyle w:val="ManualConsidrant"/>
        <w:rPr>
          <w:noProof/>
        </w:rPr>
      </w:pPr>
      <w:r>
        <w:rPr>
          <w:noProof/>
        </w:rPr>
        <w:t>(41)</w:t>
      </w:r>
      <w:r>
        <w:rPr>
          <w:noProof/>
        </w:rPr>
        <w:tab/>
        <w:t>Όσον αφορά τις πληροφορίες σχετικά με το κλίμα, οι χρήστες ενδιαφέρονται να πληροφορούνται για τους φυσικούς και μεταβατικούς κινδύνους των επιχειρήσεων, κα</w:t>
      </w:r>
      <w:r>
        <w:rPr>
          <w:noProof/>
        </w:rPr>
        <w:t xml:space="preserve">θώς και για την ανθεκτικότητά τους σε διάφορα κλιματικά σενάρια. Ενδιαφέρονται επίσης για το επίπεδο και το πεδίο εφαρμογής των εκπομπών αερίων του θερμοκηπίου και των απορροφήσεων που αποδίδονται στην επιχείρηση, συμπεριλαμβανομένου του βαθμού στον οποίο </w:t>
      </w:r>
      <w:r>
        <w:rPr>
          <w:noProof/>
        </w:rPr>
        <w:t>η επιχείρηση χρησιμοποιεί αντισταθμίσεις και την πηγή των εν λόγω αντισταθμίσεων. Η επίτευξη κλιματικά ουδέτερης οικονομίας προϋποθέτει την εναρμόνιση των προτύπων λογιστικής καταγραφής και αντιστάθμισης των αερίων του θερμοκηπίου. Οι χρήστες χρειάζονται α</w:t>
      </w:r>
      <w:r>
        <w:rPr>
          <w:noProof/>
        </w:rPr>
        <w:t>ξιόπιστες πληροφορίες για τις αντισταθμίσεις που ανταποκρίνονται σε ανησυχίες σχετικά με ενδεχόμενους διπλούς υπολογισμούς και υπερεκτιμήσεις, δεδομένων των κινδύνων που μπορούν να συνεπάγονται οι διπλοί υπολογισμοί και οι υπερεκτιμήσεις για την επίτευξη τ</w:t>
      </w:r>
      <w:r>
        <w:rPr>
          <w:noProof/>
        </w:rPr>
        <w:t xml:space="preserve">ων κλιματικών στόχων. Επομένως, τα πρότυπα υποβολής εκθέσεων θα πρέπει να προσδιορίζουν τις πληροφορίες που θα πρέπει να υποβάλλουν οι επιχειρήσεις όσον αφορά τα εν λόγω θέματα. </w:t>
      </w:r>
    </w:p>
    <w:p w14:paraId="48C50A06" w14:textId="77777777" w:rsidR="00680C0B" w:rsidRDefault="00A8232D">
      <w:pPr>
        <w:pStyle w:val="ManualConsidrant"/>
        <w:rPr>
          <w:noProof/>
        </w:rPr>
      </w:pPr>
      <w:r>
        <w:rPr>
          <w:noProof/>
        </w:rPr>
        <w:t>(42)</w:t>
      </w:r>
      <w:r>
        <w:rPr>
          <w:noProof/>
        </w:rPr>
        <w:tab/>
        <w:t>Η επίτευξη κλιματικά ουδέτερης και κυκλικής οικονομίας, καθώς και ενός π</w:t>
      </w:r>
      <w:r>
        <w:rPr>
          <w:noProof/>
        </w:rPr>
        <w:t>εριβάλλοντος απαλλαγμένου από τοξικές ουσίες, προϋποθέτει την πλήρη κινητοποίηση όλων των οικονομικών τομέων. Η μείωση της χρήσης ενέργειας και η αύξηση της ενεργειακής απόδοσης έχουν καίρια σημασία εν προκειμένω, δεδομένου ότι η ενέργεια χρησιμοποιείται σ</w:t>
      </w:r>
      <w:r>
        <w:rPr>
          <w:noProof/>
        </w:rPr>
        <w:t>ε όλες τις αλυσίδες εφοδιασμού. Συνεπώς, οι πτυχές της ενέργειας θα πρέπει να λαμβάνονται δεόντως υπόψη στα πρότυπα υποβολής εκθέσεων βιωσιμότητας, κυρίως σε σχέση με περιβαλλοντικά θέματα.</w:t>
      </w:r>
    </w:p>
    <w:p w14:paraId="4A1E6BAF" w14:textId="77777777" w:rsidR="00680C0B" w:rsidRDefault="00A8232D">
      <w:pPr>
        <w:pStyle w:val="ManualConsidrant"/>
        <w:rPr>
          <w:noProof/>
        </w:rPr>
      </w:pPr>
      <w:r>
        <w:rPr>
          <w:noProof/>
        </w:rPr>
        <w:t>(43)</w:t>
      </w:r>
      <w:r>
        <w:rPr>
          <w:noProof/>
        </w:rPr>
        <w:tab/>
        <w:t>Τα πρότυπα υποβολής εκθέσεων βιωσιμότητας θα πρέπει να προσδι</w:t>
      </w:r>
      <w:r>
        <w:rPr>
          <w:noProof/>
        </w:rPr>
        <w:t xml:space="preserve">ορίζουν τις πληροφορίες που πρέπει να δημοσιοποιούν οι επιχειρήσεις σχετικά με κοινωνικούς παράγοντες, συμπεριλαμβανομένων παραγόντων που αφορούν τους εργαζομένους και τα ανθρώπινα δικαιώματα. Οι πληροφορίες αυτές θα πρέπει να καλύπτουν τις επιπτώσεις των </w:t>
      </w:r>
      <w:r>
        <w:rPr>
          <w:noProof/>
        </w:rPr>
        <w:t>επιχειρήσεων στους ανθρώπους, μεταξύ άλλων στην ανθρώπινη υγεία. Οι πληροφορίες που δημοσιοποιούν οι επιχειρήσεις σχετικά με τα ανθρώπινα δικαιώματα θα πρέπει να περιλαμβάνουν πληροφορίες σχετικά με την αναγκαστική εργασία στις αλυσίδες αξίας τους, κατά πε</w:t>
      </w:r>
      <w:r>
        <w:rPr>
          <w:noProof/>
        </w:rPr>
        <w:t>ρίπτωση. Τα πρότυπα υποβολής εκθέσεων που αφορούν τους κοινωνικούς παράγοντες θα πρέπει να προσδιορίζουν τις πληροφορίες που πρέπει να δημοσιοποιούν οι επιχειρήσεις σχετικά με τις αρχές του ευρωπαϊκού πυλώνα κοινωνικών δικαιωμάτων που αφορούν τις επιχειρήσ</w:t>
      </w:r>
      <w:r>
        <w:rPr>
          <w:noProof/>
        </w:rPr>
        <w:t>εις, συμπεριλαμβανομένων των ίσων ευκαιριών για όλους και των συνθηκών εργασίας. Το σχέδιο δράσης για τον ευρωπαϊκό πυλώνα κοινωνικών δικαιωμάτων, το οποίο θεσπίστηκε τον Μάρτιο του 2021, ζητεί αυστηρότερες απαιτήσεις για την υποβολή εταιρικών εκθέσεων σχε</w:t>
      </w:r>
      <w:r>
        <w:rPr>
          <w:noProof/>
        </w:rPr>
        <w:t>τικά με κοινωνικά ζητήματα. Τα πρότυπα υποβολής εκθέσεων θα πρέπει επίσης να προσδιορίζουν τις πληροφορίες που πρέπει να δημοσιοποιούν οι επιχειρήσεις όσον αφορά τα ανθρώπινα δικαιώματα, τις θεμελιώδεις ελευθερίες, τις δημοκρατικές αρχές και τα πρότυπα που</w:t>
      </w:r>
      <w:r>
        <w:rPr>
          <w:noProof/>
        </w:rPr>
        <w:t xml:space="preserve"> θεσπίζονται στον Διεθνή Χάρτη Δικαιωμάτων του Ανθρώπου και σε άλλες βασικές συμβάσεις των Ηνωμένων Εθνών για τα ανθρώπινα δικαιώματα, στη διακήρυξη της Διεθνούς Οργάνωσης Εργασίας σχετικά με τις θεμελιώδεις αρχές και τα δικαιώματα εργασίας, στις θεμελιώδε</w:t>
      </w:r>
      <w:r>
        <w:rPr>
          <w:noProof/>
        </w:rPr>
        <w:t xml:space="preserve">ις συμβάσεις της Διεθνούς Οργάνωσης Εργασίας και τον Χάρτη των Θεμελιωδών Δικαιωμάτων της Ευρωπαϊκής Ένωσης. </w:t>
      </w:r>
    </w:p>
    <w:p w14:paraId="0C15FACF" w14:textId="77777777" w:rsidR="00680C0B" w:rsidRDefault="00A8232D">
      <w:pPr>
        <w:pStyle w:val="ManualConsidrant"/>
        <w:rPr>
          <w:noProof/>
        </w:rPr>
      </w:pPr>
      <w:r>
        <w:rPr>
          <w:noProof/>
        </w:rPr>
        <w:t>(44)</w:t>
      </w:r>
      <w:r>
        <w:rPr>
          <w:noProof/>
        </w:rPr>
        <w:tab/>
        <w:t>Οι χρήστες χρειάζονται πληροφορίες σχετικά με τους παράγοντες διακυβέρνησης, συμπεριλαμβανομένων των πληροφοριών σχετικά με το ρόλο των διοικ</w:t>
      </w:r>
      <w:r>
        <w:rPr>
          <w:noProof/>
        </w:rPr>
        <w:t>ητικών, διαχειριστικών και εποπτικών οργάνων μιας επιχείρησης, μεταξύ άλλων όσον αφορά τα θέματα βιωσιμότητας, τη σύνθεση των εν λόγω οργάνων, καθώς και τα συστήματα εσωτερικού ελέγχου διασφάλισης της ποιότητας και διαχείρισης κινδύνων μιας επιχείρησης, με</w:t>
      </w:r>
      <w:r>
        <w:rPr>
          <w:noProof/>
        </w:rPr>
        <w:t>ταξύ άλλων σε σχέση με τη διαδικασία υποβολής εκθέσεων. Οι χρήστες χρειάζονται επίσης πληροφορίες σχετικά με την επιχειρηματική νοοτροπία των επιχειρήσεων και την προσέγγιση της επιχειρηματικής δεοντολογίας, συμπεριλαμβανομένης της καταπολέμησης της διαφθο</w:t>
      </w:r>
      <w:r>
        <w:rPr>
          <w:noProof/>
        </w:rPr>
        <w:t>ράς και της δωροδοκίας, καθώς και σχετικά με τις πολιτικές δεσμεύσεις τους, μεταξύ των οποίων και οι δραστηριότητες άσκησης πίεσης από ομάδες συμφερόντων. Οι πληροφορίες σχετικά με τη διαχείριση της επιχείρησης και την ποιότητα των σχέσεων με τους επιχειρη</w:t>
      </w:r>
      <w:r>
        <w:rPr>
          <w:noProof/>
        </w:rPr>
        <w:t>ματικούς εταίρους, συμπεριλαμβανομένων των πρακτικών πληρωμών που αφορούν την ημερομηνία ή την προθεσμία πληρωμής, το επιτόκιο για την καθυστέρηση της πληρωμής ή την αποζημίωση για τα έξοδα είσπραξης που αναφέρονται στην οδηγία 2011/7/ΕΕ του Ευρωπαϊκού Κοι</w:t>
      </w:r>
      <w:r>
        <w:rPr>
          <w:noProof/>
        </w:rPr>
        <w:t>νοβουλίου και του Συμβουλίου</w:t>
      </w:r>
      <w:r>
        <w:rPr>
          <w:rStyle w:val="FootnoteReference"/>
          <w:noProof/>
        </w:rPr>
        <w:footnoteReference w:id="63"/>
      </w:r>
      <w:r>
        <w:rPr>
          <w:noProof/>
        </w:rPr>
        <w:t xml:space="preserve"> για τις καθυστερημένες πληρωμές στις εμπορικές συναλλαγές, βοηθούν τους χρήστες να κατανοήσουν τους κινδύνους μιας επιχείρησης, καθώς και τις επιπτώσεις της σε θέματα βιωσιμότητας. Κάθε έτος χιλιάδες επιχειρήσεις, κυρίως ΜΜΕ,</w:t>
      </w:r>
      <w:r>
        <w:rPr>
          <w:noProof/>
        </w:rPr>
        <w:t xml:space="preserve"> υφίστανται διοικητικές και οικονομικές επιβαρύνσεις επειδή οι πληρωμές προς τις επιχειρήσεις αυτές καθυστερούν ή δεν πραγματοποιούνται καθόλου. Εντέλει, οι καθυστερημένες πληρωμές οδηγούν σε αφερεγγυότητα και πτώχευση, με καταστροφικές επιπτώσεις σε ολόκλ</w:t>
      </w:r>
      <w:r>
        <w:rPr>
          <w:noProof/>
        </w:rPr>
        <w:t>ηρες αλυσίδες αξίας. Η αύξηση των πληροφοριών σχετικά με τις πρακτικές πληρωμών θα πρέπει να παρέχει σε άλλες επιχειρήσεις τη δυνατότητα να εντοπίζουν τους συνεπείς και αξιόπιστους πληρωτές, να ανιχνεύουν αθέμιτες πρακτικές πληρωμών, να έχουν πρόσβαση σε π</w:t>
      </w:r>
      <w:r>
        <w:rPr>
          <w:noProof/>
        </w:rPr>
        <w:t xml:space="preserve">ληροφορίες σχετικά με τις επιχειρήσεις με τις οποίες συναλλάσσονται και να διαπραγματεύονται πιο δίκαιους όρους πληρωμής. </w:t>
      </w:r>
    </w:p>
    <w:p w14:paraId="42438FB2" w14:textId="77777777" w:rsidR="00680C0B" w:rsidRDefault="00A8232D">
      <w:pPr>
        <w:pStyle w:val="ManualConsidrant"/>
        <w:rPr>
          <w:noProof/>
        </w:rPr>
      </w:pPr>
      <w:r>
        <w:rPr>
          <w:noProof/>
        </w:rPr>
        <w:t>(45)</w:t>
      </w:r>
      <w:r>
        <w:rPr>
          <w:noProof/>
        </w:rPr>
        <w:tab/>
        <w:t>Τα πρότυπα υποβολής εκθέσεων θα πρέπει να προωθούν μια πιο ολοκληρωμένη θεώρηση όλων των πληροφοριών που δημοσιεύουν οι επιχειρή</w:t>
      </w:r>
      <w:r>
        <w:rPr>
          <w:noProof/>
        </w:rPr>
        <w:t>σεις στην έκθεση διαχείρισης, ώστε να παρέχεται στους χρήστες των εν λόγω πληροφοριών η δυνατότητα καλύτερης κατανόησης της εξέλιξης, των επιδόσεων, της θέσης και του αντικτύπου της επιχείρησης. Τα εν λόγω πρότυπα θα πρέπει να κάνουν διάκριση, εάν απαιτείτ</w:t>
      </w:r>
      <w:r>
        <w:rPr>
          <w:noProof/>
        </w:rPr>
        <w:t>αι, μεταξύ των πληροφοριών που πρέπει να δημοσιοποιούν οι επιχειρήσεις κατά την υποβολή εκθέσεων σε μεμονωμένο επίπεδο και των πληροφοριών που πρέπει να δημοσιοποιούν οι επιχειρήσεις κατά την υποβολή εκθέσεων σε ενοποιημένο επίπεδο. Τα πρότυπα αυτά θα πρέπ</w:t>
      </w:r>
      <w:r>
        <w:rPr>
          <w:noProof/>
        </w:rPr>
        <w:t>ει επίσης να περιλαμβάνουν καθοδήγηση για τις επιχειρήσεις σχετικά με τη διαδικασία που ακολουθείται για τον προσδιορισμό των πληροφοριών βιωσιμότητας οι οποίες θα πρέπει να περιλαμβάνονται στην έκθεση διαχείρισης.</w:t>
      </w:r>
    </w:p>
    <w:p w14:paraId="34EC77DB" w14:textId="77777777" w:rsidR="00680C0B" w:rsidRDefault="00A8232D">
      <w:pPr>
        <w:pStyle w:val="ManualConsidrant"/>
        <w:rPr>
          <w:noProof/>
        </w:rPr>
      </w:pPr>
      <w:r>
        <w:rPr>
          <w:noProof/>
        </w:rPr>
        <w:t>(46)</w:t>
      </w:r>
      <w:r>
        <w:rPr>
          <w:noProof/>
        </w:rPr>
        <w:tab/>
        <w:t>Οι επιχειρήσεις του ίδιου τομέα είνα</w:t>
      </w:r>
      <w:r>
        <w:rPr>
          <w:noProof/>
        </w:rPr>
        <w:t>ι συχνά εκτεθειμένες σε παρόμοιους κινδύνους που αφορούν τη βιωσιμότητα και έχουν παρόμοιες επιπτώσεις στην κοινωνία και το περιβάλλον. Οι συγκρίσεις μεταξύ επιχειρήσεων του ίδιου τομέα είναι ιδιαίτερα χρήσιμες για τους επενδυτές και άλλους χρήστες πληροφο</w:t>
      </w:r>
      <w:r>
        <w:rPr>
          <w:noProof/>
        </w:rPr>
        <w:t>ριών βιωσιμότητας. Κατά συνέπεια, τα πρότυπα υποβολής εκθέσεων βιωσιμότητας που θεσπίζει η Επιτροπή θα πρέπει να προσδιορίζουν τόσο τις πληροφορίες που θα πρέπει να δημοσιοποιούν οι επιχειρήσεις σε όλους τους τομείς όσο και τις πληροφορίες που θα πρέπει να</w:t>
      </w:r>
      <w:r>
        <w:rPr>
          <w:noProof/>
        </w:rPr>
        <w:t xml:space="preserve"> δημοσιοποιούν οι επιχειρήσεις σε συνάρτηση με τον τομέα δραστηριότητάς τους. Τα πρότυπα θα πρέπει επίσης να λαμβάνουν υπόψη τις δυσκολίες που ενδέχεται να αντιμετωπίζουν οι επιχειρήσεις κατά τη συλλογή πληροφοριών από παράγοντες σε ολόκληρη την αλυσίδα αξ</w:t>
      </w:r>
      <w:r>
        <w:rPr>
          <w:noProof/>
        </w:rPr>
        <w:t>ίας τους, ιδίως από προμηθευτές που είναι ΜΜΕ και από προμηθευτές σε αναδυόμενες αγορές και οικονομίες.</w:t>
      </w:r>
    </w:p>
    <w:p w14:paraId="6EBEDE61" w14:textId="77777777" w:rsidR="00680C0B" w:rsidRDefault="00A8232D">
      <w:pPr>
        <w:pStyle w:val="ManualConsidrant"/>
        <w:rPr>
          <w:noProof/>
        </w:rPr>
      </w:pPr>
      <w:r>
        <w:rPr>
          <w:noProof/>
        </w:rPr>
        <w:t>(47)</w:t>
      </w:r>
      <w:r>
        <w:rPr>
          <w:noProof/>
        </w:rPr>
        <w:tab/>
        <w:t xml:space="preserve">Για την έγκαιρη κάλυψη των αναγκών πληροφόρησης από τους χρήστες, και ιδίως λόγω του επείγοντος χαρακτήρα της κάλυψης των αναγκών πληροφόρησης των </w:t>
      </w:r>
      <w:r>
        <w:rPr>
          <w:noProof/>
        </w:rPr>
        <w:t>συμμετεχόντων στις χρηματοπιστωτικές αγορές που υπόκεινται στις απαιτήσεις των κατ’ εξουσιοδότηση πράξεων που εκδίδονται σύμφωνα με το άρθρο 4 παράγραφοι 6 και 7 του κανονισμού (ΕΕ) 2019/2088, η Επιτροπή θα πρέπει να θεσπίσει μια πρώτη δέσμη προτύπων υποβο</w:t>
      </w:r>
      <w:r>
        <w:rPr>
          <w:noProof/>
        </w:rPr>
        <w:t>λής εκθέσεων έως τις 31 Οκτωβρίου 2022. Η εν λόγω δέσμη προτύπων υποβολής εκθέσεων θα πρέπει να προσδιορίζει τις πληροφορίες που πρέπει να δημοσιοποιούν οι επιχειρήσεις όσον αφορά όλους τους τομείς υποβολής στοιχείων και τα θέματα βιωσιμότητας, καθώς και τ</w:t>
      </w:r>
      <w:r>
        <w:rPr>
          <w:noProof/>
        </w:rPr>
        <w:t>ην υποχρέωση συμμόρφωσης των συμμετεχόντων στην αγορά με τις υποχρεώσεις δημοσιοποίησης που καθορίζονται στον κανονισμό (ΕΕ) 2019/2088. Το αργότερο έως τις 31 Οκτωβρίου 2023, η Επιτροπή θα πρέπει να θεσπίσει ένα δεύτερο σύνολο προτύπων υποβολής εκθέσεων, τ</w:t>
      </w:r>
      <w:r>
        <w:rPr>
          <w:noProof/>
        </w:rPr>
        <w:t>α οποία θα προσδιορίζουν τις συμπληρωματικές πληροφορίες που θα πρέπει να δημοσιοποιούν οι επιχειρήσεις σχετικά με θέματα βιωσιμότητας και τους τομείς υποβολής στοιχείων, όπου απαιτείται, καθώς και τις πληροφορίες που αφορούν ειδικά τον τομέα στον οποίο δρ</w:t>
      </w:r>
      <w:r>
        <w:rPr>
          <w:noProof/>
        </w:rPr>
        <w:t xml:space="preserve">αστηριοποιείται μια επιχείρηση. Η Επιτροπή θα πρέπει να επανεξετάζει τα πρότυπα ανά τριετία, ώστε να λαμβάνονται υπόψη οι σχετικές εξελίξεις, συμπεριλαμβανομένων των εξελίξεων των διεθνών προτύπων. </w:t>
      </w:r>
    </w:p>
    <w:p w14:paraId="2B661691" w14:textId="77777777" w:rsidR="00680C0B" w:rsidRDefault="00A8232D">
      <w:pPr>
        <w:pStyle w:val="ManualConsidrant"/>
        <w:rPr>
          <w:noProof/>
        </w:rPr>
      </w:pPr>
      <w:r>
        <w:rPr>
          <w:noProof/>
        </w:rPr>
        <w:t>(48)</w:t>
      </w:r>
      <w:r>
        <w:rPr>
          <w:noProof/>
        </w:rPr>
        <w:tab/>
        <w:t>Η οδηγία 2013/34/ΕΕ δεν απαιτεί την παροχή των οικον</w:t>
      </w:r>
      <w:r>
        <w:rPr>
          <w:noProof/>
        </w:rPr>
        <w:t>ομικών καταστάσεων ή της έκθεσης διαχείρισης σε ψηφιακή μορφή, γεγονός που εμποδίζει την ευρεσιμότητα και τη χρηστικότητα των υποβαλλόμενων πληροφοριών. Οι χρήστες πληροφοριών βιωσιμότητας αναμένουν ολοένα και περισσότερο οι πληροφορίες αυτού του είδους να</w:t>
      </w:r>
      <w:r>
        <w:rPr>
          <w:noProof/>
        </w:rPr>
        <w:t xml:space="preserve"> είναι ευρέσιμες και μηχαναγνώσιμες σε ψηφιακές μορφές. Η ψηφιοποίηση δημιουργεί ευκαιρίες για την αποδοτικότερη αξιοποίηση των πληροφοριών και δίνει τη δυνατότητα σημαντικής εξοικονόμησης κόστους τόσο για τους χρήστες όσο και για τις επιχειρήσεις. Ως εκ τ</w:t>
      </w:r>
      <w:r>
        <w:rPr>
          <w:noProof/>
        </w:rPr>
        <w:t>ούτου, θα πρέπει να απαιτείται από τις επιχειρήσεις να καταρτίζουν τις οικονομικές τους καταστάσεις και την έκθεση διαχείρισής τους σε μορφότυπο XHTML, σύμφωνα με το άρθρο 3 του κατ’ εξουσιοδότηση κανονισμού (ΕΕ) 2019/815 της Επιτροπής</w:t>
      </w:r>
      <w:r>
        <w:rPr>
          <w:rStyle w:val="FootnoteReference"/>
          <w:noProof/>
        </w:rPr>
        <w:footnoteReference w:id="64"/>
      </w:r>
      <w:r>
        <w:rPr>
          <w:noProof/>
        </w:rPr>
        <w:t>, και να επισημαίνο</w:t>
      </w:r>
      <w:r>
        <w:rPr>
          <w:noProof/>
        </w:rPr>
        <w:t>υν τις πληροφορίες βιωσιμότητας, συμπεριλαμβανομένων των δημοσιοποιήσεων που απαιτούνται βάσει του άρθρου 8 του κανονισμού (ΕΕ) 2020/852, σύμφωνα με τον εν λόγω κατ’ εξουσιοδότηση κανονισμό. Θα είναι αναγκαία μια ψηφιακή ταξινόμηση των ενωσιακών προτύπων υ</w:t>
      </w:r>
      <w:r>
        <w:rPr>
          <w:noProof/>
        </w:rPr>
        <w:t>ποβολής εκθέσεων βιωσιμότητας για να καταστεί δυνατή η σήμανση των υποβαλλόμενων πληροφοριών σύμφωνα με τα εν λόγω πρότυπα. Οι απαιτήσεις αυτές θα πρέπει να ληφθούν υπόψη στις εργασίες για την ψηφιοποίηση που εξήγγειλε η Επιτροπή στην ανακοίνωσή της με τίτ</w:t>
      </w:r>
      <w:r>
        <w:rPr>
          <w:noProof/>
        </w:rPr>
        <w:t xml:space="preserve">λο </w:t>
      </w:r>
      <w:r>
        <w:rPr>
          <w:i/>
          <w:noProof/>
        </w:rPr>
        <w:t>Ευρωπαϊκή στρατηγική για τα δεδομένα</w:t>
      </w:r>
      <w:r>
        <w:rPr>
          <w:rStyle w:val="FootnoteReference"/>
          <w:rFonts w:eastAsia="Arial Unicode MS"/>
          <w:noProof/>
          <w:szCs w:val="24"/>
        </w:rPr>
        <w:footnoteReference w:id="65"/>
      </w:r>
      <w:r>
        <w:rPr>
          <w:noProof/>
        </w:rPr>
        <w:t xml:space="preserve"> και στη</w:t>
      </w:r>
      <w:r>
        <w:rPr>
          <w:i/>
          <w:noProof/>
        </w:rPr>
        <w:t xml:space="preserve"> Στρατηγική ψηφιακών χρηματοοικονομικών υπηρεσιών για την ΕΕ</w:t>
      </w:r>
      <w:r>
        <w:rPr>
          <w:rStyle w:val="FootnoteReference"/>
          <w:rFonts w:eastAsia="Arial Unicode MS"/>
          <w:noProof/>
          <w:szCs w:val="24"/>
        </w:rPr>
        <w:footnoteReference w:id="66"/>
      </w:r>
      <w:r>
        <w:rPr>
          <w:noProof/>
        </w:rPr>
        <w:t xml:space="preserve">. Οι εν λόγω απαιτήσεις συμπληρώνουν επίσης τη δημιουργία ενός ευρωπαϊκού ενιαίου σημείου πρόσβασης για τις δημόσιες εταιρικές πληροφορίες, όπως </w:t>
      </w:r>
      <w:r>
        <w:rPr>
          <w:noProof/>
        </w:rPr>
        <w:t>προβλέπεται στο σχέδιο δράσης για την οικοδόμηση Ένωσης Κεφαλαιαγορών, το οποίο εξετάζει επίσης την ανάγκη για δομημένα δεδομένα.</w:t>
      </w:r>
    </w:p>
    <w:p w14:paraId="067C7EBD" w14:textId="77777777" w:rsidR="00680C0B" w:rsidRDefault="00A8232D">
      <w:pPr>
        <w:pStyle w:val="ManualConsidrant"/>
        <w:rPr>
          <w:noProof/>
        </w:rPr>
      </w:pPr>
      <w:r>
        <w:rPr>
          <w:noProof/>
        </w:rPr>
        <w:t>(49)</w:t>
      </w:r>
      <w:r>
        <w:rPr>
          <w:noProof/>
        </w:rPr>
        <w:tab/>
        <w:t>Για να καταστεί δυνατή η συμπερίληψη των υποβαλλόμενων πληροφοριών βιωσιμότητας στο ευρωπαϊκό ενιαίο σημείο πρόσβασης, τα</w:t>
      </w:r>
      <w:r>
        <w:rPr>
          <w:noProof/>
        </w:rPr>
        <w:t xml:space="preserve"> κράτη μέλη θα πρέπει να μεριμνούν ώστε οι επιχειρήσεις να δημοσιεύουν τις δεόντως εγκεκριμένες ετήσιες οικονομικές καταστάσεις και την έκθεση διαχείρισης σύμφωνα με τον καθορισμένο ηλεκτρονικό μορφότυπο και να διασφαλίζουν ότι οι εκθέσεις διαχείρισης που </w:t>
      </w:r>
      <w:r>
        <w:rPr>
          <w:noProof/>
        </w:rPr>
        <w:t>περιέχουν πληροφορίες σχετικές με τη βιωσιμότητα καθίστανται διαθέσιμες, χωρίς χρονοτριβή μετά τη δημοσίευσή τους, στον σχετικό επίσημα καθορισμένο μηχανισμό που αναφέρεται στο άρθρο 21 παράγραφος 2 της οδηγίας 2004/109/ΕΚ.</w:t>
      </w:r>
    </w:p>
    <w:p w14:paraId="7116C5C4" w14:textId="77777777" w:rsidR="00680C0B" w:rsidRDefault="00A8232D">
      <w:pPr>
        <w:pStyle w:val="ManualConsidrant"/>
        <w:rPr>
          <w:noProof/>
        </w:rPr>
      </w:pPr>
      <w:r>
        <w:rPr>
          <w:noProof/>
        </w:rPr>
        <w:t>(50)</w:t>
      </w:r>
      <w:r>
        <w:rPr>
          <w:noProof/>
        </w:rPr>
        <w:tab/>
        <w:t>Το άρθρο 19α παράγραφος 4 τ</w:t>
      </w:r>
      <w:r>
        <w:rPr>
          <w:noProof/>
        </w:rPr>
        <w:t>ης οδηγίας 2013/34/ΕΕ επιτρέπει στα κράτη μέλη να απαλλάσσουν επιχειρήσεις από την υποχρέωση να περιλαμβάνουν στην έκθεση διαχείρισης που συντάσσουν τη μη χρηματοοικονομική κατάσταση που απαιτείται βάσει του άρθρου 19α παράγραφος 1. Τα κράτη μέλη μπορούν ν</w:t>
      </w:r>
      <w:r>
        <w:rPr>
          <w:noProof/>
        </w:rPr>
        <w:t>α το πράττουν αυτό όταν η ενδιαφερόμενη επιχείρηση καταρτίζει χωριστή έκθεση, η οποία δημοσιεύεται μαζί με την έκθεση διαχείρισης σύμφωνα με το άρθρο 30 της εν λόγω οδηγίας, ή όταν η έκθεση αυτή δημοσιοποιείται, εντός εύλογου χρονικού διαστήματος που δεν υ</w:t>
      </w:r>
      <w:r>
        <w:rPr>
          <w:noProof/>
        </w:rPr>
        <w:t>περβαίνει τους έξι μήνες μετά την ημερομηνία κλεισίματος του ισολογισμού, στον ιστότοπο της επιχείρησης και αναφέρεται στην έκθεση διαχείρισης. Η ίδια δυνατότητα προβλέπεται και για την ενοποιημένη μη χρηματοοικονομική κατάσταση που αναφέρεται στο άρθρο 29</w:t>
      </w:r>
      <w:r>
        <w:rPr>
          <w:noProof/>
        </w:rPr>
        <w:t>α παράγραφος 4 της οδηγίας 2013/34/ΕΕ. Είκοσι κράτη μέλη έχουν χρησιμοποιήσει αυτή την επιλογή. Ωστόσο, η δυνατότητα δημοσίευσης χωριστής έκθεσης εμποδίζει τη διαθεσιμότητα πληροφοριών που συνδέουν τις χρηματοοικονομικές πληροφορίες και τις πληροφορίες σχε</w:t>
      </w:r>
      <w:r>
        <w:rPr>
          <w:noProof/>
        </w:rPr>
        <w:t>τικά με θέματα βιωσιμότητας. Εμποδίζει επίσης την ευρεσιμότητα και την προσβασιμότητα πληροφοριών για τους χρήστες, ιδίως για τους επενδυτές, οι οποίοι ενδιαφέρονται τόσο για τις χρηματοοικονομικές πληροφορίες όσο και για τις πληροφορίες βιωσιμότητας. Το π</w:t>
      </w:r>
      <w:r>
        <w:rPr>
          <w:noProof/>
        </w:rPr>
        <w:t>ρόβλημα αυτό επιδεινώνεται λόγω πιθανών διαφορετικών χρόνων δημοσίευσης για τις χρηματοοικονομικές πληροφορίες και τις πληροφορίες βιωσιμότητας. Η δημοσίευση σε χωριστή έκθεση μπορεί επίσης να δίνει την εντύπωση, εσωτερικά και εξωτερικά, ότι οι πληροφορίες</w:t>
      </w:r>
      <w:r>
        <w:rPr>
          <w:noProof/>
        </w:rPr>
        <w:t xml:space="preserve"> βιωσιμότητας ανήκουν σε κατηγορία λιγότερο συναφών πληροφοριών, γεγονός που μπορεί να επηρεάσει αρνητικά την αντίληψη που διαμορφώνεται ως προς την αξιοπιστία των πληροφοριών. Επομένως, οι επιχειρήσεις θα πρέπει να υποβάλλουν πληροφορίες βιωσιμότητας στην</w:t>
      </w:r>
      <w:r>
        <w:rPr>
          <w:noProof/>
        </w:rPr>
        <w:t xml:space="preserve"> έκθεση διαχείρισης που συντάσσουν και τα κράτη μέλη δεν θα πρέπει πλέον να έχουν τη δυνατότητα να απαλλάσσουν επιχειρήσεις από την υποχρέωση να περιλαμβάνουν στην έκθεση διαχείρισης που συντάσσουν πληροφορίες σχετικά με θέματα βιωσιμότητας. Η υποχρέωση αυ</w:t>
      </w:r>
      <w:r>
        <w:rPr>
          <w:noProof/>
        </w:rPr>
        <w:t>τή διευκολύνει επίσης την αποσαφήνιση του ρόλου των εθνικών αρμόδιων αρχών στην εποπτεία της υποβολής εκθέσεων βιωσιμότητας, στο πλαίσιο της έκθεσης διαχείρισης, σύμφωνα με την οδηγία 2004/109/ΕΚ. Επιπλέον, οι επιχειρήσεις που υποχρεούνται να υποβάλλουν πλ</w:t>
      </w:r>
      <w:r>
        <w:rPr>
          <w:noProof/>
        </w:rPr>
        <w:t>ηροφορίες βιωσιμότητας δεν θα πρέπει σε καμία περίπτωση να απαλλάσσονται από την υποχρέωση δημοσίευσης της έκθεσης διαχείρισης, δεδομένου ότι είναι σημαντικό να διασφαλίζεται ότι οι πληροφορίες βιωσιμότητας είναι διαθέσιμες στο κοινό.</w:t>
      </w:r>
    </w:p>
    <w:p w14:paraId="11ADD762" w14:textId="77777777" w:rsidR="00680C0B" w:rsidRDefault="00A8232D">
      <w:pPr>
        <w:pStyle w:val="ManualConsidrant"/>
        <w:rPr>
          <w:noProof/>
        </w:rPr>
      </w:pPr>
      <w:r>
        <w:rPr>
          <w:noProof/>
        </w:rPr>
        <w:t>(51)</w:t>
      </w:r>
      <w:r>
        <w:rPr>
          <w:noProof/>
        </w:rPr>
        <w:tab/>
      </w:r>
      <w:r>
        <w:rPr>
          <w:noProof/>
        </w:rPr>
        <w:t>Σύμφωνα με το άρθρο 20 της οδηγίας 2013/34/ΕΕ, οι επιχειρήσεις με τίτλους εισηγμένους σε ρυθμιζόμενες αγορές υποχρεούνται να περιλαμβάνουν στην έκθεση διαχείρισης που συντάσσουν δήλωση εταιρικής διακυβέρνησης, η οποία πρέπει να περιέχει, μεταξύ άλλων πληρο</w:t>
      </w:r>
      <w:r>
        <w:rPr>
          <w:noProof/>
        </w:rPr>
        <w:t>φοριών, περιγραφή της πολιτικής σχετικά με την πολυμορφία που εφαρμόζει η επιχείρηση για τα διοικητικά, διαχειριστικά και εποπτικά της όργανα. Το άρθρο 20 της οδηγίας 2013/34/ΕΕ παρέχει στις επιχειρήσεις την ευελιξία να αποφασίζουν τις πτυχές πολυμορφίας γ</w:t>
      </w:r>
      <w:r>
        <w:rPr>
          <w:noProof/>
        </w:rPr>
        <w:t>ια τις οποίες υποβάλλουν στοιχεία. Δεν υποχρεώνει ρητά τις επιχειρήσεις να περιλαμβάνουν πληροφορίες σχετικά με συγκεκριμένη πτυχή πολυμορφίας. Προκειμένου να σημειωθεί πρόοδος όσον αφορά την εξασφάλιση πιο ισόρροπης συμμετοχής των φύλων στη διαδικασία λήψ</w:t>
      </w:r>
      <w:r>
        <w:rPr>
          <w:noProof/>
        </w:rPr>
        <w:t>ης οικονομικών αποφάσεων, είναι αναγκαίο να διασφαλιστεί ότι οι επιχειρήσεις με τίτλους εισηγμένους σε ρυθμιζόμενες αγορές υποβάλλουν πάντα στοιχεία για τις πολιτικές τους σχετικά με την πολυμορφία όσον αφορά το φύλο και την εφαρμογή αυτών των πολιτικών. Ω</w:t>
      </w:r>
      <w:r>
        <w:rPr>
          <w:noProof/>
        </w:rPr>
        <w:t>στόσο, για να αποφευχθεί περιττή διοικητική επιβάρυνση, οι εν λόγω επιχειρήσεις θα πρέπει να έχουν τη δυνατότητα να υποβάλλουν ορισμένες από τις απαιτούμενες πληροφορίες βάσει του άρθρου 20 της οδηγίας 2013/34/ΕΕ μαζί με άλλες πληροφορίες που αφορούν τη βι</w:t>
      </w:r>
      <w:r>
        <w:rPr>
          <w:noProof/>
        </w:rPr>
        <w:t>ωσιμότητα.</w:t>
      </w:r>
      <w:r>
        <w:rPr>
          <w:noProof/>
          <w:highlight w:val="yellow"/>
        </w:rPr>
        <w:t xml:space="preserve"> </w:t>
      </w:r>
    </w:p>
    <w:p w14:paraId="552C82B9" w14:textId="77777777" w:rsidR="00680C0B" w:rsidRDefault="00A8232D">
      <w:pPr>
        <w:pStyle w:val="ManualConsidrant"/>
        <w:rPr>
          <w:noProof/>
        </w:rPr>
      </w:pPr>
      <w:r>
        <w:rPr>
          <w:noProof/>
        </w:rPr>
        <w:t>(52)</w:t>
      </w:r>
      <w:r>
        <w:rPr>
          <w:noProof/>
        </w:rPr>
        <w:tab/>
        <w:t>Σύμφωνα με το άρθρο 33 της οδηγίας 2013/34/ΕΕ, τα κράτη μέλη υποχρεούνται να μεριμνούν ώστε τα μέλη των διοικητικών, διαχειριστικών και εποπτικών οργάνων μιας επιχείρησης υπέχουν συλλογική ευθύνη για να εξασφαλίσουν ότι οι (ενοποιημένες) ε</w:t>
      </w:r>
      <w:r>
        <w:rPr>
          <w:noProof/>
        </w:rPr>
        <w:t xml:space="preserve">τήσιες οικονομικές καταστάσεις, οι (ενοποιημένες) εκθέσεις διαχείρισης και η (ενοποιημένη) δήλωση εταιρικής διακυβέρνησης έχουν καταρτιστεί και δημοσιοποιηθεί σύμφωνα με τις απαιτήσεις της εν λόγω οδηγίας. Η εν λόγω συλλογική ευθύνη θα πρέπει να επεκταθεί </w:t>
      </w:r>
      <w:r>
        <w:rPr>
          <w:noProof/>
        </w:rPr>
        <w:t>στις απαιτήσεις ψηφιοποίησης που καθορίζονται στον κατ’ εξουσιοδότηση κανονισμό (ΕΕ) 2019/815, στην απαίτηση συμμόρφωσης με τα ενωσιακά πρότυπα υποβολής εκθέσεων βιωσιμότητας και στην απαίτηση σήμανσης της υποβολής εκθέσεων βιωσιμότητας.</w:t>
      </w:r>
    </w:p>
    <w:p w14:paraId="279FCEEC" w14:textId="77777777" w:rsidR="00680C0B" w:rsidRDefault="00A8232D">
      <w:pPr>
        <w:pStyle w:val="ManualConsidrant"/>
        <w:rPr>
          <w:noProof/>
        </w:rPr>
      </w:pPr>
      <w:r>
        <w:rPr>
          <w:noProof/>
        </w:rPr>
        <w:t>(53)</w:t>
      </w:r>
      <w:r>
        <w:rPr>
          <w:noProof/>
        </w:rPr>
        <w:tab/>
        <w:t>Στο επάγγελμα</w:t>
      </w:r>
      <w:r>
        <w:rPr>
          <w:noProof/>
        </w:rPr>
        <w:t xml:space="preserve"> της διασφάλισης γίνεται διάκριση μεταξύ των εντολών παροχής περιορισμένης και εύλογης διασφάλισης. Το συμπέρασμα της δέσμευσης παροχής περιορισμένης διασφάλισης παρέχεται συνήθως με τη χρήση αρνητικών εκφράσεων, με τη δήλωση ότι ο επαγγελματίας δεν έχει ε</w:t>
      </w:r>
      <w:r>
        <w:rPr>
          <w:noProof/>
        </w:rPr>
        <w:t>ντοπίσει κανένα θέμα για να συμπεράνει ότι το αντικείμενο περιέχει ουσιώδεις ανακρίβειες. Ο ελεγκτής διενεργεί λιγότερες δοκιμασίες απ’ ό,τι στο πλαίσιο της δέσμευσης παροχής εύλογης διασφάλισης. Ως εκ τούτου, ο όγκος εργασίας για τη δέσμευση παροχής περιο</w:t>
      </w:r>
      <w:r>
        <w:rPr>
          <w:noProof/>
        </w:rPr>
        <w:t>ρισμένης διασφάλισης είναι μικρότερος απ’ ό,τι για την εύλογη διασφάλιση. Η προσπάθεια εργασίας για τη δέσμευση παροχής εύλογης διασφάλισης συνεπάγεται εκτεταμένες διαδικασίες, συμπεριλαμβανομένης της εξέτασης των εσωτερικών ελέγχων της επιχείρησης που υπο</w:t>
      </w:r>
      <w:r>
        <w:rPr>
          <w:noProof/>
        </w:rPr>
        <w:t>βάλλει τις εκθέσεις και της διενέργειας ελέγχου επαλήθευσης, και είναι, συνεπώς, σημαντικά υψηλότερη απ’ ό,τι στο πλαίσιο της δέσμευσης παροχής περιορισμένης διασφάλισης. Τα συμπεράσματα από αυτό το είδος της δέσμευσης εκφράζονται συνήθως με θετική  διατύπ</w:t>
      </w:r>
      <w:r>
        <w:rPr>
          <w:noProof/>
        </w:rPr>
        <w:t>ωση και περιέχουν μια γνώμη σχετικά με τη συγκριτική εξέταση του αντικειμένου έναντι προκαθορισμένων κριτηρίων. Σύμφωνα με το άρθρο 19α παράγραφος 5 και το άρθρο 29α παράγραφος 5 της οδηγίας 2013/34/ΕΕ, τα κράτη μέλη υποχρεούνται να διασφαλίζουν ότι ο νόμι</w:t>
      </w:r>
      <w:r>
        <w:rPr>
          <w:noProof/>
        </w:rPr>
        <w:t>μος ελεγκτής ή το ελεγκτικό γραφείο εξετάζει αν έχει υποβληθεί η μη χρηματοοικονομική κατάσταση ή η χωριστή έκθεση. Η οδηγία δεν επιβάλλει υποχρέωση ελέγχου των πληροφοριών από ανεξάρτητο πάροχο υπηρεσιών διασφάλισης, παρότι παρέχει στα κράτη μέλη τη δυνατ</w:t>
      </w:r>
      <w:r>
        <w:rPr>
          <w:noProof/>
        </w:rPr>
        <w:t>ότητα να απαιτούν τη διενέργεια ελέγχου αυτού του είδους εάν το επιθυμούν. Η απουσία απαίτησης διασφάλισης όσον αφορά την υποβολή εκθέσεων βιωσιμότητας, σε αντίθεση με την υποχρέωση του νόμιμου ελεγκτή να εκτελεί δέσμευση παροχής εύλογης διασφάλισης για τι</w:t>
      </w:r>
      <w:r>
        <w:rPr>
          <w:noProof/>
        </w:rPr>
        <w:t>ς οικονομικές καταστάσεις, θα συνιστούσε απειλή για την αξιοπιστία των πληροφοριών βιωσιμότητας που δημοσιοποιούνται, με συνέπεια να μην καλύπτονται οι ανάγκες των χρηστών για τους οποίους προορίζονται οι εν λόγω πληροφορίες. Μολονότι ο στόχος είναι η επίτ</w:t>
      </w:r>
      <w:r>
        <w:rPr>
          <w:noProof/>
        </w:rPr>
        <w:t>ευξη παρόμοιου επιπέδου διασφάλισης για την υποβολή εκθέσεων χρηματοοικονομικών πληροφοριών και βιωσιμότητας, η απουσία κοινώς συμφωνηθέντος προτύπου για τη διασφάλιση της υποβολής εκθέσεων βιωσιμότητας δημιουργεί τον κίνδυνο διαφορετικής κατανόησης και δι</w:t>
      </w:r>
      <w:r>
        <w:rPr>
          <w:noProof/>
        </w:rPr>
        <w:t xml:space="preserve">αφορετικών προσδοκιών ως προς το τι θα περιλάμβανε μια δέσμευση παροχής εύλογης διασφάλισης για διάφορες κατηγορίες πληροφοριών βιωσιμότητας, ιδίως όσον αφορά τις μελλοντοστραφείς και τις ποιοτικές δημοσιοποιήσεις. Ως εκ τούτου, θα πρέπει να εξεταστεί μια </w:t>
      </w:r>
      <w:r>
        <w:rPr>
          <w:noProof/>
        </w:rPr>
        <w:t>σταδιακή προσέγγιση για την ενίσχυση του επιπέδου της διασφάλισης που απαιτείται για τις πληροφορίες βιωσιμότητας, αρχής γενομένης από την υποχρέωση του νόμιμου ελεγκτή ή του ελεγκτικού γραφείου να διατυπώνει γνώμη σχετικά με τη συμμόρφωση της υποβολής εκθ</w:t>
      </w:r>
      <w:r>
        <w:rPr>
          <w:noProof/>
        </w:rPr>
        <w:t xml:space="preserve">έσεων βιωσιμότητας με τις απαιτήσεις της Ένωσης βάσει δέσμευσης παροχής περιορισμένης διασφάλισης. Η γνώμη αυτή θα πρέπει να καλύπτει τη συμμόρφωση της υποβολής εκθέσεων βιωσιμότητας με τα ενωσιακά πρότυπα υποβολής εκθέσεων βιωσιμότητας, τη διαδικασία που </w:t>
      </w:r>
      <w:r>
        <w:rPr>
          <w:noProof/>
        </w:rPr>
        <w:t>διενεργεί η επιχείρηση για τον προσδιορισμό των πληροφοριών που υποβάλλονται σύμφωνα με τα πρότυπα υποβολής εκθέσεων βιωσιμότητας και τη συμμόρφωση με την απαίτηση σήμανσης της υποβολής εκθέσεων βιωσιμότητας. Ο ελεγκτής θα πρέπει επίσης να αξιολογεί αν η δ</w:t>
      </w:r>
      <w:r>
        <w:rPr>
          <w:noProof/>
        </w:rPr>
        <w:t>ιαδικασία υποβολής εκθέσεων της επιχείρησης συμμορφώνεται με τις απαιτήσεις υποβολής εκθέσεων του άρθρου 8 του κανονισμού (ΕΕ) 2020/852. Για την εξασφάλιση κοινής κατανόησης και κοινών προσδοκιών ως προς το τι θα περιλάμβανε μια δέσμευση παροχής εύλογης δι</w:t>
      </w:r>
      <w:r>
        <w:rPr>
          <w:noProof/>
        </w:rPr>
        <w:t>ασφάλισης, ο νόμιμος ελεγκτής ή το ελεγκτικό γραφείο θα πρέπει να υποχρεούται να διατυπώνει γνώμη, βάσει δέσμευσης παροχής εύλογης διασφάλισης, σχετικά με τη συμμόρφωση της υποβολής εκθέσεων βιωσιμότητας με τις απαιτήσεις της Ένωσης, σε περίπτωση που η Επι</w:t>
      </w:r>
      <w:r>
        <w:rPr>
          <w:noProof/>
        </w:rPr>
        <w:t>τροπή θεσπίσει πρότυπα διασφάλισης για την εύλογη διασφάλιση της υποβολής εκθέσεων βιωσιμότητας. Η απαίτηση αυτή θα παρείχε επίσης τη δυνατότητα σταδιακής ανάπτυξης της αγοράς διασφάλισης για τις πληροφορίες βιωσιμότητας, καθώς και των πρακτικών υποβολής ε</w:t>
      </w:r>
      <w:r>
        <w:rPr>
          <w:noProof/>
        </w:rPr>
        <w:t>κθέσεων των επιχειρήσεων. Τέλος, αυτή η σταδιακή προσέγγιση θα αύξανε σταδιακά το κόστος για τις επιχειρήσεις που υποβάλλουν τις εκθέσεις, δεδομένου ότι η εύλογη διασφάλιση είναι πιο δαπανηρή από την περιορισμένη διασφάλιση.</w:t>
      </w:r>
    </w:p>
    <w:p w14:paraId="38D1F3CD" w14:textId="77777777" w:rsidR="00680C0B" w:rsidRDefault="00A8232D">
      <w:pPr>
        <w:pStyle w:val="ManualConsidrant"/>
        <w:rPr>
          <w:noProof/>
        </w:rPr>
      </w:pPr>
      <w:r>
        <w:rPr>
          <w:noProof/>
        </w:rPr>
        <w:t>(54)</w:t>
      </w:r>
      <w:r>
        <w:rPr>
          <w:noProof/>
        </w:rPr>
        <w:tab/>
        <w:t>Οι νόμιμοι ελεγκτές ή τα ε</w:t>
      </w:r>
      <w:r>
        <w:rPr>
          <w:noProof/>
        </w:rPr>
        <w:t>λεγκτικά γραφεία ελέγχουν ήδη τις οικονομικές καταστάσεις και την έκθεση διαχείρισης. Η διασφάλιση της υποβολής εκθέσεων βιωσιμότητας από τους νόμιμους ελεγκτές ή τα ελεγκτικά γραφεία θα συνέβαλε στην εξασφάλιση της συνδεσιμότητας και της συνοχής μεταξύ τω</w:t>
      </w:r>
      <w:r>
        <w:rPr>
          <w:noProof/>
        </w:rPr>
        <w:t xml:space="preserve">ν χρηματοοικονομικών πληροφοριών και των πληροφοριών βιωσιμότητας, κάτι που θα είναι ιδιαίτερα σημαντικό για τους χρήστες των πληροφοριών βιωσιμότητας. Ωστόσο, υπάρχει κίνδυνος περαιτέρω συγκέντρωσης της αγοράς ελέγχου, που θα μπορούσε να θέσει σε κίνδυνο </w:t>
      </w:r>
      <w:r>
        <w:rPr>
          <w:noProof/>
        </w:rPr>
        <w:t>την ανεξαρτησία των ελεγκτών και να αυξήσει τις αμοιβές για τον έλεγχο ή για τη διασφάλιση. Ως εκ τούτου, είναι επιθυμητό να προσφέρεται στις επιχειρήσεις ευρύτερη επιλογή ανεξάρτητων παρόχων υπηρεσιών διασφάλισης για τη διασφάλιση της υποβολής εκθέσεων βι</w:t>
      </w:r>
      <w:r>
        <w:rPr>
          <w:noProof/>
        </w:rPr>
        <w:t>ωσιμότητας. Επομένως, θα πρέπει να παρέχεται στα κράτη μέλη η δυνατότητα διαπίστευσης ανεξάρτητων παρόχων υπηρεσιών διασφάλισης, σύμφωνα με τον κανονισμό (ΕΚ) αριθ. 765/2008 του Ευρωπαϊκού Κοινοβουλίου και του Συμβουλίου</w:t>
      </w:r>
      <w:r>
        <w:rPr>
          <w:rStyle w:val="FootnoteReference"/>
          <w:noProof/>
        </w:rPr>
        <w:footnoteReference w:id="67"/>
      </w:r>
      <w:r>
        <w:rPr>
          <w:noProof/>
        </w:rPr>
        <w:t>, που θα παρέχουν γνώμη σχετικά με</w:t>
      </w:r>
      <w:r>
        <w:rPr>
          <w:noProof/>
        </w:rPr>
        <w:t xml:space="preserve"> την υποβολή εκθέσεων βιωσιμότητας, η οποία θα πρέπει να δημοσιεύεται μαζί με την έκθεση διαχείρισης. Τα κράτη μέλη θα πρέπει να καθορίζουν απαιτήσεις που εξασφαλίζουν συνεκτικά αποτελέσματα στο πλαίσιο της διασφάλισης της υποβολής εκθέσεων βιωσιμότητας πο</w:t>
      </w:r>
      <w:r>
        <w:rPr>
          <w:noProof/>
        </w:rPr>
        <w:t>υ διενεργούν διάφοροι πάροχοι υπηρεσιών διασφάλισης. Κατά συνέπεια, όλοι οι ανεξάρτητοι πάροχοι υπηρεσιών διασφάλισης θα πρέπει να υπόκεινται σε απαιτήσεις που συνάδουν με τις απαιτήσεις της οδηγίας 2006/43/ΕΚ όσον αφορά τη διασφάλιση της υποβολής εκθέσεων</w:t>
      </w:r>
      <w:r>
        <w:rPr>
          <w:noProof/>
        </w:rPr>
        <w:t xml:space="preserve"> βιωσιμότητας. Με τον τρόπο αυτόν θα εξασφαλίζονται επίσης ισότιμοι όροι ανταγωνισμού μεταξύ όλων των προσώπων και των γραφείων στα οποία επιτρέπουν τα κράτη μέλη να παρέχουν γνώμη σχετικά με τη διασφάλιση της υποβολής εκθέσεων βιωσιμότητας, συμπεριλαμβανο</w:t>
      </w:r>
      <w:r>
        <w:rPr>
          <w:noProof/>
        </w:rPr>
        <w:t>μένων των νόμιμων ελεγκτών. Εάν μια επιχείρηση ζητεί τη γνώμη άλλου διαπιστευμένου ανεξάρτητου παρόχου υπηρεσιών διασφάλισης, εκτός του νόμιμου ελεγκτή, σχετικά με την οικεία διαδικασία υποβολής εκθέσεων βιωσιμότητας, δεν θα πρέπει να ζητεί, επιπλέον, τη γ</w:t>
      </w:r>
      <w:r>
        <w:rPr>
          <w:noProof/>
        </w:rPr>
        <w:t>νώμη του νόμιμου ελεγκτή.</w:t>
      </w:r>
    </w:p>
    <w:p w14:paraId="6982BE8F" w14:textId="77777777" w:rsidR="00680C0B" w:rsidRDefault="00A8232D">
      <w:pPr>
        <w:pStyle w:val="ManualConsidrant"/>
        <w:rPr>
          <w:noProof/>
        </w:rPr>
      </w:pPr>
      <w:r>
        <w:rPr>
          <w:noProof/>
        </w:rPr>
        <w:t>(55)</w:t>
      </w:r>
      <w:r>
        <w:rPr>
          <w:noProof/>
        </w:rPr>
        <w:tab/>
        <w:t>Η οδηγία 2006/43/ΕΚ του Ευρωπαϊκού Κοινοβουλίου και του Συμβουλίου</w:t>
      </w:r>
      <w:r>
        <w:rPr>
          <w:rStyle w:val="FootnoteReference"/>
          <w:noProof/>
        </w:rPr>
        <w:footnoteReference w:id="68"/>
      </w:r>
      <w:r>
        <w:rPr>
          <w:noProof/>
        </w:rPr>
        <w:t xml:space="preserve"> καθορίζει τους κανόνες σχετικά με τον υποχρεωτικό έλεγχο των ετήσιων και των ενοποιημένων οικονομικών καταστάσεων. Είναι αναγκαίο να διασφαλιστεί ότι εφαρμό</w:t>
      </w:r>
      <w:r>
        <w:rPr>
          <w:noProof/>
        </w:rPr>
        <w:t>ζονται συνεπείς κανόνες στον έλεγχο των οικονομικών καταστάσεων και στη διασφάλιση της υποβολής εκθέσεων βιωσιμότητας που διενεργεί ο νόμιμος ελεγκτής. Η οδηγία 2006/43/ΕΚ θα πρέπει να εφαρμόζεται όταν η γνώμη σχετικά με την υποβολή εκθέσεων βιωσιμότητας δ</w:t>
      </w:r>
      <w:r>
        <w:rPr>
          <w:noProof/>
        </w:rPr>
        <w:t xml:space="preserve">ιατυπώνεται από τον νόμιμο ελεγκτή ή το ελεγκτικό γραφείο που διενεργεί τον υποχρεωτικό έλεγχο των οικονομικών καταστάσεων. </w:t>
      </w:r>
    </w:p>
    <w:p w14:paraId="57D571E7" w14:textId="77777777" w:rsidR="00680C0B" w:rsidRDefault="00A8232D">
      <w:pPr>
        <w:pStyle w:val="ManualConsidrant"/>
        <w:rPr>
          <w:noProof/>
        </w:rPr>
      </w:pPr>
      <w:r>
        <w:rPr>
          <w:noProof/>
        </w:rPr>
        <w:t>(56)</w:t>
      </w:r>
      <w:r>
        <w:rPr>
          <w:noProof/>
        </w:rPr>
        <w:tab/>
        <w:t>Οι κανόνες για την έγκριση και την αναγνώριση των νόμιμων ελεγκτών και των ελεγκτικών γραφείων θα πρέπει να διασφαλίζουν ότι ο</w:t>
      </w:r>
      <w:r>
        <w:rPr>
          <w:noProof/>
        </w:rPr>
        <w:t>ι νόμιμοι ελεγκτές διαθέτουν, αφενός, το απαραίτητο επίπεδο των θεωρητικών γνώσεων που σχετίζονται με θέματα που αφορούν τη διασφάλιση της υποβολής εκθέσεων βιωσιμότητας και, αφετέρου, την ικανότητα εφαρμογής των εν λόγω γνώσεων στην πράξη. Ωστόσο, οι νόμι</w:t>
      </w:r>
      <w:r>
        <w:rPr>
          <w:noProof/>
        </w:rPr>
        <w:t>μοι ελεγκτές που έχουν ήδη εγκριθεί ή αναγνωριστεί από ένα κράτος μέλος θα πρέπει να εξακολουθήσουν να έχουν τη δυνατότητα να διενεργούν υποχρεωτικούς ελέγχους και θα πρέπει να τους επιτρέπεται να εκτελούν δεσμεύσεις παροχής διασφάλισης της υποβολής εκθέσε</w:t>
      </w:r>
      <w:r>
        <w:rPr>
          <w:noProof/>
        </w:rPr>
        <w:t xml:space="preserve">ων βιωσιμότητας. Ωστόσο, τα κράτη μέλη θα πρέπει να διασφαλίζουν ότι οι νόμιμοι ελεγκτές που έχουν λάβει ήδη άδεια αποκτούν τις αναγκαίες γνώσεις στον τομέα της υποβολής εκθέσεων βιωσιμότητας και της διασφάλισης της υποβολής εκθέσεων βιωσιμότητας μέσω της </w:t>
      </w:r>
      <w:r>
        <w:rPr>
          <w:noProof/>
        </w:rPr>
        <w:t>συνεχούς επαγγελματικής εκπαίδευσης.</w:t>
      </w:r>
    </w:p>
    <w:p w14:paraId="327F91B9" w14:textId="77777777" w:rsidR="00680C0B" w:rsidRDefault="00A8232D">
      <w:pPr>
        <w:pStyle w:val="ManualConsidrant"/>
        <w:rPr>
          <w:noProof/>
        </w:rPr>
      </w:pPr>
      <w:r>
        <w:rPr>
          <w:noProof/>
        </w:rPr>
        <w:t>(57)</w:t>
      </w:r>
      <w:r>
        <w:rPr>
          <w:noProof/>
        </w:rPr>
        <w:tab/>
        <w:t>Θα πρέπει να διασφαλίζεται η συνέπεια των απαιτήσεων που επιβάλλονται στους ελεγκτές όσον αφορά τις εργασίες τους σχετικά με τον υποχρεωτικό έλεγχο και τη διασφάλιση της υποβολής εκθέσεων βιωσιμότητας. Επομένως, θα</w:t>
      </w:r>
      <w:r>
        <w:rPr>
          <w:noProof/>
        </w:rPr>
        <w:t xml:space="preserve"> πρέπει να καθοριστεί ότι, όταν η γνώμη σχετικά με την υποβολή εκθέσεων βιωσιμότητας διατυπώνεται από τον νόμιμο ελεγκτή ή το ελεγκτικό γραφείο που διενεργεί τον υποχρεωτικό έλεγχο των οικονομικών καταστάσεων, οι βασικοί ελεγκτικοί εταίροι συμμετέχουν ενερ</w:t>
      </w:r>
      <w:r>
        <w:rPr>
          <w:noProof/>
        </w:rPr>
        <w:t>γά στη διενέργεια της διασφάλισης της υποβολής εκθέσεων βιωσιμότητας. Κατά τη διενέργεια της διασφάλισης της υποβολής εκθέσεων βιωσιμότητας, θα πρέπει να απαιτείται από τους νόμιμους ελεγκτές να αφιερώνουν επαρκή χρόνο στην εργασία και να κατανέμουν επαρκε</w:t>
      </w:r>
      <w:r>
        <w:rPr>
          <w:noProof/>
        </w:rPr>
        <w:t xml:space="preserve">ίς πόρους που θα τους διευκολύνουν να εκτελέσουν δεόντως τα καθήκοντά τους. Τέλος, το μητρώο με τους λογαριασμούς των πελατών θα πρέπει να προσδιορίζει τις αμοιβές που χρεώθηκαν για τη διασφάλιση της υποβολής εκθέσεων βιωσιμότητας και ο φάκελος ελέγχου θα </w:t>
      </w:r>
      <w:r>
        <w:rPr>
          <w:noProof/>
        </w:rPr>
        <w:t>πρέπει να περιλαμβάνει πληροφορίες σχετικά με τη διασφάλιση της υποβολής εκθέσεων βιωσιμότητας.</w:t>
      </w:r>
    </w:p>
    <w:p w14:paraId="630621C6" w14:textId="77777777" w:rsidR="00680C0B" w:rsidRDefault="00A8232D">
      <w:pPr>
        <w:pStyle w:val="ManualConsidrant"/>
        <w:rPr>
          <w:noProof/>
        </w:rPr>
      </w:pPr>
      <w:r>
        <w:rPr>
          <w:noProof/>
        </w:rPr>
        <w:t>(58)</w:t>
      </w:r>
      <w:r>
        <w:rPr>
          <w:noProof/>
        </w:rPr>
        <w:tab/>
        <w:t>Το άρθρο 25 της οδηγίας 2006/43/ΕΚ επιβάλλει στα κράτη μέλη την υποχρέωση να εξασφαλίζουν ότι υπάρχουν κατάλληλοι κανόνες που εγγυώνται ότι η αμοιβή των νό</w:t>
      </w:r>
      <w:r>
        <w:rPr>
          <w:noProof/>
        </w:rPr>
        <w:t>μιμων ελεγκτών δεν επηρεάζεται ούτε προσδιορίζεται από την παροχή συμπληρωματικών υπηρεσιών στην ελεγχόμενη οντότητα ή ότι δεν μπορεί να βασίζεται σε κανενός είδους αίρεση. Τα άρθρα 21 έως 24 της εν λόγω οδηγίας επιβάλλουν επίσης στα κράτη μέλη την υποχρέω</w:t>
      </w:r>
      <w:r>
        <w:rPr>
          <w:noProof/>
        </w:rPr>
        <w:t>ση να εξασφαλίζουν ότι οι νόμιμοι ελεγκτές που διενεργούν υποχρεωτικούς ελέγχους συμμορφώνονται με τους κανόνες για την επαγγελματική δεοντολογία, την ανεξαρτησία, την αντικειμενικότητα, την εμπιστευτικότητα και το επαγγελματικό απόρρητο. Για λόγους συνοχή</w:t>
      </w:r>
      <w:r>
        <w:rPr>
          <w:noProof/>
        </w:rPr>
        <w:t>ς, είναι σκόπιμο οι εν λόγω κανόνες να επεκταθούν στις εργασίες που εκτελούν οι νόμιμοι ελεγκτές για τη διασφάλιση της υποβολής εκθέσεων βιωσιμότητας.</w:t>
      </w:r>
    </w:p>
    <w:p w14:paraId="7D4A9247" w14:textId="77777777" w:rsidR="00680C0B" w:rsidRDefault="00A8232D">
      <w:pPr>
        <w:pStyle w:val="ManualConsidrant"/>
        <w:rPr>
          <w:noProof/>
        </w:rPr>
      </w:pPr>
      <w:r>
        <w:rPr>
          <w:noProof/>
        </w:rPr>
        <w:t>(59)</w:t>
      </w:r>
      <w:r>
        <w:rPr>
          <w:noProof/>
        </w:rPr>
        <w:tab/>
        <w:t>Προκειμένου να προβλέπονται ομοιόμορφες πρακτικές διασφάλισης και υψηλής ποιότητας διασφάλιση της υπ</w:t>
      </w:r>
      <w:r>
        <w:rPr>
          <w:noProof/>
        </w:rPr>
        <w:t>οβολής εκθέσεων βιωσιμότητας σε ολόκληρη την Ένωση, η Επιτροπή θα πρέπει να εξουσιοδοτηθεί να θεσπίζει πρότυπα διασφάλισης της βιωσιμότητας μέσω κατ’ εξουσιοδότηση πράξεων. Τα κράτη μέλη θα πρέπει να εφαρμόζουν εθνικά πρότυπα, διαδικασίες ή απαιτήσεις διασ</w:t>
      </w:r>
      <w:r>
        <w:rPr>
          <w:noProof/>
        </w:rPr>
        <w:t>φάλισης, εφόσον η Επιτροπή δεν έχει υιοθετήσει πρότυπο διασφάλισης που να καλύπτει το ίδιο αντικείμενο. Τα εν λόγω πρότυπα διασφάλισης θα πρέπει να καθορίζουν τις διαδικασίες που πρέπει να εφαρμόζει ο ελεγκτής για να εξάγει τα συμπεράσματά του σχετικά με τ</w:t>
      </w:r>
      <w:r>
        <w:rPr>
          <w:noProof/>
        </w:rPr>
        <w:t>η διασφάλιση της υποβολής εκθέσεων βιωσιμότητας.</w:t>
      </w:r>
    </w:p>
    <w:p w14:paraId="30DA9678" w14:textId="77777777" w:rsidR="00680C0B" w:rsidRDefault="00A8232D">
      <w:pPr>
        <w:pStyle w:val="ManualConsidrant"/>
        <w:rPr>
          <w:noProof/>
        </w:rPr>
      </w:pPr>
      <w:r>
        <w:rPr>
          <w:noProof/>
        </w:rPr>
        <w:t>(60)</w:t>
      </w:r>
      <w:r>
        <w:rPr>
          <w:noProof/>
        </w:rPr>
        <w:tab/>
        <w:t>Το άρθρο 27 της οδηγίας 2006/43/ΕΚ θεσπίζει κανόνες σχετικά με τον υποχρεωτικό έλεγχο ενός ομίλου επιχειρήσεων. Οι εν λόγω κανόνες θα πρέπει να επεκταθούν στη διασφάλιση της ενοποιημένης υποβολής εκθέσε</w:t>
      </w:r>
      <w:r>
        <w:rPr>
          <w:noProof/>
        </w:rPr>
        <w:t>ων βιωσιμότητας, όταν ο νόμιμος ελεγκτής διενεργεί τον υποχρεωτικό έλεγχο.</w:t>
      </w:r>
    </w:p>
    <w:p w14:paraId="4CCB49FE" w14:textId="77777777" w:rsidR="00680C0B" w:rsidRDefault="00A8232D">
      <w:pPr>
        <w:pStyle w:val="ManualConsidrant"/>
        <w:rPr>
          <w:noProof/>
        </w:rPr>
      </w:pPr>
      <w:r>
        <w:rPr>
          <w:noProof/>
        </w:rPr>
        <w:t>(61)</w:t>
      </w:r>
      <w:r>
        <w:rPr>
          <w:noProof/>
        </w:rPr>
        <w:tab/>
        <w:t>Το άρθρο 28 της οδηγίας 2006/43/ΕΚ επιβάλλει στους νόμιμους ελεγκτές ή τα ελεγκτικά γραφεία την υποχρέωση να παρουσιάζουν τα αποτελέσματα του υποχρεωτικού ελέγχου που διενεργού</w:t>
      </w:r>
      <w:r>
        <w:rPr>
          <w:noProof/>
        </w:rPr>
        <w:t>ν σε έκθεση ελέγχου. Η εν λόγω απαίτηση θα πρέπει να επεκταθεί στη διασφάλιση της υποβολής εκθέσεων βιωσιμότητας, ώστε να εξασφαλίζεται ότι τα αποτελέσματα της διασφάλισης της υποβολής εκθέσεων βιωσιμότητας παρουσιάζονται στην ίδια έκθεση ελέγχου.</w:t>
      </w:r>
    </w:p>
    <w:p w14:paraId="2DE26B4B" w14:textId="77777777" w:rsidR="00680C0B" w:rsidRDefault="00A8232D">
      <w:pPr>
        <w:pStyle w:val="ManualConsidrant"/>
        <w:rPr>
          <w:noProof/>
        </w:rPr>
      </w:pPr>
      <w:r>
        <w:rPr>
          <w:noProof/>
        </w:rPr>
        <w:t>(62)</w:t>
      </w:r>
      <w:r>
        <w:rPr>
          <w:noProof/>
        </w:rPr>
        <w:tab/>
        <w:t xml:space="preserve">Το </w:t>
      </w:r>
      <w:r>
        <w:rPr>
          <w:noProof/>
        </w:rPr>
        <w:t>άρθρο 29 της οδηγίας 2006/43/ΕΚ επιβάλλει στα κράτη μέλη την υποχρέωση να θεσπίσουν σύστημα ελέγχου διασφάλισης ποιότητας των νόμιμων ελεγκτών και των ελεγκτικών γραφείων. Για να εξασφαλιστεί ότι πραγματοποιούνται επίσης έλεγχοι διασφάλισης ποιότητας για τ</w:t>
      </w:r>
      <w:r>
        <w:rPr>
          <w:noProof/>
        </w:rPr>
        <w:t>η διασφάλιση της υποβολής εκθέσεων βιωσιμότητας και ότι τα πρόσωπα που είναι επιφορτισμένα με τους ελέγχους διασφάλισης ποιότητας έχουν κατάλληλη επαγγελματική εκπαίδευση και πείρα στον τομέα της διασφάλισης της υποβολής εκθέσεων βιωσιμότητας και της υποβο</w:t>
      </w:r>
      <w:r>
        <w:rPr>
          <w:noProof/>
        </w:rPr>
        <w:t>λής εκθέσεων βιωσιμότητας, η απαίτηση για τη θέσπιση συστήματος ελέγχου διασφάλισης ποιότητας θα πρέπει να επεκταθεί στη διασφάλιση της υποβολής εκθέσεων βιωσιμότητας.</w:t>
      </w:r>
    </w:p>
    <w:p w14:paraId="623AE3CD" w14:textId="77777777" w:rsidR="00680C0B" w:rsidRDefault="00A8232D">
      <w:pPr>
        <w:pStyle w:val="ManualConsidrant"/>
        <w:rPr>
          <w:noProof/>
        </w:rPr>
      </w:pPr>
      <w:r>
        <w:rPr>
          <w:noProof/>
        </w:rPr>
        <w:t>(63)</w:t>
      </w:r>
      <w:r>
        <w:rPr>
          <w:noProof/>
        </w:rPr>
        <w:tab/>
      </w:r>
      <w:r>
        <w:rPr>
          <w:noProof/>
        </w:rPr>
        <w:t>Το κεφάλαιο VII της οδηγίας 2006/43/ΕΚ επιβάλλει στα κράτη μέλη την υποχρέωση να διαθέτουν σύστημα ερευνών και κυρώσεων για τους νόμιμους ελεγκτές και τα ελεγκτικά γραφεία που διενεργούν υποχρεωτικούς ελέγχους. Το κεφάλαιο VIII της εν λόγω οδηγίας επιβάλλε</w:t>
      </w:r>
      <w:r>
        <w:rPr>
          <w:noProof/>
        </w:rPr>
        <w:t xml:space="preserve">ι στα κράτη μέλη την υποχρέωση </w:t>
      </w:r>
      <w:r>
        <w:rPr>
          <w:noProof/>
          <w:color w:val="000000" w:themeColor="text1"/>
        </w:rPr>
        <w:t xml:space="preserve">να </w:t>
      </w:r>
      <w:r>
        <w:rPr>
          <w:noProof/>
          <w:color w:val="000000" w:themeColor="text1"/>
          <w:shd w:val="clear" w:color="auto" w:fill="FFFFFF"/>
        </w:rPr>
        <w:t>οργανώνουν αποτελεσματικό σύστημα</w:t>
      </w:r>
      <w:r>
        <w:rPr>
          <w:noProof/>
          <w:color w:val="000000" w:themeColor="text1"/>
        </w:rPr>
        <w:t xml:space="preserve"> δημόσιας εποπτείας και να εξασφαλίζουν </w:t>
      </w:r>
      <w:r>
        <w:rPr>
          <w:noProof/>
          <w:color w:val="000000" w:themeColor="text1"/>
          <w:shd w:val="clear" w:color="auto" w:fill="FFFFFF"/>
        </w:rPr>
        <w:t>ότι οι ρυθμιστικές συμφωνίες για τα συστήματα δημόσιας εποπτείας επιτρέπουν αποτελεσματική συνεργασία σε ενωσιακό επίπεδο όσον αφορά τις εποπτικές δρ</w:t>
      </w:r>
      <w:r>
        <w:rPr>
          <w:noProof/>
          <w:color w:val="000000" w:themeColor="text1"/>
          <w:shd w:val="clear" w:color="auto" w:fill="FFFFFF"/>
        </w:rPr>
        <w:t>αστηριότητες των κρατών μελών</w:t>
      </w:r>
      <w:r>
        <w:rPr>
          <w:noProof/>
          <w:color w:val="000000" w:themeColor="text1"/>
        </w:rPr>
        <w:t>. Οι εν λόγω απαιτήσεις θα πρέπει να επεκταθούν στους νόμιμους ελεγκτές και τα ελεγκτικά γραφεία που εκτελούν δεσμεύσεις παροχής διασφάλισης της υποβολής εκθέσεων βιωσιμότητας, ώστε να εξασφαλίζεται η συνεκτικότητα των πλαισίων</w:t>
      </w:r>
      <w:r>
        <w:rPr>
          <w:noProof/>
          <w:color w:val="000000" w:themeColor="text1"/>
        </w:rPr>
        <w:t xml:space="preserve"> ερευνών, κυρώσεων</w:t>
      </w:r>
      <w:r>
        <w:rPr>
          <w:noProof/>
        </w:rPr>
        <w:t xml:space="preserve"> και εποπτείας που θεσπίζονται για τις εργασίες του ελεγκτή στο πλαίσιο του υποχρεωτικού ελέγχου και της διασφάλισης της υποβολής εκθέσεων βιωσιμότητας.</w:t>
      </w:r>
    </w:p>
    <w:p w14:paraId="08421B39" w14:textId="77777777" w:rsidR="00680C0B" w:rsidRDefault="00A8232D">
      <w:pPr>
        <w:pStyle w:val="ManualConsidrant"/>
        <w:rPr>
          <w:noProof/>
        </w:rPr>
      </w:pPr>
      <w:r>
        <w:rPr>
          <w:noProof/>
        </w:rPr>
        <w:t>(64)</w:t>
      </w:r>
      <w:r>
        <w:rPr>
          <w:noProof/>
        </w:rPr>
        <w:tab/>
        <w:t>Τα άρθρα 37 και 38 της οδηγίας 2006/43/ΕΚ περιλαμβάνουν κανόνες σχετικά με το δι</w:t>
      </w:r>
      <w:r>
        <w:rPr>
          <w:noProof/>
        </w:rPr>
        <w:t>ορισμό και την παύση των νόμιμων ελεγκτών και των ελεγκτικών γραφείων που διενεργούν υποχρεωτικούς ελέγχους. Οι εν λόγω κανόνες θα πρέπει να επεκταθούν στη διασφάλιση της υποβολής εκθέσεων βιωσιμότητας, ώστε να εξασφαλίζεται η συνέπεια των κανόνων που επιβ</w:t>
      </w:r>
      <w:r>
        <w:rPr>
          <w:noProof/>
        </w:rPr>
        <w:t xml:space="preserve">άλλονται στους ελεγκτές όσον αφορά τις εργασίες τους σχετικά με τον υποχρεωτικό έλεγχο και τη διασφάλιση της υποβολής εκθέσεων βιωσιμότητας. </w:t>
      </w:r>
    </w:p>
    <w:p w14:paraId="6B1B14D3" w14:textId="77777777" w:rsidR="00680C0B" w:rsidRDefault="00A8232D">
      <w:pPr>
        <w:pStyle w:val="ManualConsidrant"/>
        <w:rPr>
          <w:noProof/>
        </w:rPr>
      </w:pPr>
      <w:r>
        <w:rPr>
          <w:noProof/>
        </w:rPr>
        <w:t>(65)</w:t>
      </w:r>
      <w:r>
        <w:rPr>
          <w:noProof/>
        </w:rPr>
        <w:tab/>
        <w:t>Το άρθρο 39 της οδηγίας 2006/43/ΕΚ επιβάλλει στα κράτη μέλη την υποχρέωση να διασφαλίζουν ότι κάθε οντότητα δ</w:t>
      </w:r>
      <w:r>
        <w:rPr>
          <w:noProof/>
        </w:rPr>
        <w:t>ημόσιου συμφέροντος διαθέτει επιτροπή ελέγχου και προσδιορίζει τα καθήκοντά της όσον αφορά τον υποχρεωτικό έλεγχο. Στην εν λόγω επιτροπή ελέγχου θα πρέπει να ανατίθενται ορισμένα καθήκοντα σε σχέση με τη διασφάλιση της υποβολής εκθέσεων βιωσιμότητας. Τα κα</w:t>
      </w:r>
      <w:r>
        <w:rPr>
          <w:noProof/>
        </w:rPr>
        <w:t>θήκοντα αυτά θα πρέπει να περιλαμβάνουν την υποχρέωση της επιτροπής ελέγχου να ενημερώνει το διοικητικό ή το εποπτικό όργανο της ελεγχόμενης οντότητας για το αποτέλεσμα της διασφάλισης της υποβολής εκθέσεων βιωσιμότητας και να επεξηγεί πώς συνέβαλε η επιτρ</w:t>
      </w:r>
      <w:r>
        <w:rPr>
          <w:noProof/>
        </w:rPr>
        <w:t>οπή ελέγχου στην ακεραιότητα της υποβολής εκθέσεων βιωσιμότητας και ποιος ήταν ο ρόλος της επιτροπής ελέγχου στην εν λόγω διαδικασία.</w:t>
      </w:r>
    </w:p>
    <w:p w14:paraId="08FAC88F" w14:textId="77777777" w:rsidR="00680C0B" w:rsidRDefault="00A8232D">
      <w:pPr>
        <w:pStyle w:val="ManualConsidrant"/>
        <w:rPr>
          <w:noProof/>
        </w:rPr>
      </w:pPr>
      <w:r>
        <w:rPr>
          <w:noProof/>
        </w:rPr>
        <w:t>(66)</w:t>
      </w:r>
      <w:r>
        <w:rPr>
          <w:noProof/>
        </w:rPr>
        <w:tab/>
        <w:t>Το άρθρο 45 της οδηγίας 2006/43/ΕΚ περιλαμβάνει απαιτήσεις για την εγγραφή στα μητρώα και την εποπτεία ελεγκτών και ε</w:t>
      </w:r>
      <w:r>
        <w:rPr>
          <w:noProof/>
        </w:rPr>
        <w:t>λεγκτικών γραφείων τρίτης χώρας. Προκειμένου να εξασφαλιστεί η ύπαρξη συνεκτικού πλαισίου για τις εργασίες των ελεγκτών στον τομέα τόσο του υποχρεωτικού ελέγχου όσο και της διασφάλισης της υποβολής εκθέσεων βιωσιμότητας, είναι αναγκαίο οι ανωτέρω απαιτήσει</w:t>
      </w:r>
      <w:r>
        <w:rPr>
          <w:noProof/>
        </w:rPr>
        <w:t>ς να επεκταθούν στη διασφάλιση της υποβολής εκθέσεων βιωσιμότητας.</w:t>
      </w:r>
    </w:p>
    <w:p w14:paraId="17ECCAA0" w14:textId="77777777" w:rsidR="00680C0B" w:rsidRDefault="00A8232D">
      <w:pPr>
        <w:pStyle w:val="ManualConsidrant"/>
        <w:rPr>
          <w:noProof/>
        </w:rPr>
      </w:pPr>
      <w:r>
        <w:rPr>
          <w:noProof/>
        </w:rPr>
        <w:t>(67)</w:t>
      </w:r>
      <w:r>
        <w:rPr>
          <w:noProof/>
        </w:rPr>
        <w:tab/>
        <w:t>Ο κανονισμός (ΕΕ) αριθ. 537/2014 του Ευρωπαϊκού Κοινοβουλίου και του Συμβουλίου</w:t>
      </w:r>
      <w:r>
        <w:rPr>
          <w:rStyle w:val="FootnoteReference"/>
          <w:noProof/>
        </w:rPr>
        <w:footnoteReference w:id="69"/>
      </w:r>
      <w:r>
        <w:rPr>
          <w:noProof/>
        </w:rPr>
        <w:t xml:space="preserve"> εφαρμόζεται στους νόμιμους ελεγκτές και τα ελεγκτικά γραφεία που διενεργούν υποχρεωτικούς ελέγχους οντ</w:t>
      </w:r>
      <w:r>
        <w:rPr>
          <w:noProof/>
        </w:rPr>
        <w:t>οτήτων δημόσιου συμφέροντος. Για τη διασφάλιση της ανεξαρτησίας του νόμιμου ελεγκτή, το άρθρο 5 του εν λόγω κανονισμού απαγορεύει την παροχή ορισμένων μη ελεγκτικών υπηρεσιών για συγκεκριμένες χρονικές περιόδους. Η ανεξαρτησία αυτή θα πρέπει να διασφαλίζετ</w:t>
      </w:r>
      <w:r>
        <w:rPr>
          <w:noProof/>
        </w:rPr>
        <w:t>αι επίσης για τις εργασίες των νόμιμων ελεγκτών και των ελεγκτικών γραφείων που διενεργούν υποχρεωτικούς ελέγχους οντοτήτων δημόσιου συμφέροντος στον τομέα της διασφάλισης της υποβολής εκθέσεων βιωσιμότητας. Κατά συνέπεια, στον κατάλογο των απαγορευμένων μ</w:t>
      </w:r>
      <w:r>
        <w:rPr>
          <w:noProof/>
        </w:rPr>
        <w:t>η ελεγκτικών υπηρεσιών θα πρέπει να συμπεριλαμβάνονται και οι προπαρασκευαστικές εργασίες της υποβολής εκθέσεων βιωσιμότητας.</w:t>
      </w:r>
    </w:p>
    <w:p w14:paraId="72262A33" w14:textId="77777777" w:rsidR="00680C0B" w:rsidRDefault="00A8232D">
      <w:pPr>
        <w:pStyle w:val="ManualConsidrant"/>
        <w:rPr>
          <w:noProof/>
        </w:rPr>
      </w:pPr>
      <w:r>
        <w:rPr>
          <w:noProof/>
        </w:rPr>
        <w:t>(68)</w:t>
      </w:r>
      <w:r>
        <w:rPr>
          <w:noProof/>
        </w:rPr>
        <w:tab/>
        <w:t>Το άρθρο 14 του κανονισμού (ΕΕ) αριθ. 537/2014 επιβάλλει στους νόμιμους ελεγκτές και τα ελεγκτικά γραφεία την υποχρέωση να εν</w:t>
      </w:r>
      <w:r>
        <w:rPr>
          <w:noProof/>
        </w:rPr>
        <w:t>ημερώνουν, σε ετήσια βάση, τις αρμόδιες αρχές τους για τα έσοδα που έχουν εισπράξει από οντότητες δημόσιου συμφέροντος για τη διενέργεια υποχρεωτικών ελέγχων και την παροχή μη ελεγκτικών υπηρεσιών. Οι ελεγκτές και τα ελεγκτικά γραφεία θα πρέπει να υποχρεού</w:t>
      </w:r>
      <w:r>
        <w:rPr>
          <w:noProof/>
        </w:rPr>
        <w:t>νται να διευκρινίζουν ποια από τα έσοδα που έχουν εισπράξει για την παροχή μη ελεγκτικών υπηρεσιών προέρχονται από τη διασφάλιση της υποβολής εκθέσεων βιωσιμότητας.</w:t>
      </w:r>
    </w:p>
    <w:p w14:paraId="3D2DCAB5" w14:textId="77777777" w:rsidR="00680C0B" w:rsidRDefault="00A8232D">
      <w:pPr>
        <w:pStyle w:val="ManualConsidrant"/>
        <w:rPr>
          <w:noProof/>
          <w:szCs w:val="24"/>
        </w:rPr>
      </w:pPr>
      <w:r>
        <w:rPr>
          <w:noProof/>
        </w:rPr>
        <w:t>(69)</w:t>
      </w:r>
      <w:r>
        <w:rPr>
          <w:noProof/>
        </w:rPr>
        <w:tab/>
        <w:t>Σύμφωνα με το άρθρο 51 της οδηγίας 2013/34/ΕΕ, τα κράτη μέλη εξασφαλίζουν την εφαρμογή</w:t>
      </w:r>
      <w:r>
        <w:rPr>
          <w:noProof/>
        </w:rPr>
        <w:t xml:space="preserve"> της υποβολής εταιρικών στοιχείων από επιχειρήσεις των οποίων οι κινητές αξίες δεν είναι εισηγμένες σε ρυθμιζόμενες αγορές. Ωστόσο, τα είδη των κυρώσεων δεν προσδιορίζονται, πράγμα που σημαίνει ότι τα συστήματα κυρώσεων μπορούν να παρουσιάζουν σημαντικές δ</w:t>
      </w:r>
      <w:r>
        <w:rPr>
          <w:noProof/>
        </w:rPr>
        <w:t>ιαφοροποιήσεις μεταξύ των κρατών μελών, με συνέπεια να υπονομεύεται η ενιαία αγορά. Για τη βελτίωση της υποβολής εκθέσεων βιωσιμότητας στην εσωτερική αγορά και τη διευκόλυνση της μετάβασης προς ένα πλήρως βιώσιμο και χωρίς αποκλεισμούς οικονομικό και χρημα</w:t>
      </w:r>
      <w:r>
        <w:rPr>
          <w:noProof/>
        </w:rPr>
        <w:t>τοπιστωτικό σύστημα, στο πλαίσιο του οποίου τα οφέλη της ανάπτυξης κατανέμονται σε μεγάλο βαθμό σύμφωνα με την Ευρωπαϊκή Πράσινη Συμφωνία, τα κράτη μέλη θα πρέπει να προβλέπουν ορισμένες κυρώσεις και διοικητικά μέτρα σε περιπτώσεις παραβίασης των απαιτήσεω</w:t>
      </w:r>
      <w:r>
        <w:rPr>
          <w:noProof/>
        </w:rPr>
        <w:t>ν υποβολής εκθέσεων βιωσιμότητας. Κατά συνέπεια, το σύστημα κυρώσεων της οδηγίας 2013/34/ΕΕ θα πρέπει να ενισχυθεί αναλόγως, ώστε τα κράτη μέλη να προβλέπουν κατάλληλες κυρώσεις και διοικητικά μέτρα.</w:t>
      </w:r>
    </w:p>
    <w:p w14:paraId="20C6560D" w14:textId="77777777" w:rsidR="00680C0B" w:rsidRDefault="00A8232D">
      <w:pPr>
        <w:pStyle w:val="ManualConsidrant"/>
        <w:rPr>
          <w:noProof/>
        </w:rPr>
      </w:pPr>
      <w:r>
        <w:rPr>
          <w:noProof/>
        </w:rPr>
        <w:t>(70)</w:t>
      </w:r>
      <w:r>
        <w:rPr>
          <w:noProof/>
        </w:rPr>
        <w:tab/>
        <w:t>Το άρθρο 24 της οδηγίας 2004/109/ΕΚ αναθέτει στις ε</w:t>
      </w:r>
      <w:r>
        <w:rPr>
          <w:noProof/>
        </w:rPr>
        <w:t>θνικές εποπτικές αρχές το καθήκον να επιβάλλουν τη συμμόρφωση των επιχειρήσεων των οποίων οι κινητές αξίες είναι εισηγμένες σε ρυθμιζόμενες αγορές με τις απαιτήσεις υποβολής εταιρικών στοιχείων. Το άρθρο 4 της εν λόγω οδηγίας καθορίζει το περιεχόμενο των ε</w:t>
      </w:r>
      <w:r>
        <w:rPr>
          <w:noProof/>
        </w:rPr>
        <w:t xml:space="preserve">τήσιων οικονομικών εκθέσεων, αλλά δεν περιλαμβάνει ρητή αναφορά στα άρθρα 19α και 29α της οδηγίας 2013/34/ΕΕ, σύμφωνα με τα οποία απαιτείται η κατάρτιση (ενοποιημένης) μη χρηματοοικονομικής κατάστασης. Αυτό σημαίνει ότι οι εθνικές αρμόδιες αρχές ορισμένων </w:t>
      </w:r>
      <w:r>
        <w:rPr>
          <w:noProof/>
        </w:rPr>
        <w:t>κρατών μελών δεν έχουν νομική εντολή να εποπτεύουν αυτές τις μη χρηματοοικονομικές καταστάσεις, ιδίως όταν οι εν λόγω δηλώσεις δημοσιεύονται σε χωριστή έκθεση, εκτός της ετήσιας οικονομικής έκθεσης, την οποία μπορούν να επιτρέπουν επί του παρόντος τα κράτη</w:t>
      </w:r>
      <w:r>
        <w:rPr>
          <w:noProof/>
        </w:rPr>
        <w:t xml:space="preserve"> μέλη. Επομένως, είναι αναγκαίο να προστεθεί στο άρθρο 4 παράγραφος 5 της οδηγίας 2004/109/ΕΚ αναφορά στην υποβολή εκθέσεων βιωσιμότητας. Είναι επίσης αναγκαίο να απαιτείται από τα πρόσωπα που είναι υπεύθυνα για τον εκδότη να επιβεβαιώνουν στην ετήσια οικο</w:t>
      </w:r>
      <w:r>
        <w:rPr>
          <w:noProof/>
        </w:rPr>
        <w:t>νομική έκθεση ότι, εξ όσων γνωρίζουν, η έκθεση διαχείρισης συντάσσεται σύμφωνα με τα πρότυπα υποβολής εκθέσεων βιωσιμότητας. Επιπλέον, δεδομένου του καινοτόμου χαρακτήρα των εν λόγω απαιτήσεων υποβολής εκθέσεων, η Ευρωπαϊκή Αρχή Κινητών Αξιών και Αγορών θα</w:t>
      </w:r>
      <w:r>
        <w:rPr>
          <w:noProof/>
        </w:rPr>
        <w:t xml:space="preserve"> πρέπει να εκδίδει κατευθυντήριες γραμμές προς τις εθνικές αρμόδιες αρχές για την προώθηση της συγκλίνουσας εποπτείας της υποβολής εκθέσεων βιωσιμότητας από εκδότες που υπόκεινται στις διατάξεις της οδηγίας 2004/109/ΕΚ.</w:t>
      </w:r>
    </w:p>
    <w:p w14:paraId="73DFF175" w14:textId="77777777" w:rsidR="00680C0B" w:rsidRDefault="00A8232D">
      <w:pPr>
        <w:pStyle w:val="ManualConsidrant"/>
        <w:rPr>
          <w:noProof/>
        </w:rPr>
      </w:pPr>
      <w:r>
        <w:rPr>
          <w:noProof/>
        </w:rPr>
        <w:t>(71)</w:t>
      </w:r>
      <w:r>
        <w:rPr>
          <w:noProof/>
        </w:rPr>
        <w:tab/>
        <w:t>Ως εκ τούτου, τα κράτη μέλη καλ</w:t>
      </w:r>
      <w:r>
        <w:rPr>
          <w:noProof/>
        </w:rPr>
        <w:t>ούνται να αξιολογήσουν τον αντίκτυπο που θα έχει στις ΜΜΕ η πράξη μεταφοράς της οδηγίας στο εθνικό δίκαιο προκειμένου να διασφαλιστεί ότι οι ΜΜΕ δεν πλήττονται δυσανάλογα, δίνοντας ιδιαίτερη προσοχή στις πολύ μικρές επιχειρήσεις και στη διοικητική επιβάρυν</w:t>
      </w:r>
      <w:r>
        <w:rPr>
          <w:noProof/>
        </w:rPr>
        <w:t>ση, και να δημοσιεύσουν τα αποτελέσματα των εν λόγω αξιολογήσεων. Τα κράτη μέλη θα πρέπει να εξετάσουν το ενδεχόμενο θέσπισης μέτρων για τη στήριξη των ΜΜΕ κατά την εφαρμογή των προαιρετικών απλουστευμένων προτύπων υποβολής εκθέσεων.</w:t>
      </w:r>
    </w:p>
    <w:p w14:paraId="713F134E" w14:textId="77777777" w:rsidR="00680C0B" w:rsidRDefault="00A8232D">
      <w:pPr>
        <w:pStyle w:val="ManualConsidrant"/>
        <w:rPr>
          <w:noProof/>
        </w:rPr>
      </w:pPr>
      <w:r>
        <w:rPr>
          <w:noProof/>
        </w:rPr>
        <w:t>(72)</w:t>
      </w:r>
      <w:r>
        <w:rPr>
          <w:noProof/>
        </w:rPr>
        <w:tab/>
        <w:t xml:space="preserve">Κατά συνέπεια, η </w:t>
      </w:r>
      <w:r>
        <w:rPr>
          <w:noProof/>
        </w:rPr>
        <w:t xml:space="preserve">οδηγία 2013/34/ΕΕ, η οδηγία 2004/109/ΕΚ, η οδηγία 2006/43/ΕΚ και ο κανονισμός (ΕΕ) αριθ. 537/2014 θα πρέπει να τροποποιηθούν αναλόγως, </w:t>
      </w:r>
    </w:p>
    <w:p w14:paraId="1BD496A4" w14:textId="77777777" w:rsidR="00680C0B" w:rsidRDefault="00A8232D">
      <w:pPr>
        <w:pStyle w:val="Formuledadoption"/>
        <w:rPr>
          <w:noProof/>
        </w:rPr>
      </w:pPr>
      <w:r>
        <w:rPr>
          <w:noProof/>
        </w:rPr>
        <w:t>ΕΞΕΔΩΣΑΝ ΤΗΝ ΠΑΡΟΥΣΑ ΟΔΗΓΙΑ:</w:t>
      </w:r>
    </w:p>
    <w:p w14:paraId="45A3DC6E" w14:textId="77777777" w:rsidR="00680C0B" w:rsidRDefault="00A8232D">
      <w:pPr>
        <w:pStyle w:val="Titrearticle"/>
        <w:rPr>
          <w:b/>
          <w:bCs/>
          <w:noProof/>
          <w:szCs w:val="24"/>
        </w:rPr>
      </w:pPr>
      <w:r>
        <w:rPr>
          <w:noProof/>
        </w:rPr>
        <w:t xml:space="preserve">Άρθρο 1 </w:t>
      </w:r>
      <w:r>
        <w:rPr>
          <w:noProof/>
        </w:rPr>
        <w:br/>
      </w:r>
      <w:r>
        <w:rPr>
          <w:b/>
          <w:bCs/>
          <w:noProof/>
          <w:szCs w:val="24"/>
        </w:rPr>
        <w:t>Τροποποιήσεις της οδηγίας 2013/34/ΕΕ</w:t>
      </w:r>
    </w:p>
    <w:p w14:paraId="3A4C5369" w14:textId="77777777" w:rsidR="00680C0B" w:rsidRDefault="00A8232D">
      <w:pPr>
        <w:spacing w:line="276" w:lineRule="auto"/>
        <w:rPr>
          <w:noProof/>
          <w:szCs w:val="24"/>
        </w:rPr>
      </w:pPr>
      <w:r>
        <w:rPr>
          <w:noProof/>
        </w:rPr>
        <w:t xml:space="preserve">Η οδηγία 2013/34/ΕΕ τροποποιείται ως εξής: </w:t>
      </w:r>
    </w:p>
    <w:p w14:paraId="1D28A8C1" w14:textId="77777777" w:rsidR="00680C0B" w:rsidRDefault="00A8232D">
      <w:pPr>
        <w:pStyle w:val="Point0"/>
        <w:rPr>
          <w:noProof/>
        </w:rPr>
      </w:pPr>
      <w:r>
        <w:rPr>
          <w:noProof/>
        </w:rPr>
        <w:t>1</w:t>
      </w:r>
      <w:r>
        <w:rPr>
          <w:noProof/>
        </w:rPr>
        <w:t>)</w:t>
      </w:r>
      <w:r>
        <w:rPr>
          <w:noProof/>
        </w:rPr>
        <w:tab/>
        <w:t>στο άρθρο 1, προστίθεται η ακόλουθη παράγραφος 3:</w:t>
      </w:r>
    </w:p>
    <w:p w14:paraId="3BDEC423" w14:textId="77777777" w:rsidR="00680C0B" w:rsidRDefault="00A8232D">
      <w:pPr>
        <w:pStyle w:val="Text1"/>
        <w:rPr>
          <w:noProof/>
        </w:rPr>
      </w:pPr>
      <w:r>
        <w:rPr>
          <w:noProof/>
        </w:rPr>
        <w:t>«3.</w:t>
      </w:r>
      <w:r>
        <w:rPr>
          <w:noProof/>
        </w:rPr>
        <w:tab/>
        <w:t>Τα μέτρα συντονισμού που προβλέπουν τα άρθρα 19α, 19δ, 29α, 30 και 33, το άρθρο 34 παράγραφος 1 δεύτερο εδάφιο στοιχείο αα), το άρθρο 34 παράγραφοι 2 και 3 και το άρθρο 51 της παρούσας οδηγίας αφορούν</w:t>
      </w:r>
      <w:r>
        <w:rPr>
          <w:noProof/>
        </w:rPr>
        <w:t xml:space="preserve"> επίσης τις νομοθετικές, κανονιστικές και διοικητικές διατάξεις των κρατών μελών σχετικά με τις ακόλουθες επιχειρήσεις, ανεξάρτητα από τη νομική μορφή τους:</w:t>
      </w:r>
    </w:p>
    <w:p w14:paraId="6C174C40" w14:textId="77777777" w:rsidR="00680C0B" w:rsidRDefault="00A8232D">
      <w:pPr>
        <w:pStyle w:val="Text2"/>
        <w:rPr>
          <w:noProof/>
        </w:rPr>
      </w:pPr>
      <w:r>
        <w:rPr>
          <w:noProof/>
        </w:rPr>
        <w:t>α)</w:t>
      </w:r>
      <w:r>
        <w:rPr>
          <w:noProof/>
        </w:rPr>
        <w:tab/>
        <w:t>ασφαλιστικές επιχειρήσεις κατά την έννοια του άρθρου 2 παράγραφος 1 της οδηγίας 91/674/ΕΟΚ του Σ</w:t>
      </w:r>
      <w:r>
        <w:rPr>
          <w:noProof/>
        </w:rPr>
        <w:t>υμβουλίου*</w:t>
      </w:r>
      <w:r>
        <w:rPr>
          <w:noProof/>
          <w:vertAlign w:val="superscript"/>
        </w:rPr>
        <w:t>1</w:t>
      </w:r>
      <w:r>
        <w:rPr>
          <w:noProof/>
        </w:rPr>
        <w:t>,</w:t>
      </w:r>
    </w:p>
    <w:p w14:paraId="54D535C6" w14:textId="77777777" w:rsidR="00680C0B" w:rsidRDefault="00A8232D">
      <w:pPr>
        <w:pStyle w:val="Text2"/>
        <w:rPr>
          <w:noProof/>
        </w:rPr>
      </w:pPr>
      <w:r>
        <w:rPr>
          <w:noProof/>
        </w:rPr>
        <w:t>β)</w:t>
      </w:r>
      <w:r>
        <w:rPr>
          <w:noProof/>
        </w:rPr>
        <w:tab/>
        <w:t>πιστωτικά ιδρύματα όπως ορίζονται στο άρθρο 4 παράγραφος 1 σημείο 1 του κανονισμού (ΕΕ) αριθ. 575/2013 του Ευρωπαϊκού Κοινοβουλίου και του Συμβουλίου*</w:t>
      </w:r>
      <w:r>
        <w:rPr>
          <w:noProof/>
          <w:szCs w:val="24"/>
          <w:vertAlign w:val="superscript"/>
        </w:rPr>
        <w:t>2</w:t>
      </w:r>
      <w:r>
        <w:rPr>
          <w:noProof/>
        </w:rPr>
        <w:t>.</w:t>
      </w:r>
    </w:p>
    <w:p w14:paraId="127CD6F5" w14:textId="77777777" w:rsidR="00680C0B" w:rsidRDefault="00A8232D">
      <w:pPr>
        <w:pStyle w:val="Text1"/>
        <w:rPr>
          <w:noProof/>
        </w:rPr>
      </w:pPr>
      <w:r>
        <w:rPr>
          <w:noProof/>
        </w:rPr>
        <w:t xml:space="preserve">Τα κράτη μέλη μπορούν να επιλέξουν να μην εφαρμόζουν τα μέτρα συντονισμού που </w:t>
      </w:r>
      <w:r>
        <w:rPr>
          <w:noProof/>
        </w:rPr>
        <w:t>αναφέρονται στο πρώτο εδάφιο στις επιχειρήσεις που απαριθμούνται στο άρθρο 2 παράγραφος 5 σημεία 2 έως 23 της οδηγίας 2013/36/ΕΕ του Ευρωπαϊκού Κοινοβουλίου και του Συμβουλίου*</w:t>
      </w:r>
      <w:r>
        <w:rPr>
          <w:noProof/>
          <w:szCs w:val="24"/>
          <w:vertAlign w:val="superscript"/>
        </w:rPr>
        <w:t>3</w:t>
      </w:r>
      <w:r>
        <w:rPr>
          <w:noProof/>
        </w:rPr>
        <w:t>.</w:t>
      </w:r>
    </w:p>
    <w:p w14:paraId="5A4F294D" w14:textId="77777777" w:rsidR="00680C0B" w:rsidRDefault="00A8232D">
      <w:pPr>
        <w:pStyle w:val="Text1"/>
        <w:rPr>
          <w:noProof/>
        </w:rPr>
      </w:pPr>
      <w:r>
        <w:rPr>
          <w:noProof/>
        </w:rPr>
        <w:t>____________________________________________________________________</w:t>
      </w:r>
    </w:p>
    <w:p w14:paraId="29F066EF" w14:textId="77777777" w:rsidR="00680C0B" w:rsidRDefault="00A8232D">
      <w:pPr>
        <w:pStyle w:val="FootnoteText"/>
        <w:rPr>
          <w:noProof/>
        </w:rPr>
      </w:pPr>
      <w:r>
        <w:rPr>
          <w:noProof/>
        </w:rPr>
        <w:t>*</w:t>
      </w:r>
      <w:r>
        <w:rPr>
          <w:noProof/>
          <w:vertAlign w:val="superscript"/>
        </w:rPr>
        <w:t>1</w:t>
      </w:r>
      <w:r>
        <w:rPr>
          <w:noProof/>
        </w:rPr>
        <w:tab/>
        <w:t>Οδηγί</w:t>
      </w:r>
      <w:r>
        <w:rPr>
          <w:noProof/>
        </w:rPr>
        <w:t>α 91/674/ΕΟΚ του Συμβουλίου, της 19ης Δεκεμβρίου 1991, για τους ετήσιους λογαριασμούς των ασφαλιστικών επιχειρήσεων (ΕΕ L 374 της 31.12.1991, σ. 7).</w:t>
      </w:r>
    </w:p>
    <w:p w14:paraId="06A9B140" w14:textId="77777777" w:rsidR="00680C0B" w:rsidRDefault="00A8232D">
      <w:pPr>
        <w:pStyle w:val="FootnoteText"/>
        <w:rPr>
          <w:noProof/>
        </w:rPr>
      </w:pPr>
      <w:r>
        <w:rPr>
          <w:noProof/>
        </w:rPr>
        <w:t>*</w:t>
      </w:r>
      <w:r>
        <w:rPr>
          <w:noProof/>
          <w:vertAlign w:val="superscript"/>
        </w:rPr>
        <w:t>2</w:t>
      </w:r>
      <w:r>
        <w:rPr>
          <w:noProof/>
        </w:rPr>
        <w:tab/>
        <w:t>Κανονισμός (ΕΕ) αριθ. 575/2013 του Ευρωπαϊκού Κοινοβουλίου και του Συμβουλίου, της 26ης Ιουνίου 2013, σχ</w:t>
      </w:r>
      <w:r>
        <w:rPr>
          <w:noProof/>
        </w:rPr>
        <w:t>ετικά με τις απαιτήσεις προληπτικής εποπτείας για πιστωτικά ιδρύματα και επιχειρήσεις επενδύσεων και την τροποποίηση του κανονισμού (ΕΕ) αριθ. 648/2012 (ΕΕ L 176 της 27.6.2013, σ. 1).</w:t>
      </w:r>
    </w:p>
    <w:p w14:paraId="3701903C" w14:textId="77777777" w:rsidR="00680C0B" w:rsidRDefault="00A8232D">
      <w:pPr>
        <w:pStyle w:val="FootnoteText"/>
        <w:rPr>
          <w:noProof/>
        </w:rPr>
      </w:pPr>
      <w:r>
        <w:rPr>
          <w:noProof/>
        </w:rPr>
        <w:t>*</w:t>
      </w:r>
      <w:r>
        <w:rPr>
          <w:noProof/>
          <w:vertAlign w:val="superscript"/>
        </w:rPr>
        <w:t>3</w:t>
      </w:r>
      <w:r>
        <w:rPr>
          <w:noProof/>
        </w:rPr>
        <w:tab/>
        <w:t>Οδηγία 2013/36/ΕΕ του Ευρωπαϊκού Κοινοβουλίου και του Συμβουλίου, της</w:t>
      </w:r>
      <w:r>
        <w:rPr>
          <w:noProof/>
        </w:rPr>
        <w:t xml:space="preserve"> 26ης Ιουνίου 2013, σχετικά με την πρόσβαση στη δραστηριότητα πιστωτικών ιδρυμάτων και την προληπτική εποπτεία πιστωτικών ιδρυμάτων και επιχειρήσεων επενδύσεων, για την τροποποίηση της οδηγίας 2002/87/ΕΚ και για την κατάργηση των οδηγιών 2006/48/ΕΚ και 200</w:t>
      </w:r>
      <w:r>
        <w:rPr>
          <w:noProof/>
        </w:rPr>
        <w:t>6/49/ΕΚ (ΕΕ L 176 της 27.6.2013, σ. 338).»·</w:t>
      </w:r>
    </w:p>
    <w:p w14:paraId="5207192D" w14:textId="77777777" w:rsidR="00680C0B" w:rsidRDefault="00A8232D">
      <w:pPr>
        <w:pStyle w:val="Point0"/>
        <w:rPr>
          <w:noProof/>
        </w:rPr>
      </w:pPr>
      <w:r>
        <w:rPr>
          <w:noProof/>
        </w:rPr>
        <w:t>2)</w:t>
      </w:r>
      <w:r>
        <w:rPr>
          <w:noProof/>
        </w:rPr>
        <w:tab/>
        <w:t>Στο άρθρο 2 προστίθενται τα ακόλουθα σημεία 17 έως 20:</w:t>
      </w:r>
    </w:p>
    <w:p w14:paraId="755DA2D8" w14:textId="77777777" w:rsidR="00680C0B" w:rsidRDefault="00A8232D">
      <w:pPr>
        <w:pStyle w:val="Text1"/>
        <w:rPr>
          <w:noProof/>
        </w:rPr>
      </w:pPr>
      <w:r>
        <w:rPr>
          <w:noProof/>
        </w:rPr>
        <w:t>«17) “θέματα βιωσιμότητας”: οι παράγοντες αειφορίας, όπως ορίζονται στο άρθρο 2 σημείο 24 του κανονισμού (ΕΕ) 2019/2088 του Ευρωπαϊκού Κοινοβουλίου και το</w:t>
      </w:r>
      <w:r>
        <w:rPr>
          <w:noProof/>
        </w:rPr>
        <w:t>υ Συμβουλίου</w:t>
      </w:r>
      <w:r>
        <w:rPr>
          <w:noProof/>
          <w:vertAlign w:val="superscript"/>
        </w:rPr>
        <w:t>*4</w:t>
      </w:r>
      <w:r>
        <w:rPr>
          <w:noProof/>
        </w:rPr>
        <w:t>, και οι παράγοντες διακυβέρνησης·</w:t>
      </w:r>
    </w:p>
    <w:p w14:paraId="243D2DF5" w14:textId="77777777" w:rsidR="00680C0B" w:rsidRDefault="00A8232D">
      <w:pPr>
        <w:pStyle w:val="Text1"/>
        <w:rPr>
          <w:noProof/>
        </w:rPr>
      </w:pPr>
      <w:r>
        <w:rPr>
          <w:noProof/>
        </w:rPr>
        <w:t>18) “υποβολή εκθέσεων βιωσιμότητας”: η υποβολή πληροφοριών σχετικά με θέματα βιωσιμότητας σύμφωνα με τα άρθρα 19α, 19δ και 29α της παρούσας οδηγίας·</w:t>
      </w:r>
    </w:p>
    <w:p w14:paraId="5A18E2A6" w14:textId="77777777" w:rsidR="00680C0B" w:rsidRDefault="00A8232D">
      <w:pPr>
        <w:pStyle w:val="Text1"/>
        <w:rPr>
          <w:noProof/>
        </w:rPr>
      </w:pPr>
      <w:r>
        <w:rPr>
          <w:noProof/>
        </w:rPr>
        <w:t>19) “άυλα στοιχεία”: οι μη υλικοί πόροι που συμβάλλουν στη</w:t>
      </w:r>
      <w:r>
        <w:rPr>
          <w:noProof/>
        </w:rPr>
        <w:t xml:space="preserve"> δημιουργία αξίας της επιχείρησης·</w:t>
      </w:r>
    </w:p>
    <w:p w14:paraId="07BBE18F" w14:textId="77777777" w:rsidR="00680C0B" w:rsidRDefault="00A8232D">
      <w:pPr>
        <w:pStyle w:val="Text1"/>
        <w:rPr>
          <w:noProof/>
        </w:rPr>
      </w:pPr>
      <w:r>
        <w:rPr>
          <w:noProof/>
        </w:rPr>
        <w:t>20) “ανεξάρτητος πάροχος υπηρεσιών διασφάλισης”: οργανισμός αξιολόγησης της συμμόρφωσης που είναι διαπιστευμένος, σύμφωνα με τον κανονισμό (ΕΚ) αριθ. 765/2008 του Ευρωπαϊκού Κοινοβουλίου και του Συμβουλίου</w:t>
      </w:r>
      <w:r>
        <w:rPr>
          <w:noProof/>
          <w:color w:val="444444"/>
          <w:szCs w:val="24"/>
        </w:rPr>
        <w:t>*</w:t>
      </w:r>
      <w:r>
        <w:rPr>
          <w:noProof/>
          <w:vertAlign w:val="superscript"/>
        </w:rPr>
        <w:t>5</w:t>
      </w:r>
      <w:r>
        <w:rPr>
          <w:noProof/>
        </w:rPr>
        <w:t xml:space="preserve">, για τη </w:t>
      </w:r>
      <w:r>
        <w:rPr>
          <w:noProof/>
        </w:rPr>
        <w:t>συγκεκριμένη δραστηριότητα αξιολόγησης της συμμόρφωσης που αναφέρεται στο άρθρο 34 παράγραφος 1 δεύτερο εδάφιο στοιχείο αα) της παρούσας οδηγίας.</w:t>
      </w:r>
    </w:p>
    <w:p w14:paraId="4DC8E9F7" w14:textId="77777777" w:rsidR="00680C0B" w:rsidRDefault="00A8232D">
      <w:pPr>
        <w:pStyle w:val="Text1"/>
        <w:rPr>
          <w:noProof/>
        </w:rPr>
      </w:pPr>
      <w:r>
        <w:rPr>
          <w:noProof/>
        </w:rPr>
        <w:t>__________________________________________________________________</w:t>
      </w:r>
    </w:p>
    <w:p w14:paraId="2FC4795B" w14:textId="77777777" w:rsidR="00680C0B" w:rsidRDefault="00A8232D">
      <w:pPr>
        <w:pStyle w:val="FootnoteText"/>
        <w:rPr>
          <w:noProof/>
        </w:rPr>
      </w:pPr>
      <w:r>
        <w:rPr>
          <w:noProof/>
        </w:rPr>
        <w:t>*</w:t>
      </w:r>
      <w:r>
        <w:rPr>
          <w:noProof/>
          <w:vertAlign w:val="superscript"/>
        </w:rPr>
        <w:t>4</w:t>
      </w:r>
      <w:r>
        <w:rPr>
          <w:noProof/>
        </w:rPr>
        <w:tab/>
        <w:t>Κανονισμός (ΕΕ) 2019/2088 του Ευρωπαϊκού</w:t>
      </w:r>
      <w:r>
        <w:rPr>
          <w:noProof/>
        </w:rPr>
        <w:t xml:space="preserve"> Κοινοβουλίου και του Συμβουλίου, της 27ης Νοεμβρίου 2019, περί γνωστοποιήσεων αειφορίας στον τομέα των χρηματοπιστωτικών υπηρεσιών (ΕΕ L 317 της 9.12.2019, σ. 1).</w:t>
      </w:r>
    </w:p>
    <w:p w14:paraId="1F705C9F" w14:textId="77777777" w:rsidR="00680C0B" w:rsidRDefault="00A8232D">
      <w:pPr>
        <w:pStyle w:val="FootnoteText"/>
        <w:rPr>
          <w:noProof/>
        </w:rPr>
      </w:pPr>
      <w:r>
        <w:rPr>
          <w:noProof/>
        </w:rPr>
        <w:t>*</w:t>
      </w:r>
      <w:r>
        <w:rPr>
          <w:noProof/>
          <w:vertAlign w:val="superscript"/>
        </w:rPr>
        <w:t>5</w:t>
      </w:r>
      <w:r>
        <w:rPr>
          <w:noProof/>
        </w:rPr>
        <w:tab/>
        <w:t>Κανονισμός (ΕΚ) αριθ. 765/2008 του Ευρωπαϊκού Κοινοβουλίου και του Συμβουλίου, της 9ης Ιο</w:t>
      </w:r>
      <w:r>
        <w:rPr>
          <w:noProof/>
        </w:rPr>
        <w:t>υλίου 2008, για τον καθορισμό των απαιτήσεων διαπίστευσης και εποπτείας της αγοράς όσον αφορά την εμπορία των προϊόντων και για την κατάργηση του κανονισμού (ΕΟΚ) αριθ. 339/93 (ΕΕ L 218 της 13.8.2008, σ. 30).»·</w:t>
      </w:r>
    </w:p>
    <w:p w14:paraId="349DFAF5" w14:textId="77777777" w:rsidR="00680C0B" w:rsidRDefault="00A8232D">
      <w:pPr>
        <w:pStyle w:val="Point0"/>
        <w:rPr>
          <w:noProof/>
        </w:rPr>
      </w:pPr>
      <w:r>
        <w:rPr>
          <w:noProof/>
        </w:rPr>
        <w:t>3)</w:t>
      </w:r>
      <w:r>
        <w:rPr>
          <w:noProof/>
        </w:rPr>
        <w:tab/>
        <w:t>το άρθρο 19α αντικαθίσταται από το ακόλουθ</w:t>
      </w:r>
      <w:r>
        <w:rPr>
          <w:noProof/>
        </w:rPr>
        <w:t>ο κείμενο:</w:t>
      </w:r>
    </w:p>
    <w:p w14:paraId="2BB14F83" w14:textId="77777777" w:rsidR="00680C0B" w:rsidRDefault="00A8232D">
      <w:pPr>
        <w:pStyle w:val="NormalCentered"/>
        <w:rPr>
          <w:noProof/>
        </w:rPr>
      </w:pPr>
      <w:r>
        <w:rPr>
          <w:noProof/>
        </w:rPr>
        <w:t>«Άρθρο 19α</w:t>
      </w:r>
    </w:p>
    <w:p w14:paraId="4C442B82" w14:textId="77777777" w:rsidR="00680C0B" w:rsidRDefault="00A8232D">
      <w:pPr>
        <w:pStyle w:val="NormalCentered"/>
        <w:rPr>
          <w:b/>
          <w:noProof/>
        </w:rPr>
      </w:pPr>
      <w:r>
        <w:rPr>
          <w:b/>
          <w:noProof/>
        </w:rPr>
        <w:t>Υποβολή εκθέσεων βιωσιμότητας</w:t>
      </w:r>
    </w:p>
    <w:p w14:paraId="6E45E8AD" w14:textId="77777777" w:rsidR="00680C0B" w:rsidRDefault="00A8232D">
      <w:pPr>
        <w:pStyle w:val="Text1"/>
        <w:rPr>
          <w:noProof/>
        </w:rPr>
      </w:pPr>
      <w:r>
        <w:rPr>
          <w:noProof/>
        </w:rPr>
        <w:t>1.</w:t>
      </w:r>
      <w:r>
        <w:rPr>
          <w:noProof/>
        </w:rPr>
        <w:tab/>
        <w:t>Οι μεγάλες επιχειρήσεις και, από την 1η Ιανουαρίου 2026, οι μικρές και μεσαίες επιχειρήσεις οι οποίες είναι επιχειρήσεις που αναφέρονται στο άρθρο 2 σημείο 1 στοιχείο α), περιλαμβάνουν στην έκθεση διαχ</w:t>
      </w:r>
      <w:r>
        <w:rPr>
          <w:noProof/>
        </w:rPr>
        <w:t xml:space="preserve">είρισης τις πληροφορίες που είναι αναγκαίες για την κατανόηση των επιπτώσεων της επιχείρησης σε θέματα βιωσιμότητας, καθώς και τις πληροφορίες που είναι αναγκαίες για την κατανόηση του τρόπου με τον οποίο τα θέματα βιωσιμότητας επηρεάζουν την εξέλιξη, τις </w:t>
      </w:r>
      <w:r>
        <w:rPr>
          <w:noProof/>
        </w:rPr>
        <w:t>επιδόσεις και τη θέση της επιχείρησης.</w:t>
      </w:r>
    </w:p>
    <w:p w14:paraId="0AFC1582" w14:textId="77777777" w:rsidR="00680C0B" w:rsidRDefault="00A8232D">
      <w:pPr>
        <w:pStyle w:val="Text1"/>
        <w:rPr>
          <w:noProof/>
        </w:rPr>
      </w:pPr>
      <w:r>
        <w:rPr>
          <w:noProof/>
        </w:rPr>
        <w:t>2.</w:t>
      </w:r>
      <w:r>
        <w:rPr>
          <w:noProof/>
        </w:rPr>
        <w:tab/>
        <w:t>Οι πληροφορίες που αναφέρονται στην παράγραφο 1 περιλαμβάνουν ειδικότερα:</w:t>
      </w:r>
    </w:p>
    <w:p w14:paraId="03D1DBFF" w14:textId="77777777" w:rsidR="00680C0B" w:rsidRDefault="00A8232D">
      <w:pPr>
        <w:pStyle w:val="Text2"/>
        <w:rPr>
          <w:noProof/>
        </w:rPr>
      </w:pPr>
      <w:r>
        <w:rPr>
          <w:noProof/>
        </w:rPr>
        <w:t>α)</w:t>
      </w:r>
      <w:r>
        <w:rPr>
          <w:noProof/>
        </w:rPr>
        <w:tab/>
        <w:t>σύντομη περιγραφή του επιχειρηματικού μοντέλου και της στρατηγικής της επιχείρησης, στην οποία συμπεριλαμβάνονται:</w:t>
      </w:r>
    </w:p>
    <w:p w14:paraId="24F168DB" w14:textId="77777777" w:rsidR="00680C0B" w:rsidRDefault="00A8232D">
      <w:pPr>
        <w:pStyle w:val="Text3"/>
        <w:rPr>
          <w:noProof/>
        </w:rPr>
      </w:pPr>
      <w:r>
        <w:rPr>
          <w:noProof/>
        </w:rPr>
        <w:t>i)</w:t>
      </w:r>
      <w:r>
        <w:rPr>
          <w:noProof/>
        </w:rPr>
        <w:tab/>
      </w:r>
      <w:r>
        <w:rPr>
          <w:noProof/>
        </w:rPr>
        <w:tab/>
        <w:t>η ανθεκτικότητα το</w:t>
      </w:r>
      <w:r>
        <w:rPr>
          <w:noProof/>
        </w:rPr>
        <w:t>υ επιχειρηματικού μοντέλου και της στρατηγικής της επιχείρησης έναντι κινδύνων που συνδέονται με θέματα βιωσιμότητας·</w:t>
      </w:r>
    </w:p>
    <w:p w14:paraId="5C505B45" w14:textId="77777777" w:rsidR="00680C0B" w:rsidRDefault="00A8232D">
      <w:pPr>
        <w:pStyle w:val="Text3"/>
        <w:rPr>
          <w:noProof/>
        </w:rPr>
      </w:pPr>
      <w:r>
        <w:rPr>
          <w:noProof/>
        </w:rPr>
        <w:t>ii)</w:t>
      </w:r>
      <w:r>
        <w:rPr>
          <w:noProof/>
        </w:rPr>
        <w:tab/>
        <w:t>οι ευκαιρίες για την επιχείρηση που σχετίζονται με θέματα βιωσιμότητας·</w:t>
      </w:r>
    </w:p>
    <w:p w14:paraId="11CA4B5F" w14:textId="77777777" w:rsidR="00680C0B" w:rsidRDefault="00A8232D">
      <w:pPr>
        <w:pStyle w:val="Text3"/>
        <w:rPr>
          <w:noProof/>
        </w:rPr>
      </w:pPr>
      <w:r>
        <w:rPr>
          <w:noProof/>
        </w:rPr>
        <w:t>iii)</w:t>
      </w:r>
      <w:r>
        <w:rPr>
          <w:noProof/>
        </w:rPr>
        <w:tab/>
        <w:t>τα σχέδια της επιχείρησης ώστε να διασφαλίζεται ότι το επ</w:t>
      </w:r>
      <w:r>
        <w:rPr>
          <w:noProof/>
        </w:rPr>
        <w:t>ιχειρηματικό μοντέλο και η στρατηγική της επιχείρησης συνάδουν με τη μετάβαση προς μια βιώσιμη οικονομία και με τον περιορισμό της υπερθέρμανσης του πλανήτη σε 1,5 °C σύμφωνα με τη συμφωνία του Παρισιού·</w:t>
      </w:r>
    </w:p>
    <w:p w14:paraId="18BA452B" w14:textId="77777777" w:rsidR="00680C0B" w:rsidRDefault="00A8232D">
      <w:pPr>
        <w:pStyle w:val="Text3"/>
        <w:rPr>
          <w:noProof/>
        </w:rPr>
      </w:pPr>
      <w:r>
        <w:rPr>
          <w:noProof/>
        </w:rPr>
        <w:t>iv)</w:t>
      </w:r>
      <w:r>
        <w:rPr>
          <w:noProof/>
        </w:rPr>
        <w:tab/>
        <w:t xml:space="preserve">ο τρόπος με τον οποίο το επιχειρηματικό μοντέλο </w:t>
      </w:r>
      <w:r>
        <w:rPr>
          <w:noProof/>
        </w:rPr>
        <w:t>και η στρατηγική της επιχείρησης λαμβάνουν υπόψη τα συμφέροντα των ενδιαφερόμενων μερών της επιχείρησης και τις επιπτώσεις της επιχείρησης σε θέματα βιωσιμότητας·</w:t>
      </w:r>
    </w:p>
    <w:p w14:paraId="3CFC4B4D" w14:textId="77777777" w:rsidR="00680C0B" w:rsidRDefault="00A8232D">
      <w:pPr>
        <w:pStyle w:val="Text3"/>
        <w:rPr>
          <w:noProof/>
        </w:rPr>
      </w:pPr>
      <w:r>
        <w:rPr>
          <w:noProof/>
        </w:rPr>
        <w:t>v)</w:t>
      </w:r>
      <w:r>
        <w:rPr>
          <w:noProof/>
        </w:rPr>
        <w:tab/>
        <w:t>ο τρόπος με τον οποίο έχει εφαρμοστεί η στρατηγική της επιχείρησης όσον αφορά τα θέματα βι</w:t>
      </w:r>
      <w:r>
        <w:rPr>
          <w:noProof/>
        </w:rPr>
        <w:t>ωσιμότητας·</w:t>
      </w:r>
    </w:p>
    <w:p w14:paraId="35E1AA28" w14:textId="77777777" w:rsidR="00680C0B" w:rsidRDefault="00A8232D">
      <w:pPr>
        <w:pStyle w:val="Text2"/>
        <w:rPr>
          <w:noProof/>
        </w:rPr>
      </w:pPr>
      <w:r>
        <w:rPr>
          <w:noProof/>
        </w:rPr>
        <w:t>β)</w:t>
      </w:r>
      <w:r>
        <w:rPr>
          <w:noProof/>
        </w:rPr>
        <w:tab/>
        <w:t>περιγραφή των στόχων που αφορούν θέματα βιωσιμότητας και καθορίζονται από την επιχείρηση, καθώς και της προόδου που έχει σημειώσει η επιχείρηση για την επίτευξη των εν λόγω στόχων·</w:t>
      </w:r>
    </w:p>
    <w:p w14:paraId="2D498A90" w14:textId="77777777" w:rsidR="00680C0B" w:rsidRDefault="00A8232D">
      <w:pPr>
        <w:pStyle w:val="Text2"/>
        <w:rPr>
          <w:noProof/>
        </w:rPr>
      </w:pPr>
      <w:r>
        <w:rPr>
          <w:noProof/>
        </w:rPr>
        <w:t>γ)</w:t>
      </w:r>
      <w:r>
        <w:rPr>
          <w:noProof/>
        </w:rPr>
        <w:tab/>
        <w:t>περιγραφή του ρόλου των διοικητικών, διαχειριστικών και ε</w:t>
      </w:r>
      <w:r>
        <w:rPr>
          <w:noProof/>
        </w:rPr>
        <w:t>ποπτικών οργάνων σε σχέση με θέματα βιωσιμότητας·</w:t>
      </w:r>
    </w:p>
    <w:p w14:paraId="79557B78" w14:textId="77777777" w:rsidR="00680C0B" w:rsidRDefault="00A8232D">
      <w:pPr>
        <w:pStyle w:val="Text2"/>
        <w:rPr>
          <w:noProof/>
        </w:rPr>
      </w:pPr>
      <w:r>
        <w:rPr>
          <w:noProof/>
        </w:rPr>
        <w:t>δ)</w:t>
      </w:r>
      <w:r>
        <w:rPr>
          <w:noProof/>
        </w:rPr>
        <w:tab/>
        <w:t xml:space="preserve">περιγραφή των πολιτικών της επιχείρησης σε σχέση με θέματα βιωσιμότητας· </w:t>
      </w:r>
    </w:p>
    <w:p w14:paraId="5F6E9D88" w14:textId="77777777" w:rsidR="00680C0B" w:rsidRDefault="00A8232D">
      <w:pPr>
        <w:pStyle w:val="Text2"/>
        <w:rPr>
          <w:noProof/>
        </w:rPr>
      </w:pPr>
      <w:r>
        <w:rPr>
          <w:noProof/>
        </w:rPr>
        <w:t>ε)</w:t>
      </w:r>
      <w:r>
        <w:rPr>
          <w:noProof/>
        </w:rPr>
        <w:tab/>
        <w:t>περιγραφή:</w:t>
      </w:r>
    </w:p>
    <w:p w14:paraId="319E5CD3" w14:textId="77777777" w:rsidR="00680C0B" w:rsidRDefault="00A8232D">
      <w:pPr>
        <w:pStyle w:val="Text3"/>
        <w:rPr>
          <w:noProof/>
        </w:rPr>
      </w:pPr>
      <w:r>
        <w:rPr>
          <w:noProof/>
        </w:rPr>
        <w:t>i)</w:t>
      </w:r>
      <w:r>
        <w:rPr>
          <w:noProof/>
        </w:rPr>
        <w:tab/>
        <w:t>της διαδικασίας δέουσας επιμέλειας που εφαρμόζεται σε θέματα βιωσιμότητας·</w:t>
      </w:r>
    </w:p>
    <w:p w14:paraId="235BCC24" w14:textId="77777777" w:rsidR="00680C0B" w:rsidRDefault="00A8232D">
      <w:pPr>
        <w:pStyle w:val="Text3"/>
        <w:rPr>
          <w:noProof/>
        </w:rPr>
      </w:pPr>
      <w:r>
        <w:rPr>
          <w:noProof/>
        </w:rPr>
        <w:t>ii)</w:t>
      </w:r>
      <w:r>
        <w:rPr>
          <w:noProof/>
        </w:rPr>
        <w:tab/>
        <w:t>των κυριότερων πραγματικών ή δυνη</w:t>
      </w:r>
      <w:r>
        <w:rPr>
          <w:noProof/>
        </w:rPr>
        <w:t>τικών αρνητικών επιπτώσεων που συνδέονται με την αλυσίδα αξίας της επιχείρησης, συμπεριλαμβανομένων των δραστηριοτήτων της ίδιας της επιχείρησης, των προϊόντων και των υπηρεσιών της, των επιχειρηματικών της σχέσεων και της αλυσίδας εφοδιασμού της·</w:t>
      </w:r>
    </w:p>
    <w:p w14:paraId="13B3517B" w14:textId="77777777" w:rsidR="00680C0B" w:rsidRDefault="00A8232D">
      <w:pPr>
        <w:pStyle w:val="Text3"/>
        <w:rPr>
          <w:noProof/>
        </w:rPr>
      </w:pPr>
      <w:r>
        <w:rPr>
          <w:noProof/>
        </w:rPr>
        <w:t>iii)</w:t>
      </w:r>
      <w:r>
        <w:rPr>
          <w:noProof/>
        </w:rPr>
        <w:tab/>
      </w:r>
      <w:r>
        <w:rPr>
          <w:noProof/>
        </w:rPr>
        <w:t>τυχόν μέτρων που λαμβάνονται, και του αποτελέσματος των εν λόγω μέτρων, για την πρόληψη, τον μετριασμό ή την επανόρθωση των πραγματικών ή δυνητικών αρνητικών επιπτώσεων·</w:t>
      </w:r>
    </w:p>
    <w:p w14:paraId="61498B56" w14:textId="77777777" w:rsidR="00680C0B" w:rsidRDefault="00A8232D">
      <w:pPr>
        <w:pStyle w:val="Text2"/>
        <w:rPr>
          <w:noProof/>
        </w:rPr>
      </w:pPr>
      <w:r>
        <w:rPr>
          <w:noProof/>
        </w:rPr>
        <w:t>στ)</w:t>
      </w:r>
      <w:r>
        <w:rPr>
          <w:noProof/>
        </w:rPr>
        <w:tab/>
        <w:t>περιγραφή των κυριότερων κινδύνων για την επιχείρηση που σχετίζονται με θέματα βιω</w:t>
      </w:r>
      <w:r>
        <w:rPr>
          <w:noProof/>
        </w:rPr>
        <w:t>σιμότητας, συμπεριλαμβανομένων των κυριότερων εξαρτήσεων της επιχείρησης από τα εν λόγω θέματα, καθώς και του τρόπου με τον οποίο η επιχείρηση διαχειρίζεται αυτούς τους κινδύνους·</w:t>
      </w:r>
    </w:p>
    <w:p w14:paraId="5D735029" w14:textId="77777777" w:rsidR="00680C0B" w:rsidRDefault="00A8232D">
      <w:pPr>
        <w:pStyle w:val="Text2"/>
        <w:rPr>
          <w:noProof/>
        </w:rPr>
      </w:pPr>
      <w:r>
        <w:rPr>
          <w:noProof/>
        </w:rPr>
        <w:t>ζ)</w:t>
      </w:r>
      <w:r>
        <w:rPr>
          <w:noProof/>
        </w:rPr>
        <w:tab/>
        <w:t>δείκτες που σχετίζονται με τις δημοσιοποιήσεις που αναφέρονται στα στοιχε</w:t>
      </w:r>
      <w:r>
        <w:rPr>
          <w:noProof/>
        </w:rPr>
        <w:t>ία α) έως στ).</w:t>
      </w:r>
    </w:p>
    <w:p w14:paraId="2BD720A5" w14:textId="77777777" w:rsidR="00680C0B" w:rsidRDefault="00A8232D">
      <w:pPr>
        <w:pStyle w:val="Text1"/>
        <w:rPr>
          <w:noProof/>
        </w:rPr>
      </w:pPr>
      <w:r>
        <w:rPr>
          <w:noProof/>
        </w:rPr>
        <w:t xml:space="preserve">Οι επιχειρήσεις δημοσιοποιούν επίσης πληροφορίες σχετικά με άυλα στοιχεία, συμπεριλαμβανομένων πληροφοριών σχετικά με το πνευματικό, το ανθρώπινο και το κοινωνικό κεφάλαιο και το κεφάλαιο της δημιουργίας σχέσεων. </w:t>
      </w:r>
    </w:p>
    <w:p w14:paraId="770C150F" w14:textId="77777777" w:rsidR="00680C0B" w:rsidRDefault="00A8232D">
      <w:pPr>
        <w:pStyle w:val="Text1"/>
        <w:rPr>
          <w:noProof/>
        </w:rPr>
      </w:pPr>
      <w:r>
        <w:rPr>
          <w:noProof/>
        </w:rPr>
        <w:t xml:space="preserve">Οι επιχειρήσεις υποβάλλουν </w:t>
      </w:r>
      <w:r>
        <w:rPr>
          <w:noProof/>
        </w:rPr>
        <w:t xml:space="preserve">στοιχεία σχετικά με τη διαδικασία που διενεργείται για τον προσδιορισμό των πληροφοριών που έχουν συμπεριλάβει στην έκθεση διαχείρισης, σύμφωνα με την παράγραφο 1, και στη διαδικασία αυτή λαμβάνουν υπόψη βραχυπρόθεσμους, μεσοπρόθεσμους και μακροπρόθεσμους </w:t>
      </w:r>
      <w:r>
        <w:rPr>
          <w:noProof/>
        </w:rPr>
        <w:t xml:space="preserve">χρονικούς ορίζοντες. </w:t>
      </w:r>
    </w:p>
    <w:p w14:paraId="2590C65B" w14:textId="77777777" w:rsidR="00680C0B" w:rsidRDefault="00A8232D">
      <w:pPr>
        <w:pStyle w:val="Text1"/>
        <w:rPr>
          <w:noProof/>
        </w:rPr>
      </w:pPr>
      <w:r>
        <w:rPr>
          <w:noProof/>
        </w:rPr>
        <w:t>3.</w:t>
      </w:r>
      <w:r>
        <w:rPr>
          <w:noProof/>
        </w:rPr>
        <w:tab/>
        <w:t>Οι πληροφορίες που αναφέρονται στις παραγράφους 1 και 2 περιλαμβάνουν µελλοντοστραφείς και αναδρομικές πληροφορίες, καθώς και ποιοτικές και ποσοτικές πληροφορίες.</w:t>
      </w:r>
    </w:p>
    <w:p w14:paraId="3E1645BC" w14:textId="77777777" w:rsidR="00680C0B" w:rsidRDefault="00A8232D">
      <w:pPr>
        <w:pStyle w:val="Text1"/>
        <w:rPr>
          <w:noProof/>
        </w:rPr>
      </w:pPr>
      <w:r>
        <w:rPr>
          <w:noProof/>
        </w:rPr>
        <w:t>Κατά περίπτωση, οι πληροφορίες που αναφέρονται στις παραγράφους 1 κα</w:t>
      </w:r>
      <w:r>
        <w:rPr>
          <w:noProof/>
        </w:rPr>
        <w:t>ι 2 περιέχουν πληροφορίες σχετικά με την αλυσίδα αξίας της επιχείρησης, συμπεριλαμβανομένων των δραστηριοτήτων, των προϊόντων και των υπηρεσιών της ίδιας της επιχείρησης, των επιχειρηματικών της σχέσεων και της αλυσίδας εφοδιασμού της.</w:t>
      </w:r>
    </w:p>
    <w:p w14:paraId="777E0B5E" w14:textId="77777777" w:rsidR="00680C0B" w:rsidRDefault="00A8232D">
      <w:pPr>
        <w:pStyle w:val="Text1"/>
        <w:rPr>
          <w:noProof/>
        </w:rPr>
      </w:pPr>
      <w:r>
        <w:rPr>
          <w:noProof/>
        </w:rPr>
        <w:t>Κατά περίπτωση, οι πληροφορίες που αναφέρονται στις παραγράφους 1 και 2 περιέχουν επίσης αναφορές και πρόσθετες επεξηγήσεις άλλων πληροφοριών που περιλαμβάνονται στην έκθεση διαχείρισης, σύμφωνα με το άρθρο 19, καθώς και των ποσών που αναγράφονται στις ετή</w:t>
      </w:r>
      <w:r>
        <w:rPr>
          <w:noProof/>
        </w:rPr>
        <w:t xml:space="preserve">σιες οικονομικές καταστάσεις. </w:t>
      </w:r>
    </w:p>
    <w:p w14:paraId="39871FB1" w14:textId="77777777" w:rsidR="00680C0B" w:rsidRDefault="00A8232D">
      <w:pPr>
        <w:pStyle w:val="Text1"/>
        <w:rPr>
          <w:noProof/>
        </w:rPr>
      </w:pPr>
      <w:r>
        <w:rPr>
          <w:noProof/>
        </w:rPr>
        <w:t>Τα κράτη μέλη μπορούν σε εξαιρετικές περιπτώσεις να επιτρέψουν την παράλειψη πληροφοριών σχετικά με επικείμενες εξελίξεις ή θέματα υπό διαπραγμάτευση όταν, κατά τη δεόντως αιτιολογημένη γνώμη των μελών των διοικητικών, διαχει</w:t>
      </w:r>
      <w:r>
        <w:rPr>
          <w:noProof/>
        </w:rPr>
        <w:t>ριστικών και εποπτικών οργάνων, που ενεργούν εντός των αρμοδιοτήτων που τους έχουν ανατεθεί από το εθνικό δίκαιο και που υπέχουν σχετικώς συλλογική ευθύνη της εν λόγω γνώμης, η δημοσιοποίηση αυτών των πληροφοριών θα έβλαπτε σοβαρά την εμπορική θέση της επι</w:t>
      </w:r>
      <w:r>
        <w:rPr>
          <w:noProof/>
        </w:rPr>
        <w:t>χείρησης, υπό την προϋπόθεση ότι η παράλειψη αυτή δεν εμποδίζει την ορθή και ισορροπημένη κατανόηση της εξέλιξης, των επιδόσεων, της θέσης και του αντίκτυπου των δραστηριοτήτων της επιχείρησης.</w:t>
      </w:r>
    </w:p>
    <w:p w14:paraId="0FD79D99" w14:textId="77777777" w:rsidR="00680C0B" w:rsidRDefault="00A8232D">
      <w:pPr>
        <w:pStyle w:val="Text1"/>
        <w:rPr>
          <w:noProof/>
        </w:rPr>
      </w:pPr>
      <w:r>
        <w:rPr>
          <w:noProof/>
        </w:rPr>
        <w:t>4.</w:t>
      </w:r>
      <w:r>
        <w:rPr>
          <w:noProof/>
        </w:rPr>
        <w:tab/>
        <w:t xml:space="preserve">Οι επιχειρήσεις υποβάλλουν τις πληροφορίες που αναφέρονται </w:t>
      </w:r>
      <w:r>
        <w:rPr>
          <w:noProof/>
        </w:rPr>
        <w:t>στις παραγράφους 1 έως 3 σύμφωνα με τα πρότυπα υποβολής εκθέσεων βιωσιμότητας που αναφέρονται στο άρθρο 19β.</w:t>
      </w:r>
    </w:p>
    <w:p w14:paraId="5DC5B752" w14:textId="77777777" w:rsidR="00680C0B" w:rsidRDefault="00A8232D">
      <w:pPr>
        <w:pStyle w:val="Text1"/>
        <w:rPr>
          <w:noProof/>
        </w:rPr>
      </w:pPr>
      <w:r>
        <w:rPr>
          <w:noProof/>
        </w:rPr>
        <w:t>5.</w:t>
      </w:r>
      <w:r>
        <w:rPr>
          <w:noProof/>
        </w:rPr>
        <w:tab/>
        <w:t>Κατά παρέκκλιση από το άρθρο 19α παράγραφοι 1 έως 4, οι μικρές και μεσαίες επιχειρήσεις που αναφέρονται στο άρθρο 2 σημείο 1 στοιχείο α), μπορού</w:t>
      </w:r>
      <w:r>
        <w:rPr>
          <w:noProof/>
        </w:rPr>
        <w:t>ν να υποβάλλουν εκθέσεις σύμφωνα με τα πρότυπα υποβολής εκθέσεων βιωσιμότητας για τις μικρές και μεσαίες επιχειρήσεις που αναφέρονται στο άρθρο 19γ.</w:t>
      </w:r>
    </w:p>
    <w:p w14:paraId="05169C3C" w14:textId="77777777" w:rsidR="00680C0B" w:rsidRDefault="00A8232D">
      <w:pPr>
        <w:pStyle w:val="Text1"/>
        <w:rPr>
          <w:noProof/>
        </w:rPr>
      </w:pPr>
      <w:r>
        <w:rPr>
          <w:noProof/>
        </w:rPr>
        <w:t>6.</w:t>
      </w:r>
      <w:r>
        <w:rPr>
          <w:noProof/>
        </w:rPr>
        <w:tab/>
        <w:t xml:space="preserve">Οι επιχειρήσεις που συμμορφώνονται με τις απαιτήσεις των παραγράφων 1 έως 4 θεωρείται ότι έχουν τηρήσει </w:t>
      </w:r>
      <w:r>
        <w:rPr>
          <w:noProof/>
        </w:rPr>
        <w:t>την απαίτηση του άρθρου 19 παράγραφος 1 τρίτο εδάφιο.</w:t>
      </w:r>
    </w:p>
    <w:p w14:paraId="4F745C4C" w14:textId="77777777" w:rsidR="00680C0B" w:rsidRDefault="00A8232D">
      <w:pPr>
        <w:pStyle w:val="Text1"/>
        <w:rPr>
          <w:noProof/>
        </w:rPr>
      </w:pPr>
      <w:r>
        <w:rPr>
          <w:noProof/>
        </w:rPr>
        <w:t>7.</w:t>
      </w:r>
      <w:r>
        <w:rPr>
          <w:noProof/>
        </w:rPr>
        <w:tab/>
        <w:t>Μια επιχείρηση, η οποία είναι θυγατρική επιχείρηση, απαλλάσσεται από τις υποχρεώσεις που ορίζονται στις παραγράφους 1 έως 4, εάν η εν λόγω επιχείρηση και οι θυγατρικές της επιχειρήσεις συμπεριλαμβάνο</w:t>
      </w:r>
      <w:r>
        <w:rPr>
          <w:noProof/>
        </w:rPr>
        <w:t>νται στην ενοποιημένη έκθεση διαχείρισης μητρικής επιχείρησης η οποία συντάσσεται σύμφωνα με τα άρθρα 29 και 29α. Μια επιχείρηση, η οποία είναι θυγατρική επιχείρηση μητρικής επιχείρησης που είναι εγκατεστημένη σε τρίτη χώρα, απαλλάσσεται επίσης από τις υπο</w:t>
      </w:r>
      <w:r>
        <w:rPr>
          <w:noProof/>
        </w:rPr>
        <w:t>χρεώσεις που ορίζονται στις παραγράφους 1 έως 4, όταν η εν λόγω επιχείρηση και οι θυγατρικές της επιχειρήσεις περιλαμβάνονται στην ενοποιημένη έκθεση διαχείρισης της εν λόγω μητρικής επιχείρησης και όταν η ενοποιημένη έκθεση διαχείρισης συντάσσεται κατά τρ</w:t>
      </w:r>
      <w:r>
        <w:rPr>
          <w:noProof/>
        </w:rPr>
        <w:t>όπο που μπορεί να θεωρηθεί ισοδύναμος, σύμφωνα με τα σχετικά εκτελεστικά μέτρα που θεσπίζονται δυνάμει του άρθρου 23 παράγραφος 4 σημείο i) της οδηγίας 2004/109/ΕΚ του Ευρωπαϊκού Κοινοβουλίου και του Συμβουλίου*</w:t>
      </w:r>
      <w:r>
        <w:rPr>
          <w:noProof/>
          <w:vertAlign w:val="superscript"/>
        </w:rPr>
        <w:t>6</w:t>
      </w:r>
      <w:r>
        <w:rPr>
          <w:noProof/>
        </w:rPr>
        <w:t>, με τον τρόπο που απαιτείται βάσει των προτ</w:t>
      </w:r>
      <w:r>
        <w:rPr>
          <w:noProof/>
        </w:rPr>
        <w:t>ύπων υποβολής εκθέσεων βιωσιμότητας που αναφέρονται στο άρθρο 19β της παρούσας οδηγίας.</w:t>
      </w:r>
    </w:p>
    <w:p w14:paraId="3E05B9C9" w14:textId="77777777" w:rsidR="00680C0B" w:rsidRDefault="00A8232D">
      <w:pPr>
        <w:pStyle w:val="Text1"/>
        <w:rPr>
          <w:noProof/>
        </w:rPr>
      </w:pPr>
      <w:r>
        <w:rPr>
          <w:noProof/>
        </w:rPr>
        <w:t xml:space="preserve">Η ενοποιημένη έκθεση διαχείρισης της μητρικής επιχείρησης που αναφέρεται στο πρώτο εδάφιο δημοσιεύεται σύμφωνα με το άρθρο 30, με τον τρόπο που ορίζεται στο δίκαιο του </w:t>
      </w:r>
      <w:r>
        <w:rPr>
          <w:noProof/>
        </w:rPr>
        <w:t xml:space="preserve">κράτους μέλους από το οποίο διέπεται η επιχείρηση που απαλλάσσεται από τις υποχρεώσεις των παραγράφων 1 έως 4. </w:t>
      </w:r>
    </w:p>
    <w:p w14:paraId="7CB51641" w14:textId="77777777" w:rsidR="00680C0B" w:rsidRDefault="00A8232D">
      <w:pPr>
        <w:pStyle w:val="Text1"/>
        <w:rPr>
          <w:noProof/>
        </w:rPr>
      </w:pPr>
      <w:r>
        <w:rPr>
          <w:noProof/>
        </w:rPr>
        <w:t>Το κράτος μέλος στο οποίο υπάγεται η επιχείρηση που απαλλάσσεται από τις υποχρεώσεις των παραγράφων 1 έως 4 μπορεί να απαιτεί η ενοποιημένη έκθε</w:t>
      </w:r>
      <w:r>
        <w:rPr>
          <w:noProof/>
        </w:rPr>
        <w:t>ση διαχείρισης που αναφέρεται στο πρώτο εδάφιο της παρούσας παραγράφου να δημοσιεύεται σε επίσημη γλώσσα του κράτους μέλους, ή σε γλώσσα ευρέως διαδεδομένη στον διεθνή χρηματοπιστωτικό τομέα, και να επικυρώνεται κάθε αναγκαία μετάφραση προς τις εν λόγω γλώ</w:t>
      </w:r>
      <w:r>
        <w:rPr>
          <w:noProof/>
        </w:rPr>
        <w:t>σσες.</w:t>
      </w:r>
    </w:p>
    <w:p w14:paraId="4A23AB55" w14:textId="77777777" w:rsidR="00680C0B" w:rsidRDefault="00A8232D">
      <w:pPr>
        <w:pStyle w:val="Text1"/>
        <w:rPr>
          <w:noProof/>
        </w:rPr>
      </w:pPr>
      <w:r>
        <w:rPr>
          <w:noProof/>
        </w:rPr>
        <w:t xml:space="preserve">Η έκθεση διαχείρισης μιας επιχείρησης που απαλλάσσεται από τις υποχρεώσεις που ορίζονται στις παραγράφους 1 έως 4 περιέχει όλες τις ακόλουθες πληροφορίες: </w:t>
      </w:r>
    </w:p>
    <w:p w14:paraId="5570AF20" w14:textId="77777777" w:rsidR="00680C0B" w:rsidRDefault="00A8232D">
      <w:pPr>
        <w:pStyle w:val="Text2"/>
        <w:rPr>
          <w:noProof/>
        </w:rPr>
      </w:pPr>
      <w:r>
        <w:rPr>
          <w:noProof/>
        </w:rPr>
        <w:t>α)</w:t>
      </w:r>
      <w:r>
        <w:rPr>
          <w:noProof/>
        </w:rPr>
        <w:tab/>
        <w:t>την επωνυμία και την έδρα της μητρικής επιχείρησης που υποβάλλει πληροφορίες σε επίπεδο ομί</w:t>
      </w:r>
      <w:r>
        <w:rPr>
          <w:noProof/>
        </w:rPr>
        <w:t>λου σύμφωνα με τα άρθρα 29 και 29α ή κατά τρόπο που μπορεί να θεωρηθεί ισοδύναμος, σύμφωνα με τα εκτελεστικά μέτρα που θεσπίζονται δυνάμει του άρθρου 23 παράγραφος 4 σημείο i) της οδηγίας 2004/109/ΕΚ, με τον τρόπο που απαιτείται βάσει των προτύπων υποβολής</w:t>
      </w:r>
      <w:r>
        <w:rPr>
          <w:noProof/>
        </w:rPr>
        <w:t xml:space="preserve"> εκθέσεων βιωσιμότητας που αναφέρονται στο άρθρο 19β·</w:t>
      </w:r>
    </w:p>
    <w:p w14:paraId="5EFB30E5" w14:textId="77777777" w:rsidR="00680C0B" w:rsidRDefault="00A8232D">
      <w:pPr>
        <w:pStyle w:val="Text2"/>
        <w:rPr>
          <w:noProof/>
        </w:rPr>
      </w:pPr>
      <w:r>
        <w:rPr>
          <w:noProof/>
        </w:rPr>
        <w:t>β)</w:t>
      </w:r>
      <w:r>
        <w:rPr>
          <w:noProof/>
        </w:rPr>
        <w:tab/>
        <w:t>το γεγονός ότι η επιχείρηση απαλλάσσεται από τις υποχρεώσεις που ορίζονται στις παραγράφους 1 έως 4 του παρόντος άρθρου.</w:t>
      </w:r>
    </w:p>
    <w:p w14:paraId="658FABF6" w14:textId="77777777" w:rsidR="00680C0B" w:rsidRDefault="00A8232D">
      <w:pPr>
        <w:pStyle w:val="Text1"/>
        <w:spacing w:line="276" w:lineRule="auto"/>
        <w:rPr>
          <w:noProof/>
        </w:rPr>
      </w:pPr>
      <w:r>
        <w:rPr>
          <w:noProof/>
        </w:rPr>
        <w:t>______________________________________________________________________</w:t>
      </w:r>
    </w:p>
    <w:p w14:paraId="53C4F659" w14:textId="77777777" w:rsidR="00680C0B" w:rsidRDefault="00A8232D">
      <w:pPr>
        <w:pStyle w:val="FootnoteText"/>
        <w:rPr>
          <w:noProof/>
        </w:rPr>
      </w:pPr>
      <w:r>
        <w:rPr>
          <w:noProof/>
        </w:rPr>
        <w:t>*</w:t>
      </w:r>
      <w:r>
        <w:rPr>
          <w:noProof/>
          <w:vertAlign w:val="superscript"/>
        </w:rPr>
        <w:t>6</w:t>
      </w:r>
      <w:r>
        <w:rPr>
          <w:noProof/>
        </w:rPr>
        <w:tab/>
        <w:t>Οδηγ</w:t>
      </w:r>
      <w:r>
        <w:rPr>
          <w:noProof/>
        </w:rPr>
        <w:t>ία 2004/109/ΕΚ του Ευρωπαϊκού Κοινοβουλίου και του Συμβουλίου, της 15ης Δεκεμβρίου 2004, για την εναρμόνιση των προϋποθέσεων διαφάνειας αναφορικά με την πληροφόρηση σχετικά με εκδότες των οποίων οι κινητές αξίες έχουν εισαχθεί προς διαπραγμάτευση σε ρυθμιζ</w:t>
      </w:r>
      <w:r>
        <w:rPr>
          <w:noProof/>
        </w:rPr>
        <w:t>όμενη αγορά και για την τροποποίηση της οδηγίας 2001/34/ΕK (</w:t>
      </w:r>
      <w:r>
        <w:rPr>
          <w:rStyle w:val="Emphasis"/>
          <w:i w:val="0"/>
          <w:noProof/>
        </w:rPr>
        <w:t>ΕΕ L 390 της 31.12.2004, σ. 38).»·</w:t>
      </w:r>
    </w:p>
    <w:p w14:paraId="462BA972" w14:textId="77777777" w:rsidR="00680C0B" w:rsidRDefault="00A8232D">
      <w:pPr>
        <w:pStyle w:val="Point0"/>
        <w:rPr>
          <w:noProof/>
        </w:rPr>
      </w:pPr>
      <w:r>
        <w:rPr>
          <w:noProof/>
        </w:rPr>
        <w:t>4)</w:t>
      </w:r>
      <w:r>
        <w:rPr>
          <w:noProof/>
        </w:rPr>
        <w:tab/>
        <w:t>παρεμβάλλονται τα ακόλουθα άρθρα 19β, 19γ και 19δ:</w:t>
      </w:r>
    </w:p>
    <w:p w14:paraId="14105096" w14:textId="77777777" w:rsidR="00680C0B" w:rsidRDefault="00A8232D">
      <w:pPr>
        <w:pStyle w:val="NormalCentered"/>
        <w:rPr>
          <w:noProof/>
        </w:rPr>
      </w:pPr>
      <w:r>
        <w:rPr>
          <w:noProof/>
        </w:rPr>
        <w:t>«Άρθρο 19β</w:t>
      </w:r>
    </w:p>
    <w:p w14:paraId="50F0399F" w14:textId="77777777" w:rsidR="00680C0B" w:rsidRDefault="00A8232D">
      <w:pPr>
        <w:pStyle w:val="NormalCentered"/>
        <w:rPr>
          <w:rFonts w:eastAsia="Times New Roman"/>
          <w:b/>
          <w:noProof/>
        </w:rPr>
      </w:pPr>
      <w:r>
        <w:rPr>
          <w:b/>
          <w:noProof/>
        </w:rPr>
        <w:t>Πρότυπα υποβολής εκθέσεων βιωσιμότητας</w:t>
      </w:r>
    </w:p>
    <w:p w14:paraId="2ADF6C45" w14:textId="77777777" w:rsidR="00680C0B" w:rsidRDefault="00A8232D">
      <w:pPr>
        <w:pStyle w:val="Text1"/>
        <w:rPr>
          <w:noProof/>
        </w:rPr>
      </w:pPr>
      <w:r>
        <w:rPr>
          <w:noProof/>
        </w:rPr>
        <w:t>1.</w:t>
      </w:r>
      <w:r>
        <w:rPr>
          <w:noProof/>
        </w:rPr>
        <w:tab/>
        <w:t>Η Επιτροπή εκδίδει κατ’ εξουσιοδότηση πράξεις, σύμφωνα</w:t>
      </w:r>
      <w:r>
        <w:rPr>
          <w:noProof/>
        </w:rPr>
        <w:t xml:space="preserve"> με τις διατάξεις του άρθρου 49, για τη θέσπιση προτύπων υποβολής εκθέσεων βιωσιμότητας. Τα εν λόγω πρότυπα υποβολής εκθέσεων βιωσιμότητας προσδιορίζουν τις πληροφορίες που πρέπει να υποβάλλουν οι επιχειρήσεις σύμφωνα με τα άρθρα 19α και 29α και, κατά περί</w:t>
      </w:r>
      <w:r>
        <w:rPr>
          <w:noProof/>
        </w:rPr>
        <w:t>πτωση, προσδιορίζουν τη δομή με την οποία πρέπει να υποβάλλονται οι εν λόγω πληροφορίες. Ειδικότερα:</w:t>
      </w:r>
    </w:p>
    <w:p w14:paraId="58494EEF" w14:textId="77777777" w:rsidR="00680C0B" w:rsidRDefault="00A8232D">
      <w:pPr>
        <w:pStyle w:val="Point1"/>
        <w:rPr>
          <w:noProof/>
        </w:rPr>
      </w:pPr>
      <w:r>
        <w:rPr>
          <w:noProof/>
        </w:rPr>
        <w:t>α)</w:t>
      </w:r>
      <w:r>
        <w:rPr>
          <w:noProof/>
        </w:rPr>
        <w:tab/>
        <w:t>έως τις 31 Οκτωβρίου 2022, η Επιτροπή εκδίδει κατ’ εξουσιοδότηση πράξεις, στις οποίες προσδιορίζονται οι πληροφορίες που πρέπει να υποβάλλουν οι επιχειρ</w:t>
      </w:r>
      <w:r>
        <w:rPr>
          <w:noProof/>
        </w:rPr>
        <w:t>ήσεις, σύμφωνα με το άρθρο 19α παράγραφοι 1 και 2, και στις οποίες προσδιορίζονται τουλάχιστον οι πληροφορίες που ανταποκρίνονται στις ανάγκες των συμμετεχόντων στις χρηματοπιστωτικές αγορές που υπόκεινται στις υποχρεώσεις δημοσιοποίησης του κανονισμού (ΕΕ</w:t>
      </w:r>
      <w:r>
        <w:rPr>
          <w:noProof/>
        </w:rPr>
        <w:t>) 2019/2088·</w:t>
      </w:r>
    </w:p>
    <w:p w14:paraId="0F6605B0" w14:textId="77777777" w:rsidR="00680C0B" w:rsidRDefault="00A8232D">
      <w:pPr>
        <w:pStyle w:val="Point1"/>
        <w:rPr>
          <w:noProof/>
        </w:rPr>
      </w:pPr>
      <w:r>
        <w:rPr>
          <w:noProof/>
        </w:rPr>
        <w:t>β)</w:t>
      </w:r>
      <w:r>
        <w:rPr>
          <w:noProof/>
        </w:rPr>
        <w:tab/>
        <w:t>έως τις 31 Οκτωβρίου 2023, η Επιτροπή εκδίδει κατ’ εξουσιοδότηση πράξεις, στις οποίες προσδιορίζονται:</w:t>
      </w:r>
    </w:p>
    <w:p w14:paraId="57F4E2C4" w14:textId="77777777" w:rsidR="00680C0B" w:rsidRDefault="00A8232D">
      <w:pPr>
        <w:pStyle w:val="Text2"/>
        <w:rPr>
          <w:noProof/>
        </w:rPr>
      </w:pPr>
      <w:r>
        <w:rPr>
          <w:noProof/>
        </w:rPr>
        <w:t>i)</w:t>
      </w:r>
      <w:r>
        <w:rPr>
          <w:noProof/>
        </w:rPr>
        <w:tab/>
        <w:t>οι συμπληρωματικές πληροφορίες που υποβάλλουν οι επιχειρήσεις όσον αφορά τα θέματα βιωσιμότητας και τους τομείς υποβολής στοιχείων που</w:t>
      </w:r>
      <w:r>
        <w:rPr>
          <w:noProof/>
        </w:rPr>
        <w:t xml:space="preserve"> απαριθμούνται στο άρθρο 19α παράγραφος 2, όπου απαιτείται·</w:t>
      </w:r>
    </w:p>
    <w:p w14:paraId="68AC4B06" w14:textId="77777777" w:rsidR="00680C0B" w:rsidRDefault="00A8232D">
      <w:pPr>
        <w:pStyle w:val="Text2"/>
        <w:rPr>
          <w:noProof/>
        </w:rPr>
      </w:pPr>
      <w:r>
        <w:rPr>
          <w:noProof/>
        </w:rPr>
        <w:t>ii)</w:t>
      </w:r>
      <w:r>
        <w:rPr>
          <w:noProof/>
        </w:rPr>
        <w:tab/>
        <w:t xml:space="preserve">οι πληροφορίες που υποβάλλουν οι επιχειρήσεις και αφορούν ειδικά τον τομέα στον οποίο δραστηριοποιούνται. </w:t>
      </w:r>
    </w:p>
    <w:p w14:paraId="34C70C82" w14:textId="77777777" w:rsidR="00680C0B" w:rsidRDefault="00A8232D">
      <w:pPr>
        <w:pStyle w:val="Text1"/>
        <w:rPr>
          <w:noProof/>
        </w:rPr>
      </w:pPr>
      <w:r>
        <w:rPr>
          <w:noProof/>
        </w:rPr>
        <w:t>Η Επιτροπή, τουλάχιστον ανά τριετία μετά την ημερομηνία εφαρμογής της, επανεξετάζει κ</w:t>
      </w:r>
      <w:r>
        <w:rPr>
          <w:noProof/>
        </w:rPr>
        <w:t>άθε κατ’ εξουσιοδότηση πράξη που εκδίδεται δυνάμει του παρόντος άρθρου, λαμβάνοντας υπόψη τις τεχνικές συμβουλές της Συμβουλευτικής Ομάδας για θέματα χρηματοοικονομικής αναφοράς της Ευρωπαϊκής Ένωσης (EFRAG), και, όπου απαιτείται, τροποποιεί την εν λόγω κα</w:t>
      </w:r>
      <w:r>
        <w:rPr>
          <w:noProof/>
        </w:rPr>
        <w:t>τ’ εξουσιοδότηση πράξη προκειμένου να ληφθούν υπόψη οι σχετικές εξελίξεις, συμπεριλαμβανομένων των εξελίξεων σε σχέση με τα διεθνή πρότυπα.</w:t>
      </w:r>
    </w:p>
    <w:p w14:paraId="53379D35" w14:textId="77777777" w:rsidR="00680C0B" w:rsidRDefault="00A8232D">
      <w:pPr>
        <w:pStyle w:val="Text1"/>
        <w:rPr>
          <w:noProof/>
        </w:rPr>
      </w:pPr>
      <w:r>
        <w:rPr>
          <w:noProof/>
        </w:rPr>
        <w:t>2.</w:t>
      </w:r>
      <w:r>
        <w:rPr>
          <w:noProof/>
        </w:rPr>
        <w:tab/>
        <w:t xml:space="preserve">Σύμφωνα με τα πρότυπα υποβολής εκθέσεων βιωσιμότητας που αναφέρονται στην παράγραφο 1, οι πληροφορίες που πρέπει </w:t>
      </w:r>
      <w:r>
        <w:rPr>
          <w:noProof/>
        </w:rPr>
        <w:t>να κοινοποιούνται απαιτείται να είναι κατανοητές, σχετικές, αντιπροσωπευτικές, επαληθεύσιμες, συγκρίσιμες και να παρουσιάζονται με ακρίβεια.</w:t>
      </w:r>
    </w:p>
    <w:p w14:paraId="1796ED1F" w14:textId="77777777" w:rsidR="00680C0B" w:rsidRDefault="00A8232D">
      <w:pPr>
        <w:pStyle w:val="Text1"/>
        <w:rPr>
          <w:noProof/>
        </w:rPr>
      </w:pPr>
      <w:r>
        <w:rPr>
          <w:noProof/>
        </w:rPr>
        <w:t>Τα πρότυπα υποβολής εκθέσεων βιωσιμότητας, λαμβάνοντας υπόψη το αντικείμενο ενός συγκεκριμένου προτύπου:</w:t>
      </w:r>
    </w:p>
    <w:p w14:paraId="14138333" w14:textId="77777777" w:rsidR="00680C0B" w:rsidRDefault="00A8232D">
      <w:pPr>
        <w:pStyle w:val="Text2"/>
        <w:rPr>
          <w:noProof/>
        </w:rPr>
      </w:pPr>
      <w:r>
        <w:rPr>
          <w:noProof/>
        </w:rPr>
        <w:t>α)</w:t>
      </w:r>
      <w:r>
        <w:rPr>
          <w:noProof/>
        </w:rPr>
        <w:tab/>
        <w:t>προσδιο</w:t>
      </w:r>
      <w:r>
        <w:rPr>
          <w:noProof/>
        </w:rPr>
        <w:t>ρίζουν τις πληροφορίες που πρέπει να δημοσιοποιούν οι επιχειρήσεις σχετικά με περιβαλλοντικούς παράγοντες, συμπεριλαμβανομένων πληροφοριών σχετικά με:</w:t>
      </w:r>
    </w:p>
    <w:p w14:paraId="4B9CF333" w14:textId="77777777" w:rsidR="00680C0B" w:rsidRDefault="00A8232D">
      <w:pPr>
        <w:pStyle w:val="Text3"/>
        <w:rPr>
          <w:noProof/>
        </w:rPr>
      </w:pPr>
      <w:r>
        <w:rPr>
          <w:noProof/>
        </w:rPr>
        <w:t>i)</w:t>
      </w:r>
      <w:r>
        <w:rPr>
          <w:noProof/>
        </w:rPr>
        <w:tab/>
      </w:r>
      <w:r>
        <w:rPr>
          <w:noProof/>
        </w:rPr>
        <w:tab/>
        <w:t>τον μετριασμό της κλιματικής αλλαγής·</w:t>
      </w:r>
    </w:p>
    <w:p w14:paraId="5F2AC3CB" w14:textId="77777777" w:rsidR="00680C0B" w:rsidRDefault="00A8232D">
      <w:pPr>
        <w:pStyle w:val="Text3"/>
        <w:rPr>
          <w:noProof/>
        </w:rPr>
      </w:pPr>
      <w:r>
        <w:rPr>
          <w:noProof/>
        </w:rPr>
        <w:t>ii)</w:t>
      </w:r>
      <w:r>
        <w:rPr>
          <w:noProof/>
        </w:rPr>
        <w:tab/>
        <w:t xml:space="preserve">την προσαρμογή στην κλιματική αλλαγή· </w:t>
      </w:r>
    </w:p>
    <w:p w14:paraId="06A61B8A" w14:textId="77777777" w:rsidR="00680C0B" w:rsidRDefault="00A8232D">
      <w:pPr>
        <w:pStyle w:val="Text3"/>
        <w:rPr>
          <w:noProof/>
        </w:rPr>
      </w:pPr>
      <w:r>
        <w:rPr>
          <w:noProof/>
        </w:rPr>
        <w:t>iii)</w:t>
      </w:r>
      <w:r>
        <w:rPr>
          <w:noProof/>
        </w:rPr>
        <w:tab/>
      </w:r>
      <w:r>
        <w:rPr>
          <w:noProof/>
        </w:rPr>
        <w:t xml:space="preserve">τους υδάτινους και τους θαλάσσιους πόρους· </w:t>
      </w:r>
    </w:p>
    <w:p w14:paraId="2D7B39FA" w14:textId="77777777" w:rsidR="00680C0B" w:rsidRDefault="00A8232D">
      <w:pPr>
        <w:pStyle w:val="Text3"/>
        <w:rPr>
          <w:noProof/>
        </w:rPr>
      </w:pPr>
      <w:r>
        <w:rPr>
          <w:noProof/>
        </w:rPr>
        <w:t>iv)</w:t>
      </w:r>
      <w:r>
        <w:rPr>
          <w:noProof/>
        </w:rPr>
        <w:tab/>
        <w:t>τη χρήση των πόρων και την κυκλική οικονομία:</w:t>
      </w:r>
    </w:p>
    <w:p w14:paraId="6B6BF22D" w14:textId="77777777" w:rsidR="00680C0B" w:rsidRDefault="00A8232D">
      <w:pPr>
        <w:pStyle w:val="Text3"/>
        <w:rPr>
          <w:noProof/>
        </w:rPr>
      </w:pPr>
      <w:r>
        <w:rPr>
          <w:noProof/>
        </w:rPr>
        <w:t>v)</w:t>
      </w:r>
      <w:r>
        <w:rPr>
          <w:noProof/>
        </w:rPr>
        <w:tab/>
        <w:t xml:space="preserve">τη ρύπανση· </w:t>
      </w:r>
    </w:p>
    <w:p w14:paraId="273697B1" w14:textId="77777777" w:rsidR="00680C0B" w:rsidRDefault="00A8232D">
      <w:pPr>
        <w:pStyle w:val="Text3"/>
        <w:rPr>
          <w:noProof/>
        </w:rPr>
      </w:pPr>
      <w:r>
        <w:rPr>
          <w:noProof/>
        </w:rPr>
        <w:t>vi)</w:t>
      </w:r>
      <w:r>
        <w:rPr>
          <w:noProof/>
        </w:rPr>
        <w:tab/>
        <w:t>τη βιοποικιλότητα και τα οικοσυστήματα·</w:t>
      </w:r>
    </w:p>
    <w:p w14:paraId="74663824" w14:textId="77777777" w:rsidR="00680C0B" w:rsidRDefault="00A8232D">
      <w:pPr>
        <w:pStyle w:val="Text2"/>
        <w:rPr>
          <w:noProof/>
        </w:rPr>
      </w:pPr>
      <w:r>
        <w:rPr>
          <w:noProof/>
        </w:rPr>
        <w:t>β)</w:t>
      </w:r>
      <w:r>
        <w:rPr>
          <w:noProof/>
        </w:rPr>
        <w:tab/>
        <w:t>προσδιορίζουν τις πληροφορίες που πρέπει να δημοσιοποιούν οι επιχειρήσεις σχετικά με κοινωνικούς πα</w:t>
      </w:r>
      <w:r>
        <w:rPr>
          <w:noProof/>
        </w:rPr>
        <w:t>ράγοντες, συμπεριλαμβανομένων πληροφοριών σχετικά με τα εξής:</w:t>
      </w:r>
    </w:p>
    <w:p w14:paraId="1084AAED" w14:textId="77777777" w:rsidR="00680C0B" w:rsidRDefault="00A8232D">
      <w:pPr>
        <w:pStyle w:val="Text3"/>
        <w:rPr>
          <w:noProof/>
        </w:rPr>
      </w:pPr>
      <w:r>
        <w:rPr>
          <w:noProof/>
        </w:rPr>
        <w:t>i)</w:t>
      </w:r>
      <w:r>
        <w:rPr>
          <w:noProof/>
        </w:rPr>
        <w:tab/>
        <w:t>τις ίσες ευκαιρίες για όλους, συμπεριλαμβανομένης της ισότητας των φύλων και της ισότητας της αμοιβής για όμοια εργασία, της κατάρτισης και της ανάπτυξης δεξιοτήτων, καθώς και της απασχόλησης</w:t>
      </w:r>
      <w:r>
        <w:rPr>
          <w:noProof/>
        </w:rPr>
        <w:t xml:space="preserve"> και της ένταξης ατόμων με αναπηρία·</w:t>
      </w:r>
    </w:p>
    <w:p w14:paraId="4C9E04AA" w14:textId="77777777" w:rsidR="00680C0B" w:rsidRDefault="00A8232D">
      <w:pPr>
        <w:pStyle w:val="Text3"/>
        <w:rPr>
          <w:noProof/>
        </w:rPr>
      </w:pPr>
      <w:r>
        <w:rPr>
          <w:noProof/>
        </w:rPr>
        <w:t>ii)</w:t>
      </w:r>
      <w:r>
        <w:rPr>
          <w:noProof/>
        </w:rPr>
        <w:tab/>
        <w:t xml:space="preserve">τις συνθήκες εργασίας, συμπεριλαμβανομένων της ασφαλούς και ευπροσάρμοστης απασχόλησης, των μισθών, του κοινωνικού διαλόγου, των συλλογικών διαπραγματεύσεων και της συμμετοχής των εργαζομένων, της </w:t>
      </w:r>
      <w:r>
        <w:rPr>
          <w:noProof/>
        </w:rPr>
        <w:t>ισορροπίας μεταξύ επαγγελματικής και ιδιωτικής ζωής και ενός υγιούς, ασφαλούς και κατάλληλα προσαρμοσμένου περιβάλλοντος εργασίας·</w:t>
      </w:r>
    </w:p>
    <w:p w14:paraId="6525BAEF" w14:textId="77777777" w:rsidR="00680C0B" w:rsidRDefault="00A8232D">
      <w:pPr>
        <w:pStyle w:val="Text3"/>
        <w:rPr>
          <w:rFonts w:eastAsia="Times New Roman"/>
          <w:noProof/>
          <w:szCs w:val="24"/>
        </w:rPr>
      </w:pPr>
      <w:r>
        <w:rPr>
          <w:noProof/>
        </w:rPr>
        <w:t>iii)</w:t>
      </w:r>
      <w:r>
        <w:rPr>
          <w:noProof/>
        </w:rPr>
        <w:tab/>
        <w:t>τον σεβασμό των ανθρώπινων δικαιωμάτων, των θεμελιωδών ελευθεριών, των δημοκρατικών αρχών και των προτύπων που θεσπίζοντ</w:t>
      </w:r>
      <w:r>
        <w:rPr>
          <w:noProof/>
        </w:rPr>
        <w:t>αι στον Διεθνή Χάρτη Δικαιωμάτων του Ανθρώπου και σε άλλες βασικές συμβάσεις των Ηνωμένων Εθνών για τα ανθρώπινα δικαιώματα, στη διακήρυξη της Διεθνούς Οργάνωσης Εργασίας σχετικά με τις θεμελιώδεις αρχές και τα δικαιώματα εργασίας, στις θεμελιώδεις συμβάσε</w:t>
      </w:r>
      <w:r>
        <w:rPr>
          <w:noProof/>
        </w:rPr>
        <w:t>ις της Διεθνούς Οργάνωσης Εργασίας και στον Χάρτη των Θεμελιωδών Δικαιωμάτων της Ευρωπαϊκής Ένωσης.</w:t>
      </w:r>
    </w:p>
    <w:p w14:paraId="7381401B" w14:textId="77777777" w:rsidR="00680C0B" w:rsidRDefault="00A8232D">
      <w:pPr>
        <w:pStyle w:val="Text2"/>
        <w:rPr>
          <w:noProof/>
        </w:rPr>
      </w:pPr>
      <w:r>
        <w:rPr>
          <w:noProof/>
        </w:rPr>
        <w:t>γ)</w:t>
      </w:r>
      <w:r>
        <w:rPr>
          <w:noProof/>
        </w:rPr>
        <w:tab/>
        <w:t>προσδιορίζουν τις πληροφορίες που πρέπει να δημοσιοποιούν οι επιχειρήσεις σχετικά με παράγοντες διακυβέρνησης, συμπεριλαμβανομένων πληροφοριών σχετικά με</w:t>
      </w:r>
      <w:r>
        <w:rPr>
          <w:noProof/>
        </w:rPr>
        <w:t xml:space="preserve">: </w:t>
      </w:r>
    </w:p>
    <w:p w14:paraId="4085517B" w14:textId="77777777" w:rsidR="00680C0B" w:rsidRDefault="00A8232D">
      <w:pPr>
        <w:pStyle w:val="Text3"/>
        <w:rPr>
          <w:noProof/>
        </w:rPr>
      </w:pPr>
      <w:r>
        <w:rPr>
          <w:noProof/>
        </w:rPr>
        <w:t>i)</w:t>
      </w:r>
      <w:r>
        <w:rPr>
          <w:noProof/>
        </w:rPr>
        <w:tab/>
      </w:r>
      <w:r>
        <w:rPr>
          <w:noProof/>
        </w:rPr>
        <w:tab/>
        <w:t>τον ρόλο των διοικητικών, διαχειριστικών και εποπτικών οργάνων της επιχείρησης, μεταξύ άλλων όσον αφορά θέματα βιωσιμότητας, και τη σύνθεσή τους·</w:t>
      </w:r>
    </w:p>
    <w:p w14:paraId="5593B752" w14:textId="77777777" w:rsidR="00680C0B" w:rsidRDefault="00A8232D">
      <w:pPr>
        <w:pStyle w:val="Text3"/>
        <w:rPr>
          <w:noProof/>
        </w:rPr>
      </w:pPr>
      <w:r>
        <w:rPr>
          <w:noProof/>
        </w:rPr>
        <w:t>ii)</w:t>
      </w:r>
      <w:r>
        <w:rPr>
          <w:noProof/>
        </w:rPr>
        <w:tab/>
        <w:t>την επαγγελματική δεοντολογία και την επιχειρηματική νοοτροπία, συμπεριλαμβανομένης της καταπολέμησ</w:t>
      </w:r>
      <w:r>
        <w:rPr>
          <w:noProof/>
        </w:rPr>
        <w:t>ης της διαφθοράς και της διαφθοράς·</w:t>
      </w:r>
    </w:p>
    <w:p w14:paraId="1EECA440" w14:textId="77777777" w:rsidR="00680C0B" w:rsidRDefault="00A8232D">
      <w:pPr>
        <w:pStyle w:val="Text3"/>
        <w:rPr>
          <w:noProof/>
        </w:rPr>
      </w:pPr>
      <w:r>
        <w:rPr>
          <w:noProof/>
        </w:rPr>
        <w:t>iii)</w:t>
      </w:r>
      <w:r>
        <w:rPr>
          <w:noProof/>
        </w:rPr>
        <w:tab/>
        <w:t>τις πολιτικές δεσμεύσεις της επιχείρησης, μεταξύ των οποίων και οι δραστηριότητες άσκησης πίεσης από ομάδες συμφερόντων·</w:t>
      </w:r>
    </w:p>
    <w:p w14:paraId="7765EE75" w14:textId="77777777" w:rsidR="00680C0B" w:rsidRDefault="00A8232D">
      <w:pPr>
        <w:pStyle w:val="Text3"/>
        <w:rPr>
          <w:noProof/>
        </w:rPr>
      </w:pPr>
      <w:r>
        <w:rPr>
          <w:noProof/>
        </w:rPr>
        <w:t>iv)</w:t>
      </w:r>
      <w:r>
        <w:rPr>
          <w:noProof/>
        </w:rPr>
        <w:tab/>
        <w:t>τη διαχείριση και την ποιότητα των σχέσεων με τους επιχειρηματικούς εταίρους, συμπεριλαμβα</w:t>
      </w:r>
      <w:r>
        <w:rPr>
          <w:noProof/>
        </w:rPr>
        <w:t>νομένων των πρακτικών πληρωμών·</w:t>
      </w:r>
    </w:p>
    <w:p w14:paraId="1C79FC16" w14:textId="77777777" w:rsidR="00680C0B" w:rsidRDefault="00A8232D">
      <w:pPr>
        <w:pStyle w:val="Text3"/>
        <w:rPr>
          <w:noProof/>
        </w:rPr>
      </w:pPr>
      <w:r>
        <w:rPr>
          <w:noProof/>
        </w:rPr>
        <w:t>v)</w:t>
      </w:r>
      <w:r>
        <w:rPr>
          <w:noProof/>
        </w:rPr>
        <w:tab/>
        <w:t>τα συστήματα εσωτερικού ελέγχου διασφάλισης της ποιότητας και διαχείρισης κινδύνων της επιχείρησης, μεταξύ άλλων σε σχέση με τη διαδικασία υποβολής εκθέσεων της επιχείρησης.</w:t>
      </w:r>
    </w:p>
    <w:p w14:paraId="0EC89BF5" w14:textId="77777777" w:rsidR="00680C0B" w:rsidRDefault="00A8232D">
      <w:pPr>
        <w:pStyle w:val="Text1"/>
        <w:rPr>
          <w:noProof/>
        </w:rPr>
      </w:pPr>
      <w:r>
        <w:rPr>
          <w:noProof/>
        </w:rPr>
        <w:t>3.</w:t>
      </w:r>
      <w:r>
        <w:rPr>
          <w:noProof/>
        </w:rPr>
        <w:tab/>
        <w:t>Κατά την έκδοση κατ’ εξουσιοδότηση πράξεων σ</w:t>
      </w:r>
      <w:r>
        <w:rPr>
          <w:noProof/>
        </w:rPr>
        <w:t>ύμφωνα με την παράγραφο 1, η Επιτροπή λαμβάνει υπόψη:</w:t>
      </w:r>
    </w:p>
    <w:p w14:paraId="4113AFD0" w14:textId="77777777" w:rsidR="00680C0B" w:rsidRDefault="00A8232D">
      <w:pPr>
        <w:pStyle w:val="Point1"/>
        <w:rPr>
          <w:noProof/>
        </w:rPr>
      </w:pPr>
      <w:r>
        <w:rPr>
          <w:noProof/>
        </w:rPr>
        <w:t>α)</w:t>
      </w:r>
      <w:r>
        <w:rPr>
          <w:noProof/>
        </w:rPr>
        <w:tab/>
        <w:t>τις εργασίες στο πλαίσιο παγκόσμιων πρωτοβουλιών καθορισμού προτύπων για την υποβολή εκθέσεων βιωσιμότητας, καθώς και τα υφιστάμενα πρότυπα και πλαίσια για τη λογιστική απεικόνιση του φυσικού κεφαλαί</w:t>
      </w:r>
      <w:r>
        <w:rPr>
          <w:noProof/>
        </w:rPr>
        <w:t xml:space="preserve">ου, την υπεύθυνη επιχειρηματική συμπεριφορά, την εταιρική κοινωνική ευθύνη και τη βιώσιμη ανάπτυξη· </w:t>
      </w:r>
    </w:p>
    <w:p w14:paraId="2B4CA60A" w14:textId="77777777" w:rsidR="00680C0B" w:rsidRDefault="00A8232D">
      <w:pPr>
        <w:pStyle w:val="Point1"/>
        <w:rPr>
          <w:noProof/>
        </w:rPr>
      </w:pPr>
      <w:r>
        <w:rPr>
          <w:noProof/>
        </w:rPr>
        <w:t>β)</w:t>
      </w:r>
      <w:r>
        <w:rPr>
          <w:noProof/>
        </w:rPr>
        <w:tab/>
        <w:t>τις πληροφορίες που χρειάζονται οι συμμετέχοντες στις χρηματοπιστωτικές αγορές προκειμένου να συμμορφώνονται με τις υποχρεώσεις δημοσιοποίησης που υπέχο</w:t>
      </w:r>
      <w:r>
        <w:rPr>
          <w:noProof/>
        </w:rPr>
        <w:t>υν βάσει του κανονισμού (ΕΕ) 2019/2088 και των κατ’ εξουσιοδότηση πράξεων που εκδίδονται σύμφωνα με τον εν λόγω κανονισμό·</w:t>
      </w:r>
    </w:p>
    <w:p w14:paraId="368AA18E" w14:textId="77777777" w:rsidR="00680C0B" w:rsidRDefault="00A8232D">
      <w:pPr>
        <w:pStyle w:val="Point1"/>
        <w:rPr>
          <w:noProof/>
        </w:rPr>
      </w:pPr>
      <w:r>
        <w:rPr>
          <w:noProof/>
        </w:rPr>
        <w:t>γ)</w:t>
      </w:r>
      <w:r>
        <w:rPr>
          <w:noProof/>
        </w:rPr>
        <w:tab/>
        <w:t>τα κριτήρια που καθορίζονται στις κατ’ εξουσιοδότηση πράξεις που εκδίδονται σύμφωνα με τον κανονισμό (ΕΕ) 2020/852*</w:t>
      </w:r>
      <w:r>
        <w:rPr>
          <w:noProof/>
          <w:vertAlign w:val="superscript"/>
        </w:rPr>
        <w:t>7</w:t>
      </w:r>
      <w:r>
        <w:rPr>
          <w:noProof/>
        </w:rPr>
        <w:t>·</w:t>
      </w:r>
    </w:p>
    <w:p w14:paraId="7F6488D8" w14:textId="77777777" w:rsidR="00680C0B" w:rsidRDefault="00A8232D">
      <w:pPr>
        <w:pStyle w:val="Point1"/>
        <w:rPr>
          <w:noProof/>
        </w:rPr>
      </w:pPr>
      <w:r>
        <w:rPr>
          <w:noProof/>
        </w:rPr>
        <w:t>δ)</w:t>
      </w:r>
      <w:r>
        <w:rPr>
          <w:noProof/>
        </w:rPr>
        <w:tab/>
        <w:t>τις απαιτ</w:t>
      </w:r>
      <w:r>
        <w:rPr>
          <w:noProof/>
        </w:rPr>
        <w:t>ήσεις γνωστοποίησης που ισχύουν για τους διαχειριστές δεικτών αναφοράς στη δήλωση δείκτη αναφοράς και στη μεθοδολογία του δείκτη αναφοράς και τα ελάχιστα πρότυπα για τη δημιουργία ενωσιακών δεικτών αναφοράς για την κλιματική μετάβαση τους ευθυγραμμισμένους</w:t>
      </w:r>
      <w:r>
        <w:rPr>
          <w:noProof/>
        </w:rPr>
        <w:t xml:space="preserve"> με τη συμφωνία του Παρισιού ενωσιακούς δείκτες αναφοράς, σύμφωνα με τους κατ’ εξουσιοδότηση κανονισμούς (ΕΕ) 2020/1816*</w:t>
      </w:r>
      <w:r>
        <w:rPr>
          <w:noProof/>
          <w:vertAlign w:val="superscript"/>
        </w:rPr>
        <w:t>8</w:t>
      </w:r>
      <w:r>
        <w:rPr>
          <w:noProof/>
        </w:rPr>
        <w:t>, (ΕΕ) 2020/1817*</w:t>
      </w:r>
      <w:r>
        <w:rPr>
          <w:noProof/>
          <w:vertAlign w:val="superscript"/>
        </w:rPr>
        <w:t>9</w:t>
      </w:r>
      <w:r>
        <w:rPr>
          <w:noProof/>
        </w:rPr>
        <w:t xml:space="preserve"> και (ΕΕ) 2020/1818*</w:t>
      </w:r>
      <w:r>
        <w:rPr>
          <w:noProof/>
          <w:vertAlign w:val="superscript"/>
        </w:rPr>
        <w:t>10</w:t>
      </w:r>
      <w:r>
        <w:rPr>
          <w:noProof/>
        </w:rPr>
        <w:t xml:space="preserve"> της Επιτροπής·</w:t>
      </w:r>
    </w:p>
    <w:p w14:paraId="4EE2B284" w14:textId="77777777" w:rsidR="00680C0B" w:rsidRDefault="00A8232D">
      <w:pPr>
        <w:pStyle w:val="Point1"/>
        <w:rPr>
          <w:noProof/>
        </w:rPr>
      </w:pPr>
      <w:r>
        <w:rPr>
          <w:noProof/>
        </w:rPr>
        <w:t>ε)</w:t>
      </w:r>
      <w:r>
        <w:rPr>
          <w:noProof/>
        </w:rPr>
        <w:tab/>
        <w:t xml:space="preserve">τις δημοσιοποιήσεις οι οποίες προσδιορίζονται στις εκτελεστικές πράξεις που </w:t>
      </w:r>
      <w:r>
        <w:rPr>
          <w:noProof/>
        </w:rPr>
        <w:t>εκδίδονται σύμφωνα με το άρθρο 434α του κανονισμού (ΕΕ) αριθ. 575/2013*</w:t>
      </w:r>
      <w:r>
        <w:rPr>
          <w:noProof/>
          <w:vertAlign w:val="superscript"/>
        </w:rPr>
        <w:t>11</w:t>
      </w:r>
      <w:r>
        <w:rPr>
          <w:noProof/>
        </w:rPr>
        <w:t>·</w:t>
      </w:r>
    </w:p>
    <w:p w14:paraId="69E74918" w14:textId="77777777" w:rsidR="00680C0B" w:rsidRDefault="00A8232D">
      <w:pPr>
        <w:pStyle w:val="Point1"/>
        <w:rPr>
          <w:noProof/>
        </w:rPr>
      </w:pPr>
      <w:r>
        <w:rPr>
          <w:noProof/>
        </w:rPr>
        <w:t>στ)</w:t>
      </w:r>
      <w:r>
        <w:rPr>
          <w:noProof/>
        </w:rPr>
        <w:tab/>
        <w:t>τη σύσταση 2013/179/EΕ της Επιτροπής*</w:t>
      </w:r>
      <w:r>
        <w:rPr>
          <w:noProof/>
          <w:vertAlign w:val="superscript"/>
        </w:rPr>
        <w:t>12</w:t>
      </w:r>
      <w:r>
        <w:rPr>
          <w:noProof/>
        </w:rPr>
        <w:t>·</w:t>
      </w:r>
    </w:p>
    <w:p w14:paraId="68EC0112" w14:textId="77777777" w:rsidR="00680C0B" w:rsidRDefault="00A8232D">
      <w:pPr>
        <w:pStyle w:val="Point1"/>
        <w:rPr>
          <w:noProof/>
        </w:rPr>
      </w:pPr>
      <w:r>
        <w:rPr>
          <w:noProof/>
        </w:rPr>
        <w:t>ζ)</w:t>
      </w:r>
      <w:r>
        <w:rPr>
          <w:noProof/>
        </w:rPr>
        <w:tab/>
        <w:t>την οδηγία 2003/87/ΕΚ του Ευρωπαϊκού Κοινοβουλίου και του Συμβουλίου*</w:t>
      </w:r>
      <w:r>
        <w:rPr>
          <w:noProof/>
          <w:vertAlign w:val="superscript"/>
        </w:rPr>
        <w:t>13</w:t>
      </w:r>
      <w:r>
        <w:rPr>
          <w:noProof/>
        </w:rPr>
        <w:t>·</w:t>
      </w:r>
    </w:p>
    <w:p w14:paraId="40F20A32" w14:textId="77777777" w:rsidR="00680C0B" w:rsidRDefault="00A8232D">
      <w:pPr>
        <w:pStyle w:val="Point1"/>
        <w:rPr>
          <w:noProof/>
        </w:rPr>
      </w:pPr>
      <w:r>
        <w:rPr>
          <w:noProof/>
        </w:rPr>
        <w:t>η)</w:t>
      </w:r>
      <w:r>
        <w:rPr>
          <w:noProof/>
        </w:rPr>
        <w:tab/>
        <w:t>τον κανονισμό (ΕΚ) αριθ. 1221/2009 του Ευρωπαϊκού Κοινοβο</w:t>
      </w:r>
      <w:r>
        <w:rPr>
          <w:noProof/>
        </w:rPr>
        <w:t>υλίου και του Συμβουλίου*</w:t>
      </w:r>
      <w:r>
        <w:rPr>
          <w:noProof/>
          <w:vertAlign w:val="superscript"/>
        </w:rPr>
        <w:t>14</w:t>
      </w:r>
      <w:r>
        <w:rPr>
          <w:noProof/>
        </w:rPr>
        <w:t>.</w:t>
      </w:r>
    </w:p>
    <w:p w14:paraId="207E0745" w14:textId="77777777" w:rsidR="00680C0B" w:rsidRDefault="00A8232D">
      <w:pPr>
        <w:pStyle w:val="Text1"/>
        <w:rPr>
          <w:noProof/>
        </w:rPr>
      </w:pPr>
      <w:r>
        <w:rPr>
          <w:noProof/>
        </w:rPr>
        <w:t>______________________________________________________________________</w:t>
      </w:r>
    </w:p>
    <w:p w14:paraId="1DE99326" w14:textId="77777777" w:rsidR="00680C0B" w:rsidRDefault="00A8232D">
      <w:pPr>
        <w:pStyle w:val="FootnoteText"/>
        <w:rPr>
          <w:noProof/>
        </w:rPr>
      </w:pPr>
      <w:r>
        <w:rPr>
          <w:noProof/>
        </w:rPr>
        <w:t>*</w:t>
      </w:r>
      <w:r>
        <w:rPr>
          <w:noProof/>
          <w:vertAlign w:val="superscript"/>
        </w:rPr>
        <w:t>7</w:t>
      </w:r>
      <w:r>
        <w:rPr>
          <w:noProof/>
        </w:rPr>
        <w:tab/>
        <w:t>Κανονισμός (ΕΕ) 2020/852 του Ευρωπαϊκού Κοινοβουλίου και του Συμβουλίου, της 18ης Ιουνίου 2020, σχετικά με τη θέσπιση πλαισίου για τη διευκόλυνση των βιώ</w:t>
      </w:r>
      <w:r>
        <w:rPr>
          <w:noProof/>
        </w:rPr>
        <w:t>σιμων επενδύσεων και για την τροποποίηση του κανονισμού (ΕΕ) 2019/2088 (ΕΕ L 198 της 22.6.2020, σ. 13).</w:t>
      </w:r>
    </w:p>
    <w:p w14:paraId="24BECB4F" w14:textId="77777777" w:rsidR="00680C0B" w:rsidRDefault="00A8232D">
      <w:pPr>
        <w:pStyle w:val="FootnoteText"/>
        <w:rPr>
          <w:noProof/>
        </w:rPr>
      </w:pPr>
      <w:r>
        <w:rPr>
          <w:noProof/>
        </w:rPr>
        <w:t>*</w:t>
      </w:r>
      <w:r>
        <w:rPr>
          <w:noProof/>
          <w:vertAlign w:val="superscript"/>
        </w:rPr>
        <w:t>8</w:t>
      </w:r>
      <w:r>
        <w:rPr>
          <w:noProof/>
        </w:rPr>
        <w:tab/>
        <w:t>Κατ’ εξουσιοδότηση κανονισμός (ΕΕ) 2020/1816 της Επιτροπής, της 17ης Ιουλίου 2020, για τη συμπλήρωση του κανονισμού (ΕΕ) 2016/1011 του Ευρωπαϊκού Κοι</w:t>
      </w:r>
      <w:r>
        <w:rPr>
          <w:noProof/>
        </w:rPr>
        <w:t>νοβουλίου και του Συμβουλίου όσον αφορά την εξήγηση, στη δήλωση δείκτη αναφοράς, του τρόπου με τον οποίο αντικατοπτρίζονται περιβαλλοντικοί, κοινωνικοί και σχετικοί με τη διακυβέρνηση παράγοντες σε κάθε δείκτη αναφοράς που παρέχεται και δημοσιεύεται (ΕΕ L </w:t>
      </w:r>
      <w:r>
        <w:rPr>
          <w:noProof/>
        </w:rPr>
        <w:t>406 της 3.12.2020, σ. 1).</w:t>
      </w:r>
    </w:p>
    <w:p w14:paraId="468A5982" w14:textId="77777777" w:rsidR="00680C0B" w:rsidRDefault="00A8232D">
      <w:pPr>
        <w:pStyle w:val="FootnoteText"/>
        <w:rPr>
          <w:noProof/>
        </w:rPr>
      </w:pPr>
      <w:r>
        <w:rPr>
          <w:noProof/>
        </w:rPr>
        <w:t>*</w:t>
      </w:r>
      <w:r>
        <w:rPr>
          <w:noProof/>
          <w:vertAlign w:val="superscript"/>
        </w:rPr>
        <w:t>9</w:t>
      </w:r>
      <w:r>
        <w:rPr>
          <w:noProof/>
        </w:rPr>
        <w:tab/>
        <w:t>Κατ’ εξουσιοδότηση κανονισμός (ΕΕ) 2020/1817 της Επιτροπής, της 17ης Ιουλίου 2020, για τη συμπλήρωση του κανονισμού (ΕΕ) 2016/1011 του Ευρωπαϊκού Κοινοβουλίου και του Συμβουλίου όσον αφορά το ελάχιστο περιεχόμενο της εξήγησης τ</w:t>
      </w:r>
      <w:r>
        <w:rPr>
          <w:noProof/>
        </w:rPr>
        <w:t>ου τρόπου με τον οποίο αντικατοπτρίζονται περιβαλλοντικοί, κοινωνικοί και σχετικοί με τη διακυβέρνηση παράγοντες στη μεθοδολογία του δείκτη αναφοράς (ΕΕ L 406 της 3.12.2020, σ. 12).</w:t>
      </w:r>
    </w:p>
    <w:p w14:paraId="4498B8D4" w14:textId="77777777" w:rsidR="00680C0B" w:rsidRDefault="00A8232D">
      <w:pPr>
        <w:pStyle w:val="FootnoteText"/>
        <w:rPr>
          <w:noProof/>
        </w:rPr>
      </w:pPr>
      <w:r>
        <w:rPr>
          <w:noProof/>
        </w:rPr>
        <w:t>*</w:t>
      </w:r>
      <w:r>
        <w:rPr>
          <w:noProof/>
          <w:vertAlign w:val="superscript"/>
        </w:rPr>
        <w:t>10</w:t>
      </w:r>
      <w:r>
        <w:rPr>
          <w:noProof/>
        </w:rPr>
        <w:tab/>
        <w:t>Κατ’ εξουσιοδότηση κανονισμός (ΕΕ) 2020/1818 της Επιτροπής, της 17ης Ι</w:t>
      </w:r>
      <w:r>
        <w:rPr>
          <w:noProof/>
        </w:rPr>
        <w:t xml:space="preserve">ουλίου 2020, για τη συμπλήρωση του κανονισμού (ΕΕ) 2016/1011 του Ευρωπαϊκού Κοινοβουλίου και του Συμβουλίου όσον αφορά ελάχιστα πρότυπα για ενωσιακούς δείκτες αναφοράς για την κλιματική μετάβαση και ευθυγραμμισμένους με τη συμφωνία του Παρισιού ενωσιακούς </w:t>
      </w:r>
      <w:r>
        <w:rPr>
          <w:noProof/>
        </w:rPr>
        <w:t>δείκτες αναφοράς (ΕΕ L 406 της 3.12.2020, σ. 17).</w:t>
      </w:r>
    </w:p>
    <w:p w14:paraId="31F7665F" w14:textId="77777777" w:rsidR="00680C0B" w:rsidRDefault="00A8232D">
      <w:pPr>
        <w:pStyle w:val="FootnoteText"/>
        <w:rPr>
          <w:noProof/>
        </w:rPr>
      </w:pPr>
      <w:r>
        <w:rPr>
          <w:noProof/>
        </w:rPr>
        <w:t>*</w:t>
      </w:r>
      <w:r>
        <w:rPr>
          <w:noProof/>
          <w:vertAlign w:val="superscript"/>
        </w:rPr>
        <w:t>11</w:t>
      </w:r>
      <w:r>
        <w:rPr>
          <w:noProof/>
        </w:rPr>
        <w:tab/>
      </w:r>
      <w:r>
        <w:rPr>
          <w:noProof/>
        </w:rPr>
        <w:t>Εκτελεστικός κανονισμός της Επιτροπής για τον καθορισμό εκτελεστικών τεχνικών προτύπων σχετικά με τις δημοσιοποιήσεις από τα ιδρύματα των πληροφοριών που αναφέρονται στο όγδοο μέρος τίτλοι II και III του κανονισμού (ΕΕ) αριθ. 575/2013 του Ευρωπαϊκού Κοινοβ</w:t>
      </w:r>
      <w:r>
        <w:rPr>
          <w:noProof/>
        </w:rPr>
        <w:t>ουλίου και του Συμβουλίου [C(2021) 1595].</w:t>
      </w:r>
    </w:p>
    <w:p w14:paraId="7B1F1DAE" w14:textId="77777777" w:rsidR="00680C0B" w:rsidRDefault="00A8232D">
      <w:pPr>
        <w:pStyle w:val="FootnoteText"/>
        <w:rPr>
          <w:noProof/>
        </w:rPr>
      </w:pPr>
      <w:r>
        <w:rPr>
          <w:noProof/>
        </w:rPr>
        <w:t>*</w:t>
      </w:r>
      <w:r>
        <w:rPr>
          <w:noProof/>
          <w:vertAlign w:val="superscript"/>
        </w:rPr>
        <w:t>12</w:t>
      </w:r>
      <w:r>
        <w:rPr>
          <w:noProof/>
        </w:rPr>
        <w:tab/>
        <w:t>Σύσταση 2013/179/ΕΕ της Επιτροπής, της 9ης Απριλίου 2013, σχετικά με τη χρήση κοινών μεθόδων για τη μέτρηση και τη γνωστοποίηση των περιβαλλοντικών επιδόσεων κατά τον κύκλο ζωής των προϊόντων και των οργανισμών</w:t>
      </w:r>
      <w:r>
        <w:rPr>
          <w:noProof/>
        </w:rPr>
        <w:t xml:space="preserve"> (ΕΕ L 124 της 4.5.2013, σ. 1).</w:t>
      </w:r>
    </w:p>
    <w:p w14:paraId="73C28DE0" w14:textId="77777777" w:rsidR="00680C0B" w:rsidRDefault="00A8232D">
      <w:pPr>
        <w:pStyle w:val="FootnoteText"/>
        <w:rPr>
          <w:noProof/>
        </w:rPr>
      </w:pPr>
      <w:r>
        <w:rPr>
          <w:noProof/>
        </w:rPr>
        <w:t>*</w:t>
      </w:r>
      <w:r>
        <w:rPr>
          <w:noProof/>
          <w:vertAlign w:val="superscript"/>
        </w:rPr>
        <w:t>13</w:t>
      </w:r>
      <w:r>
        <w:rPr>
          <w:noProof/>
        </w:rPr>
        <w:tab/>
        <w:t>Οδηγία 2003/87/ΕΚ του Ευρωπαϊκού Κοινοβουλίου και του Συμβουλίου, της 13ης Οκτωβρίου 2003, σχετικά με τη θέσπιση συστήματος εμπορίας δικαιωμάτων εκπομπής αερίων θερμοκηπίου εντός της Ένωσης και την τροποποίηση της οδηγία</w:t>
      </w:r>
      <w:r>
        <w:rPr>
          <w:noProof/>
        </w:rPr>
        <w:t>ς 96/61/ΕΚ του Συμβουλίου (ΕΕ L 275 της 25.10.2003, σ. 32).</w:t>
      </w:r>
    </w:p>
    <w:p w14:paraId="09C9B959" w14:textId="77777777" w:rsidR="00680C0B" w:rsidRDefault="00A8232D">
      <w:pPr>
        <w:pStyle w:val="FootnoteText"/>
        <w:rPr>
          <w:noProof/>
        </w:rPr>
      </w:pPr>
      <w:r>
        <w:rPr>
          <w:noProof/>
        </w:rPr>
        <w:t>*</w:t>
      </w:r>
      <w:r>
        <w:rPr>
          <w:noProof/>
          <w:vertAlign w:val="superscript"/>
        </w:rPr>
        <w:t>14</w:t>
      </w:r>
      <w:r>
        <w:rPr>
          <w:noProof/>
        </w:rPr>
        <w:tab/>
        <w:t>Κανονισμός (ΕΚ) αριθ. 1221/2009 του Ευρωπαϊκού Κοινοβουλίου και του Συμβουλίου, της 25ης Νοεμβρίου 2009, περί της εκούσιας συμμετοχής οργανισμών σε κοινοτικό σύστημα οικολογικής διαχείρισης κα</w:t>
      </w:r>
      <w:r>
        <w:rPr>
          <w:noProof/>
        </w:rPr>
        <w:t>ι οικολογικού ελέγχου (EMAS) και για την κατάργηση του κανονισμού (ΕΚ) αριθ. 761/2001 και των αποφάσεων της Επιτροπής 2001/681/ΕΚ και 2006/193/ΕΚ (ΕΕ L 342 της 22.12.2009, σ. 1).</w:t>
      </w:r>
    </w:p>
    <w:p w14:paraId="1AD83F43" w14:textId="77777777" w:rsidR="00680C0B" w:rsidRDefault="00A8232D">
      <w:pPr>
        <w:pStyle w:val="Text1"/>
        <w:jc w:val="center"/>
        <w:rPr>
          <w:noProof/>
        </w:rPr>
      </w:pPr>
      <w:r>
        <w:rPr>
          <w:i/>
          <w:noProof/>
        </w:rPr>
        <w:t>Άρθρο 19γ</w:t>
      </w:r>
    </w:p>
    <w:p w14:paraId="74FF9C18" w14:textId="77777777" w:rsidR="00680C0B" w:rsidRDefault="00A8232D">
      <w:pPr>
        <w:pStyle w:val="Text1"/>
        <w:jc w:val="center"/>
        <w:rPr>
          <w:b/>
          <w:noProof/>
        </w:rPr>
      </w:pPr>
      <w:r>
        <w:rPr>
          <w:b/>
          <w:noProof/>
        </w:rPr>
        <w:t xml:space="preserve">Πρότυπα υποβολής εκθέσεων βιωσιμότητας για τις ΜΜΕ </w:t>
      </w:r>
    </w:p>
    <w:p w14:paraId="0D142BC0" w14:textId="77777777" w:rsidR="00680C0B" w:rsidRDefault="00A8232D">
      <w:pPr>
        <w:pStyle w:val="Text1"/>
        <w:rPr>
          <w:noProof/>
        </w:rPr>
      </w:pPr>
      <w:r>
        <w:rPr>
          <w:noProof/>
        </w:rPr>
        <w:t xml:space="preserve">Η </w:t>
      </w:r>
      <w:r>
        <w:rPr>
          <w:noProof/>
        </w:rPr>
        <w:t xml:space="preserve">Επιτροπή εκδίδει κατ’ εξουσιοδότηση πράξεις, σύμφωνα με το άρθρο 49, για τη θέσπιση προτύπων υποβολής εκθέσεων βιωσιμότητας που είναι ανάλογα των δυνατοτήτων και των χαρακτηριστικών των μικρών και μεσαίων επιχειρήσεων. Τα εν λόγω πρότυπα υποβολής εκθέσεων </w:t>
      </w:r>
      <w:r>
        <w:rPr>
          <w:noProof/>
        </w:rPr>
        <w:t xml:space="preserve">βιωσιμότητας προσδιορίζουν ποιες από τις πληροφορίες που αναφέρονται στα άρθρα 19α και 29α πρέπει να υποβάλλουν οι μικρές και μεσαίες επιχειρήσεις που αναφέρονται στο άρθρο 2 σημείο 1 στοιχείο α). Τα πρότυπα αυτά λαμβάνουν υπόψη τα κριτήρια του άρθρου 19β </w:t>
      </w:r>
      <w:r>
        <w:rPr>
          <w:noProof/>
        </w:rPr>
        <w:t>παράγραφοι 2 και 3. Επιπλέον, προσδιορίζουν, κατά περίπτωση, τη δομή με την οποία πρέπει να υποβάλλονται οι εν λόγω πληροφορίες.</w:t>
      </w:r>
    </w:p>
    <w:p w14:paraId="59DF0EEF" w14:textId="77777777" w:rsidR="00680C0B" w:rsidRDefault="00A8232D">
      <w:pPr>
        <w:pStyle w:val="Text1"/>
        <w:rPr>
          <w:noProof/>
        </w:rPr>
      </w:pPr>
      <w:r>
        <w:rPr>
          <w:noProof/>
        </w:rPr>
        <w:t>Η Επιτροπή εκδίδει τις ανωτέρω κατ’ εξουσιοδότηση πράξεις το αργότερο έως τις 31 Οκτωβρίου 2023.</w:t>
      </w:r>
    </w:p>
    <w:p w14:paraId="5D4CCAC7" w14:textId="77777777" w:rsidR="00680C0B" w:rsidRDefault="00A8232D">
      <w:pPr>
        <w:pStyle w:val="Text1"/>
        <w:jc w:val="center"/>
        <w:rPr>
          <w:i/>
          <w:noProof/>
        </w:rPr>
      </w:pPr>
      <w:r>
        <w:rPr>
          <w:i/>
          <w:noProof/>
        </w:rPr>
        <w:t>Άρθρο 19δ</w:t>
      </w:r>
    </w:p>
    <w:p w14:paraId="660C19F8" w14:textId="77777777" w:rsidR="00680C0B" w:rsidRDefault="00A8232D">
      <w:pPr>
        <w:pStyle w:val="Text1"/>
        <w:jc w:val="center"/>
        <w:rPr>
          <w:rFonts w:eastAsia="Times New Roman"/>
          <w:b/>
          <w:noProof/>
        </w:rPr>
      </w:pPr>
      <w:r>
        <w:rPr>
          <w:b/>
          <w:noProof/>
        </w:rPr>
        <w:t>Ενιαίος ηλεκτρονικός</w:t>
      </w:r>
      <w:r>
        <w:rPr>
          <w:b/>
          <w:noProof/>
        </w:rPr>
        <w:t xml:space="preserve"> μορφότυπος αναφοράς</w:t>
      </w:r>
    </w:p>
    <w:p w14:paraId="794D2B96" w14:textId="77777777" w:rsidR="00680C0B" w:rsidRDefault="00A8232D">
      <w:pPr>
        <w:pStyle w:val="Text1"/>
        <w:rPr>
          <w:noProof/>
        </w:rPr>
      </w:pPr>
      <w:r>
        <w:rPr>
          <w:noProof/>
        </w:rPr>
        <w:t>1.</w:t>
      </w:r>
      <w:r>
        <w:rPr>
          <w:noProof/>
        </w:rPr>
        <w:tab/>
        <w:t>Οι επιχειρήσεις που υπόκεινται στις διατάξεις του άρθρου 19α καταρτίζουν τις οικονομικές τους καταστάσεις και την έκθεση διαχείρισής τους σε ενιαίο ηλεκτρονικό μορφότυπο αναφοράς, σύμφωνα με το άρθρο 3 του κατ’ εξουσιοδότηση κανονισ</w:t>
      </w:r>
      <w:r>
        <w:rPr>
          <w:noProof/>
        </w:rPr>
        <w:t>μού (ΕΕ) 2019/815 της Επιτροπής</w:t>
      </w:r>
      <w:r>
        <w:rPr>
          <w:noProof/>
          <w:vertAlign w:val="superscript"/>
        </w:rPr>
        <w:t>15</w:t>
      </w:r>
      <w:r>
        <w:rPr>
          <w:noProof/>
        </w:rPr>
        <w:t>, και επισημαίνουν τις οικείες πληροφορίες βιωσιμότητας, συμπεριλαμβανομένων των δημοσιοποιήσεων που αναφέρονται στο άρθρο 8 του κανονισμού (ΕΕ) 2020/852, σύμφωνα με τον εν λόγω κατ’ εξουσιοδότηση κανονισμό.</w:t>
      </w:r>
    </w:p>
    <w:p w14:paraId="208E1A4C" w14:textId="77777777" w:rsidR="00680C0B" w:rsidRDefault="00A8232D">
      <w:pPr>
        <w:pStyle w:val="Text1"/>
        <w:rPr>
          <w:noProof/>
        </w:rPr>
      </w:pPr>
      <w:r>
        <w:rPr>
          <w:noProof/>
        </w:rPr>
        <w:t>2.</w:t>
      </w:r>
      <w:r>
        <w:rPr>
          <w:noProof/>
        </w:rPr>
        <w:tab/>
        <w:t>Οι επιχειρήσ</w:t>
      </w:r>
      <w:r>
        <w:rPr>
          <w:noProof/>
        </w:rPr>
        <w:t>εις που υπόκεινται στις διατάξεις του άρθρου 29α καταρτίζουν τις ενοποιημένες οικονομικές τους καταστάσεις και την ενοποιημένη έκθεση διαχείρισής τους σε ενιαίο ηλεκτρονικό μορφότυπο αναφοράς, σύμφωνα με το άρθρο 3 του κατ’ εξουσιοδότηση κανονισμού (ΕΕ) 20</w:t>
      </w:r>
      <w:r>
        <w:rPr>
          <w:noProof/>
        </w:rPr>
        <w:t>19/815, και επισημαίνουν τις πληροφορίες βιωσιμότητας, συμπεριλαμβανομένων των δημοσιοποιήσεων που αναφέρονται στο άρθρο 8 του κανονισμού (ΕΕ) 2020/852.</w:t>
      </w:r>
    </w:p>
    <w:p w14:paraId="06939261" w14:textId="77777777" w:rsidR="00680C0B" w:rsidRDefault="00A8232D">
      <w:pPr>
        <w:pStyle w:val="Text1"/>
        <w:rPr>
          <w:noProof/>
        </w:rPr>
      </w:pPr>
      <w:r>
        <w:rPr>
          <w:noProof/>
        </w:rPr>
        <w:t>____________________________________________________________________</w:t>
      </w:r>
    </w:p>
    <w:p w14:paraId="666352A0" w14:textId="77777777" w:rsidR="00680C0B" w:rsidRDefault="00A8232D">
      <w:pPr>
        <w:pStyle w:val="FootnoteText"/>
        <w:rPr>
          <w:noProof/>
        </w:rPr>
      </w:pPr>
      <w:r>
        <w:rPr>
          <w:noProof/>
        </w:rPr>
        <w:t>*</w:t>
      </w:r>
      <w:r>
        <w:rPr>
          <w:noProof/>
          <w:vertAlign w:val="superscript"/>
        </w:rPr>
        <w:t>15</w:t>
      </w:r>
      <w:r>
        <w:rPr>
          <w:noProof/>
        </w:rPr>
        <w:tab/>
        <w:t xml:space="preserve">Κατ’ εξουσιοδότηση κανονισμός </w:t>
      </w:r>
      <w:r>
        <w:rPr>
          <w:noProof/>
        </w:rPr>
        <w:t>(ΕΕ) 2019/815 της Επιτροπής, της 17ης Δεκεμβρίου 2018, για τη συμπλήρωση της οδηγίας 2004/109/ΕΚ του Ευρωπαϊκού Κοινοβουλίου και του Συμβουλίου όσον αφορά ρυθμιστικά τεχνικά πρότυπα για τον καθορισμό ενιαίου ηλεκτρονικού μορφότυπου αναφοράς (ΕΕ L 143 της 2</w:t>
      </w:r>
      <w:r>
        <w:rPr>
          <w:noProof/>
        </w:rPr>
        <w:t>9.5.2019, σ. 1).»·</w:t>
      </w:r>
    </w:p>
    <w:p w14:paraId="0B65B798" w14:textId="77777777" w:rsidR="00680C0B" w:rsidRDefault="00A8232D">
      <w:pPr>
        <w:pStyle w:val="Point0"/>
        <w:rPr>
          <w:noProof/>
        </w:rPr>
      </w:pPr>
      <w:r>
        <w:rPr>
          <w:noProof/>
        </w:rPr>
        <w:t>5)</w:t>
      </w:r>
      <w:r>
        <w:rPr>
          <w:noProof/>
        </w:rPr>
        <w:tab/>
        <w:t>το άρθρο 20 παράγραφος 1 τροποποιείται ως εξής:</w:t>
      </w:r>
    </w:p>
    <w:p w14:paraId="5840F22C" w14:textId="77777777" w:rsidR="00680C0B" w:rsidRDefault="00A8232D">
      <w:pPr>
        <w:pStyle w:val="Point1"/>
        <w:rPr>
          <w:noProof/>
        </w:rPr>
      </w:pPr>
      <w:r>
        <w:rPr>
          <w:noProof/>
        </w:rPr>
        <w:t>α)</w:t>
      </w:r>
      <w:r>
        <w:rPr>
          <w:noProof/>
        </w:rPr>
        <w:tab/>
        <w:t>το στοιχείο ζ) αντικαθίσταται από το ακόλουθο κείμενο:</w:t>
      </w:r>
    </w:p>
    <w:p w14:paraId="4E97656A" w14:textId="77777777" w:rsidR="00680C0B" w:rsidRDefault="00A8232D">
      <w:pPr>
        <w:pStyle w:val="Text2"/>
        <w:rPr>
          <w:noProof/>
        </w:rPr>
      </w:pPr>
      <w:r>
        <w:rPr>
          <w:noProof/>
        </w:rPr>
        <w:t>«ζ) περιγραφή της πολιτικής σχετικά με την πολυμορφία που εφαρμόζεται για τα διοικητικά, διαχειριστικά και εποπτικά όργανα της ε</w:t>
      </w:r>
      <w:r>
        <w:rPr>
          <w:noProof/>
        </w:rPr>
        <w:t>πιχείρησης όσον αφορά το φύλο και άλλες πτυχές όπως, για παράδειγμα, η ηλικία ή το εκπαιδευτικό και επαγγελματικό ιστορικό των μελών, οι στόχοι της εν λόγω πολιτικής για την πολυμορφία, ο τρόπος με τον οποίο εφαρμόστηκε και τα αποτελέσματα κατά την περίοδο</w:t>
      </w:r>
      <w:r>
        <w:rPr>
          <w:noProof/>
        </w:rPr>
        <w:t xml:space="preserve"> αναφοράς. Αν δεν εφαρμόζεται τέτοια πολιτική, η δήλωση θα περιλαμβάνει εξήγηση ως προς το γιατί συμβαίνει αυτό.»·</w:t>
      </w:r>
    </w:p>
    <w:p w14:paraId="211A6EC6" w14:textId="77777777" w:rsidR="00680C0B" w:rsidRDefault="00A8232D">
      <w:pPr>
        <w:pStyle w:val="Point1"/>
        <w:rPr>
          <w:noProof/>
        </w:rPr>
      </w:pPr>
      <w:r>
        <w:rPr>
          <w:noProof/>
        </w:rPr>
        <w:t>β)</w:t>
      </w:r>
      <w:r>
        <w:rPr>
          <w:noProof/>
        </w:rPr>
        <w:tab/>
        <w:t>προστίθεται το ακόλουθο εδάφιο:</w:t>
      </w:r>
    </w:p>
    <w:p w14:paraId="0E185E8D" w14:textId="77777777" w:rsidR="00680C0B" w:rsidRDefault="00A8232D">
      <w:pPr>
        <w:pStyle w:val="Text2"/>
        <w:rPr>
          <w:noProof/>
        </w:rPr>
      </w:pPr>
      <w:r>
        <w:rPr>
          <w:noProof/>
        </w:rPr>
        <w:t>«Οι επιχειρήσεις που υπόκεινται στις διατάξεις του άρθρου 19α μπορούν να συμμορφώνονται με την υποχρέωση π</w:t>
      </w:r>
      <w:r>
        <w:rPr>
          <w:noProof/>
        </w:rPr>
        <w:t>ου ορίζεται στο πρώτο εδάφιο στοιχεία γ), στ) και ζ) του παρόντος άρθρου, εάν περιλαμβάνουν τις πληροφορίες που απαιτούνται βάσει των στοιχείων αυτών στο πλαίσιο της υποβολής εκθέσεων βιωσιμότητας.»·</w:t>
      </w:r>
    </w:p>
    <w:p w14:paraId="57EFF8AD" w14:textId="77777777" w:rsidR="00680C0B" w:rsidRDefault="00A8232D">
      <w:pPr>
        <w:pStyle w:val="Point0"/>
        <w:rPr>
          <w:noProof/>
        </w:rPr>
      </w:pPr>
      <w:r>
        <w:rPr>
          <w:noProof/>
        </w:rPr>
        <w:t>6)</w:t>
      </w:r>
      <w:r>
        <w:rPr>
          <w:noProof/>
        </w:rPr>
        <w:tab/>
        <w:t>το άρθρο 23 τροποποιείται ως εξής:</w:t>
      </w:r>
    </w:p>
    <w:p w14:paraId="2C23DA31" w14:textId="77777777" w:rsidR="00680C0B" w:rsidRDefault="00A8232D">
      <w:pPr>
        <w:pStyle w:val="Point1"/>
        <w:rPr>
          <w:noProof/>
        </w:rPr>
      </w:pPr>
      <w:r>
        <w:rPr>
          <w:noProof/>
        </w:rPr>
        <w:t>α)</w:t>
      </w:r>
      <w:r>
        <w:rPr>
          <w:noProof/>
        </w:rPr>
        <w:tab/>
        <w:t>στην παράγραφο </w:t>
      </w:r>
      <w:r>
        <w:rPr>
          <w:noProof/>
        </w:rPr>
        <w:t>4, το στοιχείο β) αντικαθίσταται από το ακόλουθο κείμενο:</w:t>
      </w:r>
    </w:p>
    <w:p w14:paraId="76765F5E" w14:textId="77777777" w:rsidR="00680C0B" w:rsidRDefault="00A8232D">
      <w:pPr>
        <w:pStyle w:val="Text2"/>
        <w:rPr>
          <w:noProof/>
        </w:rPr>
      </w:pPr>
      <w:r>
        <w:rPr>
          <w:noProof/>
        </w:rPr>
        <w:t>«β) οι ενοποιημένες οικονομικές καταστάσεις που προβλέπονται στο στοιχείο α) καθώς και η ενοποιημένη έκθεση διαχείρισης του ευρύτερου συνόλου επιχειρήσεων καταρτίζονται από τη μητρική επιχείρηση του</w:t>
      </w:r>
      <w:r>
        <w:rPr>
          <w:noProof/>
        </w:rPr>
        <w:t xml:space="preserve"> συνόλου αυτού, σύμφωνα με το δίκαιο του κράτους μέλους που διέπει την εν λόγω μητρική επιχείρηση, κατ’ εφαρμογή της παρούσας οδηγίας, εξαιρουμένων των απαιτήσεων του άρθρου 29α, ή των διεθνών λογιστικών προτύπων που θεσπίστηκαν βάσει του κανονισμού (ΕΚ) α</w:t>
      </w:r>
      <w:r>
        <w:rPr>
          <w:noProof/>
        </w:rPr>
        <w:t xml:space="preserve">ριθ. 1606/2002,»· </w:t>
      </w:r>
    </w:p>
    <w:p w14:paraId="3635839F" w14:textId="77777777" w:rsidR="00680C0B" w:rsidRDefault="00A8232D">
      <w:pPr>
        <w:pStyle w:val="Point1"/>
        <w:rPr>
          <w:noProof/>
        </w:rPr>
      </w:pPr>
      <w:r>
        <w:rPr>
          <w:noProof/>
        </w:rPr>
        <w:t>β)</w:t>
      </w:r>
      <w:r>
        <w:rPr>
          <w:noProof/>
        </w:rPr>
        <w:tab/>
        <w:t>στην παράγραφο 8, το στοιχείο β) σημείο i) αντικαθίσταται από το ακόλουθο κείμενο:</w:t>
      </w:r>
    </w:p>
    <w:p w14:paraId="3E0748F2" w14:textId="77777777" w:rsidR="00680C0B" w:rsidRDefault="00A8232D">
      <w:pPr>
        <w:pStyle w:val="Text2"/>
        <w:rPr>
          <w:noProof/>
        </w:rPr>
      </w:pPr>
      <w:r>
        <w:rPr>
          <w:noProof/>
        </w:rPr>
        <w:t>«i)</w:t>
      </w:r>
      <w:r>
        <w:rPr>
          <w:noProof/>
        </w:rPr>
        <w:tab/>
        <w:t>σύμφωνα με την παρούσα οδηγία, εξαιρουμένων των απαιτήσεων του άρθρου 29α·»·</w:t>
      </w:r>
    </w:p>
    <w:p w14:paraId="3886521E" w14:textId="77777777" w:rsidR="00680C0B" w:rsidRDefault="00A8232D">
      <w:pPr>
        <w:pStyle w:val="Point1"/>
        <w:rPr>
          <w:noProof/>
        </w:rPr>
      </w:pPr>
      <w:r>
        <w:rPr>
          <w:noProof/>
        </w:rPr>
        <w:t>γ)</w:t>
      </w:r>
      <w:r>
        <w:rPr>
          <w:noProof/>
        </w:rPr>
        <w:tab/>
        <w:t>στην παράγραφο 8 το στοιχείο β) σημείο iii) αντικαθίσταται από το α</w:t>
      </w:r>
      <w:r>
        <w:rPr>
          <w:noProof/>
        </w:rPr>
        <w:t>κόλουθο κείμενο:</w:t>
      </w:r>
    </w:p>
    <w:p w14:paraId="14091973" w14:textId="77777777" w:rsidR="00680C0B" w:rsidRDefault="00A8232D">
      <w:pPr>
        <w:pStyle w:val="Text2"/>
        <w:rPr>
          <w:noProof/>
        </w:rPr>
      </w:pPr>
      <w:r>
        <w:rPr>
          <w:noProof/>
        </w:rPr>
        <w:t>«iii)</w:t>
      </w:r>
      <w:r>
        <w:rPr>
          <w:noProof/>
        </w:rPr>
        <w:tab/>
        <w:t>κατά τρόπο ισοδύναμο με τις ενοποιημένες οικονομικές καταστάσεις και τις ενοποιημένες εκθέσεις διαχείρισης που έχουν καταρτιστεί σύμφωνα με την παρούσα οδηγία, εξαιρουμένων των απαιτήσεων του άρθρου 29α· ή»·</w:t>
      </w:r>
    </w:p>
    <w:p w14:paraId="3C220E5E" w14:textId="77777777" w:rsidR="00680C0B" w:rsidRDefault="00A8232D">
      <w:pPr>
        <w:pStyle w:val="Point0"/>
        <w:rPr>
          <w:noProof/>
        </w:rPr>
      </w:pPr>
      <w:r>
        <w:rPr>
          <w:noProof/>
        </w:rPr>
        <w:t>7)</w:t>
      </w:r>
      <w:r>
        <w:rPr>
          <w:noProof/>
        </w:rPr>
        <w:tab/>
        <w:t>το άρθρο 29α αντικαθίσ</w:t>
      </w:r>
      <w:r>
        <w:rPr>
          <w:noProof/>
        </w:rPr>
        <w:t>ταται από το ακόλουθο κείμενο:</w:t>
      </w:r>
    </w:p>
    <w:p w14:paraId="018E11D5" w14:textId="77777777" w:rsidR="00680C0B" w:rsidRDefault="00A8232D">
      <w:pPr>
        <w:pStyle w:val="Text1"/>
        <w:jc w:val="center"/>
        <w:rPr>
          <w:i/>
          <w:noProof/>
        </w:rPr>
      </w:pPr>
      <w:r>
        <w:rPr>
          <w:i/>
          <w:noProof/>
        </w:rPr>
        <w:t>«Άρθρο 29α</w:t>
      </w:r>
    </w:p>
    <w:p w14:paraId="424EB826" w14:textId="77777777" w:rsidR="00680C0B" w:rsidRDefault="00A8232D">
      <w:pPr>
        <w:pStyle w:val="Text1"/>
        <w:jc w:val="center"/>
        <w:rPr>
          <w:b/>
          <w:noProof/>
        </w:rPr>
      </w:pPr>
      <w:r>
        <w:rPr>
          <w:b/>
          <w:noProof/>
        </w:rPr>
        <w:t>Ενοποιημένη υποβολή εκθέσεων βιωσιμότητας</w:t>
      </w:r>
    </w:p>
    <w:p w14:paraId="60FB643E" w14:textId="77777777" w:rsidR="00680C0B" w:rsidRDefault="00A8232D">
      <w:pPr>
        <w:pStyle w:val="Text1"/>
        <w:rPr>
          <w:noProof/>
        </w:rPr>
      </w:pPr>
      <w:r>
        <w:rPr>
          <w:noProof/>
        </w:rPr>
        <w:t>1.</w:t>
      </w:r>
      <w:r>
        <w:rPr>
          <w:noProof/>
        </w:rPr>
        <w:tab/>
        <w:t xml:space="preserve">Οι μητρικές επιχειρήσεις μεγάλου ομίλου συμπεριλαμβάνουν στην ενοποιημένη έκθεση διαχείρισης τις πληροφορίες που είναι αναγκαίες για την κατανόηση των </w:t>
      </w:r>
      <w:r>
        <w:rPr>
          <w:noProof/>
        </w:rPr>
        <w:t>επιπτώσεων του ομίλου σε θέματα βιωσιμότητας, καθώς και τις πληροφορίες που είναι αναγκαίες για την κατανόηση του τρόπου με τον οποίο τα θέματα βιωσιμότητας επηρεάζουν την εξέλιξη, τις επιδόσεις και τη θέση του ομίλου.</w:t>
      </w:r>
    </w:p>
    <w:p w14:paraId="27418D0B" w14:textId="77777777" w:rsidR="00680C0B" w:rsidRDefault="00A8232D">
      <w:pPr>
        <w:pStyle w:val="Text1"/>
        <w:rPr>
          <w:noProof/>
        </w:rPr>
      </w:pPr>
      <w:r>
        <w:rPr>
          <w:noProof/>
        </w:rPr>
        <w:t>2.</w:t>
      </w:r>
      <w:r>
        <w:rPr>
          <w:noProof/>
        </w:rPr>
        <w:tab/>
        <w:t>Οι πληροφορίες που αναφέρονται στη</w:t>
      </w:r>
      <w:r>
        <w:rPr>
          <w:noProof/>
        </w:rPr>
        <w:t>ν παράγραφο 1 περιλαμβάνουν ειδικότερα:</w:t>
      </w:r>
    </w:p>
    <w:p w14:paraId="18CCB5C4" w14:textId="77777777" w:rsidR="00680C0B" w:rsidRDefault="00A8232D">
      <w:pPr>
        <w:pStyle w:val="Text2"/>
        <w:rPr>
          <w:noProof/>
        </w:rPr>
      </w:pPr>
      <w:r>
        <w:rPr>
          <w:noProof/>
        </w:rPr>
        <w:t>α)</w:t>
      </w:r>
      <w:r>
        <w:rPr>
          <w:noProof/>
        </w:rPr>
        <w:tab/>
        <w:t>σύντομη περιγραφή του επιχειρηματικού μοντέλου και της στρατηγικής του ομίλου, συμπεριλαμβανομένων:</w:t>
      </w:r>
    </w:p>
    <w:p w14:paraId="0065E0B8" w14:textId="77777777" w:rsidR="00680C0B" w:rsidRDefault="00A8232D">
      <w:pPr>
        <w:pStyle w:val="Text3"/>
        <w:rPr>
          <w:noProof/>
        </w:rPr>
      </w:pPr>
      <w:r>
        <w:rPr>
          <w:noProof/>
        </w:rPr>
        <w:t>i)</w:t>
      </w:r>
      <w:r>
        <w:rPr>
          <w:noProof/>
        </w:rPr>
        <w:tab/>
      </w:r>
      <w:r>
        <w:rPr>
          <w:noProof/>
        </w:rPr>
        <w:tab/>
        <w:t>της ανθεκτικότητας του επιχειρηματικού μοντέλου και της στρατηγικής του ομίλου σε κινδύνους που συνδέονται με</w:t>
      </w:r>
      <w:r>
        <w:rPr>
          <w:noProof/>
        </w:rPr>
        <w:t xml:space="preserve"> θέματα βιωσιμότητας·</w:t>
      </w:r>
    </w:p>
    <w:p w14:paraId="5F6AB561" w14:textId="77777777" w:rsidR="00680C0B" w:rsidRDefault="00A8232D">
      <w:pPr>
        <w:pStyle w:val="Text3"/>
        <w:rPr>
          <w:noProof/>
        </w:rPr>
      </w:pPr>
      <w:r>
        <w:rPr>
          <w:noProof/>
        </w:rPr>
        <w:t>ii)</w:t>
      </w:r>
      <w:r>
        <w:rPr>
          <w:noProof/>
        </w:rPr>
        <w:tab/>
        <w:t>των ευκαιριών για τον όμιλο που προκύπτουν από θέματα βιωσιμότητας·</w:t>
      </w:r>
    </w:p>
    <w:p w14:paraId="1BBD2F78" w14:textId="77777777" w:rsidR="00680C0B" w:rsidRDefault="00A8232D">
      <w:pPr>
        <w:pStyle w:val="Text3"/>
        <w:rPr>
          <w:noProof/>
        </w:rPr>
      </w:pPr>
      <w:r>
        <w:rPr>
          <w:noProof/>
        </w:rPr>
        <w:t>iii)</w:t>
      </w:r>
      <w:r>
        <w:rPr>
          <w:noProof/>
        </w:rPr>
        <w:tab/>
        <w:t>των σχεδίων του ομίλου ώστε να διασφαλίζεται ότι το επιχειρηματικό μοντέλο και η στρατηγική του ομίλου συνάδουν με τη μετάβαση προς μια βιώσιμη οικονομία και</w:t>
      </w:r>
      <w:r>
        <w:rPr>
          <w:noProof/>
        </w:rPr>
        <w:t xml:space="preserve"> με τον περιορισμό της υπερθέρμανσης του πλανήτη σε 1,5 °C σύμφωνα με τη συμφωνία του Παρισιού·</w:t>
      </w:r>
    </w:p>
    <w:p w14:paraId="43D2DFAB" w14:textId="77777777" w:rsidR="00680C0B" w:rsidRDefault="00A8232D">
      <w:pPr>
        <w:pStyle w:val="Text3"/>
        <w:rPr>
          <w:noProof/>
        </w:rPr>
      </w:pPr>
      <w:r>
        <w:rPr>
          <w:noProof/>
        </w:rPr>
        <w:t>iv)</w:t>
      </w:r>
      <w:r>
        <w:rPr>
          <w:noProof/>
        </w:rPr>
        <w:tab/>
        <w:t>του τρόπου με τον οποίο το επιχειρηματικό μοντέλο και η στρατηγική του ομίλου λαμβάνουν υπόψη τα συμφέροντα των ενδιαφερόμενων μερών του ομίλου και τις επιπ</w:t>
      </w:r>
      <w:r>
        <w:rPr>
          <w:noProof/>
        </w:rPr>
        <w:t>τώσεις του ομίλου σε θέματα βιωσιμότητας·</w:t>
      </w:r>
    </w:p>
    <w:p w14:paraId="0BDB6B21" w14:textId="77777777" w:rsidR="00680C0B" w:rsidRDefault="00A8232D">
      <w:pPr>
        <w:pStyle w:val="Text3"/>
        <w:rPr>
          <w:noProof/>
        </w:rPr>
      </w:pPr>
      <w:r>
        <w:rPr>
          <w:noProof/>
        </w:rPr>
        <w:t>v)</w:t>
      </w:r>
      <w:r>
        <w:rPr>
          <w:noProof/>
        </w:rPr>
        <w:tab/>
        <w:t>του τρόπου με τον οποίο έχει εφαρμοστεί η στρατηγική του ομίλου όσον αφορά θέματα βιωσιμότητας·</w:t>
      </w:r>
    </w:p>
    <w:p w14:paraId="7BA999D1" w14:textId="77777777" w:rsidR="00680C0B" w:rsidRDefault="00A8232D">
      <w:pPr>
        <w:pStyle w:val="Text2"/>
        <w:rPr>
          <w:noProof/>
        </w:rPr>
      </w:pPr>
      <w:r>
        <w:rPr>
          <w:noProof/>
        </w:rPr>
        <w:t>β)</w:t>
      </w:r>
      <w:r>
        <w:rPr>
          <w:noProof/>
        </w:rPr>
        <w:tab/>
        <w:t>περιγραφή των στόχων που αφορούν θέματα βιωσιμότητας και καθορίζονται από τον όμιλο, καθώς και της προόδου που έ</w:t>
      </w:r>
      <w:r>
        <w:rPr>
          <w:noProof/>
        </w:rPr>
        <w:t>χει σημειώσει η επιχείρηση για την επίτευξη των εν λόγω στόχων·</w:t>
      </w:r>
    </w:p>
    <w:p w14:paraId="347ED60C" w14:textId="77777777" w:rsidR="00680C0B" w:rsidRDefault="00A8232D">
      <w:pPr>
        <w:pStyle w:val="Text2"/>
        <w:rPr>
          <w:noProof/>
        </w:rPr>
      </w:pPr>
      <w:r>
        <w:rPr>
          <w:noProof/>
        </w:rPr>
        <w:t>γ)</w:t>
      </w:r>
      <w:r>
        <w:rPr>
          <w:noProof/>
        </w:rPr>
        <w:tab/>
        <w:t>περιγραφή του ρόλου των διοικητικών, διαχειριστικών και εποπτικών οργάνων σε σχέση με θέματα βιωσιμότητας·</w:t>
      </w:r>
    </w:p>
    <w:p w14:paraId="00E64C3A" w14:textId="77777777" w:rsidR="00680C0B" w:rsidRDefault="00A8232D">
      <w:pPr>
        <w:pStyle w:val="Text2"/>
        <w:rPr>
          <w:noProof/>
        </w:rPr>
      </w:pPr>
      <w:r>
        <w:rPr>
          <w:noProof/>
        </w:rPr>
        <w:t>δ)</w:t>
      </w:r>
      <w:r>
        <w:rPr>
          <w:noProof/>
        </w:rPr>
        <w:tab/>
        <w:t>περιγραφή των πολιτικών του ομίλου σε σχέση με θέματα βιωσιμότητας·</w:t>
      </w:r>
    </w:p>
    <w:p w14:paraId="1E06F396" w14:textId="77777777" w:rsidR="00680C0B" w:rsidRDefault="00A8232D">
      <w:pPr>
        <w:pStyle w:val="Text2"/>
        <w:rPr>
          <w:noProof/>
        </w:rPr>
      </w:pPr>
      <w:r>
        <w:rPr>
          <w:noProof/>
        </w:rPr>
        <w:t>ε)</w:t>
      </w:r>
      <w:r>
        <w:rPr>
          <w:noProof/>
        </w:rPr>
        <w:tab/>
        <w:t>περιγραφ</w:t>
      </w:r>
      <w:r>
        <w:rPr>
          <w:noProof/>
        </w:rPr>
        <w:t>ή:</w:t>
      </w:r>
    </w:p>
    <w:p w14:paraId="0BBB82E9" w14:textId="77777777" w:rsidR="00680C0B" w:rsidRDefault="00A8232D">
      <w:pPr>
        <w:pStyle w:val="Text3"/>
        <w:rPr>
          <w:noProof/>
        </w:rPr>
      </w:pPr>
      <w:r>
        <w:rPr>
          <w:noProof/>
        </w:rPr>
        <w:t>i)</w:t>
      </w:r>
      <w:r>
        <w:rPr>
          <w:noProof/>
        </w:rPr>
        <w:tab/>
      </w:r>
      <w:r>
        <w:rPr>
          <w:noProof/>
        </w:rPr>
        <w:tab/>
        <w:t>της διαδικασίας δέουσας επιμέλειας που εφαρμόζεται σε θέματα βιωσιμότητας·</w:t>
      </w:r>
    </w:p>
    <w:p w14:paraId="3399D337" w14:textId="77777777" w:rsidR="00680C0B" w:rsidRDefault="00A8232D">
      <w:pPr>
        <w:pStyle w:val="Text3"/>
        <w:rPr>
          <w:noProof/>
        </w:rPr>
      </w:pPr>
      <w:r>
        <w:rPr>
          <w:noProof/>
        </w:rPr>
        <w:t>ii)</w:t>
      </w:r>
      <w:r>
        <w:rPr>
          <w:noProof/>
        </w:rPr>
        <w:tab/>
        <w:t xml:space="preserve">των κυριότερων πραγματικών ή δυνητικών αρνητικών επιπτώσεων που συνδέονται με την αλυσίδα αξίας του ομίλου, συμπεριλαμβανομένων των δραστηριοτήτων του ίδιου του </w:t>
      </w:r>
      <w:r>
        <w:rPr>
          <w:noProof/>
        </w:rPr>
        <w:t>ομίλου, των προϊόντων και των υπηρεσιών του, των επιχειρηματικών του σχέσεων και της αλυσίδας εφοδιασμού του·</w:t>
      </w:r>
    </w:p>
    <w:p w14:paraId="2F48A768" w14:textId="77777777" w:rsidR="00680C0B" w:rsidRDefault="00A8232D">
      <w:pPr>
        <w:pStyle w:val="Text3"/>
        <w:rPr>
          <w:noProof/>
        </w:rPr>
      </w:pPr>
      <w:r>
        <w:rPr>
          <w:noProof/>
        </w:rPr>
        <w:t>iii)</w:t>
      </w:r>
      <w:r>
        <w:rPr>
          <w:noProof/>
        </w:rPr>
        <w:tab/>
        <w:t>τυχόν μέτρων που λαμβάνονται, και του αποτελέσματος των εν λόγω μέτρων, για την πρόληψη, τον μετριασμό ή την επανόρθωση των πραγματικών ή δυν</w:t>
      </w:r>
      <w:r>
        <w:rPr>
          <w:noProof/>
        </w:rPr>
        <w:t>ητικών αρνητικών επιπτώσεων·</w:t>
      </w:r>
    </w:p>
    <w:p w14:paraId="114B0861" w14:textId="77777777" w:rsidR="00680C0B" w:rsidRDefault="00A8232D">
      <w:pPr>
        <w:pStyle w:val="Text2"/>
        <w:rPr>
          <w:noProof/>
        </w:rPr>
      </w:pPr>
      <w:r>
        <w:rPr>
          <w:noProof/>
        </w:rPr>
        <w:t>στ)</w:t>
      </w:r>
      <w:r>
        <w:rPr>
          <w:noProof/>
        </w:rPr>
        <w:tab/>
        <w:t>περιγραφή των κυριότερων κινδύνων για τον όμιλο που αφορούν θέματα βιωσιμότητας, συμπεριλαμβανομένων των κυριότερων εξαρτήσεων του ομίλου από τους εν λόγω παράγοντες, καθώς και του τρόπου με τον οποίο ο όμιλος διαχειρίζεται</w:t>
      </w:r>
      <w:r>
        <w:rPr>
          <w:noProof/>
        </w:rPr>
        <w:t xml:space="preserve"> αυτούς τους κινδύνους·</w:t>
      </w:r>
    </w:p>
    <w:p w14:paraId="068D26EE" w14:textId="77777777" w:rsidR="00680C0B" w:rsidRDefault="00A8232D">
      <w:pPr>
        <w:pStyle w:val="Text2"/>
        <w:rPr>
          <w:noProof/>
        </w:rPr>
      </w:pPr>
      <w:r>
        <w:rPr>
          <w:noProof/>
        </w:rPr>
        <w:t>ζ)</w:t>
      </w:r>
      <w:r>
        <w:rPr>
          <w:noProof/>
        </w:rPr>
        <w:tab/>
        <w:t>δείκτες που σχετίζονται με τις δημοσιοποιήσεις που αναφέρονται στα στοιχεία α) έως στ).</w:t>
      </w:r>
    </w:p>
    <w:p w14:paraId="701B1E56" w14:textId="77777777" w:rsidR="00680C0B" w:rsidRDefault="00A8232D">
      <w:pPr>
        <w:pStyle w:val="Text1"/>
        <w:rPr>
          <w:noProof/>
        </w:rPr>
      </w:pPr>
      <w:r>
        <w:rPr>
          <w:noProof/>
        </w:rPr>
        <w:t>Οι μητρικές επιχειρήσεις υποβάλλουν επίσης πληροφορίες σχετικά με άυλα στοιχεία, συμπεριλαμβανομένων των πληροφοριών σχετικά με το πνευματικό</w:t>
      </w:r>
      <w:r>
        <w:rPr>
          <w:noProof/>
        </w:rPr>
        <w:t xml:space="preserve">, το ανθρώπινο και το κοινωνικό κεφάλαιο και το κεφάλαιο δημιουργίας σχέσεων. </w:t>
      </w:r>
    </w:p>
    <w:p w14:paraId="5B67AF55" w14:textId="77777777" w:rsidR="00680C0B" w:rsidRDefault="00A8232D">
      <w:pPr>
        <w:pStyle w:val="Text1"/>
        <w:rPr>
          <w:noProof/>
        </w:rPr>
      </w:pPr>
      <w:r>
        <w:rPr>
          <w:noProof/>
        </w:rPr>
        <w:t xml:space="preserve">Οι μητρικές επιχειρήσεις περιγράφουν τη διαδικασία που εφαρμόζεται για τον προσδιορισμό των πληροφοριών που έχουν συμπεριλάβει στην ενοποιημένη έκθεση διαχείρισης σύμφωνα με το </w:t>
      </w:r>
      <w:r>
        <w:rPr>
          <w:noProof/>
        </w:rPr>
        <w:t xml:space="preserve">παρόν άρθρο. </w:t>
      </w:r>
    </w:p>
    <w:p w14:paraId="33BE2945" w14:textId="77777777" w:rsidR="00680C0B" w:rsidRDefault="00A8232D">
      <w:pPr>
        <w:pStyle w:val="Text1"/>
        <w:rPr>
          <w:noProof/>
        </w:rPr>
      </w:pPr>
      <w:r>
        <w:rPr>
          <w:noProof/>
        </w:rPr>
        <w:t>3.</w:t>
      </w:r>
      <w:r>
        <w:rPr>
          <w:noProof/>
        </w:rPr>
        <w:tab/>
        <w:t>Οι πληροφορίες που αναφέρονται στις παραγράφους 1 και 2 περιλαμβάνουν µελλοντοστραφείς πληροφορίες και πληροφορίες σχετικά με προηγούμενες επιδόσεις, καθώς και ποιοτικές και ποσοτικές πληροφορίες. Οι πληροφορίες αυτές λαμβάνουν υπόψη, κατά</w:t>
      </w:r>
      <w:r>
        <w:rPr>
          <w:noProof/>
        </w:rPr>
        <w:t xml:space="preserve"> περίπτωση, βραχυπρόθεσμους, μεσοπρόθεσμους και μακροπρόθεσμους χρονικούς ορίζοντες. </w:t>
      </w:r>
    </w:p>
    <w:p w14:paraId="21420A4B" w14:textId="77777777" w:rsidR="00680C0B" w:rsidRDefault="00A8232D">
      <w:pPr>
        <w:pStyle w:val="Text1"/>
        <w:rPr>
          <w:noProof/>
        </w:rPr>
      </w:pPr>
      <w:r>
        <w:rPr>
          <w:noProof/>
        </w:rPr>
        <w:t>Οι πληροφορίες που αναφέρονται στις παραγράφους 1 και 2 περιέχουν πληροφορίες σχετικά με την αλυσίδα αξίας του ομίλου, συμπεριλαμβανομένων των δραστηριοτήτων, των προϊόντ</w:t>
      </w:r>
      <w:r>
        <w:rPr>
          <w:noProof/>
        </w:rPr>
        <w:t>ων και των υπηρεσιών του ίδιου του ομίλου, των επιχειρηματικών του σχέσεων και της αλυσίδας εφοδιασμού του, κατά περίπτωση.</w:t>
      </w:r>
    </w:p>
    <w:p w14:paraId="7D91AAFF" w14:textId="77777777" w:rsidR="00680C0B" w:rsidRDefault="00A8232D">
      <w:pPr>
        <w:pStyle w:val="Text1"/>
        <w:rPr>
          <w:noProof/>
        </w:rPr>
      </w:pPr>
      <w:r>
        <w:rPr>
          <w:noProof/>
        </w:rPr>
        <w:t>Οι πληροφορίες που αναφέρονται στις παραγράφους 1 και 2 περιέχουν επίσης, κατά περίπτωση, αναφορές και πρόσθετες επεξηγήσεις άλλων π</w:t>
      </w:r>
      <w:r>
        <w:rPr>
          <w:noProof/>
        </w:rPr>
        <w:t xml:space="preserve">ληροφοριών που περιλαμβάνονται στην ενοποιημένη έκθεση διαχείρισης, σύμφωνα με το άρθρο 29 της παρούσας οδηγίας, καθώς και των ποσών που αναγράφονται στις ενοποιημένες οικονομικές καταστάσεις. </w:t>
      </w:r>
    </w:p>
    <w:p w14:paraId="5859EAFA" w14:textId="77777777" w:rsidR="00680C0B" w:rsidRDefault="00A8232D">
      <w:pPr>
        <w:pStyle w:val="Text1"/>
        <w:rPr>
          <w:noProof/>
        </w:rPr>
      </w:pPr>
      <w:r>
        <w:rPr>
          <w:noProof/>
        </w:rPr>
        <w:t>Τα κράτη μέλη μπορούν σε εξαιρετικές περιπτώσεις να επιτρέψουν</w:t>
      </w:r>
      <w:r>
        <w:rPr>
          <w:noProof/>
        </w:rPr>
        <w:t xml:space="preserve"> την παράλειψη πληροφοριών σχετικά με επικείμενες εξελίξεις ή θέματα υπό διαπραγμάτευση όταν, κατά τη δεόντως αιτιολογημένη γνώμη των μελών των διοικητικών, διαχειριστικών και εποπτικών οργάνων, που ενεργούν εντός των αρμοδιοτήτων που τους έχουν ανατεθεί α</w:t>
      </w:r>
      <w:r>
        <w:rPr>
          <w:noProof/>
        </w:rPr>
        <w:t>πό το εθνικό δίκαιο και που υπέχουν σχετικώς συλλογική ευθύνη της εν λόγω γνώμης, η δημοσιοποίηση των πληροφοριών αυτών θα έβλαπτε σοβαρά την εμπορική θέση του ομίλου, υπό την προϋπόθεση ότι η παράλειψη αυτή δεν εμποδίζει την ορθή και ισορροπημένη κατανόησ</w:t>
      </w:r>
      <w:r>
        <w:rPr>
          <w:noProof/>
        </w:rPr>
        <w:t>η της εξέλιξης, των επιδόσεων, της θέσης και του αντίκτυπου των δραστηριοτήτων του ομίλου.</w:t>
      </w:r>
    </w:p>
    <w:p w14:paraId="0C9859DB" w14:textId="77777777" w:rsidR="00680C0B" w:rsidRDefault="00A8232D">
      <w:pPr>
        <w:pStyle w:val="Text1"/>
        <w:rPr>
          <w:noProof/>
        </w:rPr>
      </w:pPr>
      <w:r>
        <w:rPr>
          <w:noProof/>
        </w:rPr>
        <w:t>4.</w:t>
      </w:r>
      <w:r>
        <w:rPr>
          <w:noProof/>
        </w:rPr>
        <w:tab/>
        <w:t xml:space="preserve">Οι μητρικές επιχειρήσεις υποβάλλουν τις πληροφορίες που αναφέρονται στις παραγράφους 1 έως 3 σύμφωνα με τα πρότυπα υποβολής εκθέσεων βιωσιμότητας που αναφέρονται </w:t>
      </w:r>
      <w:r>
        <w:rPr>
          <w:noProof/>
        </w:rPr>
        <w:t>στο άρθρο 19β.</w:t>
      </w:r>
    </w:p>
    <w:p w14:paraId="4BBBE2A7" w14:textId="77777777" w:rsidR="00680C0B" w:rsidRDefault="00A8232D">
      <w:pPr>
        <w:pStyle w:val="Text1"/>
        <w:rPr>
          <w:noProof/>
        </w:rPr>
      </w:pPr>
      <w:r>
        <w:rPr>
          <w:noProof/>
        </w:rPr>
        <w:t>5.</w:t>
      </w:r>
      <w:r>
        <w:rPr>
          <w:noProof/>
        </w:rPr>
        <w:tab/>
        <w:t>Κατά παρέκκλιση από το άρθρο 29α παράγραφοι 1 έως 4, οι μητρικές επιχειρήσεις που είναι μικρές και μεσαίες επιχειρήσεις κατά την έννοια του άρθρου 2 σημείο 1 στοιχείο α) μπορούν να υποβάλλουν εκθέσεις σύμφωνα με τα πρότυπα υποβολής εκθέσε</w:t>
      </w:r>
      <w:r>
        <w:rPr>
          <w:noProof/>
        </w:rPr>
        <w:t>ων βιωσιμότητας για τις μικρές και μεσαίες επιχειρήσεις που αναφέρονται στο άρθρο 19γ.</w:t>
      </w:r>
    </w:p>
    <w:p w14:paraId="01F2EE13" w14:textId="77777777" w:rsidR="00680C0B" w:rsidRDefault="00A8232D">
      <w:pPr>
        <w:pStyle w:val="Text1"/>
        <w:rPr>
          <w:noProof/>
        </w:rPr>
      </w:pPr>
      <w:r>
        <w:rPr>
          <w:noProof/>
        </w:rPr>
        <w:t>6.</w:t>
      </w:r>
      <w:r>
        <w:rPr>
          <w:noProof/>
        </w:rPr>
        <w:tab/>
        <w:t>Μια μητρική επιχείρηση που συμμορφώνεται με τις απαιτήσεις των παραγράφων 1 έως 4 θεωρείται ότι έχει τηρήσει τις απαιτήσεις του άρθρου 19 παράγραφος 1 τρίτο εδάφιο, τ</w:t>
      </w:r>
      <w:r>
        <w:rPr>
          <w:noProof/>
        </w:rPr>
        <w:t>ου άρθρου 19α και του άρθρου 29.</w:t>
      </w:r>
    </w:p>
    <w:p w14:paraId="5FA3F45D" w14:textId="77777777" w:rsidR="00680C0B" w:rsidRDefault="00A8232D">
      <w:pPr>
        <w:pStyle w:val="Text1"/>
        <w:rPr>
          <w:noProof/>
        </w:rPr>
      </w:pPr>
      <w:r>
        <w:rPr>
          <w:noProof/>
        </w:rPr>
        <w:t>7.</w:t>
      </w:r>
      <w:r>
        <w:rPr>
          <w:noProof/>
        </w:rPr>
        <w:tab/>
        <w:t>Μια μητρική επιχείρηση που είναι επίσης θυγατρική επιχείρηση απαλλάσσεται από τις υποχρεώσεις που ορίζονται στις παραγράφους 1 έως 4, εφόσον η απαλλασσόμενη μητρική επιχείρηση και οι θυγατρικές της συμπεριλαμβάνονται στη</w:t>
      </w:r>
      <w:r>
        <w:rPr>
          <w:noProof/>
        </w:rPr>
        <w:t>ν ενοποιημένη έκθεση διαχείρισης άλλης επιχείρησης η οποία συντάσσεται σύμφωνα με το άρθρο 29 και σύμφωνα με το παρόν άρθρο. Μια μητρική επιχείρηση, η οποία είναι θυγατρική επιχείρηση μητρικής επιχείρησης που είναι εγκατεστημένη σε τρίτη χώρα, απαλλάσσεται</w:t>
      </w:r>
      <w:r>
        <w:rPr>
          <w:noProof/>
        </w:rPr>
        <w:t xml:space="preserve"> επίσης από τις υποχρεώσεις που ορίζονται στις παραγράφους 1 έως 4, όταν η εν λόγω επιχείρηση και οι θυγατρικές της επιχειρήσεις περιλαμβάνονται στην ενοποιημένη έκθεση διαχείρισης της εν λόγω μητρικής επιχείρησης και όταν η ενοποιημένη έκθεση διαχείρισης </w:t>
      </w:r>
      <w:r>
        <w:rPr>
          <w:noProof/>
        </w:rPr>
        <w:t>συντάσσεται κατά τρόπο που μπορεί να θεωρηθεί ισοδύναμος, σύμφωνα με τα σχετικά εκτελεστικά μέτρα που θεσπίζονται δυνάμει του άρθρου 23 παράγραφος 4 σημείο i) της οδηγίας 2004/109/ΕΚ, με τον τρόπο που απαιτείται βάσει των προτύπων υποβολής εκθέσεων βιωσιμό</w:t>
      </w:r>
      <w:r>
        <w:rPr>
          <w:noProof/>
        </w:rPr>
        <w:t>τητας που αναφέρονται στο άρθρο 19β της παρούσας οδηγίας.</w:t>
      </w:r>
    </w:p>
    <w:p w14:paraId="2FE28D19" w14:textId="77777777" w:rsidR="00680C0B" w:rsidRDefault="00A8232D">
      <w:pPr>
        <w:pStyle w:val="Text1"/>
        <w:rPr>
          <w:noProof/>
        </w:rPr>
      </w:pPr>
      <w:r>
        <w:rPr>
          <w:noProof/>
        </w:rPr>
        <w:t xml:space="preserve">Η ενοποιημένη έκθεση διαχείρισης της μητρικής επιχείρησης που αναφέρεται στο πρώτο εδάφιο δημοσιεύεται σύμφωνα με το άρθρο 30, με τον τρόπο που ορίζεται στο δίκαιο του κράτους μέλους από το </w:t>
      </w:r>
      <w:r>
        <w:rPr>
          <w:noProof/>
        </w:rPr>
        <w:t>οποίο διέπεται η μητρική επιχείρηση που απαλλάσσεται από τις υποχρεώσεις των παραγράφων 1 έως 4.</w:t>
      </w:r>
    </w:p>
    <w:p w14:paraId="214BC57C" w14:textId="77777777" w:rsidR="00680C0B" w:rsidRDefault="00A8232D">
      <w:pPr>
        <w:pStyle w:val="Text1"/>
        <w:rPr>
          <w:noProof/>
        </w:rPr>
      </w:pPr>
      <w:r>
        <w:rPr>
          <w:noProof/>
        </w:rPr>
        <w:t>Το κράτος μέλος στο οποίο υπάγεται η μητρική επιχείρηση που απαλλάσσεται από τις υποχρεώσεις των παραγράφων 1 έως 4 μπορεί να απαιτεί η ενοποιημένη έκθεση διαχ</w:t>
      </w:r>
      <w:r>
        <w:rPr>
          <w:noProof/>
        </w:rPr>
        <w:t>είρισης που αναφέρεται στο πρώτο εδάφιο της παρούσας παραγράφου να δημοσιεύεται σε επίσημη γλώσσα του κράτους μέλους, ή σε γλώσσα ευρέως διαδεδομένη στον διεθνή χρηματοπιστωτικό τομέα, και να επικυρώνεται κάθε αναγκαία μετάφραση προς τις εν λόγω γλώσσες.</w:t>
      </w:r>
    </w:p>
    <w:p w14:paraId="72E3F1DF" w14:textId="77777777" w:rsidR="00680C0B" w:rsidRDefault="00A8232D">
      <w:pPr>
        <w:pStyle w:val="Text1"/>
        <w:rPr>
          <w:noProof/>
        </w:rPr>
      </w:pPr>
      <w:r>
        <w:rPr>
          <w:noProof/>
        </w:rPr>
        <w:t>Η</w:t>
      </w:r>
      <w:r>
        <w:rPr>
          <w:noProof/>
        </w:rPr>
        <w:t xml:space="preserve"> ενοποιημένη έκθεση διαχείρισης μιας μητρικής επιχείρησης που απαλλάσσεται από τις υποχρεώσεις που ορίζονται στις παραγράφους 1 έως 4 περιέχει όλες τις ακόλουθες πληροφορίες:</w:t>
      </w:r>
    </w:p>
    <w:p w14:paraId="2DC2F152" w14:textId="77777777" w:rsidR="00680C0B" w:rsidRDefault="00A8232D">
      <w:pPr>
        <w:pStyle w:val="Text2"/>
        <w:rPr>
          <w:noProof/>
        </w:rPr>
      </w:pPr>
      <w:r>
        <w:rPr>
          <w:noProof/>
        </w:rPr>
        <w:t>α)</w:t>
      </w:r>
      <w:r>
        <w:rPr>
          <w:noProof/>
        </w:rPr>
        <w:tab/>
        <w:t>την επωνυμία και την έδρα της μητρικής επιχείρησης που υποβάλλει πληροφορίες σ</w:t>
      </w:r>
      <w:r>
        <w:rPr>
          <w:noProof/>
        </w:rPr>
        <w:t>ε επίπεδο ομίλου σύμφωνα με το άρθρο 29 και σύμφωνα με το παρόν άρθρο ή κατά τρόπο που μπορεί να θεωρηθεί ισοδύναμος, σύμφωνα με τα σχετικά εκτελεστικά μέτρα που θεσπίζονται δυνάμει του άρθρου 23 παράγραφος 4 σημείο i) της οδηγίας 2004/109/ΕΚ, με τον τρόπο</w:t>
      </w:r>
      <w:r>
        <w:rPr>
          <w:noProof/>
        </w:rPr>
        <w:t xml:space="preserve"> που απαιτείται βάσει των προτύπων υποβολής εκθέσεων βιωσιμότητας που έχουν εγκριθεί σύμφωνα με το άρθρο 19β·</w:t>
      </w:r>
    </w:p>
    <w:p w14:paraId="2AB0B3A0" w14:textId="77777777" w:rsidR="00680C0B" w:rsidRDefault="00A8232D">
      <w:pPr>
        <w:pStyle w:val="Text2"/>
        <w:rPr>
          <w:noProof/>
        </w:rPr>
      </w:pPr>
      <w:r>
        <w:rPr>
          <w:noProof/>
        </w:rPr>
        <w:t>β)</w:t>
      </w:r>
      <w:r>
        <w:rPr>
          <w:noProof/>
        </w:rPr>
        <w:tab/>
        <w:t>το γεγονός ότι η επιχείρηση απαλλάσσεται από τις υποχρεώσεις που ορίζονται στις παραγράφους 1 έως 4 του παρόντος άρθρου.»·</w:t>
      </w:r>
    </w:p>
    <w:p w14:paraId="57E7DCFC" w14:textId="77777777" w:rsidR="00680C0B" w:rsidRDefault="00A8232D">
      <w:pPr>
        <w:pStyle w:val="Point0"/>
        <w:rPr>
          <w:noProof/>
        </w:rPr>
      </w:pPr>
      <w:r>
        <w:rPr>
          <w:noProof/>
        </w:rPr>
        <w:t>8)</w:t>
      </w:r>
      <w:r>
        <w:rPr>
          <w:noProof/>
        </w:rPr>
        <w:tab/>
        <w:t>το άρθρο 30 τροπο</w:t>
      </w:r>
      <w:r>
        <w:rPr>
          <w:noProof/>
        </w:rPr>
        <w:t>ποιείται ως εξής:</w:t>
      </w:r>
    </w:p>
    <w:p w14:paraId="7515A3E8" w14:textId="77777777" w:rsidR="00680C0B" w:rsidRDefault="00A8232D">
      <w:pPr>
        <w:pStyle w:val="Point1"/>
        <w:rPr>
          <w:noProof/>
        </w:rPr>
      </w:pPr>
      <w:r>
        <w:rPr>
          <w:noProof/>
        </w:rPr>
        <w:t>α)</w:t>
      </w:r>
      <w:r>
        <w:rPr>
          <w:noProof/>
        </w:rPr>
        <w:tab/>
        <w:t>η παράγραφος 1 αντικαθίσταται από το ακόλουθο κείμενο:</w:t>
      </w:r>
    </w:p>
    <w:p w14:paraId="5A3DFEDB" w14:textId="77777777" w:rsidR="00680C0B" w:rsidRDefault="00A8232D">
      <w:pPr>
        <w:pStyle w:val="Text2"/>
        <w:rPr>
          <w:noProof/>
        </w:rPr>
      </w:pPr>
      <w:r>
        <w:rPr>
          <w:noProof/>
          <w:color w:val="000000"/>
        </w:rPr>
        <w:t>«</w:t>
      </w:r>
      <w:r>
        <w:rPr>
          <w:noProof/>
        </w:rPr>
        <w:t xml:space="preserve">1. Τα κράτη μέλη διασφαλίζουν ότι οι επιχειρήσεις δημοσιεύουν εντός εύλογης περιόδου, που δεν υπερβαίνει τους 12 μήνες μετά την ημερομηνία κλεισίματος του ισολογισμού, τις νόμιμα </w:t>
      </w:r>
      <w:r>
        <w:rPr>
          <w:noProof/>
        </w:rPr>
        <w:t xml:space="preserve">εγκεκριμένες ετήσιες οικονομικές καταστάσεις και την έκθεση διαχείρισης σύμφωνα με τον μορφότυπο που καθορίζεται στο άρθρο 19δ της παρούσας οδηγίας, κατά περίπτωση, καθώς και τις γνώμες και τη δήλωση που υποβάλλει ο νόμιμος ελεγκτής ή το ελεγκτικό γραφείο </w:t>
      </w:r>
      <w:r>
        <w:rPr>
          <w:noProof/>
        </w:rPr>
        <w:t>κατά το άρθρο 34 της παρούσας οδηγίας, όπως προβλέπεται από τη νομοθεσία κάθε κράτους μέλους σύμφωνα με το κεφάλαιο 3 της οδηγίας (ΕΕ) 2017/1132 του Ευρωπαϊκού Κοινοβουλίου και του Συμβουλίου*</w:t>
      </w:r>
      <w:r>
        <w:rPr>
          <w:noProof/>
          <w:vertAlign w:val="superscript"/>
        </w:rPr>
        <w:t>16</w:t>
      </w:r>
      <w:r>
        <w:rPr>
          <w:noProof/>
        </w:rPr>
        <w:t>.»</w:t>
      </w:r>
    </w:p>
    <w:p w14:paraId="1766EFE7" w14:textId="77777777" w:rsidR="00680C0B" w:rsidRDefault="00A8232D">
      <w:pPr>
        <w:pStyle w:val="Text2"/>
        <w:rPr>
          <w:rFonts w:eastAsia="Times New Roman"/>
          <w:noProof/>
          <w:szCs w:val="24"/>
        </w:rPr>
      </w:pPr>
      <w:r>
        <w:rPr>
          <w:noProof/>
        </w:rPr>
        <w:t>«Σε περίπτωση που η γνώμη που αναφέρεται στο άρθρο 34 παράγ</w:t>
      </w:r>
      <w:r>
        <w:rPr>
          <w:noProof/>
        </w:rPr>
        <w:t>ραφος 1 στοιχείο αα) παρέχεται από ανεξάρτητο πάροχο υπηρεσιών διασφάλισης, η γνώμη αυτή δημοσιεύεται μαζί με τις εκθέσεις που αναφέρονται στο πρώτο εδάφιο.</w:t>
      </w:r>
    </w:p>
    <w:p w14:paraId="630E2A50" w14:textId="77777777" w:rsidR="00680C0B" w:rsidRDefault="00A8232D">
      <w:pPr>
        <w:pStyle w:val="Text2"/>
        <w:rPr>
          <w:rFonts w:eastAsia="Times New Roman"/>
          <w:noProof/>
          <w:szCs w:val="24"/>
        </w:rPr>
      </w:pPr>
      <w:r>
        <w:rPr>
          <w:noProof/>
        </w:rPr>
        <w:t>Ωστόσο, τα κράτη μέλη μπορούν να απαλλάξουν τις επιχειρήσεις από την υποχρέωση δημοσίευσης της έκθε</w:t>
      </w:r>
      <w:r>
        <w:rPr>
          <w:noProof/>
        </w:rPr>
        <w:t>σης διαχείρισης, σε περίπτωση που είναι δυνατή η εύκολη απόκτηση αντιγράφου ολόκληρης της έκθεσης ή αποσπάσματος αυτής κατόπιν αίτησης με αντίτιμο που δεν υπερβαίνει το διοικητικό του κόστος.»</w:t>
      </w:r>
    </w:p>
    <w:p w14:paraId="317A1E26" w14:textId="77777777" w:rsidR="00680C0B" w:rsidRDefault="00A8232D">
      <w:pPr>
        <w:pStyle w:val="Text2"/>
        <w:rPr>
          <w:noProof/>
        </w:rPr>
      </w:pPr>
      <w:r>
        <w:rPr>
          <w:noProof/>
        </w:rPr>
        <w:t>«Η απαλλαγή που προβλέπεται στο τρίτο εδάφιο δεν εφαρμόζεται στ</w:t>
      </w:r>
      <w:r>
        <w:rPr>
          <w:noProof/>
        </w:rPr>
        <w:t>ις επιχειρήσεις που υπάγονται στα άρθρα 19α και 29α.»·</w:t>
      </w:r>
    </w:p>
    <w:p w14:paraId="34E35E8A" w14:textId="77777777" w:rsidR="00680C0B" w:rsidRDefault="00A8232D">
      <w:pPr>
        <w:pStyle w:val="Text2"/>
        <w:rPr>
          <w:noProof/>
        </w:rPr>
      </w:pPr>
      <w:r>
        <w:rPr>
          <w:noProof/>
        </w:rPr>
        <w:t>______________________________________________</w:t>
      </w:r>
    </w:p>
    <w:p w14:paraId="11AE9998" w14:textId="77777777" w:rsidR="00680C0B" w:rsidRDefault="00A8232D">
      <w:pPr>
        <w:pStyle w:val="FootnoteText"/>
        <w:rPr>
          <w:rFonts w:eastAsia="Times New Roman"/>
          <w:noProof/>
          <w:szCs w:val="24"/>
        </w:rPr>
      </w:pPr>
      <w:r>
        <w:rPr>
          <w:noProof/>
        </w:rPr>
        <w:t>*</w:t>
      </w:r>
      <w:r>
        <w:rPr>
          <w:noProof/>
          <w:vertAlign w:val="superscript"/>
        </w:rPr>
        <w:t>16</w:t>
      </w:r>
      <w:r>
        <w:rPr>
          <w:noProof/>
        </w:rPr>
        <w:tab/>
        <w:t>Οδηγία (ΕΕ) 2017/1132 του Ευρωπαϊκού Κοινοβουλίου και του Συμβουλίου, της 14ης Ιουνίου 2017, σχετικά με ορισμένες πτυχές του εταιρικού δίκαιου (</w:t>
      </w:r>
      <w:r>
        <w:rPr>
          <w:rStyle w:val="Emphasis"/>
          <w:i w:val="0"/>
          <w:noProof/>
        </w:rPr>
        <w:t>ΕΕ L 1</w:t>
      </w:r>
      <w:r>
        <w:rPr>
          <w:rStyle w:val="Emphasis"/>
          <w:i w:val="0"/>
          <w:noProof/>
        </w:rPr>
        <w:t>69 της 30.6.2017, σ. 46</w:t>
      </w:r>
      <w:r>
        <w:rPr>
          <w:noProof/>
        </w:rPr>
        <w:t>).</w:t>
      </w:r>
    </w:p>
    <w:p w14:paraId="72471E4E" w14:textId="77777777" w:rsidR="00680C0B" w:rsidRDefault="00A8232D">
      <w:pPr>
        <w:pStyle w:val="Point1"/>
        <w:rPr>
          <w:noProof/>
        </w:rPr>
      </w:pPr>
      <w:r>
        <w:rPr>
          <w:noProof/>
        </w:rPr>
        <w:t>β)</w:t>
      </w:r>
      <w:r>
        <w:rPr>
          <w:noProof/>
        </w:rPr>
        <w:tab/>
        <w:t>παρεμβάλλεται η ακόλουθη παράγραφος 1α:</w:t>
      </w:r>
    </w:p>
    <w:p w14:paraId="2D62781E" w14:textId="77777777" w:rsidR="00680C0B" w:rsidRDefault="00A8232D">
      <w:pPr>
        <w:pStyle w:val="Text2"/>
        <w:rPr>
          <w:noProof/>
        </w:rPr>
      </w:pPr>
      <w:r>
        <w:rPr>
          <w:noProof/>
        </w:rPr>
        <w:t>«1α. Τα κράτη μέλη διασφαλίζουν ότι οι εκθέσεις διαχείρισης που περιέχουν πληροφορίες σχετικές με τη βιωσιμότητα, οι οποίες συντάσσονται από επιχειρήσεις που υπόκεινται στις διατάξεις των</w:t>
      </w:r>
      <w:r>
        <w:rPr>
          <w:noProof/>
        </w:rPr>
        <w:t xml:space="preserve"> άρθρων 19α και 29α, καθίστανται επίσης διαθέσιμες, χωρίς χρονοτριβή μετά τη δημοσίευσή τους, στον σχετικό επίσημα καθορισμένο μηχανισμό που αναφέρεται στο άρθρο 21 παράγραφος 2 της οδηγίας 2004/109/ΕΚ.</w:t>
      </w:r>
    </w:p>
    <w:p w14:paraId="35A6F263" w14:textId="77777777" w:rsidR="00680C0B" w:rsidRDefault="00A8232D">
      <w:pPr>
        <w:pStyle w:val="Text2"/>
        <w:rPr>
          <w:noProof/>
        </w:rPr>
      </w:pPr>
      <w:r>
        <w:rPr>
          <w:noProof/>
        </w:rPr>
        <w:t>Σε περίπτωση που η επιχείρηση η οποία συντάσσει την έ</w:t>
      </w:r>
      <w:r>
        <w:rPr>
          <w:noProof/>
        </w:rPr>
        <w:t>κθεση διαχείρισης δεν υπόκειται στις διατάξεις της οδηγίας 2004/109/ΕΚ, ο σχετικός επίσημα καθορισμένος μηχανισμός είναι ένας από τους επίσημα καθορισμένους μηχανισμούς του κράτους μέλους στο οποίο η επιχείρηση έχει την έδρα της.»·</w:t>
      </w:r>
    </w:p>
    <w:p w14:paraId="60AD917C" w14:textId="77777777" w:rsidR="00680C0B" w:rsidRDefault="00A8232D">
      <w:pPr>
        <w:pStyle w:val="Point0"/>
        <w:rPr>
          <w:noProof/>
        </w:rPr>
      </w:pPr>
      <w:r>
        <w:rPr>
          <w:noProof/>
        </w:rPr>
        <w:t>9)</w:t>
      </w:r>
      <w:r>
        <w:rPr>
          <w:noProof/>
        </w:rPr>
        <w:tab/>
        <w:t>στο άρθρο 33, η παράγ</w:t>
      </w:r>
      <w:r>
        <w:rPr>
          <w:noProof/>
        </w:rPr>
        <w:t>ραφος 1 αντικαθίσταται από το ακόλουθο κείμενο:</w:t>
      </w:r>
    </w:p>
    <w:p w14:paraId="7DB333DC" w14:textId="77777777" w:rsidR="00680C0B" w:rsidRDefault="00A8232D">
      <w:pPr>
        <w:pStyle w:val="Text1"/>
        <w:rPr>
          <w:noProof/>
        </w:rPr>
      </w:pPr>
      <w:r>
        <w:rPr>
          <w:noProof/>
        </w:rPr>
        <w:t>«1. Τα κράτη μέλη μεριμνούν ώστε τα μέλη των διοικητικών, διαχειριστικών και εποπτικών οργάνων μιας επιχείρησης, που ενεργούν στο πλαίσιο των αρμοδιοτήτων που τους αναθέτει το εθνικό δίκαιο, υπέχουν συλλογική</w:t>
      </w:r>
      <w:r>
        <w:rPr>
          <w:noProof/>
        </w:rPr>
        <w:t xml:space="preserve"> ευθύνη για να εξασφαλίσουν ότι τα έγγραφα που παρατίθενται κατωτέρω έχουν καταρτιστεί και δημοσιοποιηθεί σύμφωνα με τις απαιτήσεις της παρούσας οδηγίας και, κατά περίπτωση, με τα διεθνή λογιστικά πρότυπα που έχουν εγκριθεί σύμφωνα με τον κανονισμό (ΕΚ) αρ</w:t>
      </w:r>
      <w:r>
        <w:rPr>
          <w:noProof/>
        </w:rPr>
        <w:t>ιθ. 1606/2002, με τον κατ’ εξουσιοδότηση κανονισμό (ΕΕ) 2019/815, με τα πρότυπα υποβολής εκθέσεων βιωσιμότητας που αναφέρονται στο άρθρο 19β της παρούσας οδηγίας, καθώς και με τις απαιτήσεις του άρθρου 19δ της παρούσας οδηγίας:</w:t>
      </w:r>
    </w:p>
    <w:p w14:paraId="5ED97BC0" w14:textId="77777777" w:rsidR="00680C0B" w:rsidRDefault="00A8232D">
      <w:pPr>
        <w:pStyle w:val="Text2"/>
        <w:rPr>
          <w:noProof/>
        </w:rPr>
      </w:pPr>
      <w:r>
        <w:rPr>
          <w:noProof/>
        </w:rPr>
        <w:t>α) οι ετήσιες οικονομικές κα</w:t>
      </w:r>
      <w:r>
        <w:rPr>
          <w:noProof/>
        </w:rPr>
        <w:t>ταστάσεις, η έκθεση διαχείρισης και η δήλωση εταιρικής διακυβέρνησης όταν παρέχεται χωριστά·</w:t>
      </w:r>
    </w:p>
    <w:p w14:paraId="586D6644" w14:textId="77777777" w:rsidR="00680C0B" w:rsidRDefault="00A8232D">
      <w:pPr>
        <w:pStyle w:val="Text2"/>
        <w:rPr>
          <w:noProof/>
        </w:rPr>
      </w:pPr>
      <w:r>
        <w:rPr>
          <w:noProof/>
        </w:rPr>
        <w:t>β) οι ενοποιημένες οικονομικές καταστάσεις, οι ενοποιημένες εκθέσεις διαχείρισης και η ενοποιημένη δήλωση εταιρικής διακυβέρνησης όταν παρέχεται χωριστά.»·</w:t>
      </w:r>
    </w:p>
    <w:p w14:paraId="77F91FA8" w14:textId="77777777" w:rsidR="00680C0B" w:rsidRDefault="00A8232D">
      <w:pPr>
        <w:pStyle w:val="Point0"/>
        <w:rPr>
          <w:noProof/>
        </w:rPr>
      </w:pPr>
      <w:r>
        <w:rPr>
          <w:noProof/>
        </w:rPr>
        <w:t>10)</w:t>
      </w:r>
      <w:r>
        <w:rPr>
          <w:noProof/>
        </w:rPr>
        <w:tab/>
        <w:t xml:space="preserve">το </w:t>
      </w:r>
      <w:r>
        <w:rPr>
          <w:noProof/>
        </w:rPr>
        <w:t>άρθρο 34 τροποποιείται ως εξής:</w:t>
      </w:r>
    </w:p>
    <w:p w14:paraId="2B4071E2" w14:textId="77777777" w:rsidR="00680C0B" w:rsidRDefault="00A8232D">
      <w:pPr>
        <w:pStyle w:val="Point1"/>
        <w:rPr>
          <w:noProof/>
        </w:rPr>
      </w:pPr>
      <w:r>
        <w:rPr>
          <w:noProof/>
        </w:rPr>
        <w:t>α)</w:t>
      </w:r>
      <w:r>
        <w:rPr>
          <w:noProof/>
        </w:rPr>
        <w:tab/>
        <w:t>στην παράγραφο 1, το δεύτερο εδάφιο τροποποιείται ως εξής:</w:t>
      </w:r>
    </w:p>
    <w:p w14:paraId="625DBCB2" w14:textId="77777777" w:rsidR="00680C0B" w:rsidRDefault="00A8232D">
      <w:pPr>
        <w:pStyle w:val="Point2"/>
        <w:rPr>
          <w:noProof/>
        </w:rPr>
      </w:pPr>
      <w:r>
        <w:rPr>
          <w:noProof/>
        </w:rPr>
        <w:t>i)</w:t>
      </w:r>
      <w:r>
        <w:rPr>
          <w:noProof/>
        </w:rPr>
        <w:tab/>
        <w:t>στο στοιχείο α), το σημείο ii) αντικαθίσταται από το ακόλουθο κείμενο:</w:t>
      </w:r>
    </w:p>
    <w:p w14:paraId="411CF173" w14:textId="77777777" w:rsidR="00680C0B" w:rsidRDefault="00A8232D">
      <w:pPr>
        <w:pStyle w:val="Text3"/>
        <w:rPr>
          <w:noProof/>
        </w:rPr>
      </w:pPr>
      <w:r>
        <w:rPr>
          <w:noProof/>
        </w:rPr>
        <w:t>«ii)</w:t>
      </w:r>
      <w:r>
        <w:rPr>
          <w:noProof/>
        </w:rPr>
        <w:tab/>
        <w:t>αν η έκθεση διαχείρισης έχει καταρτιστεί σύμφωνα με τις ισχύουσες νομικές απαιτήσει</w:t>
      </w:r>
      <w:r>
        <w:rPr>
          <w:noProof/>
        </w:rPr>
        <w:t>ς, εξαιρουμένων των απαιτήσεων υποβολής εκθέσεων βιωσιμότητας που καθορίζονται στο άρθρο 19α,»·</w:t>
      </w:r>
    </w:p>
    <w:p w14:paraId="0E679B20" w14:textId="77777777" w:rsidR="00680C0B" w:rsidRDefault="00A8232D">
      <w:pPr>
        <w:pStyle w:val="Point2"/>
        <w:rPr>
          <w:noProof/>
        </w:rPr>
      </w:pPr>
      <w:r>
        <w:rPr>
          <w:noProof/>
        </w:rPr>
        <w:t>ii)</w:t>
      </w:r>
      <w:r>
        <w:rPr>
          <w:noProof/>
        </w:rPr>
        <w:tab/>
        <w:t>παρεμβάλλεται το ακόλουθο στοιχείο αα):</w:t>
      </w:r>
    </w:p>
    <w:p w14:paraId="37B6E601" w14:textId="77777777" w:rsidR="00680C0B" w:rsidRDefault="00A8232D">
      <w:pPr>
        <w:pStyle w:val="Text3"/>
        <w:rPr>
          <w:noProof/>
        </w:rPr>
      </w:pPr>
      <w:r>
        <w:rPr>
          <w:noProof/>
        </w:rPr>
        <w:t>«αα)</w:t>
      </w:r>
      <w:r>
        <w:rPr>
          <w:noProof/>
        </w:rPr>
        <w:tab/>
      </w:r>
      <w:r>
        <w:rPr>
          <w:noProof/>
        </w:rPr>
        <w:t>κατά περίπτωση, διατυπώνουν γνώμη βάσει δέσμευσης παροχής περιορισμένης διασφάλισης όσον αφορά τη συμμόρφωση της υποβολής εκθέσεων βιωσιμότητας προς τις απαιτήσεις της παρούσας οδηγίας, συμπεριλαμβανομένης της συμμόρφωσης της υποβολής εκθέσεων βιωσιμότητας</w:t>
      </w:r>
      <w:r>
        <w:rPr>
          <w:noProof/>
        </w:rPr>
        <w:t xml:space="preserve"> προς τα πρότυπα υποβολής εκθέσεων που έχουν εγκριθεί σύμφωνα με το άρθρο 19β, τη διαδικασία που εφαρμόζει η επιχείρηση για τον προσδιορισμό των πληροφοριών που υποβάλλονται σύμφωνα με τα εν λόγω πρότυπα υποβολής εκθέσεων, και τη συμμόρφωση προς την απαίτη</w:t>
      </w:r>
      <w:r>
        <w:rPr>
          <w:noProof/>
        </w:rPr>
        <w:t>ση σήμανσης της υποβολής εκθέσεων βιωσιμότητας σύμφωνα με το άρθρο 19δ, καθώς και όσον αφορά τη συμμόρφωση προς τις απαιτήσεις υποβολής εκθέσεων του άρθρου 8 του κανονισμού (ΕΕ) 2020/852.»·</w:t>
      </w:r>
    </w:p>
    <w:p w14:paraId="7EA283DC" w14:textId="77777777" w:rsidR="00680C0B" w:rsidRDefault="00A8232D">
      <w:pPr>
        <w:pStyle w:val="Point1"/>
        <w:rPr>
          <w:noProof/>
        </w:rPr>
      </w:pPr>
      <w:r>
        <w:rPr>
          <w:noProof/>
        </w:rPr>
        <w:t>β)</w:t>
      </w:r>
      <w:r>
        <w:rPr>
          <w:noProof/>
        </w:rPr>
        <w:tab/>
        <w:t>η παράγραφος 3 αντικαθίσταται από το ακόλουθο κείμενο:</w:t>
      </w:r>
    </w:p>
    <w:p w14:paraId="3BA98469" w14:textId="77777777" w:rsidR="00680C0B" w:rsidRDefault="00A8232D">
      <w:pPr>
        <w:pStyle w:val="Text2"/>
        <w:rPr>
          <w:noProof/>
        </w:rPr>
      </w:pPr>
      <w:r>
        <w:rPr>
          <w:noProof/>
        </w:rPr>
        <w:t>«3. Τα κ</w:t>
      </w:r>
      <w:r>
        <w:rPr>
          <w:noProof/>
        </w:rPr>
        <w:t>ράτη μέλη δύνανται να επιτρέπουν σε ανεξάρτητο πάροχο υπηρεσιών διασφάλισης να διατυπώνει τη γνώμη που αναφέρεται στην παράγραφο 1 δεύτερο εδάφιο στοιχείο αα), υπό τον όρο ότι υπόκειται σε απαιτήσεις που είναι συνεπείς με τις απαιτήσεις που καθορίζονται στ</w:t>
      </w:r>
      <w:r>
        <w:rPr>
          <w:noProof/>
        </w:rPr>
        <w:t>ην οδηγία 2006/43/ΕΚ όσον αφορά τη διασφάλιση της υποβολής εκθέσεων βιωσιμότητας όπως ορίζεται στο άρθρο 2 σημείο 1 στοιχείο ιη) της εν λόγω οδηγίας.»</w:t>
      </w:r>
    </w:p>
    <w:p w14:paraId="714982CA" w14:textId="77777777" w:rsidR="00680C0B" w:rsidRDefault="00A8232D">
      <w:pPr>
        <w:pStyle w:val="Point0"/>
        <w:rPr>
          <w:noProof/>
        </w:rPr>
      </w:pPr>
      <w:r>
        <w:rPr>
          <w:noProof/>
        </w:rPr>
        <w:t>11)</w:t>
      </w:r>
      <w:r>
        <w:rPr>
          <w:noProof/>
        </w:rPr>
        <w:tab/>
        <w:t>το άρθρο 49 τροποποιείται ως εξής:</w:t>
      </w:r>
    </w:p>
    <w:p w14:paraId="2C2B66A3" w14:textId="77777777" w:rsidR="00680C0B" w:rsidRDefault="00A8232D">
      <w:pPr>
        <w:pStyle w:val="Point1"/>
        <w:rPr>
          <w:noProof/>
        </w:rPr>
      </w:pPr>
      <w:r>
        <w:rPr>
          <w:noProof/>
        </w:rPr>
        <w:t>α)</w:t>
      </w:r>
      <w:r>
        <w:rPr>
          <w:noProof/>
        </w:rPr>
        <w:tab/>
        <w:t xml:space="preserve">οι παράγραφοι 2 και 3 αντικαθίστανται από το ακόλουθο </w:t>
      </w:r>
      <w:r>
        <w:rPr>
          <w:noProof/>
        </w:rPr>
        <w:t>κείμενο:</w:t>
      </w:r>
    </w:p>
    <w:p w14:paraId="180D3A62" w14:textId="77777777" w:rsidR="00680C0B" w:rsidRDefault="00A8232D">
      <w:pPr>
        <w:pStyle w:val="Text2"/>
        <w:rPr>
          <w:noProof/>
        </w:rPr>
      </w:pPr>
      <w:r>
        <w:rPr>
          <w:noProof/>
        </w:rPr>
        <w:t>«2. Η αρμοδιότητα έκδοσης κατ’ εξουσιοδότηση πράξεων όπως αναφέρεται στο άρθρο 1 παράγραφος 2, στο άρθρο 3 παράγραφος 13, στο άρθρο 46 παράγραφος 2, στο άρθρο 19β και στο άρθρο 19γ ανατίθεται στην Επιτροπή επ’ αόριστον.</w:t>
      </w:r>
    </w:p>
    <w:p w14:paraId="4E8579CC" w14:textId="77777777" w:rsidR="00680C0B" w:rsidRDefault="00A8232D">
      <w:pPr>
        <w:pStyle w:val="Text2"/>
        <w:rPr>
          <w:noProof/>
        </w:rPr>
      </w:pPr>
      <w:r>
        <w:rPr>
          <w:noProof/>
        </w:rPr>
        <w:t>3. Η εξουσιοδότηση που προβ</w:t>
      </w:r>
      <w:r>
        <w:rPr>
          <w:noProof/>
        </w:rPr>
        <w:t>λέπεται στο άρθρο 1 παράγραφος 2, στο άρθρο 3 παράγραφος 13, στο άρθρο 46 παράγραφος 2, στο άρθρο 19β και στο άρθρο 19γ είναι δυνατόν να ανακληθεί οποιαδήποτε χρονική στιγμή από το Ευρωπαϊκό Κοινοβούλιο ή από το Συμβούλιο. Η απόφαση ανάκλησης περατώνει την</w:t>
      </w:r>
      <w:r>
        <w:rPr>
          <w:noProof/>
        </w:rPr>
        <w:t xml:space="preserve"> εξουσιοδότηση που προσδιορίζεται στην εν λόγω απόφαση. Παράγει αποτελέσματα από την επομένη της ημέρας δημοσίευσης της απόφασης αυτής στην </w:t>
      </w:r>
      <w:r>
        <w:rPr>
          <w:i/>
          <w:noProof/>
        </w:rPr>
        <w:t>Επίσημη Εφημερίδα της Ευρωπαϊκής Ένωσης</w:t>
      </w:r>
      <w:r>
        <w:rPr>
          <w:noProof/>
        </w:rPr>
        <w:t xml:space="preserve"> ή σε μεταγενέστερη ημερομηνία που προσδιορίζεται στην απόφαση. Δεν θίγει το </w:t>
      </w:r>
      <w:r>
        <w:rPr>
          <w:noProof/>
        </w:rPr>
        <w:t>κύρος των ήδη εν ισχύι κατ’ εξουσιοδότηση πράξεων.»·</w:t>
      </w:r>
    </w:p>
    <w:p w14:paraId="719E69CA" w14:textId="77777777" w:rsidR="00680C0B" w:rsidRDefault="00A8232D">
      <w:pPr>
        <w:pStyle w:val="Point1"/>
        <w:rPr>
          <w:noProof/>
        </w:rPr>
      </w:pPr>
      <w:r>
        <w:rPr>
          <w:noProof/>
        </w:rPr>
        <w:t>β)</w:t>
      </w:r>
      <w:r>
        <w:rPr>
          <w:noProof/>
        </w:rPr>
        <w:tab/>
        <w:t>παρεμβάλλεται η ακόλουθη παράγραφος 3α:</w:t>
      </w:r>
    </w:p>
    <w:p w14:paraId="654D4CB0" w14:textId="77777777" w:rsidR="00680C0B" w:rsidRDefault="00A8232D">
      <w:pPr>
        <w:pStyle w:val="Text2"/>
        <w:rPr>
          <w:noProof/>
        </w:rPr>
      </w:pPr>
      <w:r>
        <w:rPr>
          <w:noProof/>
        </w:rPr>
        <w:t xml:space="preserve">«3α. Κατά την έκδοση κατ’ εξουσιοδότηση πράξεων σύμφωνα με τα άρθρα 19β και 19γ, η Επιτροπή λαμβάνει υπόψη τις τεχνικές συμβουλές της EFRAG, υπό τον όρο ότι οι </w:t>
      </w:r>
      <w:r>
        <w:rPr>
          <w:noProof/>
        </w:rPr>
        <w:t>συμβουλές αυτές έχουν καταρτιστεί με ορθές διαδικασίες, δημόσια εποπτεία και διαφάνεια, καθώς και με την εμπειρογνωσία των σχετικών ενδιαφερομένων, και ότι συνοδεύονται από αναλύσεις κόστους-οφέλους που περιλαμβάνουν αναλύσεις των επιπτώσεων των τεχνικών σ</w:t>
      </w:r>
      <w:r>
        <w:rPr>
          <w:noProof/>
        </w:rPr>
        <w:t>υμβουλών σε θέματα βιωσιμότητας.</w:t>
      </w:r>
    </w:p>
    <w:p w14:paraId="6183E1C3" w14:textId="77777777" w:rsidR="00680C0B" w:rsidRDefault="00A8232D">
      <w:pPr>
        <w:pStyle w:val="Text2"/>
        <w:rPr>
          <w:noProof/>
        </w:rPr>
      </w:pPr>
      <w:r>
        <w:rPr>
          <w:noProof/>
        </w:rPr>
        <w:t xml:space="preserve">Η Επιτροπή ζητεί τη γνώμη της ομάδας εμπειρογνωμόνων των κρατών μελών για τη βιώσιμη χρηματοδότηση που αναφέρεται στο άρθρο 24 του κανονισμού (ΕΕ) 2020/852 σχετικά με τις τεχνικές συμβουλές που παρέχει η EFRAG πριν από την </w:t>
      </w:r>
      <w:r>
        <w:rPr>
          <w:noProof/>
        </w:rPr>
        <w:t xml:space="preserve">έκδοση των κατ’ εξουσιοδότηση πράξεων που αναφέρονται στα άρθρα 19β και 19γ. </w:t>
      </w:r>
    </w:p>
    <w:p w14:paraId="1B78F046" w14:textId="77777777" w:rsidR="00680C0B" w:rsidRDefault="00A8232D">
      <w:pPr>
        <w:pStyle w:val="Text2"/>
        <w:rPr>
          <w:noProof/>
        </w:rPr>
      </w:pPr>
      <w:r>
        <w:rPr>
          <w:noProof/>
        </w:rPr>
        <w:t xml:space="preserve">Η Επιτροπή ζητεί τη γνώμη της Ευρωπαϊκής Αρχής Κινητών Αξιών και Αγορών σχετικά με τις τεχνικές συμβουλές που παρέχει η EFRAG, ιδίως όσον αφορά τη συνέπειά τους με τον κανονισμό </w:t>
      </w:r>
      <w:r>
        <w:rPr>
          <w:noProof/>
        </w:rPr>
        <w:t>(ΕΕ) 2019/2088 και τις κατ’ εξουσιοδότηση πράξεις του. Η Ευρωπαϊκή Αρχή Κινητών Αξιών και Αγορών γνωμοδοτεί εντός δύο μηνών από την ημερομηνία παραλαβής του αιτήματος από την Επιτροπή.</w:t>
      </w:r>
    </w:p>
    <w:p w14:paraId="09A67FA1" w14:textId="77777777" w:rsidR="00680C0B" w:rsidRDefault="00A8232D">
      <w:pPr>
        <w:pStyle w:val="Text2"/>
        <w:rPr>
          <w:noProof/>
        </w:rPr>
      </w:pPr>
      <w:r>
        <w:rPr>
          <w:noProof/>
        </w:rPr>
        <w:t>Η Επιτροπή ζητεί επίσης τη γνώμη της Ευρωπαϊκής Αρχής Τραπεζών, της Ευρ</w:t>
      </w:r>
      <w:r>
        <w:rPr>
          <w:noProof/>
        </w:rPr>
        <w:t>ωπαϊκής Αρχής Ασφαλίσεων και Επαγγελματικών Συντάξεων, του Ευρωπαϊκού Οργανισμού Περιβάλλοντος, του Οργανισμού Θεμελιωδών Δικαιωμάτων της Ευρωπαϊκής Ένωσης, της Ευρωπαϊκής Κεντρικής Τράπεζας, της Επιτροπής Ευρωπαϊκών Φορέων Εποπτείας των Ελεγκτών και της π</w:t>
      </w:r>
      <w:r>
        <w:rPr>
          <w:noProof/>
        </w:rPr>
        <w:t>λατφόρμας για τη βιώσιμη χρηματοδότηση, η οποία έχει συγκροτηθεί βάσει του άρθρου 20 του κανονισμού (ΕΕ) 2020/852, σχετικά με τις τεχνικές συμβουλές που παρέχει η EFRAG πριν από την έκδοση των κατ’ εξουσιοδότηση πράξεων που αναφέρονται στα άρθρα 19β και 19</w:t>
      </w:r>
      <w:r>
        <w:rPr>
          <w:noProof/>
        </w:rPr>
        <w:t xml:space="preserve">γ. Όταν ένα από τα ανωτέρω όργανα αποφασίζει να υποβάλει γνώμη, το πράττει εντός δύο μηνών από την ημερομηνία διαβούλευσης με την Επιτροπή.»· </w:t>
      </w:r>
    </w:p>
    <w:p w14:paraId="537B00EE" w14:textId="77777777" w:rsidR="00680C0B" w:rsidRDefault="00A8232D">
      <w:pPr>
        <w:pStyle w:val="Point1"/>
        <w:rPr>
          <w:noProof/>
        </w:rPr>
      </w:pPr>
      <w:r>
        <w:rPr>
          <w:noProof/>
        </w:rPr>
        <w:t>γ)</w:t>
      </w:r>
      <w:r>
        <w:rPr>
          <w:noProof/>
        </w:rPr>
        <w:tab/>
        <w:t xml:space="preserve">η παράγραφος 5 αντικαθίσταται από το ακόλουθο κείμενο: </w:t>
      </w:r>
    </w:p>
    <w:p w14:paraId="30DF8234" w14:textId="77777777" w:rsidR="00680C0B" w:rsidRDefault="00A8232D">
      <w:pPr>
        <w:pStyle w:val="Text2"/>
        <w:rPr>
          <w:noProof/>
        </w:rPr>
      </w:pPr>
      <w:r>
        <w:rPr>
          <w:noProof/>
        </w:rPr>
        <w:t>«5. Οι κατ’ εξουσιοδότηση πράξεις που εκδίδονται δυνάμ</w:t>
      </w:r>
      <w:r>
        <w:rPr>
          <w:noProof/>
        </w:rPr>
        <w:t>ει του άρθρου 1 παράγραφος 2, του άρθρου 3 παράγραφος 13, του άρθρου 46 παράγραφος 2, του άρθρου 19β και του άρθρου 19γ τίθενται σε ισχύ μόνο εφόσον δεν προβληθεί καμία ένσταση είτε από το Ευρωπαϊκό Κοινοβούλιο είτε από το Συμβούλιο, εντός προθεσμίας δύο μ</w:t>
      </w:r>
      <w:r>
        <w:rPr>
          <w:noProof/>
        </w:rPr>
        <w:t>ηνών από την κοινοποίηση της εν λόγω πράξης στο Ευρωπαϊκό Κοινοβούλιο και το Συμβούλιο ή εάν, πριν από τη λήξη της περιόδου αυτής, το Ευρωπαϊκό Κοινοβούλιο και το Συμβούλιο ενημερώσουν αμφότερα την Επιτροπή ότι δεν προτίθενται να προβάλουν αντιρρήσεις. Η α</w:t>
      </w:r>
      <w:r>
        <w:rPr>
          <w:noProof/>
        </w:rPr>
        <w:t>νωτέρω προθεσμία παρατείνεται κατά δύο μήνες με πρωτοβουλία του Ευρωπαϊκού Κοινοβουλίου ή του Συμβουλίου.»</w:t>
      </w:r>
    </w:p>
    <w:p w14:paraId="0992D345" w14:textId="77777777" w:rsidR="00680C0B" w:rsidRDefault="00A8232D">
      <w:pPr>
        <w:pStyle w:val="Point0"/>
        <w:rPr>
          <w:noProof/>
        </w:rPr>
      </w:pPr>
      <w:r>
        <w:rPr>
          <w:noProof/>
        </w:rPr>
        <w:t>12)</w:t>
      </w:r>
      <w:r>
        <w:rPr>
          <w:noProof/>
        </w:rPr>
        <w:tab/>
        <w:t>το άρθρο 51 αντικαθίσταται από το ακόλουθο κείμενο:</w:t>
      </w:r>
    </w:p>
    <w:p w14:paraId="60BFB164" w14:textId="77777777" w:rsidR="00680C0B" w:rsidRDefault="00A8232D">
      <w:pPr>
        <w:pStyle w:val="NormalCentered"/>
        <w:rPr>
          <w:noProof/>
        </w:rPr>
      </w:pPr>
      <w:r>
        <w:rPr>
          <w:noProof/>
        </w:rPr>
        <w:t>«Άρθρο 51</w:t>
      </w:r>
    </w:p>
    <w:p w14:paraId="3505336D" w14:textId="77777777" w:rsidR="00680C0B" w:rsidRDefault="00A8232D">
      <w:pPr>
        <w:pStyle w:val="NormalCentered"/>
        <w:rPr>
          <w:b/>
          <w:noProof/>
        </w:rPr>
      </w:pPr>
      <w:r>
        <w:rPr>
          <w:b/>
          <w:noProof/>
        </w:rPr>
        <w:t>Κυρώσεις</w:t>
      </w:r>
    </w:p>
    <w:p w14:paraId="2392BE3B" w14:textId="77777777" w:rsidR="00680C0B" w:rsidRDefault="00A8232D">
      <w:pPr>
        <w:pStyle w:val="Text1"/>
        <w:rPr>
          <w:noProof/>
        </w:rPr>
      </w:pPr>
      <w:r>
        <w:rPr>
          <w:noProof/>
        </w:rPr>
        <w:t>1.</w:t>
      </w:r>
      <w:r>
        <w:rPr>
          <w:noProof/>
        </w:rPr>
        <w:tab/>
        <w:t>Με την επιφύλαξη της παραγράφου 2, τα κράτη μέλη προβλέπουν τις κυρώσει</w:t>
      </w:r>
      <w:r>
        <w:rPr>
          <w:noProof/>
        </w:rPr>
        <w:t>ς που επιβάλλονται στις παραβάσεις των εθνικών διατάξεων που θεσπίζονται σύμφωνα με την παρούσα οδηγία και λαμβάνουν κάθε αναγκαίο μέτρο για τη διασφάλιση της εφαρμογής τους. Οι προβλεπόμενες κυρώσεις είναι αποτελεσματικές, αναλογικές και αποτρεπτικές.»</w:t>
      </w:r>
    </w:p>
    <w:p w14:paraId="4F98AAE9" w14:textId="77777777" w:rsidR="00680C0B" w:rsidRDefault="00A8232D">
      <w:pPr>
        <w:pStyle w:val="Text1"/>
        <w:rPr>
          <w:noProof/>
        </w:rPr>
      </w:pPr>
      <w:r>
        <w:rPr>
          <w:noProof/>
        </w:rPr>
        <w:t>2.</w:t>
      </w:r>
      <w:r>
        <w:rPr>
          <w:noProof/>
        </w:rPr>
        <w:tab/>
        <w:t>Σε περίπτωση παράβασης των εθνικών διατάξεων μεταφοράς των άρθρων 19α, 19δ και 29α στο εθνικό δίκαιο, τα κράτη μέλη προβλέπουν τουλάχιστον τα ακόλουθα διοικητικά μέτρα και κυρώσεις:</w:t>
      </w:r>
    </w:p>
    <w:p w14:paraId="2EE17F71" w14:textId="77777777" w:rsidR="00680C0B" w:rsidRDefault="00A8232D">
      <w:pPr>
        <w:pStyle w:val="Text2"/>
        <w:rPr>
          <w:noProof/>
        </w:rPr>
      </w:pPr>
      <w:r>
        <w:rPr>
          <w:noProof/>
        </w:rPr>
        <w:t>α) δημόσια δήλωση στην οποία αναφέρεται το υπαίτιο φυσικό πρόσωπο ή η υπα</w:t>
      </w:r>
      <w:r>
        <w:rPr>
          <w:noProof/>
        </w:rPr>
        <w:t>ίτια νομική οντότητα και η φύση της παράβασης·</w:t>
      </w:r>
    </w:p>
    <w:p w14:paraId="1BE2E0E1" w14:textId="77777777" w:rsidR="00680C0B" w:rsidRDefault="00A8232D">
      <w:pPr>
        <w:pStyle w:val="Text2"/>
        <w:rPr>
          <w:noProof/>
        </w:rPr>
      </w:pPr>
      <w:r>
        <w:rPr>
          <w:noProof/>
        </w:rPr>
        <w:t>β) εντολή με την οποία απαιτείται από το υπαίτιο φυσικό πρόσωπο ή την υπαίτια νομική οντότητα να παύσει και να μην επαναλάβει τη συμπεριφορά που αποτελεί την παράβαση·</w:t>
      </w:r>
    </w:p>
    <w:p w14:paraId="69D9CE82" w14:textId="77777777" w:rsidR="00680C0B" w:rsidRDefault="00A8232D">
      <w:pPr>
        <w:pStyle w:val="Text2"/>
        <w:rPr>
          <w:noProof/>
        </w:rPr>
      </w:pPr>
      <w:r>
        <w:rPr>
          <w:noProof/>
        </w:rPr>
        <w:t>γ) διοικητικές χρηματικές κυρώσεις.</w:t>
      </w:r>
    </w:p>
    <w:p w14:paraId="63D448F6" w14:textId="77777777" w:rsidR="00680C0B" w:rsidRDefault="00A8232D">
      <w:pPr>
        <w:pStyle w:val="Text1"/>
        <w:rPr>
          <w:noProof/>
        </w:rPr>
      </w:pPr>
      <w:r>
        <w:rPr>
          <w:noProof/>
        </w:rPr>
        <w:t>3.</w:t>
      </w:r>
      <w:r>
        <w:rPr>
          <w:noProof/>
        </w:rPr>
        <w:tab/>
        <w:t>Τα</w:t>
      </w:r>
      <w:r>
        <w:rPr>
          <w:noProof/>
        </w:rPr>
        <w:t xml:space="preserve"> κράτη μέλη διασφαλίζουν ότι, κατά τον καθορισμό του είδους και του επιπέδου των κυρώσεων, των διοικητικών κυρώσεων ή των μέτρων που αναφέρονται στην παράγραφο 2, λαμβάνονται υπόψη όλες οι σχετικές περιστάσεις, στις οποίες περιλαμβάνονται:</w:t>
      </w:r>
    </w:p>
    <w:p w14:paraId="61FFE93F" w14:textId="77777777" w:rsidR="00680C0B" w:rsidRDefault="00A8232D">
      <w:pPr>
        <w:pStyle w:val="Text2"/>
        <w:rPr>
          <w:noProof/>
        </w:rPr>
      </w:pPr>
      <w:r>
        <w:rPr>
          <w:noProof/>
        </w:rPr>
        <w:t>α)</w:t>
      </w:r>
      <w:r>
        <w:rPr>
          <w:noProof/>
        </w:rPr>
        <w:tab/>
        <w:t>η βαρύτητα κα</w:t>
      </w:r>
      <w:r>
        <w:rPr>
          <w:noProof/>
        </w:rPr>
        <w:t>ι η διάρκεια της παράβασης·</w:t>
      </w:r>
    </w:p>
    <w:p w14:paraId="31A3F499" w14:textId="77777777" w:rsidR="00680C0B" w:rsidRDefault="00A8232D">
      <w:pPr>
        <w:pStyle w:val="Text2"/>
        <w:rPr>
          <w:noProof/>
        </w:rPr>
      </w:pPr>
      <w:r>
        <w:rPr>
          <w:noProof/>
        </w:rPr>
        <w:t>β)</w:t>
      </w:r>
      <w:r>
        <w:rPr>
          <w:noProof/>
        </w:rPr>
        <w:tab/>
        <w:t>ο βαθμός ευθύνης του υπαίτιου φυσικού προσώπου ή της υπαίτιας νομικής οντότητας·</w:t>
      </w:r>
    </w:p>
    <w:p w14:paraId="79EB5BD5" w14:textId="77777777" w:rsidR="00680C0B" w:rsidRDefault="00A8232D">
      <w:pPr>
        <w:pStyle w:val="Text2"/>
        <w:rPr>
          <w:noProof/>
        </w:rPr>
      </w:pPr>
      <w:r>
        <w:rPr>
          <w:noProof/>
        </w:rPr>
        <w:t>γ)</w:t>
      </w:r>
      <w:r>
        <w:rPr>
          <w:noProof/>
        </w:rPr>
        <w:tab/>
        <w:t>η οικονομική ισχύς του υπαίτιου φυσικού προσώπου ή της υπαίτιας νομικής οντότητας·</w:t>
      </w:r>
    </w:p>
    <w:p w14:paraId="552EFACE" w14:textId="77777777" w:rsidR="00680C0B" w:rsidRDefault="00A8232D">
      <w:pPr>
        <w:pStyle w:val="Text2"/>
        <w:rPr>
          <w:noProof/>
        </w:rPr>
      </w:pPr>
      <w:r>
        <w:rPr>
          <w:noProof/>
        </w:rPr>
        <w:t>δ)</w:t>
      </w:r>
      <w:r>
        <w:rPr>
          <w:noProof/>
        </w:rPr>
        <w:tab/>
        <w:t xml:space="preserve">η σπουδαιότητα των κερδών που αποκτήθηκαν ή των ζημιών </w:t>
      </w:r>
      <w:r>
        <w:rPr>
          <w:noProof/>
        </w:rPr>
        <w:t xml:space="preserve">που αποφεύχθηκαν από το υπαίτιο φυσικό πρόσωπο ή την υπαίτια νομική οντότητα, στον βαθμό που τα εν λόγω κέρδη ή οι ζημίες μπορούν να προσδιοριστούν· </w:t>
      </w:r>
    </w:p>
    <w:p w14:paraId="06589791" w14:textId="77777777" w:rsidR="00680C0B" w:rsidRDefault="00A8232D">
      <w:pPr>
        <w:pStyle w:val="Text2"/>
        <w:rPr>
          <w:noProof/>
        </w:rPr>
      </w:pPr>
      <w:r>
        <w:rPr>
          <w:noProof/>
        </w:rPr>
        <w:t>ε)</w:t>
      </w:r>
      <w:r>
        <w:rPr>
          <w:noProof/>
        </w:rPr>
        <w:tab/>
        <w:t>οι ζημίες τρίτων που προκλήθηκαν από την παράβαση, στον βαθμό που μπορούν να προσδιοριστούν·</w:t>
      </w:r>
    </w:p>
    <w:p w14:paraId="0FBB4A47" w14:textId="77777777" w:rsidR="00680C0B" w:rsidRDefault="00A8232D">
      <w:pPr>
        <w:pStyle w:val="Text2"/>
        <w:rPr>
          <w:noProof/>
        </w:rPr>
      </w:pPr>
      <w:r>
        <w:rPr>
          <w:noProof/>
        </w:rPr>
        <w:t>στ)</w:t>
      </w:r>
      <w:r>
        <w:rPr>
          <w:noProof/>
        </w:rPr>
        <w:tab/>
        <w:t>ο βαθμ</w:t>
      </w:r>
      <w:r>
        <w:rPr>
          <w:noProof/>
        </w:rPr>
        <w:t>ός συνεργασίας του υπαίτιου φυσικού προσώπου ή της υπαίτιας νομικής οντότητας με την αρμόδια αρχή·</w:t>
      </w:r>
    </w:p>
    <w:p w14:paraId="1F1D4CE7" w14:textId="77777777" w:rsidR="00680C0B" w:rsidRDefault="00A8232D">
      <w:pPr>
        <w:pStyle w:val="Text2"/>
        <w:rPr>
          <w:noProof/>
        </w:rPr>
      </w:pPr>
      <w:r>
        <w:rPr>
          <w:noProof/>
        </w:rPr>
        <w:t>ζ)</w:t>
      </w:r>
      <w:r>
        <w:rPr>
          <w:noProof/>
        </w:rPr>
        <w:tab/>
        <w:t>προηγούμενες παραβάσεις του υπαίτιου φυσικού προσώπου ή της υπαίτιας νομικής οντότητας.».</w:t>
      </w:r>
    </w:p>
    <w:p w14:paraId="421BFBDB" w14:textId="77777777" w:rsidR="00680C0B" w:rsidRDefault="00A8232D">
      <w:pPr>
        <w:pStyle w:val="Titrearticle"/>
        <w:rPr>
          <w:b/>
          <w:bCs/>
          <w:noProof/>
          <w:szCs w:val="24"/>
        </w:rPr>
      </w:pPr>
      <w:r>
        <w:rPr>
          <w:noProof/>
        </w:rPr>
        <w:t xml:space="preserve">Άρθρο 2 </w:t>
      </w:r>
      <w:r>
        <w:rPr>
          <w:noProof/>
        </w:rPr>
        <w:br/>
      </w:r>
      <w:r>
        <w:rPr>
          <w:b/>
          <w:bCs/>
          <w:noProof/>
          <w:szCs w:val="24"/>
        </w:rPr>
        <w:t>Τροποποιήσεις της οδηγίας 2004/109/ΕΚ</w:t>
      </w:r>
    </w:p>
    <w:p w14:paraId="4699D467" w14:textId="77777777" w:rsidR="00680C0B" w:rsidRDefault="00A8232D">
      <w:pPr>
        <w:spacing w:before="0" w:line="276" w:lineRule="auto"/>
        <w:rPr>
          <w:noProof/>
          <w:szCs w:val="24"/>
        </w:rPr>
      </w:pPr>
      <w:r>
        <w:rPr>
          <w:noProof/>
        </w:rPr>
        <w:t xml:space="preserve">Η οδηγία 2004/109/ΕΚ τροποποιείται ως εξής: </w:t>
      </w:r>
    </w:p>
    <w:p w14:paraId="16765713" w14:textId="77777777" w:rsidR="00680C0B" w:rsidRDefault="00A8232D">
      <w:pPr>
        <w:pStyle w:val="Point0"/>
        <w:rPr>
          <w:noProof/>
        </w:rPr>
      </w:pPr>
      <w:r>
        <w:rPr>
          <w:noProof/>
        </w:rPr>
        <w:t>1)</w:t>
      </w:r>
      <w:r>
        <w:rPr>
          <w:noProof/>
        </w:rPr>
        <w:tab/>
        <w:t>στο άρθρο 2 παράγραφος 1, προστίθεται το ακόλουθο στοιχείο ιη):</w:t>
      </w:r>
    </w:p>
    <w:p w14:paraId="54F73DB5" w14:textId="77777777" w:rsidR="00680C0B" w:rsidRDefault="00A8232D">
      <w:pPr>
        <w:pStyle w:val="Text1"/>
        <w:rPr>
          <w:noProof/>
        </w:rPr>
      </w:pPr>
      <w:r>
        <w:rPr>
          <w:noProof/>
        </w:rPr>
        <w:t xml:space="preserve">«ιη) “υποβολή εκθέσεων βιωσιμότητας”: η υποβολή εκθέσεων βιωσιμότητας όπως ορίζεται στο άρθρο 2 σημείο 18 της οδηγίας 2013/34/ΕΕ του Ευρωπαϊκού </w:t>
      </w:r>
      <w:r>
        <w:rPr>
          <w:noProof/>
        </w:rPr>
        <w:t>Κοινοβουλίου και του Συμβουλίου*</w:t>
      </w:r>
      <w:r>
        <w:rPr>
          <w:noProof/>
          <w:szCs w:val="24"/>
          <w:vertAlign w:val="superscript"/>
        </w:rPr>
        <w:t>18</w:t>
      </w:r>
      <w:r>
        <w:rPr>
          <w:noProof/>
        </w:rPr>
        <w:t>.»·</w:t>
      </w:r>
    </w:p>
    <w:p w14:paraId="2C071F5F" w14:textId="77777777" w:rsidR="00680C0B" w:rsidRDefault="00A8232D">
      <w:pPr>
        <w:pStyle w:val="Text1"/>
        <w:rPr>
          <w:noProof/>
          <w:sz w:val="20"/>
          <w:szCs w:val="20"/>
        </w:rPr>
      </w:pPr>
      <w:r>
        <w:rPr>
          <w:noProof/>
          <w:sz w:val="20"/>
          <w:szCs w:val="20"/>
        </w:rPr>
        <w:t>___________________________________________</w:t>
      </w:r>
    </w:p>
    <w:p w14:paraId="284B5874" w14:textId="77777777" w:rsidR="00680C0B" w:rsidRDefault="00A8232D">
      <w:pPr>
        <w:pStyle w:val="FootnoteText"/>
        <w:rPr>
          <w:iCs/>
          <w:noProof/>
        </w:rPr>
      </w:pPr>
      <w:r>
        <w:rPr>
          <w:noProof/>
        </w:rPr>
        <w:t>*</w:t>
      </w:r>
      <w:r>
        <w:rPr>
          <w:noProof/>
          <w:vertAlign w:val="superscript"/>
        </w:rPr>
        <w:t>18</w:t>
      </w:r>
      <w:r>
        <w:rPr>
          <w:noProof/>
        </w:rPr>
        <w:tab/>
        <w:t xml:space="preserve">Οδηγία 2013/34/EE του Ευρωπαϊκού Κοινοβουλίου και του Συμβουλίου, της 26ης Ιουνίου 2013, σχετικά με τις ετήσιες οικονομικές καταστάσεις, τις ενοποιημένες </w:t>
      </w:r>
      <w:r>
        <w:rPr>
          <w:noProof/>
        </w:rPr>
        <w:t>οικονομικές καταστάσεις και συναφείς εκθέσεις επιχειρήσεων ορισμένων μορφών, την τροποποίηση της οδηγίας 2006/43/ΕΚ του Ευρωπαϊκού Κοινοβουλίου και του Συμβουλίου και την κατάργηση των οδηγιών 78/660/EOK και 83/349/ΕΟΚ του Συμβουλίου (ΕΕ L 182 της 29.6.201</w:t>
      </w:r>
      <w:r>
        <w:rPr>
          <w:noProof/>
        </w:rPr>
        <w:t>3, σ. 19).</w:t>
      </w:r>
    </w:p>
    <w:p w14:paraId="6D8D24EB" w14:textId="77777777" w:rsidR="00680C0B" w:rsidRDefault="00A8232D">
      <w:pPr>
        <w:pStyle w:val="Point0"/>
        <w:rPr>
          <w:noProof/>
        </w:rPr>
      </w:pPr>
      <w:r>
        <w:rPr>
          <w:noProof/>
        </w:rPr>
        <w:t>2)</w:t>
      </w:r>
      <w:r>
        <w:rPr>
          <w:noProof/>
        </w:rPr>
        <w:tab/>
        <w:t>το άρθρο 4 τροποποιείται ως εξής:</w:t>
      </w:r>
    </w:p>
    <w:p w14:paraId="5ACE2FD9" w14:textId="77777777" w:rsidR="00680C0B" w:rsidRDefault="00A8232D">
      <w:pPr>
        <w:pStyle w:val="Point1"/>
        <w:rPr>
          <w:noProof/>
        </w:rPr>
      </w:pPr>
      <w:r>
        <w:rPr>
          <w:noProof/>
        </w:rPr>
        <w:t>α)</w:t>
      </w:r>
      <w:r>
        <w:rPr>
          <w:noProof/>
        </w:rPr>
        <w:tab/>
        <w:t>στην παράγραφο 2, το στοιχείο γ) αντικαθίσταται από το ακόλουθο κείμενο:</w:t>
      </w:r>
    </w:p>
    <w:p w14:paraId="330E8800" w14:textId="77777777" w:rsidR="00680C0B" w:rsidRDefault="00A8232D">
      <w:pPr>
        <w:pStyle w:val="Text2"/>
        <w:rPr>
          <w:noProof/>
        </w:rPr>
      </w:pPr>
      <w:r>
        <w:rPr>
          <w:noProof/>
        </w:rPr>
        <w:t>«γ) δηλώσεις των προσώπων που είναι υπεύθυνα για τον εκδότη, των οποίων το ονοματεπώνυμο και η ιδιότητα δηλώνονται σαφώς, ότι, εξ όσ</w:t>
      </w:r>
      <w:r>
        <w:rPr>
          <w:noProof/>
        </w:rPr>
        <w:t>ων γνωρίζουν, οι οικονομικές καταστάσεις που καταρτίστηκαν σύμφωνα με την ισχύουσα δέσμη λογιστικών προτύπων απεικονίζουν ειλικρινώς και επακριβώς τα στοιχεία του ενεργητικού και του παθητικού, την καθαρή θέση και τα αποτελέσματα χρήσης του εκδότη καθώς κα</w:t>
      </w:r>
      <w:r>
        <w:rPr>
          <w:noProof/>
        </w:rPr>
        <w:t>ι των επιχειρήσεων που περιλαμβάνονται στην ενοποίηση εκλαμβανομένων ως σύνολο, και ότι η έκθεση διαχείρισης απεικονίζει ορθά την εξέλιξη και τις επιδόσεις της επιχείρησης και τη θέση του εκδότη καθώς και των επιχειρήσεων που περιλαμβάνονται στην ενοποίηση</w:t>
      </w:r>
      <w:r>
        <w:rPr>
          <w:noProof/>
        </w:rPr>
        <w:t xml:space="preserve"> εκλαμβανομένων ως σύνολο, μαζί με την περιγραφή των κυριότερων κινδύνων και αβεβαιοτήτων που αντιμετωπίζουν και, κατά περίπτωση, ότι καταρτίστηκε σύμφωνα με τα πρότυπα υποβολής εκθέσεων βιωσιμότητας που αναφέρονται στο άρθρο 19β της οδηγίας 2013/34/ΕΕ.»·</w:t>
      </w:r>
    </w:p>
    <w:p w14:paraId="4F843E9E" w14:textId="77777777" w:rsidR="00680C0B" w:rsidRDefault="00A8232D">
      <w:pPr>
        <w:pStyle w:val="Point1"/>
        <w:rPr>
          <w:noProof/>
        </w:rPr>
      </w:pPr>
      <w:r>
        <w:rPr>
          <w:noProof/>
        </w:rPr>
        <w:t>β)</w:t>
      </w:r>
      <w:r>
        <w:rPr>
          <w:noProof/>
        </w:rPr>
        <w:tab/>
        <w:t>οι παράγραφοι 4 και 5 αντικαθίστανται από το ακόλουθο κείμενο:</w:t>
      </w:r>
    </w:p>
    <w:p w14:paraId="1F630C57" w14:textId="77777777" w:rsidR="00680C0B" w:rsidRDefault="00A8232D">
      <w:pPr>
        <w:pStyle w:val="Text2"/>
        <w:rPr>
          <w:noProof/>
        </w:rPr>
      </w:pPr>
      <w:r>
        <w:rPr>
          <w:noProof/>
        </w:rPr>
        <w:t xml:space="preserve">«4. Οι οικονομικές καταστάσεις ελέγχονται σύμφωνα με το άρθρο 34 της οδηγίας 2013/34/ΕΕ και το άρθρο 28 της οδηγίας 2006/43/ΕΚ. </w:t>
      </w:r>
    </w:p>
    <w:p w14:paraId="35DD3063" w14:textId="77777777" w:rsidR="00680C0B" w:rsidRDefault="00A8232D">
      <w:pPr>
        <w:pStyle w:val="Text2"/>
        <w:rPr>
          <w:noProof/>
        </w:rPr>
      </w:pPr>
      <w:r>
        <w:rPr>
          <w:noProof/>
        </w:rPr>
        <w:t>Η έκθεση ελέγχου, υπογεγραμμένη από τον ή τους υπεύθυνους για</w:t>
      </w:r>
      <w:r>
        <w:rPr>
          <w:noProof/>
        </w:rPr>
        <w:t xml:space="preserve"> την εκτέλεση των εργασιών που ορίζονται στο άρθρο 34 παράγραφοι 1 και 2 της οδηγίας 2013/34/ΕΕ, δημοσιοποιείται πλήρως, μαζί με την ετήσια οικονομική έκθεση.</w:t>
      </w:r>
    </w:p>
    <w:p w14:paraId="01960416" w14:textId="77777777" w:rsidR="00680C0B" w:rsidRDefault="00A8232D">
      <w:pPr>
        <w:pStyle w:val="Text2"/>
        <w:rPr>
          <w:rFonts w:eastAsia="Times New Roman"/>
          <w:noProof/>
          <w:szCs w:val="24"/>
        </w:rPr>
      </w:pPr>
      <w:r>
        <w:rPr>
          <w:noProof/>
        </w:rPr>
        <w:t>5. Η έκθεση διαχείρισης καταρτίζεται σύμφωνα με τα άρθρα 19, 19α, το άρθρο 19δ παράγραφος 1 και τ</w:t>
      </w:r>
      <w:r>
        <w:rPr>
          <w:noProof/>
        </w:rPr>
        <w:t>ο άρθρο 20 της οδηγίας 2013/34/ΕΕ, όταν καταρτίζεται από τις επιχειρήσεις που αναφέρονται στις εν λόγω διατάξεις.</w:t>
      </w:r>
    </w:p>
    <w:p w14:paraId="7327635B" w14:textId="77777777" w:rsidR="00680C0B" w:rsidRDefault="00A8232D">
      <w:pPr>
        <w:pStyle w:val="Text2"/>
        <w:rPr>
          <w:noProof/>
        </w:rPr>
      </w:pPr>
      <w:r>
        <w:rPr>
          <w:noProof/>
        </w:rPr>
        <w:t>Εφόσον απαιτείται από τον εκδότη να καταρτίζει ενοποιημένους λογαριασμούς, η ενοποιημένη έκθεση διαχείρισης καταρτίζεται σύμφωνα με το άρθρο 1</w:t>
      </w:r>
      <w:r>
        <w:rPr>
          <w:noProof/>
        </w:rPr>
        <w:t>9δ παράγραφος 2 και τα άρθρα 29 και 29α της οδηγίας 2013/34/ΕΕ, όταν καταρτίζεται από τις επιχειρήσεις που αναφέρονται στις εν λόγω διατάξεις.»·</w:t>
      </w:r>
    </w:p>
    <w:p w14:paraId="491B9012" w14:textId="77777777" w:rsidR="00680C0B" w:rsidRDefault="00A8232D">
      <w:pPr>
        <w:pStyle w:val="Point0"/>
        <w:rPr>
          <w:noProof/>
        </w:rPr>
      </w:pPr>
      <w:r>
        <w:rPr>
          <w:noProof/>
        </w:rPr>
        <w:t>3)</w:t>
      </w:r>
      <w:r>
        <w:rPr>
          <w:noProof/>
        </w:rPr>
        <w:tab/>
        <w:t>στο άρθρο 23 παράγραφος 4, το τρίτο και το τέταρτο εδάφιο αντικαθίστανται από το ακόλουθο κείμενο:</w:t>
      </w:r>
    </w:p>
    <w:p w14:paraId="4172EB37" w14:textId="77777777" w:rsidR="00680C0B" w:rsidRDefault="00A8232D">
      <w:pPr>
        <w:pStyle w:val="Text2"/>
        <w:rPr>
          <w:noProof/>
        </w:rPr>
      </w:pPr>
      <w:r>
        <w:rPr>
          <w:noProof/>
        </w:rPr>
        <w:t>«Η Επιτρο</w:t>
      </w:r>
      <w:r>
        <w:rPr>
          <w:noProof/>
        </w:rPr>
        <w:t xml:space="preserve">πή, σύμφωνα με τη διαδικασία στην οποία παραπέμπει το άρθρο 27 παράγραφος 2, λαμβάνει τις αναγκαίες αποφάσεις περί της ισοδυναμίας των λογιστικών προτύπων και περί της ισοδυναμίας των προτύπων υποβολής εκθέσεων βιωσιμότητας, όπως αναφέρονται στο άρθρο 19β </w:t>
      </w:r>
      <w:r>
        <w:rPr>
          <w:noProof/>
        </w:rPr>
        <w:t>της οδηγίας 2013/34/ΕΕ, που χρησιμοποιούν οι εκδότες από τρίτες χώρες, υπό τους όρους του άρθρου 30 παράγραφος 3. Εάν η Επιτροπή αποφασίσει ότι τα λογιστικά πρότυπα ή τα πρότυπα υποβολής εκθέσεων βιωσιμότητας τρίτης χώρας δεν είναι ισοδύναμα, μπορεί να επι</w:t>
      </w:r>
      <w:r>
        <w:rPr>
          <w:noProof/>
        </w:rPr>
        <w:t>τρέψει στους ενδιαφερόμενους εκδότες να συνεχίσουν να χρησιμοποιούν τα λογιστικά αυτά πρότυπα για την ενδεδειγμένη μεταβατική περίοδο.</w:t>
      </w:r>
    </w:p>
    <w:p w14:paraId="70B66D4D" w14:textId="77777777" w:rsidR="00680C0B" w:rsidRDefault="00A8232D">
      <w:pPr>
        <w:pStyle w:val="Text2"/>
        <w:rPr>
          <w:noProof/>
        </w:rPr>
      </w:pPr>
      <w:r>
        <w:rPr>
          <w:noProof/>
        </w:rPr>
        <w:t>Στο πλαίσιο του τρίτου εδαφίου, η Επιτροπή καθορίζει επίσης, με κατ’ εξουσιοδότηση πράξεις, σύμφωνα με το άρθρο 27 παράγρ</w:t>
      </w:r>
      <w:r>
        <w:rPr>
          <w:noProof/>
        </w:rPr>
        <w:t>αφοι 2α, 2β και 2γ, και με την επιφύλαξη των όρων των άρθρων 27α και 27β, μέτρα με στόχο τη θέσπιση γενικών κριτηρίων ισοδυναμίας για λογιστικά πρότυπα και για πρότυπα υποβολής εκθέσεων βιωσιμότητας σχετικά με εκδότες από περισσότερες από μία χώρες.»·</w:t>
      </w:r>
    </w:p>
    <w:p w14:paraId="218C1863" w14:textId="77777777" w:rsidR="00680C0B" w:rsidRDefault="00A8232D">
      <w:pPr>
        <w:pStyle w:val="Point0"/>
        <w:rPr>
          <w:noProof/>
        </w:rPr>
      </w:pPr>
      <w:r>
        <w:rPr>
          <w:noProof/>
        </w:rPr>
        <w:t>4)</w:t>
      </w:r>
      <w:r>
        <w:rPr>
          <w:noProof/>
        </w:rPr>
        <w:tab/>
        <w:t>π</w:t>
      </w:r>
      <w:r>
        <w:rPr>
          <w:noProof/>
        </w:rPr>
        <w:t>αρεμβάλλεται το ακόλουθο άρθρο 28δ:</w:t>
      </w:r>
    </w:p>
    <w:p w14:paraId="169059B8" w14:textId="77777777" w:rsidR="00680C0B" w:rsidRDefault="00A8232D">
      <w:pPr>
        <w:pStyle w:val="NormalCentered"/>
        <w:rPr>
          <w:noProof/>
        </w:rPr>
      </w:pPr>
      <w:r>
        <w:rPr>
          <w:noProof/>
        </w:rPr>
        <w:t>«Άρθρο 28δ</w:t>
      </w:r>
    </w:p>
    <w:p w14:paraId="3ACEB3D2" w14:textId="77777777" w:rsidR="00680C0B" w:rsidRDefault="00A8232D">
      <w:pPr>
        <w:pStyle w:val="NormalCentered"/>
        <w:rPr>
          <w:b/>
          <w:noProof/>
        </w:rPr>
      </w:pPr>
      <w:r>
        <w:rPr>
          <w:b/>
          <w:noProof/>
        </w:rPr>
        <w:t>Κατευθυντήριες γραμμές της ESMA</w:t>
      </w:r>
    </w:p>
    <w:p w14:paraId="26D5602C" w14:textId="77777777" w:rsidR="00680C0B" w:rsidRDefault="00A8232D">
      <w:pPr>
        <w:pStyle w:val="Text1"/>
        <w:rPr>
          <w:noProof/>
        </w:rPr>
      </w:pPr>
      <w:r>
        <w:rPr>
          <w:noProof/>
        </w:rPr>
        <w:t xml:space="preserve">Αφού ζητήσει τη γνώμη του Ευρωπαϊκού Οργανισμού Περιβάλλοντος και του Οργανισμού Θεμελιωδών Δικαιωμάτων της Ευρωπαϊκής Ένωσης, η ESMA εκδίδει κατευθυντήριες γραμμές, σύμφωνα με </w:t>
      </w:r>
      <w:r>
        <w:rPr>
          <w:noProof/>
        </w:rPr>
        <w:t xml:space="preserve">το άρθρο 16 του κανονισμού (ΕΕ) αριθ. 1095/2010, σχετικά με την εποπτεία της υποβολής εκθέσεων βιωσιμότητας από τις εθνικές αρμόδιες αρχές.». </w:t>
      </w:r>
    </w:p>
    <w:p w14:paraId="62D74C80" w14:textId="77777777" w:rsidR="00680C0B" w:rsidRDefault="00A8232D">
      <w:pPr>
        <w:pStyle w:val="Titrearticle"/>
        <w:rPr>
          <w:b/>
          <w:i w:val="0"/>
          <w:noProof/>
          <w:szCs w:val="24"/>
        </w:rPr>
      </w:pPr>
      <w:r>
        <w:rPr>
          <w:noProof/>
        </w:rPr>
        <w:t xml:space="preserve">Άρθρο 3 </w:t>
      </w:r>
      <w:r>
        <w:rPr>
          <w:noProof/>
        </w:rPr>
        <w:br/>
      </w:r>
      <w:r>
        <w:rPr>
          <w:b/>
          <w:i w:val="0"/>
          <w:noProof/>
          <w:szCs w:val="24"/>
        </w:rPr>
        <w:t>Τροποποιήσεις της οδηγίας 2006/43/ΕΚ</w:t>
      </w:r>
    </w:p>
    <w:p w14:paraId="789EC681" w14:textId="77777777" w:rsidR="00680C0B" w:rsidRDefault="00A8232D">
      <w:pPr>
        <w:spacing w:before="0" w:line="276" w:lineRule="auto"/>
        <w:rPr>
          <w:noProof/>
          <w:szCs w:val="24"/>
        </w:rPr>
      </w:pPr>
      <w:r>
        <w:rPr>
          <w:noProof/>
        </w:rPr>
        <w:t xml:space="preserve">Η οδηγία 2006/43/ΕΚ τροποποιείται ως εξής: </w:t>
      </w:r>
    </w:p>
    <w:p w14:paraId="7E32344D" w14:textId="77777777" w:rsidR="00680C0B" w:rsidRDefault="00A8232D">
      <w:pPr>
        <w:pStyle w:val="Point0"/>
        <w:rPr>
          <w:noProof/>
        </w:rPr>
      </w:pPr>
      <w:r>
        <w:rPr>
          <w:noProof/>
        </w:rPr>
        <w:t>1)</w:t>
      </w:r>
      <w:r>
        <w:rPr>
          <w:noProof/>
        </w:rPr>
        <w:tab/>
        <w:t>το άρθρο 1 αντικαθίσ</w:t>
      </w:r>
      <w:r>
        <w:rPr>
          <w:noProof/>
        </w:rPr>
        <w:t>ταται από το ακόλουθο κείμενο:</w:t>
      </w:r>
    </w:p>
    <w:p w14:paraId="670D6E79" w14:textId="77777777" w:rsidR="00680C0B" w:rsidRDefault="00A8232D">
      <w:pPr>
        <w:pStyle w:val="Text1"/>
        <w:jc w:val="center"/>
        <w:rPr>
          <w:i/>
          <w:noProof/>
        </w:rPr>
      </w:pPr>
      <w:r>
        <w:rPr>
          <w:i/>
          <w:noProof/>
        </w:rPr>
        <w:t>«Άρθρο 1</w:t>
      </w:r>
    </w:p>
    <w:p w14:paraId="09540595" w14:textId="77777777" w:rsidR="00680C0B" w:rsidRDefault="00A8232D">
      <w:pPr>
        <w:pStyle w:val="Text1"/>
        <w:jc w:val="center"/>
        <w:rPr>
          <w:b/>
          <w:noProof/>
        </w:rPr>
      </w:pPr>
      <w:r>
        <w:rPr>
          <w:b/>
          <w:noProof/>
        </w:rPr>
        <w:t>Αντικείμενο</w:t>
      </w:r>
    </w:p>
    <w:p w14:paraId="7766CEA3" w14:textId="77777777" w:rsidR="00680C0B" w:rsidRDefault="00A8232D">
      <w:pPr>
        <w:pStyle w:val="Text1"/>
        <w:rPr>
          <w:noProof/>
        </w:rPr>
      </w:pPr>
      <w:r>
        <w:rPr>
          <w:noProof/>
        </w:rPr>
        <w:t>Η παρούσα οδηγία καθορίζει τους κανόνες σχετικά με τον υποχρεωτικό έλεγχο των ετήσιων και των ενοποιημένων λογαριασμών και τη διασφάλιση της ετήσιας και της ενοποιημένης υποβολής εκθέσεων βιωσιμότητας, εφ</w:t>
      </w:r>
      <w:r>
        <w:rPr>
          <w:noProof/>
        </w:rPr>
        <w:t>όσον αυτό διενεργείται από τον νόμιμο ελεγκτή ή το ελεγκτικό γραφείο που διενεργεί τον υποχρεωτικό έλεγχο των οικονομικών καταστάσεων.»·</w:t>
      </w:r>
    </w:p>
    <w:p w14:paraId="3E12352E" w14:textId="77777777" w:rsidR="00680C0B" w:rsidRDefault="00A8232D">
      <w:pPr>
        <w:pStyle w:val="Point0"/>
        <w:rPr>
          <w:noProof/>
        </w:rPr>
      </w:pPr>
      <w:r>
        <w:rPr>
          <w:noProof/>
        </w:rPr>
        <w:t>2)</w:t>
      </w:r>
      <w:r>
        <w:rPr>
          <w:noProof/>
        </w:rPr>
        <w:tab/>
        <w:t>το άρθρο 2 τροποποιείται ως εξής:</w:t>
      </w:r>
    </w:p>
    <w:p w14:paraId="5B8F0A30" w14:textId="77777777" w:rsidR="00680C0B" w:rsidRDefault="00A8232D">
      <w:pPr>
        <w:pStyle w:val="Point1"/>
        <w:rPr>
          <w:noProof/>
        </w:rPr>
      </w:pPr>
      <w:r>
        <w:rPr>
          <w:noProof/>
        </w:rPr>
        <w:t>α)</w:t>
      </w:r>
      <w:r>
        <w:rPr>
          <w:noProof/>
        </w:rPr>
        <w:tab/>
        <w:t>τα σημεία 2 και 3 αντικαθίστανται από το ακόλουθο κείμενο:</w:t>
      </w:r>
    </w:p>
    <w:p w14:paraId="1986C388" w14:textId="77777777" w:rsidR="00680C0B" w:rsidRDefault="00A8232D">
      <w:pPr>
        <w:pStyle w:val="Text2"/>
        <w:rPr>
          <w:noProof/>
        </w:rPr>
      </w:pPr>
      <w:r>
        <w:rPr>
          <w:noProof/>
        </w:rPr>
        <w:t xml:space="preserve">«2. “νόμιμος </w:t>
      </w:r>
      <w:r>
        <w:rPr>
          <w:noProof/>
        </w:rPr>
        <w:t>ελεγκτής”: φυσικό πρόσωπο που έχει λάβει, σύμφωνα με την παρούσα οδηγία, άδεια από τις αρμόδιες αρχές κράτους μέλους να διενεργεί υποχρεωτικούς ελέγχους και να εκτελεί δεσμεύσεις παροχής διασφάλισης της υποβολής εκθέσεων βιωσιμότητας·</w:t>
      </w:r>
    </w:p>
    <w:p w14:paraId="6208080E" w14:textId="77777777" w:rsidR="00680C0B" w:rsidRDefault="00A8232D">
      <w:pPr>
        <w:pStyle w:val="Text2"/>
        <w:rPr>
          <w:noProof/>
        </w:rPr>
      </w:pPr>
      <w:r>
        <w:rPr>
          <w:noProof/>
        </w:rPr>
        <w:t>3. “ελεγκτικό γραφείο</w:t>
      </w:r>
      <w:r>
        <w:rPr>
          <w:noProof/>
        </w:rPr>
        <w:t>”: νομικό πρόσωπο ή οποιαδήποτε άλλη οντότητα ανεξαρτήτως νομικής μορφής που έχει λάβει, σύμφωνα με την παρούσα οδηγία, άδεια από τις αρμόδιες αρχές κράτους μέλους να διενεργεί υποχρεωτικούς ελέγχους και να εκτελεί δεσμεύσεις παροχής διασφάλισης της υποβολ</w:t>
      </w:r>
      <w:r>
        <w:rPr>
          <w:noProof/>
        </w:rPr>
        <w:t>ής εκθέσεων βιωσιμότητας·»·</w:t>
      </w:r>
    </w:p>
    <w:p w14:paraId="6929DE25" w14:textId="77777777" w:rsidR="00680C0B" w:rsidRDefault="00A8232D">
      <w:pPr>
        <w:pStyle w:val="Point1"/>
        <w:rPr>
          <w:noProof/>
        </w:rPr>
      </w:pPr>
      <w:r>
        <w:rPr>
          <w:noProof/>
        </w:rPr>
        <w:t>β)</w:t>
      </w:r>
      <w:r>
        <w:rPr>
          <w:noProof/>
        </w:rPr>
        <w:tab/>
        <w:t>προστίθενται τα ακόλουθα σημεία 21 και 22:</w:t>
      </w:r>
    </w:p>
    <w:p w14:paraId="063C2236" w14:textId="77777777" w:rsidR="00680C0B" w:rsidRDefault="00A8232D">
      <w:pPr>
        <w:pStyle w:val="Text2"/>
        <w:rPr>
          <w:noProof/>
        </w:rPr>
      </w:pPr>
      <w:r>
        <w:rPr>
          <w:noProof/>
        </w:rPr>
        <w:t>«21. “υποβολή εκθέσεων βιωσιμότητας”: η υποβολή εκθέσεων βιωσιμότητας όπως ορίζεται στο άρθρο 2 σημείο 18 της οδηγίας 2013/34/ΕΕ·»·</w:t>
      </w:r>
    </w:p>
    <w:p w14:paraId="4BF93341" w14:textId="77777777" w:rsidR="00680C0B" w:rsidRDefault="00A8232D">
      <w:pPr>
        <w:pStyle w:val="Text2"/>
        <w:rPr>
          <w:noProof/>
        </w:rPr>
      </w:pPr>
      <w:r>
        <w:rPr>
          <w:noProof/>
        </w:rPr>
        <w:t>«22. “διασφάλιση της υποβολής εκθέσεων βιωσιμότητα</w:t>
      </w:r>
      <w:r>
        <w:rPr>
          <w:noProof/>
        </w:rPr>
        <w:t>ς”: η γνώμη που διατυπώνει ο νόμιμος ελεγκτής ή το ελεγκτικό γραφείο σύμφωνα με το άρθρο 34 παράγραφος 1 δεύτερο εδάφιο στοιχείο αα) και το άρθρο 34 παράγραφος 2 της οδηγίας 2013/34/ΕΕ.»·</w:t>
      </w:r>
    </w:p>
    <w:p w14:paraId="323022F3" w14:textId="77777777" w:rsidR="00680C0B" w:rsidRDefault="00A8232D">
      <w:pPr>
        <w:pStyle w:val="Point0"/>
        <w:rPr>
          <w:noProof/>
        </w:rPr>
      </w:pPr>
      <w:r>
        <w:rPr>
          <w:noProof/>
        </w:rPr>
        <w:t>3)</w:t>
      </w:r>
      <w:r>
        <w:rPr>
          <w:noProof/>
        </w:rPr>
        <w:tab/>
        <w:t>τα άρθρα 6 και 7 αντικαθίστανται από το ακόλουθο κείμενο:</w:t>
      </w:r>
    </w:p>
    <w:p w14:paraId="7BB9920D" w14:textId="77777777" w:rsidR="00680C0B" w:rsidRDefault="00A8232D">
      <w:pPr>
        <w:pStyle w:val="NormalCentered"/>
        <w:rPr>
          <w:noProof/>
        </w:rPr>
      </w:pPr>
      <w:r>
        <w:rPr>
          <w:noProof/>
        </w:rPr>
        <w:t>«Άρθρο </w:t>
      </w:r>
      <w:r>
        <w:rPr>
          <w:noProof/>
        </w:rPr>
        <w:t>6</w:t>
      </w:r>
    </w:p>
    <w:p w14:paraId="1924EB65" w14:textId="77777777" w:rsidR="00680C0B" w:rsidRDefault="00A8232D">
      <w:pPr>
        <w:pStyle w:val="NormalCentered"/>
        <w:rPr>
          <w:noProof/>
        </w:rPr>
      </w:pPr>
      <w:r>
        <w:rPr>
          <w:b/>
          <w:noProof/>
        </w:rPr>
        <w:t>Τίτλοι σπουδών</w:t>
      </w:r>
    </w:p>
    <w:p w14:paraId="3867401C" w14:textId="77777777" w:rsidR="00680C0B" w:rsidRDefault="00A8232D">
      <w:pPr>
        <w:pStyle w:val="Text1"/>
        <w:rPr>
          <w:noProof/>
        </w:rPr>
      </w:pPr>
      <w:r>
        <w:rPr>
          <w:noProof/>
        </w:rPr>
        <w:t>Με την επιφύλαξη του άρθρου 11, ένα φυσικό πρόσωπο μπορεί να λάβει άδεια να διενεργεί νόμιμους ελέγχους και να εκτελεί δεσμεύσεις παροχές διασφάλισης της υποβολής εκθέσεων βιωσιμότητας μόνον εάν, αφού φθάσει στο επίπεδο εισαγωγής στο πανεπ</w:t>
      </w:r>
      <w:r>
        <w:rPr>
          <w:noProof/>
        </w:rPr>
        <w:t>ιστήμιο ή σε ισοδύναμο επίπεδο, ακολουθήσει πρόγραμμα θεωρητικής διδασκαλίας, πραγματοποιήσει πρακτική άσκηση και επιτύχει σε εξετάσεις επαγγελματικής ικανότητας επιπέδου τέλους πανεπιστημιακών σπουδών ή ισοδύναμου επιπέδου, τις οποίες διοργανώνει ή αναγνω</w:t>
      </w:r>
      <w:r>
        <w:rPr>
          <w:noProof/>
        </w:rPr>
        <w:t xml:space="preserve">ρίζει το οικείο κράτος μέλος. </w:t>
      </w:r>
    </w:p>
    <w:p w14:paraId="6C133169" w14:textId="77777777" w:rsidR="00680C0B" w:rsidRDefault="00A8232D">
      <w:pPr>
        <w:pStyle w:val="Text1"/>
        <w:rPr>
          <w:noProof/>
        </w:rPr>
      </w:pPr>
      <w:r>
        <w:rPr>
          <w:noProof/>
        </w:rPr>
        <w:t>Οι αρμόδιες αρχές που αναφέρονται στο άρθρο 32 συνεργάζονται μεταξύ τους προκειμένου να επιτύχουν σύγκλιση των απαιτήσεων που προβλέπονται στο παρόν άρθρο. Όταν συμμετέχουν σε αυτήν τη συνεργασία, οι εν λόγω αρμόδιες αρχές λα</w:t>
      </w:r>
      <w:r>
        <w:rPr>
          <w:noProof/>
        </w:rPr>
        <w:t>μβάνουν υπόψη τους τις εξελίξεις στην ελεγκτική και στο επάγγελμα του ελεγκτή και, ειδικότερα, τη σύγκλιση που έχει ήδη επιτευχθεί από το επάγγελμα. Συνεργάζονται με την Επιτροπή Ευρωπαϊκών Φορέων Εποπτείας των Ελεγκτών (ΕΕΦΕΕ) και τις αρμόδιες αρχές που α</w:t>
      </w:r>
      <w:r>
        <w:rPr>
          <w:noProof/>
        </w:rPr>
        <w:t>ναφέρονται στο άρθρο 20 του κανονισμού (ΕΕ) αριθ. 537/2014 στον βαθμό που η σύγκλιση αυτή συνδέεται με τον υποχρεωτικό έλεγχο και τη διασφάλιση της υποβολής εκθέσεων βιωσιμότητας οντοτήτων δημόσιου συμφέροντος.</w:t>
      </w:r>
    </w:p>
    <w:p w14:paraId="375B6EAC" w14:textId="77777777" w:rsidR="00680C0B" w:rsidRDefault="00A8232D">
      <w:pPr>
        <w:pStyle w:val="NormalCentered"/>
        <w:rPr>
          <w:noProof/>
        </w:rPr>
      </w:pPr>
      <w:r>
        <w:rPr>
          <w:noProof/>
        </w:rPr>
        <w:t>Άρθρο 7</w:t>
      </w:r>
    </w:p>
    <w:p w14:paraId="49B19B1E" w14:textId="77777777" w:rsidR="00680C0B" w:rsidRDefault="00A8232D">
      <w:pPr>
        <w:pStyle w:val="NormalCentered"/>
        <w:rPr>
          <w:b/>
          <w:noProof/>
        </w:rPr>
      </w:pPr>
      <w:r>
        <w:rPr>
          <w:b/>
          <w:noProof/>
        </w:rPr>
        <w:t xml:space="preserve">Εξετάσεις επαγγελματικής ικανότητας </w:t>
      </w:r>
    </w:p>
    <w:p w14:paraId="3D98B78C" w14:textId="77777777" w:rsidR="00680C0B" w:rsidRDefault="00A8232D">
      <w:pPr>
        <w:pStyle w:val="Text1"/>
        <w:rPr>
          <w:noProof/>
        </w:rPr>
      </w:pPr>
      <w:r>
        <w:rPr>
          <w:noProof/>
        </w:rPr>
        <w:t>Οι εξετάσεις επαγγελματικής ικανότητας κατ’ άρθρο 6 εγγυώνται το επίπεδο των απαραίτητων θεωρητικών γνώσεων σε θέματα υποχρεωτικού ελέγχου και διασφάλισης της υποβολής εκθέσεων βιωσιμότητας, καθώς και την ικανότητα πρακτικής εφαρμογής τους. Μέρος τουλάχιστ</w:t>
      </w:r>
      <w:r>
        <w:rPr>
          <w:noProof/>
        </w:rPr>
        <w:t>ον αυτών των εξετάσεων γίνεται γραπτώς.»·</w:t>
      </w:r>
    </w:p>
    <w:p w14:paraId="26C6540C" w14:textId="77777777" w:rsidR="00680C0B" w:rsidRDefault="00A8232D">
      <w:pPr>
        <w:pStyle w:val="Point0"/>
        <w:rPr>
          <w:noProof/>
        </w:rPr>
      </w:pPr>
      <w:r>
        <w:rPr>
          <w:noProof/>
        </w:rPr>
        <w:t>4)</w:t>
      </w:r>
      <w:r>
        <w:rPr>
          <w:noProof/>
        </w:rPr>
        <w:tab/>
        <w:t>το άρθρο 8 παράγραφος 1 τροποποιείται ως εξής:</w:t>
      </w:r>
    </w:p>
    <w:p w14:paraId="21931033" w14:textId="77777777" w:rsidR="00680C0B" w:rsidRDefault="00A8232D">
      <w:pPr>
        <w:pStyle w:val="Point1"/>
        <w:rPr>
          <w:noProof/>
        </w:rPr>
      </w:pPr>
      <w:r>
        <w:rPr>
          <w:noProof/>
        </w:rPr>
        <w:t>α)</w:t>
      </w:r>
      <w:r>
        <w:rPr>
          <w:noProof/>
        </w:rPr>
        <w:tab/>
        <w:t>παρεμβάλλεται το ακόλουθο στοιχείο ββ):</w:t>
      </w:r>
    </w:p>
    <w:p w14:paraId="21E14514" w14:textId="77777777" w:rsidR="00680C0B" w:rsidRDefault="00A8232D">
      <w:pPr>
        <w:pStyle w:val="Text2"/>
        <w:rPr>
          <w:noProof/>
        </w:rPr>
      </w:pPr>
      <w:r>
        <w:rPr>
          <w:noProof/>
        </w:rPr>
        <w:t>«ββ)</w:t>
      </w:r>
      <w:r>
        <w:rPr>
          <w:noProof/>
        </w:rPr>
        <w:tab/>
        <w:t>νομικές απαιτήσεις και πρότυπα για τις προπαρασκευαστικές εργασίες της ετήσιας και της ενοποιημένης υποβολής εκθέσεω</w:t>
      </w:r>
      <w:r>
        <w:rPr>
          <w:noProof/>
        </w:rPr>
        <w:t>ν βιωσιμότητας·»·</w:t>
      </w:r>
    </w:p>
    <w:p w14:paraId="5A23CDDB" w14:textId="77777777" w:rsidR="00680C0B" w:rsidRDefault="00A8232D">
      <w:pPr>
        <w:pStyle w:val="Point1"/>
        <w:rPr>
          <w:noProof/>
        </w:rPr>
      </w:pPr>
      <w:r>
        <w:rPr>
          <w:noProof/>
        </w:rPr>
        <w:t>β)</w:t>
      </w:r>
      <w:r>
        <w:rPr>
          <w:noProof/>
        </w:rPr>
        <w:tab/>
        <w:t>παρεμβάλλεται το ακόλουθο στοιχείο γγ):</w:t>
      </w:r>
    </w:p>
    <w:p w14:paraId="2A9D303D" w14:textId="77777777" w:rsidR="00680C0B" w:rsidRDefault="00A8232D">
      <w:pPr>
        <w:pStyle w:val="Text2"/>
        <w:rPr>
          <w:noProof/>
        </w:rPr>
      </w:pPr>
      <w:r>
        <w:rPr>
          <w:noProof/>
        </w:rPr>
        <w:t>«γγ)</w:t>
      </w:r>
      <w:r>
        <w:rPr>
          <w:noProof/>
        </w:rPr>
        <w:tab/>
        <w:t>πρότυπα υποβολής εκθέσεων βιωσιμότητας·»·</w:t>
      </w:r>
    </w:p>
    <w:p w14:paraId="6B505A4A" w14:textId="77777777" w:rsidR="00680C0B" w:rsidRDefault="00A8232D">
      <w:pPr>
        <w:pStyle w:val="Point1"/>
        <w:rPr>
          <w:noProof/>
        </w:rPr>
      </w:pPr>
      <w:r>
        <w:rPr>
          <w:noProof/>
        </w:rPr>
        <w:t>γ)</w:t>
      </w:r>
      <w:r>
        <w:rPr>
          <w:noProof/>
        </w:rPr>
        <w:tab/>
        <w:t>παρεμβάλλεται το ακόλουθο στοιχείο δδ):</w:t>
      </w:r>
    </w:p>
    <w:p w14:paraId="04A4C9B0" w14:textId="77777777" w:rsidR="00680C0B" w:rsidRDefault="00A8232D">
      <w:pPr>
        <w:pStyle w:val="Text2"/>
        <w:rPr>
          <w:noProof/>
        </w:rPr>
      </w:pPr>
      <w:r>
        <w:rPr>
          <w:noProof/>
        </w:rPr>
        <w:t>«δδ)</w:t>
      </w:r>
      <w:r>
        <w:rPr>
          <w:noProof/>
        </w:rPr>
        <w:tab/>
        <w:t>ανάλυση βιωσιμότητας·»·</w:t>
      </w:r>
    </w:p>
    <w:p w14:paraId="40DA21B4" w14:textId="77777777" w:rsidR="00680C0B" w:rsidRDefault="00A8232D">
      <w:pPr>
        <w:pStyle w:val="Point1"/>
        <w:rPr>
          <w:noProof/>
        </w:rPr>
      </w:pPr>
      <w:r>
        <w:rPr>
          <w:noProof/>
        </w:rPr>
        <w:t>δ)</w:t>
      </w:r>
      <w:r>
        <w:rPr>
          <w:noProof/>
        </w:rPr>
        <w:tab/>
        <w:t>παρεμβάλλεται το ακόλουθο στοιχείο στ στ):</w:t>
      </w:r>
    </w:p>
    <w:p w14:paraId="0B4BDC26" w14:textId="77777777" w:rsidR="00680C0B" w:rsidRDefault="00A8232D">
      <w:pPr>
        <w:pStyle w:val="Text2"/>
        <w:rPr>
          <w:noProof/>
        </w:rPr>
      </w:pPr>
      <w:r>
        <w:rPr>
          <w:noProof/>
        </w:rPr>
        <w:t>«στ στ)</w:t>
      </w:r>
      <w:r>
        <w:rPr>
          <w:noProof/>
        </w:rPr>
        <w:tab/>
        <w:t>διαδικασίες δέουσας επ</w:t>
      </w:r>
      <w:r>
        <w:rPr>
          <w:noProof/>
        </w:rPr>
        <w:t>ιμέλειας για θέματα βιωσιμότητας·»·</w:t>
      </w:r>
    </w:p>
    <w:p w14:paraId="7849448A" w14:textId="77777777" w:rsidR="00680C0B" w:rsidRDefault="00A8232D">
      <w:pPr>
        <w:pStyle w:val="Point1"/>
        <w:rPr>
          <w:noProof/>
        </w:rPr>
      </w:pPr>
      <w:r>
        <w:rPr>
          <w:noProof/>
        </w:rPr>
        <w:t>ε)</w:t>
      </w:r>
      <w:r>
        <w:rPr>
          <w:noProof/>
        </w:rPr>
        <w:tab/>
        <w:t>παρεμβάλλεται το ακόλουθο σημείο ii):</w:t>
      </w:r>
    </w:p>
    <w:p w14:paraId="2DD75ED1" w14:textId="77777777" w:rsidR="00680C0B" w:rsidRDefault="00A8232D">
      <w:pPr>
        <w:pStyle w:val="Text2"/>
        <w:rPr>
          <w:noProof/>
        </w:rPr>
      </w:pPr>
      <w:r>
        <w:rPr>
          <w:noProof/>
        </w:rPr>
        <w:t>«ii)</w:t>
      </w:r>
      <w:r>
        <w:rPr>
          <w:noProof/>
        </w:rPr>
        <w:tab/>
        <w:t>πρότυπα διασφάλισης της υποβολής εκθέσεων βιωσιμότητας όπως αναφέρονται στο άρθρο 26α·»·</w:t>
      </w:r>
    </w:p>
    <w:p w14:paraId="3A5D34FE" w14:textId="77777777" w:rsidR="00680C0B" w:rsidRDefault="00A8232D">
      <w:pPr>
        <w:pStyle w:val="Point1"/>
        <w:rPr>
          <w:noProof/>
        </w:rPr>
      </w:pPr>
      <w:r>
        <w:rPr>
          <w:noProof/>
        </w:rPr>
        <w:t>στ)</w:t>
      </w:r>
      <w:r>
        <w:rPr>
          <w:noProof/>
        </w:rPr>
        <w:tab/>
        <w:t>το στοιχείο η) αντικαθίσταται από το ακόλουθο κείμενο:</w:t>
      </w:r>
    </w:p>
    <w:p w14:paraId="24C6CF8A" w14:textId="77777777" w:rsidR="00680C0B" w:rsidRDefault="00A8232D">
      <w:pPr>
        <w:pStyle w:val="Text2"/>
        <w:rPr>
          <w:noProof/>
        </w:rPr>
      </w:pPr>
      <w:r>
        <w:rPr>
          <w:noProof/>
        </w:rPr>
        <w:t>«η)</w:t>
      </w:r>
      <w:r>
        <w:rPr>
          <w:noProof/>
        </w:rPr>
        <w:tab/>
        <w:t>νομικές απαιτήσεις και</w:t>
      </w:r>
      <w:r>
        <w:rPr>
          <w:noProof/>
        </w:rPr>
        <w:t xml:space="preserve"> επαγγελματικά πρότυπα που αφορούν τον υποχρεωτικό έλεγχο και τη διασφάλιση της υποβολής εκθέσεων βιωσιμότητας και τους νόμιμους ελεγκτές·»·</w:t>
      </w:r>
    </w:p>
    <w:p w14:paraId="7A149DBF" w14:textId="77777777" w:rsidR="00680C0B" w:rsidRDefault="00A8232D">
      <w:pPr>
        <w:pStyle w:val="Point0"/>
        <w:rPr>
          <w:noProof/>
        </w:rPr>
      </w:pPr>
      <w:r>
        <w:rPr>
          <w:noProof/>
        </w:rPr>
        <w:t>5)</w:t>
      </w:r>
      <w:r>
        <w:rPr>
          <w:noProof/>
        </w:rPr>
        <w:tab/>
        <w:t>στο άρθρο 10, η παράγραφος 1 αντικαθίσταται από το ακόλουθο κείμενο:</w:t>
      </w:r>
    </w:p>
    <w:p w14:paraId="03F4A692" w14:textId="77777777" w:rsidR="00680C0B" w:rsidRDefault="00A8232D">
      <w:pPr>
        <w:pStyle w:val="Text1"/>
        <w:rPr>
          <w:noProof/>
        </w:rPr>
      </w:pPr>
      <w:r>
        <w:rPr>
          <w:noProof/>
        </w:rPr>
        <w:t>«1.</w:t>
      </w:r>
      <w:r>
        <w:rPr>
          <w:noProof/>
        </w:rPr>
        <w:tab/>
      </w:r>
      <w:r>
        <w:rPr>
          <w:noProof/>
        </w:rPr>
        <w:t>Για να εξασφαλίζεται η ικανότητα πρακτικής εφαρμογής των θεωρητικών γνώσεων που αποτελούν αντικείμενο εξετάσεων, οι ασκούμενοι πραγματοποιούν πρακτική άσκηση διάρκειας τριών ετών τουλάχιστον, η οποία θα καλύπτει μεταξύ άλλων τον έλεγχο των ετήσιων οικονομι</w:t>
      </w:r>
      <w:r>
        <w:rPr>
          <w:noProof/>
        </w:rPr>
        <w:t>κών καταστάσεων, των ενοποιημένων οικονομικών καταστάσεων ή παρόμοιων οικονομικών καταστάσεων και τη διασφάλιση της ετήσιας και της ενοποιημένης υποβολής εκθέσεων βιωσιμότητας. Η πρακτική άσκηση γίνεται τουλάχιστον κατά τα δύο τρίτα σε νόμιμο ελεγκτή ή ελε</w:t>
      </w:r>
      <w:r>
        <w:rPr>
          <w:noProof/>
        </w:rPr>
        <w:t xml:space="preserve">γκτικό γραφείο που έχει λάβει άδεια σε οποιοδήποτε κράτος μέλος.»· </w:t>
      </w:r>
    </w:p>
    <w:p w14:paraId="5BA6DE05" w14:textId="77777777" w:rsidR="00680C0B" w:rsidRDefault="00A8232D">
      <w:pPr>
        <w:pStyle w:val="Point0"/>
        <w:rPr>
          <w:noProof/>
        </w:rPr>
      </w:pPr>
      <w:r>
        <w:rPr>
          <w:noProof/>
        </w:rPr>
        <w:t>6)</w:t>
      </w:r>
      <w:r>
        <w:rPr>
          <w:noProof/>
        </w:rPr>
        <w:tab/>
        <w:t>στο άρθρο 11, το στοιχείο α) αντικαθίσταται από το ακόλουθο κείμενο:</w:t>
      </w:r>
    </w:p>
    <w:p w14:paraId="2BA03B63" w14:textId="77777777" w:rsidR="00680C0B" w:rsidRDefault="00A8232D">
      <w:pPr>
        <w:pStyle w:val="Text1"/>
        <w:rPr>
          <w:noProof/>
        </w:rPr>
      </w:pPr>
      <w:r>
        <w:rPr>
          <w:noProof/>
        </w:rPr>
        <w:t>«α) είτε ότι έχει ασκήσει επί δεκαπενταετία επαγγελματικές δραστηριότητες που του επέτρεψαν να αποκτήσει επαρκή πείρ</w:t>
      </w:r>
      <w:r>
        <w:rPr>
          <w:noProof/>
        </w:rPr>
        <w:t>α στον χρηματοοικονομικό, νομικό και λογιστικό τομέα, καθώς και στον τομέα της υποβολής εκθέσεων βιωσιμότητας, και ότι επέτυχε στις εξετάσεις επαγγελματικής ικανότητας που αναφέρονται στο άρθρο 7·»·</w:t>
      </w:r>
    </w:p>
    <w:p w14:paraId="3D130913" w14:textId="77777777" w:rsidR="00680C0B" w:rsidRDefault="00A8232D">
      <w:pPr>
        <w:pStyle w:val="Point0"/>
        <w:rPr>
          <w:noProof/>
        </w:rPr>
      </w:pPr>
      <w:r>
        <w:rPr>
          <w:noProof/>
        </w:rPr>
        <w:t>7)</w:t>
      </w:r>
      <w:r>
        <w:rPr>
          <w:noProof/>
        </w:rPr>
        <w:tab/>
        <w:t>στο άρθρο 14 παράγραφος 2, το τρίτο εδάφιο αντικαθίστα</w:t>
      </w:r>
      <w:r>
        <w:rPr>
          <w:noProof/>
        </w:rPr>
        <w:t>ται από το ακόλουθο κείμενο:</w:t>
      </w:r>
    </w:p>
    <w:p w14:paraId="1E4FFC04" w14:textId="77777777" w:rsidR="00680C0B" w:rsidRDefault="00A8232D">
      <w:pPr>
        <w:pStyle w:val="Text1"/>
        <w:rPr>
          <w:noProof/>
        </w:rPr>
      </w:pPr>
      <w:r>
        <w:rPr>
          <w:noProof/>
        </w:rPr>
        <w:t>«Η δοκιμασία επάρκειας διεξάγεται σε μία από τις γλώσσες που επιτρέπονται με βάση τους γλωσσικούς κανόνες που ισχύουν στο σχετικό κράτος μέλος υποδοχής. Καλύπτει μόνο την επάρκεια γνώσεων του νόμιμου ελεγκτή όσον αφορά τις νομο</w:t>
      </w:r>
      <w:r>
        <w:rPr>
          <w:noProof/>
        </w:rPr>
        <w:t>θετικές και κανονιστικές διατάξεις του εν λόγω κράτους μέλους υποδοχής, εφόσον οι γνώσεις αυτές άπτονται των υποχρεωτικών ελέγχων και των δεσμεύσεων παροχής διασφάλισης της υποβολής εκθέσεων βιωσιμότητας.»·</w:t>
      </w:r>
    </w:p>
    <w:p w14:paraId="7D83DE52" w14:textId="77777777" w:rsidR="00680C0B" w:rsidRDefault="00A8232D">
      <w:pPr>
        <w:pStyle w:val="Point0"/>
        <w:rPr>
          <w:noProof/>
        </w:rPr>
      </w:pPr>
      <w:r>
        <w:rPr>
          <w:noProof/>
        </w:rPr>
        <w:t>8)</w:t>
      </w:r>
      <w:r>
        <w:rPr>
          <w:noProof/>
        </w:rPr>
        <w:tab/>
        <w:t>παρεμβάλλεται το ακόλουθο άρθρο 14α:</w:t>
      </w:r>
    </w:p>
    <w:p w14:paraId="46F4EAD2" w14:textId="77777777" w:rsidR="00680C0B" w:rsidRDefault="00A8232D">
      <w:pPr>
        <w:pStyle w:val="NormalCentered"/>
        <w:rPr>
          <w:i/>
          <w:noProof/>
        </w:rPr>
      </w:pPr>
      <w:r>
        <w:rPr>
          <w:i/>
          <w:noProof/>
        </w:rPr>
        <w:t>«Άρθρο 14</w:t>
      </w:r>
      <w:r>
        <w:rPr>
          <w:i/>
          <w:noProof/>
        </w:rPr>
        <w:t>α</w:t>
      </w:r>
      <w:r>
        <w:rPr>
          <w:noProof/>
        </w:rPr>
        <w:t xml:space="preserve"> </w:t>
      </w:r>
      <w:r>
        <w:rPr>
          <w:noProof/>
        </w:rPr>
        <w:br/>
      </w:r>
      <w:r>
        <w:rPr>
          <w:b/>
          <w:noProof/>
        </w:rPr>
        <w:t xml:space="preserve">Νόμιμοι ελεγκτές που έχουν λάβει άδεια ή έχουν αναγνωριστεί πριν από την 1η Ιανουαρίου 2023 </w:t>
      </w:r>
    </w:p>
    <w:p w14:paraId="3CE15E05" w14:textId="77777777" w:rsidR="00680C0B" w:rsidRDefault="00A8232D">
      <w:pPr>
        <w:pStyle w:val="Text1"/>
        <w:rPr>
          <w:noProof/>
        </w:rPr>
      </w:pPr>
      <w:r>
        <w:rPr>
          <w:noProof/>
        </w:rPr>
        <w:t>Τα κράτη μέλη διασφαλίζουν ότι οι νόμιμοι ελεγκτές που έχουν λάβει άδεια ή έχουν αναγνωριστεί για να διενεργούν υποχρεωτικούς ελέγχους πριν από την 1η Ιανουαρίο</w:t>
      </w:r>
      <w:r>
        <w:rPr>
          <w:noProof/>
        </w:rPr>
        <w:t>υ 2023 δεν υπόκεινται στις απαιτήσεις των άρθρων 6, 7, 10, 11 και 14 της παρούσας οδηγίας.</w:t>
      </w:r>
    </w:p>
    <w:p w14:paraId="2CE0B697" w14:textId="77777777" w:rsidR="00680C0B" w:rsidRDefault="00A8232D">
      <w:pPr>
        <w:pStyle w:val="Text1"/>
        <w:rPr>
          <w:noProof/>
        </w:rPr>
      </w:pPr>
      <w:r>
        <w:rPr>
          <w:noProof/>
        </w:rPr>
        <w:t>Τα κράτη μέλη μεριμνούν ώστε οι νόμιμοι ελεγκτές που έχουν λάβει άδεια πριν από την 1η Ιανουαρίου 2023 να αποκτούν τις αναγκαίες γνώσεις στον τομέα της υποβολής εκθέ</w:t>
      </w:r>
      <w:r>
        <w:rPr>
          <w:noProof/>
        </w:rPr>
        <w:t xml:space="preserve">σεων βιωσιμότητας και της διασφάλισης της υποβολής εκθέσεων βιωσιμότητας μέσω της απαίτησης συνεχούς εκπαίδευσης του άρθρου 13.»· </w:t>
      </w:r>
    </w:p>
    <w:p w14:paraId="43C9915A" w14:textId="77777777" w:rsidR="00680C0B" w:rsidRDefault="00A8232D">
      <w:pPr>
        <w:pStyle w:val="Point0"/>
        <w:rPr>
          <w:noProof/>
        </w:rPr>
      </w:pPr>
      <w:r>
        <w:rPr>
          <w:noProof/>
        </w:rPr>
        <w:t>9)</w:t>
      </w:r>
      <w:r>
        <w:rPr>
          <w:noProof/>
        </w:rPr>
        <w:tab/>
        <w:t>το άρθρο 24β τροποποιείται ως εξής:</w:t>
      </w:r>
    </w:p>
    <w:p w14:paraId="26DA0303" w14:textId="77777777" w:rsidR="00680C0B" w:rsidRDefault="00A8232D">
      <w:pPr>
        <w:pStyle w:val="Point1"/>
        <w:rPr>
          <w:noProof/>
        </w:rPr>
      </w:pPr>
      <w:r>
        <w:rPr>
          <w:noProof/>
        </w:rPr>
        <w:t>α)</w:t>
      </w:r>
      <w:r>
        <w:rPr>
          <w:noProof/>
        </w:rPr>
        <w:tab/>
        <w:t>η παράγραφος 1 αντικαθίσταται από το ακόλουθο κείμενο:</w:t>
      </w:r>
    </w:p>
    <w:p w14:paraId="14B2515A" w14:textId="77777777" w:rsidR="00680C0B" w:rsidRDefault="00A8232D">
      <w:pPr>
        <w:pStyle w:val="Text2"/>
        <w:rPr>
          <w:noProof/>
        </w:rPr>
      </w:pPr>
      <w:r>
        <w:rPr>
          <w:noProof/>
        </w:rPr>
        <w:t>«1. Τα κράτη μέλη διασφαλίζο</w:t>
      </w:r>
      <w:r>
        <w:rPr>
          <w:noProof/>
        </w:rPr>
        <w:t>υν ότι, όταν ο υποχρεωτικός έλεγχος και η διασφάλιση της υποβολής εκθέσεων βιωσιμότητας διενεργούνται από ελεγκτικό γραφείο, το εν λόγω ελεγκτικό γραφείο ορίζει τουλάχιστον έναν κύριο εταίρο ελέγχου. Το ελεγκτικό γραφείο παρέχει στον ή στους κύριους εταίρο</w:t>
      </w:r>
      <w:r>
        <w:rPr>
          <w:noProof/>
        </w:rPr>
        <w:t>υς ελέγχου επαρκείς πόρους και προσωπικό με την επάρκεια και τις ικανότητες που απαιτούνται για την εκτέλεση των καθηκόντων τους κατά τον δέοντα τρόπο.</w:t>
      </w:r>
    </w:p>
    <w:p w14:paraId="17E79335" w14:textId="77777777" w:rsidR="00680C0B" w:rsidRDefault="00A8232D">
      <w:pPr>
        <w:pStyle w:val="Text2"/>
        <w:rPr>
          <w:noProof/>
        </w:rPr>
      </w:pPr>
      <w:r>
        <w:rPr>
          <w:noProof/>
        </w:rPr>
        <w:t>Η διασφάλιση της ποιότητας του ελέγχου, η ανεξαρτησία και η επάρκεια αποτελούν τα κύρια κριτήρια όταν το</w:t>
      </w:r>
      <w:r>
        <w:rPr>
          <w:noProof/>
        </w:rPr>
        <w:t xml:space="preserve"> ελεγκτικό γραφείο επιλέγει τους κύριους εταίρους ελέγχου που θα διοριστούν. Οι κύριοι εταίροι ελέγχου συμμετέχουν ενεργά στη διενέργεια του υποχρεωτικού ελέγχου και της διασφάλισης της υποβολής εκθέσεων βιωσιμότητας.»· </w:t>
      </w:r>
    </w:p>
    <w:p w14:paraId="2A0723DC" w14:textId="77777777" w:rsidR="00680C0B" w:rsidRDefault="00A8232D">
      <w:pPr>
        <w:pStyle w:val="Point1"/>
        <w:rPr>
          <w:noProof/>
        </w:rPr>
      </w:pPr>
      <w:r>
        <w:rPr>
          <w:noProof/>
        </w:rPr>
        <w:t>β)</w:t>
      </w:r>
      <w:r>
        <w:rPr>
          <w:noProof/>
        </w:rPr>
        <w:tab/>
        <w:t>παρεμβάλλεται η ακόλουθη παράγρα</w:t>
      </w:r>
      <w:r>
        <w:rPr>
          <w:noProof/>
        </w:rPr>
        <w:t>φος 2α:</w:t>
      </w:r>
    </w:p>
    <w:p w14:paraId="6EF76CF6" w14:textId="77777777" w:rsidR="00680C0B" w:rsidRDefault="00A8232D">
      <w:pPr>
        <w:pStyle w:val="Text2"/>
        <w:rPr>
          <w:noProof/>
        </w:rPr>
      </w:pPr>
      <w:r>
        <w:rPr>
          <w:noProof/>
        </w:rPr>
        <w:t>«2α. Κατά τη διενέργεια της διασφάλισης της υποβολής εκθέσεων βιωσιμότητας, ο νόμιμος ελεγκτής αφιερώνει επαρκή χρόνο στην εργασία και κατανέμει επαρκείς πόρους που θα τον διευκολύνουν να εκτελέσει δεόντως τα καθήκοντά του.</w:t>
      </w:r>
    </w:p>
    <w:p w14:paraId="251C027E" w14:textId="77777777" w:rsidR="00680C0B" w:rsidRDefault="00A8232D">
      <w:pPr>
        <w:pStyle w:val="Point1"/>
        <w:rPr>
          <w:noProof/>
        </w:rPr>
      </w:pPr>
      <w:r>
        <w:rPr>
          <w:noProof/>
        </w:rPr>
        <w:t>γ)</w:t>
      </w:r>
      <w:r>
        <w:rPr>
          <w:noProof/>
        </w:rPr>
        <w:tab/>
        <w:t xml:space="preserve">στην </w:t>
      </w:r>
      <w:r>
        <w:rPr>
          <w:noProof/>
        </w:rPr>
        <w:t>παράγραφο 4, το στοιχείο γ) αντικαθίσταται από το ακόλουθο κείμενο:</w:t>
      </w:r>
    </w:p>
    <w:p w14:paraId="3E986F9E" w14:textId="77777777" w:rsidR="00680C0B" w:rsidRDefault="00A8232D">
      <w:pPr>
        <w:pStyle w:val="Text2"/>
        <w:rPr>
          <w:noProof/>
        </w:rPr>
      </w:pPr>
      <w:r>
        <w:rPr>
          <w:noProof/>
        </w:rPr>
        <w:t>«γ) τις αμοιβές που χρεώθηκαν για τον υποχρεωτικό έλεγχο, για τη διασφάλιση της υποβολής εκθέσεων βιωσιμότητας και τις αμοιβές που χρεώθηκαν για άλλες υπηρεσίες σε οποιαδήποτε οικονομική χ</w:t>
      </w:r>
      <w:r>
        <w:rPr>
          <w:noProof/>
        </w:rPr>
        <w:t>ρήση.»·</w:t>
      </w:r>
    </w:p>
    <w:p w14:paraId="78FEE40D" w14:textId="77777777" w:rsidR="00680C0B" w:rsidRDefault="00A8232D">
      <w:pPr>
        <w:pStyle w:val="Point1"/>
        <w:rPr>
          <w:noProof/>
        </w:rPr>
      </w:pPr>
      <w:r>
        <w:rPr>
          <w:noProof/>
        </w:rPr>
        <w:t>δ)</w:t>
      </w:r>
      <w:r>
        <w:rPr>
          <w:noProof/>
        </w:rPr>
        <w:tab/>
        <w:t>η παράγραφος 5 αντικαθίσταται από το ακόλουθο κείμενο:</w:t>
      </w:r>
    </w:p>
    <w:p w14:paraId="657FB6E3" w14:textId="77777777" w:rsidR="00680C0B" w:rsidRDefault="00A8232D">
      <w:pPr>
        <w:pStyle w:val="Text2"/>
        <w:rPr>
          <w:noProof/>
        </w:rPr>
      </w:pPr>
      <w:r>
        <w:rPr>
          <w:noProof/>
        </w:rPr>
        <w:t>«5. Ο νόμιμος ελεγκτής ή το ελεγκτικό γραφείο καταρτίζει φάκελο ελέγχου για κάθε υποχρεωτικό έλεγχο. Ο φάκελος ελέγχου περιέχει επίσης πληροφορίες σχετικά με τη διασφάλιση της υποβολής εκθέσ</w:t>
      </w:r>
      <w:r>
        <w:rPr>
          <w:noProof/>
        </w:rPr>
        <w:t>εων βιωσιμότητας, κατά περίπτωση.»·</w:t>
      </w:r>
    </w:p>
    <w:p w14:paraId="6F981F85" w14:textId="77777777" w:rsidR="00680C0B" w:rsidRDefault="00A8232D">
      <w:pPr>
        <w:pStyle w:val="Point0"/>
        <w:rPr>
          <w:noProof/>
        </w:rPr>
      </w:pPr>
      <w:r>
        <w:rPr>
          <w:noProof/>
        </w:rPr>
        <w:t>10)</w:t>
      </w:r>
      <w:r>
        <w:rPr>
          <w:noProof/>
        </w:rPr>
        <w:tab/>
        <w:t>το άρθρο 25 αντικαθίσταται από το ακόλουθο κείμενο:</w:t>
      </w:r>
    </w:p>
    <w:p w14:paraId="39FE113A" w14:textId="77777777" w:rsidR="00680C0B" w:rsidRDefault="00A8232D">
      <w:pPr>
        <w:pStyle w:val="NormalCentered"/>
        <w:rPr>
          <w:noProof/>
        </w:rPr>
      </w:pPr>
      <w:r>
        <w:rPr>
          <w:noProof/>
        </w:rPr>
        <w:t>«Άρθρο 25</w:t>
      </w:r>
    </w:p>
    <w:p w14:paraId="62E7A4BA" w14:textId="77777777" w:rsidR="00680C0B" w:rsidRDefault="00A8232D">
      <w:pPr>
        <w:pStyle w:val="NormalCentered"/>
        <w:rPr>
          <w:b/>
          <w:noProof/>
        </w:rPr>
      </w:pPr>
      <w:r>
        <w:rPr>
          <w:b/>
          <w:noProof/>
        </w:rPr>
        <w:t>Αμοιβές ελέγχου</w:t>
      </w:r>
    </w:p>
    <w:p w14:paraId="6BA7586C" w14:textId="77777777" w:rsidR="00680C0B" w:rsidRDefault="00A8232D">
      <w:pPr>
        <w:pStyle w:val="Text1"/>
        <w:rPr>
          <w:noProof/>
        </w:rPr>
      </w:pPr>
      <w:r>
        <w:rPr>
          <w:noProof/>
        </w:rPr>
        <w:t>Τα κράτη μέλη εξασφαλίζουν ότι υπάρχουν κατάλληλοι κανόνες που εγγυώνται ότι η αμοιβή για τον υποχρεωτικό έλεγχο και για τη διασφάλιση της</w:t>
      </w:r>
      <w:r>
        <w:rPr>
          <w:noProof/>
        </w:rPr>
        <w:t xml:space="preserve"> υποβολής εκθέσεων βιωσιμότητας: </w:t>
      </w:r>
    </w:p>
    <w:p w14:paraId="0DF813CF" w14:textId="77777777" w:rsidR="00680C0B" w:rsidRDefault="00A8232D">
      <w:pPr>
        <w:pStyle w:val="Text2"/>
        <w:rPr>
          <w:noProof/>
        </w:rPr>
      </w:pPr>
      <w:r>
        <w:rPr>
          <w:noProof/>
        </w:rPr>
        <w:t xml:space="preserve">α) δεν επηρεάζεται ούτε προσδιορίζεται από την παροχή συμπληρωματικών υπηρεσιών στην ελεγχόμενη οντότητα· </w:t>
      </w:r>
    </w:p>
    <w:p w14:paraId="011CA752" w14:textId="77777777" w:rsidR="00680C0B" w:rsidRDefault="00A8232D">
      <w:pPr>
        <w:pStyle w:val="Text2"/>
        <w:rPr>
          <w:noProof/>
        </w:rPr>
      </w:pPr>
      <w:r>
        <w:rPr>
          <w:noProof/>
        </w:rPr>
        <w:t xml:space="preserve">β) δεν μπορεί να βασίζεται σε κανενός είδους αίρεση.»· </w:t>
      </w:r>
    </w:p>
    <w:p w14:paraId="434BB454" w14:textId="77777777" w:rsidR="00680C0B" w:rsidRDefault="00A8232D">
      <w:pPr>
        <w:pStyle w:val="Point0"/>
        <w:rPr>
          <w:noProof/>
        </w:rPr>
      </w:pPr>
      <w:r>
        <w:rPr>
          <w:noProof/>
        </w:rPr>
        <w:t>11)</w:t>
      </w:r>
      <w:r>
        <w:rPr>
          <w:noProof/>
        </w:rPr>
        <w:tab/>
        <w:t>παρεμβάλλεται το ακόλουθο άρθρο 25β:</w:t>
      </w:r>
    </w:p>
    <w:p w14:paraId="4A51D58E" w14:textId="77777777" w:rsidR="00680C0B" w:rsidRDefault="00A8232D">
      <w:pPr>
        <w:pStyle w:val="NormalCentered"/>
        <w:rPr>
          <w:noProof/>
        </w:rPr>
      </w:pPr>
      <w:r>
        <w:rPr>
          <w:noProof/>
        </w:rPr>
        <w:t>«Άρθρο 25β</w:t>
      </w:r>
    </w:p>
    <w:p w14:paraId="407A8220" w14:textId="77777777" w:rsidR="00680C0B" w:rsidRDefault="00A8232D">
      <w:pPr>
        <w:pStyle w:val="NormalCentered"/>
        <w:rPr>
          <w:b/>
          <w:noProof/>
        </w:rPr>
      </w:pPr>
      <w:r>
        <w:rPr>
          <w:b/>
          <w:noProof/>
        </w:rPr>
        <w:t xml:space="preserve">Επαγγελματική δεοντολογία, ανεξαρτησία, αντικειμενικότητα, εμπιστευτικότητα και επαγγελματικό απόρρητο όσον αφορά τη </w:t>
      </w:r>
      <w:r>
        <w:rPr>
          <w:b/>
          <w:noProof/>
          <w:szCs w:val="24"/>
        </w:rPr>
        <w:t>διασφάλιση</w:t>
      </w:r>
      <w:r>
        <w:rPr>
          <w:b/>
          <w:noProof/>
        </w:rPr>
        <w:t xml:space="preserve"> της υποβολής εκθέσεων βιωσιμότητας</w:t>
      </w:r>
    </w:p>
    <w:p w14:paraId="36DEE1CA" w14:textId="77777777" w:rsidR="00680C0B" w:rsidRDefault="00A8232D">
      <w:pPr>
        <w:pStyle w:val="Text1"/>
        <w:rPr>
          <w:noProof/>
        </w:rPr>
      </w:pPr>
      <w:r>
        <w:rPr>
          <w:noProof/>
        </w:rPr>
        <w:t>Οι απαιτήσεις των άρθρων 21 έως 24α όσον αφορά τον υποχρεωτικό έλεγχο των οικονομικών καταστά</w:t>
      </w:r>
      <w:r>
        <w:rPr>
          <w:noProof/>
        </w:rPr>
        <w:t>σεων ισχύουν για τη διασφάλιση της υποβολής εκθέσεων βιωσιμότητας.»·</w:t>
      </w:r>
    </w:p>
    <w:p w14:paraId="1F88C5E5" w14:textId="77777777" w:rsidR="00680C0B" w:rsidRDefault="00A8232D">
      <w:pPr>
        <w:pStyle w:val="Point0"/>
        <w:rPr>
          <w:noProof/>
        </w:rPr>
      </w:pPr>
      <w:r>
        <w:rPr>
          <w:noProof/>
        </w:rPr>
        <w:t>12)</w:t>
      </w:r>
      <w:r>
        <w:rPr>
          <w:noProof/>
        </w:rPr>
        <w:tab/>
        <w:t>παρεμβάλλεται το ακόλουθο άρθρο 26α:</w:t>
      </w:r>
    </w:p>
    <w:p w14:paraId="5D1CAEEB" w14:textId="77777777" w:rsidR="00680C0B" w:rsidRDefault="00A8232D">
      <w:pPr>
        <w:pStyle w:val="NormalCentered"/>
        <w:rPr>
          <w:noProof/>
        </w:rPr>
      </w:pPr>
      <w:r>
        <w:rPr>
          <w:noProof/>
        </w:rPr>
        <w:t>«Άρθρο 26α</w:t>
      </w:r>
    </w:p>
    <w:p w14:paraId="306F4736" w14:textId="77777777" w:rsidR="00680C0B" w:rsidRDefault="00A8232D">
      <w:pPr>
        <w:pStyle w:val="NormalCentered"/>
        <w:rPr>
          <w:b/>
          <w:noProof/>
        </w:rPr>
      </w:pPr>
      <w:r>
        <w:rPr>
          <w:b/>
          <w:noProof/>
        </w:rPr>
        <w:t xml:space="preserve">Πρότυπα </w:t>
      </w:r>
      <w:r>
        <w:rPr>
          <w:b/>
          <w:noProof/>
          <w:szCs w:val="24"/>
        </w:rPr>
        <w:t>διασφάλισης</w:t>
      </w:r>
      <w:r>
        <w:rPr>
          <w:b/>
          <w:noProof/>
        </w:rPr>
        <w:t xml:space="preserve"> για την υποβολή εκθέσεων βιωσιμότητας</w:t>
      </w:r>
    </w:p>
    <w:p w14:paraId="380BB44A" w14:textId="77777777" w:rsidR="00680C0B" w:rsidRDefault="00A8232D">
      <w:pPr>
        <w:pStyle w:val="Text1"/>
        <w:rPr>
          <w:noProof/>
        </w:rPr>
      </w:pPr>
      <w:r>
        <w:rPr>
          <w:noProof/>
        </w:rPr>
        <w:t>1.</w:t>
      </w:r>
      <w:r>
        <w:rPr>
          <w:noProof/>
        </w:rPr>
        <w:tab/>
        <w:t>Τα κράτη μέλη απαιτούν από τους νόμιμους ελεγκτές και τα ελεγκτικά γραφεία</w:t>
      </w:r>
      <w:r>
        <w:rPr>
          <w:noProof/>
        </w:rPr>
        <w:t xml:space="preserve"> να διενεργούν τη διασφάλιση της υποβολής εκθέσεων βιωσιμότητας σύμφωνα με τα πρότυπα διασφάλισης που υιοθετεί η Επιτροπή με τη διαδικασία της παραγράφου 2. </w:t>
      </w:r>
    </w:p>
    <w:p w14:paraId="34105446" w14:textId="77777777" w:rsidR="00680C0B" w:rsidRDefault="00A8232D">
      <w:pPr>
        <w:pStyle w:val="Text1"/>
        <w:rPr>
          <w:noProof/>
        </w:rPr>
      </w:pPr>
      <w:r>
        <w:rPr>
          <w:noProof/>
        </w:rPr>
        <w:t>Τα κράτη μέλη θα πρέπει να εφαρμόζουν εθνικά πρότυπα, διαδικασίες ή απαιτήσεις διασφάλισης, εφόσον</w:t>
      </w:r>
      <w:r>
        <w:rPr>
          <w:noProof/>
        </w:rPr>
        <w:t xml:space="preserve"> η Επιτροπή δεν έχει υιοθετήσει πρότυπο διασφάλισης που να καλύπτει το ίδιο αντικείμενο.</w:t>
      </w:r>
    </w:p>
    <w:p w14:paraId="717DCFA7" w14:textId="77777777" w:rsidR="00680C0B" w:rsidRDefault="00A8232D">
      <w:pPr>
        <w:pStyle w:val="Text1"/>
        <w:rPr>
          <w:noProof/>
        </w:rPr>
      </w:pPr>
      <w:r>
        <w:rPr>
          <w:noProof/>
        </w:rPr>
        <w:t xml:space="preserve">Τα κράτη μέλη κοινοποιούν στην Επιτροπή τις διαδικασίες ή τις απαιτήσεις διασφάλισης τουλάχιστον τρεις μήνες πριν από την έναρξη ισχύος τους. </w:t>
      </w:r>
    </w:p>
    <w:p w14:paraId="02942BCA" w14:textId="77777777" w:rsidR="00680C0B" w:rsidRDefault="00A8232D">
      <w:pPr>
        <w:pStyle w:val="Text1"/>
        <w:rPr>
          <w:noProof/>
        </w:rPr>
      </w:pPr>
      <w:r>
        <w:rPr>
          <w:noProof/>
        </w:rPr>
        <w:t>2.</w:t>
      </w:r>
      <w:r>
        <w:rPr>
          <w:noProof/>
        </w:rPr>
        <w:tab/>
        <w:t>Ανατίθεται στην Επιτρ</w:t>
      </w:r>
      <w:r>
        <w:rPr>
          <w:noProof/>
        </w:rPr>
        <w:t>οπή η εξουσία να θεσπίζει, μέσω κατ’ εξουσιοδότηση πράξεων σύμφωνα με το άρθρο 48α, τα πρότυπα διασφάλισης που αναφέρονται στην παράγραφο 1 για τον καθορισμό των διαδικασιών που πρέπει να εφαρμόζει ο ελεγκτής προκειμένου να εξαγάγει τα συμπεράσματά του σχε</w:t>
      </w:r>
      <w:r>
        <w:rPr>
          <w:noProof/>
        </w:rPr>
        <w:t>τικά με τη διασφάλιση της υποβολής εκθέσεων βιωσιμότητας, συμπεριλαμβανομένου του σχεδιασμού της ελεγκτικής αποστολής, της εξέτασης και της αντιμετώπισης των κινδύνων, καθώς και του είδους των συμπερασμάτων που πρέπει να συναχθούν στην έκθεση ελέγχου.</w:t>
      </w:r>
    </w:p>
    <w:p w14:paraId="09608A13" w14:textId="77777777" w:rsidR="00680C0B" w:rsidRDefault="00A8232D">
      <w:pPr>
        <w:pStyle w:val="Text1"/>
        <w:rPr>
          <w:noProof/>
        </w:rPr>
      </w:pPr>
      <w:r>
        <w:rPr>
          <w:noProof/>
        </w:rPr>
        <w:t>Η Επ</w:t>
      </w:r>
      <w:r>
        <w:rPr>
          <w:noProof/>
        </w:rPr>
        <w:t>ιτροπή μπορεί να εκδώσει τα πρότυπα διασφάλισης μόνο εφόσον:</w:t>
      </w:r>
    </w:p>
    <w:p w14:paraId="579DBC64" w14:textId="77777777" w:rsidR="00680C0B" w:rsidRDefault="00A8232D">
      <w:pPr>
        <w:pStyle w:val="Text1"/>
        <w:rPr>
          <w:noProof/>
        </w:rPr>
      </w:pPr>
      <w:r>
        <w:rPr>
          <w:noProof/>
        </w:rPr>
        <w:t>α) καταρτίζονται με κατάλληλες διαδικασίες, με δημόσια εποπτεία και διαφάνεια·</w:t>
      </w:r>
    </w:p>
    <w:p w14:paraId="59512FB8" w14:textId="77777777" w:rsidR="00680C0B" w:rsidRDefault="00A8232D">
      <w:pPr>
        <w:pStyle w:val="Text1"/>
        <w:rPr>
          <w:noProof/>
        </w:rPr>
      </w:pPr>
      <w:r>
        <w:rPr>
          <w:noProof/>
        </w:rPr>
        <w:t>β) συνεισφέρουν σε υψηλό επίπεδο αξιοπιστίας και ποιότητας της ετήσιας ή της ενοποιημένης υποβολής εκθέσεων βιωσιμότ</w:t>
      </w:r>
      <w:r>
        <w:rPr>
          <w:noProof/>
        </w:rPr>
        <w:t>ητας·</w:t>
      </w:r>
    </w:p>
    <w:p w14:paraId="1AA089E0" w14:textId="77777777" w:rsidR="00680C0B" w:rsidRDefault="00A8232D">
      <w:pPr>
        <w:pStyle w:val="Text1"/>
        <w:rPr>
          <w:noProof/>
        </w:rPr>
      </w:pPr>
      <w:r>
        <w:rPr>
          <w:noProof/>
        </w:rPr>
        <w:t>γ) προάγουν το δημόσιο συμφέρον της Ένωσης.</w:t>
      </w:r>
    </w:p>
    <w:p w14:paraId="1BD61CA9" w14:textId="77777777" w:rsidR="00680C0B" w:rsidRDefault="00A8232D">
      <w:pPr>
        <w:pStyle w:val="Text1"/>
        <w:rPr>
          <w:noProof/>
        </w:rPr>
      </w:pPr>
      <w:r>
        <w:rPr>
          <w:noProof/>
        </w:rPr>
        <w:t>3.</w:t>
      </w:r>
      <w:r>
        <w:rPr>
          <w:noProof/>
        </w:rPr>
        <w:tab/>
        <w:t>Όταν η Επιτροπή εκδίδει πρότυπα εύλογης διασφάλισης, η γνώμη που αναφέρεται στο άρθρο 34 παράγραφος 1 δεύτερο εδάφιο στοιχείο αα) της οδηγίας 2013/34/ΕΕ βασίζεται σε δέσμευση παροχής εύλογης διασφάλισης.</w:t>
      </w:r>
      <w:r>
        <w:rPr>
          <w:noProof/>
        </w:rPr>
        <w:t>»·</w:t>
      </w:r>
    </w:p>
    <w:p w14:paraId="00164169" w14:textId="77777777" w:rsidR="00680C0B" w:rsidRDefault="00A8232D">
      <w:pPr>
        <w:pStyle w:val="Point0"/>
        <w:rPr>
          <w:noProof/>
        </w:rPr>
      </w:pPr>
      <w:r>
        <w:rPr>
          <w:noProof/>
        </w:rPr>
        <w:t>13)</w:t>
      </w:r>
      <w:r>
        <w:rPr>
          <w:noProof/>
        </w:rPr>
        <w:tab/>
        <w:t>παρεμβάλλεται το ακόλουθο άρθρο 27α:</w:t>
      </w:r>
    </w:p>
    <w:p w14:paraId="70D80D97" w14:textId="77777777" w:rsidR="00680C0B" w:rsidRDefault="00A8232D">
      <w:pPr>
        <w:pStyle w:val="NormalCentered"/>
        <w:rPr>
          <w:noProof/>
        </w:rPr>
      </w:pPr>
      <w:r>
        <w:rPr>
          <w:noProof/>
        </w:rPr>
        <w:t>«Άρθρο 27α</w:t>
      </w:r>
    </w:p>
    <w:p w14:paraId="2B8E5FC1" w14:textId="77777777" w:rsidR="00680C0B" w:rsidRDefault="00A8232D">
      <w:pPr>
        <w:pStyle w:val="NormalCentered"/>
        <w:rPr>
          <w:b/>
          <w:noProof/>
        </w:rPr>
      </w:pPr>
      <w:r>
        <w:rPr>
          <w:b/>
          <w:noProof/>
        </w:rPr>
        <w:t>Διασφάλιση της ενοποιημένης υποβολής εκθέσεων βιωσιμότητας</w:t>
      </w:r>
    </w:p>
    <w:p w14:paraId="0FFC4702" w14:textId="77777777" w:rsidR="00680C0B" w:rsidRDefault="00A8232D">
      <w:pPr>
        <w:pStyle w:val="Text1"/>
        <w:rPr>
          <w:noProof/>
        </w:rPr>
      </w:pPr>
      <w:r>
        <w:rPr>
          <w:noProof/>
        </w:rPr>
        <w:t>Οι απαιτήσεις του άρθρου 27 όσον αφορά τον έλεγχο των ενοποιημένων οικονομικών καταστάσεων ισχύουν, τηρουμένων των αναλογιών, για τη διασφάλισ</w:t>
      </w:r>
      <w:r>
        <w:rPr>
          <w:noProof/>
        </w:rPr>
        <w:t>η της ενοποιημένης υποβολής εκθέσεων βιωσιμότητας.»·</w:t>
      </w:r>
    </w:p>
    <w:p w14:paraId="5C3CCDAC" w14:textId="77777777" w:rsidR="00680C0B" w:rsidRDefault="00A8232D">
      <w:pPr>
        <w:pStyle w:val="Point0"/>
        <w:rPr>
          <w:noProof/>
        </w:rPr>
      </w:pPr>
      <w:r>
        <w:rPr>
          <w:noProof/>
        </w:rPr>
        <w:t>14)</w:t>
      </w:r>
      <w:r>
        <w:rPr>
          <w:noProof/>
        </w:rPr>
        <w:tab/>
        <w:t>το άρθρο 28 τροποποιείται ως εξής:</w:t>
      </w:r>
    </w:p>
    <w:p w14:paraId="23AB374C" w14:textId="77777777" w:rsidR="00680C0B" w:rsidRDefault="00A8232D">
      <w:pPr>
        <w:pStyle w:val="Point1"/>
        <w:rPr>
          <w:noProof/>
        </w:rPr>
      </w:pPr>
      <w:r>
        <w:rPr>
          <w:noProof/>
        </w:rPr>
        <w:t>α)</w:t>
      </w:r>
      <w:r>
        <w:rPr>
          <w:noProof/>
        </w:rPr>
        <w:tab/>
        <w:t>η παράγραφος 1 αντικαθίσταται από το ακόλουθο κείμενο:</w:t>
      </w:r>
    </w:p>
    <w:p w14:paraId="7A752317" w14:textId="77777777" w:rsidR="00680C0B" w:rsidRDefault="00A8232D">
      <w:pPr>
        <w:pStyle w:val="Text2"/>
        <w:rPr>
          <w:noProof/>
        </w:rPr>
      </w:pPr>
      <w:r>
        <w:rPr>
          <w:noProof/>
        </w:rPr>
        <w:t xml:space="preserve">«1. Οι νόμιμοι ελεγκτές ή τα ελεγκτικά γραφεία παρουσιάζουν τα αποτελέσματα του υποχρεωτικού ελέγχου και, </w:t>
      </w:r>
      <w:r>
        <w:rPr>
          <w:noProof/>
        </w:rPr>
        <w:t>κατά περίπτωση, της διασφάλισης της υποβολής εκθέσεων βιωσιμότητας σε έκθεση ελέγχου. Η έκθεση καταρτίζεται σύμφωνα με τις απαιτήσεις των ελεγκτικών προτύπων που υιοθετούνται από την Ένωση ή το οικείο κράτος μέλος, όπως αναφέρεται στο άρθρο 26, και σύμφωνα</w:t>
      </w:r>
      <w:r>
        <w:rPr>
          <w:noProof/>
        </w:rPr>
        <w:t xml:space="preserve"> με τις απαιτήσεις των προτύπων διασφάλισης που υιοθετούνται από την Επιτροπή ή το οικείο κράτος μέλος, όπως αναφέρεται στο άρθρο 26α.»·</w:t>
      </w:r>
    </w:p>
    <w:p w14:paraId="7AD02A4E" w14:textId="77777777" w:rsidR="00680C0B" w:rsidRDefault="00A8232D">
      <w:pPr>
        <w:pStyle w:val="Point1"/>
        <w:rPr>
          <w:noProof/>
        </w:rPr>
      </w:pPr>
      <w:r>
        <w:rPr>
          <w:noProof/>
        </w:rPr>
        <w:t>β)</w:t>
      </w:r>
      <w:r>
        <w:rPr>
          <w:noProof/>
        </w:rPr>
        <w:tab/>
        <w:t>η παράγραφος 2 τροποποιείται ως εξής:</w:t>
      </w:r>
    </w:p>
    <w:p w14:paraId="1EF3E368" w14:textId="77777777" w:rsidR="00680C0B" w:rsidRDefault="00A8232D">
      <w:pPr>
        <w:pStyle w:val="Point2"/>
        <w:rPr>
          <w:noProof/>
        </w:rPr>
      </w:pPr>
      <w:r>
        <w:rPr>
          <w:noProof/>
        </w:rPr>
        <w:t>i)</w:t>
      </w:r>
      <w:r>
        <w:rPr>
          <w:noProof/>
        </w:rPr>
        <w:tab/>
        <w:t>παρεμβάλλεται το ακόλουθο στοιχείο αα):</w:t>
      </w:r>
    </w:p>
    <w:p w14:paraId="0D67C402" w14:textId="77777777" w:rsidR="00680C0B" w:rsidRDefault="00A8232D">
      <w:pPr>
        <w:pStyle w:val="Text2"/>
        <w:rPr>
          <w:noProof/>
        </w:rPr>
      </w:pPr>
      <w:r>
        <w:rPr>
          <w:noProof/>
        </w:rPr>
        <w:t>«αα) προσδιορίζεται η ετήσια ή η εν</w:t>
      </w:r>
      <w:r>
        <w:rPr>
          <w:noProof/>
        </w:rPr>
        <w:t>οποιημένη υποβολή εκθέσεων βιωσιμότητας, καθώς και η ημερομηνία και η περίοδος που καλύπτουν· και προσδιορίζεται το πλαίσιο υποβολής εκθέσεων βιωσιμότητας που εφαρμόστηκε κατά την προετοιμασία τους·»·</w:t>
      </w:r>
    </w:p>
    <w:p w14:paraId="60D72F2E" w14:textId="77777777" w:rsidR="00680C0B" w:rsidRDefault="00A8232D">
      <w:pPr>
        <w:pStyle w:val="Point2"/>
        <w:rPr>
          <w:noProof/>
        </w:rPr>
      </w:pPr>
      <w:r>
        <w:rPr>
          <w:noProof/>
        </w:rPr>
        <w:t>ii)</w:t>
      </w:r>
      <w:r>
        <w:rPr>
          <w:noProof/>
        </w:rPr>
        <w:tab/>
        <w:t>παρεμβάλλεται το ακόλουθο στοιχείο ββ):</w:t>
      </w:r>
    </w:p>
    <w:p w14:paraId="3A39E93A" w14:textId="77777777" w:rsidR="00680C0B" w:rsidRDefault="00A8232D">
      <w:pPr>
        <w:pStyle w:val="Text2"/>
        <w:rPr>
          <w:noProof/>
        </w:rPr>
      </w:pPr>
      <w:r>
        <w:rPr>
          <w:noProof/>
        </w:rPr>
        <w:t>«ββ) περιλα</w:t>
      </w:r>
      <w:r>
        <w:rPr>
          <w:noProof/>
        </w:rPr>
        <w:t>μβάνει περιγραφή του πεδίου της διασφάλισης της υποβολής εκθέσεων βιωσιμότητας, με αναφορά τουλάχιστον των προτύπων διασφάλισης βάσει των οποίων διενεργήθηκε η διασφάλιση της υποβολής εκθέσεων βιωσιμότητας·»·</w:t>
      </w:r>
    </w:p>
    <w:p w14:paraId="5AB53707" w14:textId="77777777" w:rsidR="00680C0B" w:rsidRDefault="00A8232D">
      <w:pPr>
        <w:pStyle w:val="Point1"/>
        <w:rPr>
          <w:noProof/>
        </w:rPr>
      </w:pPr>
      <w:r>
        <w:rPr>
          <w:noProof/>
        </w:rPr>
        <w:t>γ)</w:t>
      </w:r>
      <w:r>
        <w:rPr>
          <w:noProof/>
        </w:rPr>
        <w:tab/>
        <w:t>στην παράγραφο 2, το στοιχείο ε) αντικαθίστα</w:t>
      </w:r>
      <w:r>
        <w:rPr>
          <w:noProof/>
        </w:rPr>
        <w:t>ται από το ακόλουθο κείμενο:</w:t>
      </w:r>
    </w:p>
    <w:p w14:paraId="750CE307" w14:textId="77777777" w:rsidR="00680C0B" w:rsidRDefault="00A8232D">
      <w:pPr>
        <w:pStyle w:val="Text2"/>
        <w:rPr>
          <w:noProof/>
        </w:rPr>
      </w:pPr>
      <w:r>
        <w:rPr>
          <w:noProof/>
        </w:rPr>
        <w:t>περιλαμβάνουν τις γνώμες και τη δήλωση, που βασίζονται στο έργο το οποίο επιτελέστηκε κατά τη διάρκεια του ελέγχου, σύμφωνα με το άρθρο 34 παράγραφος 1 δεύτερο εδάφιο της οδηγίας 2013/34/ΕΕ, κατά περίπτωση·»·</w:t>
      </w:r>
    </w:p>
    <w:p w14:paraId="0A6E7B6F" w14:textId="77777777" w:rsidR="00680C0B" w:rsidRDefault="00A8232D">
      <w:pPr>
        <w:pStyle w:val="Point1"/>
        <w:rPr>
          <w:noProof/>
        </w:rPr>
      </w:pPr>
      <w:r>
        <w:rPr>
          <w:noProof/>
        </w:rPr>
        <w:t>δ)</w:t>
      </w:r>
      <w:r>
        <w:rPr>
          <w:noProof/>
        </w:rPr>
        <w:tab/>
        <w:t xml:space="preserve">στην </w:t>
      </w:r>
      <w:r>
        <w:rPr>
          <w:noProof/>
        </w:rPr>
        <w:t>παράγραφο 3, προστίθεται το ακόλουθο εδάφιο:</w:t>
      </w:r>
    </w:p>
    <w:p w14:paraId="4B81F66A" w14:textId="77777777" w:rsidR="00680C0B" w:rsidRDefault="00A8232D">
      <w:pPr>
        <w:pStyle w:val="Text2"/>
        <w:rPr>
          <w:noProof/>
        </w:rPr>
      </w:pPr>
      <w:r>
        <w:rPr>
          <w:noProof/>
        </w:rPr>
        <w:t>«Οι απαιτήσεις του πρώτου εδαφίου όσον αφορά τον υποχρεωτικό έλεγχο ισχύουν για τη διασφάλιση της υποβολής εκθέσεων βιωσιμότητας.»·</w:t>
      </w:r>
    </w:p>
    <w:p w14:paraId="53D716F9" w14:textId="77777777" w:rsidR="00680C0B" w:rsidRDefault="00A8232D">
      <w:pPr>
        <w:pStyle w:val="Point1"/>
        <w:rPr>
          <w:noProof/>
        </w:rPr>
      </w:pPr>
      <w:r>
        <w:rPr>
          <w:noProof/>
        </w:rPr>
        <w:t>ε)</w:t>
      </w:r>
      <w:r>
        <w:rPr>
          <w:noProof/>
        </w:rPr>
        <w:tab/>
        <w:t xml:space="preserve">στην παράγραφο 4 το πρώτο εδάφιο αντικαθίσταται από το ακόλουθο </w:t>
      </w:r>
      <w:r>
        <w:rPr>
          <w:noProof/>
        </w:rPr>
        <w:t>κείμενο:</w:t>
      </w:r>
    </w:p>
    <w:p w14:paraId="7D993FD2" w14:textId="77777777" w:rsidR="00680C0B" w:rsidRDefault="00A8232D">
      <w:pPr>
        <w:pStyle w:val="Text2"/>
        <w:rPr>
          <w:noProof/>
        </w:rPr>
      </w:pPr>
      <w:r>
        <w:rPr>
          <w:noProof/>
        </w:rPr>
        <w:t>«Η έκθεση ελέγχου φέρει ημερομηνία και την υπογραφή του νόμιμου ελεγκτή. Εάν ο υποχρεωτικός έλεγχος και, κατά περίπτωση, η διασφάλιση της υποβολής εκθέσεων βιωσιμότητας διενεργείται από ελεγκτικό γραφείο, η έκθεση ελέγχου φέρει την υπογραφή τουλάχ</w:t>
      </w:r>
      <w:r>
        <w:rPr>
          <w:noProof/>
        </w:rPr>
        <w:t>ιστον των νόμιμων ελεγκτών που διενεργούν τον υποχρεωτικό έλεγχο και τη διασφάλιση της υποβολής εκθέσεων βιωσιμότητας για λογαριασμό του ελεγκτικού γραφείου. Όταν περισσότεροι του ενός νόμιμοι ελεγκτές ή ελεγκτικά γραφεία έχουν προσληφθεί ταυτοχρόνως, η έκ</w:t>
      </w:r>
      <w:r>
        <w:rPr>
          <w:noProof/>
        </w:rPr>
        <w:t>θεση ελέγχου υπογράφεται από όλους τους νόμιμους ελεγκτές ή τουλάχιστον τους νόμιμους ελεγκτές που διενεργούν τον υποχρεωτικό έλεγχο και τη διασφάλιση της υποβολής εκθέσεων βιωσιμότητας εκ μέρους κάθε ελεγκτικού γραφείου. Σε εξαιρετικές περιστάσεις, τα κρά</w:t>
      </w:r>
      <w:r>
        <w:rPr>
          <w:noProof/>
        </w:rPr>
        <w:t>τη μέλη δύνανται να προβλέπουν ότι η υπογραφή ή οι υπογραφές αυτές δεν απαιτείται να γνωστοποιηθούν στο κοινό, εφόσον η γνωστοποίηση αυτή μπορεί να προκαλέσει άμεση και σημαντική απειλή για την προσωπική ασφάλεια οποιουδήποτε προσώπου.»·</w:t>
      </w:r>
    </w:p>
    <w:p w14:paraId="7B3254AB" w14:textId="77777777" w:rsidR="00680C0B" w:rsidRDefault="00A8232D">
      <w:pPr>
        <w:pStyle w:val="Point1"/>
        <w:rPr>
          <w:noProof/>
        </w:rPr>
      </w:pPr>
      <w:r>
        <w:rPr>
          <w:noProof/>
        </w:rPr>
        <w:t>στ)</w:t>
      </w:r>
      <w:r>
        <w:rPr>
          <w:noProof/>
        </w:rPr>
        <w:tab/>
        <w:t>η παράγραφος 5</w:t>
      </w:r>
      <w:r>
        <w:rPr>
          <w:noProof/>
        </w:rPr>
        <w:t xml:space="preserve"> αντικαθίσταται από το ακόλουθο κείμενο:</w:t>
      </w:r>
    </w:p>
    <w:p w14:paraId="54E72E37" w14:textId="77777777" w:rsidR="00680C0B" w:rsidRDefault="00A8232D">
      <w:pPr>
        <w:pStyle w:val="Text2"/>
        <w:rPr>
          <w:noProof/>
        </w:rPr>
      </w:pPr>
      <w:r>
        <w:rPr>
          <w:noProof/>
        </w:rPr>
        <w:t>«5. Η έκθεση των νόμιμων ελεγκτών ή του ελεγκτικού γραφείου για τις ενοποιημένες οικονομικές καταστάσεις και, κατά περίπτωση, για την ενοποιημένη υποβολή εκθέσεων βιωσιμότητας είναι σύμφωνη με τις απαιτήσεις των παρ</w:t>
      </w:r>
      <w:r>
        <w:rPr>
          <w:noProof/>
        </w:rPr>
        <w:t>αγράφων 1 έως 4. Κατά τη διατύπωση γνώμης σχετικά με την αντιστοιχία της έκθεσης διαχείρισης με τις οικονομικές καταστάσεις, σύμφωνα με την παράγραφο 2 στοιχείο ε), ο νόμιμος ελεγκτής ή το ελεγκτικό γραφείο εξετάζει τις ενοποιημένες οικονομικές καταστάσεις</w:t>
      </w:r>
      <w:r>
        <w:rPr>
          <w:noProof/>
        </w:rPr>
        <w:t xml:space="preserve"> και την ενοποιημένη έκθεση διαχείρισης. Σε περίπτωση που οι ετήσιες οικονομικές καταστάσεις της μητρικής επιχείρησης επισυνάπτονται στις ενοποιημένες οικονομικές καταστάσεις, οι εκθέσεις των νόμιμων ελεγκτών ή των ελεγκτικών γραφείων που απαιτούνται βάσει</w:t>
      </w:r>
      <w:r>
        <w:rPr>
          <w:noProof/>
        </w:rPr>
        <w:t xml:space="preserve"> του παρόντος άρθρου μπορούν να συνδυάζονται μεταξύ τους.»·</w:t>
      </w:r>
    </w:p>
    <w:p w14:paraId="43E4C4D4" w14:textId="77777777" w:rsidR="00680C0B" w:rsidRDefault="00A8232D">
      <w:pPr>
        <w:pStyle w:val="Point0"/>
        <w:rPr>
          <w:noProof/>
        </w:rPr>
      </w:pPr>
      <w:r>
        <w:rPr>
          <w:noProof/>
        </w:rPr>
        <w:t>15)</w:t>
      </w:r>
      <w:r>
        <w:rPr>
          <w:noProof/>
        </w:rPr>
        <w:tab/>
        <w:t>το άρθρο 29 τροποποιείται ως εξής:</w:t>
      </w:r>
    </w:p>
    <w:p w14:paraId="3A5FD27B" w14:textId="77777777" w:rsidR="00680C0B" w:rsidRDefault="00A8232D">
      <w:pPr>
        <w:pStyle w:val="Point1"/>
        <w:rPr>
          <w:noProof/>
        </w:rPr>
      </w:pPr>
      <w:r>
        <w:rPr>
          <w:noProof/>
        </w:rPr>
        <w:t>α)</w:t>
      </w:r>
      <w:r>
        <w:rPr>
          <w:noProof/>
        </w:rPr>
        <w:tab/>
        <w:t>στην παράγραφο 1, το στοιχείο δ) αντικαθίσταται από το ακόλουθο κείμενο:</w:t>
      </w:r>
    </w:p>
    <w:p w14:paraId="091A8DE1" w14:textId="77777777" w:rsidR="00680C0B" w:rsidRDefault="00A8232D">
      <w:pPr>
        <w:pStyle w:val="Text2"/>
        <w:rPr>
          <w:noProof/>
        </w:rPr>
      </w:pPr>
      <w:r>
        <w:rPr>
          <w:noProof/>
        </w:rPr>
        <w:t>«δ) τα πρόσωπα που είναι επιφορτισμένα με τους ελέγχους διασφάλισης ποιότητας πρέ</w:t>
      </w:r>
      <w:r>
        <w:rPr>
          <w:noProof/>
        </w:rPr>
        <w:t>πει να έχουν κατάλληλη επαγγελματική εκπαίδευση και πείρα στον τομέα του υποχρεωτικού ελέγχου και της χρηματοοικονομικής πληροφόρησης και στον τομέα της διασφάλισης της υποβολής εκθέσεων βιωσιμότητας και της υποβολής εκθέσεων βιωσιμότητας, καθώς και ειδική</w:t>
      </w:r>
      <w:r>
        <w:rPr>
          <w:noProof/>
        </w:rPr>
        <w:t xml:space="preserve"> κατάρτιση στον τομέα του ελέγχου διασφάλισης ποιότητας·»·</w:t>
      </w:r>
    </w:p>
    <w:p w14:paraId="5AC1B85E" w14:textId="77777777" w:rsidR="00680C0B" w:rsidRDefault="00A8232D">
      <w:pPr>
        <w:pStyle w:val="Point1"/>
        <w:rPr>
          <w:noProof/>
        </w:rPr>
      </w:pPr>
      <w:r>
        <w:rPr>
          <w:noProof/>
        </w:rPr>
        <w:t>β)</w:t>
      </w:r>
      <w:r>
        <w:rPr>
          <w:noProof/>
        </w:rPr>
        <w:tab/>
        <w:t>στην παράγραφο 1, το στοιχείο η) αντικαθίσταται από το ακόλουθο κείμενο:</w:t>
      </w:r>
    </w:p>
    <w:p w14:paraId="54CAE0DD" w14:textId="77777777" w:rsidR="00680C0B" w:rsidRDefault="00A8232D">
      <w:pPr>
        <w:pStyle w:val="Text2"/>
        <w:rPr>
          <w:noProof/>
        </w:rPr>
      </w:pPr>
      <w:r>
        <w:rPr>
          <w:noProof/>
        </w:rPr>
        <w:t>«η) οι επιθεωρήσεις διασφάλισης της ποιότητας λαμβάνουν χώρα βάσει ανάλυσης του κινδύνου και, στην περίπτωση νόμιμων ελεγ</w:t>
      </w:r>
      <w:r>
        <w:rPr>
          <w:noProof/>
        </w:rPr>
        <w:t>κτών και ελεγκτικών γραφείων που διενεργούν υποχρεωτικούς ελέγχους σύμφωνα με το άρθρο 2 σημείο 1) στοιχείο α) και, κατά περίπτωση, εκτελούν δεσμεύσεις παροχής διασφάλισης της υποβολής εκθέσεων βιωσιμότητας, τουλάχιστον ανά έξι έτη·»·</w:t>
      </w:r>
    </w:p>
    <w:p w14:paraId="06215BA6" w14:textId="77777777" w:rsidR="00680C0B" w:rsidRDefault="00A8232D">
      <w:pPr>
        <w:pStyle w:val="Point1"/>
        <w:rPr>
          <w:noProof/>
        </w:rPr>
      </w:pPr>
      <w:r>
        <w:rPr>
          <w:noProof/>
        </w:rPr>
        <w:t>γ)</w:t>
      </w:r>
      <w:r>
        <w:rPr>
          <w:noProof/>
        </w:rPr>
        <w:tab/>
        <w:t xml:space="preserve">στην παράγραφο 2, </w:t>
      </w:r>
      <w:r>
        <w:rPr>
          <w:noProof/>
        </w:rPr>
        <w:t>το στοιχείο α) αντικαθίσταται από το ακόλουθο κείμενο:</w:t>
      </w:r>
    </w:p>
    <w:p w14:paraId="48C5AF38" w14:textId="77777777" w:rsidR="00680C0B" w:rsidRDefault="00A8232D">
      <w:pPr>
        <w:pStyle w:val="Text2"/>
        <w:rPr>
          <w:noProof/>
        </w:rPr>
      </w:pPr>
      <w:r>
        <w:rPr>
          <w:noProof/>
        </w:rPr>
        <w:t>«α) οι επιθεωρητές διαθέτουν κατάλληλη επαγγελματική εκπαίδευση και σχετική πείρα στον υποχρεωτικό έλεγχο και τη χρηματοοικονομική πληροφόρηση, καθώς και στη διασφάλιση της υποβολής εκθέσεων βιωσιμότητ</w:t>
      </w:r>
      <w:r>
        <w:rPr>
          <w:noProof/>
        </w:rPr>
        <w:t>ας και στην υποβολή εκθέσεων βιωσιμότητας, σε συνδυασμό με ειδική εκπαίδευση σε επιθεωρήσεις διασφάλισης της ποιότητας·»·</w:t>
      </w:r>
    </w:p>
    <w:p w14:paraId="62DFCEDC" w14:textId="77777777" w:rsidR="00680C0B" w:rsidRDefault="00A8232D">
      <w:pPr>
        <w:pStyle w:val="Point0"/>
        <w:rPr>
          <w:noProof/>
        </w:rPr>
      </w:pPr>
      <w:r>
        <w:rPr>
          <w:noProof/>
        </w:rPr>
        <w:t>16)</w:t>
      </w:r>
      <w:r>
        <w:rPr>
          <w:noProof/>
        </w:rPr>
        <w:tab/>
        <w:t>παρεμβάλλεται το ακόλουθο άρθρο 30ζ:</w:t>
      </w:r>
    </w:p>
    <w:p w14:paraId="3F0FADC1" w14:textId="77777777" w:rsidR="00680C0B" w:rsidRDefault="00A8232D">
      <w:pPr>
        <w:pStyle w:val="NormalCentered"/>
        <w:rPr>
          <w:noProof/>
        </w:rPr>
      </w:pPr>
      <w:r>
        <w:rPr>
          <w:noProof/>
        </w:rPr>
        <w:t>«Άρθρο 30ζ</w:t>
      </w:r>
    </w:p>
    <w:p w14:paraId="5789AB2A" w14:textId="77777777" w:rsidR="00680C0B" w:rsidRDefault="00A8232D">
      <w:pPr>
        <w:pStyle w:val="NormalCentered"/>
        <w:rPr>
          <w:b/>
          <w:noProof/>
        </w:rPr>
      </w:pPr>
      <w:r>
        <w:rPr>
          <w:b/>
          <w:noProof/>
        </w:rPr>
        <w:t>Έρευνες και κυρώσεις όσον αφορά τη διασφάλιση της υποβολής εκθέσεων βιωσιμότητας</w:t>
      </w:r>
    </w:p>
    <w:p w14:paraId="5778533B" w14:textId="77777777" w:rsidR="00680C0B" w:rsidRDefault="00A8232D">
      <w:pPr>
        <w:pStyle w:val="Text1"/>
        <w:rPr>
          <w:noProof/>
        </w:rPr>
      </w:pPr>
      <w:r>
        <w:rPr>
          <w:noProof/>
        </w:rPr>
        <w:t>Ο</w:t>
      </w:r>
      <w:r>
        <w:rPr>
          <w:noProof/>
        </w:rPr>
        <w:t>ι απαιτήσεις των άρθρων 30 έως 30στ όσον αφορά τον υποχρεωτικό έλεγχο των οικονομικών καταστάσεων ισχύουν για τη διασφάλιση της υποβολής εκθέσεων βιωσιμότητας.»·</w:t>
      </w:r>
    </w:p>
    <w:p w14:paraId="3E1DEAA1" w14:textId="77777777" w:rsidR="00680C0B" w:rsidRDefault="00A8232D">
      <w:pPr>
        <w:pStyle w:val="Point0"/>
        <w:rPr>
          <w:noProof/>
        </w:rPr>
      </w:pPr>
      <w:r>
        <w:rPr>
          <w:noProof/>
        </w:rPr>
        <w:t>17)</w:t>
      </w:r>
      <w:r>
        <w:rPr>
          <w:noProof/>
        </w:rPr>
        <w:tab/>
        <w:t>παρεμβάλλεται το ακόλουθο άρθρο 36α:</w:t>
      </w:r>
    </w:p>
    <w:p w14:paraId="1CBF076B" w14:textId="77777777" w:rsidR="00680C0B" w:rsidRDefault="00A8232D">
      <w:pPr>
        <w:pStyle w:val="NormalCentered"/>
        <w:rPr>
          <w:noProof/>
        </w:rPr>
      </w:pPr>
      <w:r>
        <w:rPr>
          <w:noProof/>
        </w:rPr>
        <w:t>«Άρθρο 36α</w:t>
      </w:r>
    </w:p>
    <w:p w14:paraId="678C610C" w14:textId="77777777" w:rsidR="00680C0B" w:rsidRDefault="00A8232D">
      <w:pPr>
        <w:pStyle w:val="NormalCentered"/>
        <w:rPr>
          <w:b/>
          <w:noProof/>
        </w:rPr>
      </w:pPr>
      <w:r>
        <w:rPr>
          <w:b/>
          <w:noProof/>
        </w:rPr>
        <w:t>Δημόσια εποπτεία και ρυθμιστικές συμφωνίες</w:t>
      </w:r>
      <w:r>
        <w:rPr>
          <w:b/>
          <w:noProof/>
        </w:rPr>
        <w:t xml:space="preserve"> μεταξύ των κρατών μελών όσον αφορά τη </w:t>
      </w:r>
      <w:r>
        <w:rPr>
          <w:b/>
          <w:noProof/>
          <w:szCs w:val="24"/>
        </w:rPr>
        <w:t>διασφάλιση</w:t>
      </w:r>
      <w:r>
        <w:rPr>
          <w:b/>
          <w:noProof/>
        </w:rPr>
        <w:t xml:space="preserve"> της υποβολής εκθέσεων βιωσιμότητας</w:t>
      </w:r>
    </w:p>
    <w:p w14:paraId="0F73E6A6" w14:textId="77777777" w:rsidR="00680C0B" w:rsidRDefault="00A8232D">
      <w:pPr>
        <w:pStyle w:val="Text1"/>
        <w:rPr>
          <w:noProof/>
        </w:rPr>
      </w:pPr>
      <w:r>
        <w:rPr>
          <w:noProof/>
        </w:rPr>
        <w:t xml:space="preserve">Οι απαιτήσεις των άρθρων 32, 33, 34 και 36 όσον αφορά τον υποχρεωτικό έλεγχο των οικονομικών καταστάσεων ισχύουν, τηρουμένων των αναλογιών, για τη διασφάλιση της υποβολής </w:t>
      </w:r>
      <w:r>
        <w:rPr>
          <w:noProof/>
        </w:rPr>
        <w:t>εκθέσεων βιωσιμότητας.»·</w:t>
      </w:r>
    </w:p>
    <w:p w14:paraId="6C64273F" w14:textId="77777777" w:rsidR="00680C0B" w:rsidRDefault="00A8232D">
      <w:pPr>
        <w:pStyle w:val="Point0"/>
        <w:rPr>
          <w:noProof/>
        </w:rPr>
      </w:pPr>
      <w:r>
        <w:rPr>
          <w:noProof/>
        </w:rPr>
        <w:t>18)</w:t>
      </w:r>
      <w:r>
        <w:rPr>
          <w:noProof/>
        </w:rPr>
        <w:tab/>
        <w:t>παρεμβάλλεται το ακόλουθο άρθρο 38α:</w:t>
      </w:r>
    </w:p>
    <w:p w14:paraId="59429DE3" w14:textId="77777777" w:rsidR="00680C0B" w:rsidRDefault="00A8232D">
      <w:pPr>
        <w:pStyle w:val="NormalCentered"/>
        <w:rPr>
          <w:noProof/>
        </w:rPr>
      </w:pPr>
      <w:r>
        <w:rPr>
          <w:noProof/>
        </w:rPr>
        <w:t>«Άρθρο 38α</w:t>
      </w:r>
    </w:p>
    <w:p w14:paraId="6BAFECFF" w14:textId="77777777" w:rsidR="00680C0B" w:rsidRDefault="00A8232D">
      <w:pPr>
        <w:pStyle w:val="NormalCentered"/>
        <w:rPr>
          <w:b/>
          <w:noProof/>
        </w:rPr>
      </w:pPr>
      <w:r>
        <w:rPr>
          <w:b/>
          <w:noProof/>
        </w:rPr>
        <w:t>Διορισμός και παύση όσον αφορά τη διασφάλιση της υποβολής εκθέσεων βιωσιμότητας</w:t>
      </w:r>
    </w:p>
    <w:p w14:paraId="5723E32E" w14:textId="77777777" w:rsidR="00680C0B" w:rsidRDefault="00A8232D">
      <w:pPr>
        <w:pStyle w:val="Text1"/>
        <w:rPr>
          <w:noProof/>
        </w:rPr>
      </w:pPr>
      <w:r>
        <w:rPr>
          <w:noProof/>
        </w:rPr>
        <w:t>Οι απαιτήσεις των άρθρων 37 και 38 όσον αφορά τον υποχρεωτικό έλεγχο των οικονομικών καταστάσεων ισ</w:t>
      </w:r>
      <w:r>
        <w:rPr>
          <w:noProof/>
        </w:rPr>
        <w:t>χύουν για τη διασφάλιση της υποβολής εκθέσεων βιωσιμότητας.»·</w:t>
      </w:r>
    </w:p>
    <w:p w14:paraId="16CF2EF6" w14:textId="77777777" w:rsidR="00680C0B" w:rsidRDefault="00A8232D">
      <w:pPr>
        <w:pStyle w:val="Point0"/>
        <w:rPr>
          <w:noProof/>
        </w:rPr>
      </w:pPr>
      <w:r>
        <w:rPr>
          <w:noProof/>
        </w:rPr>
        <w:t>19)</w:t>
      </w:r>
      <w:r>
        <w:rPr>
          <w:noProof/>
        </w:rPr>
        <w:tab/>
        <w:t>στο άρθρο 39 παράγραφος 6, τα στοιχεία α) έως ε) αντικαθίστανται από το ακόλουθο κείμενο:</w:t>
      </w:r>
    </w:p>
    <w:p w14:paraId="25493F47" w14:textId="77777777" w:rsidR="00680C0B" w:rsidRDefault="00A8232D">
      <w:pPr>
        <w:pStyle w:val="Text1"/>
        <w:rPr>
          <w:noProof/>
        </w:rPr>
      </w:pPr>
      <w:r>
        <w:rPr>
          <w:noProof/>
        </w:rPr>
        <w:t>«α) ενημερώνει το διοικητικό ή το εποπτικό όργανο της ελεγχόμενης οντότητας για το αποτέλεσμα του υπ</w:t>
      </w:r>
      <w:r>
        <w:rPr>
          <w:noProof/>
        </w:rPr>
        <w:t>οχρεωτικού ελέγχου και για το αποτέλεσμα της διασφάλισης της υποβολής εκθέσεων βιωσιμότητας και επεξηγεί πώς συνέβαλε ο υποχρεωτικός έλεγχος και η διασφάλιση της υποβολής εκθέσεων βιωσιμότητας στην ακεραιότητα της χρηματοοικονομικής πληροφόρησης και της υπ</w:t>
      </w:r>
      <w:r>
        <w:rPr>
          <w:noProof/>
        </w:rPr>
        <w:t>οβολής εκθέσεων βιωσιμότητας, καθώς και ποιος ήταν ο ρόλος της επιτροπής ελέγχου στην εν λόγω διαδικασία·</w:t>
      </w:r>
    </w:p>
    <w:p w14:paraId="060D4B35" w14:textId="77777777" w:rsidR="00680C0B" w:rsidRDefault="00A8232D">
      <w:pPr>
        <w:pStyle w:val="Text1"/>
        <w:rPr>
          <w:noProof/>
        </w:rPr>
      </w:pPr>
      <w:r>
        <w:rPr>
          <w:noProof/>
        </w:rPr>
        <w:t>β) παρακολουθεί τη διαδικασία χρηματοοικονομικής πληροφόρησης και υποβολής εκθέσεων βιωσιμότητας, συμπεριλαμβανομένης της διαδικασίας ψηφιακής υποβολή</w:t>
      </w:r>
      <w:r>
        <w:rPr>
          <w:noProof/>
        </w:rPr>
        <w:t>ς εκθέσεων που αναφέρεται στο άρθρο 19δ και της διαδικασίας που διενεργεί η επιχείρηση για τον προσδιορισμό των πληροφοριών που υποβάλλονται σύμφωνα με τα πρότυπα που έχουν εγκριθεί δυνάμει του άρθρου 19β της οδηγίας 2013/34/ΕΕ, και υποβάλλει συστάσεις ή π</w:t>
      </w:r>
      <w:r>
        <w:rPr>
          <w:noProof/>
        </w:rPr>
        <w:t>ροτάσεις για την εξασφάλιση της ακεραιότητάς της·</w:t>
      </w:r>
    </w:p>
    <w:p w14:paraId="470ADD83" w14:textId="77777777" w:rsidR="00680C0B" w:rsidRDefault="00A8232D">
      <w:pPr>
        <w:pStyle w:val="Text1"/>
        <w:rPr>
          <w:noProof/>
        </w:rPr>
      </w:pPr>
      <w:r>
        <w:rPr>
          <w:noProof/>
        </w:rPr>
        <w:t xml:space="preserve">γ) παρακολουθεί την αποτελεσματικότητα των συστημάτων εσωτερικού ελέγχου διασφάλισης της ποιότητας και διαχείρισης κινδύνων της επιχείρησης και, κατά περίπτωση, του τμήματος εσωτερικού ελέγχου της, όσον </w:t>
      </w:r>
      <w:r>
        <w:rPr>
          <w:noProof/>
        </w:rPr>
        <w:t>αφορά τη χρηματοοικονομική πληροφόρηση και την υποβολή εκθέσεων βιωσιμότητας της ελεγχόμενης οντότητας, συμπεριλαμβανομένης της οικείας ψηφιακής υποβολής εκθέσεων που αναφέρεται στο άρθρο 19δ, χωρίς να παραβιάζει την ανεξαρτησία της οντότητας αυτής·</w:t>
      </w:r>
    </w:p>
    <w:p w14:paraId="06E0B958" w14:textId="77777777" w:rsidR="00680C0B" w:rsidRDefault="00A8232D">
      <w:pPr>
        <w:pStyle w:val="Text1"/>
        <w:rPr>
          <w:noProof/>
        </w:rPr>
      </w:pPr>
      <w:r>
        <w:rPr>
          <w:noProof/>
        </w:rPr>
        <w:t>δ) παρ</w:t>
      </w:r>
      <w:r>
        <w:rPr>
          <w:noProof/>
        </w:rPr>
        <w:t>ακολουθεί τον υποχρεωτικό έλεγχο των ετήσιων και των ενοποιημένων οικονομικών καταστάσεων και της διασφάλισης της ετήσιας και της ενοποιημένης υποβολής εκθέσεων βιωσιμότητας, και ιδίως την απόδοσή της, λαμβάνοντας υπόψη οποιαδήποτε πορίσματα και συμπεράσμα</w:t>
      </w:r>
      <w:r>
        <w:rPr>
          <w:noProof/>
        </w:rPr>
        <w:t>τα της αρμόδιας αρχής σύμφωνα με το άρθρο 26 παράγραφος 6 του κανονισμού (ΕΕ) αριθ. 537/2014·</w:t>
      </w:r>
    </w:p>
    <w:p w14:paraId="763314C5" w14:textId="77777777" w:rsidR="00680C0B" w:rsidRDefault="00A8232D">
      <w:pPr>
        <w:pStyle w:val="Text1"/>
        <w:rPr>
          <w:noProof/>
        </w:rPr>
      </w:pPr>
      <w:r>
        <w:rPr>
          <w:noProof/>
        </w:rPr>
        <w:t>ε) ανασκοπεί και παρακολουθεί την ανεξαρτησία των νόμιμων ελεγκτών ή των ελεγκτικών γραφείων σύμφωνα με τα άρθρα 22, 22α, 22β, 24α, 24β και 25β της παρούσας οδηγί</w:t>
      </w:r>
      <w:r>
        <w:rPr>
          <w:noProof/>
        </w:rPr>
        <w:t>ας, καθώς και σύμφωνα με το άρθρο 6 του κανονισμού (ΕΕ) αριθ. 537/2014, και ιδίως την καταλληλότητα της παροχής συμπληρωματικών μη ελεγκτικών υπηρεσιών στην ελεγχόμενη οντότητα σύμφωνα με το άρθρο 5 του εν λόγω κανονισμού·»·</w:t>
      </w:r>
    </w:p>
    <w:p w14:paraId="20B0C56D" w14:textId="77777777" w:rsidR="00680C0B" w:rsidRDefault="00A8232D">
      <w:pPr>
        <w:pStyle w:val="Point0"/>
        <w:rPr>
          <w:noProof/>
        </w:rPr>
      </w:pPr>
      <w:r>
        <w:rPr>
          <w:noProof/>
        </w:rPr>
        <w:t>20)</w:t>
      </w:r>
      <w:r>
        <w:rPr>
          <w:noProof/>
        </w:rPr>
        <w:tab/>
        <w:t>το άρθρο 45 τροποποιείται ω</w:t>
      </w:r>
      <w:r>
        <w:rPr>
          <w:noProof/>
        </w:rPr>
        <w:t>ς εξής:</w:t>
      </w:r>
    </w:p>
    <w:p w14:paraId="3892A3D1" w14:textId="77777777" w:rsidR="00680C0B" w:rsidRDefault="00A8232D">
      <w:pPr>
        <w:pStyle w:val="Point1"/>
        <w:rPr>
          <w:noProof/>
        </w:rPr>
      </w:pPr>
      <w:r>
        <w:rPr>
          <w:noProof/>
        </w:rPr>
        <w:t>α)</w:t>
      </w:r>
      <w:r>
        <w:rPr>
          <w:noProof/>
        </w:rPr>
        <w:tab/>
        <w:t>η παράγραφος 1 αντικαθίσταται από το ακόλουθο κείμενο:</w:t>
      </w:r>
    </w:p>
    <w:p w14:paraId="6CA34BC2" w14:textId="77777777" w:rsidR="00680C0B" w:rsidRDefault="00A8232D">
      <w:pPr>
        <w:pStyle w:val="Text2"/>
        <w:rPr>
          <w:noProof/>
        </w:rPr>
      </w:pPr>
      <w:r>
        <w:rPr>
          <w:noProof/>
        </w:rPr>
        <w:t>«1. Οι αρμόδιες αρχές ενός κράτους μέλους εγγράφουν, σύμφωνα με τα άρθρα 15, 16 και 17, στο μητρώο τους κάθε ελεγκτή και ελεγκτική οντότητα τρίτης χώρας, εφόσον ο εν λόγω ελεγκτής ή η ελεγκτ</w:t>
      </w:r>
      <w:r>
        <w:rPr>
          <w:noProof/>
        </w:rPr>
        <w:t xml:space="preserve">ική οντότητα τρίτης χώρας προσκομίζει ελεγκτική έκθεση αναφορικά με ετήσιες ή ενοποιημένες οικονομικές καταστάσεις </w:t>
      </w:r>
      <w:r>
        <w:rPr>
          <w:noProof/>
          <w:color w:val="000000"/>
          <w:szCs w:val="24"/>
        </w:rPr>
        <w:t>και, κατά περίπτωση, αναφορικά με την ετήσια ή την ενοποιημένη υποβολή εκθέσεων βιωσιμότητας</w:t>
      </w:r>
      <w:r>
        <w:rPr>
          <w:noProof/>
        </w:rPr>
        <w:t xml:space="preserve"> επιχείρησης η οποία έχει συσταθεί εκτός της Ένωσ</w:t>
      </w:r>
      <w:r>
        <w:rPr>
          <w:noProof/>
        </w:rPr>
        <w:t xml:space="preserve">ης και της οποίας οι μεταβιβάσιμοι τίτλοι είναι εισηγμένοι προς διαπραγμάτευση σε οργανωμένη αγορά του εν λόγω κράτους μέλους, κατά την έννοια του άρθρου 4 παράγραφος 1 σημείο 14 της οδηγίας 2004/39/ΕΚ, εκτός εάν η εν λόγω επιχείρηση εκδίδει αποκλειστικώς </w:t>
      </w:r>
      <w:r>
        <w:rPr>
          <w:noProof/>
        </w:rPr>
        <w:t xml:space="preserve">τίτλους που δεν έχουν εξοφληθεί και για τους οποίους ισχύει ένα από τα ακόλουθα: </w:t>
      </w:r>
    </w:p>
    <w:p w14:paraId="4F9E5294" w14:textId="77777777" w:rsidR="00680C0B" w:rsidRDefault="00A8232D">
      <w:pPr>
        <w:pStyle w:val="Text3"/>
        <w:rPr>
          <w:noProof/>
        </w:rPr>
      </w:pPr>
      <w:r>
        <w:rPr>
          <w:noProof/>
        </w:rPr>
        <w:t>α)</w:t>
      </w:r>
      <w:r>
        <w:rPr>
          <w:noProof/>
        </w:rPr>
        <w:tab/>
        <w:t>οι εν λόγω τίτλοι είναι εισηγμένοι προς διαπραγμάτευση σε οργανωμένη αγορά κράτους μέλους, κατά την έννοια του άρθρου 2 παράγραφος 1 στοιχείο γ) της οδηγίας 2004/109/ΕΚ το</w:t>
      </w:r>
      <w:r>
        <w:rPr>
          <w:noProof/>
        </w:rPr>
        <w:t>υ Ευρωπαϊκού Κοινοβουλίου και του Συμβουλίου*</w:t>
      </w:r>
      <w:r>
        <w:rPr>
          <w:noProof/>
          <w:vertAlign w:val="superscript"/>
        </w:rPr>
        <w:t>19</w:t>
      </w:r>
      <w:r>
        <w:rPr>
          <w:noProof/>
        </w:rPr>
        <w:t xml:space="preserve"> πριν από τις 31 Δεκεμβρίου 2010 και η ανά μονάδα ονομαστική αξία τους είναι, κατά την ημερομηνία της έκδοσης, τουλάχιστον 50 000 EUR ή, στην περίπτωση χρεωστικών τίτλων σε άλλο νόμισμα, ισοδύναμη, κατά την ημ</w:t>
      </w:r>
      <w:r>
        <w:rPr>
          <w:noProof/>
        </w:rPr>
        <w:t xml:space="preserve">ερομηνία της έκδοσης, τουλάχιστον με 50 000 EUR· </w:t>
      </w:r>
    </w:p>
    <w:p w14:paraId="07D2D069" w14:textId="77777777" w:rsidR="00680C0B" w:rsidRDefault="00A8232D">
      <w:pPr>
        <w:pStyle w:val="Text3"/>
        <w:rPr>
          <w:noProof/>
        </w:rPr>
      </w:pPr>
      <w:r>
        <w:rPr>
          <w:noProof/>
        </w:rPr>
        <w:t>β)</w:t>
      </w:r>
      <w:r>
        <w:rPr>
          <w:noProof/>
        </w:rPr>
        <w:tab/>
        <w:t>οι εν λόγω τίτλοι είναι εισηγμένοι προς διαπραγμάτευση σε οργανωμένη αγορά κράτους μέλους κατά την έννοια του άρθρου 2 παράγραφος 1 στοιχείο γ) της οδηγίας 2004/109/ΕΚ από τις 31 Δεκεμβρίου 2010 και η αν</w:t>
      </w:r>
      <w:r>
        <w:rPr>
          <w:noProof/>
        </w:rPr>
        <w:t>ά μονάδα ονομαστική αξία τους είναι, κατά την ημερομηνία της έκδοσης, τουλάχιστον 100 000 EUR ή, στην περίπτωση χρεωστικών τίτλων σε άλλο νόμισμα, ισοδύναμη, κατά την ημερομηνία της έκδοσης, τουλάχιστον με 100 000 EUR.»·</w:t>
      </w:r>
    </w:p>
    <w:p w14:paraId="3D91FB0D" w14:textId="77777777" w:rsidR="00680C0B" w:rsidRDefault="00A8232D">
      <w:pPr>
        <w:pStyle w:val="Point1"/>
        <w:rPr>
          <w:noProof/>
        </w:rPr>
      </w:pPr>
      <w:r>
        <w:rPr>
          <w:noProof/>
        </w:rPr>
        <w:t>β)</w:t>
      </w:r>
      <w:r>
        <w:rPr>
          <w:noProof/>
        </w:rPr>
        <w:tab/>
        <w:t>στην παράγραφο 5 παρεμβάλλεται τ</w:t>
      </w:r>
      <w:r>
        <w:rPr>
          <w:noProof/>
        </w:rPr>
        <w:t>ο ακόλουθο στοιχείο δδ):</w:t>
      </w:r>
    </w:p>
    <w:p w14:paraId="2458F053" w14:textId="77777777" w:rsidR="00680C0B" w:rsidRDefault="00A8232D">
      <w:pPr>
        <w:pStyle w:val="Text2"/>
        <w:rPr>
          <w:noProof/>
        </w:rPr>
      </w:pPr>
      <w:r>
        <w:rPr>
          <w:noProof/>
        </w:rPr>
        <w:t>«δδ)</w:t>
      </w:r>
      <w:r>
        <w:rPr>
          <w:noProof/>
        </w:rPr>
        <w:tab/>
        <w:t>Η διασφάλιση της ετήσιας ή της ενοποιημένης υποβολής εκθέσεων βιωσιμότητας της παραγράφου 1 διενεργείται σύμφωνα με τα πρότυπα διασφάλισης που αναφέρονται στο άρθρο 26α, καθώς και σύμφωνα με τις απαιτήσεις που προβλέπονται στα</w:t>
      </w:r>
      <w:r>
        <w:rPr>
          <w:noProof/>
        </w:rPr>
        <w:t xml:space="preserve"> άρθρα 22, 22β, 25 και 25β·»·</w:t>
      </w:r>
    </w:p>
    <w:p w14:paraId="03086863" w14:textId="77777777" w:rsidR="00680C0B" w:rsidRDefault="00A8232D">
      <w:pPr>
        <w:pStyle w:val="Point1"/>
        <w:rPr>
          <w:noProof/>
        </w:rPr>
      </w:pPr>
      <w:r>
        <w:rPr>
          <w:noProof/>
        </w:rPr>
        <w:t>γ)</w:t>
      </w:r>
      <w:r>
        <w:rPr>
          <w:noProof/>
        </w:rPr>
        <w:tab/>
        <w:t>η παράγραφος 5α αντικαθίσταται από το ακόλουθο κείμενο:</w:t>
      </w:r>
    </w:p>
    <w:p w14:paraId="74995555" w14:textId="77777777" w:rsidR="00680C0B" w:rsidRDefault="00A8232D">
      <w:pPr>
        <w:pStyle w:val="Text2"/>
        <w:rPr>
          <w:noProof/>
        </w:rPr>
      </w:pPr>
      <w:r>
        <w:rPr>
          <w:noProof/>
        </w:rPr>
        <w:t>«5α.</w:t>
      </w:r>
      <w:r>
        <w:rPr>
          <w:noProof/>
        </w:rPr>
        <w:tab/>
        <w:t>Ένα κράτος μέλος δύναται να εγγράψει στο μητρώο του ελεγκτή τρίτης χώρας μόνο εάν αυτός πληροί τις απαιτήσεις που προβλέπονται στο άρθρο 5 στοιχεία γ), δ), δδ) κα</w:t>
      </w:r>
      <w:r>
        <w:rPr>
          <w:noProof/>
        </w:rPr>
        <w:t>ι ε) της παραγράφου 5.</w:t>
      </w:r>
    </w:p>
    <w:p w14:paraId="396BA700" w14:textId="77777777" w:rsidR="00680C0B" w:rsidRDefault="00A8232D">
      <w:pPr>
        <w:pStyle w:val="Text2"/>
        <w:rPr>
          <w:noProof/>
        </w:rPr>
      </w:pPr>
      <w:r>
        <w:rPr>
          <w:noProof/>
        </w:rPr>
        <w:t>_______________________________________________________________</w:t>
      </w:r>
    </w:p>
    <w:p w14:paraId="71F284FC" w14:textId="77777777" w:rsidR="00680C0B" w:rsidRDefault="00A8232D">
      <w:pPr>
        <w:pStyle w:val="FootnoteText"/>
        <w:rPr>
          <w:noProof/>
        </w:rPr>
      </w:pPr>
      <w:r>
        <w:rPr>
          <w:noProof/>
        </w:rPr>
        <w:t>*</w:t>
      </w:r>
      <w:r>
        <w:rPr>
          <w:noProof/>
          <w:vertAlign w:val="superscript"/>
        </w:rPr>
        <w:t>19</w:t>
      </w:r>
      <w:r>
        <w:rPr>
          <w:noProof/>
        </w:rPr>
        <w:tab/>
        <w:t xml:space="preserve">Οδηγία 2004/109/ΕΚ του Ευρωπαϊκού Κοινοβουλίου και του Συμβουλίου, της 15ης Δεκεμβρίου 2004, για την εναρμόνιση των προϋποθέσεων διαφάνειας αναφορικά με την </w:t>
      </w:r>
      <w:r>
        <w:rPr>
          <w:noProof/>
        </w:rPr>
        <w:t>πληροφόρηση σχετικά με εκδότες των οποίων οι κινητές αξίες έχουν εισαχθεί προς διαπραγμάτευση σε ρυθμιζόμενη αγορά και για την τροποποίηση της οδηγίας 2001/34/ΕK (ΕΕ L 390 της 31.12.2004, σ. 38).»·</w:t>
      </w:r>
    </w:p>
    <w:p w14:paraId="7FE4BD84" w14:textId="77777777" w:rsidR="00680C0B" w:rsidRDefault="00A8232D">
      <w:pPr>
        <w:pStyle w:val="Point0"/>
        <w:rPr>
          <w:noProof/>
        </w:rPr>
      </w:pPr>
      <w:r>
        <w:rPr>
          <w:noProof/>
        </w:rPr>
        <w:t>21)</w:t>
      </w:r>
      <w:r>
        <w:rPr>
          <w:noProof/>
        </w:rPr>
        <w:tab/>
        <w:t>το άρθρο 48α τροποποιείται ως εξής:</w:t>
      </w:r>
    </w:p>
    <w:p w14:paraId="05476878" w14:textId="77777777" w:rsidR="00680C0B" w:rsidRDefault="00A8232D">
      <w:pPr>
        <w:pStyle w:val="Point1"/>
        <w:rPr>
          <w:noProof/>
          <w:sz w:val="28"/>
        </w:rPr>
      </w:pPr>
      <w:r>
        <w:rPr>
          <w:noProof/>
        </w:rPr>
        <w:t>α)</w:t>
      </w:r>
      <w:r>
        <w:rPr>
          <w:noProof/>
        </w:rPr>
        <w:tab/>
        <w:t>στην παράγραφο </w:t>
      </w:r>
      <w:r>
        <w:rPr>
          <w:noProof/>
        </w:rPr>
        <w:t>2 προστίθεται το ακόλουθο εδάφιο:</w:t>
      </w:r>
    </w:p>
    <w:p w14:paraId="1F7F6C48" w14:textId="77777777" w:rsidR="00680C0B" w:rsidRDefault="00A8232D">
      <w:pPr>
        <w:pStyle w:val="Text2"/>
        <w:rPr>
          <w:rFonts w:eastAsia="Times New Roman"/>
          <w:noProof/>
        </w:rPr>
      </w:pPr>
      <w:r>
        <w:rPr>
          <w:noProof/>
        </w:rPr>
        <w:t>«Η εξουσία έκδοσης των κατ’ εξουσιοδότηση πράξεων του άρθρου 26α παράγραφος 2 ανατίθεται στην Επιτροπή επ’ αόριστον.»·</w:t>
      </w:r>
    </w:p>
    <w:p w14:paraId="7669D1D5" w14:textId="77777777" w:rsidR="00680C0B" w:rsidRDefault="00A8232D">
      <w:pPr>
        <w:pStyle w:val="Point1"/>
        <w:rPr>
          <w:noProof/>
        </w:rPr>
      </w:pPr>
      <w:r>
        <w:rPr>
          <w:noProof/>
        </w:rPr>
        <w:t>β)</w:t>
      </w:r>
      <w:r>
        <w:rPr>
          <w:noProof/>
        </w:rPr>
        <w:tab/>
        <w:t>η παράγραφος 3 αντικαθίσταται από το ακόλουθο κείμενο:</w:t>
      </w:r>
    </w:p>
    <w:p w14:paraId="54A3C3C0" w14:textId="77777777" w:rsidR="00680C0B" w:rsidRDefault="00A8232D">
      <w:pPr>
        <w:pStyle w:val="Text2"/>
        <w:rPr>
          <w:noProof/>
        </w:rPr>
      </w:pPr>
      <w:r>
        <w:rPr>
          <w:noProof/>
        </w:rPr>
        <w:t>«3. Η εξουσιοδότηση που προβλέπεται στο άρθρο</w:t>
      </w:r>
      <w:r>
        <w:rPr>
          <w:noProof/>
        </w:rPr>
        <w:t> 26 παράγραφος 3, στο άρθρο 26α παράγραφος 2, στο άρθρο 45 παράγραφος 6, στο άρθρο 46 παράγραφος 2 και στο άρθρο 47 παράγραφος 3 είναι δυνατόν να ανακληθεί οποιαδήποτε χρονική στιγμή από το Ευρωπαϊκό Κοινοβούλιο ή από το Συμβούλιο. Η απόφαση ανάκλησης περα</w:t>
      </w:r>
      <w:r>
        <w:rPr>
          <w:noProof/>
        </w:rPr>
        <w:t xml:space="preserve">τώνει την εξουσιοδότηση που προσδιορίζεται στην εν λόγω απόφαση. Αρχίζει να ισχύει την επομένη της ημέρας δημοσίευσης της απόφασης στην </w:t>
      </w:r>
      <w:r>
        <w:rPr>
          <w:i/>
          <w:noProof/>
        </w:rPr>
        <w:t>Επίσημη Εφημερίδα της Ευρωπαϊκής Ένωσης</w:t>
      </w:r>
      <w:r>
        <w:rPr>
          <w:noProof/>
        </w:rPr>
        <w:t xml:space="preserve"> ή σε μεταγενέστερη ημερομηνία που ορίζεται σε αυτήν. Δεν επηρεάζει την εγκυρότητ</w:t>
      </w:r>
      <w:r>
        <w:rPr>
          <w:noProof/>
        </w:rPr>
        <w:t>α οποιωνδήποτε κατ’ εξουσιοδότηση πράξεων που βρίσκονται ήδη σε ισχύ.»·</w:t>
      </w:r>
    </w:p>
    <w:p w14:paraId="299981D4" w14:textId="77777777" w:rsidR="00680C0B" w:rsidRDefault="00A8232D">
      <w:pPr>
        <w:pStyle w:val="Point1"/>
        <w:rPr>
          <w:noProof/>
        </w:rPr>
      </w:pPr>
      <w:r>
        <w:rPr>
          <w:noProof/>
        </w:rPr>
        <w:t>γ)</w:t>
      </w:r>
      <w:r>
        <w:rPr>
          <w:noProof/>
        </w:rPr>
        <w:tab/>
        <w:t>η παράγραφος 5 αντικαθίσταται από το ακόλουθο κείμενο:</w:t>
      </w:r>
    </w:p>
    <w:p w14:paraId="01167D22" w14:textId="77777777" w:rsidR="00680C0B" w:rsidRDefault="00A8232D">
      <w:pPr>
        <w:pStyle w:val="Text2"/>
        <w:rPr>
          <w:noProof/>
        </w:rPr>
      </w:pPr>
      <w:r>
        <w:rPr>
          <w:noProof/>
        </w:rPr>
        <w:t>«5. Οι κατ’ εξουσιοδότηση πράξεις που εκδίδονται σύμφωνα με το άρθρο 26 παράγραφος 3, το άρθρο 26α παράγραφος 2, το άρθρο 45 π</w:t>
      </w:r>
      <w:r>
        <w:rPr>
          <w:noProof/>
        </w:rPr>
        <w:t xml:space="preserve">αράγραφος 6, το άρθρο 46 παράγραφος 2 και το άρθρο 47 παράγραφος 3 τίθενται σε ισχύ μόνο εφόσον δεν προβληθεί καμία ένσταση είτε από το Ευρωπαϊκό Κοινοβούλιο είτε από το Συμβούλιο, εντός προθεσμίας τεσσάρων μηνών από την κοινοποίηση της εν λόγω πράξης στο </w:t>
      </w:r>
      <w:r>
        <w:rPr>
          <w:noProof/>
        </w:rPr>
        <w:t>Ευρωπαϊκό Κοινοβούλιο και το Συμβούλιο ή εάν, πριν από τη λήξη της περιόδου αυτής, το Ευρωπαϊκό Κοινοβούλιο και το Συμβούλιο ενημερώσουν αμφότερα την Επιτροπή ότι δεν πρόκειται να προβάλουν ενστάσεις. Η περίοδος αυτή παρατείνεται κατά δύο μήνες με πρωτοβου</w:t>
      </w:r>
      <w:r>
        <w:rPr>
          <w:noProof/>
        </w:rPr>
        <w:t xml:space="preserve">λία του Ευρωπαϊκού Κοινοβουλίου ή του Συμβουλίου.». </w:t>
      </w:r>
    </w:p>
    <w:p w14:paraId="56CB3008" w14:textId="77777777" w:rsidR="00680C0B" w:rsidRDefault="00A8232D">
      <w:pPr>
        <w:pStyle w:val="Titrearticle"/>
        <w:rPr>
          <w:bCs/>
          <w:noProof/>
          <w:szCs w:val="24"/>
        </w:rPr>
      </w:pPr>
      <w:r>
        <w:rPr>
          <w:noProof/>
        </w:rPr>
        <w:t xml:space="preserve">Άρθρο 4 </w:t>
      </w:r>
      <w:r>
        <w:rPr>
          <w:noProof/>
        </w:rPr>
        <w:br/>
      </w:r>
      <w:r>
        <w:rPr>
          <w:b/>
          <w:bCs/>
          <w:noProof/>
          <w:szCs w:val="24"/>
        </w:rPr>
        <w:t xml:space="preserve">Τροποποιήσεις του </w:t>
      </w:r>
      <w:r>
        <w:rPr>
          <w:b/>
          <w:noProof/>
        </w:rPr>
        <w:t>κανονισμού (ΕΕ) αριθ. 537/2014</w:t>
      </w:r>
    </w:p>
    <w:p w14:paraId="4BFE82F7" w14:textId="77777777" w:rsidR="00680C0B" w:rsidRDefault="00A8232D">
      <w:pPr>
        <w:spacing w:before="0" w:line="276" w:lineRule="auto"/>
        <w:rPr>
          <w:noProof/>
          <w:szCs w:val="24"/>
        </w:rPr>
      </w:pPr>
      <w:r>
        <w:rPr>
          <w:noProof/>
        </w:rPr>
        <w:t xml:space="preserve">Ο κανονισμός (ΕΕ) αριθ. 537/2014 τροποποιείται ως εξής: </w:t>
      </w:r>
    </w:p>
    <w:p w14:paraId="7DF31DC9" w14:textId="77777777" w:rsidR="00680C0B" w:rsidRDefault="00A8232D">
      <w:pPr>
        <w:pStyle w:val="Point0"/>
        <w:rPr>
          <w:noProof/>
        </w:rPr>
      </w:pPr>
      <w:r>
        <w:rPr>
          <w:noProof/>
        </w:rPr>
        <w:t>22)</w:t>
      </w:r>
      <w:r>
        <w:rPr>
          <w:noProof/>
        </w:rPr>
        <w:tab/>
        <w:t>το άρθρο 5 τροποποιείται ως εξής:</w:t>
      </w:r>
    </w:p>
    <w:p w14:paraId="72CAA2F9" w14:textId="77777777" w:rsidR="00680C0B" w:rsidRDefault="00A8232D">
      <w:pPr>
        <w:pStyle w:val="Point1"/>
        <w:rPr>
          <w:noProof/>
        </w:rPr>
      </w:pPr>
      <w:r>
        <w:rPr>
          <w:noProof/>
        </w:rPr>
        <w:t>α)</w:t>
      </w:r>
      <w:r>
        <w:rPr>
          <w:noProof/>
        </w:rPr>
        <w:tab/>
        <w:t>η παράγραφος 1 τροποποιείται ως εξής:</w:t>
      </w:r>
    </w:p>
    <w:p w14:paraId="62DB2D81" w14:textId="77777777" w:rsidR="00680C0B" w:rsidRDefault="00A8232D">
      <w:pPr>
        <w:pStyle w:val="Text3"/>
        <w:rPr>
          <w:noProof/>
        </w:rPr>
      </w:pPr>
      <w:r>
        <w:rPr>
          <w:noProof/>
        </w:rPr>
        <w:t>i)</w:t>
      </w:r>
      <w:r>
        <w:rPr>
          <w:noProof/>
        </w:rPr>
        <w:tab/>
        <w:t>το πρώ</w:t>
      </w:r>
      <w:r>
        <w:rPr>
          <w:noProof/>
        </w:rPr>
        <w:t>το εδάφιο αντικαθίσταται από το ακόλουθο κείμενο:</w:t>
      </w:r>
    </w:p>
    <w:p w14:paraId="0D6DA23B" w14:textId="77777777" w:rsidR="00680C0B" w:rsidRDefault="00A8232D">
      <w:pPr>
        <w:pStyle w:val="Text2"/>
        <w:rPr>
          <w:noProof/>
        </w:rPr>
      </w:pPr>
      <w:r>
        <w:rPr>
          <w:noProof/>
        </w:rPr>
        <w:t>«1. Ο νόμιμος ελεγκτής ή το ελεγκτικό γραφείο που διενεργεί υποχρεωτικό έλεγχο και, κατά περίπτωση, διασφάλιση της υποβολής εκθέσεων βιωσιμότητας οντότητας δημόσιου συμφέροντος ή οποιοδήποτε μέλος του δικτύ</w:t>
      </w:r>
      <w:r>
        <w:rPr>
          <w:noProof/>
        </w:rPr>
        <w:t>ου στο οποίο ανήκει ο νόμιμος ελεγκτής ή το ελεγκτικό γραφείο δεν δύναται να παρέχει άμεσα ή έμμεσα στην ελεγχόμενη οντότητα, στην οικεία μητρική επιχείρηση ή στις ελεγχόμενες από την ελεγχόμενη οντότητα επιχειρήσεις της εντός της Ένωσης απαγορευμένες μη ε</w:t>
      </w:r>
      <w:r>
        <w:rPr>
          <w:noProof/>
        </w:rPr>
        <w:t>λεγκτικές υπηρεσίες κατά:</w:t>
      </w:r>
    </w:p>
    <w:p w14:paraId="41F56848" w14:textId="77777777" w:rsidR="00680C0B" w:rsidRDefault="00A8232D">
      <w:pPr>
        <w:pStyle w:val="Text3"/>
        <w:rPr>
          <w:noProof/>
        </w:rPr>
      </w:pPr>
      <w:r>
        <w:rPr>
          <w:noProof/>
        </w:rPr>
        <w:t xml:space="preserve">α) το διάστημα από την έναρξη της περιόδου που ελέγχεται έως την έκδοση της έκθεσης ελέγχου και </w:t>
      </w:r>
    </w:p>
    <w:p w14:paraId="7EAE6A7E" w14:textId="77777777" w:rsidR="00680C0B" w:rsidRDefault="00A8232D">
      <w:pPr>
        <w:pStyle w:val="Text3"/>
        <w:rPr>
          <w:noProof/>
        </w:rPr>
      </w:pPr>
      <w:r>
        <w:rPr>
          <w:noProof/>
        </w:rPr>
        <w:t xml:space="preserve">β) το αμέσως προηγούμενο οικονομικό έτος από την περίοδο που αναφέρεται στο στοιχείο α) σε σχέση με τις υπηρεσίες που </w:t>
      </w:r>
      <w:r>
        <w:rPr>
          <w:noProof/>
        </w:rPr>
        <w:t>απαριθμούνται στο δεύτερο εδάφιο στοιχείο ε).»·</w:t>
      </w:r>
    </w:p>
    <w:p w14:paraId="043869E6" w14:textId="77777777" w:rsidR="00680C0B" w:rsidRDefault="00A8232D">
      <w:pPr>
        <w:pStyle w:val="Text3"/>
        <w:rPr>
          <w:noProof/>
        </w:rPr>
      </w:pPr>
      <w:r>
        <w:rPr>
          <w:noProof/>
        </w:rPr>
        <w:t>ii)</w:t>
      </w:r>
      <w:r>
        <w:rPr>
          <w:noProof/>
        </w:rPr>
        <w:tab/>
        <w:t>στο δεύτερο εδάφιο, προστίθεται το ακόλουθο στοιχείο ιβ):</w:t>
      </w:r>
    </w:p>
    <w:p w14:paraId="0343556E" w14:textId="77777777" w:rsidR="00680C0B" w:rsidRDefault="00A8232D">
      <w:pPr>
        <w:pStyle w:val="Text2"/>
        <w:rPr>
          <w:noProof/>
        </w:rPr>
      </w:pPr>
      <w:r>
        <w:rPr>
          <w:noProof/>
        </w:rPr>
        <w:t>«ιβ) συμβουλευτικές υπηρεσίες για την κατάρτιση των εκθέσεων βιωσιμότητας, σε περίπτωση που ο νόμιμος ελεγκτής ή το ελεγκτικό γραφείο διενεργεί τη</w:t>
      </w:r>
      <w:r>
        <w:rPr>
          <w:noProof/>
        </w:rPr>
        <w:t xml:space="preserve"> διασφάλιση της υποβολής εκθέσεων βιωσιμότητας.»·</w:t>
      </w:r>
    </w:p>
    <w:p w14:paraId="49310B44" w14:textId="77777777" w:rsidR="00680C0B" w:rsidRDefault="00A8232D">
      <w:pPr>
        <w:pStyle w:val="Point1"/>
        <w:rPr>
          <w:noProof/>
        </w:rPr>
      </w:pPr>
      <w:r>
        <w:rPr>
          <w:noProof/>
        </w:rPr>
        <w:t>β)</w:t>
      </w:r>
      <w:r>
        <w:rPr>
          <w:noProof/>
        </w:rPr>
        <w:tab/>
        <w:t>προστίθεται η ακόλουθη παράγραφος 6:</w:t>
      </w:r>
    </w:p>
    <w:p w14:paraId="798A1348" w14:textId="77777777" w:rsidR="00680C0B" w:rsidRDefault="00A8232D">
      <w:pPr>
        <w:pStyle w:val="Text2"/>
        <w:rPr>
          <w:rFonts w:eastAsia="Times New Roman"/>
          <w:noProof/>
        </w:rPr>
      </w:pPr>
      <w:r>
        <w:rPr>
          <w:noProof/>
        </w:rPr>
        <w:t>«6. Οι παράγραφοι 4 και 5 που αναφέρονται στον υποχρεωτικό έλεγχο των οικονομικών καταστάσεων ισχύουν για τη διασφάλιση της υποβολής εκθέσεων βιωσιμότητας, κατά περίπ</w:t>
      </w:r>
      <w:r>
        <w:rPr>
          <w:noProof/>
        </w:rPr>
        <w:t>τωση.»·</w:t>
      </w:r>
    </w:p>
    <w:p w14:paraId="4112B15C" w14:textId="77777777" w:rsidR="00680C0B" w:rsidRDefault="00A8232D">
      <w:pPr>
        <w:pStyle w:val="Point0"/>
        <w:rPr>
          <w:noProof/>
        </w:rPr>
      </w:pPr>
      <w:r>
        <w:rPr>
          <w:noProof/>
        </w:rPr>
        <w:t>23)</w:t>
      </w:r>
      <w:r>
        <w:rPr>
          <w:noProof/>
        </w:rPr>
        <w:tab/>
        <w:t>στο άρθρο 14, το στοιχείο β) αντικαθίσταται από το ακόλουθο κείμενο:</w:t>
      </w:r>
    </w:p>
    <w:p w14:paraId="052AE82C" w14:textId="77777777" w:rsidR="00680C0B" w:rsidRDefault="00A8232D">
      <w:pPr>
        <w:pStyle w:val="Text1"/>
        <w:rPr>
          <w:noProof/>
        </w:rPr>
      </w:pPr>
      <w:r>
        <w:rPr>
          <w:noProof/>
        </w:rPr>
        <w:t>β) έσοδα από μη ελεγκτικές υπηρεσίες εκτός εκείνων που αναφέρονται στο άρθρο 5 παράγραφος 1, οι οποίες απαιτούνται από την ενωσιακή ή εθνική νομοθεσία, για τον καθορισμό των ε</w:t>
      </w:r>
      <w:r>
        <w:rPr>
          <w:noProof/>
        </w:rPr>
        <w:t>σόδων από τη διασφάλιση της υποβολής εκθέσεων βιωσιμότητας, και»·</w:t>
      </w:r>
    </w:p>
    <w:p w14:paraId="5A1999FA" w14:textId="77777777" w:rsidR="00680C0B" w:rsidRDefault="00A8232D">
      <w:pPr>
        <w:pStyle w:val="Titrearticle"/>
        <w:rPr>
          <w:rFonts w:eastAsia="Times New Roman"/>
          <w:b/>
          <w:i w:val="0"/>
          <w:noProof/>
          <w:szCs w:val="24"/>
        </w:rPr>
      </w:pPr>
      <w:r>
        <w:rPr>
          <w:noProof/>
        </w:rPr>
        <w:t xml:space="preserve">Άρθρο 5 </w:t>
      </w:r>
      <w:r>
        <w:rPr>
          <w:noProof/>
        </w:rPr>
        <w:br/>
      </w:r>
      <w:r>
        <w:rPr>
          <w:b/>
          <w:i w:val="0"/>
          <w:noProof/>
          <w:szCs w:val="24"/>
        </w:rPr>
        <w:t xml:space="preserve">Μεταφορά στο εθνικό δίκαιο </w:t>
      </w:r>
    </w:p>
    <w:p w14:paraId="2334FC4A" w14:textId="77777777" w:rsidR="00680C0B" w:rsidRDefault="00A8232D">
      <w:pPr>
        <w:rPr>
          <w:noProof/>
        </w:rPr>
      </w:pPr>
      <w:r>
        <w:rPr>
          <w:noProof/>
        </w:rPr>
        <w:t>1. Τα κράτη μέλη θέτουν σε ισχύ τις αναγκαίες νομοθετικές, κανονιστικές και διοικητικές διατάξεις προκειμένου να συμμορφωθούν προς τα άρθρα 1 έως 3 της π</w:t>
      </w:r>
      <w:r>
        <w:rPr>
          <w:noProof/>
        </w:rPr>
        <w:t>αρούσας οδηγίας το αργότερο την 1η Δεκεμβρίου 2022. Ενημερώνουν πάραυτα την Επιτροπή σχετικά.</w:t>
      </w:r>
    </w:p>
    <w:p w14:paraId="42BF6F03" w14:textId="77777777" w:rsidR="00680C0B" w:rsidRDefault="00A8232D">
      <w:pPr>
        <w:rPr>
          <w:noProof/>
        </w:rPr>
      </w:pPr>
      <w:r>
        <w:rPr>
          <w:noProof/>
        </w:rPr>
        <w:t>Τα κράτη μέλη προβλέπουν ότι οι διατάξεις του πρώτου εδαφίου εφαρμόζονται για τα οικονομικά έτη που αρχίζουν την 1η Ιανουαρίου 2023 ή μεταγενέστερα.</w:t>
      </w:r>
    </w:p>
    <w:p w14:paraId="45128E8C" w14:textId="77777777" w:rsidR="00680C0B" w:rsidRDefault="00A8232D">
      <w:pPr>
        <w:rPr>
          <w:noProof/>
        </w:rPr>
      </w:pPr>
      <w:r>
        <w:rPr>
          <w:noProof/>
        </w:rPr>
        <w:t xml:space="preserve">Οι διατάξεις </w:t>
      </w:r>
      <w:r>
        <w:rPr>
          <w:noProof/>
        </w:rPr>
        <w:t xml:space="preserve">αυτές, όταν θεσπίζονται από τα κράτη μέλη, αναφέρονται στην παρούσα οδηγία ή συνοδεύονται από την αναφορά αυτή κατά την επίσημη δημοσίευσή τους. Τα κράτη μέλη ορίζουν τον τρόπο με τον οποίο γίνεται η αναφορά αυτή. </w:t>
      </w:r>
    </w:p>
    <w:p w14:paraId="73F35D22" w14:textId="77777777" w:rsidR="00680C0B" w:rsidRDefault="00A8232D">
      <w:pPr>
        <w:rPr>
          <w:noProof/>
        </w:rPr>
      </w:pPr>
      <w:r>
        <w:rPr>
          <w:noProof/>
        </w:rPr>
        <w:t xml:space="preserve">2. Τα κράτη μέλη κοινοποιούν στην Επιτροπή το κείμενο των ουσιωδών διατάξεων εθνικού δικαίου τις οποίες θεσπίζουν στον τομέα που διέπεται από την παρούσα οδηγία. </w:t>
      </w:r>
    </w:p>
    <w:p w14:paraId="5A48DE1B" w14:textId="77777777" w:rsidR="00680C0B" w:rsidRDefault="00A8232D">
      <w:pPr>
        <w:pStyle w:val="Titrearticle"/>
        <w:spacing w:after="0"/>
        <w:rPr>
          <w:rFonts w:eastAsia="Times New Roman"/>
          <w:b/>
          <w:i w:val="0"/>
          <w:noProof/>
          <w:szCs w:val="24"/>
        </w:rPr>
      </w:pPr>
      <w:r>
        <w:rPr>
          <w:noProof/>
        </w:rPr>
        <w:t xml:space="preserve">Άρθρο 6 </w:t>
      </w:r>
      <w:r>
        <w:rPr>
          <w:noProof/>
        </w:rPr>
        <w:br/>
      </w:r>
      <w:r>
        <w:rPr>
          <w:b/>
          <w:i w:val="0"/>
          <w:noProof/>
          <w:szCs w:val="24"/>
        </w:rPr>
        <w:t>Ημερομηνία εφαρμογής του άρθρου 4</w:t>
      </w:r>
    </w:p>
    <w:p w14:paraId="387D9C48" w14:textId="77777777" w:rsidR="00680C0B" w:rsidRDefault="00A8232D">
      <w:pPr>
        <w:autoSpaceDE w:val="0"/>
        <w:autoSpaceDN w:val="0"/>
        <w:adjustRightInd w:val="0"/>
        <w:spacing w:before="60" w:after="60" w:line="276" w:lineRule="auto"/>
        <w:rPr>
          <w:rFonts w:eastAsia="Times New Roman"/>
          <w:noProof/>
          <w:szCs w:val="24"/>
        </w:rPr>
      </w:pPr>
      <w:r>
        <w:rPr>
          <w:noProof/>
        </w:rPr>
        <w:t>Το άρθρο 4 της παρούσας οδηγίας ισχύει για τα οικο</w:t>
      </w:r>
      <w:r>
        <w:rPr>
          <w:noProof/>
        </w:rPr>
        <w:t>νομικά έτη που αρχίζουν την 1η Ιανουαρίου 2023 ή μεταγενέστερα.</w:t>
      </w:r>
    </w:p>
    <w:p w14:paraId="45E15444" w14:textId="77777777" w:rsidR="00680C0B" w:rsidRDefault="00A8232D">
      <w:pPr>
        <w:pStyle w:val="Titrearticle"/>
        <w:rPr>
          <w:rFonts w:eastAsia="Times New Roman"/>
          <w:b/>
          <w:i w:val="0"/>
          <w:noProof/>
          <w:szCs w:val="24"/>
        </w:rPr>
      </w:pPr>
      <w:r>
        <w:rPr>
          <w:noProof/>
        </w:rPr>
        <w:t xml:space="preserve">Άρθρο 7 </w:t>
      </w:r>
      <w:r>
        <w:rPr>
          <w:noProof/>
        </w:rPr>
        <w:br/>
      </w:r>
      <w:r>
        <w:rPr>
          <w:b/>
          <w:i w:val="0"/>
          <w:noProof/>
          <w:szCs w:val="24"/>
        </w:rPr>
        <w:t>Έναρξη ισχύος</w:t>
      </w:r>
    </w:p>
    <w:p w14:paraId="706A93EF" w14:textId="77777777" w:rsidR="00680C0B" w:rsidRDefault="00A8232D">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14:paraId="43BA32DB" w14:textId="77777777" w:rsidR="00680C0B" w:rsidRDefault="00A8232D">
      <w:pPr>
        <w:rPr>
          <w:rFonts w:eastAsia="Times New Roman"/>
          <w:noProof/>
          <w:szCs w:val="24"/>
        </w:rPr>
      </w:pPr>
      <w:r>
        <w:rPr>
          <w:noProof/>
        </w:rPr>
        <w:t xml:space="preserve"> </w:t>
      </w:r>
    </w:p>
    <w:p w14:paraId="593DDF49" w14:textId="77777777" w:rsidR="00680C0B" w:rsidRDefault="00A8232D">
      <w:pPr>
        <w:pStyle w:val="Titrearticle"/>
        <w:rPr>
          <w:b/>
          <w:bCs/>
          <w:noProof/>
          <w:szCs w:val="24"/>
        </w:rPr>
      </w:pPr>
      <w:r>
        <w:rPr>
          <w:noProof/>
        </w:rPr>
        <w:t xml:space="preserve">Άρθρο 8 </w:t>
      </w:r>
      <w:r>
        <w:rPr>
          <w:noProof/>
        </w:rPr>
        <w:br/>
      </w:r>
      <w:r>
        <w:rPr>
          <w:b/>
          <w:bCs/>
          <w:noProof/>
          <w:szCs w:val="24"/>
        </w:rPr>
        <w:t>Αποδέκτες</w:t>
      </w:r>
    </w:p>
    <w:p w14:paraId="35ABEAA8" w14:textId="77777777" w:rsidR="00680C0B" w:rsidRDefault="00A8232D">
      <w:pPr>
        <w:keepNext/>
        <w:keepLines/>
        <w:spacing w:line="276" w:lineRule="auto"/>
        <w:rPr>
          <w:noProof/>
        </w:rPr>
      </w:pPr>
      <w:r>
        <w:rPr>
          <w:noProof/>
        </w:rPr>
        <w:t>Η παρούσα οδηγία απευθύνετα</w:t>
      </w:r>
      <w:r>
        <w:rPr>
          <w:noProof/>
        </w:rPr>
        <w:t xml:space="preserve">ι στα κράτη μέλη. </w:t>
      </w:r>
      <w:r>
        <w:rPr>
          <w:noProof/>
          <w:color w:val="444444"/>
          <w:szCs w:val="24"/>
        </w:rPr>
        <w:t>Ωστόσο, το άρθρο 4 είναι δεσμευτικό ως προς όλα τα μέρη του και ισχύει άμεσα σε κάθε κράτος μέλος.</w:t>
      </w:r>
    </w:p>
    <w:p w14:paraId="1F560188" w14:textId="77777777" w:rsidR="00680C0B" w:rsidRDefault="00A8232D">
      <w:pPr>
        <w:pStyle w:val="Fait"/>
        <w:rPr>
          <w:noProof/>
        </w:rPr>
      </w:pPr>
      <w:r>
        <w:t>Βρυξέλλες,</w:t>
      </w:r>
    </w:p>
    <w:p w14:paraId="4185715C" w14:textId="77777777" w:rsidR="00680C0B" w:rsidRDefault="00A8232D">
      <w:pPr>
        <w:pStyle w:val="Institutionquisigne"/>
        <w:rPr>
          <w:noProof/>
        </w:rPr>
      </w:pPr>
      <w:r>
        <w:rPr>
          <w:noProof/>
        </w:rPr>
        <w:t>Για το Ευρωπαϊκό Κοινοβούλιο</w:t>
      </w:r>
      <w:r>
        <w:rPr>
          <w:noProof/>
        </w:rPr>
        <w:tab/>
        <w:t>Για το Συμβούλιο</w:t>
      </w:r>
    </w:p>
    <w:p w14:paraId="375A9DAE" w14:textId="77777777" w:rsidR="00680C0B" w:rsidRDefault="00A8232D">
      <w:pPr>
        <w:pStyle w:val="Personnequisigne"/>
        <w:rPr>
          <w:noProof/>
        </w:rPr>
      </w:pPr>
      <w:r>
        <w:rPr>
          <w:noProof/>
        </w:rPr>
        <w:t>Ο Πρόεδρος</w:t>
      </w:r>
      <w:r>
        <w:rPr>
          <w:noProof/>
        </w:rPr>
        <w:tab/>
        <w:t>Ο Πρόεδρος</w:t>
      </w:r>
    </w:p>
    <w:sectPr w:rsidR="00680C0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9C38" w14:textId="77777777" w:rsidR="00A8232D" w:rsidRDefault="00A8232D">
      <w:pPr>
        <w:spacing w:before="0" w:after="0"/>
      </w:pPr>
      <w:r>
        <w:separator/>
      </w:r>
    </w:p>
  </w:endnote>
  <w:endnote w:type="continuationSeparator" w:id="0">
    <w:p w14:paraId="3449805F" w14:textId="77777777" w:rsidR="00A8232D" w:rsidRDefault="00A8232D">
      <w:pPr>
        <w:spacing w:before="0" w:after="0"/>
      </w:pPr>
      <w:r>
        <w:continuationSeparator/>
      </w:r>
    </w:p>
  </w:endnote>
  <w:endnote w:type="continuationNotice" w:id="1">
    <w:p w14:paraId="49F211CC" w14:textId="77777777" w:rsidR="00A8232D" w:rsidRDefault="00A823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CDB2" w14:textId="77777777" w:rsidR="00680C0B" w:rsidRDefault="00A8232D">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proofErr w:type="spellStart"/>
    <w:r>
      <w:rPr>
        <w:rFonts w:ascii="Arial" w:hAnsi="Arial" w:cs="Arial"/>
        <w:b/>
        <w:sz w:val="48"/>
      </w:rPr>
      <w:t>EL</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D6EE" w14:textId="77777777" w:rsidR="00680C0B" w:rsidRDefault="00A8232D">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80</w:t>
    </w:r>
    <w:r>
      <w:fldChar w:fldCharType="end"/>
    </w:r>
    <w: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09F4" w14:textId="77777777" w:rsidR="00680C0B" w:rsidRDefault="0068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8EDE" w14:textId="77777777" w:rsidR="00A8232D" w:rsidRDefault="00A8232D">
      <w:pPr>
        <w:spacing w:before="0" w:after="0"/>
      </w:pPr>
      <w:r>
        <w:separator/>
      </w:r>
    </w:p>
  </w:footnote>
  <w:footnote w:type="continuationSeparator" w:id="0">
    <w:p w14:paraId="0CD16D68" w14:textId="77777777" w:rsidR="00A8232D" w:rsidRDefault="00A8232D">
      <w:pPr>
        <w:spacing w:before="0" w:after="0"/>
      </w:pPr>
      <w:r>
        <w:continuationSeparator/>
      </w:r>
    </w:p>
  </w:footnote>
  <w:footnote w:type="continuationNotice" w:id="1">
    <w:p w14:paraId="2B0ECDA3" w14:textId="77777777" w:rsidR="00A8232D" w:rsidRDefault="00A8232D">
      <w:pPr>
        <w:spacing w:before="0" w:after="0"/>
      </w:pPr>
    </w:p>
  </w:footnote>
  <w:footnote w:id="2">
    <w:p w14:paraId="37B755A1" w14:textId="77777777" w:rsidR="00680C0B" w:rsidRDefault="00A8232D">
      <w:pPr>
        <w:pStyle w:val="FootnoteText"/>
        <w:rPr>
          <w:color w:val="000000" w:themeColor="text1"/>
        </w:rPr>
      </w:pPr>
      <w:r>
        <w:rPr>
          <w:rStyle w:val="FootnoteReference"/>
        </w:rPr>
        <w:footnoteRef/>
      </w:r>
      <w:r>
        <w:tab/>
      </w:r>
      <w:r>
        <w:rPr>
          <w:color w:val="000000" w:themeColor="text1"/>
        </w:rPr>
        <w:t xml:space="preserve">Οδηγία 2014/95/ΕΕ του Ευρωπαϊκού </w:t>
      </w:r>
      <w:r>
        <w:rPr>
          <w:color w:val="000000" w:themeColor="text1"/>
        </w:rPr>
        <w:t>Κοινοβουλίου και του Συμβουλίου, της 22ας Οκτωβρίου 2014, για την τροποποίηση της οδηγίας 2013/34/ΕΕ όσον αφορά τη δημοσιοποίηση μη χρηματοοικονομικών πληροφοριών και πληροφοριών για την πολυμορφία από ορισμένες μεγάλες επιχειρήσεις και ομίλους.</w:t>
      </w:r>
    </w:p>
  </w:footnote>
  <w:footnote w:id="3">
    <w:p w14:paraId="0F5CD9FB" w14:textId="77777777" w:rsidR="00680C0B" w:rsidRDefault="00A8232D">
      <w:pPr>
        <w:pStyle w:val="FootnoteText"/>
        <w:rPr>
          <w:color w:val="000000" w:themeColor="text1"/>
        </w:rPr>
      </w:pPr>
      <w:r>
        <w:rPr>
          <w:rStyle w:val="FootnoteReference"/>
        </w:rPr>
        <w:footnoteRef/>
      </w:r>
      <w:r>
        <w:tab/>
      </w:r>
      <w:r>
        <w:rPr>
          <w:color w:val="000000" w:themeColor="text1"/>
        </w:rPr>
        <w:t>Οι οντότ</w:t>
      </w:r>
      <w:r>
        <w:rPr>
          <w:color w:val="000000" w:themeColor="text1"/>
        </w:rPr>
        <w:t>ητες δημόσιου συμφέροντος ορίζονται στη λογιστική οδηγία ως εταιρείες με τίτλους εισηγμένους σε ρυθμιζόμενες αγορές της ΕΕ, τράπεζες (εισηγμένες ή μη), ασφαλιστικές εταιρείες (εισηγμένες ή μη) και άλλες εταιρείες που ορίζουν τα κράτη μέλη.</w:t>
      </w:r>
    </w:p>
  </w:footnote>
  <w:footnote w:id="4">
    <w:p w14:paraId="78233983" w14:textId="77777777" w:rsidR="00680C0B" w:rsidRDefault="00A8232D">
      <w:pPr>
        <w:pStyle w:val="FootnoteText"/>
        <w:rPr>
          <w:color w:val="000000" w:themeColor="text1"/>
        </w:rPr>
      </w:pPr>
      <w:r>
        <w:rPr>
          <w:rStyle w:val="FootnoteReference"/>
        </w:rPr>
        <w:footnoteRef/>
      </w:r>
      <w:r>
        <w:tab/>
      </w:r>
      <w:r>
        <w:rPr>
          <w:color w:val="000000" w:themeColor="text1"/>
        </w:rPr>
        <w:t>Στον αριθμό αυ</w:t>
      </w:r>
      <w:r>
        <w:rPr>
          <w:color w:val="000000" w:themeColor="text1"/>
        </w:rPr>
        <w:t>τόν λαμβάνεται υπόψη ο τρόπος μεταφοράς της οδηγίας στο εθνικό δίκαιο από τα κράτη μέλη. Εάν δεν ληφθεί υπόψη η μεταφορά στο εθνικό δίκαιο, στο πεδίο εφαρμογής της οδηγίας για τη δημοσιοποίηση μη χρηματοοικονομικών πληροφοριών εμπίπτουν περίπου 2 000 εταιρ</w:t>
      </w:r>
      <w:r>
        <w:rPr>
          <w:color w:val="000000" w:themeColor="text1"/>
        </w:rPr>
        <w:t>είες.</w:t>
      </w:r>
    </w:p>
  </w:footnote>
  <w:footnote w:id="5">
    <w:p w14:paraId="7A6253CB" w14:textId="77777777" w:rsidR="00680C0B" w:rsidRDefault="00A8232D">
      <w:pPr>
        <w:pStyle w:val="FootnoteText"/>
        <w:rPr>
          <w:color w:val="000000" w:themeColor="text1"/>
        </w:rPr>
      </w:pPr>
      <w:r>
        <w:rPr>
          <w:rStyle w:val="FootnoteReference"/>
        </w:rPr>
        <w:footnoteRef/>
      </w:r>
      <w:r>
        <w:tab/>
      </w:r>
      <w:r>
        <w:rPr>
          <w:color w:val="000000" w:themeColor="text1"/>
        </w:rPr>
        <w:t xml:space="preserve">Ανακοίνωση της Επιτροπής C(2017) 4234 </w:t>
      </w:r>
      <w:proofErr w:type="spellStart"/>
      <w:r>
        <w:rPr>
          <w:color w:val="000000" w:themeColor="text1"/>
        </w:rPr>
        <w:t>final</w:t>
      </w:r>
      <w:proofErr w:type="spellEnd"/>
      <w:r>
        <w:rPr>
          <w:color w:val="000000" w:themeColor="text1"/>
        </w:rPr>
        <w:t>.</w:t>
      </w:r>
    </w:p>
  </w:footnote>
  <w:footnote w:id="6">
    <w:p w14:paraId="293580AB" w14:textId="77777777" w:rsidR="00680C0B" w:rsidRDefault="00A8232D">
      <w:pPr>
        <w:pStyle w:val="FootnoteText"/>
        <w:rPr>
          <w:color w:val="000000" w:themeColor="text1"/>
        </w:rPr>
      </w:pPr>
      <w:r>
        <w:rPr>
          <w:rStyle w:val="FootnoteReference"/>
        </w:rPr>
        <w:footnoteRef/>
      </w:r>
      <w:r>
        <w:tab/>
      </w:r>
      <w:r>
        <w:rPr>
          <w:color w:val="000000" w:themeColor="text1"/>
        </w:rPr>
        <w:t xml:space="preserve">Ανακοίνωση της Επιτροπής C(2019) 4490 </w:t>
      </w:r>
      <w:proofErr w:type="spellStart"/>
      <w:r>
        <w:rPr>
          <w:color w:val="000000" w:themeColor="text1"/>
        </w:rPr>
        <w:t>final</w:t>
      </w:r>
      <w:proofErr w:type="spellEnd"/>
      <w:r>
        <w:rPr>
          <w:color w:val="000000" w:themeColor="text1"/>
        </w:rPr>
        <w:t>.</w:t>
      </w:r>
    </w:p>
  </w:footnote>
  <w:footnote w:id="7">
    <w:p w14:paraId="0495E595" w14:textId="77777777" w:rsidR="00680C0B" w:rsidRDefault="00A8232D">
      <w:pPr>
        <w:pStyle w:val="FootnoteText"/>
        <w:rPr>
          <w:color w:val="000000" w:themeColor="text1"/>
        </w:rPr>
      </w:pPr>
      <w:r>
        <w:rPr>
          <w:rStyle w:val="FootnoteReference"/>
        </w:rPr>
        <w:footnoteRef/>
      </w:r>
      <w:r>
        <w:tab/>
      </w:r>
      <w:r>
        <w:rPr>
          <w:color w:val="000000" w:themeColor="text1"/>
        </w:rPr>
        <w:t xml:space="preserve">Ανακοίνωση της Επιτροπής με τίτλο «Η Ευρωπαϊκή Πράσινη Συμφωνία», COM(2019) 640 </w:t>
      </w:r>
      <w:proofErr w:type="spellStart"/>
      <w:r>
        <w:rPr>
          <w:color w:val="000000" w:themeColor="text1"/>
        </w:rPr>
        <w:t>final</w:t>
      </w:r>
      <w:proofErr w:type="spellEnd"/>
      <w:r>
        <w:rPr>
          <w:color w:val="000000" w:themeColor="text1"/>
        </w:rPr>
        <w:t>. Προσαρμοσμένο πρόγραμμα εργασίας της Επιτροπής για το 2020, COM(202</w:t>
      </w:r>
      <w:r>
        <w:rPr>
          <w:color w:val="000000" w:themeColor="text1"/>
        </w:rPr>
        <w:t xml:space="preserve">0) 440 </w:t>
      </w:r>
      <w:proofErr w:type="spellStart"/>
      <w:r>
        <w:rPr>
          <w:color w:val="000000" w:themeColor="text1"/>
        </w:rPr>
        <w:t>final</w:t>
      </w:r>
      <w:proofErr w:type="spellEnd"/>
      <w:r>
        <w:rPr>
          <w:color w:val="000000" w:themeColor="text1"/>
        </w:rPr>
        <w:t>.</w:t>
      </w:r>
    </w:p>
  </w:footnote>
  <w:footnote w:id="8">
    <w:p w14:paraId="05954738" w14:textId="77777777" w:rsidR="00680C0B" w:rsidRDefault="00A8232D">
      <w:pPr>
        <w:pStyle w:val="FootnoteText"/>
        <w:rPr>
          <w:color w:val="000000" w:themeColor="text1"/>
        </w:rPr>
      </w:pPr>
      <w:r>
        <w:rPr>
          <w:rStyle w:val="FootnoteReference"/>
        </w:rPr>
        <w:footnoteRef/>
      </w:r>
      <w:r>
        <w:tab/>
      </w:r>
      <w:r>
        <w:rPr>
          <w:color w:val="000000" w:themeColor="text1"/>
        </w:rPr>
        <w:t xml:space="preserve">Στις 4 Μαρτίου 2020, η Επιτροπή εξέδωσε την πρόταση κανονισμού του Ευρωπαϊκού Κοινοβουλίου και του Συμβουλίου για τη θέσπιση πλαισίου με στόχο την επίτευξη κλιματικής ουδετερότητας και για την τροποποίηση του κανονισμού </w:t>
      </w:r>
      <w:r>
        <w:rPr>
          <w:color w:val="000000" w:themeColor="text1"/>
        </w:rPr>
        <w:t>(ΕΕ) 2018/1999 (ευρωπαϊκός νόμος για το κλίμα) [2020/0036 (COD)], προτείνοντας να καταστεί νομικά δεσμευτικός στην ΕΕ ο στόχος για την επίτευξη κλιματικής ουδετερότητας έως το 2050.</w:t>
      </w:r>
    </w:p>
  </w:footnote>
  <w:footnote w:id="9">
    <w:p w14:paraId="4AD9EAC3" w14:textId="77777777" w:rsidR="00680C0B" w:rsidRDefault="00A8232D">
      <w:pPr>
        <w:pStyle w:val="FootnoteText"/>
        <w:rPr>
          <w:color w:val="000000" w:themeColor="text1"/>
        </w:rPr>
      </w:pPr>
      <w:r>
        <w:rPr>
          <w:rStyle w:val="FootnoteReference"/>
        </w:rPr>
        <w:footnoteRef/>
      </w:r>
      <w:r>
        <w:tab/>
      </w:r>
      <w:r>
        <w:rPr>
          <w:color w:val="000000" w:themeColor="text1"/>
        </w:rPr>
        <w:t>Ανακοίνωση της Επιτροπής — Σχέδιο Δράσης: Χρηματοδότηση της αειφόρου ανά</w:t>
      </w:r>
      <w:r>
        <w:rPr>
          <w:color w:val="000000" w:themeColor="text1"/>
        </w:rPr>
        <w:t xml:space="preserve">πτυξης, COM(2018) 097 </w:t>
      </w:r>
      <w:proofErr w:type="spellStart"/>
      <w:r>
        <w:rPr>
          <w:color w:val="000000" w:themeColor="text1"/>
        </w:rPr>
        <w:t>final</w:t>
      </w:r>
      <w:proofErr w:type="spellEnd"/>
      <w:r>
        <w:rPr>
          <w:color w:val="000000" w:themeColor="text1"/>
        </w:rPr>
        <w:t>.</w:t>
      </w:r>
    </w:p>
  </w:footnote>
  <w:footnote w:id="10">
    <w:p w14:paraId="25101641" w14:textId="77777777" w:rsidR="00680C0B" w:rsidRDefault="00A8232D">
      <w:pPr>
        <w:pStyle w:val="FootnoteText"/>
        <w:rPr>
          <w:color w:val="000000" w:themeColor="text1"/>
        </w:rPr>
      </w:pPr>
      <w:r>
        <w:rPr>
          <w:rStyle w:val="FootnoteReference"/>
        </w:rPr>
        <w:footnoteRef/>
      </w:r>
      <w:r>
        <w:tab/>
      </w:r>
      <w:r>
        <w:rPr>
          <w:color w:val="000000" w:themeColor="text1"/>
        </w:rPr>
        <w:t>Συμπεράσματα του Συμβουλίου σχετικά με την εμβάθυνση της Ένωσης Κεφαλαιαγορών (5 Δεκεμβρίου 2019).</w:t>
      </w:r>
    </w:p>
  </w:footnote>
  <w:footnote w:id="11">
    <w:p w14:paraId="7532862A" w14:textId="77777777" w:rsidR="00680C0B" w:rsidRDefault="00A8232D">
      <w:pPr>
        <w:pStyle w:val="FootnoteText"/>
        <w:rPr>
          <w:color w:val="000000" w:themeColor="text1"/>
        </w:rPr>
      </w:pPr>
      <w:r>
        <w:rPr>
          <w:rStyle w:val="FootnoteReference"/>
        </w:rPr>
        <w:footnoteRef/>
      </w:r>
      <w:r>
        <w:tab/>
      </w:r>
      <w:r>
        <w:rPr>
          <w:color w:val="000000" w:themeColor="text1"/>
        </w:rPr>
        <w:t>Ψήφισμα του Ευρωπαϊκού Κοινοβουλίου, της 29ης Μαΐου 2018, σχετικά με τη βιώσιμη χρηματοδότηση [2018/2007(INI)].</w:t>
      </w:r>
    </w:p>
  </w:footnote>
  <w:footnote w:id="12">
    <w:p w14:paraId="2E51EF32" w14:textId="77777777" w:rsidR="00680C0B" w:rsidRDefault="00A8232D">
      <w:pPr>
        <w:pStyle w:val="FootnoteText"/>
        <w:rPr>
          <w:color w:val="000000" w:themeColor="text1"/>
        </w:rPr>
      </w:pPr>
      <w:r>
        <w:rPr>
          <w:rStyle w:val="FootnoteReference"/>
        </w:rPr>
        <w:footnoteRef/>
      </w:r>
      <w:r>
        <w:tab/>
      </w:r>
      <w:r>
        <w:rPr>
          <w:color w:val="000000" w:themeColor="text1"/>
        </w:rPr>
        <w:t>Ψήφισμα το</w:t>
      </w:r>
      <w:r>
        <w:rPr>
          <w:color w:val="000000" w:themeColor="text1"/>
        </w:rPr>
        <w:t>υ Ευρωπαϊκού Κοινοβουλίου, της 17ης Δεκεμβρίου 2020, σχετικά με τη βιώσιμη εταιρική διακυβέρνηση [2020/2137(INI)].</w:t>
      </w:r>
    </w:p>
  </w:footnote>
  <w:footnote w:id="13">
    <w:p w14:paraId="18522769" w14:textId="77777777" w:rsidR="00680C0B" w:rsidRDefault="00A8232D">
      <w:pPr>
        <w:pStyle w:val="FootnoteText"/>
        <w:rPr>
          <w:color w:val="000000" w:themeColor="text1"/>
        </w:rPr>
      </w:pPr>
      <w:r>
        <w:rPr>
          <w:rStyle w:val="FootnoteReference"/>
        </w:rPr>
        <w:footnoteRef/>
      </w:r>
      <w:r>
        <w:tab/>
      </w:r>
      <w:r>
        <w:rPr>
          <w:color w:val="000000" w:themeColor="text1"/>
        </w:rPr>
        <w:t xml:space="preserve">Κανονισμός (ΕΕ) 2019/2088 (κανονισμός περί γνωστοποιήσεων </w:t>
      </w:r>
      <w:proofErr w:type="spellStart"/>
      <w:r>
        <w:rPr>
          <w:color w:val="000000" w:themeColor="text1"/>
        </w:rPr>
        <w:t>αειφορίας</w:t>
      </w:r>
      <w:proofErr w:type="spellEnd"/>
      <w:r>
        <w:rPr>
          <w:color w:val="000000" w:themeColor="text1"/>
        </w:rPr>
        <w:t xml:space="preserve"> στον τομέα των χρηματοπιστωτικών υπηρεσιών) και κανονισμός (ΕΕ) 2020/85</w:t>
      </w:r>
      <w:r>
        <w:rPr>
          <w:color w:val="000000" w:themeColor="text1"/>
        </w:rPr>
        <w:t>2 (κανονισμός για την ταξινόμηση).</w:t>
      </w:r>
    </w:p>
  </w:footnote>
  <w:footnote w:id="14">
    <w:p w14:paraId="22BE9D3F" w14:textId="77777777" w:rsidR="00680C0B" w:rsidRDefault="00A8232D">
      <w:pPr>
        <w:pStyle w:val="FootnoteText"/>
        <w:rPr>
          <w:color w:val="000000" w:themeColor="text1"/>
        </w:rPr>
      </w:pPr>
      <w:r>
        <w:rPr>
          <w:rStyle w:val="FootnoteReference"/>
        </w:rPr>
        <w:footnoteRef/>
      </w:r>
      <w:r>
        <w:tab/>
      </w:r>
      <w:r>
        <w:rPr>
          <w:color w:val="000000" w:themeColor="text1"/>
        </w:rPr>
        <w:t>COM(2021) 93</w:t>
      </w:r>
    </w:p>
  </w:footnote>
  <w:footnote w:id="15">
    <w:p w14:paraId="05A332E9" w14:textId="77777777" w:rsidR="00680C0B" w:rsidRDefault="00A8232D">
      <w:pPr>
        <w:pStyle w:val="FootnoteText"/>
        <w:rPr>
          <w:color w:val="000000" w:themeColor="text1"/>
        </w:rPr>
      </w:pPr>
      <w:r>
        <w:rPr>
          <w:rStyle w:val="FootnoteReference"/>
        </w:rPr>
        <w:footnoteRef/>
      </w:r>
      <w:r>
        <w:tab/>
      </w:r>
      <w:r>
        <w:rPr>
          <w:color w:val="000000" w:themeColor="text1"/>
        </w:rPr>
        <w:t>COM(2012) 614</w:t>
      </w:r>
    </w:p>
  </w:footnote>
  <w:footnote w:id="16">
    <w:p w14:paraId="60E4D0E3" w14:textId="77777777" w:rsidR="00680C0B" w:rsidRDefault="00A8232D">
      <w:pPr>
        <w:pStyle w:val="FootnoteText"/>
        <w:rPr>
          <w:color w:val="000000" w:themeColor="text1"/>
        </w:rPr>
      </w:pPr>
      <w:r>
        <w:rPr>
          <w:rStyle w:val="FootnoteReference"/>
        </w:rPr>
        <w:footnoteRef/>
      </w:r>
      <w:r>
        <w:tab/>
      </w:r>
      <w:r>
        <w:rPr>
          <w:color w:val="000000" w:themeColor="text1"/>
        </w:rPr>
        <w:t xml:space="preserve">Πρόκειται για τον ευρωπαϊκό ενιαίο ηλεκτρονικό </w:t>
      </w:r>
      <w:proofErr w:type="spellStart"/>
      <w:r>
        <w:rPr>
          <w:color w:val="000000" w:themeColor="text1"/>
        </w:rPr>
        <w:t>μορφότυπο</w:t>
      </w:r>
      <w:proofErr w:type="spellEnd"/>
      <w:r>
        <w:rPr>
          <w:color w:val="000000" w:themeColor="text1"/>
        </w:rPr>
        <w:t xml:space="preserve"> (ESEF), ο οποίος θεσπίστηκε με τον κατ’ εξουσιοδότηση κανονισμό (ΕΕ) 2018/815. </w:t>
      </w:r>
    </w:p>
  </w:footnote>
  <w:footnote w:id="17">
    <w:p w14:paraId="452E6FCD" w14:textId="77777777" w:rsidR="00680C0B" w:rsidRDefault="00A8232D">
      <w:pPr>
        <w:pStyle w:val="FootnoteText"/>
        <w:rPr>
          <w:rFonts w:eastAsia="Calibri"/>
          <w:color w:val="000000" w:themeColor="text1"/>
        </w:rPr>
      </w:pPr>
      <w:r>
        <w:rPr>
          <w:rStyle w:val="FootnoteReference"/>
        </w:rPr>
        <w:footnoteRef/>
      </w:r>
      <w:r>
        <w:tab/>
      </w:r>
      <w:r>
        <w:t>Το άρθρο 3 της λογιστικής οδηγίας (2013/34/ΕΕ) ορ</w:t>
      </w:r>
      <w:r>
        <w:t>ίζει τις κατηγορίες επιχειρήσεων ανάλογα με το μέγεθός τους: Παράγραφος 1: [...] ορίζουν ως πολύ μικρές επιχειρήσεις τις επιχειρήσεις οι οποίες κατά την ημερομηνία κλεισίματος του ισολογισμού δεν υπερβαίνουν τα όρια τουλάχιστον των δύο από τα ακόλουθα τρία</w:t>
      </w:r>
      <w:r>
        <w:t xml:space="preserve"> κριτήρια: α) σύνολο ισολογισμού: 350 000 EUR· β) καθαρό ύψος κύκλου εργασιών: 700 000 EUR· γ) μέσος όρος απασχολουμένων κατά τη διάρκεια της χρήσης: 10. Παράγραφος 2: Μικρές επιχειρήσεις είναι οι επιχειρήσεις οι οποίες κατά την ημερομηνία κλεισίματος του </w:t>
      </w:r>
      <w:r>
        <w:t>ισολογισμού δεν υπερβαίνουν τα όρια τουλάχιστον των δύο από τα ακόλουθα τρία κριτήρια: α) σύνολο ισολογισμού: 4 000 000 EUR· β) καθαρό ύψος κύκλου εργασιών: 8 000 000 EUR· γ) μέσος όρος απασχολουμένων κατά τη διάρκεια της χρήσης: 50. [...] Παράγραφος 3: Με</w:t>
      </w:r>
      <w:r>
        <w:t>σαίες επιχειρήσεις είναι οι επιχειρήσεις, πλην των πολύ μικρών και των μικρών, οι οποίες κατά την ημερομηνία κλεισίματος του ισολογισμού δεν υπερβαίνουν τα όρια τουλάχιστον των δύο από τα ακόλουθα τρία κριτήρια: α) σύνολο ισολογισμού: 20 000 000 EUR· β) κα</w:t>
      </w:r>
      <w:r>
        <w:t>θαρό ύψος κύκλου εργασιών: 40 000 000 EUR· γ) μέσος όρος απασχολουμένων κατά τη διάρκεια της χρήσης: 250. […].</w:t>
      </w:r>
    </w:p>
  </w:footnote>
  <w:footnote w:id="18">
    <w:p w14:paraId="2183F56C" w14:textId="77777777" w:rsidR="00680C0B" w:rsidRDefault="00A8232D">
      <w:pPr>
        <w:pStyle w:val="FootnoteText"/>
        <w:rPr>
          <w:rFonts w:eastAsia="Calibri"/>
          <w:color w:val="000000" w:themeColor="text1"/>
        </w:rPr>
      </w:pPr>
      <w:r>
        <w:rPr>
          <w:rStyle w:val="FootnoteReference"/>
        </w:rPr>
        <w:footnoteRef/>
      </w:r>
      <w:r>
        <w:tab/>
      </w:r>
      <w:r>
        <w:rPr>
          <w:color w:val="000000" w:themeColor="text1"/>
        </w:rPr>
        <w:t>[</w:t>
      </w:r>
      <w:r>
        <w:t xml:space="preserve">Υπηρεσία Εκδόσεων: να προστεθεί παραπομπή στην </w:t>
      </w:r>
      <w:r>
        <w:rPr>
          <w:color w:val="000000" w:themeColor="text1"/>
        </w:rPr>
        <w:t>Έκθεση</w:t>
      </w:r>
      <w:r>
        <w:t xml:space="preserve"> της Επιτροπής προς το Ευρωπαϊκό Κοινοβούλιο, το Συμβούλιο και την Ευρωπαϊκή Οικονομική κ</w:t>
      </w:r>
      <w:r>
        <w:t xml:space="preserve">αι Κοινωνική Επιτροπή σχετικά με τις ρήτρες επανεξέτασης των οδηγιών 2013/34/ΕΕ, 2014/95/ΕΕ και 2013/50/ΕΕ, </w:t>
      </w:r>
      <w:r>
        <w:rPr>
          <w:color w:val="000000" w:themeColor="text1"/>
        </w:rPr>
        <w:t xml:space="preserve">καθώς και στο συνοδευτικό έγγραφο εργασίας των υπηρεσιών της Επιτροπής σχετικά με τον έλεγχο </w:t>
      </w:r>
      <w:proofErr w:type="spellStart"/>
      <w:r>
        <w:rPr>
          <w:color w:val="000000" w:themeColor="text1"/>
        </w:rPr>
        <w:t>καταλληλότητας</w:t>
      </w:r>
      <w:proofErr w:type="spellEnd"/>
      <w:r>
        <w:t>]</w:t>
      </w:r>
      <w:r>
        <w:rPr>
          <w:color w:val="000000" w:themeColor="text1"/>
        </w:rPr>
        <w:t>.</w:t>
      </w:r>
    </w:p>
  </w:footnote>
  <w:footnote w:id="19">
    <w:p w14:paraId="5E6B03EE" w14:textId="77777777" w:rsidR="00680C0B" w:rsidRDefault="00A8232D">
      <w:pPr>
        <w:pStyle w:val="FootnoteText"/>
        <w:rPr>
          <w:rFonts w:eastAsia="Calibri"/>
          <w:color w:val="000000" w:themeColor="text1"/>
        </w:rPr>
      </w:pPr>
      <w:r>
        <w:rPr>
          <w:rStyle w:val="FootnoteReference"/>
        </w:rPr>
        <w:footnoteRef/>
      </w:r>
      <w:r>
        <w:tab/>
      </w:r>
      <w:hyperlink r:id="rId1" w:history="1">
        <w:r>
          <w:rPr>
            <w:rStyle w:val="Hyperlink"/>
          </w:rPr>
          <w:t>https://www.efrag.org/Lab2</w:t>
        </w:r>
      </w:hyperlink>
      <w:r>
        <w:rPr>
          <w:color w:val="000000" w:themeColor="text1"/>
        </w:rPr>
        <w:t xml:space="preserve"> </w:t>
      </w:r>
    </w:p>
  </w:footnote>
  <w:footnote w:id="20">
    <w:p w14:paraId="4A82972E" w14:textId="77777777" w:rsidR="00680C0B" w:rsidRDefault="00A8232D">
      <w:pPr>
        <w:pStyle w:val="FootnoteText"/>
        <w:rPr>
          <w:color w:val="000000" w:themeColor="text1"/>
        </w:rPr>
      </w:pPr>
      <w:r>
        <w:rPr>
          <w:rStyle w:val="FootnoteReference"/>
        </w:rPr>
        <w:footnoteRef/>
      </w:r>
      <w:r>
        <w:tab/>
      </w:r>
      <w:hyperlink r:id="rId2" w:history="1">
        <w:r>
          <w:rPr>
            <w:rStyle w:val="Hyperlink"/>
          </w:rPr>
          <w:t>https://www.efrag.org/Assets/Download?assetUrl=%2fsites%2fwebpublishing%2fSiteAssets%2fJean-Paul%2520Gauz%c3%a8s%2520-%2520Ad%2520Personam%2520Mandate%2520-%2520Final%2520Report%2520-%252005-03-2</w:t>
        </w:r>
        <w:r>
          <w:rPr>
            <w:rStyle w:val="Hyperlink"/>
          </w:rPr>
          <w:t>021.pdf</w:t>
        </w:r>
      </w:hyperlink>
      <w:r>
        <w:rPr>
          <w:color w:val="000000" w:themeColor="text1"/>
        </w:rPr>
        <w:t xml:space="preserve"> </w:t>
      </w:r>
    </w:p>
  </w:footnote>
  <w:footnote w:id="21">
    <w:p w14:paraId="0EEE91C3" w14:textId="77777777" w:rsidR="00680C0B" w:rsidRDefault="00A8232D">
      <w:pPr>
        <w:pStyle w:val="FootnoteText"/>
        <w:rPr>
          <w:color w:val="000000" w:themeColor="text1"/>
        </w:rPr>
      </w:pPr>
      <w:r>
        <w:rPr>
          <w:rStyle w:val="FootnoteReference"/>
        </w:rPr>
        <w:footnoteRef/>
      </w:r>
      <w:r>
        <w:tab/>
      </w:r>
      <w:proofErr w:type="spellStart"/>
      <w:r>
        <w:rPr>
          <w:color w:val="000000" w:themeColor="text1"/>
        </w:rPr>
        <w:t>Stud</w:t>
      </w:r>
      <w:r>
        <w:rPr>
          <w:color w:val="000000" w:themeColor="text1"/>
        </w:rPr>
        <w:t>y</w:t>
      </w:r>
      <w:proofErr w:type="spellEnd"/>
      <w:r>
        <w:rPr>
          <w:color w:val="000000" w:themeColor="text1"/>
        </w:rPr>
        <w:t xml:space="preserve"> on the Non-</w:t>
      </w:r>
      <w:proofErr w:type="spellStart"/>
      <w:r>
        <w:rPr>
          <w:color w:val="000000" w:themeColor="text1"/>
        </w:rPr>
        <w:t>Financial</w:t>
      </w:r>
      <w:proofErr w:type="spellEnd"/>
      <w:r>
        <w:rPr>
          <w:color w:val="000000" w:themeColor="text1"/>
        </w:rPr>
        <w:t xml:space="preserve"> </w:t>
      </w:r>
      <w:proofErr w:type="spellStart"/>
      <w:r>
        <w:rPr>
          <w:color w:val="000000" w:themeColor="text1"/>
        </w:rPr>
        <w:t>Reporting</w:t>
      </w:r>
      <w:proofErr w:type="spellEnd"/>
      <w:r>
        <w:rPr>
          <w:color w:val="000000" w:themeColor="text1"/>
        </w:rPr>
        <w:t xml:space="preserve"> </w:t>
      </w:r>
      <w:proofErr w:type="spellStart"/>
      <w:r>
        <w:rPr>
          <w:color w:val="000000" w:themeColor="text1"/>
        </w:rPr>
        <w:t>Directive</w:t>
      </w:r>
      <w:proofErr w:type="spellEnd"/>
      <w:r>
        <w:rPr>
          <w:color w:val="000000" w:themeColor="text1"/>
        </w:rPr>
        <w:t xml:space="preserve"> </w:t>
      </w:r>
      <w:r>
        <w:t>(Μελέτη σχετικά με την οδηγία για τη δημοσιοποίηση μη χρηματοοικονομικών πληροφοριών)</w:t>
      </w:r>
      <w:hyperlink r:id="rId3" w:history="1">
        <w:r>
          <w:rPr>
            <w:rStyle w:val="Hyperlink"/>
          </w:rPr>
          <w:t>https://data.europa.eu/doi/10.2874/229601</w:t>
        </w:r>
      </w:hyperlink>
      <w:r>
        <w:rPr>
          <w:color w:val="000000" w:themeColor="text1"/>
        </w:rPr>
        <w:t>.</w:t>
      </w:r>
    </w:p>
  </w:footnote>
  <w:footnote w:id="22">
    <w:p w14:paraId="715A9557" w14:textId="77777777" w:rsidR="00680C0B" w:rsidRDefault="00A8232D">
      <w:pPr>
        <w:pStyle w:val="FootnoteText"/>
        <w:rPr>
          <w:color w:val="000000" w:themeColor="text1"/>
        </w:rPr>
      </w:pPr>
      <w:r>
        <w:rPr>
          <w:rStyle w:val="FootnoteReference"/>
        </w:rPr>
        <w:footnoteRef/>
      </w:r>
      <w:r>
        <w:tab/>
      </w:r>
      <w:proofErr w:type="spellStart"/>
      <w:r>
        <w:rPr>
          <w:color w:val="000000" w:themeColor="text1"/>
        </w:rPr>
        <w:t>Study</w:t>
      </w:r>
      <w:proofErr w:type="spellEnd"/>
      <w:r>
        <w:rPr>
          <w:color w:val="000000" w:themeColor="text1"/>
        </w:rPr>
        <w:t xml:space="preserve"> on </w:t>
      </w:r>
      <w:proofErr w:type="spellStart"/>
      <w:r>
        <w:rPr>
          <w:color w:val="000000" w:themeColor="text1"/>
        </w:rPr>
        <w:t>sustainability</w:t>
      </w:r>
      <w:proofErr w:type="spellEnd"/>
      <w:r>
        <w:rPr>
          <w:color w:val="000000" w:themeColor="text1"/>
        </w:rPr>
        <w:t xml:space="preserve"> </w:t>
      </w:r>
      <w:proofErr w:type="spellStart"/>
      <w:r>
        <w:rPr>
          <w:color w:val="000000" w:themeColor="text1"/>
        </w:rPr>
        <w:t>ratings</w:t>
      </w:r>
      <w:proofErr w:type="spellEnd"/>
      <w:r>
        <w:rPr>
          <w:color w:val="000000" w:themeColor="text1"/>
        </w:rPr>
        <w:t xml:space="preserve">, </w:t>
      </w:r>
      <w:proofErr w:type="spellStart"/>
      <w:r>
        <w:rPr>
          <w:color w:val="000000" w:themeColor="text1"/>
        </w:rPr>
        <w:t>data</w:t>
      </w:r>
      <w:proofErr w:type="spellEnd"/>
      <w:r>
        <w:rPr>
          <w:color w:val="000000" w:themeColor="text1"/>
        </w:rPr>
        <w:t xml:space="preserve"> and </w:t>
      </w:r>
      <w:proofErr w:type="spellStart"/>
      <w:r>
        <w:rPr>
          <w:color w:val="000000" w:themeColor="text1"/>
        </w:rPr>
        <w:t>research</w:t>
      </w:r>
      <w:proofErr w:type="spellEnd"/>
      <w:r>
        <w:rPr>
          <w:color w:val="000000" w:themeColor="text1"/>
        </w:rPr>
        <w:t xml:space="preserve"> (Μελέτη για τις αξιολογήσεις, τα δεδομένα και την έρευνα όσον αφορά τη βιωσιμότητα): </w:t>
      </w:r>
      <w:hyperlink r:id="rId4" w:history="1">
        <w:r>
          <w:rPr>
            <w:rStyle w:val="Hyperlink"/>
            <w:color w:val="000000" w:themeColor="text1"/>
          </w:rPr>
          <w:t>https://op.e</w:t>
        </w:r>
        <w:r>
          <w:rPr>
            <w:rStyle w:val="Hyperlink"/>
            <w:color w:val="000000" w:themeColor="text1"/>
          </w:rPr>
          <w:t>uropa.eu/el/publication-detail/-/publication/d7d85036-509c-11eb-b59f-01aa75ed71a1</w:t>
        </w:r>
      </w:hyperlink>
      <w:r>
        <w:t>.</w:t>
      </w:r>
      <w:r>
        <w:rPr>
          <w:color w:val="000000" w:themeColor="text1"/>
        </w:rPr>
        <w:t xml:space="preserve"> </w:t>
      </w:r>
    </w:p>
  </w:footnote>
  <w:footnote w:id="23">
    <w:p w14:paraId="3B2030F4" w14:textId="77777777" w:rsidR="00680C0B" w:rsidRDefault="00A8232D">
      <w:pPr>
        <w:pStyle w:val="FootnoteText"/>
        <w:rPr>
          <w:color w:val="000000" w:themeColor="text1"/>
        </w:rPr>
      </w:pPr>
      <w:r>
        <w:rPr>
          <w:rStyle w:val="FootnoteReference"/>
        </w:rPr>
        <w:footnoteRef/>
      </w:r>
      <w:r>
        <w:tab/>
      </w:r>
      <w:r>
        <w:rPr>
          <w:color w:val="000000" w:themeColor="text1"/>
        </w:rPr>
        <w:t>Υπηρε</w:t>
      </w:r>
      <w:r>
        <w:rPr>
          <w:color w:val="000000" w:themeColor="text1"/>
        </w:rPr>
        <w:t>σία Εκδόσεων: να προστεθεί ο σύνδεσμος προς την εκτίμηση επιπτώσεων SWD(2021) 150.</w:t>
      </w:r>
    </w:p>
  </w:footnote>
  <w:footnote w:id="24">
    <w:p w14:paraId="5D02CE57" w14:textId="77777777" w:rsidR="00680C0B" w:rsidRDefault="00A8232D">
      <w:pPr>
        <w:pStyle w:val="FootnoteText"/>
        <w:rPr>
          <w:color w:val="000000" w:themeColor="text1"/>
        </w:rPr>
      </w:pPr>
      <w:r>
        <w:rPr>
          <w:rStyle w:val="FootnoteReference"/>
        </w:rPr>
        <w:footnoteRef/>
      </w:r>
      <w:r>
        <w:tab/>
      </w:r>
      <w:r>
        <w:rPr>
          <w:color w:val="000000" w:themeColor="text1"/>
        </w:rPr>
        <w:t>Υπηρεσία Εκδόσεων: να προστεθεί ο σύνδεσμος προς τη γνώμη της επιτροπής ρυθμιστικού ελέγχου σχετικά με την εκτίμηση επιπτώσεων SWD(2021) 150.</w:t>
      </w:r>
    </w:p>
  </w:footnote>
  <w:footnote w:id="25">
    <w:p w14:paraId="4FB2C74E" w14:textId="77777777" w:rsidR="00680C0B" w:rsidRDefault="00A8232D">
      <w:pPr>
        <w:pStyle w:val="FootnoteText"/>
        <w:rPr>
          <w:rFonts w:eastAsia="Calibri"/>
          <w:color w:val="000000" w:themeColor="text1"/>
        </w:rPr>
      </w:pPr>
      <w:r>
        <w:rPr>
          <w:rStyle w:val="FootnoteReference"/>
        </w:rPr>
        <w:footnoteRef/>
      </w:r>
      <w:r>
        <w:tab/>
      </w:r>
      <w:r>
        <w:rPr>
          <w:color w:val="000000" w:themeColor="text1"/>
        </w:rPr>
        <w:t xml:space="preserve">Το εκτιμώμενο </w:t>
      </w:r>
      <w:r>
        <w:rPr>
          <w:color w:val="000000" w:themeColor="text1"/>
        </w:rPr>
        <w:t>μέγεθος των δαπανών αυτών περιλαμβάνεται στην εκτίμηση επιπτώσεων της κατ’ εξουσιοδότηση πράξης για την ταξινόμηση του μετριασμού της κλιματικής αλλαγής και της προσαρμογής σε αυτήν [C(2021) 2800· εκτίμηση επιπτώσεων SWD(2021) 152]: εφάπαξ δαπάνες ύψους 1 </w:t>
      </w:r>
      <w:r>
        <w:rPr>
          <w:color w:val="000000" w:themeColor="text1"/>
        </w:rPr>
        <w:t>200 EUR – 3 700 εκατ. EUR και επαναλαμβανόμενες δαπάνες ύψους 600 EUR – 1 500 εκατ. EUR ετησίως.</w:t>
      </w:r>
    </w:p>
  </w:footnote>
  <w:footnote w:id="26">
    <w:p w14:paraId="1894E42A" w14:textId="77777777" w:rsidR="00680C0B" w:rsidRDefault="00A8232D">
      <w:pPr>
        <w:pStyle w:val="FootnoteText"/>
        <w:rPr>
          <w:color w:val="000000" w:themeColor="text1"/>
        </w:rPr>
      </w:pPr>
      <w:r>
        <w:rPr>
          <w:rStyle w:val="FootnoteReference"/>
        </w:rPr>
        <w:footnoteRef/>
      </w:r>
      <w:r>
        <w:tab/>
      </w:r>
      <w:r>
        <w:rPr>
          <w:color w:val="000000" w:themeColor="text1"/>
        </w:rPr>
        <w:t>Οι υπολογισμοί αυτοί βασίζονται στις απαντήσεις στην έρευνα που πραγματοποίησε το Ινστιτούτο Βιωσιμότητας (ERM), στο πλαίσιο της μελέτης που εκπόνησε σχετικά</w:t>
      </w:r>
      <w:r>
        <w:rPr>
          <w:color w:val="000000" w:themeColor="text1"/>
        </w:rPr>
        <w:t xml:space="preserve"> με τις αξιολογήσεις και την έρευνα βιωσιμότητας</w:t>
      </w:r>
      <w:r>
        <w:t xml:space="preserve"> (</w:t>
      </w:r>
      <w:hyperlink r:id="rId5" w:history="1">
        <w:r>
          <w:rPr>
            <w:rStyle w:val="FootnoteReference"/>
            <w:color w:val="000000" w:themeColor="text1"/>
            <w:vertAlign w:val="baseline"/>
          </w:rPr>
          <w:t>https://op.europa.eu/el/publication-detail/-/publication/d7d85036-509c-11eb-b59f-01aa75ed71a1/lang</w:t>
        </w:r>
        <w:r>
          <w:rPr>
            <w:rStyle w:val="FootnoteReference"/>
            <w:color w:val="000000" w:themeColor="text1"/>
            <w:vertAlign w:val="baseline"/>
          </w:rPr>
          <w:t>uage-el/format-PDF/source-183474104</w:t>
        </w:r>
      </w:hyperlink>
      <w:r>
        <w:rPr>
          <w:rStyle w:val="FootnoteReference"/>
          <w:color w:val="000000" w:themeColor="text1"/>
          <w:vertAlign w:val="baseline"/>
        </w:rPr>
        <w:t>).</w:t>
      </w:r>
    </w:p>
  </w:footnote>
  <w:footnote w:id="27">
    <w:p w14:paraId="2301D728" w14:textId="77777777" w:rsidR="00680C0B" w:rsidRDefault="00A8232D">
      <w:pPr>
        <w:pStyle w:val="FootnoteText"/>
        <w:rPr>
          <w:color w:val="000000" w:themeColor="text1"/>
        </w:rPr>
      </w:pPr>
      <w:r>
        <w:rPr>
          <w:rStyle w:val="FootnoteReference"/>
        </w:rPr>
        <w:footnoteRef/>
      </w:r>
      <w:r>
        <w:tab/>
      </w:r>
      <w:r>
        <w:rPr>
          <w:color w:val="000000" w:themeColor="text1"/>
        </w:rPr>
        <w:t>Με εξαίρεση τις εισηγμένες πολύ μικρές επιχειρήσεις</w:t>
      </w:r>
      <w:r>
        <w:rPr>
          <w:color w:val="000000" w:themeColor="text1"/>
        </w:rPr>
        <w:t>.</w:t>
      </w:r>
    </w:p>
  </w:footnote>
  <w:footnote w:id="28">
    <w:p w14:paraId="18A7E057" w14:textId="77777777" w:rsidR="00680C0B" w:rsidRDefault="00A8232D">
      <w:pPr>
        <w:pStyle w:val="FootnoteText"/>
        <w:rPr>
          <w:color w:val="000000" w:themeColor="text1"/>
        </w:rPr>
      </w:pPr>
      <w:r>
        <w:rPr>
          <w:rStyle w:val="FootnoteReference"/>
        </w:rPr>
        <w:footnoteRef/>
      </w:r>
      <w:r>
        <w:tab/>
      </w:r>
      <w:r>
        <w:t>Η γλώσσα σήμανσης είναι μια υπολογιστική γλώσσα, η οποία χρησιμοποιεί συγκεκριμένη τεχνική κωδικοποίησης («ετικέτες») για τον καθορισμό στοιχείων μέσα σε ένα έγγραφο, παρέχοντας τη δυνατότητα παρουσίασης των πληροφοριών κατά τέτοιον τρόπο ώστε να είναι</w:t>
      </w:r>
      <w:r>
        <w:t xml:space="preserve"> αναγνώσιμες τόσο από μηχανές όσο και από ανθρώπους.</w:t>
      </w:r>
    </w:p>
  </w:footnote>
  <w:footnote w:id="29">
    <w:p w14:paraId="7B563607" w14:textId="77777777" w:rsidR="00680C0B" w:rsidRDefault="00A8232D">
      <w:pPr>
        <w:pStyle w:val="FootnoteText"/>
        <w:rPr>
          <w:color w:val="000000" w:themeColor="text1"/>
        </w:rPr>
      </w:pPr>
      <w:r>
        <w:rPr>
          <w:rStyle w:val="FootnoteReference"/>
        </w:rPr>
        <w:footnoteRef/>
      </w:r>
      <w:r>
        <w:tab/>
      </w:r>
      <w:r>
        <w:rPr>
          <w:color w:val="000000" w:themeColor="text1"/>
        </w:rPr>
        <w:t>Το στοιχείο γ) αναφέρεται στα συστήματα εσωτερικού ελέγχου και διαχείρισης κινδύνων σε σχέση με τη διαδικασία σύνταξης των χρηματοοικονομικών καταστάσεων. Το στοιχείο </w:t>
      </w:r>
      <w:proofErr w:type="spellStart"/>
      <w:r>
        <w:rPr>
          <w:color w:val="000000" w:themeColor="text1"/>
        </w:rPr>
        <w:t>στ</w:t>
      </w:r>
      <w:proofErr w:type="spellEnd"/>
      <w:r>
        <w:rPr>
          <w:color w:val="000000" w:themeColor="text1"/>
        </w:rPr>
        <w:t>) αναφέρεται στη σύνθεση και τον</w:t>
      </w:r>
      <w:r>
        <w:rPr>
          <w:color w:val="000000" w:themeColor="text1"/>
        </w:rPr>
        <w:t xml:space="preserve"> τρόπο λειτουργίας των διοικητικών, διαχειριστικών και εποπτικών οργάνων. </w:t>
      </w:r>
      <w:r>
        <w:t>Το στοιχείο ζ) αναφέρεται στην πολιτική σχετικά με την πολυμορφία που εφαρμόζεται για τα διοικητικά, διαχειριστικά και εποπτικά όργανα της επιχείρησης.</w:t>
      </w:r>
    </w:p>
  </w:footnote>
  <w:footnote w:id="30">
    <w:p w14:paraId="3563B53C" w14:textId="77777777" w:rsidR="00680C0B" w:rsidRDefault="00A8232D">
      <w:pPr>
        <w:pStyle w:val="FootnoteText"/>
        <w:rPr>
          <w:lang w:val="en-US"/>
        </w:rPr>
      </w:pPr>
      <w:r>
        <w:rPr>
          <w:rStyle w:val="FootnoteReference"/>
        </w:rPr>
        <w:footnoteRef/>
      </w:r>
      <w:r>
        <w:rPr>
          <w:lang w:val="en-US"/>
        </w:rPr>
        <w:tab/>
      </w:r>
      <w:r>
        <w:t>ΕΕ</w:t>
      </w:r>
      <w:r>
        <w:rPr>
          <w:lang w:val="en-US"/>
        </w:rPr>
        <w:t xml:space="preserve"> C […] </w:t>
      </w:r>
      <w:r>
        <w:t>της</w:t>
      </w:r>
      <w:r>
        <w:rPr>
          <w:lang w:val="en-US"/>
        </w:rPr>
        <w:t xml:space="preserve"> […], </w:t>
      </w:r>
      <w:r>
        <w:t>σ</w:t>
      </w:r>
      <w:r>
        <w:rPr>
          <w:lang w:val="en-US"/>
        </w:rPr>
        <w:t>. […].</w:t>
      </w:r>
    </w:p>
  </w:footnote>
  <w:footnote w:id="31">
    <w:p w14:paraId="4D2CA107" w14:textId="77777777" w:rsidR="00680C0B" w:rsidRDefault="00A8232D">
      <w:pPr>
        <w:pStyle w:val="FootnoteText"/>
        <w:rPr>
          <w:lang w:val="en-US"/>
        </w:rPr>
      </w:pPr>
      <w:r>
        <w:rPr>
          <w:rStyle w:val="FootnoteReference"/>
        </w:rPr>
        <w:footnoteRef/>
      </w:r>
      <w:r>
        <w:rPr>
          <w:lang w:val="en-US"/>
        </w:rPr>
        <w:tab/>
      </w:r>
      <w:proofErr w:type="gramStart"/>
      <w:r>
        <w:rPr>
          <w:lang w:val="en-US"/>
        </w:rPr>
        <w:t>COM(</w:t>
      </w:r>
      <w:proofErr w:type="gramEnd"/>
      <w:r>
        <w:rPr>
          <w:lang w:val="en-US"/>
        </w:rPr>
        <w:t>2019) 640 final.</w:t>
      </w:r>
    </w:p>
  </w:footnote>
  <w:footnote w:id="32">
    <w:p w14:paraId="442A6867" w14:textId="77777777" w:rsidR="00680C0B" w:rsidRDefault="00A8232D">
      <w:pPr>
        <w:pStyle w:val="FootnoteText"/>
      </w:pPr>
      <w:r>
        <w:rPr>
          <w:rStyle w:val="FootnoteReference"/>
        </w:rPr>
        <w:footnoteRef/>
      </w:r>
      <w:r>
        <w:tab/>
      </w:r>
      <w:r>
        <w:t>Οδηγία 2013/34/EE του Ευρωπαϊκού Κοινοβουλίου και του Συμβουλίου, της 26ης Ιουνίου 2013, σχετικά με τις ετήσιες οικονομικές καταστάσεις, τις ενοποιημένες οικονομικές καταστάσεις και συναφείς εκθέσεις επιχειρήσεων ορισμένων μορφών, τη</w:t>
      </w:r>
      <w:r>
        <w:t>ν τροποποίηση της οδηγίας 2006/43/ΕΚ του Ευρωπαϊκού Κοινοβουλίου και του Συμβουλίου και την κατάργηση των οδηγιών 78/660/EOK και 83/349/ΕΟΚ του Συμβουλίου (ΕΕ L 182 της 29.6.2013, σ. 19).</w:t>
      </w:r>
    </w:p>
  </w:footnote>
  <w:footnote w:id="33">
    <w:p w14:paraId="29F40F9C" w14:textId="77777777" w:rsidR="00680C0B" w:rsidRDefault="00A8232D">
      <w:pPr>
        <w:pStyle w:val="FootnoteText"/>
      </w:pPr>
      <w:r>
        <w:rPr>
          <w:rStyle w:val="FootnoteReference"/>
        </w:rPr>
        <w:footnoteRef/>
      </w:r>
      <w:r>
        <w:tab/>
      </w:r>
      <w:r>
        <w:t xml:space="preserve">Πρόταση κανονισμού του Ευρωπαϊκού Κοινοβουλίου και του Συμβουλίου </w:t>
      </w:r>
      <w:r>
        <w:t>για τη θέσπιση πλαισίου με στόχο την επίτευξη κλιματικής ουδετερότητας και για την τροποποίηση του κανονισμού (ΕΕ) 2018/1999 (ευρωπαϊκός νόμος για το κλίμα) [2020/0036 (COD)].</w:t>
      </w:r>
    </w:p>
  </w:footnote>
  <w:footnote w:id="34">
    <w:p w14:paraId="1307A57F" w14:textId="77777777" w:rsidR="00680C0B" w:rsidRDefault="00A8232D">
      <w:pPr>
        <w:pStyle w:val="FootnoteText"/>
      </w:pPr>
      <w:r>
        <w:rPr>
          <w:rStyle w:val="FootnoteReference"/>
        </w:rPr>
        <w:footnoteRef/>
      </w:r>
      <w:r>
        <w:tab/>
      </w:r>
      <w:r>
        <w:t>COM(2018) 97 </w:t>
      </w:r>
      <w:proofErr w:type="spellStart"/>
      <w:r>
        <w:t>final</w:t>
      </w:r>
      <w:proofErr w:type="spellEnd"/>
      <w:r>
        <w:t>.</w:t>
      </w:r>
    </w:p>
  </w:footnote>
  <w:footnote w:id="35">
    <w:p w14:paraId="2764BA1A" w14:textId="77777777" w:rsidR="00680C0B" w:rsidRDefault="00A8232D">
      <w:pPr>
        <w:pStyle w:val="FootnoteText"/>
      </w:pPr>
      <w:r>
        <w:rPr>
          <w:rStyle w:val="FootnoteReference"/>
        </w:rPr>
        <w:footnoteRef/>
      </w:r>
      <w:r>
        <w:tab/>
      </w:r>
      <w:r>
        <w:t xml:space="preserve">Κανονισμός (ΕΕ) 2019/2088 του Ευρωπαϊκού </w:t>
      </w:r>
      <w:r>
        <w:t xml:space="preserve">Κοινοβουλίου και του Συμβουλίου, της 27ης Νοεμβρίου 2019, περί γνωστοποιήσεων </w:t>
      </w:r>
      <w:proofErr w:type="spellStart"/>
      <w:r>
        <w:t>αειφορίας</w:t>
      </w:r>
      <w:proofErr w:type="spellEnd"/>
      <w:r>
        <w:t xml:space="preserve"> στον τομέα των χρηματοπιστωτικών υπηρεσιών (ΕΕ L 317 της 9.12.2019, σ. 1).</w:t>
      </w:r>
    </w:p>
  </w:footnote>
  <w:footnote w:id="36">
    <w:p w14:paraId="5E443D6D" w14:textId="77777777" w:rsidR="00680C0B" w:rsidRDefault="00A8232D">
      <w:pPr>
        <w:pStyle w:val="FootnoteText"/>
      </w:pPr>
      <w:r>
        <w:rPr>
          <w:rStyle w:val="FootnoteReference"/>
        </w:rPr>
        <w:footnoteRef/>
      </w:r>
      <w:r>
        <w:tab/>
      </w:r>
      <w:r>
        <w:t>Κανονισμός (ΕΕ) 2020/852 του Ευρωπαϊκού Κοινοβουλίου και του Συμβουλίου, της 18ης Ιουνίου 2</w:t>
      </w:r>
      <w:r>
        <w:t>020, σχετικά με τη θέσπιση πλαισίου για τη διευκόλυνση των βιώσιμων επενδύσεων και για την τροποποίηση του κανονισμού (ΕΕ) 2019/2088 (ΕΕ L 198 της 22.6.2020, σ. 13).</w:t>
      </w:r>
    </w:p>
  </w:footnote>
  <w:footnote w:id="37">
    <w:p w14:paraId="7AF57176" w14:textId="77777777" w:rsidR="00680C0B" w:rsidRDefault="00A8232D">
      <w:pPr>
        <w:pStyle w:val="FootnoteText"/>
      </w:pPr>
      <w:r>
        <w:rPr>
          <w:rStyle w:val="FootnoteReference"/>
        </w:rPr>
        <w:footnoteRef/>
      </w:r>
      <w:r>
        <w:tab/>
      </w:r>
      <w:r>
        <w:t>Κανονισμός (ΕΕ) 2019/2089 του Ευρωπαϊκού Κοινοβουλίου και του Συμβουλίου, της 27ης Νοεμβ</w:t>
      </w:r>
      <w:r>
        <w:t xml:space="preserve">ρίου 2019, για την τροποποίηση του κανονισμού (ΕΕ) 2016/1011 σχετικά με τους </w:t>
      </w:r>
      <w:proofErr w:type="spellStart"/>
      <w:r>
        <w:t>ενωσιακούς</w:t>
      </w:r>
      <w:proofErr w:type="spellEnd"/>
      <w:r>
        <w:t xml:space="preserve"> δείκτες αναφοράς για την κλιματική μετάβαση και τους ευθυγραμμισμένους με τη συμφωνία του Παρισιού </w:t>
      </w:r>
      <w:proofErr w:type="spellStart"/>
      <w:r>
        <w:t>ενωσιακούς</w:t>
      </w:r>
      <w:proofErr w:type="spellEnd"/>
      <w:r>
        <w:t xml:space="preserve"> δείκτες αναφοράς καθώς και τις γνωστοποιήσεις σχετικά με τ</w:t>
      </w:r>
      <w:r>
        <w:t xml:space="preserve">ην </w:t>
      </w:r>
      <w:proofErr w:type="spellStart"/>
      <w:r>
        <w:t>αειφορία</w:t>
      </w:r>
      <w:proofErr w:type="spellEnd"/>
      <w:r>
        <w:t xml:space="preserve"> για τους </w:t>
      </w:r>
      <w:proofErr w:type="spellStart"/>
      <w:r>
        <w:t>ενωσιακούς</w:t>
      </w:r>
      <w:proofErr w:type="spellEnd"/>
      <w:r>
        <w:t xml:space="preserve"> δείκτες (ΕΕ L 317 της 9.12.2019, σ. 17).</w:t>
      </w:r>
    </w:p>
  </w:footnote>
  <w:footnote w:id="38">
    <w:p w14:paraId="350EA72A" w14:textId="77777777" w:rsidR="00680C0B" w:rsidRDefault="00A8232D">
      <w:pPr>
        <w:pStyle w:val="FootnoteText"/>
      </w:pPr>
      <w:r>
        <w:rPr>
          <w:rStyle w:val="FootnoteReference"/>
        </w:rPr>
        <w:footnoteRef/>
      </w:r>
      <w:r>
        <w:tab/>
      </w:r>
      <w:r>
        <w:t>Κατ’ εξουσιοδότηση κανονισμός (ΕΕ) 2020/1816 της Επιτροπής, της 17ης Ιουλίου 2020, για τη συμπλήρωση του κανονισμού (ΕΕ) 2016/1011 του Ευρωπαϊκού Κοινοβουλίου και του Συμβουλίου όσο</w:t>
      </w:r>
      <w:r>
        <w:t>ν αφορά την εξήγηση, στη δήλωση δείκτη αναφοράς, του τρόπου με τον οποίο αντικατοπτρίζονται περιβαλλοντικοί, κοινωνικοί και σχετικοί με τη διακυβέρνηση παράγοντες σε κάθε δείκτη αναφοράς που παρέχεται και δημοσιεύεται (ΕΕ L 406 της 3.12.2020, σ. 1).</w:t>
      </w:r>
    </w:p>
  </w:footnote>
  <w:footnote w:id="39">
    <w:p w14:paraId="0E2FD44C" w14:textId="77777777" w:rsidR="00680C0B" w:rsidRDefault="00A8232D">
      <w:pPr>
        <w:pStyle w:val="FootnoteText"/>
      </w:pPr>
      <w:r>
        <w:rPr>
          <w:rStyle w:val="FootnoteReference"/>
        </w:rPr>
        <w:footnoteRef/>
      </w:r>
      <w:r>
        <w:tab/>
      </w:r>
      <w:r>
        <w:t>Κατ’</w:t>
      </w:r>
      <w:r>
        <w:t xml:space="preserve"> εξουσιοδότηση κανονισμός (ΕΕ) 2020/1817 της Επιτροπής, της 17ης Ιουλίου 2020, για τη συμπλήρωση του κανονισμού (ΕΕ) 2016/1011 του Ευρωπαϊκού Κοινοβουλίου και του Συμβουλίου όσον αφορά το ελάχιστο περιεχόμενο της εξήγησης του τρόπου με τον οποίο αντικατοπτ</w:t>
      </w:r>
      <w:r>
        <w:t>ρίζονται περιβαλλοντικοί, κοινωνικοί και σχετικοί με τη διακυβέρνηση παράγοντες στη μεθοδολογία του δείκτη αναφοράς (ΕΕ L 406 της 3.12.2020, σ. 12).</w:t>
      </w:r>
    </w:p>
  </w:footnote>
  <w:footnote w:id="40">
    <w:p w14:paraId="5BF01983" w14:textId="77777777" w:rsidR="00680C0B" w:rsidRDefault="00A8232D">
      <w:pPr>
        <w:pStyle w:val="FootnoteText"/>
      </w:pPr>
      <w:r>
        <w:rPr>
          <w:rStyle w:val="FootnoteReference"/>
        </w:rPr>
        <w:footnoteRef/>
      </w:r>
      <w:r>
        <w:tab/>
      </w:r>
      <w:r>
        <w:t xml:space="preserve">Κατ’ εξουσιοδότηση κανονισμός (ΕΕ) 2020/1818 της Επιτροπής, της 17ης Ιουλίου 2020, για τη συμπλήρωση του </w:t>
      </w:r>
      <w:r>
        <w:t xml:space="preserve">κανονισμού (ΕΕ) 2016/1011 του Ευρωπαϊκού Κοινοβουλίου και του Συμβουλίου όσον αφορά ελάχιστα πρότυπα για </w:t>
      </w:r>
      <w:proofErr w:type="spellStart"/>
      <w:r>
        <w:t>ενωσιακούς</w:t>
      </w:r>
      <w:proofErr w:type="spellEnd"/>
      <w:r>
        <w:t xml:space="preserve"> δείκτες αναφοράς για την κλιματική μετάβαση και ευθυγραμμισμένους με τη συμφωνία του Παρισιού </w:t>
      </w:r>
      <w:proofErr w:type="spellStart"/>
      <w:r>
        <w:t>ενωσιακούς</w:t>
      </w:r>
      <w:proofErr w:type="spellEnd"/>
      <w:r>
        <w:t xml:space="preserve"> δείκτες αναφοράς (ΕΕ L 406 της 3.12</w:t>
      </w:r>
      <w:r>
        <w:t>.2020, σ. 17).</w:t>
      </w:r>
    </w:p>
  </w:footnote>
  <w:footnote w:id="41">
    <w:p w14:paraId="250F8F62" w14:textId="77777777" w:rsidR="00680C0B" w:rsidRDefault="00A8232D">
      <w:pPr>
        <w:pStyle w:val="FootnoteText"/>
      </w:pPr>
      <w:r>
        <w:rPr>
          <w:rStyle w:val="FootnoteReference"/>
        </w:rPr>
        <w:footnoteRef/>
      </w:r>
      <w:r>
        <w:tab/>
      </w:r>
      <w:r>
        <w:t>Κανονισμός (ΕΕ) αριθ. 575/2013 του Ευρωπαϊκού Κοινοβουλίου και του Συμβουλίου, της 26ης Ιουνίου 2013, σχετικά με τις απαιτήσεις προληπτικής εποπτείας για πιστωτικά ιδρύματα και επιχειρήσεις επενδύσεων και την τροποποίηση του κανονισμού (ΕΕ</w:t>
      </w:r>
      <w:r>
        <w:t>) αριθ. 648/2012 (ΕΕ L 176 της 27.6.2013, σ. 1).</w:t>
      </w:r>
    </w:p>
  </w:footnote>
  <w:footnote w:id="42">
    <w:p w14:paraId="60FC5F71" w14:textId="77777777" w:rsidR="00680C0B" w:rsidRDefault="00A8232D">
      <w:pPr>
        <w:pStyle w:val="FootnoteText"/>
      </w:pPr>
      <w:r>
        <w:rPr>
          <w:rStyle w:val="FootnoteReference"/>
        </w:rPr>
        <w:footnoteRef/>
      </w:r>
      <w:r>
        <w:tab/>
      </w:r>
      <w:r>
        <w:t>Κανονισμός (ΕΕ) 2019/2033 του Ευρωπαϊκού Κοινοβουλίου και του Συμβουλίου, της 27ης Νοεμβρίου 2019, σχετικά με τις απαιτήσεις προληπτικής εποπτείας επιχειρήσεων επενδύσεων και την τροποποίηση των κανονισμών</w:t>
      </w:r>
      <w:r>
        <w:t xml:space="preserve"> (ΕΕ) αριθ. 1093/2010, (ΕΕ) αριθ. 575/2013, (ΕΕ) αριθ. 600/2014 και (ΕΕ) αριθ. 806/2014 (ΕΕ L 314 της 5.12.2019, σ. 1).</w:t>
      </w:r>
    </w:p>
  </w:footnote>
  <w:footnote w:id="43">
    <w:p w14:paraId="4CE65EC5" w14:textId="77777777" w:rsidR="00680C0B" w:rsidRDefault="00A8232D">
      <w:pPr>
        <w:pStyle w:val="FootnoteText"/>
      </w:pPr>
      <w:r>
        <w:rPr>
          <w:rStyle w:val="FootnoteReference"/>
        </w:rPr>
        <w:footnoteRef/>
      </w:r>
      <w:r>
        <w:tab/>
      </w:r>
      <w:r>
        <w:t>Οδηγία (ΕΕ) 2019/2034 του Ευρωπαϊκού Κοινοβουλίου και του Συμβουλίου, της 27ης Νοεμβρίου 2019, σχετικά με την προληπτική εποπτεία επιχ</w:t>
      </w:r>
      <w:r>
        <w:t>ειρήσεων επενδύσεων και την τροποποίηση των οδηγιών 2002/87/ΕΚ, 2009/65/ΕΚ, 2011/61/ΕΕ, 2013/36/ΕΕ, 2014/59/ΕΕ και 2014/65/ΕΕ (</w:t>
      </w:r>
      <w:r>
        <w:rPr>
          <w:rStyle w:val="Emphasis"/>
          <w:i w:val="0"/>
        </w:rPr>
        <w:t>ΕΕ L 314 της 5.12.2019, σ. 64</w:t>
      </w:r>
      <w:r>
        <w:t>).</w:t>
      </w:r>
    </w:p>
  </w:footnote>
  <w:footnote w:id="44">
    <w:p w14:paraId="3CCE9AE9" w14:textId="77777777" w:rsidR="00680C0B" w:rsidRDefault="00A8232D">
      <w:pPr>
        <w:pStyle w:val="FootnoteText"/>
        <w:rPr>
          <w:lang w:val="en-US"/>
        </w:rPr>
      </w:pPr>
      <w:r>
        <w:rPr>
          <w:rStyle w:val="FootnoteReference"/>
        </w:rPr>
        <w:footnoteRef/>
      </w:r>
      <w:r>
        <w:rPr>
          <w:lang w:val="en-US"/>
        </w:rPr>
        <w:tab/>
        <w:t>2018/2007(INI).</w:t>
      </w:r>
    </w:p>
  </w:footnote>
  <w:footnote w:id="45">
    <w:p w14:paraId="5D19B356" w14:textId="77777777" w:rsidR="00680C0B" w:rsidRDefault="00A8232D">
      <w:pPr>
        <w:pStyle w:val="FootnoteText"/>
        <w:rPr>
          <w:lang w:val="en-US"/>
        </w:rPr>
      </w:pPr>
      <w:r>
        <w:rPr>
          <w:rStyle w:val="FootnoteReference"/>
        </w:rPr>
        <w:footnoteRef/>
      </w:r>
      <w:r>
        <w:rPr>
          <w:lang w:val="en-US"/>
        </w:rPr>
        <w:tab/>
        <w:t>A9-0240/2020 (INI).</w:t>
      </w:r>
    </w:p>
  </w:footnote>
  <w:footnote w:id="46">
    <w:p w14:paraId="3E01CA27" w14:textId="77777777" w:rsidR="00680C0B" w:rsidRDefault="00A8232D">
      <w:pPr>
        <w:pStyle w:val="FootnoteText"/>
        <w:rPr>
          <w:lang w:val="en-US"/>
        </w:rPr>
      </w:pPr>
      <w:r>
        <w:rPr>
          <w:rStyle w:val="FootnoteReference"/>
        </w:rPr>
        <w:footnoteRef/>
      </w:r>
      <w:r>
        <w:rPr>
          <w:lang w:val="en-US"/>
        </w:rPr>
        <w:tab/>
      </w:r>
      <w:proofErr w:type="gramStart"/>
      <w:r>
        <w:rPr>
          <w:lang w:val="en-US"/>
        </w:rPr>
        <w:t>COM(</w:t>
      </w:r>
      <w:proofErr w:type="gramEnd"/>
      <w:r>
        <w:rPr>
          <w:lang w:val="en-US"/>
        </w:rPr>
        <w:t>2016) 739 final.</w:t>
      </w:r>
    </w:p>
  </w:footnote>
  <w:footnote w:id="47">
    <w:p w14:paraId="65B500D3" w14:textId="77777777" w:rsidR="00680C0B" w:rsidRDefault="00A8232D">
      <w:pPr>
        <w:pStyle w:val="FootnoteText"/>
      </w:pPr>
      <w:r>
        <w:rPr>
          <w:rStyle w:val="FootnoteReference"/>
        </w:rPr>
        <w:footnoteRef/>
      </w:r>
      <w:r>
        <w:tab/>
      </w:r>
      <w:r>
        <w:t>Συμπεράσματα του Συμβουλίου με θ</w:t>
      </w:r>
      <w:r>
        <w:t xml:space="preserve">έμα «Βιώσιμο ευρωπαϊκό μέλλον: η ανταπόκριση της ΕΕ στην Ατζέντα του 2030 για τη βιώσιμη ανάπτυξη», 20 Ιουνίου 2017. </w:t>
      </w:r>
    </w:p>
  </w:footnote>
  <w:footnote w:id="48">
    <w:p w14:paraId="6BED8381" w14:textId="77777777" w:rsidR="00680C0B" w:rsidRDefault="00A8232D">
      <w:pPr>
        <w:pStyle w:val="FootnoteText"/>
      </w:pPr>
      <w:r>
        <w:rPr>
          <w:rStyle w:val="FootnoteReference"/>
        </w:rPr>
        <w:footnoteRef/>
      </w:r>
      <w:r>
        <w:tab/>
      </w:r>
      <w:r>
        <w:t>Οδηγία 2014/95/ΕΕ του Ευρωπαϊκού Κοινοβουλίου και του Συμβουλίου, της 22ας Οκτωβρίου 2014, για την τροποποίηση της οδηγίας 2013/34/ΕΕ όσ</w:t>
      </w:r>
      <w:r>
        <w:t>ον αφορά τη δημοσιοποίηση μη χρηματοοικονομικών πληροφοριών και πληροφοριών για την πολυμορφία από ορισμένες μεγάλες επιχειρήσεις και ομίλους (ΕΕ L 330 της 15.11.2014, σ. 1).</w:t>
      </w:r>
    </w:p>
  </w:footnote>
  <w:footnote w:id="49">
    <w:p w14:paraId="11DAD870" w14:textId="77777777" w:rsidR="00680C0B" w:rsidRDefault="00A8232D">
      <w:pPr>
        <w:pStyle w:val="FootnoteText"/>
      </w:pPr>
      <w:r>
        <w:rPr>
          <w:rStyle w:val="FootnoteReference"/>
        </w:rPr>
        <w:footnoteRef/>
      </w:r>
      <w:r>
        <w:tab/>
      </w:r>
      <w:r>
        <w:t xml:space="preserve">Υπηρεσία Εκδόσεων: να προστεθεί η παραπομπή στην </w:t>
      </w:r>
      <w:r>
        <w:rPr>
          <w:color w:val="000000" w:themeColor="text1"/>
        </w:rPr>
        <w:t>Έκθεση</w:t>
      </w:r>
      <w:r>
        <w:t xml:space="preserve"> της Επιτροπής προς το Ε</w:t>
      </w:r>
      <w:r>
        <w:t xml:space="preserve">υρωπαϊκό Κοινοβούλιο, το Συμβούλιο και την Ευρωπαϊκή Οικονομική και Κοινωνική Επιτροπή σχετικά με τις ρήτρες επανεξέτασης των οδηγιών 2013/34/ΕΕ, 2014/95/ΕΕ και 2013/50/ΕΕ, </w:t>
      </w:r>
      <w:r>
        <w:rPr>
          <w:color w:val="000000" w:themeColor="text1"/>
        </w:rPr>
        <w:t>καθώς και στο συνοδευτικό έγγραφο εργασίας των υπηρεσιών της Επιτροπής σχετικά με τ</w:t>
      </w:r>
      <w:r>
        <w:rPr>
          <w:color w:val="000000" w:themeColor="text1"/>
        </w:rPr>
        <w:t xml:space="preserve">ον έλεγχο </w:t>
      </w:r>
      <w:proofErr w:type="spellStart"/>
      <w:r>
        <w:rPr>
          <w:color w:val="000000" w:themeColor="text1"/>
        </w:rPr>
        <w:t>καταλληλότητας</w:t>
      </w:r>
      <w:proofErr w:type="spellEnd"/>
      <w:r>
        <w:t>.</w:t>
      </w:r>
    </w:p>
  </w:footnote>
  <w:footnote w:id="50">
    <w:p w14:paraId="13ADFBCF" w14:textId="77777777" w:rsidR="00680C0B" w:rsidRDefault="00A8232D">
      <w:pPr>
        <w:pStyle w:val="FootnoteText"/>
      </w:pPr>
      <w:r>
        <w:rPr>
          <w:rStyle w:val="FootnoteReference"/>
        </w:rPr>
        <w:footnoteRef/>
      </w:r>
      <w:r>
        <w:tab/>
      </w:r>
      <w:r>
        <w:t>Οδηγία 2004/109/ΕΚ του Ευρωπαϊκού Κοινοβουλίου και του Συμβουλίου, της 15ης Δεκεμβρίου 2004, για την εναρμόνιση των προϋποθέσεων διαφάνειας αναφορικά με την πληροφόρηση σχετικά με εκδότες των οποίων οι κινητές αξίες έχουν εισαχθ</w:t>
      </w:r>
      <w:r>
        <w:t>εί προς διαπραγμάτευση σε ρυθμιζόμενη αγορά και για την τροποποίηση της οδηγίας 2001/34/ΕΚ (ΕΕ L 390 της 31.12.2004, σ. 38).</w:t>
      </w:r>
    </w:p>
  </w:footnote>
  <w:footnote w:id="51">
    <w:p w14:paraId="14A1F3BE" w14:textId="77777777" w:rsidR="00680C0B" w:rsidRDefault="00A8232D">
      <w:pPr>
        <w:pStyle w:val="FootnoteText"/>
      </w:pPr>
      <w:r>
        <w:rPr>
          <w:rStyle w:val="FootnoteReference"/>
        </w:rPr>
        <w:footnoteRef/>
      </w:r>
      <w:r>
        <w:tab/>
      </w:r>
      <w:r>
        <w:t>Οδηγία 86/635/ΕΟΚ του Συμβουλίου, της 8ης Δεκεμβρίου 1986, για τους ετήσιους και ενοποιημένους λογαριασμούς των τραπεζών και λοιπ</w:t>
      </w:r>
      <w:r>
        <w:t>ών άλλων χρηματοπιστωτικών ιδρυμάτων (ΕΕ L 372 της 31.12.1986, σ. 1).</w:t>
      </w:r>
    </w:p>
  </w:footnote>
  <w:footnote w:id="52">
    <w:p w14:paraId="241074B3" w14:textId="77777777" w:rsidR="00680C0B" w:rsidRDefault="00A8232D">
      <w:pPr>
        <w:pStyle w:val="FootnoteText"/>
      </w:pPr>
      <w:r>
        <w:rPr>
          <w:rStyle w:val="FootnoteReference"/>
        </w:rPr>
        <w:footnoteRef/>
      </w:r>
      <w:r>
        <w:tab/>
      </w:r>
      <w:r>
        <w:t>Οδηγία 2013/36/ΕΕ του Ευρωπαϊκού Κοινοβουλίου και του Συμβουλίου, της 26ης Ιουνίου 2013, σχετικά με την πρόσβαση στη δραστηριότητα πιστωτικών ιδρυμάτων και την προληπτική εποπτεία πιστ</w:t>
      </w:r>
      <w:r>
        <w:t>ωτικών ιδρυμάτων και επιχειρήσεων επενδύσεων, για την τροποποίηση της οδηγίας 2002/87/ΕΚ και για την κατάργηση των οδηγιών 2006/48/ΕΚ και 2006/49/ΕΚ (ΕΕ L 176 της 27.6.2013, σ. 338).</w:t>
      </w:r>
    </w:p>
  </w:footnote>
  <w:footnote w:id="53">
    <w:p w14:paraId="2659C51B" w14:textId="77777777" w:rsidR="00680C0B" w:rsidRDefault="00A8232D">
      <w:pPr>
        <w:pStyle w:val="FootnoteText"/>
        <w:rPr>
          <w:color w:val="000000" w:themeColor="text1"/>
        </w:rPr>
      </w:pPr>
      <w:r>
        <w:rPr>
          <w:rStyle w:val="FootnoteReference"/>
        </w:rPr>
        <w:footnoteRef/>
      </w:r>
      <w:r>
        <w:tab/>
      </w:r>
      <w:r>
        <w:rPr>
          <w:color w:val="000000" w:themeColor="text1"/>
        </w:rPr>
        <w:t xml:space="preserve">Ανακοίνωση της Επιτροπής με τίτλο </w:t>
      </w:r>
      <w:r>
        <w:rPr>
          <w:i/>
          <w:color w:val="000000" w:themeColor="text1"/>
        </w:rPr>
        <w:t>Κατευθυντήριες γραμμές σχετικά με την</w:t>
      </w:r>
      <w:r>
        <w:rPr>
          <w:i/>
          <w:color w:val="000000" w:themeColor="text1"/>
        </w:rPr>
        <w:t xml:space="preserve"> υποβολή εκθέσεων μη χρηματοοικονομικών πληροφοριών (μεθοδολογία σχετικά με την υποβολή εκθέσεων μη χρηματοοικονομικών πληροφοριών)</w:t>
      </w:r>
      <w:r>
        <w:rPr>
          <w:color w:val="000000" w:themeColor="text1"/>
        </w:rPr>
        <w:t xml:space="preserve"> (C/2017/4234).</w:t>
      </w:r>
    </w:p>
  </w:footnote>
  <w:footnote w:id="54">
    <w:p w14:paraId="5CEB5A9F" w14:textId="77777777" w:rsidR="00680C0B" w:rsidRDefault="00A8232D">
      <w:pPr>
        <w:pStyle w:val="FootnoteText"/>
        <w:rPr>
          <w:color w:val="000000" w:themeColor="text1"/>
        </w:rPr>
      </w:pPr>
      <w:r>
        <w:rPr>
          <w:rStyle w:val="FootnoteReference"/>
        </w:rPr>
        <w:footnoteRef/>
      </w:r>
      <w:r>
        <w:tab/>
      </w:r>
      <w:r>
        <w:rPr>
          <w:color w:val="000000" w:themeColor="text1"/>
        </w:rPr>
        <w:t xml:space="preserve">Ανακοίνωση της Επιτροπής με τίτλο </w:t>
      </w:r>
      <w:r>
        <w:rPr>
          <w:i/>
          <w:color w:val="000000" w:themeColor="text1"/>
        </w:rPr>
        <w:t xml:space="preserve">Κατευθυντήριες γραμμές σχετικά με την υποβολή εκθέσεων μη </w:t>
      </w:r>
      <w:r>
        <w:rPr>
          <w:i/>
          <w:color w:val="000000" w:themeColor="text1"/>
        </w:rPr>
        <w:t>χρηματοοικονομικών πληροφοριών: Συμπλήρωμα σχετικά με την υποβολή πληροφοριών που αφορούν το κλίμα</w:t>
      </w:r>
      <w:r>
        <w:rPr>
          <w:color w:val="000000" w:themeColor="text1"/>
        </w:rPr>
        <w:t xml:space="preserve"> (C/2019/4490).</w:t>
      </w:r>
    </w:p>
  </w:footnote>
  <w:footnote w:id="55">
    <w:p w14:paraId="4C008058" w14:textId="77777777" w:rsidR="00680C0B" w:rsidRDefault="00A8232D">
      <w:pPr>
        <w:pStyle w:val="FootnoteText"/>
        <w:rPr>
          <w:color w:val="000000" w:themeColor="text1"/>
        </w:rPr>
      </w:pPr>
      <w:r>
        <w:rPr>
          <w:rStyle w:val="FootnoteReference"/>
        </w:rPr>
        <w:footnoteRef/>
      </w:r>
      <w:r>
        <w:tab/>
      </w:r>
      <w:r>
        <w:rPr>
          <w:color w:val="000000" w:themeColor="text1"/>
        </w:rPr>
        <w:t>Κανονισμός (ΕΕ) αριθ. 1095/2010 του Ευρωπαϊκού Κοινοβουλίου και του Συμβουλίου, της 24ης Νοεμβρίου 2010, σχετικά με τη σύσταση Ευρωπαϊκής Επ</w:t>
      </w:r>
      <w:r>
        <w:rPr>
          <w:color w:val="000000" w:themeColor="text1"/>
        </w:rPr>
        <w:t>οπτικής Αρχής (Ευρωπαϊκή Αρχή Κινητών Αξιών και Αγορών), την τροποποίηση της απόφασης αριθ. 716/2009/ΕΚ και την κατάργηση της απόφασης 2009/77/ΕΚ (ΕΕ L 331 της 15.12.2010, σ. 84).</w:t>
      </w:r>
    </w:p>
  </w:footnote>
  <w:footnote w:id="56">
    <w:p w14:paraId="4A48901A" w14:textId="77777777" w:rsidR="00680C0B" w:rsidRDefault="00A8232D">
      <w:pPr>
        <w:pStyle w:val="FootnoteText"/>
        <w:rPr>
          <w:color w:val="000000" w:themeColor="text1"/>
        </w:rPr>
      </w:pPr>
      <w:r>
        <w:rPr>
          <w:rStyle w:val="FootnoteReference"/>
        </w:rPr>
        <w:footnoteRef/>
      </w:r>
      <w:r>
        <w:tab/>
      </w:r>
      <w:r>
        <w:rPr>
          <w:color w:val="000000" w:themeColor="text1"/>
        </w:rPr>
        <w:t xml:space="preserve">Κανονισμός (ΕΕ) 2016/1011 του Ευρωπαϊκού Κοινοβουλίου και του Συμβουλίου, </w:t>
      </w:r>
      <w:r>
        <w:rPr>
          <w:color w:val="000000" w:themeColor="text1"/>
        </w:rPr>
        <w:t>της 8ης Ιουνίου 2016, σχετικά με τους δείκτες που χρησιμοποιούνται ως δείκτες αναφοράς σε χρηματοπιστωτικά μέσα και χρηματοπιστωτικές συμβάσεις ή για τη μέτρηση της απόδοσης επενδυτικών κεφαλαίων, και για την τροποποίηση των οδηγιών 2008/48/ΕΚ και 2014/17/</w:t>
      </w:r>
      <w:r>
        <w:rPr>
          <w:color w:val="000000" w:themeColor="text1"/>
        </w:rPr>
        <w:t>ΕΕ και του κανονισμού (ΕΕ) αριθ. 596/2014 (ΕΕ L 171 της 29.6.2016, σ. 1).</w:t>
      </w:r>
    </w:p>
  </w:footnote>
  <w:footnote w:id="57">
    <w:p w14:paraId="5CCD1102" w14:textId="77777777" w:rsidR="00680C0B" w:rsidRDefault="00A8232D">
      <w:pPr>
        <w:pStyle w:val="FootnoteText"/>
        <w:rPr>
          <w:color w:val="000000" w:themeColor="text1"/>
        </w:rPr>
      </w:pPr>
      <w:r>
        <w:rPr>
          <w:rStyle w:val="FootnoteReference"/>
        </w:rPr>
        <w:footnoteRef/>
      </w:r>
      <w:r>
        <w:tab/>
      </w:r>
      <w:r>
        <w:rPr>
          <w:color w:val="000000" w:themeColor="text1"/>
        </w:rPr>
        <w:t xml:space="preserve">Οδηγία 2003/87/ΕΚ του Ευρωπαϊκού Κοινοβουλίου και του Συμβουλίου, της 13ης Οκτωβρίου 2003, σχετικά με τη θέσπιση συστήματος εμπορίας δικαιωμάτων εκπομπής αερίων </w:t>
      </w:r>
      <w:r>
        <w:rPr>
          <w:color w:val="000000" w:themeColor="text1"/>
        </w:rPr>
        <w:t>θερμοκηπίου εντός της Ένωσης και την τροποποίηση της οδηγίας 96/61/ΕΚ του Συμβουλίου (ΕΕ L 275 της 25.10.2003, σ. 32).</w:t>
      </w:r>
    </w:p>
  </w:footnote>
  <w:footnote w:id="58">
    <w:p w14:paraId="42125238" w14:textId="77777777" w:rsidR="00680C0B" w:rsidRDefault="00A8232D">
      <w:pPr>
        <w:pStyle w:val="FootnoteText"/>
      </w:pPr>
      <w:r>
        <w:rPr>
          <w:rStyle w:val="FootnoteReference"/>
        </w:rPr>
        <w:footnoteRef/>
      </w:r>
      <w:r>
        <w:tab/>
      </w:r>
      <w:r>
        <w:t>Κανονισμός (ΕΚ) αριθ. 1221/2009 του Ευρωπαϊκού Κοινοβουλίου και του Συμβουλίου, της 25ης Νοεμβρίου 2009, περί της εκούσιας συμμετοχής ο</w:t>
      </w:r>
      <w:r>
        <w:t>ργανισμών σε κοινοτικό σύστημα οικολογικής διαχείρισης και οικολογικού ελέγχου (EMAS) και για την κατάργηση του κανονισμού (ΕΚ) αριθ. 761/2001 και των αποφάσεων της Επιτροπής 2001/681/ΕΚ και 2006/193/ΕΚ (</w:t>
      </w:r>
      <w:r>
        <w:rPr>
          <w:rStyle w:val="Emphasis"/>
          <w:i w:val="0"/>
          <w:color w:val="000000" w:themeColor="text1"/>
        </w:rPr>
        <w:t>ΕΕ L 342 της 22.12.2009, σ. 1</w:t>
      </w:r>
      <w:r>
        <w:t>).</w:t>
      </w:r>
    </w:p>
  </w:footnote>
  <w:footnote w:id="59">
    <w:p w14:paraId="53E8F5AD" w14:textId="77777777" w:rsidR="00680C0B" w:rsidRDefault="00A8232D">
      <w:pPr>
        <w:pStyle w:val="FootnoteText"/>
      </w:pPr>
      <w:r>
        <w:rPr>
          <w:rStyle w:val="FootnoteReference"/>
        </w:rPr>
        <w:footnoteRef/>
      </w:r>
      <w:r>
        <w:tab/>
      </w:r>
      <w:r>
        <w:t>Σύσταση 2013/179/Ε</w:t>
      </w:r>
      <w:r>
        <w:t>Ε της Επιτροπής, της 9ης Απριλίου 2013, σχετικά με τη χρήση κοινών μεθόδων για τη μέτρηση και τη γνωστοποίηση των περιβαλλοντικών επιδόσεων κατά τον κύκλο ζωής των προϊόντων και των οργανισμών (</w:t>
      </w:r>
      <w:r>
        <w:rPr>
          <w:rStyle w:val="Emphasis"/>
          <w:i w:val="0"/>
          <w:color w:val="444444"/>
        </w:rPr>
        <w:t>ΕΕ L 124 της 4.5.2013, σ. 1).</w:t>
      </w:r>
    </w:p>
  </w:footnote>
  <w:footnote w:id="60">
    <w:p w14:paraId="2B25C4B1" w14:textId="77777777" w:rsidR="00680C0B" w:rsidRDefault="00A8232D">
      <w:pPr>
        <w:pStyle w:val="FootnoteText"/>
      </w:pPr>
      <w:r>
        <w:rPr>
          <w:rStyle w:val="FootnoteReference"/>
        </w:rPr>
        <w:footnoteRef/>
      </w:r>
      <w:r>
        <w:tab/>
      </w:r>
      <w:r>
        <w:t>Οδηγία 2010/75/ΕΕ του Ευρωπαϊκ</w:t>
      </w:r>
      <w:r>
        <w:t>ού Κοινοβουλίου και του Συμβουλίου, της 24ης Νοεμβρίου 2010, περί βιομηχανικών εκπομπών (ολοκληρωμένη πρόληψη και έλεγχος της ρύπανσης) (ΕΕ L 334 της 17.12.2010, σ. 17).</w:t>
      </w:r>
    </w:p>
  </w:footnote>
  <w:footnote w:id="61">
    <w:p w14:paraId="62F781C8" w14:textId="77777777" w:rsidR="00680C0B" w:rsidRDefault="00A8232D">
      <w:pPr>
        <w:pStyle w:val="FootnoteText"/>
      </w:pPr>
      <w:r>
        <w:rPr>
          <w:rStyle w:val="FootnoteReference"/>
        </w:rPr>
        <w:footnoteRef/>
      </w:r>
      <w:r>
        <w:tab/>
      </w:r>
      <w:r>
        <w:t>2017/C 215/01.</w:t>
      </w:r>
    </w:p>
  </w:footnote>
  <w:footnote w:id="62">
    <w:p w14:paraId="4C3ABA6F" w14:textId="77777777" w:rsidR="00680C0B" w:rsidRDefault="00A8232D">
      <w:pPr>
        <w:pStyle w:val="FootnoteText"/>
      </w:pPr>
      <w:r>
        <w:rPr>
          <w:rStyle w:val="FootnoteReference"/>
        </w:rPr>
        <w:footnoteRef/>
      </w:r>
      <w:r>
        <w:tab/>
      </w:r>
      <w:r>
        <w:t>2019/C 209/01.</w:t>
      </w:r>
    </w:p>
  </w:footnote>
  <w:footnote w:id="63">
    <w:p w14:paraId="040F19EE" w14:textId="77777777" w:rsidR="00680C0B" w:rsidRDefault="00A8232D">
      <w:pPr>
        <w:pStyle w:val="FootnoteText"/>
      </w:pPr>
      <w:r>
        <w:rPr>
          <w:rStyle w:val="FootnoteReference"/>
        </w:rPr>
        <w:footnoteRef/>
      </w:r>
      <w:r>
        <w:tab/>
      </w:r>
      <w:r>
        <w:t>Οδηγία 2011/7/ΕΕ του Ευρωπαϊκού Κοινοβουλίου και τ</w:t>
      </w:r>
      <w:r>
        <w:t>ου Συμβουλίου, της 16ης Φεβρουαρίου 2011, για την καταπολέμηση των καθυστερήσεων πληρωμών στις εμπορικές συναλλαγές (ΕΕ L 48 της 23.2.2011, σ. 1).</w:t>
      </w:r>
    </w:p>
  </w:footnote>
  <w:footnote w:id="64">
    <w:p w14:paraId="52627EA0" w14:textId="77777777" w:rsidR="00680C0B" w:rsidRDefault="00A8232D">
      <w:pPr>
        <w:pStyle w:val="FootnoteText"/>
      </w:pPr>
      <w:r>
        <w:rPr>
          <w:rStyle w:val="FootnoteReference"/>
        </w:rPr>
        <w:footnoteRef/>
      </w:r>
      <w:r>
        <w:tab/>
      </w:r>
      <w:r>
        <w:t xml:space="preserve">Κατ’ εξουσιοδότηση κανονισμός (ΕΕ) 2018/815 της Επιτροπής, της 17ης Δεκεμβρίου 2018, για τη συμπλήρωση της </w:t>
      </w:r>
      <w:r>
        <w:t xml:space="preserve">οδηγίας 2004/109/ΕΚ του Ευρωπαϊκού Κοινοβουλίου και του Συμβουλίου όσον αφορά ρυθμιστικά τεχνικά πρότυπα για τον καθορισμό ενιαίου ηλεκτρονικού </w:t>
      </w:r>
      <w:proofErr w:type="spellStart"/>
      <w:r>
        <w:t>μορφότυπου</w:t>
      </w:r>
      <w:proofErr w:type="spellEnd"/>
      <w:r>
        <w:t xml:space="preserve"> αναφοράς (ΕΕ L 143 της 29.5.2019, σ. 1).</w:t>
      </w:r>
    </w:p>
  </w:footnote>
  <w:footnote w:id="65">
    <w:p w14:paraId="27A09EB0" w14:textId="77777777" w:rsidR="00680C0B" w:rsidRDefault="00A8232D">
      <w:pPr>
        <w:pStyle w:val="FootnoteText"/>
        <w:rPr>
          <w:rStyle w:val="FootnoteReference"/>
          <w:color w:val="000000"/>
          <w:vertAlign w:val="baseline"/>
        </w:rPr>
      </w:pPr>
      <w:r>
        <w:rPr>
          <w:rStyle w:val="FootnoteReference"/>
        </w:rPr>
        <w:footnoteRef/>
      </w:r>
      <w:r>
        <w:tab/>
      </w:r>
      <w:hyperlink r:id="rId6" w:history="1">
        <w:r>
          <w:rPr>
            <w:rStyle w:val="FootnoteReference"/>
            <w:color w:val="000000"/>
            <w:vertAlign w:val="baseline"/>
          </w:rPr>
          <w:t>https://ec.europa.eu/digital-single-market/en/european-strategy-data</w:t>
        </w:r>
      </w:hyperlink>
      <w:r>
        <w:rPr>
          <w:color w:val="000000"/>
        </w:rPr>
        <w:t xml:space="preserve"> </w:t>
      </w:r>
    </w:p>
  </w:footnote>
  <w:footnote w:id="66">
    <w:p w14:paraId="57F48241" w14:textId="77777777" w:rsidR="00680C0B" w:rsidRDefault="00A8232D">
      <w:pPr>
        <w:pStyle w:val="FootnoteText"/>
        <w:rPr>
          <w:color w:val="000000" w:themeColor="text1"/>
        </w:rPr>
      </w:pPr>
      <w:r>
        <w:rPr>
          <w:rStyle w:val="FootnoteReference"/>
        </w:rPr>
        <w:footnoteRef/>
      </w:r>
      <w:r>
        <w:tab/>
      </w:r>
      <w:hyperlink r:id="rId7" w:history="1">
        <w:r>
          <w:rPr>
            <w:rStyle w:val="Hyperlink"/>
          </w:rPr>
          <w:t>https://ec.europa.eu/info/publications/200924-digital-finance-proposals_en</w:t>
        </w:r>
      </w:hyperlink>
      <w:r>
        <w:rPr>
          <w:color w:val="000000" w:themeColor="text1"/>
        </w:rPr>
        <w:t xml:space="preserve"> </w:t>
      </w:r>
    </w:p>
  </w:footnote>
  <w:footnote w:id="67">
    <w:p w14:paraId="5A35D9EB" w14:textId="77777777" w:rsidR="00680C0B" w:rsidRDefault="00A8232D">
      <w:pPr>
        <w:pStyle w:val="FootnoteText"/>
        <w:rPr>
          <w:color w:val="000000" w:themeColor="text1"/>
        </w:rPr>
      </w:pPr>
      <w:r>
        <w:rPr>
          <w:rStyle w:val="FootnoteReference"/>
        </w:rPr>
        <w:footnoteRef/>
      </w:r>
      <w:r>
        <w:tab/>
      </w:r>
      <w:r>
        <w:rPr>
          <w:color w:val="000000" w:themeColor="text1"/>
        </w:rPr>
        <w:t>Κανονισμός (ΕΚ) αριθ. 765/2008 του Ευρωπαϊκού Κοινοβουλίου και του Συμβουλίου, της 9ης Ιουλίου 2008, για τον καθορισμό των απαιτήσεων διαπίστευσης και εποπτείας της αγοράς όσον αφορά την εμπορία των προϊόντων και για τη</w:t>
      </w:r>
      <w:r>
        <w:rPr>
          <w:color w:val="000000" w:themeColor="text1"/>
        </w:rPr>
        <w:t>ν κατάργηση του κανονισμού (ΕΟΚ) αριθ. 339/93 του Συμβουλίου (ΕΕ L 218 της 13.8.2008, σ. 30).</w:t>
      </w:r>
    </w:p>
  </w:footnote>
  <w:footnote w:id="68">
    <w:p w14:paraId="5EF5F232" w14:textId="77777777" w:rsidR="00680C0B" w:rsidRDefault="00A8232D">
      <w:pPr>
        <w:pStyle w:val="FootnoteText"/>
        <w:rPr>
          <w:color w:val="000000" w:themeColor="text1"/>
        </w:rPr>
      </w:pPr>
      <w:r>
        <w:rPr>
          <w:rStyle w:val="FootnoteReference"/>
        </w:rPr>
        <w:footnoteRef/>
      </w:r>
      <w:r>
        <w:tab/>
      </w:r>
      <w:r>
        <w:rPr>
          <w:color w:val="000000" w:themeColor="text1"/>
        </w:rPr>
        <w:t>Οδηγία 2006/43/ΕΚ του Ευρωπαϊκού Κοινοβουλίου και του Συμβουλίου, της 17ης Μαΐου 2006, για τους υποχρεωτικούς ελέγχους των ετήσιων και των ενοποιημένων λογαριασ</w:t>
      </w:r>
      <w:r>
        <w:rPr>
          <w:color w:val="000000" w:themeColor="text1"/>
        </w:rPr>
        <w:t>μών, για την τροποποίηση των οδηγιών 78/660/ΕΟΚ και 83/349/ΕΟΚ του Συμβουλίου και για την κατάργηση της οδηγίας 84/253/ΕΟΚ του Συμβουλίου (ΕΕ L 157 της 9.6.2006, σ. 87).</w:t>
      </w:r>
    </w:p>
  </w:footnote>
  <w:footnote w:id="69">
    <w:p w14:paraId="1C596299" w14:textId="77777777" w:rsidR="00680C0B" w:rsidRDefault="00A8232D">
      <w:pPr>
        <w:pStyle w:val="FootnoteText"/>
      </w:pPr>
      <w:r>
        <w:rPr>
          <w:rStyle w:val="FootnoteReference"/>
        </w:rPr>
        <w:footnoteRef/>
      </w:r>
      <w:r>
        <w:tab/>
      </w:r>
      <w:r>
        <w:t>Κανονισμός (ΕΕ) αριθ. 537/2014 του Ευρωπαϊκού Κοινοβουλίου και του Συμβουλίου, της 1</w:t>
      </w:r>
      <w:r>
        <w:t>6ης Απριλίου 2014, σχετικά με ειδικές απαιτήσεις όσον αφορά τον υποχρεωτικό έλεγχο οντοτήτων δημοσίου συμφέροντος και την κατάργηση της απόφασης 2005/909/ΕΚ της Επιτροπής (ΕΕ L 158 της 27.5.2014, σ. 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75668A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AB051B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A92537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03A6AE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A689DC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BB2D12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717006468">
    <w:abstractNumId w:val="6"/>
  </w:num>
  <w:num w:numId="2" w16cid:durableId="913125381">
    <w:abstractNumId w:val="0"/>
  </w:num>
  <w:num w:numId="3" w16cid:durableId="1538009670">
    <w:abstractNumId w:val="20"/>
    <w:lvlOverride w:ilvl="0">
      <w:startOverride w:val="1"/>
    </w:lvlOverride>
  </w:num>
  <w:num w:numId="4" w16cid:durableId="581331766">
    <w:abstractNumId w:val="7"/>
  </w:num>
  <w:num w:numId="5" w16cid:durableId="689988738">
    <w:abstractNumId w:val="5"/>
  </w:num>
  <w:num w:numId="6" w16cid:durableId="837698130">
    <w:abstractNumId w:val="4"/>
  </w:num>
  <w:num w:numId="7" w16cid:durableId="2084837513">
    <w:abstractNumId w:val="3"/>
  </w:num>
  <w:num w:numId="8" w16cid:durableId="260921045">
    <w:abstractNumId w:val="2"/>
  </w:num>
  <w:num w:numId="9" w16cid:durableId="245381476">
    <w:abstractNumId w:val="1"/>
  </w:num>
  <w:num w:numId="10" w16cid:durableId="921261159">
    <w:abstractNumId w:val="12"/>
  </w:num>
  <w:num w:numId="11" w16cid:durableId="418019814">
    <w:abstractNumId w:val="20"/>
  </w:num>
  <w:num w:numId="12" w16cid:durableId="912201446">
    <w:abstractNumId w:val="13"/>
  </w:num>
  <w:num w:numId="13" w16cid:durableId="468593938">
    <w:abstractNumId w:val="22"/>
  </w:num>
  <w:num w:numId="14" w16cid:durableId="942221751">
    <w:abstractNumId w:val="11"/>
  </w:num>
  <w:num w:numId="15" w16cid:durableId="735401685">
    <w:abstractNumId w:val="14"/>
  </w:num>
  <w:num w:numId="16" w16cid:durableId="1358432001">
    <w:abstractNumId w:val="9"/>
  </w:num>
  <w:num w:numId="17" w16cid:durableId="1195582519">
    <w:abstractNumId w:val="21"/>
  </w:num>
  <w:num w:numId="18" w16cid:durableId="2062435171">
    <w:abstractNumId w:val="8"/>
  </w:num>
  <w:num w:numId="19" w16cid:durableId="2045668288">
    <w:abstractNumId w:val="16"/>
  </w:num>
  <w:num w:numId="20" w16cid:durableId="5183408">
    <w:abstractNumId w:val="18"/>
  </w:num>
  <w:num w:numId="21" w16cid:durableId="1399938432">
    <w:abstractNumId w:val="19"/>
  </w:num>
  <w:num w:numId="22" w16cid:durableId="547112708">
    <w:abstractNumId w:val="10"/>
  </w:num>
  <w:num w:numId="23" w16cid:durableId="1506627022">
    <w:abstractNumId w:val="17"/>
  </w:num>
  <w:num w:numId="24" w16cid:durableId="603343859">
    <w:abstractNumId w:val="23"/>
  </w:num>
  <w:num w:numId="25" w16cid:durableId="1991405244">
    <w:abstractNumId w:val="20"/>
  </w:num>
  <w:num w:numId="26" w16cid:durableId="166024293">
    <w:abstractNumId w:val="13"/>
  </w:num>
  <w:num w:numId="27" w16cid:durableId="326178662">
    <w:abstractNumId w:val="22"/>
  </w:num>
  <w:num w:numId="28" w16cid:durableId="1007706685">
    <w:abstractNumId w:val="11"/>
  </w:num>
  <w:num w:numId="29" w16cid:durableId="212544510">
    <w:abstractNumId w:val="14"/>
  </w:num>
  <w:num w:numId="30" w16cid:durableId="139348990">
    <w:abstractNumId w:val="15"/>
  </w:num>
  <w:num w:numId="31" w16cid:durableId="1695813231">
    <w:abstractNumId w:val="9"/>
  </w:num>
  <w:num w:numId="32" w16cid:durableId="284434229">
    <w:abstractNumId w:val="21"/>
  </w:num>
  <w:num w:numId="33" w16cid:durableId="486824248">
    <w:abstractNumId w:val="8"/>
  </w:num>
  <w:num w:numId="34" w16cid:durableId="145320267">
    <w:abstractNumId w:val="16"/>
  </w:num>
  <w:num w:numId="35" w16cid:durableId="424696112">
    <w:abstractNumId w:val="18"/>
  </w:num>
  <w:num w:numId="36" w16cid:durableId="83259887">
    <w:abstractNumId w:val="19"/>
  </w:num>
  <w:num w:numId="37" w16cid:durableId="1198933271">
    <w:abstractNumId w:val="10"/>
  </w:num>
  <w:num w:numId="38" w16cid:durableId="1931698063">
    <w:abstractNumId w:val="17"/>
  </w:num>
  <w:num w:numId="39" w16cid:durableId="86822536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hideSpellingErrors/>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_RefLast" w:val="0"/>
    <w:docVar w:name="DQCDateTime" w:val="2021-06-16 09:53: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00DC647-3B5F-4305-BE2C-ECCC3D531B6B"/>
    <w:docVar w:name="LW_COVERPAGE_TYPE" w:val="1"/>
    <w:docVar w:name="LW_CROSSREFERENCE" w:val="{SEC(2021) 164 final} - {SWD(2021) 150 final} - {SWD(2021) 151 final}"/>
    <w:docVar w:name="LW_DocType" w:val="COM"/>
    <w:docVar w:name="LW_EMISSION" w:val="21.4.2021"/>
    <w:docVar w:name="LW_EMISSION_ISODATE" w:val="2021-04-21"/>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04"/>
    <w:docVar w:name="LW_REF.II.NEW.CP_YEAR" w:val="2021"/>
    <w:docVar w:name="LW_REF.INST.NEW" w:val="COM"/>
    <w:docVar w:name="LW_REF.INST.NEW_ADOPTED" w:val="final"/>
    <w:docVar w:name="LW_REF.INST.NEW_TEXT" w:val="(2021) 1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1?\u962? \u959?\u948?\u951?\u947?\u943?\u945?\u962? 2013/34/\u917?\u917?, \u964?\u951?\u962? \u959?\u948?\u951?\u947?\u943?\u945?\u962? 2004/109/\u917?\u922?, \u964?\u951?\u962? \u959?\u948?\u951?\u947?\u943?\u945?\u962? 2006/43/\u917?\u922? \u954?\u945?\u953? \u964?\u959?\u965? \u954?\u945?\u957?\u959?\u957?\u953?\u963?\u956?\u959?\u973? (\u917?\u917?) \u945?\u961?\u953?\u952?. 537/2014, \u972?\u963?\u959?\u957? \u945?\u966?\u959?\u961?\u940? \u964?\u951?\u957? \u965?\u960?\u959?\u946?\u959?\u955?\u942? \u949?\u954?\u952?\u941?\u963?\u949?\u969?\u957? \u946?\u953?\u969?\u963?\u953?\u956?\u972?\u964?\u951?\u964?\u945?\u962? \u945?\u960?\u972? \u964?\u953?\u962? \u949?\u964?\u945?\u953?\u961?\u949?\u943?\u949?\u962?"/>
    <w:docVar w:name="LW_TYPE.DOC.CP" w:val="\u927?\u916?\u919?\u915?\u921?\u913? \u932?\u927?\u933? \u917?\u933?\u929?\u937?\u928?\u913?\u938?\u922?\u927?\u933? \u922?\u927?\u921?\u925?\u927?\u914?\u927?\u933?\u923?\u921?\u927?\u933? \u922?\u913?\u921? \u932?\u927?\u933? \u931?\u933?\u924?\u914?\u927?\u933?\u923?\u921?\u927?\u933?"/>
    <w:docVar w:name="LwApiVersions" w:val="LW4CoDe 1.23.0.0; LW 8.0, Build 20210114"/>
  </w:docVars>
  <w:rsids>
    <w:rsidRoot w:val="00680C0B"/>
    <w:rsid w:val="00397358"/>
    <w:rsid w:val="00680C0B"/>
    <w:rsid w:val="00694558"/>
    <w:rsid w:val="00A8232D"/>
    <w:rsid w:val="00B03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B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2"/>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ListParagraph">
    <w:name w:val="List Paragraph"/>
    <w:aliases w:val="Paragraphe EI,Paragraphe de liste1,EC,Paragraphe de liste"/>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Paragraphe EI Char,Paragraphe de liste1 Char,EC Char,Paragraphe de liste Char"/>
    <w:link w:val="ListParagraph"/>
    <w:uiPriority w:val="34"/>
    <w:locked/>
    <w:rPr>
      <w:lang w:val="el-GR"/>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egalNumPar">
    <w:name w:val="LegalNumPar"/>
    <w:basedOn w:val="Normal"/>
    <w:pPr>
      <w:numPr>
        <w:numId w:val="10"/>
      </w:numPr>
      <w:spacing w:line="360" w:lineRule="auto"/>
    </w:pPr>
  </w:style>
  <w:style w:type="paragraph" w:customStyle="1" w:styleId="LegalNumPar2">
    <w:name w:val="LegalNumPar2"/>
    <w:basedOn w:val="Normal"/>
    <w:pPr>
      <w:numPr>
        <w:ilvl w:val="1"/>
        <w:numId w:val="10"/>
      </w:numPr>
      <w:spacing w:line="360" w:lineRule="auto"/>
    </w:pPr>
  </w:style>
  <w:style w:type="paragraph" w:customStyle="1" w:styleId="LegalNumPar3">
    <w:name w:val="LegalNumPar3"/>
    <w:basedOn w:val="Normal"/>
    <w:pPr>
      <w:numPr>
        <w:ilvl w:val="2"/>
        <w:numId w:val="10"/>
      </w:numPr>
      <w:spacing w:line="36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Tiret5">
    <w:name w:val="Tiret 5"/>
    <w:basedOn w:val="Point5"/>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NumPar5">
    <w:name w:val="NumPar 5"/>
    <w:basedOn w:val="Normal"/>
    <w:next w:val="Text2"/>
    <w:pPr>
      <w:numPr>
        <w:ilvl w:val="4"/>
        <w:numId w:val="31"/>
      </w:numPr>
    </w:pPr>
  </w:style>
  <w:style w:type="paragraph" w:customStyle="1" w:styleId="NumPar6">
    <w:name w:val="NumPar 6"/>
    <w:basedOn w:val="Normal"/>
    <w:next w:val="Text2"/>
    <w:pPr>
      <w:numPr>
        <w:ilvl w:val="5"/>
        <w:numId w:val="31"/>
      </w:numPr>
    </w:pPr>
  </w:style>
  <w:style w:type="paragraph" w:customStyle="1" w:styleId="NumPar7">
    <w:name w:val="NumPar 7"/>
    <w:basedOn w:val="Normal"/>
    <w:next w:val="Text2"/>
    <w:pPr>
      <w:numPr>
        <w:ilvl w:val="6"/>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932">
      <w:bodyDiv w:val="1"/>
      <w:marLeft w:val="0"/>
      <w:marRight w:val="0"/>
      <w:marTop w:val="0"/>
      <w:marBottom w:val="0"/>
      <w:divBdr>
        <w:top w:val="none" w:sz="0" w:space="0" w:color="auto"/>
        <w:left w:val="none" w:sz="0" w:space="0" w:color="auto"/>
        <w:bottom w:val="none" w:sz="0" w:space="0" w:color="auto"/>
        <w:right w:val="none" w:sz="0" w:space="0" w:color="auto"/>
      </w:divBdr>
    </w:div>
    <w:div w:id="15346913">
      <w:bodyDiv w:val="1"/>
      <w:marLeft w:val="0"/>
      <w:marRight w:val="0"/>
      <w:marTop w:val="0"/>
      <w:marBottom w:val="0"/>
      <w:divBdr>
        <w:top w:val="none" w:sz="0" w:space="0" w:color="auto"/>
        <w:left w:val="none" w:sz="0" w:space="0" w:color="auto"/>
        <w:bottom w:val="none" w:sz="0" w:space="0" w:color="auto"/>
        <w:right w:val="none" w:sz="0" w:space="0" w:color="auto"/>
      </w:divBdr>
    </w:div>
    <w:div w:id="81949519">
      <w:bodyDiv w:val="1"/>
      <w:marLeft w:val="0"/>
      <w:marRight w:val="0"/>
      <w:marTop w:val="0"/>
      <w:marBottom w:val="0"/>
      <w:divBdr>
        <w:top w:val="none" w:sz="0" w:space="0" w:color="auto"/>
        <w:left w:val="none" w:sz="0" w:space="0" w:color="auto"/>
        <w:bottom w:val="none" w:sz="0" w:space="0" w:color="auto"/>
        <w:right w:val="none" w:sz="0" w:space="0" w:color="auto"/>
      </w:divBdr>
    </w:div>
    <w:div w:id="96798022">
      <w:bodyDiv w:val="1"/>
      <w:marLeft w:val="0"/>
      <w:marRight w:val="0"/>
      <w:marTop w:val="0"/>
      <w:marBottom w:val="0"/>
      <w:divBdr>
        <w:top w:val="none" w:sz="0" w:space="0" w:color="auto"/>
        <w:left w:val="none" w:sz="0" w:space="0" w:color="auto"/>
        <w:bottom w:val="none" w:sz="0" w:space="0" w:color="auto"/>
        <w:right w:val="none" w:sz="0" w:space="0" w:color="auto"/>
      </w:divBdr>
    </w:div>
    <w:div w:id="124860789">
      <w:bodyDiv w:val="1"/>
      <w:marLeft w:val="0"/>
      <w:marRight w:val="0"/>
      <w:marTop w:val="0"/>
      <w:marBottom w:val="0"/>
      <w:divBdr>
        <w:top w:val="none" w:sz="0" w:space="0" w:color="auto"/>
        <w:left w:val="none" w:sz="0" w:space="0" w:color="auto"/>
        <w:bottom w:val="none" w:sz="0" w:space="0" w:color="auto"/>
        <w:right w:val="none" w:sz="0" w:space="0" w:color="auto"/>
      </w:divBdr>
    </w:div>
    <w:div w:id="132991454">
      <w:bodyDiv w:val="1"/>
      <w:marLeft w:val="0"/>
      <w:marRight w:val="0"/>
      <w:marTop w:val="0"/>
      <w:marBottom w:val="0"/>
      <w:divBdr>
        <w:top w:val="none" w:sz="0" w:space="0" w:color="auto"/>
        <w:left w:val="none" w:sz="0" w:space="0" w:color="auto"/>
        <w:bottom w:val="none" w:sz="0" w:space="0" w:color="auto"/>
        <w:right w:val="none" w:sz="0" w:space="0" w:color="auto"/>
      </w:divBdr>
    </w:div>
    <w:div w:id="134955459">
      <w:bodyDiv w:val="1"/>
      <w:marLeft w:val="0"/>
      <w:marRight w:val="0"/>
      <w:marTop w:val="0"/>
      <w:marBottom w:val="0"/>
      <w:divBdr>
        <w:top w:val="none" w:sz="0" w:space="0" w:color="auto"/>
        <w:left w:val="none" w:sz="0" w:space="0" w:color="auto"/>
        <w:bottom w:val="none" w:sz="0" w:space="0" w:color="auto"/>
        <w:right w:val="none" w:sz="0" w:space="0" w:color="auto"/>
      </w:divBdr>
    </w:div>
    <w:div w:id="213007812">
      <w:bodyDiv w:val="1"/>
      <w:marLeft w:val="0"/>
      <w:marRight w:val="0"/>
      <w:marTop w:val="0"/>
      <w:marBottom w:val="0"/>
      <w:divBdr>
        <w:top w:val="none" w:sz="0" w:space="0" w:color="auto"/>
        <w:left w:val="none" w:sz="0" w:space="0" w:color="auto"/>
        <w:bottom w:val="none" w:sz="0" w:space="0" w:color="auto"/>
        <w:right w:val="none" w:sz="0" w:space="0" w:color="auto"/>
      </w:divBdr>
    </w:div>
    <w:div w:id="219440244">
      <w:bodyDiv w:val="1"/>
      <w:marLeft w:val="0"/>
      <w:marRight w:val="0"/>
      <w:marTop w:val="0"/>
      <w:marBottom w:val="0"/>
      <w:divBdr>
        <w:top w:val="none" w:sz="0" w:space="0" w:color="auto"/>
        <w:left w:val="none" w:sz="0" w:space="0" w:color="auto"/>
        <w:bottom w:val="none" w:sz="0" w:space="0" w:color="auto"/>
        <w:right w:val="none" w:sz="0" w:space="0" w:color="auto"/>
      </w:divBdr>
    </w:div>
    <w:div w:id="290937090">
      <w:bodyDiv w:val="1"/>
      <w:marLeft w:val="0"/>
      <w:marRight w:val="0"/>
      <w:marTop w:val="0"/>
      <w:marBottom w:val="0"/>
      <w:divBdr>
        <w:top w:val="none" w:sz="0" w:space="0" w:color="auto"/>
        <w:left w:val="none" w:sz="0" w:space="0" w:color="auto"/>
        <w:bottom w:val="none" w:sz="0" w:space="0" w:color="auto"/>
        <w:right w:val="none" w:sz="0" w:space="0" w:color="auto"/>
      </w:divBdr>
    </w:div>
    <w:div w:id="303631166">
      <w:bodyDiv w:val="1"/>
      <w:marLeft w:val="0"/>
      <w:marRight w:val="0"/>
      <w:marTop w:val="0"/>
      <w:marBottom w:val="0"/>
      <w:divBdr>
        <w:top w:val="none" w:sz="0" w:space="0" w:color="auto"/>
        <w:left w:val="none" w:sz="0" w:space="0" w:color="auto"/>
        <w:bottom w:val="none" w:sz="0" w:space="0" w:color="auto"/>
        <w:right w:val="none" w:sz="0" w:space="0" w:color="auto"/>
      </w:divBdr>
    </w:div>
    <w:div w:id="307592762">
      <w:bodyDiv w:val="1"/>
      <w:marLeft w:val="0"/>
      <w:marRight w:val="0"/>
      <w:marTop w:val="0"/>
      <w:marBottom w:val="0"/>
      <w:divBdr>
        <w:top w:val="none" w:sz="0" w:space="0" w:color="auto"/>
        <w:left w:val="none" w:sz="0" w:space="0" w:color="auto"/>
        <w:bottom w:val="none" w:sz="0" w:space="0" w:color="auto"/>
        <w:right w:val="none" w:sz="0" w:space="0" w:color="auto"/>
      </w:divBdr>
    </w:div>
    <w:div w:id="313221304">
      <w:bodyDiv w:val="1"/>
      <w:marLeft w:val="0"/>
      <w:marRight w:val="0"/>
      <w:marTop w:val="0"/>
      <w:marBottom w:val="0"/>
      <w:divBdr>
        <w:top w:val="none" w:sz="0" w:space="0" w:color="auto"/>
        <w:left w:val="none" w:sz="0" w:space="0" w:color="auto"/>
        <w:bottom w:val="none" w:sz="0" w:space="0" w:color="auto"/>
        <w:right w:val="none" w:sz="0" w:space="0" w:color="auto"/>
      </w:divBdr>
    </w:div>
    <w:div w:id="370883510">
      <w:bodyDiv w:val="1"/>
      <w:marLeft w:val="0"/>
      <w:marRight w:val="0"/>
      <w:marTop w:val="0"/>
      <w:marBottom w:val="0"/>
      <w:divBdr>
        <w:top w:val="none" w:sz="0" w:space="0" w:color="auto"/>
        <w:left w:val="none" w:sz="0" w:space="0" w:color="auto"/>
        <w:bottom w:val="none" w:sz="0" w:space="0" w:color="auto"/>
        <w:right w:val="none" w:sz="0" w:space="0" w:color="auto"/>
      </w:divBdr>
    </w:div>
    <w:div w:id="396123993">
      <w:bodyDiv w:val="1"/>
      <w:marLeft w:val="0"/>
      <w:marRight w:val="0"/>
      <w:marTop w:val="0"/>
      <w:marBottom w:val="0"/>
      <w:divBdr>
        <w:top w:val="none" w:sz="0" w:space="0" w:color="auto"/>
        <w:left w:val="none" w:sz="0" w:space="0" w:color="auto"/>
        <w:bottom w:val="none" w:sz="0" w:space="0" w:color="auto"/>
        <w:right w:val="none" w:sz="0" w:space="0" w:color="auto"/>
      </w:divBdr>
    </w:div>
    <w:div w:id="455098813">
      <w:bodyDiv w:val="1"/>
      <w:marLeft w:val="0"/>
      <w:marRight w:val="0"/>
      <w:marTop w:val="0"/>
      <w:marBottom w:val="0"/>
      <w:divBdr>
        <w:top w:val="none" w:sz="0" w:space="0" w:color="auto"/>
        <w:left w:val="none" w:sz="0" w:space="0" w:color="auto"/>
        <w:bottom w:val="none" w:sz="0" w:space="0" w:color="auto"/>
        <w:right w:val="none" w:sz="0" w:space="0" w:color="auto"/>
      </w:divBdr>
    </w:div>
    <w:div w:id="466509809">
      <w:bodyDiv w:val="1"/>
      <w:marLeft w:val="0"/>
      <w:marRight w:val="0"/>
      <w:marTop w:val="0"/>
      <w:marBottom w:val="0"/>
      <w:divBdr>
        <w:top w:val="none" w:sz="0" w:space="0" w:color="auto"/>
        <w:left w:val="none" w:sz="0" w:space="0" w:color="auto"/>
        <w:bottom w:val="none" w:sz="0" w:space="0" w:color="auto"/>
        <w:right w:val="none" w:sz="0" w:space="0" w:color="auto"/>
      </w:divBdr>
    </w:div>
    <w:div w:id="480581277">
      <w:bodyDiv w:val="1"/>
      <w:marLeft w:val="0"/>
      <w:marRight w:val="0"/>
      <w:marTop w:val="0"/>
      <w:marBottom w:val="0"/>
      <w:divBdr>
        <w:top w:val="none" w:sz="0" w:space="0" w:color="auto"/>
        <w:left w:val="none" w:sz="0" w:space="0" w:color="auto"/>
        <w:bottom w:val="none" w:sz="0" w:space="0" w:color="auto"/>
        <w:right w:val="none" w:sz="0" w:space="0" w:color="auto"/>
      </w:divBdr>
    </w:div>
    <w:div w:id="493227880">
      <w:bodyDiv w:val="1"/>
      <w:marLeft w:val="0"/>
      <w:marRight w:val="0"/>
      <w:marTop w:val="0"/>
      <w:marBottom w:val="0"/>
      <w:divBdr>
        <w:top w:val="none" w:sz="0" w:space="0" w:color="auto"/>
        <w:left w:val="none" w:sz="0" w:space="0" w:color="auto"/>
        <w:bottom w:val="none" w:sz="0" w:space="0" w:color="auto"/>
        <w:right w:val="none" w:sz="0" w:space="0" w:color="auto"/>
      </w:divBdr>
    </w:div>
    <w:div w:id="501361026">
      <w:bodyDiv w:val="1"/>
      <w:marLeft w:val="0"/>
      <w:marRight w:val="0"/>
      <w:marTop w:val="0"/>
      <w:marBottom w:val="0"/>
      <w:divBdr>
        <w:top w:val="none" w:sz="0" w:space="0" w:color="auto"/>
        <w:left w:val="none" w:sz="0" w:space="0" w:color="auto"/>
        <w:bottom w:val="none" w:sz="0" w:space="0" w:color="auto"/>
        <w:right w:val="none" w:sz="0" w:space="0" w:color="auto"/>
      </w:divBdr>
    </w:div>
    <w:div w:id="570316758">
      <w:bodyDiv w:val="1"/>
      <w:marLeft w:val="0"/>
      <w:marRight w:val="0"/>
      <w:marTop w:val="0"/>
      <w:marBottom w:val="0"/>
      <w:divBdr>
        <w:top w:val="none" w:sz="0" w:space="0" w:color="auto"/>
        <w:left w:val="none" w:sz="0" w:space="0" w:color="auto"/>
        <w:bottom w:val="none" w:sz="0" w:space="0" w:color="auto"/>
        <w:right w:val="none" w:sz="0" w:space="0" w:color="auto"/>
      </w:divBdr>
    </w:div>
    <w:div w:id="572932818">
      <w:bodyDiv w:val="1"/>
      <w:marLeft w:val="0"/>
      <w:marRight w:val="0"/>
      <w:marTop w:val="0"/>
      <w:marBottom w:val="0"/>
      <w:divBdr>
        <w:top w:val="none" w:sz="0" w:space="0" w:color="auto"/>
        <w:left w:val="none" w:sz="0" w:space="0" w:color="auto"/>
        <w:bottom w:val="none" w:sz="0" w:space="0" w:color="auto"/>
        <w:right w:val="none" w:sz="0" w:space="0" w:color="auto"/>
      </w:divBdr>
    </w:div>
    <w:div w:id="630987947">
      <w:bodyDiv w:val="1"/>
      <w:marLeft w:val="0"/>
      <w:marRight w:val="0"/>
      <w:marTop w:val="0"/>
      <w:marBottom w:val="0"/>
      <w:divBdr>
        <w:top w:val="none" w:sz="0" w:space="0" w:color="auto"/>
        <w:left w:val="none" w:sz="0" w:space="0" w:color="auto"/>
        <w:bottom w:val="none" w:sz="0" w:space="0" w:color="auto"/>
        <w:right w:val="none" w:sz="0" w:space="0" w:color="auto"/>
      </w:divBdr>
    </w:div>
    <w:div w:id="716003457">
      <w:bodyDiv w:val="1"/>
      <w:marLeft w:val="0"/>
      <w:marRight w:val="0"/>
      <w:marTop w:val="0"/>
      <w:marBottom w:val="0"/>
      <w:divBdr>
        <w:top w:val="none" w:sz="0" w:space="0" w:color="auto"/>
        <w:left w:val="none" w:sz="0" w:space="0" w:color="auto"/>
        <w:bottom w:val="none" w:sz="0" w:space="0" w:color="auto"/>
        <w:right w:val="none" w:sz="0" w:space="0" w:color="auto"/>
      </w:divBdr>
    </w:div>
    <w:div w:id="744691498">
      <w:bodyDiv w:val="1"/>
      <w:marLeft w:val="0"/>
      <w:marRight w:val="0"/>
      <w:marTop w:val="0"/>
      <w:marBottom w:val="0"/>
      <w:divBdr>
        <w:top w:val="none" w:sz="0" w:space="0" w:color="auto"/>
        <w:left w:val="none" w:sz="0" w:space="0" w:color="auto"/>
        <w:bottom w:val="none" w:sz="0" w:space="0" w:color="auto"/>
        <w:right w:val="none" w:sz="0" w:space="0" w:color="auto"/>
      </w:divBdr>
    </w:div>
    <w:div w:id="753668959">
      <w:bodyDiv w:val="1"/>
      <w:marLeft w:val="0"/>
      <w:marRight w:val="0"/>
      <w:marTop w:val="0"/>
      <w:marBottom w:val="0"/>
      <w:divBdr>
        <w:top w:val="none" w:sz="0" w:space="0" w:color="auto"/>
        <w:left w:val="none" w:sz="0" w:space="0" w:color="auto"/>
        <w:bottom w:val="none" w:sz="0" w:space="0" w:color="auto"/>
        <w:right w:val="none" w:sz="0" w:space="0" w:color="auto"/>
      </w:divBdr>
    </w:div>
    <w:div w:id="862279799">
      <w:bodyDiv w:val="1"/>
      <w:marLeft w:val="0"/>
      <w:marRight w:val="0"/>
      <w:marTop w:val="0"/>
      <w:marBottom w:val="0"/>
      <w:divBdr>
        <w:top w:val="none" w:sz="0" w:space="0" w:color="auto"/>
        <w:left w:val="none" w:sz="0" w:space="0" w:color="auto"/>
        <w:bottom w:val="none" w:sz="0" w:space="0" w:color="auto"/>
        <w:right w:val="none" w:sz="0" w:space="0" w:color="auto"/>
      </w:divBdr>
    </w:div>
    <w:div w:id="867643462">
      <w:bodyDiv w:val="1"/>
      <w:marLeft w:val="0"/>
      <w:marRight w:val="0"/>
      <w:marTop w:val="0"/>
      <w:marBottom w:val="0"/>
      <w:divBdr>
        <w:top w:val="none" w:sz="0" w:space="0" w:color="auto"/>
        <w:left w:val="none" w:sz="0" w:space="0" w:color="auto"/>
        <w:bottom w:val="none" w:sz="0" w:space="0" w:color="auto"/>
        <w:right w:val="none" w:sz="0" w:space="0" w:color="auto"/>
      </w:divBdr>
    </w:div>
    <w:div w:id="887185139">
      <w:bodyDiv w:val="1"/>
      <w:marLeft w:val="0"/>
      <w:marRight w:val="0"/>
      <w:marTop w:val="0"/>
      <w:marBottom w:val="0"/>
      <w:divBdr>
        <w:top w:val="none" w:sz="0" w:space="0" w:color="auto"/>
        <w:left w:val="none" w:sz="0" w:space="0" w:color="auto"/>
        <w:bottom w:val="none" w:sz="0" w:space="0" w:color="auto"/>
        <w:right w:val="none" w:sz="0" w:space="0" w:color="auto"/>
      </w:divBdr>
    </w:div>
    <w:div w:id="901132958">
      <w:bodyDiv w:val="1"/>
      <w:marLeft w:val="0"/>
      <w:marRight w:val="0"/>
      <w:marTop w:val="0"/>
      <w:marBottom w:val="0"/>
      <w:divBdr>
        <w:top w:val="none" w:sz="0" w:space="0" w:color="auto"/>
        <w:left w:val="none" w:sz="0" w:space="0" w:color="auto"/>
        <w:bottom w:val="none" w:sz="0" w:space="0" w:color="auto"/>
        <w:right w:val="none" w:sz="0" w:space="0" w:color="auto"/>
      </w:divBdr>
    </w:div>
    <w:div w:id="904488334">
      <w:bodyDiv w:val="1"/>
      <w:marLeft w:val="0"/>
      <w:marRight w:val="0"/>
      <w:marTop w:val="0"/>
      <w:marBottom w:val="0"/>
      <w:divBdr>
        <w:top w:val="none" w:sz="0" w:space="0" w:color="auto"/>
        <w:left w:val="none" w:sz="0" w:space="0" w:color="auto"/>
        <w:bottom w:val="none" w:sz="0" w:space="0" w:color="auto"/>
        <w:right w:val="none" w:sz="0" w:space="0" w:color="auto"/>
      </w:divBdr>
    </w:div>
    <w:div w:id="914125203">
      <w:bodyDiv w:val="1"/>
      <w:marLeft w:val="0"/>
      <w:marRight w:val="0"/>
      <w:marTop w:val="0"/>
      <w:marBottom w:val="0"/>
      <w:divBdr>
        <w:top w:val="none" w:sz="0" w:space="0" w:color="auto"/>
        <w:left w:val="none" w:sz="0" w:space="0" w:color="auto"/>
        <w:bottom w:val="none" w:sz="0" w:space="0" w:color="auto"/>
        <w:right w:val="none" w:sz="0" w:space="0" w:color="auto"/>
      </w:divBdr>
    </w:div>
    <w:div w:id="932009573">
      <w:bodyDiv w:val="1"/>
      <w:marLeft w:val="0"/>
      <w:marRight w:val="0"/>
      <w:marTop w:val="0"/>
      <w:marBottom w:val="0"/>
      <w:divBdr>
        <w:top w:val="none" w:sz="0" w:space="0" w:color="auto"/>
        <w:left w:val="none" w:sz="0" w:space="0" w:color="auto"/>
        <w:bottom w:val="none" w:sz="0" w:space="0" w:color="auto"/>
        <w:right w:val="none" w:sz="0" w:space="0" w:color="auto"/>
      </w:divBdr>
    </w:div>
    <w:div w:id="941884891">
      <w:bodyDiv w:val="1"/>
      <w:marLeft w:val="0"/>
      <w:marRight w:val="0"/>
      <w:marTop w:val="0"/>
      <w:marBottom w:val="0"/>
      <w:divBdr>
        <w:top w:val="none" w:sz="0" w:space="0" w:color="auto"/>
        <w:left w:val="none" w:sz="0" w:space="0" w:color="auto"/>
        <w:bottom w:val="none" w:sz="0" w:space="0" w:color="auto"/>
        <w:right w:val="none" w:sz="0" w:space="0" w:color="auto"/>
      </w:divBdr>
    </w:div>
    <w:div w:id="949622971">
      <w:bodyDiv w:val="1"/>
      <w:marLeft w:val="0"/>
      <w:marRight w:val="0"/>
      <w:marTop w:val="0"/>
      <w:marBottom w:val="0"/>
      <w:divBdr>
        <w:top w:val="none" w:sz="0" w:space="0" w:color="auto"/>
        <w:left w:val="none" w:sz="0" w:space="0" w:color="auto"/>
        <w:bottom w:val="none" w:sz="0" w:space="0" w:color="auto"/>
        <w:right w:val="none" w:sz="0" w:space="0" w:color="auto"/>
      </w:divBdr>
    </w:div>
    <w:div w:id="990523290">
      <w:bodyDiv w:val="1"/>
      <w:marLeft w:val="0"/>
      <w:marRight w:val="0"/>
      <w:marTop w:val="0"/>
      <w:marBottom w:val="0"/>
      <w:divBdr>
        <w:top w:val="none" w:sz="0" w:space="0" w:color="auto"/>
        <w:left w:val="none" w:sz="0" w:space="0" w:color="auto"/>
        <w:bottom w:val="none" w:sz="0" w:space="0" w:color="auto"/>
        <w:right w:val="none" w:sz="0" w:space="0" w:color="auto"/>
      </w:divBdr>
    </w:div>
    <w:div w:id="1028260195">
      <w:bodyDiv w:val="1"/>
      <w:marLeft w:val="0"/>
      <w:marRight w:val="0"/>
      <w:marTop w:val="0"/>
      <w:marBottom w:val="0"/>
      <w:divBdr>
        <w:top w:val="none" w:sz="0" w:space="0" w:color="auto"/>
        <w:left w:val="none" w:sz="0" w:space="0" w:color="auto"/>
        <w:bottom w:val="none" w:sz="0" w:space="0" w:color="auto"/>
        <w:right w:val="none" w:sz="0" w:space="0" w:color="auto"/>
      </w:divBdr>
    </w:div>
    <w:div w:id="1038894377">
      <w:bodyDiv w:val="1"/>
      <w:marLeft w:val="0"/>
      <w:marRight w:val="0"/>
      <w:marTop w:val="0"/>
      <w:marBottom w:val="0"/>
      <w:divBdr>
        <w:top w:val="none" w:sz="0" w:space="0" w:color="auto"/>
        <w:left w:val="none" w:sz="0" w:space="0" w:color="auto"/>
        <w:bottom w:val="none" w:sz="0" w:space="0" w:color="auto"/>
        <w:right w:val="none" w:sz="0" w:space="0" w:color="auto"/>
      </w:divBdr>
    </w:div>
    <w:div w:id="1053501556">
      <w:bodyDiv w:val="1"/>
      <w:marLeft w:val="0"/>
      <w:marRight w:val="0"/>
      <w:marTop w:val="0"/>
      <w:marBottom w:val="0"/>
      <w:divBdr>
        <w:top w:val="none" w:sz="0" w:space="0" w:color="auto"/>
        <w:left w:val="none" w:sz="0" w:space="0" w:color="auto"/>
        <w:bottom w:val="none" w:sz="0" w:space="0" w:color="auto"/>
        <w:right w:val="none" w:sz="0" w:space="0" w:color="auto"/>
      </w:divBdr>
    </w:div>
    <w:div w:id="1063062327">
      <w:bodyDiv w:val="1"/>
      <w:marLeft w:val="0"/>
      <w:marRight w:val="0"/>
      <w:marTop w:val="0"/>
      <w:marBottom w:val="0"/>
      <w:divBdr>
        <w:top w:val="none" w:sz="0" w:space="0" w:color="auto"/>
        <w:left w:val="none" w:sz="0" w:space="0" w:color="auto"/>
        <w:bottom w:val="none" w:sz="0" w:space="0" w:color="auto"/>
        <w:right w:val="none" w:sz="0" w:space="0" w:color="auto"/>
      </w:divBdr>
    </w:div>
    <w:div w:id="1067609247">
      <w:bodyDiv w:val="1"/>
      <w:marLeft w:val="0"/>
      <w:marRight w:val="0"/>
      <w:marTop w:val="0"/>
      <w:marBottom w:val="0"/>
      <w:divBdr>
        <w:top w:val="none" w:sz="0" w:space="0" w:color="auto"/>
        <w:left w:val="none" w:sz="0" w:space="0" w:color="auto"/>
        <w:bottom w:val="none" w:sz="0" w:space="0" w:color="auto"/>
        <w:right w:val="none" w:sz="0" w:space="0" w:color="auto"/>
      </w:divBdr>
    </w:div>
    <w:div w:id="1101609930">
      <w:bodyDiv w:val="1"/>
      <w:marLeft w:val="0"/>
      <w:marRight w:val="0"/>
      <w:marTop w:val="0"/>
      <w:marBottom w:val="0"/>
      <w:divBdr>
        <w:top w:val="none" w:sz="0" w:space="0" w:color="auto"/>
        <w:left w:val="none" w:sz="0" w:space="0" w:color="auto"/>
        <w:bottom w:val="none" w:sz="0" w:space="0" w:color="auto"/>
        <w:right w:val="none" w:sz="0" w:space="0" w:color="auto"/>
      </w:divBdr>
    </w:div>
    <w:div w:id="1156457628">
      <w:bodyDiv w:val="1"/>
      <w:marLeft w:val="0"/>
      <w:marRight w:val="0"/>
      <w:marTop w:val="0"/>
      <w:marBottom w:val="0"/>
      <w:divBdr>
        <w:top w:val="none" w:sz="0" w:space="0" w:color="auto"/>
        <w:left w:val="none" w:sz="0" w:space="0" w:color="auto"/>
        <w:bottom w:val="none" w:sz="0" w:space="0" w:color="auto"/>
        <w:right w:val="none" w:sz="0" w:space="0" w:color="auto"/>
      </w:divBdr>
    </w:div>
    <w:div w:id="1162891878">
      <w:bodyDiv w:val="1"/>
      <w:marLeft w:val="0"/>
      <w:marRight w:val="0"/>
      <w:marTop w:val="0"/>
      <w:marBottom w:val="0"/>
      <w:divBdr>
        <w:top w:val="none" w:sz="0" w:space="0" w:color="auto"/>
        <w:left w:val="none" w:sz="0" w:space="0" w:color="auto"/>
        <w:bottom w:val="none" w:sz="0" w:space="0" w:color="auto"/>
        <w:right w:val="none" w:sz="0" w:space="0" w:color="auto"/>
      </w:divBdr>
    </w:div>
    <w:div w:id="1174882042">
      <w:bodyDiv w:val="1"/>
      <w:marLeft w:val="0"/>
      <w:marRight w:val="0"/>
      <w:marTop w:val="0"/>
      <w:marBottom w:val="0"/>
      <w:divBdr>
        <w:top w:val="none" w:sz="0" w:space="0" w:color="auto"/>
        <w:left w:val="none" w:sz="0" w:space="0" w:color="auto"/>
        <w:bottom w:val="none" w:sz="0" w:space="0" w:color="auto"/>
        <w:right w:val="none" w:sz="0" w:space="0" w:color="auto"/>
      </w:divBdr>
    </w:div>
    <w:div w:id="1251281008">
      <w:bodyDiv w:val="1"/>
      <w:marLeft w:val="0"/>
      <w:marRight w:val="0"/>
      <w:marTop w:val="0"/>
      <w:marBottom w:val="0"/>
      <w:divBdr>
        <w:top w:val="none" w:sz="0" w:space="0" w:color="auto"/>
        <w:left w:val="none" w:sz="0" w:space="0" w:color="auto"/>
        <w:bottom w:val="none" w:sz="0" w:space="0" w:color="auto"/>
        <w:right w:val="none" w:sz="0" w:space="0" w:color="auto"/>
      </w:divBdr>
    </w:div>
    <w:div w:id="1342320350">
      <w:bodyDiv w:val="1"/>
      <w:marLeft w:val="0"/>
      <w:marRight w:val="0"/>
      <w:marTop w:val="0"/>
      <w:marBottom w:val="0"/>
      <w:divBdr>
        <w:top w:val="none" w:sz="0" w:space="0" w:color="auto"/>
        <w:left w:val="none" w:sz="0" w:space="0" w:color="auto"/>
        <w:bottom w:val="none" w:sz="0" w:space="0" w:color="auto"/>
        <w:right w:val="none" w:sz="0" w:space="0" w:color="auto"/>
      </w:divBdr>
    </w:div>
    <w:div w:id="1357730420">
      <w:bodyDiv w:val="1"/>
      <w:marLeft w:val="0"/>
      <w:marRight w:val="0"/>
      <w:marTop w:val="0"/>
      <w:marBottom w:val="0"/>
      <w:divBdr>
        <w:top w:val="none" w:sz="0" w:space="0" w:color="auto"/>
        <w:left w:val="none" w:sz="0" w:space="0" w:color="auto"/>
        <w:bottom w:val="none" w:sz="0" w:space="0" w:color="auto"/>
        <w:right w:val="none" w:sz="0" w:space="0" w:color="auto"/>
      </w:divBdr>
    </w:div>
    <w:div w:id="1383942794">
      <w:bodyDiv w:val="1"/>
      <w:marLeft w:val="0"/>
      <w:marRight w:val="0"/>
      <w:marTop w:val="0"/>
      <w:marBottom w:val="0"/>
      <w:divBdr>
        <w:top w:val="none" w:sz="0" w:space="0" w:color="auto"/>
        <w:left w:val="none" w:sz="0" w:space="0" w:color="auto"/>
        <w:bottom w:val="none" w:sz="0" w:space="0" w:color="auto"/>
        <w:right w:val="none" w:sz="0" w:space="0" w:color="auto"/>
      </w:divBdr>
    </w:div>
    <w:div w:id="1391265272">
      <w:bodyDiv w:val="1"/>
      <w:marLeft w:val="0"/>
      <w:marRight w:val="0"/>
      <w:marTop w:val="0"/>
      <w:marBottom w:val="0"/>
      <w:divBdr>
        <w:top w:val="none" w:sz="0" w:space="0" w:color="auto"/>
        <w:left w:val="none" w:sz="0" w:space="0" w:color="auto"/>
        <w:bottom w:val="none" w:sz="0" w:space="0" w:color="auto"/>
        <w:right w:val="none" w:sz="0" w:space="0" w:color="auto"/>
      </w:divBdr>
    </w:div>
    <w:div w:id="1433353907">
      <w:bodyDiv w:val="1"/>
      <w:marLeft w:val="0"/>
      <w:marRight w:val="0"/>
      <w:marTop w:val="0"/>
      <w:marBottom w:val="0"/>
      <w:divBdr>
        <w:top w:val="none" w:sz="0" w:space="0" w:color="auto"/>
        <w:left w:val="none" w:sz="0" w:space="0" w:color="auto"/>
        <w:bottom w:val="none" w:sz="0" w:space="0" w:color="auto"/>
        <w:right w:val="none" w:sz="0" w:space="0" w:color="auto"/>
      </w:divBdr>
    </w:div>
    <w:div w:id="1438452764">
      <w:bodyDiv w:val="1"/>
      <w:marLeft w:val="0"/>
      <w:marRight w:val="0"/>
      <w:marTop w:val="0"/>
      <w:marBottom w:val="0"/>
      <w:divBdr>
        <w:top w:val="none" w:sz="0" w:space="0" w:color="auto"/>
        <w:left w:val="none" w:sz="0" w:space="0" w:color="auto"/>
        <w:bottom w:val="none" w:sz="0" w:space="0" w:color="auto"/>
        <w:right w:val="none" w:sz="0" w:space="0" w:color="auto"/>
      </w:divBdr>
    </w:div>
    <w:div w:id="1503201965">
      <w:bodyDiv w:val="1"/>
      <w:marLeft w:val="0"/>
      <w:marRight w:val="0"/>
      <w:marTop w:val="0"/>
      <w:marBottom w:val="0"/>
      <w:divBdr>
        <w:top w:val="none" w:sz="0" w:space="0" w:color="auto"/>
        <w:left w:val="none" w:sz="0" w:space="0" w:color="auto"/>
        <w:bottom w:val="none" w:sz="0" w:space="0" w:color="auto"/>
        <w:right w:val="none" w:sz="0" w:space="0" w:color="auto"/>
      </w:divBdr>
    </w:div>
    <w:div w:id="1509246045">
      <w:bodyDiv w:val="1"/>
      <w:marLeft w:val="0"/>
      <w:marRight w:val="0"/>
      <w:marTop w:val="0"/>
      <w:marBottom w:val="0"/>
      <w:divBdr>
        <w:top w:val="none" w:sz="0" w:space="0" w:color="auto"/>
        <w:left w:val="none" w:sz="0" w:space="0" w:color="auto"/>
        <w:bottom w:val="none" w:sz="0" w:space="0" w:color="auto"/>
        <w:right w:val="none" w:sz="0" w:space="0" w:color="auto"/>
      </w:divBdr>
    </w:div>
    <w:div w:id="1513450827">
      <w:bodyDiv w:val="1"/>
      <w:marLeft w:val="0"/>
      <w:marRight w:val="0"/>
      <w:marTop w:val="0"/>
      <w:marBottom w:val="0"/>
      <w:divBdr>
        <w:top w:val="none" w:sz="0" w:space="0" w:color="auto"/>
        <w:left w:val="none" w:sz="0" w:space="0" w:color="auto"/>
        <w:bottom w:val="none" w:sz="0" w:space="0" w:color="auto"/>
        <w:right w:val="none" w:sz="0" w:space="0" w:color="auto"/>
      </w:divBdr>
    </w:div>
    <w:div w:id="1602907732">
      <w:bodyDiv w:val="1"/>
      <w:marLeft w:val="0"/>
      <w:marRight w:val="0"/>
      <w:marTop w:val="0"/>
      <w:marBottom w:val="0"/>
      <w:divBdr>
        <w:top w:val="none" w:sz="0" w:space="0" w:color="auto"/>
        <w:left w:val="none" w:sz="0" w:space="0" w:color="auto"/>
        <w:bottom w:val="none" w:sz="0" w:space="0" w:color="auto"/>
        <w:right w:val="none" w:sz="0" w:space="0" w:color="auto"/>
      </w:divBdr>
    </w:div>
    <w:div w:id="165340973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95377045">
      <w:bodyDiv w:val="1"/>
      <w:marLeft w:val="0"/>
      <w:marRight w:val="0"/>
      <w:marTop w:val="0"/>
      <w:marBottom w:val="0"/>
      <w:divBdr>
        <w:top w:val="none" w:sz="0" w:space="0" w:color="auto"/>
        <w:left w:val="none" w:sz="0" w:space="0" w:color="auto"/>
        <w:bottom w:val="none" w:sz="0" w:space="0" w:color="auto"/>
        <w:right w:val="none" w:sz="0" w:space="0" w:color="auto"/>
      </w:divBdr>
    </w:div>
    <w:div w:id="1708338140">
      <w:bodyDiv w:val="1"/>
      <w:marLeft w:val="0"/>
      <w:marRight w:val="0"/>
      <w:marTop w:val="0"/>
      <w:marBottom w:val="0"/>
      <w:divBdr>
        <w:top w:val="none" w:sz="0" w:space="0" w:color="auto"/>
        <w:left w:val="none" w:sz="0" w:space="0" w:color="auto"/>
        <w:bottom w:val="none" w:sz="0" w:space="0" w:color="auto"/>
        <w:right w:val="none" w:sz="0" w:space="0" w:color="auto"/>
      </w:divBdr>
    </w:div>
    <w:div w:id="1718897602">
      <w:bodyDiv w:val="1"/>
      <w:marLeft w:val="0"/>
      <w:marRight w:val="0"/>
      <w:marTop w:val="0"/>
      <w:marBottom w:val="0"/>
      <w:divBdr>
        <w:top w:val="none" w:sz="0" w:space="0" w:color="auto"/>
        <w:left w:val="none" w:sz="0" w:space="0" w:color="auto"/>
        <w:bottom w:val="none" w:sz="0" w:space="0" w:color="auto"/>
        <w:right w:val="none" w:sz="0" w:space="0" w:color="auto"/>
      </w:divBdr>
    </w:div>
    <w:div w:id="1742557084">
      <w:bodyDiv w:val="1"/>
      <w:marLeft w:val="0"/>
      <w:marRight w:val="0"/>
      <w:marTop w:val="0"/>
      <w:marBottom w:val="0"/>
      <w:divBdr>
        <w:top w:val="none" w:sz="0" w:space="0" w:color="auto"/>
        <w:left w:val="none" w:sz="0" w:space="0" w:color="auto"/>
        <w:bottom w:val="none" w:sz="0" w:space="0" w:color="auto"/>
        <w:right w:val="none" w:sz="0" w:space="0" w:color="auto"/>
      </w:divBdr>
    </w:div>
    <w:div w:id="1769887005">
      <w:bodyDiv w:val="1"/>
      <w:marLeft w:val="0"/>
      <w:marRight w:val="0"/>
      <w:marTop w:val="0"/>
      <w:marBottom w:val="0"/>
      <w:divBdr>
        <w:top w:val="none" w:sz="0" w:space="0" w:color="auto"/>
        <w:left w:val="none" w:sz="0" w:space="0" w:color="auto"/>
        <w:bottom w:val="none" w:sz="0" w:space="0" w:color="auto"/>
        <w:right w:val="none" w:sz="0" w:space="0" w:color="auto"/>
      </w:divBdr>
    </w:div>
    <w:div w:id="1788036637">
      <w:bodyDiv w:val="1"/>
      <w:marLeft w:val="0"/>
      <w:marRight w:val="0"/>
      <w:marTop w:val="0"/>
      <w:marBottom w:val="0"/>
      <w:divBdr>
        <w:top w:val="none" w:sz="0" w:space="0" w:color="auto"/>
        <w:left w:val="none" w:sz="0" w:space="0" w:color="auto"/>
        <w:bottom w:val="none" w:sz="0" w:space="0" w:color="auto"/>
        <w:right w:val="none" w:sz="0" w:space="0" w:color="auto"/>
      </w:divBdr>
    </w:div>
    <w:div w:id="1811054163">
      <w:bodyDiv w:val="1"/>
      <w:marLeft w:val="0"/>
      <w:marRight w:val="0"/>
      <w:marTop w:val="0"/>
      <w:marBottom w:val="0"/>
      <w:divBdr>
        <w:top w:val="none" w:sz="0" w:space="0" w:color="auto"/>
        <w:left w:val="none" w:sz="0" w:space="0" w:color="auto"/>
        <w:bottom w:val="none" w:sz="0" w:space="0" w:color="auto"/>
        <w:right w:val="none" w:sz="0" w:space="0" w:color="auto"/>
      </w:divBdr>
    </w:div>
    <w:div w:id="1928148257">
      <w:bodyDiv w:val="1"/>
      <w:marLeft w:val="0"/>
      <w:marRight w:val="0"/>
      <w:marTop w:val="0"/>
      <w:marBottom w:val="0"/>
      <w:divBdr>
        <w:top w:val="none" w:sz="0" w:space="0" w:color="auto"/>
        <w:left w:val="none" w:sz="0" w:space="0" w:color="auto"/>
        <w:bottom w:val="none" w:sz="0" w:space="0" w:color="auto"/>
        <w:right w:val="none" w:sz="0" w:space="0" w:color="auto"/>
      </w:divBdr>
    </w:div>
    <w:div w:id="1936399523">
      <w:bodyDiv w:val="1"/>
      <w:marLeft w:val="0"/>
      <w:marRight w:val="0"/>
      <w:marTop w:val="0"/>
      <w:marBottom w:val="0"/>
      <w:divBdr>
        <w:top w:val="none" w:sz="0" w:space="0" w:color="auto"/>
        <w:left w:val="none" w:sz="0" w:space="0" w:color="auto"/>
        <w:bottom w:val="none" w:sz="0" w:space="0" w:color="auto"/>
        <w:right w:val="none" w:sz="0" w:space="0" w:color="auto"/>
      </w:divBdr>
    </w:div>
    <w:div w:id="2045905339">
      <w:bodyDiv w:val="1"/>
      <w:marLeft w:val="0"/>
      <w:marRight w:val="0"/>
      <w:marTop w:val="0"/>
      <w:marBottom w:val="0"/>
      <w:divBdr>
        <w:top w:val="none" w:sz="0" w:space="0" w:color="auto"/>
        <w:left w:val="none" w:sz="0" w:space="0" w:color="auto"/>
        <w:bottom w:val="none" w:sz="0" w:space="0" w:color="auto"/>
        <w:right w:val="none" w:sz="0" w:space="0" w:color="auto"/>
      </w:divBdr>
    </w:div>
    <w:div w:id="2106535640">
      <w:bodyDiv w:val="1"/>
      <w:marLeft w:val="0"/>
      <w:marRight w:val="0"/>
      <w:marTop w:val="0"/>
      <w:marBottom w:val="0"/>
      <w:divBdr>
        <w:top w:val="none" w:sz="0" w:space="0" w:color="auto"/>
        <w:left w:val="none" w:sz="0" w:space="0" w:color="auto"/>
        <w:bottom w:val="none" w:sz="0" w:space="0" w:color="auto"/>
        <w:right w:val="none" w:sz="0" w:space="0" w:color="auto"/>
      </w:divBdr>
    </w:div>
    <w:div w:id="21384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ta.europa.eu/doi/10.2874/229601" TargetMode="External"/><Relationship Id="rId7" Type="http://schemas.openxmlformats.org/officeDocument/2006/relationships/hyperlink" Target="https://ec.europa.eu/info/publications/200924-digital-finance-proposals_en" TargetMode="External"/><Relationship Id="rId2" Type="http://schemas.openxmlformats.org/officeDocument/2006/relationships/hyperlink" Target="https://www.efrag.org/Assets/Download?assetUrl=/sites/webpublishing/SiteAssets/Jean-Paul%20Gauz&#232;s%20-%20Ad%20Personam%20Mandate%20-%20Final%20Report%20-%2005-03-2021.pdf" TargetMode="External"/><Relationship Id="rId1" Type="http://schemas.openxmlformats.org/officeDocument/2006/relationships/hyperlink" Target="https://www.efrag.org/Lab2" TargetMode="External"/><Relationship Id="rId6" Type="http://schemas.openxmlformats.org/officeDocument/2006/relationships/hyperlink" Target="https://ec.europa.eu/digital-single-market/en/european-strategy-data" TargetMode="External"/><Relationship Id="rId5" Type="http://schemas.openxmlformats.org/officeDocument/2006/relationships/hyperlink" Target="https://op.europa.eu/el/publication-detail/-/publication/d7d85036-509c-11eb-b59f-01aa75ed71a1" TargetMode="External"/><Relationship Id="rId4" Type="http://schemas.openxmlformats.org/officeDocument/2006/relationships/hyperlink" Target="https://op.europa.eu/el/publication-detail/-/publication/d7d85036-509c-11eb-b59f-01aa75ed71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11FE-D33F-4DF2-874C-1F243C9F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40</Pages>
  <Words>35837</Words>
  <Characters>204277</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2022-07-07T15:57:00Z</dcterms:created>
  <dcterms:modified xsi:type="dcterms:W3CDTF">2022-07-07T15:57:00Z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20200226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SJ-024</vt:lpwstr>
  </property>
  <property fmtid="{D5CDD505-2E9C-101B-9397-08002B2CF9AE}" pid="7" name="Category">
    <vt:lpwstr>COM/PL/ORG</vt:lpwstr>
  </property>
  <property fmtid="{D5CDD505-2E9C-101B-9397-08002B2CF9AE}" pid="8" name="DQCStatus">
    <vt:lpwstr>Green (DQC version 03)</vt:lpwstr>
  </property>
</Properties>
</file>