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565E" w14:textId="77777777" w:rsidR="002E6C08" w:rsidRDefault="00FD53CE" w:rsidP="00D02B02">
      <w:pPr>
        <w:spacing w:line="264" w:lineRule="auto"/>
        <w:jc w:val="both"/>
        <w:rPr>
          <w:iCs/>
          <w:sz w:val="20"/>
          <w:szCs w:val="22"/>
          <w:lang w:val="el-GR"/>
        </w:rPr>
      </w:pPr>
      <w:r w:rsidRPr="004A5008">
        <w:rPr>
          <w:iCs/>
          <w:sz w:val="22"/>
          <w:lang w:val="el-GR"/>
        </w:rPr>
        <w:t>Προς: κ</w:t>
      </w:r>
      <w:r w:rsidR="00D77F07" w:rsidRPr="004A5008">
        <w:rPr>
          <w:iCs/>
          <w:sz w:val="22"/>
          <w:lang w:val="el-GR"/>
        </w:rPr>
        <w:t>.</w:t>
      </w:r>
      <w:r w:rsidR="00584125" w:rsidRPr="004A5008">
        <w:rPr>
          <w:iCs/>
          <w:sz w:val="22"/>
          <w:lang w:val="el-GR"/>
        </w:rPr>
        <w:t xml:space="preserve"> </w:t>
      </w:r>
      <w:r w:rsidR="00D77F07" w:rsidRPr="004A5008">
        <w:rPr>
          <w:iCs/>
          <w:sz w:val="22"/>
          <w:lang w:val="el-GR"/>
        </w:rPr>
        <w:t xml:space="preserve">Κωνσταντίνο Σκρέκα, Υπουργό Περιβάλλοντος και Ενέργειας </w:t>
      </w:r>
      <w:r w:rsidRPr="004A5008">
        <w:rPr>
          <w:iCs/>
          <w:sz w:val="22"/>
          <w:lang w:val="el-GR"/>
        </w:rPr>
        <w:t xml:space="preserve"> </w:t>
      </w:r>
      <w:r w:rsidRPr="004A5008">
        <w:rPr>
          <w:iCs/>
          <w:sz w:val="20"/>
          <w:szCs w:val="22"/>
          <w:lang w:val="el-GR"/>
        </w:rPr>
        <w:t xml:space="preserve">  </w:t>
      </w:r>
    </w:p>
    <w:p w14:paraId="164404BE" w14:textId="77777777" w:rsidR="003A4958" w:rsidRDefault="003A4958" w:rsidP="00D02B02">
      <w:pPr>
        <w:spacing w:line="264" w:lineRule="auto"/>
        <w:jc w:val="both"/>
        <w:rPr>
          <w:iCs/>
          <w:sz w:val="20"/>
          <w:szCs w:val="22"/>
          <w:lang w:val="el-GR"/>
        </w:rPr>
      </w:pPr>
    </w:p>
    <w:p w14:paraId="6D5D9C7E" w14:textId="05C5F491" w:rsidR="00D02B02" w:rsidRPr="00ED5539" w:rsidRDefault="00FD53CE" w:rsidP="00D02B02">
      <w:pPr>
        <w:spacing w:line="264" w:lineRule="auto"/>
        <w:jc w:val="both"/>
        <w:rPr>
          <w:iCs/>
          <w:sz w:val="22"/>
          <w:lang w:val="el-GR"/>
        </w:rPr>
      </w:pPr>
      <w:r w:rsidRPr="004A5008">
        <w:rPr>
          <w:iCs/>
          <w:sz w:val="20"/>
          <w:szCs w:val="22"/>
          <w:lang w:val="el-GR"/>
        </w:rPr>
        <w:t xml:space="preserve">      </w:t>
      </w:r>
    </w:p>
    <w:p w14:paraId="03A4ADF0" w14:textId="69922C0D" w:rsidR="00FD53CE" w:rsidRPr="004A5008" w:rsidRDefault="00FD53CE" w:rsidP="00FD53CE">
      <w:pPr>
        <w:spacing w:line="264" w:lineRule="auto"/>
        <w:jc w:val="right"/>
        <w:rPr>
          <w:iCs/>
          <w:sz w:val="22"/>
          <w:lang w:val="el-GR"/>
        </w:rPr>
      </w:pPr>
      <w:r w:rsidRPr="004A5008">
        <w:rPr>
          <w:iCs/>
          <w:sz w:val="22"/>
          <w:lang w:val="el-GR"/>
        </w:rPr>
        <w:t>Αθήνα</w:t>
      </w:r>
      <w:r w:rsidR="005554FD">
        <w:rPr>
          <w:iCs/>
          <w:sz w:val="22"/>
          <w:lang w:val="el-GR"/>
        </w:rPr>
        <w:t>,</w:t>
      </w:r>
      <w:r w:rsidRPr="004A5008">
        <w:rPr>
          <w:iCs/>
          <w:sz w:val="22"/>
          <w:lang w:val="el-GR"/>
        </w:rPr>
        <w:t xml:space="preserve"> </w:t>
      </w:r>
      <w:r w:rsidR="00F04C37">
        <w:rPr>
          <w:iCs/>
          <w:sz w:val="22"/>
          <w:lang w:val="el-GR"/>
        </w:rPr>
        <w:t>22 Ιουν</w:t>
      </w:r>
      <w:r w:rsidR="00D77F07" w:rsidRPr="004A5008">
        <w:rPr>
          <w:iCs/>
          <w:sz w:val="22"/>
          <w:lang w:val="el-GR"/>
        </w:rPr>
        <w:t xml:space="preserve">ίου </w:t>
      </w:r>
      <w:r w:rsidRPr="004A5008">
        <w:rPr>
          <w:iCs/>
          <w:sz w:val="22"/>
          <w:lang w:val="el-GR"/>
        </w:rPr>
        <w:t>202</w:t>
      </w:r>
      <w:r w:rsidR="002E6C08">
        <w:rPr>
          <w:iCs/>
          <w:sz w:val="22"/>
          <w:lang w:val="el-GR"/>
        </w:rPr>
        <w:t>2</w:t>
      </w:r>
    </w:p>
    <w:p w14:paraId="5FB19319" w14:textId="4A76AAFD" w:rsidR="00FD53CE" w:rsidRDefault="00FD53CE" w:rsidP="00FD53CE">
      <w:pPr>
        <w:spacing w:line="264" w:lineRule="auto"/>
        <w:jc w:val="both"/>
        <w:rPr>
          <w:b/>
          <w:iCs/>
          <w:sz w:val="22"/>
          <w:szCs w:val="22"/>
          <w:lang w:val="el-GR"/>
        </w:rPr>
      </w:pPr>
    </w:p>
    <w:p w14:paraId="458A8E11" w14:textId="77777777" w:rsidR="003A4958" w:rsidRPr="00FD53CE" w:rsidRDefault="003A4958" w:rsidP="00FD53CE">
      <w:pPr>
        <w:spacing w:line="264" w:lineRule="auto"/>
        <w:jc w:val="both"/>
        <w:rPr>
          <w:b/>
          <w:iCs/>
          <w:sz w:val="22"/>
          <w:szCs w:val="22"/>
          <w:lang w:val="el-GR"/>
        </w:rPr>
      </w:pPr>
    </w:p>
    <w:p w14:paraId="3A6507CA" w14:textId="43E1750F" w:rsidR="00FD53CE" w:rsidRPr="004A5008" w:rsidRDefault="00FD53CE" w:rsidP="00FD53CE">
      <w:pPr>
        <w:spacing w:line="264" w:lineRule="auto"/>
        <w:jc w:val="both"/>
        <w:rPr>
          <w:rFonts w:cstheme="minorHAnsi"/>
          <w:b/>
          <w:iCs/>
          <w:sz w:val="22"/>
          <w:lang w:val="el-GR"/>
        </w:rPr>
      </w:pPr>
      <w:r w:rsidRPr="004A5008">
        <w:rPr>
          <w:rFonts w:cstheme="minorHAnsi"/>
          <w:b/>
          <w:iCs/>
          <w:sz w:val="22"/>
          <w:lang w:val="el-GR"/>
        </w:rPr>
        <w:t>Θέμα:</w:t>
      </w:r>
      <w:r w:rsidR="00A3280B">
        <w:rPr>
          <w:rFonts w:cstheme="minorHAnsi"/>
          <w:b/>
          <w:iCs/>
          <w:sz w:val="22"/>
          <w:lang w:val="el-GR"/>
        </w:rPr>
        <w:t xml:space="preserve"> </w:t>
      </w:r>
      <w:r w:rsidR="00DD1886">
        <w:rPr>
          <w:rFonts w:cstheme="minorHAnsi"/>
          <w:b/>
          <w:iCs/>
          <w:sz w:val="22"/>
          <w:lang w:val="el-GR"/>
        </w:rPr>
        <w:t xml:space="preserve"> </w:t>
      </w:r>
      <w:r w:rsidR="00730A81">
        <w:rPr>
          <w:rFonts w:cstheme="minorHAnsi"/>
          <w:b/>
          <w:iCs/>
          <w:sz w:val="22"/>
          <w:lang w:val="el-GR"/>
        </w:rPr>
        <w:t xml:space="preserve">Παρατηρήσεις  επί του </w:t>
      </w:r>
      <w:r w:rsidR="003920BA">
        <w:rPr>
          <w:rFonts w:cstheme="minorHAnsi"/>
          <w:b/>
          <w:iCs/>
          <w:sz w:val="22"/>
          <w:lang w:val="el-GR"/>
        </w:rPr>
        <w:t>ν</w:t>
      </w:r>
      <w:r w:rsidR="00730A81">
        <w:rPr>
          <w:rFonts w:cstheme="minorHAnsi"/>
          <w:b/>
          <w:iCs/>
          <w:sz w:val="22"/>
          <w:lang w:val="el-GR"/>
        </w:rPr>
        <w:t xml:space="preserve">ομοσχεδίου για θέματα ΑΠΕ, που έχει κατατεθεί στη Βουλή  </w:t>
      </w:r>
    </w:p>
    <w:p w14:paraId="73A40F1B" w14:textId="6488AAB2" w:rsidR="00BA565E" w:rsidRDefault="00BA565E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6A095D7B" w14:textId="77777777" w:rsidR="00322339" w:rsidRPr="00AF74B0" w:rsidRDefault="00322339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2927A3AB" w14:textId="60DFCF1E" w:rsidR="00FD53CE" w:rsidRDefault="00FD53CE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 w:rsidRPr="004A5008">
        <w:rPr>
          <w:rFonts w:cstheme="minorHAnsi"/>
          <w:iCs/>
          <w:sz w:val="22"/>
          <w:lang w:val="el-GR"/>
        </w:rPr>
        <w:t>Κύριε Υπουργέ,</w:t>
      </w:r>
    </w:p>
    <w:p w14:paraId="0519AF1C" w14:textId="455F664A" w:rsidR="00BC289B" w:rsidRDefault="00BC289B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77E409A9" w14:textId="69EA7EB1" w:rsidR="00BC289B" w:rsidRDefault="00BC289B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Ακολούθως παραθέτουμε αναλυτικά τις παρατηρήσεις μας επί του </w:t>
      </w:r>
      <w:r w:rsidR="003920BA">
        <w:rPr>
          <w:rFonts w:cstheme="minorHAnsi"/>
          <w:iCs/>
          <w:sz w:val="22"/>
          <w:lang w:val="el-GR"/>
        </w:rPr>
        <w:t>ν</w:t>
      </w:r>
      <w:r>
        <w:rPr>
          <w:rFonts w:cstheme="minorHAnsi"/>
          <w:iCs/>
          <w:sz w:val="22"/>
          <w:lang w:val="el-GR"/>
        </w:rPr>
        <w:t>ομοσχεδίου, που έχει κατατεθεί προς ψήφιση στη Βουλή</w:t>
      </w:r>
      <w:r w:rsidR="003920BA">
        <w:rPr>
          <w:rFonts w:cstheme="minorHAnsi"/>
          <w:iCs/>
          <w:sz w:val="22"/>
          <w:lang w:val="el-GR"/>
        </w:rPr>
        <w:t xml:space="preserve"> και ειδικότερα ως προς</w:t>
      </w:r>
      <w:r w:rsidRPr="00BC289B">
        <w:rPr>
          <w:rFonts w:cstheme="minorHAnsi"/>
          <w:iCs/>
          <w:sz w:val="22"/>
          <w:lang w:val="el-GR"/>
        </w:rPr>
        <w:t>:</w:t>
      </w:r>
    </w:p>
    <w:p w14:paraId="2B1C0C45" w14:textId="77777777" w:rsidR="00613166" w:rsidRDefault="00613166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72FFDCA7" w14:textId="064E95BE" w:rsidR="00BC289B" w:rsidRDefault="003920BA" w:rsidP="00BC289B">
      <w:pPr>
        <w:pStyle w:val="ListParagraph"/>
        <w:numPr>
          <w:ilvl w:val="0"/>
          <w:numId w:val="19"/>
        </w:num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>τ</w:t>
      </w:r>
      <w:r w:rsidR="00BC289B">
        <w:rPr>
          <w:rFonts w:cstheme="minorHAnsi"/>
          <w:iCs/>
          <w:sz w:val="22"/>
          <w:lang w:val="el-GR"/>
        </w:rPr>
        <w:t xml:space="preserve">ις ρυθμίσεις για τις </w:t>
      </w:r>
      <w:r>
        <w:rPr>
          <w:rFonts w:cstheme="minorHAnsi"/>
          <w:iCs/>
          <w:sz w:val="22"/>
          <w:lang w:val="el-GR"/>
        </w:rPr>
        <w:t>ε</w:t>
      </w:r>
      <w:r w:rsidR="00BC289B">
        <w:rPr>
          <w:rFonts w:cstheme="minorHAnsi"/>
          <w:iCs/>
          <w:sz w:val="22"/>
          <w:lang w:val="el-GR"/>
        </w:rPr>
        <w:t xml:space="preserve">γγυήσεις </w:t>
      </w:r>
      <w:r>
        <w:rPr>
          <w:rFonts w:cstheme="minorHAnsi"/>
          <w:iCs/>
          <w:sz w:val="22"/>
          <w:lang w:val="el-GR"/>
        </w:rPr>
        <w:t>π</w:t>
      </w:r>
      <w:r w:rsidR="00BC289B">
        <w:rPr>
          <w:rFonts w:cstheme="minorHAnsi"/>
          <w:iCs/>
          <w:sz w:val="22"/>
          <w:lang w:val="el-GR"/>
        </w:rPr>
        <w:t xml:space="preserve">ροέλευσης </w:t>
      </w:r>
      <w:r w:rsidR="0033373E">
        <w:rPr>
          <w:rFonts w:cstheme="minorHAnsi"/>
          <w:iCs/>
          <w:sz w:val="22"/>
          <w:lang w:val="el-GR"/>
        </w:rPr>
        <w:t xml:space="preserve">παραγωγής από ΑΠΕ </w:t>
      </w:r>
      <w:r w:rsidR="00BC289B">
        <w:rPr>
          <w:rFonts w:cstheme="minorHAnsi"/>
          <w:iCs/>
          <w:sz w:val="22"/>
          <w:lang w:val="el-GR"/>
        </w:rPr>
        <w:t>και το σχεδιαζόμενο τρόπο υπολογισμού της νέας χρέωσης ΕΤΜΕΑΡ</w:t>
      </w:r>
      <w:r w:rsidR="0033373E">
        <w:rPr>
          <w:rFonts w:cstheme="minorHAnsi"/>
          <w:iCs/>
          <w:sz w:val="22"/>
          <w:lang w:val="el-GR"/>
        </w:rPr>
        <w:t>.</w:t>
      </w:r>
    </w:p>
    <w:p w14:paraId="653DD158" w14:textId="5BDE7F24" w:rsidR="00BC289B" w:rsidRPr="00BC289B" w:rsidRDefault="00F62E40" w:rsidP="00BC289B">
      <w:pPr>
        <w:pStyle w:val="ListParagraph"/>
        <w:numPr>
          <w:ilvl w:val="0"/>
          <w:numId w:val="19"/>
        </w:num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>την</w:t>
      </w:r>
      <w:r w:rsidR="00613166">
        <w:rPr>
          <w:rFonts w:cstheme="minorHAnsi"/>
          <w:iCs/>
          <w:sz w:val="22"/>
          <w:lang w:val="el-GR"/>
        </w:rPr>
        <w:t xml:space="preserve"> αναγκαιότητα για </w:t>
      </w:r>
      <w:r w:rsidR="00BC289B">
        <w:rPr>
          <w:rFonts w:cstheme="minorHAnsi"/>
          <w:iCs/>
          <w:sz w:val="22"/>
          <w:lang w:val="el-GR"/>
        </w:rPr>
        <w:t>εφεδρείες στα διασυνδεδεμένα νησιά</w:t>
      </w:r>
      <w:r w:rsidR="00613166">
        <w:rPr>
          <w:rFonts w:cstheme="minorHAnsi"/>
          <w:iCs/>
          <w:sz w:val="22"/>
          <w:lang w:val="el-GR"/>
        </w:rPr>
        <w:t xml:space="preserve">, </w:t>
      </w:r>
      <w:r w:rsidR="00604453">
        <w:rPr>
          <w:rFonts w:cstheme="minorHAnsi"/>
          <w:iCs/>
          <w:sz w:val="22"/>
          <w:lang w:val="el-GR"/>
        </w:rPr>
        <w:t>την</w:t>
      </w:r>
      <w:r w:rsidR="00613166">
        <w:rPr>
          <w:rFonts w:cstheme="minorHAnsi"/>
          <w:iCs/>
          <w:sz w:val="22"/>
          <w:lang w:val="el-GR"/>
        </w:rPr>
        <w:t xml:space="preserve"> αναδρομική από το 2004 επιβάρυνση των καταναλωτών μέσω αύξησης της ΧΧΣ</w:t>
      </w:r>
      <w:r w:rsidR="00604453">
        <w:rPr>
          <w:rFonts w:cstheme="minorHAnsi"/>
          <w:iCs/>
          <w:sz w:val="22"/>
          <w:lang w:val="el-GR"/>
        </w:rPr>
        <w:t>. Γεγονός που καθιστ</w:t>
      </w:r>
      <w:r w:rsidR="006E3368">
        <w:rPr>
          <w:rFonts w:cstheme="minorHAnsi"/>
          <w:iCs/>
          <w:sz w:val="22"/>
          <w:lang w:val="el-GR"/>
        </w:rPr>
        <w:t xml:space="preserve">ά επίκαιρο το αίτημα για </w:t>
      </w:r>
      <w:r w:rsidR="00613166">
        <w:rPr>
          <w:rFonts w:cstheme="minorHAnsi"/>
          <w:iCs/>
          <w:sz w:val="22"/>
          <w:lang w:val="el-GR"/>
        </w:rPr>
        <w:t xml:space="preserve">μείωση των ΥΚΩ για τους επιλέξιμους βιομηχανικούς καταναλωτές, όπως προβλέπεται από τις Κατευθυντήριες Γραμμές </w:t>
      </w:r>
      <w:r w:rsidR="00613166" w:rsidRPr="00613166">
        <w:rPr>
          <w:rFonts w:cstheme="minorHAnsi"/>
          <w:iCs/>
          <w:sz w:val="22"/>
          <w:lang w:val="el-GR"/>
        </w:rPr>
        <w:t>(</w:t>
      </w:r>
      <w:r w:rsidR="00613166">
        <w:rPr>
          <w:rFonts w:cstheme="minorHAnsi"/>
          <w:iCs/>
          <w:sz w:val="22"/>
        </w:rPr>
        <w:t>CEEAG</w:t>
      </w:r>
      <w:r w:rsidR="00613166" w:rsidRPr="00613166">
        <w:rPr>
          <w:rFonts w:cstheme="minorHAnsi"/>
          <w:iCs/>
          <w:sz w:val="22"/>
          <w:lang w:val="el-GR"/>
        </w:rPr>
        <w:t>).</w:t>
      </w:r>
      <w:r w:rsidR="00613166">
        <w:rPr>
          <w:rFonts w:cstheme="minorHAnsi"/>
          <w:iCs/>
          <w:sz w:val="22"/>
          <w:lang w:val="el-GR"/>
        </w:rPr>
        <w:t xml:space="preserve">  </w:t>
      </w:r>
    </w:p>
    <w:p w14:paraId="03CE5B5F" w14:textId="594A5DAF" w:rsidR="00231FFB" w:rsidRPr="006E3368" w:rsidRDefault="00231FFB" w:rsidP="00231FFB">
      <w:pPr>
        <w:spacing w:line="264" w:lineRule="auto"/>
        <w:jc w:val="both"/>
        <w:rPr>
          <w:rFonts w:cstheme="minorHAnsi"/>
          <w:b/>
          <w:bCs/>
          <w:iCs/>
          <w:sz w:val="22"/>
          <w:lang w:val="el-GR"/>
        </w:rPr>
      </w:pPr>
    </w:p>
    <w:p w14:paraId="14F8F298" w14:textId="0AEF8F45" w:rsidR="006E3368" w:rsidRPr="007A3105" w:rsidRDefault="006E3368" w:rsidP="00231FFB">
      <w:pPr>
        <w:spacing w:line="264" w:lineRule="auto"/>
        <w:jc w:val="both"/>
        <w:rPr>
          <w:rFonts w:cstheme="minorHAnsi"/>
          <w:b/>
          <w:bCs/>
          <w:iCs/>
          <w:sz w:val="22"/>
          <w:u w:val="single"/>
          <w:lang w:val="el-GR"/>
        </w:rPr>
      </w:pPr>
      <w:r w:rsidRPr="007A3105">
        <w:rPr>
          <w:rFonts w:cstheme="minorHAnsi"/>
          <w:b/>
          <w:bCs/>
          <w:iCs/>
          <w:sz w:val="22"/>
          <w:u w:val="single"/>
          <w:lang w:val="el-GR"/>
        </w:rPr>
        <w:t>Εγγυήσεις προέλευσης</w:t>
      </w:r>
      <w:r w:rsidR="007A3105" w:rsidRPr="007A3105">
        <w:rPr>
          <w:rFonts w:cstheme="minorHAnsi"/>
          <w:b/>
          <w:bCs/>
          <w:iCs/>
          <w:sz w:val="22"/>
          <w:u w:val="single"/>
          <w:lang w:val="el-GR"/>
        </w:rPr>
        <w:t>- Νέο ΕΤΜΕΑΡ</w:t>
      </w:r>
    </w:p>
    <w:p w14:paraId="7285D0FA" w14:textId="59D4380C" w:rsidR="001B10EA" w:rsidRDefault="0096153B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Με το </w:t>
      </w:r>
      <w:r w:rsidR="003920BA">
        <w:rPr>
          <w:rFonts w:cstheme="minorHAnsi"/>
          <w:iCs/>
          <w:sz w:val="22"/>
          <w:lang w:val="el-GR"/>
        </w:rPr>
        <w:t xml:space="preserve">άρθρο 226 του </w:t>
      </w:r>
      <w:r>
        <w:rPr>
          <w:rFonts w:cstheme="minorHAnsi"/>
          <w:iCs/>
          <w:sz w:val="22"/>
          <w:lang w:val="el-GR"/>
        </w:rPr>
        <w:t>Νόμο</w:t>
      </w:r>
      <w:r w:rsidR="003920BA">
        <w:rPr>
          <w:rFonts w:cstheme="minorHAnsi"/>
          <w:iCs/>
          <w:sz w:val="22"/>
          <w:lang w:val="el-GR"/>
        </w:rPr>
        <w:t>υ</w:t>
      </w:r>
      <w:r>
        <w:rPr>
          <w:rFonts w:cstheme="minorHAnsi"/>
          <w:iCs/>
          <w:sz w:val="22"/>
          <w:lang w:val="el-GR"/>
        </w:rPr>
        <w:t xml:space="preserve"> 4920/2022, θεσπίστηκε νέος </w:t>
      </w:r>
      <w:proofErr w:type="spellStart"/>
      <w:r>
        <w:rPr>
          <w:rFonts w:cstheme="minorHAnsi"/>
          <w:iCs/>
          <w:sz w:val="22"/>
          <w:lang w:val="el-GR"/>
        </w:rPr>
        <w:t>υπολογαριασμός</w:t>
      </w:r>
      <w:proofErr w:type="spellEnd"/>
      <w:r>
        <w:rPr>
          <w:rFonts w:cstheme="minorHAnsi"/>
          <w:iCs/>
          <w:sz w:val="22"/>
          <w:lang w:val="el-GR"/>
        </w:rPr>
        <w:t xml:space="preserve"> </w:t>
      </w:r>
      <w:r w:rsidR="00124817" w:rsidRPr="00C10A69">
        <w:rPr>
          <w:rFonts w:cstheme="minorHAnsi"/>
          <w:iCs/>
          <w:sz w:val="22"/>
          <w:lang w:val="el-GR"/>
        </w:rPr>
        <w:t>ΕΛΑΠΕ</w:t>
      </w:r>
      <w:r>
        <w:rPr>
          <w:rFonts w:cstheme="minorHAnsi"/>
          <w:iCs/>
          <w:sz w:val="22"/>
          <w:lang w:val="el-GR"/>
        </w:rPr>
        <w:t xml:space="preserve">, </w:t>
      </w:r>
      <w:r w:rsidR="00613166">
        <w:rPr>
          <w:rFonts w:cstheme="minorHAnsi"/>
          <w:iCs/>
          <w:sz w:val="22"/>
          <w:lang w:val="el-GR"/>
        </w:rPr>
        <w:t xml:space="preserve">μέσω του </w:t>
      </w:r>
      <w:r>
        <w:rPr>
          <w:rFonts w:cstheme="minorHAnsi"/>
          <w:iCs/>
          <w:sz w:val="22"/>
          <w:lang w:val="el-GR"/>
        </w:rPr>
        <w:t>οποίο</w:t>
      </w:r>
      <w:r w:rsidR="00613166">
        <w:rPr>
          <w:rFonts w:cstheme="minorHAnsi"/>
          <w:iCs/>
          <w:sz w:val="22"/>
          <w:lang w:val="el-GR"/>
        </w:rPr>
        <w:t xml:space="preserve">υ θα </w:t>
      </w:r>
      <w:r>
        <w:rPr>
          <w:rFonts w:cstheme="minorHAnsi"/>
          <w:iCs/>
          <w:sz w:val="22"/>
          <w:lang w:val="el-GR"/>
        </w:rPr>
        <w:t xml:space="preserve"> αποζημιώνονται οι παραγωγοί των σταθμών ΑΠΕ και ΣΗΘΥΑ</w:t>
      </w:r>
      <w:r w:rsidR="00613166">
        <w:rPr>
          <w:rFonts w:cstheme="minorHAnsi"/>
          <w:iCs/>
          <w:sz w:val="22"/>
          <w:lang w:val="el-GR"/>
        </w:rPr>
        <w:t>,</w:t>
      </w:r>
      <w:r>
        <w:rPr>
          <w:rFonts w:cstheme="minorHAnsi"/>
          <w:iCs/>
          <w:sz w:val="22"/>
          <w:lang w:val="el-GR"/>
        </w:rPr>
        <w:t xml:space="preserve"> που τίθενται σε λειτουργία μετά την 1.1.2021.</w:t>
      </w:r>
      <w:r w:rsidR="001B10EA">
        <w:rPr>
          <w:rFonts w:cstheme="minorHAnsi"/>
          <w:iCs/>
          <w:sz w:val="22"/>
          <w:lang w:val="el-GR"/>
        </w:rPr>
        <w:t xml:space="preserve"> Σ</w:t>
      </w:r>
      <w:r>
        <w:rPr>
          <w:rFonts w:cstheme="minorHAnsi"/>
          <w:iCs/>
          <w:sz w:val="22"/>
          <w:lang w:val="el-GR"/>
        </w:rPr>
        <w:t xml:space="preserve">το ίδιο άρθρο </w:t>
      </w:r>
      <w:r w:rsidR="001B10EA">
        <w:rPr>
          <w:rFonts w:cstheme="minorHAnsi"/>
          <w:iCs/>
          <w:sz w:val="22"/>
          <w:lang w:val="el-GR"/>
        </w:rPr>
        <w:t xml:space="preserve">αναφέρεται </w:t>
      </w:r>
      <w:r w:rsidR="007D06A3">
        <w:rPr>
          <w:rFonts w:cstheme="minorHAnsi"/>
          <w:iCs/>
          <w:sz w:val="22"/>
          <w:lang w:val="el-GR"/>
        </w:rPr>
        <w:t xml:space="preserve">ότι ανάμεσα στα έσοδα του εν λόγω </w:t>
      </w:r>
      <w:proofErr w:type="spellStart"/>
      <w:r w:rsidR="007D06A3">
        <w:rPr>
          <w:rFonts w:cstheme="minorHAnsi"/>
          <w:iCs/>
          <w:sz w:val="22"/>
          <w:lang w:val="el-GR"/>
        </w:rPr>
        <w:t>υπολογαριασμού</w:t>
      </w:r>
      <w:proofErr w:type="spellEnd"/>
      <w:r w:rsidR="007D06A3">
        <w:rPr>
          <w:rFonts w:cstheme="minorHAnsi"/>
          <w:iCs/>
          <w:sz w:val="22"/>
          <w:lang w:val="el-GR"/>
        </w:rPr>
        <w:t xml:space="preserve">    περιλαμβάνονται έσοδα</w:t>
      </w:r>
      <w:r w:rsidR="007D06A3" w:rsidRPr="007D06A3">
        <w:rPr>
          <w:rFonts w:cstheme="minorHAnsi"/>
          <w:iCs/>
          <w:sz w:val="22"/>
          <w:lang w:val="el-GR"/>
        </w:rPr>
        <w:t>:</w:t>
      </w:r>
    </w:p>
    <w:p w14:paraId="16CFDA70" w14:textId="5C5CE338" w:rsidR="007D06A3" w:rsidRDefault="0096153B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 </w:t>
      </w:r>
    </w:p>
    <w:p w14:paraId="520C628C" w14:textId="532058C7" w:rsidR="007D06A3" w:rsidRPr="007D06A3" w:rsidRDefault="0096153B" w:rsidP="007D06A3">
      <w:pPr>
        <w:pStyle w:val="ListParagraph"/>
        <w:numPr>
          <w:ilvl w:val="0"/>
          <w:numId w:val="16"/>
        </w:numPr>
        <w:spacing w:line="264" w:lineRule="auto"/>
        <w:jc w:val="both"/>
        <w:rPr>
          <w:rFonts w:cstheme="minorHAnsi"/>
          <w:iCs/>
          <w:sz w:val="22"/>
          <w:u w:val="single"/>
          <w:lang w:val="el-GR"/>
        </w:rPr>
      </w:pPr>
      <w:r w:rsidRPr="007D06A3">
        <w:rPr>
          <w:rFonts w:cstheme="minorHAnsi"/>
          <w:iCs/>
          <w:sz w:val="22"/>
          <w:lang w:val="el-GR"/>
        </w:rPr>
        <w:t>από δημοπρατήσεις εγγυήσεων προέλευσης</w:t>
      </w:r>
      <w:r w:rsidR="007D06A3">
        <w:rPr>
          <w:rFonts w:cstheme="minorHAnsi"/>
          <w:iCs/>
          <w:sz w:val="22"/>
          <w:lang w:val="el-GR"/>
        </w:rPr>
        <w:t xml:space="preserve"> (</w:t>
      </w:r>
      <w:r w:rsidR="007D06A3" w:rsidRPr="007D06A3">
        <w:rPr>
          <w:rFonts w:cstheme="minorHAnsi"/>
          <w:iCs/>
          <w:sz w:val="22"/>
          <w:lang w:val="el-GR"/>
        </w:rPr>
        <w:t xml:space="preserve">παράγραφος </w:t>
      </w:r>
      <w:proofErr w:type="spellStart"/>
      <w:r w:rsidR="007D06A3" w:rsidRPr="007D06A3">
        <w:rPr>
          <w:rFonts w:cstheme="minorHAnsi"/>
          <w:iCs/>
          <w:sz w:val="22"/>
          <w:lang w:val="el-GR"/>
        </w:rPr>
        <w:t>αβ</w:t>
      </w:r>
      <w:proofErr w:type="spellEnd"/>
      <w:r w:rsidR="007D06A3" w:rsidRPr="007D06A3">
        <w:rPr>
          <w:rFonts w:cstheme="minorHAnsi"/>
          <w:iCs/>
          <w:sz w:val="22"/>
          <w:lang w:val="el-GR"/>
        </w:rPr>
        <w:t>)</w:t>
      </w:r>
      <w:r w:rsidRPr="007D06A3">
        <w:rPr>
          <w:rFonts w:cstheme="minorHAnsi"/>
          <w:iCs/>
          <w:sz w:val="22"/>
          <w:lang w:val="el-GR"/>
        </w:rPr>
        <w:t xml:space="preserve"> </w:t>
      </w:r>
      <w:r w:rsidR="007015E7" w:rsidRPr="007D06A3">
        <w:rPr>
          <w:rFonts w:cstheme="minorHAnsi"/>
          <w:iCs/>
          <w:sz w:val="22"/>
          <w:lang w:val="el-GR"/>
        </w:rPr>
        <w:t xml:space="preserve"> </w:t>
      </w:r>
    </w:p>
    <w:p w14:paraId="00BA9E9B" w14:textId="1968070A" w:rsidR="001B10EA" w:rsidRPr="00613166" w:rsidRDefault="00304B8B" w:rsidP="0047576A">
      <w:pPr>
        <w:pStyle w:val="ListParagraph"/>
        <w:numPr>
          <w:ilvl w:val="0"/>
          <w:numId w:val="16"/>
        </w:numPr>
        <w:spacing w:line="264" w:lineRule="auto"/>
        <w:jc w:val="both"/>
        <w:rPr>
          <w:rFonts w:cstheme="minorHAnsi"/>
          <w:iCs/>
          <w:sz w:val="22"/>
          <w:u w:val="single"/>
          <w:lang w:val="el-GR"/>
        </w:rPr>
      </w:pPr>
      <w:r w:rsidRPr="00754F32">
        <w:rPr>
          <w:rFonts w:cstheme="minorHAnsi"/>
          <w:b/>
          <w:bCs/>
          <w:iCs/>
          <w:sz w:val="22"/>
          <w:lang w:val="el-GR"/>
        </w:rPr>
        <w:t>από χρέωση που επιβάλλεται στους εκπροσώπους φορτίου</w:t>
      </w:r>
      <w:r w:rsidRPr="007D06A3">
        <w:rPr>
          <w:rFonts w:cstheme="minorHAnsi"/>
          <w:iCs/>
          <w:sz w:val="22"/>
          <w:lang w:val="el-GR"/>
        </w:rPr>
        <w:t xml:space="preserve"> </w:t>
      </w:r>
      <w:r w:rsidR="007D06A3">
        <w:rPr>
          <w:rFonts w:cstheme="minorHAnsi"/>
          <w:iCs/>
          <w:sz w:val="22"/>
          <w:lang w:val="el-GR"/>
        </w:rPr>
        <w:t>(</w:t>
      </w:r>
      <w:r w:rsidR="007D06A3" w:rsidRPr="007D06A3">
        <w:rPr>
          <w:rFonts w:cstheme="minorHAnsi"/>
          <w:iCs/>
          <w:sz w:val="22"/>
          <w:lang w:val="el-GR"/>
        </w:rPr>
        <w:t xml:space="preserve">παράγραφο </w:t>
      </w:r>
      <w:proofErr w:type="spellStart"/>
      <w:r w:rsidR="007D06A3" w:rsidRPr="007D06A3">
        <w:rPr>
          <w:rFonts w:cstheme="minorHAnsi"/>
          <w:iCs/>
          <w:sz w:val="22"/>
          <w:lang w:val="el-GR"/>
        </w:rPr>
        <w:t>γβ</w:t>
      </w:r>
      <w:proofErr w:type="spellEnd"/>
      <w:r w:rsidR="007D06A3">
        <w:rPr>
          <w:rFonts w:cstheme="minorHAnsi"/>
          <w:iCs/>
          <w:sz w:val="22"/>
          <w:lang w:val="el-GR"/>
        </w:rPr>
        <w:t>)</w:t>
      </w:r>
      <w:r w:rsidR="007D06A3" w:rsidRPr="007D06A3">
        <w:rPr>
          <w:rFonts w:cstheme="minorHAnsi"/>
          <w:iCs/>
          <w:sz w:val="22"/>
          <w:lang w:val="el-GR"/>
        </w:rPr>
        <w:t xml:space="preserve"> </w:t>
      </w:r>
      <w:r w:rsidRPr="007D06A3">
        <w:rPr>
          <w:rFonts w:cstheme="minorHAnsi"/>
          <w:iCs/>
          <w:sz w:val="22"/>
          <w:lang w:val="el-GR"/>
        </w:rPr>
        <w:t>για την αποζημίωση των νέων έργων ΑΠΕ</w:t>
      </w:r>
      <w:r w:rsidR="00613166">
        <w:rPr>
          <w:rFonts w:cstheme="minorHAnsi"/>
          <w:iCs/>
          <w:sz w:val="22"/>
          <w:lang w:val="el-GR"/>
        </w:rPr>
        <w:t xml:space="preserve">, που τίθενται σε λειτουργία </w:t>
      </w:r>
      <w:r w:rsidRPr="007D06A3">
        <w:rPr>
          <w:rFonts w:cstheme="minorHAnsi"/>
          <w:iCs/>
          <w:sz w:val="22"/>
          <w:lang w:val="el-GR"/>
        </w:rPr>
        <w:t xml:space="preserve"> μετά την 1.1.2021</w:t>
      </w:r>
      <w:r w:rsidR="0033373E">
        <w:rPr>
          <w:rFonts w:cstheme="minorHAnsi"/>
          <w:iCs/>
          <w:sz w:val="22"/>
          <w:lang w:val="el-GR"/>
        </w:rPr>
        <w:t xml:space="preserve"> (νέο ΕΤΜΕΑΡ)</w:t>
      </w:r>
      <w:r w:rsidR="00613166">
        <w:rPr>
          <w:rFonts w:cstheme="minorHAnsi"/>
          <w:iCs/>
          <w:sz w:val="22"/>
          <w:lang w:val="el-GR"/>
        </w:rPr>
        <w:t xml:space="preserve">. Χρέωση </w:t>
      </w:r>
      <w:r w:rsidR="007D06A3" w:rsidRPr="007D06A3">
        <w:rPr>
          <w:rFonts w:cstheme="minorHAnsi"/>
          <w:iCs/>
          <w:sz w:val="22"/>
          <w:lang w:val="el-GR"/>
        </w:rPr>
        <w:t xml:space="preserve"> η οποία ακολούθως </w:t>
      </w:r>
      <w:r w:rsidR="006E3368">
        <w:rPr>
          <w:rFonts w:cstheme="minorHAnsi"/>
          <w:iCs/>
          <w:sz w:val="22"/>
          <w:lang w:val="el-GR"/>
        </w:rPr>
        <w:t xml:space="preserve">θα </w:t>
      </w:r>
      <w:r w:rsidR="007D06A3" w:rsidRPr="007D06A3">
        <w:rPr>
          <w:rFonts w:cstheme="minorHAnsi"/>
          <w:iCs/>
          <w:sz w:val="22"/>
          <w:lang w:val="el-GR"/>
        </w:rPr>
        <w:t xml:space="preserve">επιβαρύνει τους πελάτες </w:t>
      </w:r>
      <w:r w:rsidR="00613166">
        <w:rPr>
          <w:rFonts w:cstheme="minorHAnsi"/>
          <w:iCs/>
          <w:sz w:val="22"/>
          <w:lang w:val="el-GR"/>
        </w:rPr>
        <w:t xml:space="preserve">τους </w:t>
      </w:r>
      <w:r w:rsidR="007D06A3" w:rsidRPr="007D06A3">
        <w:rPr>
          <w:rFonts w:cstheme="minorHAnsi"/>
          <w:iCs/>
          <w:sz w:val="22"/>
          <w:u w:val="single"/>
          <w:lang w:val="el-GR"/>
        </w:rPr>
        <w:t>ανάλογα με την κατανάλωση ενέργειας</w:t>
      </w:r>
      <w:r w:rsidR="00613166">
        <w:rPr>
          <w:rFonts w:cstheme="minorHAnsi"/>
          <w:iCs/>
          <w:sz w:val="22"/>
          <w:u w:val="single"/>
          <w:lang w:val="el-GR"/>
        </w:rPr>
        <w:t xml:space="preserve"> τους</w:t>
      </w:r>
      <w:r w:rsidR="007D06A3" w:rsidRPr="007D06A3">
        <w:rPr>
          <w:rFonts w:cstheme="minorHAnsi"/>
          <w:iCs/>
          <w:sz w:val="22"/>
          <w:u w:val="single"/>
          <w:lang w:val="el-GR"/>
        </w:rPr>
        <w:t xml:space="preserve"> και </w:t>
      </w:r>
      <w:r w:rsidR="006E3368">
        <w:rPr>
          <w:rFonts w:cstheme="minorHAnsi"/>
          <w:iCs/>
          <w:sz w:val="22"/>
          <w:u w:val="single"/>
          <w:lang w:val="el-GR"/>
        </w:rPr>
        <w:t xml:space="preserve">θα </w:t>
      </w:r>
      <w:r w:rsidR="007D06A3" w:rsidRPr="007D06A3">
        <w:rPr>
          <w:rFonts w:cstheme="minorHAnsi"/>
          <w:iCs/>
          <w:sz w:val="22"/>
          <w:u w:val="single"/>
          <w:lang w:val="el-GR"/>
        </w:rPr>
        <w:t xml:space="preserve">αποτυπώνεται στα τιμολόγια τους. </w:t>
      </w:r>
    </w:p>
    <w:p w14:paraId="7C096397" w14:textId="77777777" w:rsidR="001B10EA" w:rsidRDefault="001B10EA" w:rsidP="001B10EA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1C24D5DB" w14:textId="11999DAC" w:rsidR="000A1782" w:rsidRPr="001B10EA" w:rsidRDefault="00243737" w:rsidP="001B10EA">
      <w:pPr>
        <w:spacing w:line="264" w:lineRule="auto"/>
        <w:jc w:val="both"/>
        <w:rPr>
          <w:rFonts w:cstheme="minorHAnsi"/>
          <w:iCs/>
          <w:sz w:val="22"/>
          <w:u w:val="single"/>
          <w:lang w:val="el-GR"/>
        </w:rPr>
      </w:pPr>
      <w:r>
        <w:rPr>
          <w:rFonts w:cstheme="minorHAnsi"/>
          <w:iCs/>
          <w:sz w:val="22"/>
          <w:lang w:val="el-GR"/>
        </w:rPr>
        <w:t xml:space="preserve">Επισημαίνουμε </w:t>
      </w:r>
      <w:r w:rsidR="007D06A3" w:rsidRPr="001B10EA">
        <w:rPr>
          <w:rFonts w:cstheme="minorHAnsi"/>
          <w:iCs/>
          <w:sz w:val="22"/>
          <w:lang w:val="el-GR"/>
        </w:rPr>
        <w:t xml:space="preserve">ότι </w:t>
      </w:r>
      <w:r w:rsidR="00C15E14">
        <w:rPr>
          <w:rFonts w:cstheme="minorHAnsi"/>
          <w:iCs/>
          <w:sz w:val="22"/>
          <w:lang w:val="el-GR"/>
        </w:rPr>
        <w:t>για</w:t>
      </w:r>
      <w:r w:rsidR="001B10EA">
        <w:rPr>
          <w:rFonts w:cstheme="minorHAnsi"/>
          <w:iCs/>
          <w:sz w:val="22"/>
          <w:lang w:val="el-GR"/>
        </w:rPr>
        <w:t xml:space="preserve"> την εν λόγω χρέωση </w:t>
      </w:r>
      <w:r w:rsidR="00C15E14" w:rsidRPr="00C10A69">
        <w:rPr>
          <w:rFonts w:cstheme="minorHAnsi"/>
          <w:iCs/>
          <w:sz w:val="22"/>
          <w:lang w:val="el-GR"/>
        </w:rPr>
        <w:t xml:space="preserve">δεν </w:t>
      </w:r>
      <w:r w:rsidR="003920BA">
        <w:rPr>
          <w:rFonts w:cstheme="minorHAnsi"/>
          <w:iCs/>
          <w:sz w:val="22"/>
          <w:lang w:val="el-GR"/>
        </w:rPr>
        <w:t>επεκτείνεται</w:t>
      </w:r>
      <w:r w:rsidR="00C15E14" w:rsidRPr="00C10A69">
        <w:rPr>
          <w:rFonts w:cstheme="minorHAnsi"/>
          <w:iCs/>
          <w:sz w:val="22"/>
          <w:lang w:val="el-GR"/>
        </w:rPr>
        <w:t xml:space="preserve"> το υφιστάμενο καθεστώς εκπτώσεων </w:t>
      </w:r>
      <w:r w:rsidR="00C15E14" w:rsidRPr="001B10EA">
        <w:rPr>
          <w:rFonts w:cstheme="minorHAnsi"/>
          <w:iCs/>
          <w:sz w:val="22"/>
          <w:lang w:val="el-GR"/>
        </w:rPr>
        <w:t xml:space="preserve"> </w:t>
      </w:r>
      <w:r w:rsidR="00C15E14">
        <w:rPr>
          <w:rFonts w:cstheme="minorHAnsi"/>
          <w:iCs/>
          <w:sz w:val="22"/>
          <w:lang w:val="el-GR"/>
        </w:rPr>
        <w:t>προς</w:t>
      </w:r>
      <w:r w:rsidR="007D06A3" w:rsidRPr="001B10EA">
        <w:rPr>
          <w:rFonts w:cstheme="minorHAnsi"/>
          <w:iCs/>
          <w:sz w:val="22"/>
          <w:lang w:val="el-GR"/>
        </w:rPr>
        <w:t xml:space="preserve"> τις επιλέξιμες κατηγορίες καταναλωτών</w:t>
      </w:r>
      <w:r w:rsidR="00124817">
        <w:rPr>
          <w:rFonts w:cstheme="minorHAnsi"/>
          <w:iCs/>
          <w:sz w:val="22"/>
          <w:lang w:val="el-GR"/>
        </w:rPr>
        <w:t xml:space="preserve"> </w:t>
      </w:r>
      <w:r w:rsidR="00124817" w:rsidRPr="00C10A69">
        <w:rPr>
          <w:rFonts w:cstheme="minorHAnsi"/>
          <w:iCs/>
          <w:sz w:val="22"/>
          <w:lang w:val="el-GR"/>
        </w:rPr>
        <w:t>τ</w:t>
      </w:r>
      <w:r w:rsidR="00C10A69">
        <w:rPr>
          <w:rFonts w:cstheme="minorHAnsi"/>
          <w:iCs/>
          <w:sz w:val="22"/>
          <w:lang w:val="el-GR"/>
        </w:rPr>
        <w:t xml:space="preserve">ων </w:t>
      </w:r>
      <w:r w:rsidR="00124817" w:rsidRPr="00C10A69">
        <w:rPr>
          <w:rFonts w:cstheme="minorHAnsi"/>
          <w:iCs/>
          <w:sz w:val="22"/>
          <w:lang w:val="el-GR"/>
        </w:rPr>
        <w:t>βιομηχαν</w:t>
      </w:r>
      <w:r w:rsidR="00C10A69">
        <w:rPr>
          <w:rFonts w:cstheme="minorHAnsi"/>
          <w:iCs/>
          <w:sz w:val="22"/>
          <w:lang w:val="el-GR"/>
        </w:rPr>
        <w:t>ιών έντασης ενέργειας,</w:t>
      </w:r>
      <w:r w:rsidRPr="00C10A69">
        <w:rPr>
          <w:rFonts w:cstheme="minorHAnsi"/>
          <w:iCs/>
          <w:sz w:val="22"/>
          <w:lang w:val="el-GR"/>
        </w:rPr>
        <w:t xml:space="preserve"> </w:t>
      </w:r>
      <w:r w:rsidR="00C15E14" w:rsidRPr="00C10A69">
        <w:rPr>
          <w:rFonts w:cstheme="minorHAnsi"/>
          <w:iCs/>
          <w:sz w:val="22"/>
          <w:lang w:val="el-GR"/>
        </w:rPr>
        <w:t xml:space="preserve">αλλά </w:t>
      </w:r>
      <w:r w:rsidR="003920BA">
        <w:rPr>
          <w:rFonts w:cstheme="minorHAnsi"/>
          <w:iCs/>
          <w:sz w:val="22"/>
          <w:lang w:val="el-GR"/>
        </w:rPr>
        <w:t>ο</w:t>
      </w:r>
      <w:r w:rsidR="00C15E14" w:rsidRPr="00C10A69">
        <w:rPr>
          <w:rFonts w:cstheme="minorHAnsi"/>
          <w:iCs/>
          <w:sz w:val="22"/>
          <w:lang w:val="el-GR"/>
        </w:rPr>
        <w:t xml:space="preserve">ρίζεται ότι </w:t>
      </w:r>
      <w:r w:rsidR="003920BA">
        <w:rPr>
          <w:rFonts w:cstheme="minorHAnsi"/>
          <w:iCs/>
          <w:sz w:val="22"/>
          <w:lang w:val="el-GR"/>
        </w:rPr>
        <w:t xml:space="preserve">απαιτείται </w:t>
      </w:r>
      <w:r w:rsidR="00C15E14" w:rsidRPr="00C10A69">
        <w:rPr>
          <w:rFonts w:cstheme="minorHAnsi"/>
          <w:iCs/>
          <w:sz w:val="22"/>
          <w:lang w:val="el-GR"/>
        </w:rPr>
        <w:t xml:space="preserve">νέα </w:t>
      </w:r>
      <w:r w:rsidR="003920BA">
        <w:rPr>
          <w:rFonts w:cstheme="minorHAnsi"/>
          <w:iCs/>
          <w:sz w:val="22"/>
          <w:lang w:val="el-GR"/>
        </w:rPr>
        <w:t xml:space="preserve">ΥΑ προκειμένου να ισχύσει </w:t>
      </w:r>
      <w:r w:rsidR="007D06A3" w:rsidRPr="001B10EA">
        <w:rPr>
          <w:rFonts w:cstheme="minorHAnsi"/>
          <w:iCs/>
          <w:sz w:val="22"/>
          <w:lang w:val="el-GR"/>
        </w:rPr>
        <w:t xml:space="preserve">η αντίστοιχη </w:t>
      </w:r>
      <w:proofErr w:type="spellStart"/>
      <w:r w:rsidR="007D06A3" w:rsidRPr="001B10EA">
        <w:rPr>
          <w:rFonts w:cstheme="minorHAnsi"/>
          <w:iCs/>
          <w:sz w:val="22"/>
          <w:lang w:val="el-GR"/>
        </w:rPr>
        <w:t>μοναδιαία</w:t>
      </w:r>
      <w:proofErr w:type="spellEnd"/>
      <w:r w:rsidR="007D06A3" w:rsidRPr="001B10EA">
        <w:rPr>
          <w:rFonts w:cstheme="minorHAnsi"/>
          <w:iCs/>
          <w:sz w:val="22"/>
          <w:lang w:val="el-GR"/>
        </w:rPr>
        <w:t xml:space="preserve"> μειωμένη χρέωση.</w:t>
      </w:r>
    </w:p>
    <w:p w14:paraId="1DDF86D7" w14:textId="1AECF380" w:rsidR="00D76789" w:rsidRDefault="00D76789" w:rsidP="00D76789">
      <w:pPr>
        <w:spacing w:line="264" w:lineRule="auto"/>
        <w:jc w:val="both"/>
        <w:rPr>
          <w:rFonts w:cstheme="minorHAnsi"/>
          <w:iCs/>
          <w:sz w:val="22"/>
          <w:u w:val="single"/>
          <w:lang w:val="el-GR"/>
        </w:rPr>
      </w:pPr>
    </w:p>
    <w:p w14:paraId="427C7236" w14:textId="6EA7A9EC" w:rsidR="001D19EC" w:rsidRPr="0033373E" w:rsidRDefault="0033373E" w:rsidP="00D76789">
      <w:pPr>
        <w:spacing w:line="264" w:lineRule="auto"/>
        <w:jc w:val="both"/>
        <w:rPr>
          <w:rFonts w:cstheme="minorHAnsi"/>
          <w:b/>
          <w:bCs/>
          <w:iCs/>
          <w:sz w:val="22"/>
          <w:lang w:val="el-GR"/>
        </w:rPr>
      </w:pPr>
      <w:r>
        <w:rPr>
          <w:rFonts w:cstheme="minorHAnsi"/>
          <w:b/>
          <w:bCs/>
          <w:iCs/>
          <w:sz w:val="22"/>
          <w:lang w:val="el-GR"/>
        </w:rPr>
        <w:t>Επισημαίνουμε ότι σ</w:t>
      </w:r>
      <w:r w:rsidR="001D19EC" w:rsidRPr="0033373E">
        <w:rPr>
          <w:rFonts w:cstheme="minorHAnsi"/>
          <w:b/>
          <w:bCs/>
          <w:iCs/>
          <w:sz w:val="22"/>
          <w:lang w:val="el-GR"/>
        </w:rPr>
        <w:t xml:space="preserve">ύμφωνα με τις νέες Κατευθυντήριες γραμμές </w:t>
      </w:r>
      <w:r w:rsidR="001D19EC" w:rsidRPr="0033373E">
        <w:rPr>
          <w:rFonts w:cstheme="minorHAnsi"/>
          <w:b/>
          <w:bCs/>
          <w:iCs/>
          <w:sz w:val="22"/>
        </w:rPr>
        <w:t>CEEAG</w:t>
      </w:r>
      <w:r w:rsidR="001D19EC" w:rsidRPr="0033373E">
        <w:rPr>
          <w:rFonts w:cstheme="minorHAnsi"/>
          <w:b/>
          <w:bCs/>
          <w:iCs/>
          <w:sz w:val="22"/>
          <w:lang w:val="el-GR"/>
        </w:rPr>
        <w:t xml:space="preserve"> (21.12.2021) δεν προβλέπεται η δυνατότητα </w:t>
      </w:r>
      <w:r w:rsidR="00C15E14" w:rsidRPr="0033373E">
        <w:rPr>
          <w:rFonts w:cstheme="minorHAnsi"/>
          <w:b/>
          <w:bCs/>
          <w:iCs/>
          <w:sz w:val="22"/>
          <w:lang w:val="el-GR"/>
        </w:rPr>
        <w:t xml:space="preserve">επιβολής </w:t>
      </w:r>
      <w:r w:rsidR="001D19EC" w:rsidRPr="0033373E">
        <w:rPr>
          <w:rFonts w:cstheme="minorHAnsi"/>
          <w:b/>
          <w:bCs/>
          <w:iCs/>
          <w:sz w:val="22"/>
          <w:lang w:val="el-GR"/>
        </w:rPr>
        <w:t>χρέωσης</w:t>
      </w:r>
      <w:r w:rsidR="00C15E14" w:rsidRPr="0033373E">
        <w:rPr>
          <w:rFonts w:cstheme="minorHAnsi"/>
          <w:b/>
          <w:bCs/>
          <w:iCs/>
          <w:sz w:val="22"/>
          <w:lang w:val="el-GR"/>
        </w:rPr>
        <w:t>/τέλους</w:t>
      </w:r>
      <w:r w:rsidR="001D19EC" w:rsidRPr="0033373E">
        <w:rPr>
          <w:rFonts w:cstheme="minorHAnsi"/>
          <w:b/>
          <w:bCs/>
          <w:iCs/>
          <w:color w:val="FF0000"/>
          <w:sz w:val="22"/>
          <w:lang w:val="el-GR"/>
        </w:rPr>
        <w:t xml:space="preserve"> </w:t>
      </w:r>
      <w:r w:rsidR="00C15E14" w:rsidRPr="0033373E">
        <w:rPr>
          <w:rFonts w:cstheme="minorHAnsi"/>
          <w:b/>
          <w:bCs/>
          <w:iCs/>
          <w:sz w:val="22"/>
          <w:lang w:val="el-GR"/>
        </w:rPr>
        <w:t>σε προμηθευτές για τη χρηματοδοτική στήριξη των</w:t>
      </w:r>
      <w:r w:rsidR="001D19EC" w:rsidRPr="0033373E">
        <w:rPr>
          <w:rFonts w:cstheme="minorHAnsi"/>
          <w:b/>
          <w:bCs/>
          <w:iCs/>
          <w:sz w:val="22"/>
          <w:lang w:val="el-GR"/>
        </w:rPr>
        <w:t xml:space="preserve"> </w:t>
      </w:r>
      <w:r w:rsidR="00124817" w:rsidRPr="0033373E">
        <w:rPr>
          <w:rFonts w:cstheme="minorHAnsi"/>
          <w:b/>
          <w:bCs/>
          <w:iCs/>
          <w:sz w:val="22"/>
          <w:lang w:val="el-GR"/>
        </w:rPr>
        <w:t>ΑΠΕ</w:t>
      </w:r>
      <w:r w:rsidR="00C15E14" w:rsidRPr="0033373E">
        <w:rPr>
          <w:rFonts w:cstheme="minorHAnsi"/>
          <w:b/>
          <w:bCs/>
          <w:iCs/>
          <w:color w:val="FF0000"/>
          <w:sz w:val="22"/>
          <w:lang w:val="el-GR"/>
        </w:rPr>
        <w:t>,</w:t>
      </w:r>
      <w:r w:rsidR="001D19EC" w:rsidRPr="0033373E">
        <w:rPr>
          <w:rFonts w:cstheme="minorHAnsi"/>
          <w:b/>
          <w:bCs/>
          <w:iCs/>
          <w:color w:val="FF0000"/>
          <w:sz w:val="22"/>
          <w:lang w:val="el-GR"/>
        </w:rPr>
        <w:t xml:space="preserve"> </w:t>
      </w:r>
      <w:r w:rsidR="001D19EC" w:rsidRPr="0033373E">
        <w:rPr>
          <w:rFonts w:cstheme="minorHAnsi"/>
          <w:b/>
          <w:bCs/>
          <w:iCs/>
          <w:sz w:val="22"/>
          <w:lang w:val="el-GR"/>
        </w:rPr>
        <w:t xml:space="preserve">παρά μόνο </w:t>
      </w:r>
      <w:r w:rsidR="003920BA">
        <w:rPr>
          <w:rFonts w:cstheme="minorHAnsi"/>
          <w:b/>
          <w:bCs/>
          <w:iCs/>
          <w:sz w:val="22"/>
          <w:lang w:val="el-GR"/>
        </w:rPr>
        <w:t xml:space="preserve">απ’ </w:t>
      </w:r>
      <w:r w:rsidR="006E3368" w:rsidRPr="0033373E">
        <w:rPr>
          <w:rFonts w:cstheme="minorHAnsi"/>
          <w:b/>
          <w:bCs/>
          <w:iCs/>
          <w:sz w:val="22"/>
          <w:lang w:val="el-GR"/>
        </w:rPr>
        <w:t>ευθεία</w:t>
      </w:r>
      <w:r w:rsidR="003920BA">
        <w:rPr>
          <w:rFonts w:cstheme="minorHAnsi"/>
          <w:b/>
          <w:bCs/>
          <w:iCs/>
          <w:sz w:val="22"/>
          <w:lang w:val="el-GR"/>
        </w:rPr>
        <w:t>ς</w:t>
      </w:r>
      <w:r w:rsidR="006E3368" w:rsidRPr="0033373E">
        <w:rPr>
          <w:rFonts w:cstheme="minorHAnsi"/>
          <w:b/>
          <w:bCs/>
          <w:iCs/>
          <w:sz w:val="22"/>
          <w:lang w:val="el-GR"/>
        </w:rPr>
        <w:t xml:space="preserve"> </w:t>
      </w:r>
      <w:r w:rsidR="00C15E14" w:rsidRPr="0033373E">
        <w:rPr>
          <w:rFonts w:cstheme="minorHAnsi"/>
          <w:b/>
          <w:bCs/>
          <w:iCs/>
          <w:sz w:val="22"/>
          <w:lang w:val="el-GR"/>
        </w:rPr>
        <w:t>στους</w:t>
      </w:r>
      <w:r w:rsidR="001D19EC" w:rsidRPr="0033373E">
        <w:rPr>
          <w:rFonts w:cstheme="minorHAnsi"/>
          <w:b/>
          <w:bCs/>
          <w:iCs/>
          <w:sz w:val="22"/>
          <w:lang w:val="el-GR"/>
        </w:rPr>
        <w:t xml:space="preserve"> καταναλωτές.</w:t>
      </w:r>
    </w:p>
    <w:p w14:paraId="0F4632F2" w14:textId="7C902F88" w:rsidR="001D19EC" w:rsidRPr="001D19EC" w:rsidRDefault="001D19EC" w:rsidP="00D76789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 w:rsidRPr="001D19EC">
        <w:rPr>
          <w:rFonts w:cstheme="minorHAnsi"/>
          <w:iCs/>
          <w:sz w:val="22"/>
          <w:lang w:val="el-GR"/>
        </w:rPr>
        <w:t xml:space="preserve"> </w:t>
      </w:r>
    </w:p>
    <w:p w14:paraId="650B39C4" w14:textId="64A6F0F3" w:rsidR="00322E34" w:rsidRPr="006E3368" w:rsidRDefault="003920BA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lastRenderedPageBreak/>
        <w:t xml:space="preserve">Ανακύπτει επομένως το ερώτημα για ποιο </w:t>
      </w:r>
      <w:r w:rsidR="001B10EA" w:rsidRPr="001D19EC">
        <w:rPr>
          <w:rFonts w:cstheme="minorHAnsi"/>
          <w:b/>
          <w:bCs/>
          <w:iCs/>
          <w:sz w:val="22"/>
          <w:lang w:val="el-GR"/>
        </w:rPr>
        <w:t xml:space="preserve"> λόγο η χρέωση του ν</w:t>
      </w:r>
      <w:r w:rsidR="007D06A3" w:rsidRPr="001D19EC">
        <w:rPr>
          <w:rFonts w:cstheme="minorHAnsi"/>
          <w:b/>
          <w:bCs/>
          <w:iCs/>
          <w:sz w:val="22"/>
          <w:lang w:val="el-GR"/>
        </w:rPr>
        <w:t>έο</w:t>
      </w:r>
      <w:r w:rsidR="001B10EA" w:rsidRPr="001D19EC">
        <w:rPr>
          <w:rFonts w:cstheme="minorHAnsi"/>
          <w:b/>
          <w:bCs/>
          <w:iCs/>
          <w:sz w:val="22"/>
          <w:lang w:val="el-GR"/>
        </w:rPr>
        <w:t>υ</w:t>
      </w:r>
      <w:r w:rsidR="007D06A3" w:rsidRPr="001D19EC">
        <w:rPr>
          <w:rFonts w:cstheme="minorHAnsi"/>
          <w:b/>
          <w:bCs/>
          <w:iCs/>
          <w:sz w:val="22"/>
          <w:lang w:val="el-GR"/>
        </w:rPr>
        <w:t xml:space="preserve"> ΕΤΜΕΑΡ</w:t>
      </w:r>
      <w:r w:rsidR="00162303" w:rsidRPr="001D19EC">
        <w:rPr>
          <w:rFonts w:cstheme="minorHAnsi"/>
          <w:b/>
          <w:bCs/>
          <w:iCs/>
          <w:sz w:val="22"/>
          <w:lang w:val="el-GR"/>
        </w:rPr>
        <w:t xml:space="preserve"> </w:t>
      </w:r>
      <w:r w:rsidR="001B10EA" w:rsidRPr="001D19EC">
        <w:rPr>
          <w:rFonts w:cstheme="minorHAnsi"/>
          <w:b/>
          <w:bCs/>
          <w:iCs/>
          <w:sz w:val="22"/>
          <w:lang w:val="el-GR"/>
        </w:rPr>
        <w:t>επιβάλλεται στους εκπροσώπους φορτίου και όχι στους καταναλωτές</w:t>
      </w:r>
      <w:r w:rsidR="001B10EA" w:rsidRPr="001D19EC">
        <w:rPr>
          <w:rFonts w:cstheme="minorHAnsi"/>
          <w:iCs/>
          <w:sz w:val="22"/>
          <w:lang w:val="el-GR"/>
        </w:rPr>
        <w:t>, δηλαδή δεν αποτελεί μια ρυθμιζόμενη χρέωση</w:t>
      </w:r>
      <w:r w:rsidR="001D19EC">
        <w:rPr>
          <w:rFonts w:cstheme="minorHAnsi"/>
          <w:iCs/>
          <w:sz w:val="22"/>
          <w:lang w:val="el-GR"/>
        </w:rPr>
        <w:t xml:space="preserve"> όπως το υφιστάμενο ΕΤΜΕΑΡ</w:t>
      </w:r>
      <w:r w:rsidR="001D19EC" w:rsidRPr="001D19EC">
        <w:rPr>
          <w:rFonts w:cstheme="minorHAnsi"/>
          <w:iCs/>
          <w:sz w:val="22"/>
          <w:lang w:val="el-GR"/>
        </w:rPr>
        <w:t xml:space="preserve">, έστω και </w:t>
      </w:r>
      <w:r w:rsidR="00124817" w:rsidRPr="00C10A69">
        <w:rPr>
          <w:rFonts w:cstheme="minorHAnsi"/>
          <w:iCs/>
          <w:sz w:val="22"/>
          <w:lang w:val="el-GR"/>
        </w:rPr>
        <w:t xml:space="preserve">εάν </w:t>
      </w:r>
      <w:r w:rsidR="00C15E14" w:rsidRPr="00C10A69">
        <w:rPr>
          <w:rFonts w:cstheme="minorHAnsi"/>
          <w:iCs/>
          <w:sz w:val="22"/>
          <w:lang w:val="el-GR"/>
        </w:rPr>
        <w:t xml:space="preserve">υπάρχει </w:t>
      </w:r>
      <w:r w:rsidR="00C173F8" w:rsidRPr="001D19EC">
        <w:rPr>
          <w:rFonts w:cstheme="minorHAnsi"/>
          <w:iCs/>
          <w:sz w:val="22"/>
          <w:lang w:val="el-GR"/>
        </w:rPr>
        <w:t>προγενέστερ</w:t>
      </w:r>
      <w:r w:rsidR="006E3368">
        <w:rPr>
          <w:rFonts w:cstheme="minorHAnsi"/>
          <w:iCs/>
          <w:sz w:val="22"/>
          <w:lang w:val="el-GR"/>
        </w:rPr>
        <w:t>η</w:t>
      </w:r>
      <w:r w:rsidR="00C173F8" w:rsidRPr="001D19EC">
        <w:rPr>
          <w:rFonts w:cstheme="minorHAnsi"/>
          <w:iCs/>
          <w:sz w:val="22"/>
          <w:lang w:val="el-GR"/>
        </w:rPr>
        <w:t xml:space="preserve"> </w:t>
      </w:r>
      <w:r w:rsidR="001D19EC" w:rsidRPr="001D19EC">
        <w:rPr>
          <w:rFonts w:cstheme="minorHAnsi"/>
          <w:iCs/>
          <w:sz w:val="22"/>
          <w:lang w:val="el-GR"/>
        </w:rPr>
        <w:t xml:space="preserve">σχετική έγκριση μέσω του </w:t>
      </w:r>
      <w:r w:rsidR="001D19EC" w:rsidRPr="001D19EC">
        <w:rPr>
          <w:rFonts w:cstheme="minorHAnsi"/>
          <w:iCs/>
          <w:sz w:val="22"/>
        </w:rPr>
        <w:t>RRF</w:t>
      </w:r>
      <w:r>
        <w:rPr>
          <w:rFonts w:cstheme="minorHAnsi"/>
          <w:iCs/>
          <w:sz w:val="22"/>
          <w:lang w:val="el-GR"/>
        </w:rPr>
        <w:t>.</w:t>
      </w:r>
    </w:p>
    <w:p w14:paraId="7736BD04" w14:textId="77777777" w:rsidR="006E3368" w:rsidRDefault="006E3368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00DC4C4E" w14:textId="2A98B85E" w:rsidR="00000F99" w:rsidRDefault="00000F99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Στο </w:t>
      </w:r>
      <w:r w:rsidR="003920BA">
        <w:rPr>
          <w:rFonts w:cstheme="minorHAnsi"/>
          <w:iCs/>
          <w:sz w:val="22"/>
          <w:lang w:val="el-GR"/>
        </w:rPr>
        <w:t xml:space="preserve">άρθρο 130 του υπό συζήτηση νομοσχεδίου </w:t>
      </w:r>
      <w:r w:rsidR="0033373E">
        <w:rPr>
          <w:rFonts w:cstheme="minorHAnsi"/>
          <w:iCs/>
          <w:sz w:val="22"/>
          <w:lang w:val="el-GR"/>
        </w:rPr>
        <w:t xml:space="preserve">επίσης </w:t>
      </w:r>
      <w:r>
        <w:rPr>
          <w:rFonts w:cstheme="minorHAnsi"/>
          <w:iCs/>
          <w:sz w:val="22"/>
          <w:lang w:val="el-GR"/>
        </w:rPr>
        <w:t xml:space="preserve"> προβλέπεται</w:t>
      </w:r>
      <w:r w:rsidRPr="00000F99">
        <w:rPr>
          <w:rFonts w:cstheme="minorHAnsi"/>
          <w:iCs/>
          <w:sz w:val="22"/>
          <w:lang w:val="el-GR"/>
        </w:rPr>
        <w:t>:</w:t>
      </w:r>
    </w:p>
    <w:p w14:paraId="44D283B0" w14:textId="77777777" w:rsidR="006E3368" w:rsidRPr="00000F99" w:rsidRDefault="006E3368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4E73D9D2" w14:textId="43871996" w:rsidR="001D19EC" w:rsidRDefault="00000F99" w:rsidP="00000F99">
      <w:pPr>
        <w:pStyle w:val="ListParagraph"/>
        <w:numPr>
          <w:ilvl w:val="0"/>
          <w:numId w:val="17"/>
        </w:num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>η δημοπράτηση εγγυήσεων προέλευσης για ΑΠΕ που μπήκαν σε λειτουργία</w:t>
      </w:r>
      <w:r w:rsidR="00142820">
        <w:rPr>
          <w:rFonts w:cstheme="minorHAnsi"/>
          <w:iCs/>
          <w:sz w:val="22"/>
          <w:lang w:val="el-GR"/>
        </w:rPr>
        <w:t xml:space="preserve"> </w:t>
      </w:r>
      <w:r>
        <w:rPr>
          <w:rFonts w:cstheme="minorHAnsi"/>
          <w:iCs/>
          <w:sz w:val="22"/>
          <w:lang w:val="el-GR"/>
        </w:rPr>
        <w:t>μετά την 1.1.2021 (εννοείται ΑΠΕ που έχουν τύχει λειτουργικής ενίσχυσης</w:t>
      </w:r>
      <w:r w:rsidRPr="00000F99">
        <w:rPr>
          <w:rFonts w:cstheme="minorHAnsi"/>
          <w:iCs/>
          <w:sz w:val="22"/>
          <w:lang w:val="el-GR"/>
        </w:rPr>
        <w:t>)</w:t>
      </w:r>
      <w:r w:rsidR="00142820">
        <w:rPr>
          <w:rFonts w:cstheme="minorHAnsi"/>
          <w:iCs/>
          <w:sz w:val="22"/>
          <w:lang w:val="el-GR"/>
        </w:rPr>
        <w:t xml:space="preserve"> ενώ αντίθετα για τα έργα ΑΠΕ που έχουν τεθεί σε λειτουργία πριν την 1.1</w:t>
      </w:r>
      <w:r w:rsidR="00F62E40" w:rsidRPr="00F62E40">
        <w:rPr>
          <w:rFonts w:cstheme="minorHAnsi"/>
          <w:iCs/>
          <w:sz w:val="22"/>
          <w:lang w:val="el-GR"/>
        </w:rPr>
        <w:t xml:space="preserve">.2021 </w:t>
      </w:r>
      <w:r w:rsidR="00F62E40">
        <w:rPr>
          <w:rFonts w:cstheme="minorHAnsi"/>
          <w:iCs/>
          <w:sz w:val="22"/>
          <w:lang w:val="el-GR"/>
        </w:rPr>
        <w:t xml:space="preserve">προβλέπεται  ότι </w:t>
      </w:r>
      <w:r w:rsidR="00F62E40" w:rsidRPr="00C10A69">
        <w:rPr>
          <w:rFonts w:cstheme="minorHAnsi"/>
          <w:iCs/>
          <w:sz w:val="22"/>
          <w:lang w:val="el-GR"/>
        </w:rPr>
        <w:t xml:space="preserve">ανακαλούνται </w:t>
      </w:r>
      <w:r w:rsidR="00F62E40" w:rsidRPr="006E3368">
        <w:rPr>
          <w:rFonts w:cstheme="minorHAnsi"/>
          <w:b/>
          <w:bCs/>
          <w:iCs/>
          <w:sz w:val="22"/>
          <w:lang w:val="el-GR"/>
        </w:rPr>
        <w:t>αζημίως μέσω των προμηθευτών ηλεκτρικής ενέργειας υπέρ των τελικών τους πελατών</w:t>
      </w:r>
      <w:r w:rsidR="00F62E40" w:rsidRPr="00C10A69">
        <w:rPr>
          <w:rFonts w:cstheme="minorHAnsi"/>
          <w:iCs/>
          <w:sz w:val="22"/>
          <w:lang w:val="el-GR"/>
        </w:rPr>
        <w:t xml:space="preserve"> χωρίς να είναι </w:t>
      </w:r>
      <w:r w:rsidR="006E3368">
        <w:rPr>
          <w:rFonts w:cstheme="minorHAnsi"/>
          <w:iCs/>
          <w:sz w:val="22"/>
          <w:lang w:val="el-GR"/>
        </w:rPr>
        <w:t xml:space="preserve">σαφές για ποιο λόγο υπάρχει </w:t>
      </w:r>
      <w:r w:rsidR="0033373E">
        <w:rPr>
          <w:rFonts w:cstheme="minorHAnsi"/>
          <w:iCs/>
          <w:sz w:val="22"/>
          <w:lang w:val="el-GR"/>
        </w:rPr>
        <w:t xml:space="preserve">αυτή η </w:t>
      </w:r>
      <w:r w:rsidR="006E3368">
        <w:rPr>
          <w:rFonts w:cstheme="minorHAnsi"/>
          <w:iCs/>
          <w:sz w:val="22"/>
          <w:lang w:val="el-GR"/>
        </w:rPr>
        <w:t>διαφοροποίηση</w:t>
      </w:r>
      <w:r w:rsidR="0033373E">
        <w:rPr>
          <w:rFonts w:cstheme="minorHAnsi"/>
          <w:iCs/>
          <w:sz w:val="22"/>
          <w:lang w:val="el-GR"/>
        </w:rPr>
        <w:t xml:space="preserve"> και ποια η επίπτωση από αυτήν. </w:t>
      </w:r>
    </w:p>
    <w:p w14:paraId="20825174" w14:textId="30ED5FF7" w:rsidR="00C10A69" w:rsidRDefault="00000F99" w:rsidP="006E3368">
      <w:pPr>
        <w:pStyle w:val="ListParagraph"/>
        <w:numPr>
          <w:ilvl w:val="0"/>
          <w:numId w:val="17"/>
        </w:num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τα έσοδα των </w:t>
      </w:r>
      <w:r w:rsidR="00142820">
        <w:rPr>
          <w:rFonts w:cstheme="minorHAnsi"/>
          <w:iCs/>
          <w:sz w:val="22"/>
          <w:lang w:val="el-GR"/>
        </w:rPr>
        <w:t xml:space="preserve">εν λόγω </w:t>
      </w:r>
      <w:r>
        <w:rPr>
          <w:rFonts w:cstheme="minorHAnsi"/>
          <w:iCs/>
          <w:sz w:val="22"/>
          <w:lang w:val="el-GR"/>
        </w:rPr>
        <w:t xml:space="preserve">δημοπρασιών </w:t>
      </w:r>
      <w:r w:rsidR="00142820">
        <w:rPr>
          <w:rFonts w:cstheme="minorHAnsi"/>
          <w:iCs/>
          <w:sz w:val="22"/>
          <w:lang w:val="el-GR"/>
        </w:rPr>
        <w:t xml:space="preserve">να </w:t>
      </w:r>
      <w:r>
        <w:rPr>
          <w:rFonts w:cstheme="minorHAnsi"/>
          <w:iCs/>
          <w:sz w:val="22"/>
          <w:lang w:val="el-GR"/>
        </w:rPr>
        <w:t>λαμβάνονται υπόψη στον υπολογισμό του νέου ΕΤΜΕΑΡ</w:t>
      </w:r>
      <w:r w:rsidR="0033373E">
        <w:rPr>
          <w:rFonts w:cstheme="minorHAnsi"/>
          <w:iCs/>
          <w:sz w:val="22"/>
          <w:lang w:val="el-GR"/>
        </w:rPr>
        <w:t>.</w:t>
      </w:r>
      <w:r>
        <w:rPr>
          <w:rFonts w:cstheme="minorHAnsi"/>
          <w:iCs/>
          <w:sz w:val="22"/>
          <w:lang w:val="el-GR"/>
        </w:rPr>
        <w:t xml:space="preserve"> </w:t>
      </w:r>
    </w:p>
    <w:p w14:paraId="6D53A64A" w14:textId="77777777" w:rsidR="006E3368" w:rsidRDefault="006E3368" w:rsidP="006E3368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231E3CEA" w14:textId="4976F6A5" w:rsidR="0096153B" w:rsidRPr="00B646A4" w:rsidRDefault="0047576A" w:rsidP="006E3368">
      <w:pPr>
        <w:spacing w:line="264" w:lineRule="auto"/>
        <w:jc w:val="both"/>
        <w:rPr>
          <w:rFonts w:cstheme="minorHAnsi"/>
          <w:b/>
          <w:bCs/>
          <w:iCs/>
          <w:sz w:val="22"/>
          <w:lang w:val="el-GR"/>
        </w:rPr>
      </w:pPr>
      <w:r w:rsidRPr="00B646A4">
        <w:rPr>
          <w:rFonts w:cstheme="minorHAnsi"/>
          <w:b/>
          <w:bCs/>
          <w:iCs/>
          <w:sz w:val="22"/>
          <w:lang w:val="el-GR"/>
        </w:rPr>
        <w:t>Από τα ανωτέρω δεν προκύπτει προς το παρόν υποχρέωση των προμηθευτών να κατέχουν μια ελάχιστη ποσότητα εγγυήσεων προέλευσης από ΑΠΕ μετά την 1.1.21</w:t>
      </w:r>
      <w:r w:rsidR="00730A81" w:rsidRPr="00B646A4">
        <w:rPr>
          <w:rFonts w:cstheme="minorHAnsi"/>
          <w:b/>
          <w:bCs/>
          <w:iCs/>
          <w:sz w:val="22"/>
          <w:lang w:val="el-GR"/>
        </w:rPr>
        <w:t xml:space="preserve">, γεγονός </w:t>
      </w:r>
      <w:r w:rsidR="003920BA" w:rsidRPr="00B646A4">
        <w:rPr>
          <w:rFonts w:cstheme="minorHAnsi"/>
          <w:b/>
          <w:bCs/>
          <w:iCs/>
          <w:sz w:val="22"/>
          <w:lang w:val="el-GR"/>
        </w:rPr>
        <w:t xml:space="preserve">το οποίο αποτιμάται </w:t>
      </w:r>
      <w:r w:rsidR="00F41878" w:rsidRPr="00B646A4">
        <w:rPr>
          <w:rFonts w:cstheme="minorHAnsi"/>
          <w:b/>
          <w:bCs/>
          <w:iCs/>
          <w:sz w:val="22"/>
          <w:lang w:val="el-GR"/>
        </w:rPr>
        <w:t>θετικ</w:t>
      </w:r>
      <w:r w:rsidR="003920BA" w:rsidRPr="00B646A4">
        <w:rPr>
          <w:rFonts w:cstheme="minorHAnsi"/>
          <w:b/>
          <w:bCs/>
          <w:iCs/>
          <w:sz w:val="22"/>
          <w:lang w:val="el-GR"/>
        </w:rPr>
        <w:t>ά,</w:t>
      </w:r>
      <w:r w:rsidR="00F41878" w:rsidRPr="00B646A4">
        <w:rPr>
          <w:rFonts w:cstheme="minorHAnsi"/>
          <w:b/>
          <w:bCs/>
          <w:iCs/>
          <w:sz w:val="22"/>
          <w:lang w:val="el-GR"/>
        </w:rPr>
        <w:t xml:space="preserve"> καθώς σε αντίθετη περίπτωση </w:t>
      </w:r>
      <w:r w:rsidR="00730A81" w:rsidRPr="00B646A4">
        <w:rPr>
          <w:rFonts w:cstheme="minorHAnsi"/>
          <w:b/>
          <w:bCs/>
          <w:iCs/>
          <w:sz w:val="22"/>
          <w:lang w:val="el-GR"/>
        </w:rPr>
        <w:t>θα σήμαινε πρόσθετη επιβάρυνση για τους καταναλωτές.</w:t>
      </w:r>
    </w:p>
    <w:p w14:paraId="3733806F" w14:textId="4DD3006F" w:rsidR="00730A81" w:rsidRPr="00B646A4" w:rsidRDefault="00730A81" w:rsidP="0096153B">
      <w:pPr>
        <w:spacing w:line="264" w:lineRule="auto"/>
        <w:jc w:val="both"/>
        <w:rPr>
          <w:rFonts w:cstheme="minorHAnsi"/>
          <w:b/>
          <w:bCs/>
          <w:iCs/>
          <w:sz w:val="22"/>
          <w:lang w:val="el-GR"/>
        </w:rPr>
      </w:pPr>
    </w:p>
    <w:p w14:paraId="32C4818F" w14:textId="29AE140B" w:rsidR="00730A81" w:rsidRPr="0096153B" w:rsidRDefault="00730A81" w:rsidP="0096153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>Επίσης θέλουμε να επισημάνουμε ότι</w:t>
      </w:r>
      <w:r w:rsidR="00F41878">
        <w:rPr>
          <w:rFonts w:cstheme="minorHAnsi"/>
          <w:iCs/>
          <w:sz w:val="22"/>
          <w:lang w:val="el-GR"/>
        </w:rPr>
        <w:t xml:space="preserve"> </w:t>
      </w:r>
      <w:r>
        <w:rPr>
          <w:rFonts w:cstheme="minorHAnsi"/>
          <w:iCs/>
          <w:sz w:val="22"/>
          <w:lang w:val="el-GR"/>
        </w:rPr>
        <w:t>στην απόκτηση εγγυήσεων προέλευσης από καταναλωτές</w:t>
      </w:r>
      <w:r w:rsidR="00F41878">
        <w:rPr>
          <w:rFonts w:cstheme="minorHAnsi"/>
          <w:iCs/>
          <w:sz w:val="22"/>
          <w:lang w:val="el-GR"/>
        </w:rPr>
        <w:t xml:space="preserve"> </w:t>
      </w:r>
      <w:r w:rsidR="00F41878" w:rsidRPr="00C10A69">
        <w:rPr>
          <w:rFonts w:cstheme="minorHAnsi"/>
          <w:iCs/>
          <w:sz w:val="22"/>
          <w:lang w:val="el-GR"/>
        </w:rPr>
        <w:t>κατά τη σύναψη διμερών RES-PPA</w:t>
      </w:r>
      <w:r w:rsidR="00F41878" w:rsidRPr="00F41878">
        <w:rPr>
          <w:rFonts w:cstheme="minorHAnsi"/>
          <w:iCs/>
          <w:sz w:val="22"/>
          <w:lang w:val="el-GR"/>
        </w:rPr>
        <w:t>,</w:t>
      </w:r>
      <w:r>
        <w:rPr>
          <w:rFonts w:cstheme="minorHAnsi"/>
          <w:iCs/>
          <w:sz w:val="22"/>
          <w:lang w:val="el-GR"/>
        </w:rPr>
        <w:t xml:space="preserve"> </w:t>
      </w:r>
      <w:r w:rsidRPr="006E3368">
        <w:rPr>
          <w:rFonts w:cstheme="minorHAnsi"/>
          <w:b/>
          <w:bCs/>
          <w:iCs/>
          <w:sz w:val="22"/>
          <w:lang w:val="el-GR"/>
        </w:rPr>
        <w:t>δεν μεσολαβούν απαραίτητα πλέον προμηθευτές</w:t>
      </w:r>
      <w:r w:rsidR="006E3368">
        <w:rPr>
          <w:rFonts w:cstheme="minorHAnsi"/>
          <w:b/>
          <w:bCs/>
          <w:iCs/>
          <w:sz w:val="22"/>
          <w:lang w:val="el-GR"/>
        </w:rPr>
        <w:t>,</w:t>
      </w:r>
      <w:r>
        <w:rPr>
          <w:rFonts w:cstheme="minorHAnsi"/>
          <w:iCs/>
          <w:sz w:val="22"/>
          <w:lang w:val="el-GR"/>
        </w:rPr>
        <w:t xml:space="preserve"> καθώς </w:t>
      </w:r>
      <w:r w:rsidR="00F41878" w:rsidRPr="00C10A69">
        <w:rPr>
          <w:rFonts w:cstheme="minorHAnsi"/>
          <w:iCs/>
          <w:sz w:val="22"/>
          <w:lang w:val="el-GR"/>
        </w:rPr>
        <w:t xml:space="preserve">αυτά </w:t>
      </w:r>
      <w:r>
        <w:rPr>
          <w:rFonts w:cstheme="minorHAnsi"/>
          <w:iCs/>
          <w:sz w:val="22"/>
          <w:lang w:val="el-GR"/>
        </w:rPr>
        <w:t xml:space="preserve">τα </w:t>
      </w:r>
      <w:r w:rsidR="00F41878" w:rsidRPr="00C10A69">
        <w:rPr>
          <w:rFonts w:cstheme="minorHAnsi"/>
          <w:iCs/>
          <w:sz w:val="22"/>
          <w:lang w:val="el-GR"/>
        </w:rPr>
        <w:t>διμερή συμβόλαια</w:t>
      </w:r>
      <w:r w:rsidRPr="00C10A69">
        <w:rPr>
          <w:rFonts w:cstheme="minorHAnsi"/>
          <w:iCs/>
          <w:sz w:val="22"/>
          <w:lang w:val="el-GR"/>
        </w:rPr>
        <w:t xml:space="preserve"> που υπογράφονται </w:t>
      </w:r>
      <w:r w:rsidR="00C173F8" w:rsidRPr="00C10A69">
        <w:rPr>
          <w:rFonts w:cstheme="minorHAnsi"/>
          <w:iCs/>
          <w:sz w:val="22"/>
          <w:lang w:val="el-GR"/>
        </w:rPr>
        <w:t xml:space="preserve">από τη βιομηχανία </w:t>
      </w:r>
      <w:r>
        <w:rPr>
          <w:rFonts w:cstheme="minorHAnsi"/>
          <w:iCs/>
          <w:sz w:val="22"/>
          <w:lang w:val="el-GR"/>
        </w:rPr>
        <w:t xml:space="preserve">με παραγωγούς ΑΠΕ μπορεί να είναι </w:t>
      </w:r>
      <w:r w:rsidR="003920BA">
        <w:rPr>
          <w:rFonts w:cstheme="minorHAnsi"/>
          <w:iCs/>
          <w:sz w:val="22"/>
          <w:lang w:val="el-GR"/>
        </w:rPr>
        <w:t xml:space="preserve">συμβόλαια </w:t>
      </w:r>
      <w:r>
        <w:rPr>
          <w:rFonts w:cstheme="minorHAnsi"/>
          <w:iCs/>
          <w:sz w:val="22"/>
          <w:lang w:val="el-GR"/>
        </w:rPr>
        <w:t>οικονομικών διαφορών</w:t>
      </w:r>
      <w:r w:rsidR="003920BA" w:rsidRPr="003920BA">
        <w:rPr>
          <w:rFonts w:cstheme="minorHAnsi"/>
          <w:iCs/>
          <w:sz w:val="22"/>
          <w:lang w:val="el-GR"/>
        </w:rPr>
        <w:t xml:space="preserve"> (</w:t>
      </w:r>
      <w:proofErr w:type="spellStart"/>
      <w:r w:rsidR="003920BA">
        <w:rPr>
          <w:rFonts w:cstheme="minorHAnsi"/>
          <w:iCs/>
          <w:sz w:val="22"/>
        </w:rPr>
        <w:t>cfd</w:t>
      </w:r>
      <w:proofErr w:type="spellEnd"/>
      <w:r w:rsidR="003920BA" w:rsidRPr="003920BA">
        <w:rPr>
          <w:rFonts w:cstheme="minorHAnsi"/>
          <w:iCs/>
          <w:sz w:val="22"/>
          <w:lang w:val="el-GR"/>
        </w:rPr>
        <w:t>)</w:t>
      </w:r>
      <w:r>
        <w:rPr>
          <w:rFonts w:cstheme="minorHAnsi"/>
          <w:iCs/>
          <w:sz w:val="22"/>
          <w:lang w:val="el-GR"/>
        </w:rPr>
        <w:t>, στα οποία δεν μεσολαβεί κάποιος προμηθευτής.</w:t>
      </w:r>
      <w:r w:rsidR="00F04C37">
        <w:rPr>
          <w:rFonts w:cstheme="minorHAnsi"/>
          <w:iCs/>
          <w:sz w:val="22"/>
          <w:lang w:val="el-GR"/>
        </w:rPr>
        <w:t xml:space="preserve"> </w:t>
      </w:r>
      <w:r w:rsidR="00C173F8" w:rsidRPr="006E3368">
        <w:rPr>
          <w:rFonts w:cstheme="minorHAnsi"/>
          <w:b/>
          <w:bCs/>
          <w:iCs/>
          <w:sz w:val="22"/>
          <w:lang w:val="el-GR"/>
        </w:rPr>
        <w:t>Το γ</w:t>
      </w:r>
      <w:r w:rsidR="00F04C37" w:rsidRPr="006E3368">
        <w:rPr>
          <w:rFonts w:cstheme="minorHAnsi"/>
          <w:b/>
          <w:bCs/>
          <w:iCs/>
          <w:sz w:val="22"/>
          <w:lang w:val="el-GR"/>
        </w:rPr>
        <w:t xml:space="preserve">εγονός </w:t>
      </w:r>
      <w:r w:rsidR="00C173F8" w:rsidRPr="006E3368">
        <w:rPr>
          <w:rFonts w:cstheme="minorHAnsi"/>
          <w:b/>
          <w:bCs/>
          <w:iCs/>
          <w:sz w:val="22"/>
          <w:lang w:val="el-GR"/>
        </w:rPr>
        <w:t>αυτό</w:t>
      </w:r>
      <w:r w:rsidR="00F04C37" w:rsidRPr="006E3368">
        <w:rPr>
          <w:rFonts w:cstheme="minorHAnsi"/>
          <w:b/>
          <w:bCs/>
          <w:iCs/>
          <w:sz w:val="22"/>
          <w:lang w:val="el-GR"/>
        </w:rPr>
        <w:t xml:space="preserve"> πρέπει να ληφθεί υπόψη</w:t>
      </w:r>
      <w:r w:rsidR="00F41878" w:rsidRPr="006E3368">
        <w:rPr>
          <w:rFonts w:cstheme="minorHAnsi"/>
          <w:b/>
          <w:bCs/>
          <w:iCs/>
          <w:sz w:val="22"/>
          <w:lang w:val="el-GR"/>
        </w:rPr>
        <w:t xml:space="preserve"> στο νέο κανονιστικό πλαίσιο για τις Εγγυήσεις Προέλευσης</w:t>
      </w:r>
      <w:r w:rsidR="00F04C37" w:rsidRPr="006E3368">
        <w:rPr>
          <w:rFonts w:cstheme="minorHAnsi"/>
          <w:b/>
          <w:bCs/>
          <w:iCs/>
          <w:sz w:val="22"/>
          <w:lang w:val="el-GR"/>
        </w:rPr>
        <w:t>.</w:t>
      </w:r>
      <w:r>
        <w:rPr>
          <w:rFonts w:cstheme="minorHAnsi"/>
          <w:iCs/>
          <w:sz w:val="22"/>
          <w:lang w:val="el-GR"/>
        </w:rPr>
        <w:t xml:space="preserve"> </w:t>
      </w:r>
    </w:p>
    <w:p w14:paraId="7577D6BF" w14:textId="1176416B" w:rsidR="0096153B" w:rsidRDefault="0096153B" w:rsidP="00231FFB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7440A533" w14:textId="30E61B94" w:rsidR="0096153B" w:rsidRDefault="00300644" w:rsidP="00231FF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Επίσης στο </w:t>
      </w:r>
      <w:r w:rsidR="003920BA">
        <w:rPr>
          <w:rFonts w:cstheme="minorHAnsi"/>
          <w:iCs/>
          <w:sz w:val="22"/>
          <w:lang w:val="el-GR"/>
        </w:rPr>
        <w:t xml:space="preserve">άρθρο 127 του υπό συζήτηση </w:t>
      </w:r>
      <w:r>
        <w:rPr>
          <w:rFonts w:cstheme="minorHAnsi"/>
          <w:iCs/>
          <w:sz w:val="22"/>
          <w:lang w:val="el-GR"/>
        </w:rPr>
        <w:t>νομοσχ</w:t>
      </w:r>
      <w:r w:rsidR="003920BA">
        <w:rPr>
          <w:rFonts w:cstheme="minorHAnsi"/>
          <w:iCs/>
          <w:sz w:val="22"/>
          <w:lang w:val="el-GR"/>
        </w:rPr>
        <w:t xml:space="preserve">εδίου </w:t>
      </w:r>
      <w:r>
        <w:rPr>
          <w:rFonts w:cstheme="minorHAnsi"/>
          <w:iCs/>
          <w:sz w:val="22"/>
          <w:lang w:val="el-GR"/>
        </w:rPr>
        <w:t>ορίζεται ότι ο</w:t>
      </w:r>
      <w:r w:rsidRPr="00300644">
        <w:rPr>
          <w:rFonts w:cstheme="minorHAnsi"/>
          <w:iCs/>
          <w:sz w:val="22"/>
          <w:lang w:val="el-GR"/>
        </w:rPr>
        <w:t xml:space="preserve"> Φορέας Έκδοσης Εγγυήσεων Προέλευσης καθώς και ο Φορέας Ελέγχου Εγγυήσεων</w:t>
      </w:r>
      <w:r>
        <w:rPr>
          <w:rFonts w:cstheme="minorHAnsi"/>
          <w:iCs/>
          <w:sz w:val="22"/>
          <w:lang w:val="el-GR"/>
        </w:rPr>
        <w:t xml:space="preserve"> </w:t>
      </w:r>
      <w:r w:rsidRPr="00300644">
        <w:rPr>
          <w:rFonts w:cstheme="minorHAnsi"/>
          <w:iCs/>
          <w:sz w:val="22"/>
          <w:lang w:val="el-GR"/>
        </w:rPr>
        <w:t>Προέλευσης καθορίζονται με απόφαση του Υπουργού Περιβάλλοντος και Ενέργειας</w:t>
      </w:r>
      <w:r>
        <w:rPr>
          <w:rFonts w:cstheme="minorHAnsi"/>
          <w:iCs/>
          <w:sz w:val="22"/>
          <w:lang w:val="el-GR"/>
        </w:rPr>
        <w:t xml:space="preserve">, γεγονός </w:t>
      </w:r>
      <w:r w:rsidRPr="007A3105">
        <w:rPr>
          <w:rFonts w:cstheme="minorHAnsi"/>
          <w:b/>
          <w:bCs/>
          <w:iCs/>
          <w:sz w:val="22"/>
          <w:lang w:val="el-GR"/>
        </w:rPr>
        <w:t xml:space="preserve">που σημαίνει ότι πιθανόν να υπάρχει η πρόθεση προσεχώς αφενός ο Φορέας </w:t>
      </w:r>
      <w:bookmarkStart w:id="0" w:name="_Hlk106720741"/>
      <w:r w:rsidRPr="007A3105">
        <w:rPr>
          <w:rFonts w:cstheme="minorHAnsi"/>
          <w:b/>
          <w:bCs/>
          <w:iCs/>
          <w:sz w:val="22"/>
          <w:lang w:val="el-GR"/>
        </w:rPr>
        <w:t xml:space="preserve">Έκδοσης Εγγυήσεων Προέλευσης </w:t>
      </w:r>
      <w:bookmarkEnd w:id="0"/>
      <w:r w:rsidRPr="007A3105">
        <w:rPr>
          <w:rFonts w:cstheme="minorHAnsi"/>
          <w:b/>
          <w:bCs/>
          <w:iCs/>
          <w:sz w:val="22"/>
          <w:lang w:val="el-GR"/>
        </w:rPr>
        <w:t>να μην είναι ο ΔΑΠΕΕΠ, αφετέρου ο Φορέας Ελέγχου Εγγυήσεων Προέλευσης να μην είναι η ΡΑΕ</w:t>
      </w:r>
      <w:r>
        <w:rPr>
          <w:rFonts w:cstheme="minorHAnsi"/>
          <w:iCs/>
          <w:sz w:val="22"/>
          <w:lang w:val="el-GR"/>
        </w:rPr>
        <w:t>.</w:t>
      </w:r>
    </w:p>
    <w:p w14:paraId="2097CC7F" w14:textId="7A8CEF96" w:rsidR="00300644" w:rsidRDefault="00300644" w:rsidP="00231FFB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77192632" w14:textId="291DD932" w:rsidR="007A3105" w:rsidRPr="00CE5704" w:rsidRDefault="007A3105" w:rsidP="007A3105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>Θέλουμε να επισημάνουμε ότι</w:t>
      </w:r>
      <w:r w:rsidR="00A10168">
        <w:rPr>
          <w:rFonts w:cstheme="minorHAnsi"/>
          <w:iCs/>
          <w:sz w:val="22"/>
          <w:lang w:val="el-GR"/>
        </w:rPr>
        <w:t xml:space="preserve"> η εκπεφρασμένη </w:t>
      </w:r>
      <w:r>
        <w:rPr>
          <w:rFonts w:cstheme="minorHAnsi"/>
          <w:iCs/>
          <w:sz w:val="22"/>
          <w:lang w:val="el-GR"/>
        </w:rPr>
        <w:t xml:space="preserve">  θέσ</w:t>
      </w:r>
      <w:r w:rsidR="00A10168">
        <w:rPr>
          <w:rFonts w:cstheme="minorHAnsi"/>
          <w:iCs/>
          <w:sz w:val="22"/>
          <w:lang w:val="el-GR"/>
        </w:rPr>
        <w:t>η</w:t>
      </w:r>
      <w:r>
        <w:rPr>
          <w:rFonts w:cstheme="minorHAnsi"/>
          <w:iCs/>
          <w:sz w:val="22"/>
          <w:lang w:val="el-GR"/>
        </w:rPr>
        <w:t xml:space="preserve"> του </w:t>
      </w:r>
      <w:r w:rsidR="00A10168">
        <w:rPr>
          <w:rFonts w:cstheme="minorHAnsi"/>
          <w:iCs/>
          <w:sz w:val="22"/>
        </w:rPr>
        <w:t>H</w:t>
      </w:r>
      <w:r>
        <w:rPr>
          <w:rFonts w:cstheme="minorHAnsi"/>
          <w:iCs/>
          <w:sz w:val="22"/>
          <w:lang w:val="el-GR"/>
        </w:rPr>
        <w:t xml:space="preserve">ΕΝΕΧ αναφορικά με τη </w:t>
      </w:r>
      <w:r w:rsidR="00A10168">
        <w:rPr>
          <w:rFonts w:cstheme="minorHAnsi"/>
          <w:iCs/>
          <w:sz w:val="22"/>
          <w:lang w:val="el-GR"/>
        </w:rPr>
        <w:t xml:space="preserve">διατήρηση του κανόνα του 20% στη </w:t>
      </w:r>
      <w:r>
        <w:rPr>
          <w:rFonts w:cstheme="minorHAnsi"/>
          <w:iCs/>
          <w:sz w:val="22"/>
          <w:lang w:val="el-GR"/>
        </w:rPr>
        <w:t>λειτουργία της αγοράς επόμενης ημέρας και το γεγονός ότι η σύναψη διμερών συμβολαίων με φυσική παράδοση εκτός χρηματιστηρίου παραμένει ακόμη αδύνατη</w:t>
      </w:r>
      <w:r w:rsidR="00A10168">
        <w:rPr>
          <w:rFonts w:cstheme="minorHAnsi"/>
          <w:iCs/>
          <w:sz w:val="22"/>
          <w:lang w:val="el-GR"/>
        </w:rPr>
        <w:t xml:space="preserve"> μας οδηγούν να </w:t>
      </w:r>
    </w:p>
    <w:p w14:paraId="764F6861" w14:textId="568A42BB" w:rsidR="006E3368" w:rsidRPr="007A3105" w:rsidRDefault="00A10168" w:rsidP="00231FFB">
      <w:pPr>
        <w:spacing w:line="264" w:lineRule="auto"/>
        <w:jc w:val="both"/>
        <w:rPr>
          <w:rFonts w:cstheme="minorHAnsi"/>
          <w:b/>
          <w:bCs/>
          <w:iCs/>
          <w:sz w:val="22"/>
          <w:lang w:val="el-GR"/>
        </w:rPr>
      </w:pPr>
      <w:r>
        <w:rPr>
          <w:rFonts w:cstheme="minorHAnsi"/>
          <w:b/>
          <w:bCs/>
          <w:iCs/>
          <w:sz w:val="22"/>
          <w:lang w:val="el-GR"/>
        </w:rPr>
        <w:t xml:space="preserve">εκφράσουμε τον προβληματισμό μας 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 xml:space="preserve"> </w:t>
      </w:r>
      <w:r>
        <w:rPr>
          <w:rFonts w:cstheme="minorHAnsi"/>
          <w:b/>
          <w:bCs/>
          <w:iCs/>
          <w:sz w:val="22"/>
          <w:lang w:val="el-GR"/>
        </w:rPr>
        <w:t xml:space="preserve">σχετικά με τον επικείμενο ορισμό 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>το</w:t>
      </w:r>
      <w:r>
        <w:rPr>
          <w:rFonts w:cstheme="minorHAnsi"/>
          <w:b/>
          <w:bCs/>
          <w:iCs/>
          <w:sz w:val="22"/>
          <w:lang w:val="el-GR"/>
        </w:rPr>
        <w:t>υ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 xml:space="preserve"> Χρηματιστ</w:t>
      </w:r>
      <w:r>
        <w:rPr>
          <w:rFonts w:cstheme="minorHAnsi"/>
          <w:b/>
          <w:bCs/>
          <w:iCs/>
          <w:sz w:val="22"/>
          <w:lang w:val="el-GR"/>
        </w:rPr>
        <w:t>η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>ρ</w:t>
      </w:r>
      <w:r>
        <w:rPr>
          <w:rFonts w:cstheme="minorHAnsi"/>
          <w:b/>
          <w:bCs/>
          <w:iCs/>
          <w:sz w:val="22"/>
          <w:lang w:val="el-GR"/>
        </w:rPr>
        <w:t>ί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>ο</w:t>
      </w:r>
      <w:r>
        <w:rPr>
          <w:rFonts w:cstheme="minorHAnsi"/>
          <w:b/>
          <w:bCs/>
          <w:iCs/>
          <w:sz w:val="22"/>
          <w:lang w:val="el-GR"/>
        </w:rPr>
        <w:t>υ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 xml:space="preserve"> Ενέργειας (</w:t>
      </w:r>
      <w:r>
        <w:rPr>
          <w:rFonts w:cstheme="minorHAnsi"/>
          <w:b/>
          <w:bCs/>
          <w:iCs/>
          <w:sz w:val="22"/>
        </w:rPr>
        <w:t>H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>ΕΝΕΧ) ως φορέα</w:t>
      </w:r>
      <w:r>
        <w:rPr>
          <w:rFonts w:cstheme="minorHAnsi"/>
          <w:b/>
          <w:bCs/>
          <w:iCs/>
          <w:sz w:val="22"/>
          <w:lang w:val="el-GR"/>
        </w:rPr>
        <w:t xml:space="preserve"> έ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 xml:space="preserve">κδοσης </w:t>
      </w:r>
      <w:r>
        <w:rPr>
          <w:rFonts w:cstheme="minorHAnsi"/>
          <w:b/>
          <w:bCs/>
          <w:iCs/>
          <w:sz w:val="22"/>
          <w:lang w:val="el-GR"/>
        </w:rPr>
        <w:t>ε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 xml:space="preserve">γγυήσεων </w:t>
      </w:r>
      <w:r>
        <w:rPr>
          <w:rFonts w:cstheme="minorHAnsi"/>
          <w:b/>
          <w:bCs/>
          <w:iCs/>
          <w:sz w:val="22"/>
          <w:lang w:val="el-GR"/>
        </w:rPr>
        <w:t>π</w:t>
      </w:r>
      <w:r w:rsidR="00300644" w:rsidRPr="007A3105">
        <w:rPr>
          <w:rFonts w:cstheme="minorHAnsi"/>
          <w:b/>
          <w:bCs/>
          <w:iCs/>
          <w:sz w:val="22"/>
          <w:lang w:val="el-GR"/>
        </w:rPr>
        <w:t>ροέλευσης</w:t>
      </w:r>
      <w:r w:rsidR="006E3368" w:rsidRPr="007A3105">
        <w:rPr>
          <w:rFonts w:cstheme="minorHAnsi"/>
          <w:b/>
          <w:bCs/>
          <w:iCs/>
          <w:sz w:val="22"/>
          <w:lang w:val="el-GR"/>
        </w:rPr>
        <w:t>.</w:t>
      </w:r>
    </w:p>
    <w:p w14:paraId="22E7D801" w14:textId="77777777" w:rsidR="0033373E" w:rsidRDefault="0033373E" w:rsidP="00231FFB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5C8E4736" w14:textId="322DBB18" w:rsidR="007A3105" w:rsidRDefault="007A3105" w:rsidP="00231FFB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 w:rsidRPr="007A3105">
        <w:rPr>
          <w:rFonts w:cstheme="minorHAnsi"/>
          <w:b/>
          <w:bCs/>
          <w:iCs/>
          <w:sz w:val="22"/>
          <w:u w:val="single"/>
          <w:lang w:val="el-GR"/>
        </w:rPr>
        <w:t>Διατήρηση εφεδρειών στα διασυνδεδεμένα νησιά</w:t>
      </w:r>
      <w:r>
        <w:rPr>
          <w:rFonts w:cstheme="minorHAnsi"/>
          <w:b/>
          <w:bCs/>
          <w:iCs/>
          <w:sz w:val="22"/>
          <w:u w:val="single"/>
          <w:lang w:val="el-GR"/>
        </w:rPr>
        <w:t xml:space="preserve"> </w:t>
      </w:r>
      <w:r>
        <w:rPr>
          <w:rFonts w:cstheme="minorHAnsi"/>
          <w:iCs/>
          <w:sz w:val="22"/>
          <w:lang w:val="el-GR"/>
        </w:rPr>
        <w:t>(Άρθρο 120)</w:t>
      </w:r>
    </w:p>
    <w:p w14:paraId="134CAB3C" w14:textId="77777777" w:rsidR="007A1C1A" w:rsidRDefault="007A1C1A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cstheme="minorHAnsi"/>
          <w:iCs/>
          <w:sz w:val="22"/>
          <w:lang w:val="el-GR"/>
        </w:rPr>
        <w:t xml:space="preserve">Ορθώς προβλέπεται ότι </w:t>
      </w:r>
      <w:r>
        <w:rPr>
          <w:rFonts w:ascii="Calibri" w:hAnsi="Calibri" w:cs="Calibri"/>
          <w:sz w:val="22"/>
          <w:szCs w:val="22"/>
          <w:lang w:val="el-GR"/>
        </w:rPr>
        <w:t>γ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 xml:space="preserve">ια τη διασφάλιση του εφοδιασμού των </w:t>
      </w:r>
      <w:r>
        <w:rPr>
          <w:rFonts w:ascii="Calibri" w:hAnsi="Calibri" w:cs="Calibri"/>
          <w:sz w:val="22"/>
          <w:szCs w:val="22"/>
          <w:lang w:val="el-GR"/>
        </w:rPr>
        <w:t xml:space="preserve">διασυνδεδεμένων νησιών 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>συνάπτονται συμβάσεις Εφεδρείας Δυναμικού Εκτάκτων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>Αναγκών, μεταξύ του Α</w:t>
      </w:r>
      <w:r>
        <w:rPr>
          <w:rFonts w:ascii="Calibri" w:hAnsi="Calibri" w:cs="Calibri"/>
          <w:sz w:val="22"/>
          <w:szCs w:val="22"/>
          <w:lang w:val="el-GR"/>
        </w:rPr>
        <w:t>ΔΜΗΕ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 xml:space="preserve"> και του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>κατόχου άδειας παραγωγής ηλεκτρικής ενέργειας από θερμικές μονάδες, που βρίσκονται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>στα ηλεκτρικά συστήματα των εν λόγω νησι</w:t>
      </w:r>
      <w:r>
        <w:rPr>
          <w:rFonts w:ascii="Calibri" w:hAnsi="Calibri" w:cs="Calibri"/>
          <w:sz w:val="22"/>
          <w:szCs w:val="22"/>
          <w:lang w:val="el-GR"/>
        </w:rPr>
        <w:t xml:space="preserve">ών, οι οποίες </w:t>
      </w:r>
      <w:r w:rsidR="007A3105" w:rsidRPr="007A3105">
        <w:rPr>
          <w:rFonts w:ascii="Calibri" w:hAnsi="Calibri" w:cs="Calibri"/>
          <w:sz w:val="22"/>
          <w:szCs w:val="22"/>
          <w:lang w:val="el-GR"/>
        </w:rPr>
        <w:t>υποβάλλονται προς έγκριση στη Ρ</w:t>
      </w:r>
      <w:r>
        <w:rPr>
          <w:rFonts w:ascii="Calibri" w:hAnsi="Calibri" w:cs="Calibri"/>
          <w:sz w:val="22"/>
          <w:szCs w:val="22"/>
          <w:lang w:val="el-GR"/>
        </w:rPr>
        <w:t xml:space="preserve">ΑΕ. </w:t>
      </w:r>
    </w:p>
    <w:p w14:paraId="1257ADBA" w14:textId="77777777" w:rsidR="0033373E" w:rsidRDefault="0033373E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DAF5CBD" w14:textId="2B68359A" w:rsidR="007A1C1A" w:rsidRDefault="00A10168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lastRenderedPageBreak/>
        <w:t>Μ</w:t>
      </w:r>
      <w:r w:rsidR="007A1C1A">
        <w:rPr>
          <w:rFonts w:ascii="Calibri" w:hAnsi="Calibri" w:cs="Calibri"/>
          <w:sz w:val="22"/>
          <w:szCs w:val="22"/>
          <w:lang w:val="el-GR"/>
        </w:rPr>
        <w:t>έχρι στιγμής δεν έχ</w:t>
      </w:r>
      <w:r>
        <w:rPr>
          <w:rFonts w:ascii="Calibri" w:hAnsi="Calibri" w:cs="Calibri"/>
          <w:sz w:val="22"/>
          <w:szCs w:val="22"/>
          <w:lang w:val="el-GR"/>
        </w:rPr>
        <w:t>ουν συναφθεί τέτοιου τύπου συμβάσεις,</w:t>
      </w:r>
      <w:r w:rsidR="00B356F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A1C1A">
        <w:rPr>
          <w:rFonts w:ascii="Calibri" w:hAnsi="Calibri" w:cs="Calibri"/>
          <w:sz w:val="22"/>
          <w:szCs w:val="22"/>
          <w:lang w:val="el-GR"/>
        </w:rPr>
        <w:t>με αποτέλεσμα να δημιουργείται ανάγκη αποζημίωσης της ΔΕΗ για τις υπηρεσίες που έχει προσφέρει από το 2004. Το εν λόγω κόστος θα επιβαρύνει τους καταναλωτές μέσω της ΧΧΣ.</w:t>
      </w:r>
    </w:p>
    <w:p w14:paraId="0A5E700B" w14:textId="77777777" w:rsidR="007A1C1A" w:rsidRDefault="007A1C1A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067E5BB2" w14:textId="5FF2462C" w:rsidR="000103F7" w:rsidRDefault="000103F7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Είναι προφανές λοιπόν ότι α</w:t>
      </w:r>
      <w:r w:rsidR="007A1C1A">
        <w:rPr>
          <w:rFonts w:ascii="Calibri" w:hAnsi="Calibri" w:cs="Calibri"/>
          <w:sz w:val="22"/>
          <w:szCs w:val="22"/>
          <w:lang w:val="el-GR"/>
        </w:rPr>
        <w:t>ναμ</w:t>
      </w:r>
      <w:r>
        <w:rPr>
          <w:rFonts w:ascii="Calibri" w:hAnsi="Calibri" w:cs="Calibri"/>
          <w:sz w:val="22"/>
          <w:szCs w:val="22"/>
          <w:lang w:val="el-GR"/>
        </w:rPr>
        <w:t>ένεται</w:t>
      </w:r>
      <w:r w:rsidR="007A1C1A">
        <w:rPr>
          <w:rFonts w:ascii="Calibri" w:hAnsi="Calibri" w:cs="Calibri"/>
          <w:sz w:val="22"/>
          <w:szCs w:val="22"/>
          <w:lang w:val="el-GR"/>
        </w:rPr>
        <w:t xml:space="preserve"> αύξηση της ΧΧΣ αφενός λόγω του κόστους των επενδύσεων των έργων διασύνδεσης των νησιών, αφετέρου του κόστους διατήρη</w:t>
      </w:r>
      <w:r>
        <w:rPr>
          <w:rFonts w:ascii="Calibri" w:hAnsi="Calibri" w:cs="Calibri"/>
          <w:sz w:val="22"/>
          <w:szCs w:val="22"/>
          <w:lang w:val="el-GR"/>
        </w:rPr>
        <w:t xml:space="preserve">σης θερμικών μονάδων ως </w:t>
      </w:r>
      <w:r w:rsidR="007A1C1A">
        <w:rPr>
          <w:rFonts w:ascii="Calibri" w:hAnsi="Calibri" w:cs="Calibri"/>
          <w:sz w:val="22"/>
          <w:szCs w:val="22"/>
          <w:lang w:val="el-GR"/>
        </w:rPr>
        <w:t>εφεδρ</w:t>
      </w:r>
      <w:r>
        <w:rPr>
          <w:rFonts w:ascii="Calibri" w:hAnsi="Calibri" w:cs="Calibri"/>
          <w:sz w:val="22"/>
          <w:szCs w:val="22"/>
          <w:lang w:val="el-GR"/>
        </w:rPr>
        <w:t xml:space="preserve">είες. Είναι </w:t>
      </w:r>
      <w:r w:rsidR="0033373E">
        <w:rPr>
          <w:rFonts w:ascii="Calibri" w:hAnsi="Calibri" w:cs="Calibri"/>
          <w:sz w:val="22"/>
          <w:szCs w:val="22"/>
          <w:lang w:val="el-GR"/>
        </w:rPr>
        <w:t xml:space="preserve">επίσης </w:t>
      </w:r>
      <w:r>
        <w:rPr>
          <w:rFonts w:ascii="Calibri" w:hAnsi="Calibri" w:cs="Calibri"/>
          <w:sz w:val="22"/>
          <w:szCs w:val="22"/>
          <w:lang w:val="el-GR"/>
        </w:rPr>
        <w:t>γεγονός ότι ο λογαριασμός των ΥΚΩ είναι πλεονασματικός με πρόβλεψη το πλεόνασμα να καλύψει ανάγκες του Ταμείου Ενεργειακής Μετάβασης.</w:t>
      </w:r>
    </w:p>
    <w:p w14:paraId="1704B543" w14:textId="77777777" w:rsidR="000103F7" w:rsidRDefault="000103F7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22B9AB4" w14:textId="43E6919E" w:rsidR="000103F7" w:rsidRDefault="000103F7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Προτείνουμε παράλληλα το Υπουργείο να προχωρήσει σε μείωση της χρέωσης ΥΚΩ στο πλαίσιο της  έγκρισης μειωμένου ΕΤΜΕΑΡ, όπως εξάλλου προβλέπεται από τις νέες Κατευθυντήριες Γραμμές της Ε.Ε για κρατικές ενισχύσεις (</w:t>
      </w:r>
      <w:r>
        <w:rPr>
          <w:rFonts w:ascii="Calibri" w:hAnsi="Calibri" w:cs="Calibri"/>
          <w:sz w:val="22"/>
          <w:szCs w:val="22"/>
        </w:rPr>
        <w:t>CEEAG</w:t>
      </w:r>
      <w:r w:rsidRPr="000103F7">
        <w:rPr>
          <w:rFonts w:ascii="Calibri" w:hAnsi="Calibri" w:cs="Calibri"/>
          <w:sz w:val="22"/>
          <w:szCs w:val="22"/>
          <w:lang w:val="el-GR"/>
        </w:rPr>
        <w:t>).</w:t>
      </w:r>
      <w:r>
        <w:rPr>
          <w:rFonts w:ascii="Calibri" w:hAnsi="Calibri" w:cs="Calibri"/>
          <w:sz w:val="22"/>
          <w:szCs w:val="22"/>
          <w:lang w:val="el-GR"/>
        </w:rPr>
        <w:t xml:space="preserve">   </w:t>
      </w:r>
    </w:p>
    <w:p w14:paraId="661A99CE" w14:textId="512E2D04" w:rsidR="007A1C1A" w:rsidRPr="007A1C1A" w:rsidRDefault="007A1C1A" w:rsidP="007A1C1A">
      <w:pPr>
        <w:spacing w:line="264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611BD4AA" w14:textId="786A23BF" w:rsidR="007A3105" w:rsidRPr="007A3105" w:rsidRDefault="007A3105" w:rsidP="00231FFB">
      <w:pPr>
        <w:spacing w:line="264" w:lineRule="auto"/>
        <w:jc w:val="both"/>
        <w:rPr>
          <w:rFonts w:cstheme="minorHAnsi"/>
          <w:b/>
          <w:bCs/>
          <w:iCs/>
          <w:sz w:val="22"/>
          <w:u w:val="single"/>
          <w:lang w:val="el-GR"/>
        </w:rPr>
      </w:pPr>
    </w:p>
    <w:p w14:paraId="6B1BF081" w14:textId="1DDB3EE2" w:rsidR="00956EB7" w:rsidRDefault="0033373E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  <w:r>
        <w:rPr>
          <w:rFonts w:cstheme="minorHAnsi"/>
          <w:iCs/>
          <w:sz w:val="22"/>
          <w:lang w:val="el-GR"/>
        </w:rPr>
        <w:t>Στη διάθεση σας για οποιεσδήποτε διευκρινήσεις</w:t>
      </w:r>
    </w:p>
    <w:p w14:paraId="277B478D" w14:textId="77777777" w:rsidR="007A3105" w:rsidRPr="00956EB7" w:rsidRDefault="007A3105" w:rsidP="00FD53CE">
      <w:pPr>
        <w:spacing w:line="264" w:lineRule="auto"/>
        <w:jc w:val="both"/>
        <w:rPr>
          <w:rFonts w:cstheme="minorHAnsi"/>
          <w:iCs/>
          <w:sz w:val="22"/>
          <w:lang w:val="el-GR"/>
        </w:rPr>
      </w:pPr>
    </w:p>
    <w:p w14:paraId="691491AC" w14:textId="77777777" w:rsidR="00FD53CE" w:rsidRPr="004A5008" w:rsidRDefault="00FD53CE" w:rsidP="00FD53CE">
      <w:pPr>
        <w:rPr>
          <w:rFonts w:cstheme="minorHAnsi"/>
          <w:iCs/>
          <w:sz w:val="22"/>
          <w:lang w:val="el-GR"/>
        </w:rPr>
      </w:pPr>
      <w:r w:rsidRPr="004A5008">
        <w:rPr>
          <w:rFonts w:cstheme="minorHAnsi"/>
          <w:iCs/>
          <w:sz w:val="22"/>
          <w:lang w:val="el-GR"/>
        </w:rPr>
        <w:t>Με εκτίμηση,</w:t>
      </w:r>
    </w:p>
    <w:p w14:paraId="55256BAB" w14:textId="77777777" w:rsidR="00FD53CE" w:rsidRPr="004A5008" w:rsidRDefault="00FD53CE" w:rsidP="00FD53CE">
      <w:pPr>
        <w:rPr>
          <w:rFonts w:cstheme="minorHAnsi"/>
          <w:iCs/>
          <w:sz w:val="22"/>
          <w:lang w:val="el-GR"/>
        </w:rPr>
      </w:pPr>
      <w:r w:rsidRPr="004A5008">
        <w:rPr>
          <w:rFonts w:cstheme="minorHAnsi"/>
          <w:iCs/>
          <w:sz w:val="22"/>
          <w:lang w:val="el-GR"/>
        </w:rPr>
        <w:t>Αντώνιος Κοντολέων</w:t>
      </w:r>
    </w:p>
    <w:p w14:paraId="381AC67A" w14:textId="664F0DFA" w:rsidR="00407261" w:rsidRPr="004A5008" w:rsidRDefault="00FD53CE" w:rsidP="00D7002A">
      <w:pPr>
        <w:tabs>
          <w:tab w:val="left" w:pos="851"/>
        </w:tabs>
        <w:rPr>
          <w:rStyle w:val="Emphasis"/>
          <w:rFonts w:cstheme="minorHAnsi"/>
          <w:i w:val="0"/>
          <w:sz w:val="20"/>
          <w:szCs w:val="22"/>
          <w:lang w:val="el-GR"/>
        </w:rPr>
      </w:pPr>
      <w:r w:rsidRPr="004A5008">
        <w:rPr>
          <w:rFonts w:cstheme="minorHAnsi"/>
          <w:iCs/>
          <w:sz w:val="22"/>
          <w:lang w:val="el-GR"/>
        </w:rPr>
        <w:t>Πρόεδρος Δ.Σ.</w:t>
      </w:r>
    </w:p>
    <w:sectPr w:rsidR="00407261" w:rsidRPr="004A5008" w:rsidSect="003A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36" w:right="1440" w:bottom="1440" w:left="1440" w:header="57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10D3" w14:textId="77777777" w:rsidR="00A13D7C" w:rsidRDefault="00A13D7C" w:rsidP="00E564FF">
      <w:r>
        <w:separator/>
      </w:r>
    </w:p>
  </w:endnote>
  <w:endnote w:type="continuationSeparator" w:id="0">
    <w:p w14:paraId="3ABEABBE" w14:textId="77777777" w:rsidR="00A13D7C" w:rsidRDefault="00A13D7C" w:rsidP="00E5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94AD" w14:textId="77777777" w:rsidR="0054228A" w:rsidRDefault="0054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7731" w14:textId="77D41862" w:rsidR="00E564FF" w:rsidRPr="00E564FF" w:rsidRDefault="00E564FF" w:rsidP="00E564FF">
    <w:pPr>
      <w:pStyle w:val="Footer"/>
      <w:ind w:left="-1418"/>
    </w:pPr>
    <w:r>
      <w:rPr>
        <w:noProof/>
        <w:lang w:val="el-GR" w:eastAsia="el-GR"/>
      </w:rPr>
      <w:drawing>
        <wp:inline distT="0" distB="0" distL="0" distR="0" wp14:anchorId="1EB84CD5" wp14:editId="101E9C19">
          <wp:extent cx="7549236" cy="735892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-14-2020_FOOTER_CABLEL WIRES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36" cy="73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5B3C" w14:textId="77777777" w:rsidR="0054228A" w:rsidRDefault="0054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9C86" w14:textId="77777777" w:rsidR="00A13D7C" w:rsidRDefault="00A13D7C" w:rsidP="00E564FF">
      <w:r>
        <w:separator/>
      </w:r>
    </w:p>
  </w:footnote>
  <w:footnote w:type="continuationSeparator" w:id="0">
    <w:p w14:paraId="564F683F" w14:textId="77777777" w:rsidR="00A13D7C" w:rsidRDefault="00A13D7C" w:rsidP="00E5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A08" w14:textId="77777777" w:rsidR="0054228A" w:rsidRDefault="00542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AE51" w14:textId="2FC3C48A" w:rsidR="00E564FF" w:rsidRDefault="00E564FF" w:rsidP="00E564FF">
    <w:pPr>
      <w:pStyle w:val="Header"/>
      <w:ind w:left="-1440"/>
    </w:pPr>
    <w:r>
      <w:rPr>
        <w:noProof/>
        <w:lang w:val="el-GR" w:eastAsia="el-GR"/>
      </w:rPr>
      <w:drawing>
        <wp:inline distT="0" distB="0" distL="0" distR="0" wp14:anchorId="0457AF63" wp14:editId="37AF4B96">
          <wp:extent cx="7544497" cy="73542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14-2020_HEADER_CABLEL WIRES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97" cy="7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E7E" w14:textId="77777777" w:rsidR="0054228A" w:rsidRDefault="0054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BB5"/>
    <w:multiLevelType w:val="multilevel"/>
    <w:tmpl w:val="FFFFFFFF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F0A74"/>
    <w:multiLevelType w:val="hybridMultilevel"/>
    <w:tmpl w:val="66D8E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0D8"/>
    <w:multiLevelType w:val="hybridMultilevel"/>
    <w:tmpl w:val="97D2B94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E67174E"/>
    <w:multiLevelType w:val="hybridMultilevel"/>
    <w:tmpl w:val="97D2B94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62C1808"/>
    <w:multiLevelType w:val="hybridMultilevel"/>
    <w:tmpl w:val="47804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4F17"/>
    <w:multiLevelType w:val="hybridMultilevel"/>
    <w:tmpl w:val="F4C49A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3E43"/>
    <w:multiLevelType w:val="hybridMultilevel"/>
    <w:tmpl w:val="AC82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DEF"/>
    <w:multiLevelType w:val="hybridMultilevel"/>
    <w:tmpl w:val="FF9E0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56D39"/>
    <w:multiLevelType w:val="hybridMultilevel"/>
    <w:tmpl w:val="099C258C"/>
    <w:lvl w:ilvl="0" w:tplc="0408000F">
      <w:start w:val="1"/>
      <w:numFmt w:val="decimal"/>
      <w:lvlText w:val="%1."/>
      <w:lvlJc w:val="left"/>
      <w:pPr>
        <w:ind w:left="888" w:hanging="360"/>
      </w:pPr>
    </w:lvl>
    <w:lvl w:ilvl="1" w:tplc="04080019" w:tentative="1">
      <w:start w:val="1"/>
      <w:numFmt w:val="lowerLetter"/>
      <w:lvlText w:val="%2."/>
      <w:lvlJc w:val="left"/>
      <w:pPr>
        <w:ind w:left="1608" w:hanging="360"/>
      </w:pPr>
    </w:lvl>
    <w:lvl w:ilvl="2" w:tplc="0408001B" w:tentative="1">
      <w:start w:val="1"/>
      <w:numFmt w:val="lowerRoman"/>
      <w:lvlText w:val="%3."/>
      <w:lvlJc w:val="right"/>
      <w:pPr>
        <w:ind w:left="2328" w:hanging="180"/>
      </w:pPr>
    </w:lvl>
    <w:lvl w:ilvl="3" w:tplc="0408000F" w:tentative="1">
      <w:start w:val="1"/>
      <w:numFmt w:val="decimal"/>
      <w:lvlText w:val="%4."/>
      <w:lvlJc w:val="left"/>
      <w:pPr>
        <w:ind w:left="3048" w:hanging="360"/>
      </w:pPr>
    </w:lvl>
    <w:lvl w:ilvl="4" w:tplc="04080019" w:tentative="1">
      <w:start w:val="1"/>
      <w:numFmt w:val="lowerLetter"/>
      <w:lvlText w:val="%5."/>
      <w:lvlJc w:val="left"/>
      <w:pPr>
        <w:ind w:left="3768" w:hanging="360"/>
      </w:pPr>
    </w:lvl>
    <w:lvl w:ilvl="5" w:tplc="0408001B" w:tentative="1">
      <w:start w:val="1"/>
      <w:numFmt w:val="lowerRoman"/>
      <w:lvlText w:val="%6."/>
      <w:lvlJc w:val="right"/>
      <w:pPr>
        <w:ind w:left="4488" w:hanging="180"/>
      </w:pPr>
    </w:lvl>
    <w:lvl w:ilvl="6" w:tplc="0408000F" w:tentative="1">
      <w:start w:val="1"/>
      <w:numFmt w:val="decimal"/>
      <w:lvlText w:val="%7."/>
      <w:lvlJc w:val="left"/>
      <w:pPr>
        <w:ind w:left="5208" w:hanging="360"/>
      </w:pPr>
    </w:lvl>
    <w:lvl w:ilvl="7" w:tplc="04080019" w:tentative="1">
      <w:start w:val="1"/>
      <w:numFmt w:val="lowerLetter"/>
      <w:lvlText w:val="%8."/>
      <w:lvlJc w:val="left"/>
      <w:pPr>
        <w:ind w:left="5928" w:hanging="360"/>
      </w:pPr>
    </w:lvl>
    <w:lvl w:ilvl="8" w:tplc="0408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501D2F75"/>
    <w:multiLevelType w:val="hybridMultilevel"/>
    <w:tmpl w:val="9274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5138"/>
    <w:multiLevelType w:val="hybridMultilevel"/>
    <w:tmpl w:val="2A9C05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06F6D"/>
    <w:multiLevelType w:val="hybridMultilevel"/>
    <w:tmpl w:val="15B2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E43E6"/>
    <w:multiLevelType w:val="hybridMultilevel"/>
    <w:tmpl w:val="FE3852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03E8C"/>
    <w:multiLevelType w:val="hybridMultilevel"/>
    <w:tmpl w:val="8F80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92013"/>
    <w:multiLevelType w:val="hybridMultilevel"/>
    <w:tmpl w:val="7654D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1AAA"/>
    <w:multiLevelType w:val="hybridMultilevel"/>
    <w:tmpl w:val="43603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84E69"/>
    <w:multiLevelType w:val="hybridMultilevel"/>
    <w:tmpl w:val="BA6E8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7AC3"/>
    <w:multiLevelType w:val="hybridMultilevel"/>
    <w:tmpl w:val="A54CB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F2C91"/>
    <w:multiLevelType w:val="hybridMultilevel"/>
    <w:tmpl w:val="E312E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15803">
    <w:abstractNumId w:val="16"/>
  </w:num>
  <w:num w:numId="2" w16cid:durableId="1369329932">
    <w:abstractNumId w:val="1"/>
  </w:num>
  <w:num w:numId="3" w16cid:durableId="862476179">
    <w:abstractNumId w:val="8"/>
  </w:num>
  <w:num w:numId="4" w16cid:durableId="1491754470">
    <w:abstractNumId w:val="4"/>
  </w:num>
  <w:num w:numId="5" w16cid:durableId="1929385083">
    <w:abstractNumId w:val="5"/>
  </w:num>
  <w:num w:numId="6" w16cid:durableId="1375542153">
    <w:abstractNumId w:val="18"/>
  </w:num>
  <w:num w:numId="7" w16cid:durableId="825247658">
    <w:abstractNumId w:val="14"/>
  </w:num>
  <w:num w:numId="8" w16cid:durableId="1081754295">
    <w:abstractNumId w:val="6"/>
  </w:num>
  <w:num w:numId="9" w16cid:durableId="1195268853">
    <w:abstractNumId w:val="0"/>
  </w:num>
  <w:num w:numId="10" w16cid:durableId="1081370104">
    <w:abstractNumId w:val="15"/>
  </w:num>
  <w:num w:numId="11" w16cid:durableId="2083484502">
    <w:abstractNumId w:val="10"/>
  </w:num>
  <w:num w:numId="12" w16cid:durableId="1892031898">
    <w:abstractNumId w:val="12"/>
  </w:num>
  <w:num w:numId="13" w16cid:durableId="1934632178">
    <w:abstractNumId w:val="13"/>
  </w:num>
  <w:num w:numId="14" w16cid:durableId="678120177">
    <w:abstractNumId w:val="7"/>
  </w:num>
  <w:num w:numId="15" w16cid:durableId="785002971">
    <w:abstractNumId w:val="17"/>
  </w:num>
  <w:num w:numId="16" w16cid:durableId="521362076">
    <w:abstractNumId w:val="9"/>
  </w:num>
  <w:num w:numId="17" w16cid:durableId="957486146">
    <w:abstractNumId w:val="3"/>
  </w:num>
  <w:num w:numId="18" w16cid:durableId="814834322">
    <w:abstractNumId w:val="2"/>
  </w:num>
  <w:num w:numId="19" w16cid:durableId="1587641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FF"/>
    <w:rsid w:val="00000F99"/>
    <w:rsid w:val="000103F7"/>
    <w:rsid w:val="00015B61"/>
    <w:rsid w:val="00020DEC"/>
    <w:rsid w:val="00030D7E"/>
    <w:rsid w:val="000353D6"/>
    <w:rsid w:val="00037B45"/>
    <w:rsid w:val="00055EB0"/>
    <w:rsid w:val="00056AA7"/>
    <w:rsid w:val="00064770"/>
    <w:rsid w:val="00064F7C"/>
    <w:rsid w:val="000738B1"/>
    <w:rsid w:val="000861B3"/>
    <w:rsid w:val="000879FE"/>
    <w:rsid w:val="00095A60"/>
    <w:rsid w:val="000A1782"/>
    <w:rsid w:val="000A5F5A"/>
    <w:rsid w:val="000D6E64"/>
    <w:rsid w:val="000E27EE"/>
    <w:rsid w:val="000E42A2"/>
    <w:rsid w:val="00110904"/>
    <w:rsid w:val="00115552"/>
    <w:rsid w:val="00124817"/>
    <w:rsid w:val="00131634"/>
    <w:rsid w:val="0014069C"/>
    <w:rsid w:val="00142820"/>
    <w:rsid w:val="001440A5"/>
    <w:rsid w:val="0015357F"/>
    <w:rsid w:val="0015411E"/>
    <w:rsid w:val="00162303"/>
    <w:rsid w:val="0016271E"/>
    <w:rsid w:val="001652BE"/>
    <w:rsid w:val="00170090"/>
    <w:rsid w:val="001737D7"/>
    <w:rsid w:val="001866E4"/>
    <w:rsid w:val="00194179"/>
    <w:rsid w:val="0019604C"/>
    <w:rsid w:val="00196E3F"/>
    <w:rsid w:val="001B10EA"/>
    <w:rsid w:val="001B3BC2"/>
    <w:rsid w:val="001D19EC"/>
    <w:rsid w:val="001D5BA6"/>
    <w:rsid w:val="001D72DE"/>
    <w:rsid w:val="001E2193"/>
    <w:rsid w:val="001E2366"/>
    <w:rsid w:val="001F59BA"/>
    <w:rsid w:val="001F7E26"/>
    <w:rsid w:val="00222721"/>
    <w:rsid w:val="00224B04"/>
    <w:rsid w:val="00225663"/>
    <w:rsid w:val="00225F9B"/>
    <w:rsid w:val="002309C4"/>
    <w:rsid w:val="00231FFB"/>
    <w:rsid w:val="002333DD"/>
    <w:rsid w:val="00240BF2"/>
    <w:rsid w:val="00243737"/>
    <w:rsid w:val="002457DD"/>
    <w:rsid w:val="00254BB2"/>
    <w:rsid w:val="0025796F"/>
    <w:rsid w:val="00266795"/>
    <w:rsid w:val="002676E3"/>
    <w:rsid w:val="00283830"/>
    <w:rsid w:val="002867B3"/>
    <w:rsid w:val="00293469"/>
    <w:rsid w:val="00296627"/>
    <w:rsid w:val="002B018E"/>
    <w:rsid w:val="002C17AC"/>
    <w:rsid w:val="002D1529"/>
    <w:rsid w:val="002D30B6"/>
    <w:rsid w:val="002D3E4B"/>
    <w:rsid w:val="002E6C08"/>
    <w:rsid w:val="002F1BE3"/>
    <w:rsid w:val="002F2C59"/>
    <w:rsid w:val="00300644"/>
    <w:rsid w:val="00304B8B"/>
    <w:rsid w:val="003053E6"/>
    <w:rsid w:val="00315050"/>
    <w:rsid w:val="00316077"/>
    <w:rsid w:val="00317A26"/>
    <w:rsid w:val="00322339"/>
    <w:rsid w:val="00322E34"/>
    <w:rsid w:val="0033373E"/>
    <w:rsid w:val="00333B7C"/>
    <w:rsid w:val="00342DCB"/>
    <w:rsid w:val="003506BA"/>
    <w:rsid w:val="00353F06"/>
    <w:rsid w:val="00360C82"/>
    <w:rsid w:val="003920BA"/>
    <w:rsid w:val="00397DA7"/>
    <w:rsid w:val="003A4958"/>
    <w:rsid w:val="003A4EDB"/>
    <w:rsid w:val="003B41CD"/>
    <w:rsid w:val="003C16D3"/>
    <w:rsid w:val="003F0A0E"/>
    <w:rsid w:val="003F0B40"/>
    <w:rsid w:val="00400E83"/>
    <w:rsid w:val="00406FDC"/>
    <w:rsid w:val="00407261"/>
    <w:rsid w:val="004127A3"/>
    <w:rsid w:val="00414F13"/>
    <w:rsid w:val="0043587F"/>
    <w:rsid w:val="00437246"/>
    <w:rsid w:val="0044140E"/>
    <w:rsid w:val="0045207E"/>
    <w:rsid w:val="0047576A"/>
    <w:rsid w:val="004839D3"/>
    <w:rsid w:val="004A5008"/>
    <w:rsid w:val="004B1509"/>
    <w:rsid w:val="004D4A63"/>
    <w:rsid w:val="004D5D8F"/>
    <w:rsid w:val="004E0C6F"/>
    <w:rsid w:val="004E7B3B"/>
    <w:rsid w:val="00500C14"/>
    <w:rsid w:val="005062E3"/>
    <w:rsid w:val="005201CE"/>
    <w:rsid w:val="005212CE"/>
    <w:rsid w:val="00524640"/>
    <w:rsid w:val="0054228A"/>
    <w:rsid w:val="0055209D"/>
    <w:rsid w:val="005554FD"/>
    <w:rsid w:val="005605F7"/>
    <w:rsid w:val="00565D99"/>
    <w:rsid w:val="00570458"/>
    <w:rsid w:val="0057524A"/>
    <w:rsid w:val="00584125"/>
    <w:rsid w:val="00587C2B"/>
    <w:rsid w:val="005966DA"/>
    <w:rsid w:val="0059762B"/>
    <w:rsid w:val="005A00F4"/>
    <w:rsid w:val="005A751E"/>
    <w:rsid w:val="005D2FF2"/>
    <w:rsid w:val="005E3307"/>
    <w:rsid w:val="005F00F5"/>
    <w:rsid w:val="005F5AFD"/>
    <w:rsid w:val="005F6FA3"/>
    <w:rsid w:val="006003E1"/>
    <w:rsid w:val="00604453"/>
    <w:rsid w:val="006047BF"/>
    <w:rsid w:val="00604C2D"/>
    <w:rsid w:val="00611DFE"/>
    <w:rsid w:val="00613166"/>
    <w:rsid w:val="00614996"/>
    <w:rsid w:val="006151A6"/>
    <w:rsid w:val="006374BA"/>
    <w:rsid w:val="00647345"/>
    <w:rsid w:val="00662FFB"/>
    <w:rsid w:val="006709B0"/>
    <w:rsid w:val="00686BA3"/>
    <w:rsid w:val="006940C3"/>
    <w:rsid w:val="006B7DAA"/>
    <w:rsid w:val="006C0D11"/>
    <w:rsid w:val="006E3368"/>
    <w:rsid w:val="006F042F"/>
    <w:rsid w:val="006F0628"/>
    <w:rsid w:val="006F46AC"/>
    <w:rsid w:val="006F6809"/>
    <w:rsid w:val="007015E7"/>
    <w:rsid w:val="00714BF8"/>
    <w:rsid w:val="00717510"/>
    <w:rsid w:val="0072491A"/>
    <w:rsid w:val="00730A81"/>
    <w:rsid w:val="00731AD2"/>
    <w:rsid w:val="00734ECC"/>
    <w:rsid w:val="0074300B"/>
    <w:rsid w:val="00751313"/>
    <w:rsid w:val="00754F32"/>
    <w:rsid w:val="00756367"/>
    <w:rsid w:val="0077616D"/>
    <w:rsid w:val="00781DCA"/>
    <w:rsid w:val="0078286F"/>
    <w:rsid w:val="00784AFE"/>
    <w:rsid w:val="007935D0"/>
    <w:rsid w:val="00794E0E"/>
    <w:rsid w:val="00795A84"/>
    <w:rsid w:val="007A1C1A"/>
    <w:rsid w:val="007A3105"/>
    <w:rsid w:val="007C3249"/>
    <w:rsid w:val="007C5FCB"/>
    <w:rsid w:val="007D06A3"/>
    <w:rsid w:val="007E0DA6"/>
    <w:rsid w:val="007E5751"/>
    <w:rsid w:val="007E6294"/>
    <w:rsid w:val="0080236D"/>
    <w:rsid w:val="00802AA7"/>
    <w:rsid w:val="0081586F"/>
    <w:rsid w:val="00826DC8"/>
    <w:rsid w:val="0084366A"/>
    <w:rsid w:val="00850442"/>
    <w:rsid w:val="008679B2"/>
    <w:rsid w:val="008801A9"/>
    <w:rsid w:val="00885694"/>
    <w:rsid w:val="008A190A"/>
    <w:rsid w:val="008B6DFC"/>
    <w:rsid w:val="008C5B9C"/>
    <w:rsid w:val="008D6971"/>
    <w:rsid w:val="008E25E7"/>
    <w:rsid w:val="008F1D10"/>
    <w:rsid w:val="008F2BBA"/>
    <w:rsid w:val="00901C4A"/>
    <w:rsid w:val="0090491D"/>
    <w:rsid w:val="0091482C"/>
    <w:rsid w:val="009261AC"/>
    <w:rsid w:val="00936F49"/>
    <w:rsid w:val="009526FE"/>
    <w:rsid w:val="009555F6"/>
    <w:rsid w:val="00956EB7"/>
    <w:rsid w:val="0096153B"/>
    <w:rsid w:val="00963F47"/>
    <w:rsid w:val="00966237"/>
    <w:rsid w:val="00967959"/>
    <w:rsid w:val="009762C5"/>
    <w:rsid w:val="00986A78"/>
    <w:rsid w:val="00991591"/>
    <w:rsid w:val="00992B13"/>
    <w:rsid w:val="0099425D"/>
    <w:rsid w:val="00994D9C"/>
    <w:rsid w:val="0099765B"/>
    <w:rsid w:val="009A40F4"/>
    <w:rsid w:val="009C1DB7"/>
    <w:rsid w:val="009D14C8"/>
    <w:rsid w:val="009D1BCD"/>
    <w:rsid w:val="00A00C1E"/>
    <w:rsid w:val="00A10168"/>
    <w:rsid w:val="00A1058B"/>
    <w:rsid w:val="00A13D7C"/>
    <w:rsid w:val="00A219F6"/>
    <w:rsid w:val="00A3280B"/>
    <w:rsid w:val="00A4092B"/>
    <w:rsid w:val="00A47D86"/>
    <w:rsid w:val="00A53E83"/>
    <w:rsid w:val="00A547B6"/>
    <w:rsid w:val="00A56F00"/>
    <w:rsid w:val="00A61998"/>
    <w:rsid w:val="00A73A6F"/>
    <w:rsid w:val="00A768AA"/>
    <w:rsid w:val="00A850CE"/>
    <w:rsid w:val="00A920E7"/>
    <w:rsid w:val="00AA463E"/>
    <w:rsid w:val="00AC2028"/>
    <w:rsid w:val="00AC5762"/>
    <w:rsid w:val="00AC6E5A"/>
    <w:rsid w:val="00AC77BD"/>
    <w:rsid w:val="00AF0414"/>
    <w:rsid w:val="00AF4629"/>
    <w:rsid w:val="00AF74B0"/>
    <w:rsid w:val="00B356F4"/>
    <w:rsid w:val="00B501A9"/>
    <w:rsid w:val="00B53FEE"/>
    <w:rsid w:val="00B646A4"/>
    <w:rsid w:val="00B96219"/>
    <w:rsid w:val="00BA565E"/>
    <w:rsid w:val="00BB77CB"/>
    <w:rsid w:val="00BC289B"/>
    <w:rsid w:val="00BC5EB3"/>
    <w:rsid w:val="00BD3AEE"/>
    <w:rsid w:val="00BE0774"/>
    <w:rsid w:val="00BE3E3E"/>
    <w:rsid w:val="00BF2667"/>
    <w:rsid w:val="00BF31C6"/>
    <w:rsid w:val="00C10A69"/>
    <w:rsid w:val="00C15E14"/>
    <w:rsid w:val="00C1634E"/>
    <w:rsid w:val="00C173F8"/>
    <w:rsid w:val="00C22FC9"/>
    <w:rsid w:val="00C31D2D"/>
    <w:rsid w:val="00C434E0"/>
    <w:rsid w:val="00C4393F"/>
    <w:rsid w:val="00C475C5"/>
    <w:rsid w:val="00C5542A"/>
    <w:rsid w:val="00C569BF"/>
    <w:rsid w:val="00C7733B"/>
    <w:rsid w:val="00C918DC"/>
    <w:rsid w:val="00C953EA"/>
    <w:rsid w:val="00C95FF1"/>
    <w:rsid w:val="00CA0FF0"/>
    <w:rsid w:val="00CB26ED"/>
    <w:rsid w:val="00CC1772"/>
    <w:rsid w:val="00CC37C6"/>
    <w:rsid w:val="00CC5D1A"/>
    <w:rsid w:val="00CE5704"/>
    <w:rsid w:val="00D02B02"/>
    <w:rsid w:val="00D0350D"/>
    <w:rsid w:val="00D06851"/>
    <w:rsid w:val="00D25CC9"/>
    <w:rsid w:val="00D35945"/>
    <w:rsid w:val="00D6504C"/>
    <w:rsid w:val="00D7002A"/>
    <w:rsid w:val="00D70F1C"/>
    <w:rsid w:val="00D756A8"/>
    <w:rsid w:val="00D762F9"/>
    <w:rsid w:val="00D76789"/>
    <w:rsid w:val="00D779E0"/>
    <w:rsid w:val="00D77F07"/>
    <w:rsid w:val="00D84235"/>
    <w:rsid w:val="00D90C82"/>
    <w:rsid w:val="00D91F4C"/>
    <w:rsid w:val="00DA788C"/>
    <w:rsid w:val="00DB40DA"/>
    <w:rsid w:val="00DC1B01"/>
    <w:rsid w:val="00DD1886"/>
    <w:rsid w:val="00DD3A6E"/>
    <w:rsid w:val="00DD664B"/>
    <w:rsid w:val="00DF2593"/>
    <w:rsid w:val="00E052A9"/>
    <w:rsid w:val="00E0720A"/>
    <w:rsid w:val="00E12EBA"/>
    <w:rsid w:val="00E14186"/>
    <w:rsid w:val="00E354DD"/>
    <w:rsid w:val="00E35CF1"/>
    <w:rsid w:val="00E41B15"/>
    <w:rsid w:val="00E42D95"/>
    <w:rsid w:val="00E564FF"/>
    <w:rsid w:val="00E635DB"/>
    <w:rsid w:val="00E74908"/>
    <w:rsid w:val="00E76E82"/>
    <w:rsid w:val="00E81D34"/>
    <w:rsid w:val="00E829E3"/>
    <w:rsid w:val="00E852BF"/>
    <w:rsid w:val="00E86BE2"/>
    <w:rsid w:val="00E9141B"/>
    <w:rsid w:val="00EA0BB6"/>
    <w:rsid w:val="00EA7871"/>
    <w:rsid w:val="00EC17E7"/>
    <w:rsid w:val="00ED379A"/>
    <w:rsid w:val="00ED5539"/>
    <w:rsid w:val="00F01B50"/>
    <w:rsid w:val="00F03A26"/>
    <w:rsid w:val="00F04C37"/>
    <w:rsid w:val="00F07FC5"/>
    <w:rsid w:val="00F13952"/>
    <w:rsid w:val="00F20E27"/>
    <w:rsid w:val="00F2120F"/>
    <w:rsid w:val="00F26897"/>
    <w:rsid w:val="00F26CFE"/>
    <w:rsid w:val="00F41878"/>
    <w:rsid w:val="00F45B40"/>
    <w:rsid w:val="00F45EB5"/>
    <w:rsid w:val="00F4630A"/>
    <w:rsid w:val="00F61935"/>
    <w:rsid w:val="00F62E40"/>
    <w:rsid w:val="00F8085D"/>
    <w:rsid w:val="00F808E9"/>
    <w:rsid w:val="00F8198E"/>
    <w:rsid w:val="00F833F9"/>
    <w:rsid w:val="00F9668F"/>
    <w:rsid w:val="00FA2346"/>
    <w:rsid w:val="00FA6C92"/>
    <w:rsid w:val="00FA7D1F"/>
    <w:rsid w:val="00FB7AA9"/>
    <w:rsid w:val="00FD53CE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336AB"/>
  <w15:chartTrackingRefBased/>
  <w15:docId w15:val="{1C39E673-8AE6-4BD6-BC17-D6F9478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4FF"/>
  </w:style>
  <w:style w:type="paragraph" w:styleId="Footer">
    <w:name w:val="footer"/>
    <w:basedOn w:val="Normal"/>
    <w:link w:val="FooterChar"/>
    <w:uiPriority w:val="99"/>
    <w:unhideWhenUsed/>
    <w:rsid w:val="00E5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4FF"/>
  </w:style>
  <w:style w:type="paragraph" w:styleId="BalloonText">
    <w:name w:val="Balloon Text"/>
    <w:basedOn w:val="Normal"/>
    <w:link w:val="BalloonTextChar"/>
    <w:uiPriority w:val="99"/>
    <w:semiHidden/>
    <w:unhideWhenUsed/>
    <w:rsid w:val="00E564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FF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rsid w:val="003053E6"/>
    <w:rPr>
      <w:i/>
      <w:iCs/>
    </w:rPr>
  </w:style>
  <w:style w:type="paragraph" w:styleId="ListParagraph">
    <w:name w:val="List Paragraph"/>
    <w:basedOn w:val="Normal"/>
    <w:uiPriority w:val="34"/>
    <w:qFormat/>
    <w:rsid w:val="0057524A"/>
    <w:pPr>
      <w:ind w:left="720"/>
      <w:contextualSpacing/>
    </w:pPr>
  </w:style>
  <w:style w:type="paragraph" w:customStyle="1" w:styleId="Default">
    <w:name w:val="Default"/>
    <w:rsid w:val="00E86BE2"/>
    <w:pPr>
      <w:autoSpaceDE w:val="0"/>
      <w:autoSpaceDN w:val="0"/>
      <w:adjustRightInd w:val="0"/>
    </w:pPr>
    <w:rPr>
      <w:rFonts w:ascii="EUAlbertina" w:hAnsi="EUAlbertina" w:cs="EUAlbertina"/>
      <w:color w:val="000000"/>
      <w:lang w:val="el-GR"/>
    </w:rPr>
  </w:style>
  <w:style w:type="character" w:styleId="Hyperlink">
    <w:name w:val="Hyperlink"/>
    <w:basedOn w:val="DefaultParagraphFont"/>
    <w:uiPriority w:val="99"/>
    <w:unhideWhenUsed/>
    <w:rsid w:val="00994D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D9C"/>
    <w:rPr>
      <w:color w:val="605E5C"/>
      <w:shd w:val="clear" w:color="auto" w:fill="E1DFDD"/>
    </w:rPr>
  </w:style>
  <w:style w:type="paragraph" w:customStyle="1" w:styleId="AA">
    <w:name w:val="Κύριο τμήμα A A"/>
    <w:rsid w:val="0088569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Giorgos Flokas</cp:lastModifiedBy>
  <cp:revision>2</cp:revision>
  <dcterms:created xsi:type="dcterms:W3CDTF">2022-06-23T10:17:00Z</dcterms:created>
  <dcterms:modified xsi:type="dcterms:W3CDTF">2022-06-23T10:17:00Z</dcterms:modified>
</cp:coreProperties>
</file>