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A86F" w14:textId="77777777" w:rsidR="00EA7A8B" w:rsidRPr="00E95376" w:rsidRDefault="003875EC" w:rsidP="006F388C">
      <w:pPr>
        <w:jc w:val="right"/>
        <w:rPr>
          <w:color w:val="000000" w:themeColor="text1"/>
          <w:sz w:val="24"/>
          <w:szCs w:val="24"/>
        </w:rPr>
      </w:pPr>
      <w:r w:rsidRPr="00E95376">
        <w:rPr>
          <w:color w:val="000000" w:themeColor="text1"/>
          <w:sz w:val="24"/>
          <w:szCs w:val="24"/>
        </w:rPr>
        <w:t xml:space="preserve">  </w:t>
      </w:r>
    </w:p>
    <w:p w14:paraId="49CD5951" w14:textId="4729127F" w:rsidR="003875EC" w:rsidRPr="00E95376" w:rsidRDefault="00E95376" w:rsidP="00EE40B8">
      <w:pPr>
        <w:jc w:val="right"/>
        <w:rPr>
          <w:color w:val="000000" w:themeColor="text1"/>
          <w:sz w:val="24"/>
          <w:szCs w:val="24"/>
        </w:rPr>
      </w:pPr>
      <w:r w:rsidRPr="00E95376">
        <w:rPr>
          <w:color w:val="000000" w:themeColor="text1"/>
          <w:sz w:val="24"/>
          <w:szCs w:val="24"/>
        </w:rPr>
        <w:t xml:space="preserve"> </w:t>
      </w:r>
      <w:r w:rsidR="00020155">
        <w:rPr>
          <w:color w:val="000000" w:themeColor="text1"/>
          <w:sz w:val="24"/>
          <w:szCs w:val="24"/>
        </w:rPr>
        <w:t>Παρασκευή</w:t>
      </w:r>
      <w:r w:rsidR="00617F37" w:rsidRPr="00E95376">
        <w:rPr>
          <w:color w:val="000000" w:themeColor="text1"/>
          <w:sz w:val="24"/>
          <w:szCs w:val="24"/>
        </w:rPr>
        <w:t>,</w:t>
      </w:r>
      <w:r w:rsidRPr="00E95376">
        <w:rPr>
          <w:color w:val="000000" w:themeColor="text1"/>
          <w:sz w:val="24"/>
          <w:szCs w:val="24"/>
        </w:rPr>
        <w:t xml:space="preserve"> </w:t>
      </w:r>
      <w:r w:rsidR="00020155">
        <w:rPr>
          <w:color w:val="000000" w:themeColor="text1"/>
          <w:sz w:val="24"/>
          <w:szCs w:val="24"/>
        </w:rPr>
        <w:t>7</w:t>
      </w:r>
      <w:r w:rsidR="00EA7A8B" w:rsidRPr="00E95376">
        <w:rPr>
          <w:color w:val="000000" w:themeColor="text1"/>
          <w:sz w:val="24"/>
          <w:szCs w:val="24"/>
        </w:rPr>
        <w:t xml:space="preserve"> </w:t>
      </w:r>
      <w:r w:rsidR="00020155">
        <w:rPr>
          <w:color w:val="000000" w:themeColor="text1"/>
          <w:sz w:val="24"/>
          <w:szCs w:val="24"/>
        </w:rPr>
        <w:t>Ιανουαρίου</w:t>
      </w:r>
      <w:r w:rsidR="00EE40B8">
        <w:rPr>
          <w:color w:val="000000" w:themeColor="text1"/>
          <w:sz w:val="24"/>
          <w:szCs w:val="24"/>
        </w:rPr>
        <w:t xml:space="preserve"> </w:t>
      </w:r>
      <w:r w:rsidR="003875EC" w:rsidRPr="00E95376">
        <w:rPr>
          <w:color w:val="000000" w:themeColor="text1"/>
          <w:sz w:val="24"/>
          <w:szCs w:val="24"/>
        </w:rPr>
        <w:t>202</w:t>
      </w:r>
      <w:r w:rsidR="00020155">
        <w:rPr>
          <w:color w:val="000000" w:themeColor="text1"/>
          <w:sz w:val="24"/>
          <w:szCs w:val="24"/>
        </w:rPr>
        <w:t>2</w:t>
      </w:r>
    </w:p>
    <w:p w14:paraId="65E86645" w14:textId="0DB77D5D" w:rsidR="003875EC" w:rsidRDefault="003875EC" w:rsidP="006F388C">
      <w:pPr>
        <w:jc w:val="center"/>
        <w:rPr>
          <w:b/>
          <w:bCs/>
          <w:color w:val="000000" w:themeColor="text1"/>
          <w:sz w:val="24"/>
          <w:szCs w:val="24"/>
        </w:rPr>
      </w:pPr>
      <w:r w:rsidRPr="00E95376">
        <w:rPr>
          <w:b/>
          <w:bCs/>
          <w:color w:val="000000" w:themeColor="text1"/>
          <w:sz w:val="24"/>
          <w:szCs w:val="24"/>
        </w:rPr>
        <w:t>ΑΝΑΚΟΙΝΩΣΗ ΤΥΠΟΥ</w:t>
      </w:r>
    </w:p>
    <w:p w14:paraId="49E6614C" w14:textId="77777777" w:rsidR="00020155" w:rsidRPr="00914717" w:rsidRDefault="00020155" w:rsidP="00020155">
      <w:pPr>
        <w:jc w:val="center"/>
        <w:rPr>
          <w:b/>
          <w:bCs/>
          <w:color w:val="000000" w:themeColor="text1"/>
          <w:sz w:val="24"/>
          <w:szCs w:val="24"/>
        </w:rPr>
      </w:pPr>
      <w:r w:rsidRPr="00914717">
        <w:rPr>
          <w:b/>
          <w:bCs/>
          <w:color w:val="000000" w:themeColor="text1"/>
          <w:sz w:val="24"/>
          <w:szCs w:val="24"/>
        </w:rPr>
        <w:t>Κώστας Σκρέκας: «395 εκατ. ευρώ τον Ιανουάριο για τη στήριξη νοικοκυριών και επαγγελματιών»</w:t>
      </w:r>
    </w:p>
    <w:p w14:paraId="11A782A4" w14:textId="77777777" w:rsidR="00AE1B3A" w:rsidRDefault="00020155" w:rsidP="00020155">
      <w:pPr>
        <w:jc w:val="both"/>
        <w:rPr>
          <w:rFonts w:eastAsia="Times New Roman" w:cstheme="minorHAnsi"/>
          <w:bCs/>
          <w:color w:val="202124"/>
          <w:sz w:val="24"/>
          <w:szCs w:val="24"/>
          <w:lang w:eastAsia="el-GR"/>
        </w:rPr>
      </w:pPr>
      <w:r w:rsidRPr="00914717">
        <w:rPr>
          <w:rFonts w:eastAsia="Times New Roman" w:cstheme="minorHAnsi"/>
          <w:bCs/>
          <w:color w:val="202124"/>
          <w:sz w:val="24"/>
          <w:szCs w:val="24"/>
          <w:lang w:eastAsia="el-GR"/>
        </w:rPr>
        <w:t xml:space="preserve">Ο Υπουργός Περιβάλλοντος και Ενέργειας, </w:t>
      </w:r>
      <w:r w:rsidRPr="00914717">
        <w:rPr>
          <w:rFonts w:eastAsia="Times New Roman" w:cstheme="minorHAnsi"/>
          <w:b/>
          <w:bCs/>
          <w:color w:val="202124"/>
          <w:sz w:val="24"/>
          <w:szCs w:val="24"/>
          <w:lang w:eastAsia="el-GR"/>
        </w:rPr>
        <w:t>Κώστας Σκρέκας</w:t>
      </w:r>
      <w:r w:rsidRPr="00914717">
        <w:rPr>
          <w:rFonts w:eastAsia="Times New Roman" w:cstheme="minorHAnsi"/>
          <w:bCs/>
          <w:color w:val="202124"/>
          <w:sz w:val="24"/>
          <w:szCs w:val="24"/>
          <w:lang w:eastAsia="el-GR"/>
        </w:rPr>
        <w:t>,</w:t>
      </w:r>
      <w:r w:rsidRPr="00914717">
        <w:rPr>
          <w:rFonts w:eastAsia="Times New Roman" w:cstheme="minorHAnsi"/>
          <w:b/>
          <w:bCs/>
          <w:color w:val="202124"/>
          <w:sz w:val="24"/>
          <w:szCs w:val="24"/>
          <w:lang w:eastAsia="el-GR"/>
        </w:rPr>
        <w:t xml:space="preserve"> </w:t>
      </w:r>
      <w:r w:rsidRPr="00914717">
        <w:rPr>
          <w:rFonts w:eastAsia="Times New Roman" w:cstheme="minorHAnsi"/>
          <w:bCs/>
          <w:color w:val="202124"/>
          <w:sz w:val="24"/>
          <w:szCs w:val="24"/>
          <w:lang w:eastAsia="el-GR"/>
        </w:rPr>
        <w:t xml:space="preserve">ανακοίνωσε σήμερα την επέκταση των μέτρων στήριξης </w:t>
      </w:r>
      <w:r w:rsidR="00AE1B3A">
        <w:rPr>
          <w:rFonts w:eastAsia="Times New Roman" w:cstheme="minorHAnsi"/>
          <w:bCs/>
          <w:color w:val="202124"/>
          <w:sz w:val="24"/>
          <w:szCs w:val="24"/>
          <w:lang w:eastAsia="el-GR"/>
        </w:rPr>
        <w:t>των νοικοκυριών και των επιχειρήσεων</w:t>
      </w:r>
      <w:r w:rsidRPr="00914717">
        <w:rPr>
          <w:rFonts w:eastAsia="Times New Roman" w:cstheme="minorHAnsi"/>
          <w:bCs/>
          <w:color w:val="202124"/>
          <w:sz w:val="24"/>
          <w:szCs w:val="24"/>
          <w:lang w:eastAsia="el-GR"/>
        </w:rPr>
        <w:t xml:space="preserve"> από τις επιπτώσεις της διεθνούς ενεργειακής κρίσης για τον Ιανουάριο. </w:t>
      </w:r>
    </w:p>
    <w:p w14:paraId="6BADA309" w14:textId="1D718BA3" w:rsidR="00020155" w:rsidRPr="00AE1B3A" w:rsidRDefault="00020155" w:rsidP="00AE1B3A">
      <w:pPr>
        <w:jc w:val="both"/>
        <w:rPr>
          <w:rFonts w:eastAsia="Times New Roman" w:cstheme="minorHAnsi"/>
          <w:b/>
          <w:color w:val="202124"/>
          <w:sz w:val="24"/>
          <w:szCs w:val="24"/>
          <w:lang w:eastAsia="el-GR"/>
        </w:rPr>
      </w:pPr>
      <w:r w:rsidRPr="00AE1B3A">
        <w:rPr>
          <w:rFonts w:eastAsia="Times New Roman" w:cstheme="minorHAnsi"/>
          <w:b/>
          <w:color w:val="202124"/>
          <w:sz w:val="24"/>
          <w:szCs w:val="24"/>
          <w:lang w:eastAsia="el-GR"/>
        </w:rPr>
        <w:t xml:space="preserve">Ακολουθεί </w:t>
      </w:r>
      <w:r w:rsidR="00AE1B3A" w:rsidRPr="00AE1B3A">
        <w:rPr>
          <w:rFonts w:eastAsia="Times New Roman" w:cstheme="minorHAnsi"/>
          <w:b/>
          <w:color w:val="202124"/>
          <w:sz w:val="24"/>
          <w:szCs w:val="24"/>
          <w:lang w:eastAsia="el-GR"/>
        </w:rPr>
        <w:t xml:space="preserve">ολόκληρη </w:t>
      </w:r>
      <w:r w:rsidRPr="00AE1B3A">
        <w:rPr>
          <w:rFonts w:eastAsia="Times New Roman" w:cstheme="minorHAnsi"/>
          <w:b/>
          <w:color w:val="202124"/>
          <w:sz w:val="24"/>
          <w:szCs w:val="24"/>
          <w:lang w:eastAsia="el-GR"/>
        </w:rPr>
        <w:t>η ανακοίνωση</w:t>
      </w:r>
      <w:r w:rsidR="00AE1B3A" w:rsidRPr="00AE1B3A">
        <w:rPr>
          <w:rFonts w:eastAsia="Times New Roman" w:cstheme="minorHAnsi"/>
          <w:b/>
          <w:color w:val="202124"/>
          <w:sz w:val="24"/>
          <w:szCs w:val="24"/>
          <w:lang w:eastAsia="el-GR"/>
        </w:rPr>
        <w:t xml:space="preserve"> του Υπουργού ΠΕΝ.</w:t>
      </w:r>
    </w:p>
    <w:p w14:paraId="08E0C438" w14:textId="2314236F" w:rsidR="00020155" w:rsidRPr="00914717" w:rsidRDefault="00020155" w:rsidP="00020155">
      <w:pPr>
        <w:pStyle w:val="PlainText"/>
        <w:spacing w:line="276" w:lineRule="auto"/>
        <w:jc w:val="both"/>
        <w:rPr>
          <w:rFonts w:asciiTheme="minorHAnsi" w:hAnsiTheme="minorHAnsi"/>
          <w:sz w:val="24"/>
          <w:szCs w:val="24"/>
          <w:lang w:val="el-GR"/>
        </w:rPr>
      </w:pPr>
      <w:r>
        <w:rPr>
          <w:rFonts w:asciiTheme="minorHAnsi" w:hAnsiTheme="minorHAnsi"/>
          <w:sz w:val="24"/>
          <w:szCs w:val="24"/>
          <w:lang w:val="el-GR"/>
        </w:rPr>
        <w:t>«</w:t>
      </w:r>
      <w:r w:rsidRPr="00914717">
        <w:rPr>
          <w:rFonts w:asciiTheme="minorHAnsi" w:hAnsiTheme="minorHAnsi"/>
          <w:sz w:val="24"/>
          <w:szCs w:val="24"/>
          <w:lang w:val="el-GR"/>
        </w:rPr>
        <w:t xml:space="preserve">Διανύουμε τον πέμπτο συνεχόμενο μήνα της πρωτόγνωρης ενεργειακής κρίσης που πλήττει με μεγάλη σφοδρότητα την Ευρώπη. Οι τιμές της ηλεκτρικής ενέργειας και του φυσικού αερίου παραμένουν σε υψηλά επίπεδα και ασκούν πληθωριστικές πιέσεις που απειλούν και την ευρωπαϊκή οικονομία, αλλά και τα νοικοκυριά που καλούνται να θερμάνουν τα σπίτια τους στη μέση του χειμώνα. </w:t>
      </w:r>
    </w:p>
    <w:p w14:paraId="4C19248B" w14:textId="77777777" w:rsidR="00020155" w:rsidRDefault="00020155" w:rsidP="00020155">
      <w:pPr>
        <w:pStyle w:val="PlainText"/>
        <w:spacing w:line="276" w:lineRule="auto"/>
        <w:jc w:val="both"/>
        <w:rPr>
          <w:rFonts w:asciiTheme="minorHAnsi" w:hAnsiTheme="minorHAnsi"/>
          <w:sz w:val="24"/>
          <w:szCs w:val="24"/>
          <w:lang w:val="el-GR"/>
        </w:rPr>
      </w:pPr>
    </w:p>
    <w:p w14:paraId="38D5044E" w14:textId="713698F0" w:rsidR="00020155" w:rsidRPr="00914717" w:rsidRDefault="00020155" w:rsidP="00020155">
      <w:pPr>
        <w:pStyle w:val="PlainText"/>
        <w:spacing w:line="276" w:lineRule="auto"/>
        <w:jc w:val="both"/>
        <w:rPr>
          <w:rFonts w:asciiTheme="minorHAnsi" w:hAnsiTheme="minorHAnsi"/>
          <w:sz w:val="24"/>
          <w:szCs w:val="24"/>
          <w:lang w:val="el-GR"/>
        </w:rPr>
      </w:pPr>
      <w:r w:rsidRPr="00914717">
        <w:rPr>
          <w:rFonts w:asciiTheme="minorHAnsi" w:hAnsiTheme="minorHAnsi"/>
          <w:sz w:val="24"/>
          <w:szCs w:val="24"/>
          <w:lang w:val="el-GR"/>
        </w:rPr>
        <w:t>Η χονδρική τιμή στο ρεύμα τον περασμένο Νοέμβριο ανήλθε στα 229 €/</w:t>
      </w:r>
      <w:proofErr w:type="spellStart"/>
      <w:r w:rsidRPr="00914717">
        <w:rPr>
          <w:rFonts w:asciiTheme="minorHAnsi" w:hAnsiTheme="minorHAnsi"/>
          <w:sz w:val="24"/>
          <w:szCs w:val="24"/>
        </w:rPr>
        <w:t>Mwh</w:t>
      </w:r>
      <w:proofErr w:type="spellEnd"/>
      <w:r w:rsidR="00FE2285">
        <w:rPr>
          <w:rFonts w:asciiTheme="minorHAnsi" w:hAnsiTheme="minorHAnsi"/>
          <w:sz w:val="24"/>
          <w:szCs w:val="24"/>
          <w:lang w:val="el-GR"/>
        </w:rPr>
        <w:t xml:space="preserve">, τον Δεκέμβριο στα 235 </w:t>
      </w:r>
      <w:r w:rsidRPr="00914717">
        <w:rPr>
          <w:rFonts w:asciiTheme="minorHAnsi" w:hAnsiTheme="minorHAnsi"/>
          <w:sz w:val="24"/>
          <w:szCs w:val="24"/>
          <w:lang w:val="el-GR"/>
        </w:rPr>
        <w:t>€/</w:t>
      </w:r>
      <w:proofErr w:type="spellStart"/>
      <w:r w:rsidRPr="00914717">
        <w:rPr>
          <w:rFonts w:asciiTheme="minorHAnsi" w:hAnsiTheme="minorHAnsi"/>
          <w:sz w:val="24"/>
          <w:szCs w:val="24"/>
        </w:rPr>
        <w:t>Mwh</w:t>
      </w:r>
      <w:proofErr w:type="spellEnd"/>
      <w:r w:rsidRPr="00914717">
        <w:rPr>
          <w:rFonts w:asciiTheme="minorHAnsi" w:hAnsiTheme="minorHAnsi"/>
          <w:sz w:val="24"/>
          <w:szCs w:val="24"/>
          <w:lang w:val="el-GR"/>
        </w:rPr>
        <w:t xml:space="preserve"> ενώ τον Ιανουάριο μέχρι σήμερα δείχνει σημάδια αποκλιμάκωσης στα 176 €/</w:t>
      </w:r>
      <w:proofErr w:type="spellStart"/>
      <w:r w:rsidRPr="00914717">
        <w:rPr>
          <w:rFonts w:asciiTheme="minorHAnsi" w:hAnsiTheme="minorHAnsi"/>
          <w:sz w:val="24"/>
          <w:szCs w:val="24"/>
        </w:rPr>
        <w:t>Mwh</w:t>
      </w:r>
      <w:proofErr w:type="spellEnd"/>
      <w:r w:rsidRPr="00914717">
        <w:rPr>
          <w:rFonts w:asciiTheme="minorHAnsi" w:hAnsiTheme="minorHAnsi"/>
          <w:sz w:val="24"/>
          <w:szCs w:val="24"/>
          <w:lang w:val="el-GR"/>
        </w:rPr>
        <w:t>, αλλά παραμένει τρεις φορές υψηλότερη από το αντίστοιχο διάστημα της προηγούμενης χρονιάς.</w:t>
      </w:r>
    </w:p>
    <w:p w14:paraId="5F1302D2" w14:textId="77777777" w:rsidR="00020155" w:rsidRPr="00914717" w:rsidRDefault="00020155" w:rsidP="00020155">
      <w:pPr>
        <w:pStyle w:val="PlainText"/>
        <w:spacing w:line="276" w:lineRule="auto"/>
        <w:jc w:val="both"/>
        <w:rPr>
          <w:rFonts w:asciiTheme="minorHAnsi" w:hAnsiTheme="minorHAnsi"/>
          <w:sz w:val="24"/>
          <w:szCs w:val="24"/>
          <w:lang w:val="el-GR"/>
        </w:rPr>
      </w:pPr>
    </w:p>
    <w:p w14:paraId="77600E00" w14:textId="3FE21789" w:rsidR="00020155" w:rsidRPr="00914717" w:rsidRDefault="00020155" w:rsidP="00020155">
      <w:pPr>
        <w:pStyle w:val="PlainText"/>
        <w:spacing w:line="276" w:lineRule="auto"/>
        <w:jc w:val="both"/>
        <w:rPr>
          <w:rFonts w:asciiTheme="minorHAnsi" w:hAnsiTheme="minorHAnsi"/>
          <w:sz w:val="24"/>
          <w:szCs w:val="24"/>
          <w:lang w:val="el-GR"/>
        </w:rPr>
      </w:pPr>
      <w:r w:rsidRPr="00914717">
        <w:rPr>
          <w:rFonts w:asciiTheme="minorHAnsi" w:hAnsiTheme="minorHAnsi"/>
          <w:sz w:val="24"/>
          <w:szCs w:val="24"/>
          <w:lang w:val="el-GR"/>
        </w:rPr>
        <w:t>Γι</w:t>
      </w:r>
      <w:r>
        <w:rPr>
          <w:rFonts w:asciiTheme="minorHAnsi" w:hAnsiTheme="minorHAnsi"/>
          <w:sz w:val="24"/>
          <w:szCs w:val="24"/>
          <w:lang w:val="el-GR"/>
        </w:rPr>
        <w:t>α</w:t>
      </w:r>
      <w:r w:rsidRPr="00914717">
        <w:rPr>
          <w:rFonts w:asciiTheme="minorHAnsi" w:hAnsiTheme="minorHAnsi"/>
          <w:sz w:val="24"/>
          <w:szCs w:val="24"/>
          <w:lang w:val="el-GR"/>
        </w:rPr>
        <w:t xml:space="preserve"> αυτό και η κυβέρνηση</w:t>
      </w:r>
      <w:r>
        <w:rPr>
          <w:rFonts w:asciiTheme="minorHAnsi" w:hAnsiTheme="minorHAnsi"/>
          <w:sz w:val="24"/>
          <w:szCs w:val="24"/>
          <w:lang w:val="el-GR"/>
        </w:rPr>
        <w:t>,</w:t>
      </w:r>
      <w:r w:rsidRPr="00914717">
        <w:rPr>
          <w:rFonts w:asciiTheme="minorHAnsi" w:hAnsiTheme="minorHAnsi"/>
          <w:sz w:val="24"/>
          <w:szCs w:val="24"/>
          <w:lang w:val="el-GR"/>
        </w:rPr>
        <w:t xml:space="preserve"> υλοποιώντας τη δέσμευση του Πρωθυπουργού Κυριάκου Μητσοτάκη, συνεχίζει για πέμπτο μήνα να στηρίζει την </w:t>
      </w:r>
      <w:r>
        <w:rPr>
          <w:rFonts w:asciiTheme="minorHAnsi" w:hAnsiTheme="minorHAnsi"/>
          <w:sz w:val="24"/>
          <w:szCs w:val="24"/>
          <w:lang w:val="el-GR"/>
        </w:rPr>
        <w:t>ε</w:t>
      </w:r>
      <w:r w:rsidRPr="00914717">
        <w:rPr>
          <w:rFonts w:asciiTheme="minorHAnsi" w:hAnsiTheme="minorHAnsi"/>
          <w:sz w:val="24"/>
          <w:szCs w:val="24"/>
          <w:lang w:val="el-GR"/>
        </w:rPr>
        <w:t>λληνική οικογένεια απέναντι σε αυτή την πρωτοφανή ενεργειακή κρίση. Να σημειωθεί ότι από τον περασμένο Σεπτέμβρη έχουμε διαθέσει περισσότερα από 1,3 δι</w:t>
      </w:r>
      <w:r>
        <w:rPr>
          <w:rFonts w:asciiTheme="minorHAnsi" w:hAnsiTheme="minorHAnsi"/>
          <w:sz w:val="24"/>
          <w:szCs w:val="24"/>
          <w:lang w:val="el-GR"/>
        </w:rPr>
        <w:t>σ.</w:t>
      </w:r>
      <w:r w:rsidRPr="00914717">
        <w:rPr>
          <w:rFonts w:asciiTheme="minorHAnsi" w:hAnsiTheme="minorHAnsi"/>
          <w:sz w:val="24"/>
          <w:szCs w:val="24"/>
          <w:lang w:val="el-GR"/>
        </w:rPr>
        <w:t xml:space="preserve"> ευρώ συνολικά για τον σκοπό αυτό. </w:t>
      </w:r>
      <w:r>
        <w:rPr>
          <w:rFonts w:asciiTheme="minorHAnsi" w:hAnsiTheme="minorHAnsi"/>
          <w:sz w:val="24"/>
          <w:szCs w:val="24"/>
          <w:lang w:val="el-GR"/>
        </w:rPr>
        <w:t>Σ</w:t>
      </w:r>
      <w:r w:rsidRPr="00914717">
        <w:rPr>
          <w:rFonts w:asciiTheme="minorHAnsi" w:hAnsiTheme="minorHAnsi"/>
          <w:sz w:val="24"/>
          <w:szCs w:val="24"/>
          <w:lang w:val="el-GR"/>
        </w:rPr>
        <w:t xml:space="preserve">υνεχίζουμε και τον Ιανουάριο με τα μέτρα στήριξης να επεκτείνονται και στους επαγγελματίες και τις επιχειρήσεις, που επίσης βάλλονται βάναυσα από τις εκρηκτικές αυξήσεις στην ενέργεια. Η στήριξη των επαγγελματιών και του συνόλου της παραγωγικής βάσης της χώρας, διασφαλίζει τις θέσεις εργασίας και  αποτρέπει την </w:t>
      </w:r>
      <w:proofErr w:type="spellStart"/>
      <w:r w:rsidRPr="00914717">
        <w:rPr>
          <w:rFonts w:asciiTheme="minorHAnsi" w:hAnsiTheme="minorHAnsi"/>
          <w:sz w:val="24"/>
          <w:szCs w:val="24"/>
          <w:lang w:val="el-GR"/>
        </w:rPr>
        <w:t>μετακύληση</w:t>
      </w:r>
      <w:proofErr w:type="spellEnd"/>
      <w:r w:rsidRPr="00914717">
        <w:rPr>
          <w:rFonts w:asciiTheme="minorHAnsi" w:hAnsiTheme="minorHAnsi"/>
          <w:sz w:val="24"/>
          <w:szCs w:val="24"/>
          <w:lang w:val="el-GR"/>
        </w:rPr>
        <w:t xml:space="preserve"> του αυξημένου ενεργειακού κόστους, στην κατανάλωση.</w:t>
      </w:r>
    </w:p>
    <w:p w14:paraId="3B05FC6D" w14:textId="77777777" w:rsidR="00020155" w:rsidRPr="00914717" w:rsidRDefault="00020155" w:rsidP="00020155">
      <w:pPr>
        <w:pStyle w:val="PlainText"/>
        <w:spacing w:line="276" w:lineRule="auto"/>
        <w:jc w:val="both"/>
        <w:rPr>
          <w:rFonts w:asciiTheme="minorHAnsi" w:hAnsiTheme="minorHAnsi"/>
          <w:sz w:val="24"/>
          <w:szCs w:val="24"/>
          <w:lang w:val="el-GR"/>
        </w:rPr>
      </w:pPr>
    </w:p>
    <w:p w14:paraId="6FB1C71F" w14:textId="13874AB5" w:rsidR="00020155" w:rsidRDefault="00020155" w:rsidP="00020155">
      <w:pPr>
        <w:pStyle w:val="PlainText"/>
        <w:spacing w:line="276" w:lineRule="auto"/>
        <w:jc w:val="both"/>
        <w:rPr>
          <w:rFonts w:asciiTheme="minorHAnsi" w:hAnsiTheme="minorHAnsi"/>
          <w:sz w:val="24"/>
          <w:szCs w:val="24"/>
          <w:lang w:val="el-GR"/>
        </w:rPr>
      </w:pPr>
      <w:r w:rsidRPr="00914717">
        <w:rPr>
          <w:rFonts w:asciiTheme="minorHAnsi" w:hAnsiTheme="minorHAnsi"/>
          <w:sz w:val="24"/>
          <w:szCs w:val="24"/>
          <w:lang w:val="el-GR"/>
        </w:rPr>
        <w:t>Το σχήμα της οικονομικής στήριξης σε όλες ανεξαρτήτως τις επιχειρήσεις</w:t>
      </w:r>
      <w:r>
        <w:rPr>
          <w:rFonts w:asciiTheme="minorHAnsi" w:hAnsiTheme="minorHAnsi"/>
          <w:sz w:val="24"/>
          <w:szCs w:val="24"/>
          <w:lang w:val="el-GR"/>
        </w:rPr>
        <w:t>,</w:t>
      </w:r>
      <w:r w:rsidRPr="00914717">
        <w:rPr>
          <w:rFonts w:asciiTheme="minorHAnsi" w:hAnsiTheme="minorHAnsi"/>
          <w:sz w:val="24"/>
          <w:szCs w:val="24"/>
          <w:lang w:val="el-GR"/>
        </w:rPr>
        <w:t xml:space="preserve"> από τις πολύ μικρές και μικρομεσαίες μέχρι τις μεγαλύτερες, έλαβε την έγκριση της Ευρωπαϊκής Επιτροπής Ανταγωνισμού σε χρόνο ρεκόρ και για αυτό θέλω να ευχαριστήσω την Αντιπρόεδρο της Ευρωπαϊκής Επιτροπής</w:t>
      </w:r>
      <w:r>
        <w:rPr>
          <w:rFonts w:asciiTheme="minorHAnsi" w:hAnsiTheme="minorHAnsi"/>
          <w:sz w:val="24"/>
          <w:szCs w:val="24"/>
          <w:lang w:val="el-GR"/>
        </w:rPr>
        <w:t>,</w:t>
      </w:r>
      <w:r w:rsidRPr="00914717">
        <w:rPr>
          <w:rFonts w:asciiTheme="minorHAnsi" w:hAnsiTheme="minorHAnsi"/>
          <w:sz w:val="24"/>
          <w:szCs w:val="24"/>
          <w:lang w:val="el-GR"/>
        </w:rPr>
        <w:t xml:space="preserve"> αρμόδια για τον </w:t>
      </w:r>
      <w:r w:rsidRPr="00914717">
        <w:rPr>
          <w:rFonts w:asciiTheme="minorHAnsi" w:hAnsiTheme="minorHAnsi"/>
          <w:sz w:val="24"/>
          <w:szCs w:val="24"/>
          <w:lang w:val="el-GR"/>
        </w:rPr>
        <w:lastRenderedPageBreak/>
        <w:t xml:space="preserve">ανταγωνισμό κ. </w:t>
      </w:r>
      <w:proofErr w:type="spellStart"/>
      <w:r w:rsidRPr="00914717">
        <w:rPr>
          <w:rFonts w:asciiTheme="minorHAnsi" w:hAnsiTheme="minorHAnsi"/>
          <w:sz w:val="24"/>
          <w:szCs w:val="24"/>
          <w:lang w:val="el-GR"/>
        </w:rPr>
        <w:t>Βεστάγκερ</w:t>
      </w:r>
      <w:proofErr w:type="spellEnd"/>
      <w:r w:rsidRPr="00914717">
        <w:rPr>
          <w:rFonts w:asciiTheme="minorHAnsi" w:hAnsiTheme="minorHAnsi"/>
          <w:sz w:val="24"/>
          <w:szCs w:val="24"/>
          <w:lang w:val="el-GR"/>
        </w:rPr>
        <w:t xml:space="preserve"> καθώς και τα στελέχη της επιτροπής που συνεργάστηκαν μαζί μας.</w:t>
      </w:r>
    </w:p>
    <w:p w14:paraId="4849ABDD" w14:textId="77777777" w:rsidR="00020155" w:rsidRPr="00914717" w:rsidRDefault="00020155" w:rsidP="00020155">
      <w:pPr>
        <w:pStyle w:val="PlainText"/>
        <w:spacing w:line="276" w:lineRule="auto"/>
        <w:jc w:val="both"/>
        <w:rPr>
          <w:rFonts w:asciiTheme="minorHAnsi" w:hAnsiTheme="minorHAnsi"/>
          <w:sz w:val="24"/>
          <w:szCs w:val="24"/>
          <w:lang w:val="el-GR"/>
        </w:rPr>
      </w:pPr>
    </w:p>
    <w:p w14:paraId="1230F530" w14:textId="0823B2DE" w:rsidR="00020155" w:rsidRPr="00914717" w:rsidRDefault="00020155" w:rsidP="00020155">
      <w:pPr>
        <w:pStyle w:val="PlainText"/>
        <w:spacing w:line="276" w:lineRule="auto"/>
        <w:jc w:val="both"/>
        <w:rPr>
          <w:rFonts w:asciiTheme="minorHAnsi" w:hAnsiTheme="minorHAnsi"/>
          <w:b/>
          <w:bCs/>
          <w:sz w:val="24"/>
          <w:szCs w:val="24"/>
          <w:lang w:val="el-GR"/>
        </w:rPr>
      </w:pPr>
      <w:r w:rsidRPr="00914717">
        <w:rPr>
          <w:rFonts w:asciiTheme="minorHAnsi" w:hAnsiTheme="minorHAnsi"/>
          <w:b/>
          <w:bCs/>
          <w:sz w:val="24"/>
          <w:szCs w:val="24"/>
          <w:lang w:val="el-GR"/>
        </w:rPr>
        <w:t>Η Ελλάδα είναι η πρώτη χώρα της Ευρώπης</w:t>
      </w:r>
      <w:r>
        <w:rPr>
          <w:rFonts w:asciiTheme="minorHAnsi" w:hAnsiTheme="minorHAnsi"/>
          <w:b/>
          <w:bCs/>
          <w:sz w:val="24"/>
          <w:szCs w:val="24"/>
          <w:lang w:val="el-GR"/>
        </w:rPr>
        <w:t>,</w:t>
      </w:r>
      <w:r w:rsidRPr="00914717">
        <w:rPr>
          <w:rFonts w:asciiTheme="minorHAnsi" w:hAnsiTheme="minorHAnsi"/>
          <w:b/>
          <w:bCs/>
          <w:sz w:val="24"/>
          <w:szCs w:val="24"/>
          <w:lang w:val="el-GR"/>
        </w:rPr>
        <w:t xml:space="preserve"> μεταξύ των 27 Κρατών Μελών</w:t>
      </w:r>
      <w:r>
        <w:rPr>
          <w:rFonts w:asciiTheme="minorHAnsi" w:hAnsiTheme="minorHAnsi"/>
          <w:b/>
          <w:bCs/>
          <w:sz w:val="24"/>
          <w:szCs w:val="24"/>
          <w:lang w:val="el-GR"/>
        </w:rPr>
        <w:t>,</w:t>
      </w:r>
      <w:r w:rsidRPr="00914717">
        <w:rPr>
          <w:rFonts w:asciiTheme="minorHAnsi" w:hAnsiTheme="minorHAnsi"/>
          <w:b/>
          <w:bCs/>
          <w:sz w:val="24"/>
          <w:szCs w:val="24"/>
          <w:lang w:val="el-GR"/>
        </w:rPr>
        <w:t xml:space="preserve"> που κατέθεσε πρόταση κρατικής ενίσχυσης των επιχειρήσεων το 2022 στην Διεύθυνση Ανταγωνισμού, για την ενεργειακή κρίση και πήρε την έγκριση. </w:t>
      </w:r>
    </w:p>
    <w:p w14:paraId="7B3AEEE7" w14:textId="77777777" w:rsidR="00020155" w:rsidRPr="00914717" w:rsidRDefault="00020155" w:rsidP="00020155">
      <w:pPr>
        <w:pStyle w:val="PlainText"/>
        <w:spacing w:line="276" w:lineRule="auto"/>
        <w:jc w:val="both"/>
        <w:rPr>
          <w:rFonts w:asciiTheme="minorHAnsi" w:hAnsiTheme="minorHAnsi"/>
          <w:sz w:val="24"/>
          <w:szCs w:val="24"/>
          <w:lang w:val="el-GR"/>
        </w:rPr>
      </w:pPr>
    </w:p>
    <w:p w14:paraId="1EEC042A" w14:textId="534B268A" w:rsidR="00020155" w:rsidRPr="0037443B" w:rsidRDefault="0037443B" w:rsidP="00020155">
      <w:pPr>
        <w:pStyle w:val="ListParagraph"/>
        <w:numPr>
          <w:ilvl w:val="0"/>
          <w:numId w:val="12"/>
        </w:numPr>
        <w:spacing w:after="120" w:line="276" w:lineRule="auto"/>
        <w:ind w:left="714" w:hanging="357"/>
        <w:contextualSpacing w:val="0"/>
        <w:jc w:val="both"/>
        <w:rPr>
          <w:rFonts w:asciiTheme="minorHAnsi" w:hAnsiTheme="minorHAnsi"/>
          <w:b/>
          <w:iCs/>
        </w:rPr>
      </w:pPr>
      <w:r>
        <w:rPr>
          <w:rFonts w:asciiTheme="minorHAnsi" w:hAnsiTheme="minorHAnsi"/>
          <w:b/>
          <w:iCs/>
        </w:rPr>
        <w:t>ΗΛΕΚΤΡΙΚΗ ΕΝΕΡΓΕΙΑ</w:t>
      </w:r>
      <w:r w:rsidR="00020155" w:rsidRPr="0037443B">
        <w:rPr>
          <w:rFonts w:asciiTheme="minorHAnsi" w:hAnsiTheme="minorHAnsi"/>
          <w:b/>
          <w:iCs/>
        </w:rPr>
        <w:t xml:space="preserve"> - Επιδότηση σε Οικιακά Τιμολόγια - Νοικοκυριά </w:t>
      </w:r>
    </w:p>
    <w:p w14:paraId="5F6876A1" w14:textId="01BC3C93" w:rsidR="00020155" w:rsidRPr="00914717" w:rsidRDefault="00020155" w:rsidP="00020155">
      <w:pPr>
        <w:spacing w:after="60"/>
        <w:jc w:val="both"/>
        <w:rPr>
          <w:sz w:val="24"/>
          <w:szCs w:val="24"/>
        </w:rPr>
      </w:pPr>
      <w:r w:rsidRPr="00914717">
        <w:rPr>
          <w:sz w:val="24"/>
          <w:szCs w:val="24"/>
        </w:rPr>
        <w:t xml:space="preserve">Θα </w:t>
      </w:r>
      <w:r>
        <w:rPr>
          <w:sz w:val="24"/>
          <w:szCs w:val="24"/>
        </w:rPr>
        <w:t>επιδοτηθούν</w:t>
      </w:r>
      <w:r w:rsidRPr="00914717">
        <w:rPr>
          <w:sz w:val="24"/>
          <w:szCs w:val="24"/>
        </w:rPr>
        <w:t xml:space="preserve"> όλες οι παροχές κύριας κατοικίας, όπως αυτές δηλώνονται στο E1 (~4,2εκ παροχές) ανεξαρτήτως εισοδήματος, εμβαδού κατοικίας ή </w:t>
      </w:r>
      <w:proofErr w:type="spellStart"/>
      <w:r w:rsidRPr="00914717">
        <w:rPr>
          <w:sz w:val="24"/>
          <w:szCs w:val="24"/>
        </w:rPr>
        <w:t>παρόχου</w:t>
      </w:r>
      <w:proofErr w:type="spellEnd"/>
      <w:r w:rsidRPr="00914717">
        <w:rPr>
          <w:sz w:val="24"/>
          <w:szCs w:val="24"/>
        </w:rPr>
        <w:t>.</w:t>
      </w:r>
    </w:p>
    <w:p w14:paraId="459BE13E" w14:textId="77777777" w:rsidR="00020155" w:rsidRPr="00914717" w:rsidRDefault="00020155" w:rsidP="00020155">
      <w:pPr>
        <w:spacing w:after="60"/>
        <w:jc w:val="both"/>
        <w:rPr>
          <w:sz w:val="24"/>
          <w:szCs w:val="24"/>
        </w:rPr>
      </w:pPr>
      <w:r w:rsidRPr="00914717">
        <w:rPr>
          <w:sz w:val="24"/>
          <w:szCs w:val="24"/>
        </w:rPr>
        <w:t xml:space="preserve">Η επιδότηση θα είναι κλιμακωτή ώστε να </w:t>
      </w:r>
      <w:proofErr w:type="spellStart"/>
      <w:r w:rsidRPr="00914717">
        <w:rPr>
          <w:sz w:val="24"/>
          <w:szCs w:val="24"/>
        </w:rPr>
        <w:t>κινητροδοτείται</w:t>
      </w:r>
      <w:proofErr w:type="spellEnd"/>
      <w:r w:rsidRPr="00914717">
        <w:rPr>
          <w:sz w:val="24"/>
          <w:szCs w:val="24"/>
        </w:rPr>
        <w:t xml:space="preserve"> η εξοικονόμηση ενέργειας: </w:t>
      </w:r>
    </w:p>
    <w:p w14:paraId="081CF0CD" w14:textId="77777777" w:rsidR="00020155" w:rsidRPr="00914717" w:rsidRDefault="00020155" w:rsidP="00020155">
      <w:pPr>
        <w:pStyle w:val="ListParagraph"/>
        <w:numPr>
          <w:ilvl w:val="0"/>
          <w:numId w:val="13"/>
        </w:numPr>
        <w:spacing w:after="120" w:line="276" w:lineRule="auto"/>
        <w:jc w:val="both"/>
        <w:rPr>
          <w:rFonts w:asciiTheme="minorHAnsi" w:hAnsiTheme="minorHAnsi"/>
        </w:rPr>
      </w:pPr>
      <w:r w:rsidRPr="00914717">
        <w:rPr>
          <w:rFonts w:asciiTheme="minorHAnsi" w:hAnsiTheme="minorHAnsi"/>
        </w:rPr>
        <w:t xml:space="preserve">για τις πρώτες 150 </w:t>
      </w:r>
      <w:r w:rsidRPr="00914717">
        <w:rPr>
          <w:rFonts w:asciiTheme="minorHAnsi" w:hAnsiTheme="minorHAnsi"/>
          <w:lang w:val="en-US"/>
        </w:rPr>
        <w:t>KWh</w:t>
      </w:r>
      <w:r w:rsidRPr="00914717">
        <w:rPr>
          <w:rFonts w:asciiTheme="minorHAnsi" w:hAnsiTheme="minorHAnsi"/>
        </w:rPr>
        <w:t xml:space="preserve"> κατανάλωσης ανά μήνα επιδοτούμε το 80% της αύξησης με 160 €/</w:t>
      </w:r>
      <w:r w:rsidRPr="00914717">
        <w:rPr>
          <w:rFonts w:asciiTheme="minorHAnsi" w:hAnsiTheme="minorHAnsi"/>
          <w:lang w:val="en-US"/>
        </w:rPr>
        <w:t>MWh</w:t>
      </w:r>
      <w:r w:rsidRPr="00914717">
        <w:rPr>
          <w:rFonts w:asciiTheme="minorHAnsi" w:hAnsiTheme="minorHAnsi"/>
        </w:rPr>
        <w:t xml:space="preserve"> </w:t>
      </w:r>
    </w:p>
    <w:p w14:paraId="594EA3D1" w14:textId="6A3AC63B" w:rsidR="00020155" w:rsidRPr="00914717" w:rsidRDefault="00020155" w:rsidP="00020155">
      <w:pPr>
        <w:pStyle w:val="ListParagraph"/>
        <w:numPr>
          <w:ilvl w:val="0"/>
          <w:numId w:val="13"/>
        </w:numPr>
        <w:spacing w:after="120" w:line="276" w:lineRule="auto"/>
        <w:jc w:val="both"/>
        <w:rPr>
          <w:rFonts w:asciiTheme="minorHAnsi" w:hAnsiTheme="minorHAnsi"/>
        </w:rPr>
      </w:pPr>
      <w:r w:rsidRPr="00914717">
        <w:rPr>
          <w:rFonts w:asciiTheme="minorHAnsi" w:hAnsiTheme="minorHAnsi"/>
        </w:rPr>
        <w:t>για την μηνιαία κατανάλωση από 151-300</w:t>
      </w:r>
      <w:r>
        <w:rPr>
          <w:rFonts w:asciiTheme="minorHAnsi" w:hAnsiTheme="minorHAnsi"/>
          <w:lang w:val="en-US"/>
        </w:rPr>
        <w:t>K</w:t>
      </w:r>
      <w:r w:rsidRPr="00914717">
        <w:rPr>
          <w:rFonts w:asciiTheme="minorHAnsi" w:hAnsiTheme="minorHAnsi"/>
          <w:lang w:val="en-US"/>
        </w:rPr>
        <w:t>Wh</w:t>
      </w:r>
      <w:r w:rsidRPr="00914717">
        <w:rPr>
          <w:rFonts w:asciiTheme="minorHAnsi" w:hAnsiTheme="minorHAnsi"/>
        </w:rPr>
        <w:t xml:space="preserve"> επιδοτούμε το 60% της αύξησης με 120 €/</w:t>
      </w:r>
      <w:r w:rsidRPr="00914717">
        <w:rPr>
          <w:rFonts w:asciiTheme="minorHAnsi" w:hAnsiTheme="minorHAnsi"/>
          <w:lang w:val="en-US"/>
        </w:rPr>
        <w:t>MWh</w:t>
      </w:r>
    </w:p>
    <w:p w14:paraId="38EF5D5F" w14:textId="47EC3671" w:rsidR="00020155" w:rsidRPr="00914717" w:rsidRDefault="00020155" w:rsidP="00020155">
      <w:pPr>
        <w:pStyle w:val="ListParagraph"/>
        <w:numPr>
          <w:ilvl w:val="0"/>
          <w:numId w:val="13"/>
        </w:numPr>
        <w:spacing w:after="120" w:line="276" w:lineRule="auto"/>
        <w:jc w:val="both"/>
        <w:rPr>
          <w:rFonts w:asciiTheme="minorHAnsi" w:hAnsiTheme="minorHAnsi"/>
        </w:rPr>
      </w:pPr>
      <w:r w:rsidRPr="00914717">
        <w:rPr>
          <w:rFonts w:asciiTheme="minorHAnsi" w:hAnsiTheme="minorHAnsi"/>
        </w:rPr>
        <w:t xml:space="preserve">Άρα η μέση μηνιαία ενίσχυση </w:t>
      </w:r>
      <w:r>
        <w:rPr>
          <w:rFonts w:asciiTheme="minorHAnsi" w:hAnsiTheme="minorHAnsi"/>
        </w:rPr>
        <w:t>αντιστοιχεί</w:t>
      </w:r>
      <w:r w:rsidRPr="00914717">
        <w:rPr>
          <w:rFonts w:asciiTheme="minorHAnsi" w:hAnsiTheme="minorHAnsi"/>
        </w:rPr>
        <w:t xml:space="preserve"> σε 42 ευρώ </w:t>
      </w:r>
      <w:r>
        <w:rPr>
          <w:rFonts w:asciiTheme="minorHAnsi" w:hAnsiTheme="minorHAnsi"/>
        </w:rPr>
        <w:t>για τις πρώτες 300</w:t>
      </w:r>
      <w:r>
        <w:rPr>
          <w:rFonts w:asciiTheme="minorHAnsi" w:hAnsiTheme="minorHAnsi"/>
          <w:lang w:val="en-US"/>
        </w:rPr>
        <w:t>KWh</w:t>
      </w:r>
    </w:p>
    <w:p w14:paraId="51DDD430" w14:textId="7C2777EE" w:rsidR="00020155" w:rsidRPr="00914717" w:rsidRDefault="00020155" w:rsidP="00020155">
      <w:pPr>
        <w:spacing w:after="120"/>
        <w:jc w:val="both"/>
        <w:rPr>
          <w:sz w:val="24"/>
          <w:szCs w:val="24"/>
        </w:rPr>
      </w:pPr>
      <w:r w:rsidRPr="00914717">
        <w:rPr>
          <w:sz w:val="24"/>
          <w:szCs w:val="24"/>
        </w:rPr>
        <w:t xml:space="preserve">Στα νοικοκυριά ενταγμένα στο Κοινωνικό Οικιακό Τιμολόγιο (ΚΟΤ) η επιδότηση θα ανέλθει στα 180 €/ </w:t>
      </w:r>
      <w:proofErr w:type="spellStart"/>
      <w:r w:rsidRPr="00914717">
        <w:rPr>
          <w:sz w:val="24"/>
          <w:szCs w:val="24"/>
        </w:rPr>
        <w:t>MWh</w:t>
      </w:r>
      <w:proofErr w:type="spellEnd"/>
      <w:r w:rsidRPr="00020155">
        <w:rPr>
          <w:sz w:val="24"/>
          <w:szCs w:val="24"/>
        </w:rPr>
        <w:t>,</w:t>
      </w:r>
      <w:r w:rsidRPr="00914717">
        <w:rPr>
          <w:sz w:val="24"/>
          <w:szCs w:val="24"/>
        </w:rPr>
        <w:t xml:space="preserve"> δηλαδή </w:t>
      </w:r>
      <w:proofErr w:type="spellStart"/>
      <w:r w:rsidRPr="00914717">
        <w:rPr>
          <w:sz w:val="24"/>
          <w:szCs w:val="24"/>
        </w:rPr>
        <w:t>απορροφάται</w:t>
      </w:r>
      <w:proofErr w:type="spellEnd"/>
      <w:r w:rsidRPr="00914717">
        <w:rPr>
          <w:sz w:val="24"/>
          <w:szCs w:val="24"/>
        </w:rPr>
        <w:t xml:space="preserve"> το 90% της αύξησης. </w:t>
      </w:r>
    </w:p>
    <w:p w14:paraId="462204A3" w14:textId="44EAC1EF" w:rsidR="00020155" w:rsidRPr="00914717" w:rsidRDefault="00020155" w:rsidP="00020155">
      <w:pPr>
        <w:pStyle w:val="ListParagraph"/>
        <w:numPr>
          <w:ilvl w:val="0"/>
          <w:numId w:val="14"/>
        </w:numPr>
        <w:spacing w:after="120" w:line="276" w:lineRule="auto"/>
        <w:jc w:val="both"/>
        <w:rPr>
          <w:rFonts w:asciiTheme="minorHAnsi" w:hAnsiTheme="minorHAnsi"/>
        </w:rPr>
      </w:pPr>
      <w:r>
        <w:rPr>
          <w:rFonts w:asciiTheme="minorHAnsi" w:hAnsiTheme="minorHAnsi"/>
          <w:lang w:val="en-US"/>
        </w:rPr>
        <w:t>H</w:t>
      </w:r>
      <w:r w:rsidRPr="00914717">
        <w:rPr>
          <w:rFonts w:asciiTheme="minorHAnsi" w:hAnsiTheme="minorHAnsi"/>
        </w:rPr>
        <w:t xml:space="preserve"> μέση μηνιαία ενίσχυση για το ΚΟΤ </w:t>
      </w:r>
      <w:r>
        <w:rPr>
          <w:rFonts w:asciiTheme="minorHAnsi" w:hAnsiTheme="minorHAnsi"/>
        </w:rPr>
        <w:t>αντιστοιχεί σε</w:t>
      </w:r>
      <w:r w:rsidRPr="00914717">
        <w:rPr>
          <w:rFonts w:asciiTheme="minorHAnsi" w:hAnsiTheme="minorHAnsi"/>
        </w:rPr>
        <w:t xml:space="preserve"> 54 ευρώ</w:t>
      </w:r>
      <w:r>
        <w:rPr>
          <w:rFonts w:asciiTheme="minorHAnsi" w:hAnsiTheme="minorHAnsi"/>
        </w:rPr>
        <w:t xml:space="preserve"> για τις πρώτες 300</w:t>
      </w:r>
      <w:r>
        <w:rPr>
          <w:rFonts w:asciiTheme="minorHAnsi" w:hAnsiTheme="minorHAnsi"/>
          <w:lang w:val="en-US"/>
        </w:rPr>
        <w:t>KWh</w:t>
      </w:r>
      <w:r w:rsidRPr="00914717">
        <w:rPr>
          <w:rFonts w:asciiTheme="minorHAnsi" w:hAnsiTheme="minorHAnsi"/>
        </w:rPr>
        <w:t xml:space="preserve">. </w:t>
      </w:r>
    </w:p>
    <w:p w14:paraId="2218BAD5" w14:textId="5F7FD78F" w:rsidR="00020155" w:rsidRPr="00020155" w:rsidRDefault="00020155" w:rsidP="00020155">
      <w:pPr>
        <w:spacing w:after="120"/>
        <w:jc w:val="both"/>
        <w:rPr>
          <w:sz w:val="24"/>
          <w:szCs w:val="24"/>
        </w:rPr>
      </w:pPr>
      <w:r w:rsidRPr="00914717">
        <w:rPr>
          <w:sz w:val="24"/>
          <w:szCs w:val="24"/>
        </w:rPr>
        <w:t xml:space="preserve">Η συνολική αξία της επιδότησης για τα νοικοκυριά τον Ιανουάριο ανέρχεται στα </w:t>
      </w:r>
      <w:r w:rsidRPr="00020155">
        <w:rPr>
          <w:sz w:val="24"/>
          <w:szCs w:val="24"/>
        </w:rPr>
        <w:t>157 εκατ. ευρώ.</w:t>
      </w:r>
    </w:p>
    <w:tbl>
      <w:tblPr>
        <w:tblStyle w:val="TableGrid"/>
        <w:tblW w:w="9065" w:type="dxa"/>
        <w:tblInd w:w="108" w:type="dxa"/>
        <w:tblLayout w:type="fixed"/>
        <w:tblLook w:val="04A0" w:firstRow="1" w:lastRow="0" w:firstColumn="1" w:lastColumn="0" w:noHBand="0" w:noVBand="1"/>
      </w:tblPr>
      <w:tblGrid>
        <w:gridCol w:w="1174"/>
        <w:gridCol w:w="1137"/>
        <w:gridCol w:w="1672"/>
        <w:gridCol w:w="1400"/>
        <w:gridCol w:w="3682"/>
      </w:tblGrid>
      <w:tr w:rsidR="00020155" w:rsidRPr="00914717" w14:paraId="2B81D0F0" w14:textId="77777777" w:rsidTr="00020155">
        <w:trPr>
          <w:trHeight w:val="1811"/>
        </w:trPr>
        <w:tc>
          <w:tcPr>
            <w:tcW w:w="1174" w:type="dxa"/>
          </w:tcPr>
          <w:p w14:paraId="29C43A26" w14:textId="77777777" w:rsidR="00020155" w:rsidRPr="00914717" w:rsidRDefault="00020155" w:rsidP="009D2C49">
            <w:pPr>
              <w:spacing w:after="60" w:line="360" w:lineRule="auto"/>
              <w:rPr>
                <w:b/>
                <w:sz w:val="24"/>
                <w:szCs w:val="24"/>
              </w:rPr>
            </w:pPr>
            <w:r w:rsidRPr="00914717">
              <w:rPr>
                <w:b/>
                <w:sz w:val="24"/>
                <w:szCs w:val="24"/>
              </w:rPr>
              <w:t xml:space="preserve">Κλίμακα </w:t>
            </w:r>
            <w:r w:rsidRPr="00914717">
              <w:rPr>
                <w:b/>
                <w:sz w:val="24"/>
                <w:szCs w:val="24"/>
                <w:lang w:val="en-US"/>
              </w:rPr>
              <w:t>kWh/</w:t>
            </w:r>
            <w:r w:rsidRPr="00914717">
              <w:rPr>
                <w:b/>
                <w:sz w:val="24"/>
                <w:szCs w:val="24"/>
              </w:rPr>
              <w:t>μήνα</w:t>
            </w:r>
          </w:p>
        </w:tc>
        <w:tc>
          <w:tcPr>
            <w:tcW w:w="1137" w:type="dxa"/>
          </w:tcPr>
          <w:p w14:paraId="67F78331" w14:textId="77777777" w:rsidR="00020155" w:rsidRPr="00914717" w:rsidRDefault="00020155" w:rsidP="009D2C49">
            <w:pPr>
              <w:spacing w:after="60" w:line="360" w:lineRule="auto"/>
              <w:rPr>
                <w:b/>
                <w:sz w:val="24"/>
                <w:szCs w:val="24"/>
              </w:rPr>
            </w:pPr>
            <w:r w:rsidRPr="00914717">
              <w:rPr>
                <w:b/>
                <w:sz w:val="24"/>
                <w:szCs w:val="24"/>
              </w:rPr>
              <w:t>% κάλυψης αύξησης</w:t>
            </w:r>
          </w:p>
        </w:tc>
        <w:tc>
          <w:tcPr>
            <w:tcW w:w="1672" w:type="dxa"/>
          </w:tcPr>
          <w:p w14:paraId="1D70E245" w14:textId="77777777" w:rsidR="00020155" w:rsidRPr="00914717" w:rsidRDefault="00020155" w:rsidP="009D2C49">
            <w:pPr>
              <w:spacing w:after="60" w:line="360" w:lineRule="auto"/>
              <w:rPr>
                <w:b/>
                <w:sz w:val="24"/>
                <w:szCs w:val="24"/>
              </w:rPr>
            </w:pPr>
            <w:r w:rsidRPr="00914717">
              <w:rPr>
                <w:b/>
                <w:sz w:val="24"/>
                <w:szCs w:val="24"/>
              </w:rPr>
              <w:t>Επιδότηση</w:t>
            </w:r>
          </w:p>
        </w:tc>
        <w:tc>
          <w:tcPr>
            <w:tcW w:w="1400" w:type="dxa"/>
          </w:tcPr>
          <w:p w14:paraId="0EA52106" w14:textId="77777777" w:rsidR="00020155" w:rsidRPr="00914717" w:rsidRDefault="00020155" w:rsidP="009D2C49">
            <w:pPr>
              <w:spacing w:after="60" w:line="360" w:lineRule="auto"/>
              <w:rPr>
                <w:b/>
                <w:sz w:val="24"/>
                <w:szCs w:val="24"/>
              </w:rPr>
            </w:pPr>
            <w:r w:rsidRPr="00914717">
              <w:rPr>
                <w:b/>
                <w:sz w:val="24"/>
                <w:szCs w:val="24"/>
              </w:rPr>
              <w:t>Κόστος Μέτρου</w:t>
            </w:r>
          </w:p>
          <w:p w14:paraId="6FF0A03E" w14:textId="77777777" w:rsidR="00020155" w:rsidRPr="00914717" w:rsidRDefault="00020155" w:rsidP="009D2C49">
            <w:pPr>
              <w:spacing w:after="60" w:line="360" w:lineRule="auto"/>
              <w:rPr>
                <w:b/>
                <w:sz w:val="24"/>
                <w:szCs w:val="24"/>
              </w:rPr>
            </w:pPr>
            <w:r w:rsidRPr="00914717">
              <w:rPr>
                <w:b/>
                <w:sz w:val="24"/>
                <w:szCs w:val="24"/>
              </w:rPr>
              <w:t>(Ιανουάριος)</w:t>
            </w:r>
          </w:p>
        </w:tc>
        <w:tc>
          <w:tcPr>
            <w:tcW w:w="3682" w:type="dxa"/>
            <w:vMerge w:val="restart"/>
          </w:tcPr>
          <w:p w14:paraId="7D406C25" w14:textId="77777777" w:rsidR="00020155" w:rsidRPr="00914717" w:rsidRDefault="00020155" w:rsidP="009D2C49">
            <w:pPr>
              <w:spacing w:after="60" w:line="360" w:lineRule="auto"/>
              <w:rPr>
                <w:b/>
                <w:sz w:val="24"/>
                <w:szCs w:val="24"/>
              </w:rPr>
            </w:pPr>
          </w:p>
        </w:tc>
      </w:tr>
      <w:tr w:rsidR="00020155" w:rsidRPr="00914717" w14:paraId="78E1ED6A" w14:textId="77777777" w:rsidTr="00020155">
        <w:trPr>
          <w:trHeight w:val="477"/>
        </w:trPr>
        <w:tc>
          <w:tcPr>
            <w:tcW w:w="1174" w:type="dxa"/>
          </w:tcPr>
          <w:p w14:paraId="2E3946A7" w14:textId="77777777" w:rsidR="00020155" w:rsidRPr="00914717" w:rsidRDefault="00020155" w:rsidP="009D2C49">
            <w:pPr>
              <w:spacing w:after="60" w:line="360" w:lineRule="auto"/>
              <w:rPr>
                <w:sz w:val="24"/>
                <w:szCs w:val="24"/>
              </w:rPr>
            </w:pPr>
            <w:r w:rsidRPr="00914717">
              <w:rPr>
                <w:sz w:val="24"/>
                <w:szCs w:val="24"/>
              </w:rPr>
              <w:t>0-150</w:t>
            </w:r>
          </w:p>
        </w:tc>
        <w:tc>
          <w:tcPr>
            <w:tcW w:w="1137" w:type="dxa"/>
          </w:tcPr>
          <w:p w14:paraId="665848BC" w14:textId="77777777" w:rsidR="00020155" w:rsidRPr="00914717" w:rsidRDefault="00020155" w:rsidP="009D2C49">
            <w:pPr>
              <w:spacing w:after="60" w:line="360" w:lineRule="auto"/>
              <w:rPr>
                <w:sz w:val="24"/>
                <w:szCs w:val="24"/>
              </w:rPr>
            </w:pPr>
            <w:r w:rsidRPr="00914717">
              <w:rPr>
                <w:sz w:val="24"/>
                <w:szCs w:val="24"/>
              </w:rPr>
              <w:t>80%</w:t>
            </w:r>
          </w:p>
        </w:tc>
        <w:tc>
          <w:tcPr>
            <w:tcW w:w="1672" w:type="dxa"/>
          </w:tcPr>
          <w:p w14:paraId="63EB4CDB" w14:textId="77777777" w:rsidR="00020155" w:rsidRPr="00914717" w:rsidRDefault="00020155" w:rsidP="009D2C49">
            <w:pPr>
              <w:spacing w:after="60" w:line="360" w:lineRule="auto"/>
              <w:rPr>
                <w:sz w:val="24"/>
                <w:szCs w:val="24"/>
                <w:lang w:val="en-US"/>
              </w:rPr>
            </w:pPr>
            <w:r w:rsidRPr="00914717">
              <w:rPr>
                <w:sz w:val="24"/>
                <w:szCs w:val="24"/>
              </w:rPr>
              <w:t>160 €/</w:t>
            </w:r>
            <w:r w:rsidRPr="00914717">
              <w:rPr>
                <w:sz w:val="24"/>
                <w:szCs w:val="24"/>
                <w:lang w:val="en-US"/>
              </w:rPr>
              <w:t>MWh</w:t>
            </w:r>
          </w:p>
        </w:tc>
        <w:tc>
          <w:tcPr>
            <w:tcW w:w="1400" w:type="dxa"/>
            <w:vMerge w:val="restart"/>
          </w:tcPr>
          <w:p w14:paraId="54F0515D" w14:textId="77777777" w:rsidR="00020155" w:rsidRPr="00914717" w:rsidRDefault="00020155" w:rsidP="009D2C49">
            <w:pPr>
              <w:spacing w:after="60" w:line="360" w:lineRule="auto"/>
              <w:jc w:val="center"/>
              <w:rPr>
                <w:b/>
                <w:bCs/>
                <w:color w:val="FF0000"/>
                <w:sz w:val="24"/>
                <w:szCs w:val="24"/>
              </w:rPr>
            </w:pPr>
            <w:r w:rsidRPr="00914717">
              <w:rPr>
                <w:b/>
                <w:bCs/>
                <w:sz w:val="24"/>
                <w:szCs w:val="24"/>
              </w:rPr>
              <w:t>157εκ€</w:t>
            </w:r>
          </w:p>
        </w:tc>
        <w:tc>
          <w:tcPr>
            <w:tcW w:w="3682" w:type="dxa"/>
            <w:vMerge/>
          </w:tcPr>
          <w:p w14:paraId="226E3487" w14:textId="77777777" w:rsidR="00020155" w:rsidRPr="00914717" w:rsidRDefault="00020155" w:rsidP="009D2C49">
            <w:pPr>
              <w:spacing w:after="60" w:line="360" w:lineRule="auto"/>
              <w:jc w:val="center"/>
              <w:rPr>
                <w:color w:val="FF0000"/>
                <w:sz w:val="24"/>
                <w:szCs w:val="24"/>
              </w:rPr>
            </w:pPr>
          </w:p>
        </w:tc>
      </w:tr>
      <w:tr w:rsidR="00020155" w:rsidRPr="00914717" w14:paraId="70C2D5FF" w14:textId="77777777" w:rsidTr="00020155">
        <w:trPr>
          <w:trHeight w:val="477"/>
        </w:trPr>
        <w:tc>
          <w:tcPr>
            <w:tcW w:w="1174" w:type="dxa"/>
          </w:tcPr>
          <w:p w14:paraId="0E5DFB90" w14:textId="77777777" w:rsidR="00020155" w:rsidRPr="00914717" w:rsidRDefault="00020155" w:rsidP="009D2C49">
            <w:pPr>
              <w:spacing w:after="60" w:line="360" w:lineRule="auto"/>
              <w:rPr>
                <w:sz w:val="24"/>
                <w:szCs w:val="24"/>
              </w:rPr>
            </w:pPr>
            <w:r w:rsidRPr="00914717">
              <w:rPr>
                <w:sz w:val="24"/>
                <w:szCs w:val="24"/>
              </w:rPr>
              <w:t>151-300</w:t>
            </w:r>
          </w:p>
        </w:tc>
        <w:tc>
          <w:tcPr>
            <w:tcW w:w="1137" w:type="dxa"/>
          </w:tcPr>
          <w:p w14:paraId="4688871F" w14:textId="77777777" w:rsidR="00020155" w:rsidRPr="00914717" w:rsidRDefault="00020155" w:rsidP="009D2C49">
            <w:pPr>
              <w:spacing w:after="60" w:line="360" w:lineRule="auto"/>
              <w:rPr>
                <w:sz w:val="24"/>
                <w:szCs w:val="24"/>
              </w:rPr>
            </w:pPr>
            <w:r w:rsidRPr="00914717">
              <w:rPr>
                <w:sz w:val="24"/>
                <w:szCs w:val="24"/>
              </w:rPr>
              <w:t>60%</w:t>
            </w:r>
          </w:p>
        </w:tc>
        <w:tc>
          <w:tcPr>
            <w:tcW w:w="1672" w:type="dxa"/>
          </w:tcPr>
          <w:p w14:paraId="7EB498DC" w14:textId="77777777" w:rsidR="00020155" w:rsidRPr="00914717" w:rsidRDefault="00020155" w:rsidP="009D2C49">
            <w:pPr>
              <w:spacing w:after="60" w:line="360" w:lineRule="auto"/>
              <w:rPr>
                <w:sz w:val="24"/>
                <w:szCs w:val="24"/>
                <w:lang w:val="en-US"/>
              </w:rPr>
            </w:pPr>
            <w:r w:rsidRPr="00914717">
              <w:rPr>
                <w:sz w:val="24"/>
                <w:szCs w:val="24"/>
                <w:lang w:val="en-US"/>
              </w:rPr>
              <w:t>1</w:t>
            </w:r>
            <w:r w:rsidRPr="00914717">
              <w:rPr>
                <w:sz w:val="24"/>
                <w:szCs w:val="24"/>
              </w:rPr>
              <w:t>2</w:t>
            </w:r>
            <w:r w:rsidRPr="00914717">
              <w:rPr>
                <w:sz w:val="24"/>
                <w:szCs w:val="24"/>
                <w:lang w:val="en-US"/>
              </w:rPr>
              <w:t>0</w:t>
            </w:r>
            <w:r w:rsidRPr="00914717">
              <w:rPr>
                <w:sz w:val="24"/>
                <w:szCs w:val="24"/>
              </w:rPr>
              <w:t xml:space="preserve"> €/</w:t>
            </w:r>
            <w:r w:rsidRPr="00914717">
              <w:rPr>
                <w:sz w:val="24"/>
                <w:szCs w:val="24"/>
                <w:lang w:val="en-US"/>
              </w:rPr>
              <w:t>MWh</w:t>
            </w:r>
          </w:p>
        </w:tc>
        <w:tc>
          <w:tcPr>
            <w:tcW w:w="1400" w:type="dxa"/>
            <w:vMerge/>
          </w:tcPr>
          <w:p w14:paraId="71591FA3" w14:textId="77777777" w:rsidR="00020155" w:rsidRPr="00914717" w:rsidRDefault="00020155" w:rsidP="009D2C49">
            <w:pPr>
              <w:spacing w:after="60" w:line="360" w:lineRule="auto"/>
              <w:rPr>
                <w:sz w:val="24"/>
                <w:szCs w:val="24"/>
              </w:rPr>
            </w:pPr>
          </w:p>
        </w:tc>
        <w:tc>
          <w:tcPr>
            <w:tcW w:w="3682" w:type="dxa"/>
            <w:vMerge/>
          </w:tcPr>
          <w:p w14:paraId="031FA9D4" w14:textId="77777777" w:rsidR="00020155" w:rsidRPr="00914717" w:rsidRDefault="00020155" w:rsidP="009D2C49">
            <w:pPr>
              <w:spacing w:after="60" w:line="360" w:lineRule="auto"/>
              <w:rPr>
                <w:sz w:val="24"/>
                <w:szCs w:val="24"/>
              </w:rPr>
            </w:pPr>
          </w:p>
        </w:tc>
      </w:tr>
      <w:tr w:rsidR="00020155" w:rsidRPr="00914717" w14:paraId="65FB6808" w14:textId="77777777" w:rsidTr="00020155">
        <w:trPr>
          <w:trHeight w:val="898"/>
        </w:trPr>
        <w:tc>
          <w:tcPr>
            <w:tcW w:w="1174" w:type="dxa"/>
          </w:tcPr>
          <w:p w14:paraId="7D988960" w14:textId="77777777" w:rsidR="00020155" w:rsidRPr="00914717" w:rsidRDefault="00020155" w:rsidP="009D2C49">
            <w:pPr>
              <w:spacing w:after="60" w:line="360" w:lineRule="auto"/>
              <w:rPr>
                <w:sz w:val="24"/>
                <w:szCs w:val="24"/>
              </w:rPr>
            </w:pPr>
            <w:r w:rsidRPr="00914717">
              <w:rPr>
                <w:sz w:val="24"/>
                <w:szCs w:val="24"/>
              </w:rPr>
              <w:t>ΚΟΤ 0-300</w:t>
            </w:r>
          </w:p>
        </w:tc>
        <w:tc>
          <w:tcPr>
            <w:tcW w:w="1137" w:type="dxa"/>
          </w:tcPr>
          <w:p w14:paraId="5FDB34D0" w14:textId="77777777" w:rsidR="00020155" w:rsidRPr="00914717" w:rsidRDefault="00020155" w:rsidP="009D2C49">
            <w:pPr>
              <w:spacing w:after="60" w:line="360" w:lineRule="auto"/>
              <w:rPr>
                <w:sz w:val="24"/>
                <w:szCs w:val="24"/>
              </w:rPr>
            </w:pPr>
            <w:r w:rsidRPr="00914717">
              <w:rPr>
                <w:sz w:val="24"/>
                <w:szCs w:val="24"/>
              </w:rPr>
              <w:t>90%</w:t>
            </w:r>
          </w:p>
        </w:tc>
        <w:tc>
          <w:tcPr>
            <w:tcW w:w="1672" w:type="dxa"/>
          </w:tcPr>
          <w:p w14:paraId="77860306" w14:textId="77777777" w:rsidR="00020155" w:rsidRPr="00914717" w:rsidRDefault="00020155" w:rsidP="009D2C49">
            <w:pPr>
              <w:spacing w:after="60" w:line="360" w:lineRule="auto"/>
              <w:rPr>
                <w:sz w:val="24"/>
                <w:szCs w:val="24"/>
                <w:lang w:val="en-US"/>
              </w:rPr>
            </w:pPr>
            <w:r w:rsidRPr="00914717">
              <w:rPr>
                <w:sz w:val="24"/>
                <w:szCs w:val="24"/>
              </w:rPr>
              <w:t>180 €/</w:t>
            </w:r>
            <w:r w:rsidRPr="00914717">
              <w:rPr>
                <w:sz w:val="24"/>
                <w:szCs w:val="24"/>
                <w:lang w:val="en-US"/>
              </w:rPr>
              <w:t>MWh</w:t>
            </w:r>
          </w:p>
        </w:tc>
        <w:tc>
          <w:tcPr>
            <w:tcW w:w="1400" w:type="dxa"/>
            <w:vMerge/>
          </w:tcPr>
          <w:p w14:paraId="6B2EF9DC" w14:textId="77777777" w:rsidR="00020155" w:rsidRPr="00914717" w:rsidRDefault="00020155" w:rsidP="009D2C49">
            <w:pPr>
              <w:spacing w:after="60" w:line="360" w:lineRule="auto"/>
              <w:rPr>
                <w:sz w:val="24"/>
                <w:szCs w:val="24"/>
              </w:rPr>
            </w:pPr>
          </w:p>
        </w:tc>
        <w:tc>
          <w:tcPr>
            <w:tcW w:w="3682" w:type="dxa"/>
            <w:vMerge/>
          </w:tcPr>
          <w:p w14:paraId="0434505B" w14:textId="77777777" w:rsidR="00020155" w:rsidRPr="00914717" w:rsidRDefault="00020155" w:rsidP="009D2C49">
            <w:pPr>
              <w:spacing w:after="60" w:line="360" w:lineRule="auto"/>
              <w:rPr>
                <w:sz w:val="24"/>
                <w:szCs w:val="24"/>
              </w:rPr>
            </w:pPr>
          </w:p>
        </w:tc>
      </w:tr>
    </w:tbl>
    <w:p w14:paraId="6D128867" w14:textId="77777777" w:rsidR="00020155" w:rsidRPr="00914717" w:rsidRDefault="00020155" w:rsidP="00020155">
      <w:pPr>
        <w:spacing w:after="120" w:line="360" w:lineRule="auto"/>
        <w:jc w:val="both"/>
        <w:rPr>
          <w:sz w:val="24"/>
          <w:szCs w:val="24"/>
        </w:rPr>
      </w:pPr>
    </w:p>
    <w:p w14:paraId="7B07D6CB" w14:textId="77777777" w:rsidR="00020155" w:rsidRPr="0037443B" w:rsidRDefault="00020155" w:rsidP="00AB0B64">
      <w:pPr>
        <w:pStyle w:val="ListParagraph"/>
        <w:numPr>
          <w:ilvl w:val="0"/>
          <w:numId w:val="12"/>
        </w:numPr>
        <w:spacing w:before="180" w:after="120" w:line="276" w:lineRule="auto"/>
        <w:ind w:left="714" w:hanging="357"/>
        <w:contextualSpacing w:val="0"/>
        <w:jc w:val="both"/>
        <w:rPr>
          <w:rFonts w:asciiTheme="minorHAnsi" w:hAnsiTheme="minorHAnsi"/>
          <w:b/>
          <w:iCs/>
        </w:rPr>
      </w:pPr>
      <w:r w:rsidRPr="0037443B">
        <w:rPr>
          <w:rFonts w:asciiTheme="minorHAnsi" w:hAnsiTheme="minorHAnsi"/>
          <w:b/>
          <w:iCs/>
        </w:rPr>
        <w:lastRenderedPageBreak/>
        <w:t xml:space="preserve">ΗΛΕΚΤΡΙΚΗ ΕΝΕΡΓΕΙΑ - Επιδότηση σε ΜΗ Οικιακά (Εμπορικά,) Τιμολόγια </w:t>
      </w:r>
    </w:p>
    <w:p w14:paraId="76C821DA" w14:textId="753F7971" w:rsidR="00020155" w:rsidRPr="00914717" w:rsidRDefault="00020155" w:rsidP="00020155">
      <w:pPr>
        <w:spacing w:after="60"/>
        <w:jc w:val="both"/>
        <w:rPr>
          <w:sz w:val="24"/>
          <w:szCs w:val="24"/>
        </w:rPr>
      </w:pPr>
      <w:r w:rsidRPr="00914717">
        <w:rPr>
          <w:sz w:val="24"/>
          <w:szCs w:val="24"/>
        </w:rPr>
        <w:t xml:space="preserve">Θα επιδοτηθούν οριζόντια </w:t>
      </w:r>
      <w:r w:rsidRPr="00020155">
        <w:rPr>
          <w:sz w:val="24"/>
          <w:szCs w:val="24"/>
        </w:rPr>
        <w:t>όλα τα μη</w:t>
      </w:r>
      <w:r w:rsidRPr="00914717">
        <w:rPr>
          <w:b/>
          <w:bCs/>
          <w:sz w:val="24"/>
          <w:szCs w:val="24"/>
        </w:rPr>
        <w:t xml:space="preserve"> </w:t>
      </w:r>
      <w:r w:rsidRPr="00914717">
        <w:rPr>
          <w:sz w:val="24"/>
          <w:szCs w:val="24"/>
        </w:rPr>
        <w:t xml:space="preserve">οικιακά τιμολόγια (αγροτικά, εμπορικά, βιομηχανικά, επαγγελματικά, λοιπές χρήσεις </w:t>
      </w:r>
      <w:proofErr w:type="spellStart"/>
      <w:r w:rsidRPr="00914717">
        <w:rPr>
          <w:sz w:val="24"/>
          <w:szCs w:val="24"/>
        </w:rPr>
        <w:t>κλπ</w:t>
      </w:r>
      <w:proofErr w:type="spellEnd"/>
      <w:r w:rsidRPr="00914717">
        <w:rPr>
          <w:sz w:val="24"/>
          <w:szCs w:val="24"/>
        </w:rPr>
        <w:t>)</w:t>
      </w:r>
      <w:r w:rsidRPr="00020155">
        <w:rPr>
          <w:sz w:val="24"/>
          <w:szCs w:val="24"/>
        </w:rPr>
        <w:t>,</w:t>
      </w:r>
      <w:r w:rsidRPr="00914717">
        <w:rPr>
          <w:sz w:val="24"/>
          <w:szCs w:val="24"/>
        </w:rPr>
        <w:t xml:space="preserve"> ανεξαρτήτως μεγέθους και επιπέδου τάσης (Χαμηλή, Μέση, Υψηλή Τάση). </w:t>
      </w:r>
    </w:p>
    <w:p w14:paraId="76C7AEFD" w14:textId="77777777" w:rsidR="00020155" w:rsidRPr="00020155" w:rsidRDefault="00020155" w:rsidP="00020155">
      <w:pPr>
        <w:spacing w:after="60"/>
        <w:jc w:val="both"/>
        <w:rPr>
          <w:sz w:val="24"/>
          <w:szCs w:val="24"/>
        </w:rPr>
      </w:pPr>
      <w:r w:rsidRPr="00914717">
        <w:rPr>
          <w:sz w:val="24"/>
          <w:szCs w:val="24"/>
        </w:rPr>
        <w:t xml:space="preserve">Η επιδότηση θα ανέλθει στο 50% του αυξημένου κόστους και αφορά όλη την μηνιαία κατανάλωση. Η </w:t>
      </w:r>
      <w:proofErr w:type="spellStart"/>
      <w:r w:rsidRPr="00914717">
        <w:rPr>
          <w:sz w:val="24"/>
          <w:szCs w:val="24"/>
        </w:rPr>
        <w:t>μοναδιαία</w:t>
      </w:r>
      <w:proofErr w:type="spellEnd"/>
      <w:r w:rsidRPr="00914717">
        <w:rPr>
          <w:sz w:val="24"/>
          <w:szCs w:val="24"/>
        </w:rPr>
        <w:t xml:space="preserve"> τιμή της επιδότησης ορίζεται </w:t>
      </w:r>
      <w:r w:rsidRPr="00020155">
        <w:rPr>
          <w:sz w:val="24"/>
          <w:szCs w:val="24"/>
        </w:rPr>
        <w:t>σε 65€/</w:t>
      </w:r>
      <w:proofErr w:type="spellStart"/>
      <w:r w:rsidRPr="00020155">
        <w:rPr>
          <w:sz w:val="24"/>
          <w:szCs w:val="24"/>
        </w:rPr>
        <w:t>MWh</w:t>
      </w:r>
      <w:proofErr w:type="spellEnd"/>
      <w:r w:rsidRPr="00020155">
        <w:rPr>
          <w:sz w:val="24"/>
          <w:szCs w:val="24"/>
        </w:rPr>
        <w:t>.</w:t>
      </w:r>
    </w:p>
    <w:p w14:paraId="6591176B" w14:textId="57F8A54F" w:rsidR="00020155" w:rsidRPr="00020155" w:rsidRDefault="00020155" w:rsidP="00020155">
      <w:pPr>
        <w:spacing w:after="60"/>
        <w:jc w:val="both"/>
        <w:rPr>
          <w:sz w:val="24"/>
          <w:szCs w:val="24"/>
        </w:rPr>
      </w:pPr>
      <w:r w:rsidRPr="00020155">
        <w:rPr>
          <w:sz w:val="24"/>
          <w:szCs w:val="24"/>
        </w:rPr>
        <w:t>Το σύνολο του μέτρου επιδότησης των επιχειρήσεων για τον Ιανουάριο εκτιμάται σε 133 εκατ. ευρώ.</w:t>
      </w:r>
    </w:p>
    <w:tbl>
      <w:tblPr>
        <w:tblpPr w:leftFromText="180" w:rightFromText="180" w:vertAnchor="text" w:horzAnchor="margin" w:tblpY="201"/>
        <w:tblOverlap w:val="never"/>
        <w:tblW w:w="4819" w:type="pct"/>
        <w:tblCellMar>
          <w:left w:w="0" w:type="dxa"/>
          <w:right w:w="0" w:type="dxa"/>
        </w:tblCellMar>
        <w:tblLook w:val="0420" w:firstRow="1" w:lastRow="0" w:firstColumn="0" w:lastColumn="0" w:noHBand="0" w:noVBand="1"/>
      </w:tblPr>
      <w:tblGrid>
        <w:gridCol w:w="3817"/>
        <w:gridCol w:w="37"/>
        <w:gridCol w:w="4132"/>
      </w:tblGrid>
      <w:tr w:rsidR="00020155" w:rsidRPr="00914717" w14:paraId="74659B3B" w14:textId="77777777" w:rsidTr="00020155">
        <w:trPr>
          <w:trHeight w:val="1534"/>
        </w:trPr>
        <w:tc>
          <w:tcPr>
            <w:tcW w:w="2390"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0" w:type="dxa"/>
              <w:right w:w="15" w:type="dxa"/>
            </w:tcMar>
            <w:vAlign w:val="center"/>
            <w:hideMark/>
          </w:tcPr>
          <w:p w14:paraId="2CFF8E71" w14:textId="77777777" w:rsidR="00020155" w:rsidRPr="00914717" w:rsidRDefault="00020155" w:rsidP="00020155">
            <w:pPr>
              <w:spacing w:after="60" w:line="240" w:lineRule="auto"/>
              <w:ind w:right="2238"/>
              <w:jc w:val="both"/>
              <w:rPr>
                <w:b/>
                <w:bCs/>
                <w:i/>
                <w:iCs/>
                <w:color w:val="FFFFFF" w:themeColor="background1"/>
                <w:sz w:val="24"/>
                <w:szCs w:val="24"/>
              </w:rPr>
            </w:pPr>
            <w:r w:rsidRPr="00914717">
              <w:rPr>
                <w:b/>
                <w:bCs/>
                <w:i/>
                <w:iCs/>
                <w:color w:val="FFFFFF" w:themeColor="background1"/>
                <w:sz w:val="24"/>
                <w:szCs w:val="24"/>
              </w:rPr>
              <w:t>Κατηγορία</w:t>
            </w:r>
          </w:p>
          <w:p w14:paraId="6308433D" w14:textId="77777777" w:rsidR="00020155" w:rsidRPr="00914717" w:rsidRDefault="00020155" w:rsidP="00020155">
            <w:pPr>
              <w:spacing w:after="60" w:line="240" w:lineRule="auto"/>
              <w:ind w:right="2238"/>
              <w:jc w:val="both"/>
              <w:rPr>
                <w:b/>
                <w:bCs/>
                <w:i/>
                <w:iCs/>
                <w:color w:val="FFFFFF" w:themeColor="background1"/>
                <w:sz w:val="24"/>
                <w:szCs w:val="24"/>
              </w:rPr>
            </w:pPr>
            <w:r w:rsidRPr="00914717">
              <w:rPr>
                <w:b/>
                <w:bCs/>
                <w:i/>
                <w:iCs/>
                <w:color w:val="FFFFFF" w:themeColor="background1"/>
                <w:sz w:val="24"/>
                <w:szCs w:val="24"/>
              </w:rPr>
              <w:t>Καταναλωτών</w:t>
            </w:r>
          </w:p>
        </w:tc>
        <w:tc>
          <w:tcPr>
            <w:tcW w:w="23" w:type="pct"/>
            <w:vMerge w:val="restart"/>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0" w:type="dxa"/>
              <w:right w:w="15" w:type="dxa"/>
            </w:tcMar>
            <w:vAlign w:val="center"/>
            <w:hideMark/>
          </w:tcPr>
          <w:p w14:paraId="4F087238" w14:textId="77777777" w:rsidR="00020155" w:rsidRPr="00914717" w:rsidRDefault="00020155" w:rsidP="00020155">
            <w:pPr>
              <w:spacing w:after="60" w:line="240" w:lineRule="auto"/>
              <w:ind w:right="2238"/>
              <w:jc w:val="both"/>
              <w:rPr>
                <w:b/>
                <w:bCs/>
                <w:i/>
                <w:iCs/>
                <w:color w:val="FFFFFF" w:themeColor="background1"/>
                <w:sz w:val="24"/>
                <w:szCs w:val="24"/>
              </w:rPr>
            </w:pPr>
          </w:p>
        </w:tc>
        <w:tc>
          <w:tcPr>
            <w:tcW w:w="2587"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0" w:type="dxa"/>
              <w:right w:w="15" w:type="dxa"/>
            </w:tcMar>
            <w:vAlign w:val="center"/>
            <w:hideMark/>
          </w:tcPr>
          <w:p w14:paraId="1212C03D" w14:textId="77777777" w:rsidR="00020155" w:rsidRPr="00914717" w:rsidRDefault="00020155" w:rsidP="00020155">
            <w:pPr>
              <w:spacing w:after="60" w:line="240" w:lineRule="auto"/>
              <w:ind w:right="2238"/>
              <w:jc w:val="both"/>
              <w:rPr>
                <w:b/>
                <w:bCs/>
                <w:i/>
                <w:iCs/>
                <w:color w:val="FFFFFF" w:themeColor="background1"/>
                <w:sz w:val="24"/>
                <w:szCs w:val="24"/>
              </w:rPr>
            </w:pPr>
            <w:r w:rsidRPr="00914717">
              <w:rPr>
                <w:b/>
                <w:bCs/>
                <w:i/>
                <w:iCs/>
                <w:color w:val="FFFFFF" w:themeColor="background1"/>
                <w:sz w:val="24"/>
                <w:szCs w:val="24"/>
              </w:rPr>
              <w:t xml:space="preserve">Συνολική Επιδότηση </w:t>
            </w:r>
          </w:p>
        </w:tc>
      </w:tr>
      <w:tr w:rsidR="00020155" w:rsidRPr="00914717" w14:paraId="2FDFC523" w14:textId="77777777" w:rsidTr="00020155">
        <w:trPr>
          <w:trHeight w:val="267"/>
        </w:trPr>
        <w:tc>
          <w:tcPr>
            <w:tcW w:w="2390" w:type="pct"/>
            <w:tcBorders>
              <w:top w:val="single" w:sz="24" w:space="0" w:color="FFFFFF"/>
              <w:left w:val="single" w:sz="8" w:space="0" w:color="FFFFFF"/>
              <w:bottom w:val="single" w:sz="8" w:space="0" w:color="FFFFFF"/>
              <w:right w:val="single" w:sz="24" w:space="0" w:color="FFFFFF"/>
            </w:tcBorders>
            <w:shd w:val="clear" w:color="auto" w:fill="CFD5EA"/>
            <w:tcMar>
              <w:top w:w="15" w:type="dxa"/>
              <w:left w:w="15" w:type="dxa"/>
              <w:bottom w:w="0" w:type="dxa"/>
              <w:right w:w="15" w:type="dxa"/>
            </w:tcMar>
            <w:vAlign w:val="bottom"/>
            <w:hideMark/>
          </w:tcPr>
          <w:p w14:paraId="790113AD" w14:textId="77777777" w:rsidR="00020155" w:rsidRPr="00914717" w:rsidRDefault="00020155" w:rsidP="00020155">
            <w:pPr>
              <w:spacing w:after="60" w:line="240" w:lineRule="auto"/>
              <w:ind w:right="2238"/>
              <w:jc w:val="both"/>
              <w:rPr>
                <w:b/>
                <w:bCs/>
                <w:i/>
                <w:iCs/>
                <w:sz w:val="24"/>
                <w:szCs w:val="24"/>
              </w:rPr>
            </w:pPr>
            <w:r w:rsidRPr="00914717">
              <w:rPr>
                <w:b/>
                <w:bCs/>
                <w:i/>
                <w:iCs/>
                <w:sz w:val="24"/>
                <w:szCs w:val="24"/>
              </w:rPr>
              <w:t>Επαγγελματικά ΧΤ</w:t>
            </w:r>
          </w:p>
        </w:tc>
        <w:tc>
          <w:tcPr>
            <w:tcW w:w="23" w:type="pct"/>
            <w:vMerge/>
            <w:tcBorders>
              <w:top w:val="single" w:sz="8" w:space="0" w:color="FFFFFF"/>
              <w:left w:val="single" w:sz="8" w:space="0" w:color="FFFFFF"/>
              <w:bottom w:val="single" w:sz="24" w:space="0" w:color="FFFFFF"/>
              <w:right w:val="single" w:sz="8" w:space="0" w:color="FFFFFF"/>
            </w:tcBorders>
            <w:vAlign w:val="center"/>
            <w:hideMark/>
          </w:tcPr>
          <w:p w14:paraId="395CCDC2" w14:textId="77777777" w:rsidR="00020155" w:rsidRPr="00914717" w:rsidRDefault="00020155" w:rsidP="00020155">
            <w:pPr>
              <w:spacing w:after="60" w:line="240" w:lineRule="auto"/>
              <w:ind w:right="2238"/>
              <w:jc w:val="both"/>
              <w:rPr>
                <w:b/>
                <w:bCs/>
                <w:i/>
                <w:iCs/>
                <w:sz w:val="24"/>
                <w:szCs w:val="24"/>
              </w:rPr>
            </w:pPr>
          </w:p>
        </w:tc>
        <w:tc>
          <w:tcPr>
            <w:tcW w:w="2587" w:type="pct"/>
            <w:tcBorders>
              <w:top w:val="single" w:sz="24" w:space="0" w:color="FFFFFF"/>
              <w:left w:val="single" w:sz="24"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384E5355" w14:textId="77777777" w:rsidR="00020155" w:rsidRPr="00914717" w:rsidRDefault="00020155" w:rsidP="00020155">
            <w:pPr>
              <w:spacing w:after="60" w:line="240" w:lineRule="auto"/>
              <w:ind w:right="2238"/>
              <w:jc w:val="both"/>
              <w:rPr>
                <w:b/>
                <w:bCs/>
                <w:i/>
                <w:iCs/>
                <w:sz w:val="24"/>
                <w:szCs w:val="24"/>
              </w:rPr>
            </w:pPr>
            <w:r w:rsidRPr="00914717">
              <w:rPr>
                <w:b/>
                <w:bCs/>
                <w:i/>
                <w:iCs/>
                <w:sz w:val="24"/>
                <w:szCs w:val="24"/>
              </w:rPr>
              <w:t>74.128.994 €</w:t>
            </w:r>
          </w:p>
        </w:tc>
      </w:tr>
      <w:tr w:rsidR="00020155" w:rsidRPr="00914717" w14:paraId="296D9816" w14:textId="77777777" w:rsidTr="00020155">
        <w:trPr>
          <w:trHeight w:val="267"/>
        </w:trPr>
        <w:tc>
          <w:tcPr>
            <w:tcW w:w="2390" w:type="pct"/>
            <w:tcBorders>
              <w:top w:val="single" w:sz="8" w:space="0" w:color="FFFFFF"/>
              <w:left w:val="single" w:sz="8" w:space="0" w:color="FFFFFF"/>
              <w:bottom w:val="single" w:sz="8" w:space="0" w:color="FFFFFF"/>
              <w:right w:val="single" w:sz="24" w:space="0" w:color="FFFFFF"/>
            </w:tcBorders>
            <w:shd w:val="clear" w:color="auto" w:fill="E9EBF5"/>
            <w:tcMar>
              <w:top w:w="15" w:type="dxa"/>
              <w:left w:w="15" w:type="dxa"/>
              <w:bottom w:w="0" w:type="dxa"/>
              <w:right w:w="15" w:type="dxa"/>
            </w:tcMar>
            <w:vAlign w:val="bottom"/>
            <w:hideMark/>
          </w:tcPr>
          <w:p w14:paraId="369AA0B7" w14:textId="77777777" w:rsidR="00020155" w:rsidRPr="00914717" w:rsidRDefault="00020155" w:rsidP="00020155">
            <w:pPr>
              <w:spacing w:after="60" w:line="240" w:lineRule="auto"/>
              <w:ind w:right="2238"/>
              <w:jc w:val="both"/>
              <w:rPr>
                <w:b/>
                <w:bCs/>
                <w:i/>
                <w:iCs/>
                <w:sz w:val="24"/>
                <w:szCs w:val="24"/>
              </w:rPr>
            </w:pPr>
            <w:r w:rsidRPr="00914717">
              <w:rPr>
                <w:b/>
                <w:bCs/>
                <w:i/>
                <w:iCs/>
                <w:sz w:val="24"/>
                <w:szCs w:val="24"/>
              </w:rPr>
              <w:t>Επαγγελματικά ΜΤ</w:t>
            </w:r>
          </w:p>
          <w:p w14:paraId="65144D84" w14:textId="77777777" w:rsidR="00020155" w:rsidRPr="00914717" w:rsidRDefault="00020155" w:rsidP="00020155">
            <w:pPr>
              <w:spacing w:after="60" w:line="240" w:lineRule="auto"/>
              <w:ind w:right="2238"/>
              <w:jc w:val="both"/>
              <w:rPr>
                <w:b/>
                <w:bCs/>
                <w:i/>
                <w:iCs/>
                <w:sz w:val="24"/>
                <w:szCs w:val="24"/>
              </w:rPr>
            </w:pPr>
            <w:r w:rsidRPr="00914717">
              <w:rPr>
                <w:b/>
                <w:bCs/>
                <w:i/>
                <w:iCs/>
                <w:sz w:val="24"/>
                <w:szCs w:val="24"/>
              </w:rPr>
              <w:t xml:space="preserve">&lt;13 </w:t>
            </w:r>
            <w:proofErr w:type="spellStart"/>
            <w:r w:rsidRPr="00914717">
              <w:rPr>
                <w:b/>
                <w:bCs/>
                <w:i/>
                <w:iCs/>
                <w:sz w:val="24"/>
                <w:szCs w:val="24"/>
              </w:rPr>
              <w:t>GWh</w:t>
            </w:r>
            <w:proofErr w:type="spellEnd"/>
          </w:p>
        </w:tc>
        <w:tc>
          <w:tcPr>
            <w:tcW w:w="23" w:type="pct"/>
            <w:vMerge/>
            <w:tcBorders>
              <w:top w:val="single" w:sz="8" w:space="0" w:color="FFFFFF"/>
              <w:left w:val="single" w:sz="8" w:space="0" w:color="FFFFFF"/>
              <w:bottom w:val="single" w:sz="24" w:space="0" w:color="FFFFFF"/>
              <w:right w:val="single" w:sz="8" w:space="0" w:color="FFFFFF"/>
            </w:tcBorders>
            <w:vAlign w:val="center"/>
            <w:hideMark/>
          </w:tcPr>
          <w:p w14:paraId="56EEB444" w14:textId="77777777" w:rsidR="00020155" w:rsidRPr="00914717" w:rsidRDefault="00020155" w:rsidP="00020155">
            <w:pPr>
              <w:spacing w:after="60" w:line="240" w:lineRule="auto"/>
              <w:ind w:right="2238"/>
              <w:jc w:val="both"/>
              <w:rPr>
                <w:b/>
                <w:bCs/>
                <w:i/>
                <w:iCs/>
                <w:sz w:val="24"/>
                <w:szCs w:val="24"/>
              </w:rPr>
            </w:pPr>
          </w:p>
        </w:tc>
        <w:tc>
          <w:tcPr>
            <w:tcW w:w="2587" w:type="pct"/>
            <w:tcBorders>
              <w:top w:val="single" w:sz="8" w:space="0" w:color="FFFFFF"/>
              <w:left w:val="single" w:sz="24"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E868373" w14:textId="77777777" w:rsidR="00020155" w:rsidRPr="00914717" w:rsidRDefault="00020155" w:rsidP="00020155">
            <w:pPr>
              <w:spacing w:after="60" w:line="240" w:lineRule="auto"/>
              <w:ind w:right="2238"/>
              <w:jc w:val="both"/>
              <w:rPr>
                <w:b/>
                <w:bCs/>
                <w:i/>
                <w:iCs/>
                <w:sz w:val="24"/>
                <w:szCs w:val="24"/>
              </w:rPr>
            </w:pPr>
            <w:r w:rsidRPr="00914717">
              <w:rPr>
                <w:b/>
                <w:bCs/>
                <w:i/>
                <w:iCs/>
                <w:sz w:val="24"/>
                <w:szCs w:val="24"/>
              </w:rPr>
              <w:t>41.562.529 €</w:t>
            </w:r>
          </w:p>
        </w:tc>
      </w:tr>
      <w:tr w:rsidR="00020155" w:rsidRPr="00914717" w14:paraId="24DF98F5" w14:textId="77777777" w:rsidTr="00020155">
        <w:trPr>
          <w:trHeight w:val="267"/>
        </w:trPr>
        <w:tc>
          <w:tcPr>
            <w:tcW w:w="2390" w:type="pct"/>
            <w:tcBorders>
              <w:top w:val="single" w:sz="8" w:space="0" w:color="FFFFFF"/>
              <w:left w:val="single" w:sz="8" w:space="0" w:color="FFFFFF"/>
              <w:bottom w:val="single" w:sz="8" w:space="0" w:color="FFFFFF"/>
              <w:right w:val="single" w:sz="24" w:space="0" w:color="FFFFFF"/>
            </w:tcBorders>
            <w:shd w:val="clear" w:color="auto" w:fill="CFD5EA"/>
            <w:tcMar>
              <w:top w:w="15" w:type="dxa"/>
              <w:left w:w="15" w:type="dxa"/>
              <w:bottom w:w="0" w:type="dxa"/>
              <w:right w:w="15" w:type="dxa"/>
            </w:tcMar>
            <w:vAlign w:val="bottom"/>
            <w:hideMark/>
          </w:tcPr>
          <w:p w14:paraId="6C705E81" w14:textId="77777777" w:rsidR="00020155" w:rsidRPr="00914717" w:rsidRDefault="00020155" w:rsidP="00020155">
            <w:pPr>
              <w:spacing w:after="60" w:line="240" w:lineRule="auto"/>
              <w:ind w:right="2238"/>
              <w:jc w:val="both"/>
              <w:rPr>
                <w:b/>
                <w:bCs/>
                <w:i/>
                <w:iCs/>
                <w:sz w:val="24"/>
                <w:szCs w:val="24"/>
              </w:rPr>
            </w:pPr>
            <w:r w:rsidRPr="00914717">
              <w:rPr>
                <w:b/>
                <w:bCs/>
                <w:i/>
                <w:iCs/>
                <w:sz w:val="24"/>
                <w:szCs w:val="24"/>
              </w:rPr>
              <w:t>Επαγγελματικά ΜΤ</w:t>
            </w:r>
          </w:p>
          <w:p w14:paraId="2DE664E3" w14:textId="77777777" w:rsidR="00020155" w:rsidRPr="00914717" w:rsidRDefault="00020155" w:rsidP="00020155">
            <w:pPr>
              <w:spacing w:after="60" w:line="240" w:lineRule="auto"/>
              <w:ind w:right="2238"/>
              <w:jc w:val="both"/>
              <w:rPr>
                <w:b/>
                <w:bCs/>
                <w:i/>
                <w:iCs/>
                <w:sz w:val="24"/>
                <w:szCs w:val="24"/>
              </w:rPr>
            </w:pPr>
            <w:r w:rsidRPr="00914717">
              <w:rPr>
                <w:b/>
                <w:bCs/>
                <w:i/>
                <w:iCs/>
                <w:sz w:val="24"/>
                <w:szCs w:val="24"/>
              </w:rPr>
              <w:t xml:space="preserve">&gt;13 </w:t>
            </w:r>
            <w:proofErr w:type="spellStart"/>
            <w:r w:rsidRPr="00914717">
              <w:rPr>
                <w:b/>
                <w:bCs/>
                <w:i/>
                <w:iCs/>
                <w:sz w:val="24"/>
                <w:szCs w:val="24"/>
              </w:rPr>
              <w:t>GWh</w:t>
            </w:r>
            <w:proofErr w:type="spellEnd"/>
          </w:p>
        </w:tc>
        <w:tc>
          <w:tcPr>
            <w:tcW w:w="23" w:type="pct"/>
            <w:vMerge/>
            <w:tcBorders>
              <w:top w:val="single" w:sz="8" w:space="0" w:color="FFFFFF"/>
              <w:left w:val="single" w:sz="8" w:space="0" w:color="FFFFFF"/>
              <w:bottom w:val="single" w:sz="24" w:space="0" w:color="FFFFFF"/>
              <w:right w:val="single" w:sz="8" w:space="0" w:color="FFFFFF"/>
            </w:tcBorders>
            <w:vAlign w:val="center"/>
            <w:hideMark/>
          </w:tcPr>
          <w:p w14:paraId="7AB93333" w14:textId="77777777" w:rsidR="00020155" w:rsidRPr="00914717" w:rsidRDefault="00020155" w:rsidP="00020155">
            <w:pPr>
              <w:spacing w:after="60" w:line="240" w:lineRule="auto"/>
              <w:ind w:right="2238"/>
              <w:jc w:val="both"/>
              <w:rPr>
                <w:b/>
                <w:bCs/>
                <w:i/>
                <w:iCs/>
                <w:sz w:val="24"/>
                <w:szCs w:val="24"/>
              </w:rPr>
            </w:pPr>
          </w:p>
        </w:tc>
        <w:tc>
          <w:tcPr>
            <w:tcW w:w="2587" w:type="pct"/>
            <w:tcBorders>
              <w:top w:val="single" w:sz="8" w:space="0" w:color="FFFFFF"/>
              <w:left w:val="single" w:sz="24"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2DEE2A75" w14:textId="77777777" w:rsidR="00020155" w:rsidRPr="00914717" w:rsidRDefault="00020155" w:rsidP="00020155">
            <w:pPr>
              <w:spacing w:after="60" w:line="240" w:lineRule="auto"/>
              <w:ind w:right="2238"/>
              <w:jc w:val="both"/>
              <w:rPr>
                <w:b/>
                <w:bCs/>
                <w:i/>
                <w:iCs/>
                <w:sz w:val="24"/>
                <w:szCs w:val="24"/>
              </w:rPr>
            </w:pPr>
            <w:r w:rsidRPr="00914717">
              <w:rPr>
                <w:b/>
                <w:bCs/>
                <w:i/>
                <w:iCs/>
                <w:sz w:val="24"/>
                <w:szCs w:val="24"/>
              </w:rPr>
              <w:t>8.226.919 €</w:t>
            </w:r>
          </w:p>
        </w:tc>
      </w:tr>
      <w:tr w:rsidR="00020155" w:rsidRPr="00914717" w14:paraId="3D890274" w14:textId="77777777" w:rsidTr="00020155">
        <w:trPr>
          <w:trHeight w:val="267"/>
        </w:trPr>
        <w:tc>
          <w:tcPr>
            <w:tcW w:w="2390" w:type="pct"/>
            <w:tcBorders>
              <w:top w:val="single" w:sz="8" w:space="0" w:color="FFFFFF"/>
              <w:left w:val="single" w:sz="8" w:space="0" w:color="FFFFFF"/>
              <w:bottom w:val="single" w:sz="8" w:space="0" w:color="FFFFFF"/>
              <w:right w:val="single" w:sz="24" w:space="0" w:color="FFFFFF"/>
            </w:tcBorders>
            <w:shd w:val="clear" w:color="auto" w:fill="E9EBF5"/>
            <w:tcMar>
              <w:top w:w="15" w:type="dxa"/>
              <w:left w:w="15" w:type="dxa"/>
              <w:bottom w:w="0" w:type="dxa"/>
              <w:right w:w="15" w:type="dxa"/>
            </w:tcMar>
            <w:vAlign w:val="bottom"/>
            <w:hideMark/>
          </w:tcPr>
          <w:p w14:paraId="30FBA94D" w14:textId="77777777" w:rsidR="00020155" w:rsidRPr="00914717" w:rsidRDefault="00020155" w:rsidP="00020155">
            <w:pPr>
              <w:spacing w:after="60" w:line="240" w:lineRule="auto"/>
              <w:ind w:right="2238"/>
              <w:jc w:val="both"/>
              <w:rPr>
                <w:b/>
                <w:bCs/>
                <w:i/>
                <w:iCs/>
                <w:sz w:val="24"/>
                <w:szCs w:val="24"/>
              </w:rPr>
            </w:pPr>
            <w:r w:rsidRPr="00914717">
              <w:rPr>
                <w:b/>
                <w:bCs/>
                <w:i/>
                <w:iCs/>
                <w:sz w:val="24"/>
                <w:szCs w:val="24"/>
              </w:rPr>
              <w:t>Βιομηχανικά ΥΤ</w:t>
            </w:r>
          </w:p>
        </w:tc>
        <w:tc>
          <w:tcPr>
            <w:tcW w:w="23" w:type="pct"/>
            <w:vMerge/>
            <w:tcBorders>
              <w:top w:val="single" w:sz="8" w:space="0" w:color="FFFFFF"/>
              <w:left w:val="single" w:sz="8" w:space="0" w:color="FFFFFF"/>
              <w:bottom w:val="single" w:sz="24" w:space="0" w:color="FFFFFF"/>
              <w:right w:val="single" w:sz="8" w:space="0" w:color="FFFFFF"/>
            </w:tcBorders>
            <w:vAlign w:val="center"/>
            <w:hideMark/>
          </w:tcPr>
          <w:p w14:paraId="419AAE96" w14:textId="77777777" w:rsidR="00020155" w:rsidRPr="00914717" w:rsidRDefault="00020155" w:rsidP="00020155">
            <w:pPr>
              <w:spacing w:after="60" w:line="240" w:lineRule="auto"/>
              <w:ind w:right="2238"/>
              <w:jc w:val="both"/>
              <w:rPr>
                <w:b/>
                <w:bCs/>
                <w:i/>
                <w:iCs/>
                <w:sz w:val="24"/>
                <w:szCs w:val="24"/>
              </w:rPr>
            </w:pPr>
          </w:p>
        </w:tc>
        <w:tc>
          <w:tcPr>
            <w:tcW w:w="2587" w:type="pct"/>
            <w:tcBorders>
              <w:top w:val="single" w:sz="8" w:space="0" w:color="FFFFFF"/>
              <w:left w:val="single" w:sz="24"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628927F" w14:textId="77777777" w:rsidR="00020155" w:rsidRPr="00914717" w:rsidRDefault="00020155" w:rsidP="00020155">
            <w:pPr>
              <w:spacing w:after="60" w:line="240" w:lineRule="auto"/>
              <w:ind w:right="2238"/>
              <w:jc w:val="both"/>
              <w:rPr>
                <w:b/>
                <w:bCs/>
                <w:i/>
                <w:iCs/>
                <w:sz w:val="24"/>
                <w:szCs w:val="24"/>
              </w:rPr>
            </w:pPr>
            <w:r w:rsidRPr="00914717">
              <w:rPr>
                <w:b/>
                <w:bCs/>
                <w:i/>
                <w:iCs/>
                <w:sz w:val="24"/>
                <w:szCs w:val="24"/>
              </w:rPr>
              <w:t>2.697.917 €</w:t>
            </w:r>
          </w:p>
        </w:tc>
      </w:tr>
      <w:tr w:rsidR="00020155" w:rsidRPr="00914717" w14:paraId="24CAEE80" w14:textId="77777777" w:rsidTr="00020155">
        <w:trPr>
          <w:trHeight w:val="267"/>
        </w:trPr>
        <w:tc>
          <w:tcPr>
            <w:tcW w:w="2390" w:type="pct"/>
            <w:tcBorders>
              <w:top w:val="single" w:sz="8" w:space="0" w:color="FFFFFF"/>
              <w:left w:val="single" w:sz="8" w:space="0" w:color="FFFFFF"/>
              <w:bottom w:val="single" w:sz="8" w:space="0" w:color="FFFFFF"/>
              <w:right w:val="single" w:sz="24" w:space="0" w:color="FFFFFF"/>
            </w:tcBorders>
            <w:shd w:val="clear" w:color="auto" w:fill="CFD5EA"/>
            <w:tcMar>
              <w:top w:w="15" w:type="dxa"/>
              <w:left w:w="15" w:type="dxa"/>
              <w:bottom w:w="0" w:type="dxa"/>
              <w:right w:w="15" w:type="dxa"/>
            </w:tcMar>
            <w:vAlign w:val="bottom"/>
            <w:hideMark/>
          </w:tcPr>
          <w:p w14:paraId="4C3000B2" w14:textId="77777777" w:rsidR="00020155" w:rsidRPr="00914717" w:rsidRDefault="00020155" w:rsidP="00020155">
            <w:pPr>
              <w:spacing w:after="60" w:line="240" w:lineRule="auto"/>
              <w:ind w:right="2238"/>
              <w:jc w:val="both"/>
              <w:rPr>
                <w:b/>
                <w:bCs/>
                <w:i/>
                <w:iCs/>
                <w:sz w:val="24"/>
                <w:szCs w:val="24"/>
              </w:rPr>
            </w:pPr>
            <w:r w:rsidRPr="00914717">
              <w:rPr>
                <w:b/>
                <w:bCs/>
                <w:i/>
                <w:iCs/>
                <w:sz w:val="24"/>
                <w:szCs w:val="24"/>
              </w:rPr>
              <w:t xml:space="preserve">Αγροτικά ΧΤ </w:t>
            </w:r>
          </w:p>
        </w:tc>
        <w:tc>
          <w:tcPr>
            <w:tcW w:w="23" w:type="pct"/>
            <w:vMerge/>
            <w:tcBorders>
              <w:top w:val="single" w:sz="8" w:space="0" w:color="FFFFFF"/>
              <w:left w:val="single" w:sz="8" w:space="0" w:color="FFFFFF"/>
              <w:bottom w:val="single" w:sz="24" w:space="0" w:color="FFFFFF"/>
              <w:right w:val="single" w:sz="8" w:space="0" w:color="FFFFFF"/>
            </w:tcBorders>
            <w:vAlign w:val="center"/>
            <w:hideMark/>
          </w:tcPr>
          <w:p w14:paraId="68977D5C" w14:textId="77777777" w:rsidR="00020155" w:rsidRPr="00914717" w:rsidRDefault="00020155" w:rsidP="00020155">
            <w:pPr>
              <w:spacing w:after="60" w:line="240" w:lineRule="auto"/>
              <w:ind w:right="2238"/>
              <w:jc w:val="both"/>
              <w:rPr>
                <w:b/>
                <w:bCs/>
                <w:i/>
                <w:iCs/>
                <w:sz w:val="24"/>
                <w:szCs w:val="24"/>
              </w:rPr>
            </w:pPr>
          </w:p>
        </w:tc>
        <w:tc>
          <w:tcPr>
            <w:tcW w:w="2587" w:type="pct"/>
            <w:tcBorders>
              <w:top w:val="single" w:sz="8" w:space="0" w:color="FFFFFF"/>
              <w:left w:val="single" w:sz="24"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16B12451" w14:textId="77777777" w:rsidR="00020155" w:rsidRPr="00914717" w:rsidRDefault="00020155" w:rsidP="00020155">
            <w:pPr>
              <w:spacing w:after="60" w:line="240" w:lineRule="auto"/>
              <w:ind w:right="2238"/>
              <w:jc w:val="both"/>
              <w:rPr>
                <w:b/>
                <w:bCs/>
                <w:i/>
                <w:iCs/>
                <w:sz w:val="24"/>
                <w:szCs w:val="24"/>
              </w:rPr>
            </w:pPr>
            <w:r w:rsidRPr="00914717">
              <w:rPr>
                <w:b/>
                <w:bCs/>
                <w:i/>
                <w:iCs/>
                <w:sz w:val="24"/>
                <w:szCs w:val="24"/>
              </w:rPr>
              <w:t>5.528.916 €</w:t>
            </w:r>
          </w:p>
        </w:tc>
      </w:tr>
      <w:tr w:rsidR="00020155" w:rsidRPr="00914717" w14:paraId="05096801" w14:textId="77777777" w:rsidTr="00020155">
        <w:trPr>
          <w:trHeight w:val="267"/>
        </w:trPr>
        <w:tc>
          <w:tcPr>
            <w:tcW w:w="2390" w:type="pct"/>
            <w:tcBorders>
              <w:top w:val="single" w:sz="8" w:space="0" w:color="FFFFFF"/>
              <w:left w:val="single" w:sz="8" w:space="0" w:color="FFFFFF"/>
              <w:bottom w:val="single" w:sz="8" w:space="0" w:color="FFFFFF"/>
              <w:right w:val="single" w:sz="24" w:space="0" w:color="FFFFFF"/>
            </w:tcBorders>
            <w:shd w:val="clear" w:color="auto" w:fill="E9EBF5"/>
            <w:tcMar>
              <w:top w:w="15" w:type="dxa"/>
              <w:left w:w="15" w:type="dxa"/>
              <w:bottom w:w="0" w:type="dxa"/>
              <w:right w:w="15" w:type="dxa"/>
            </w:tcMar>
            <w:vAlign w:val="bottom"/>
            <w:hideMark/>
          </w:tcPr>
          <w:p w14:paraId="182C6B63" w14:textId="77777777" w:rsidR="00020155" w:rsidRPr="00914717" w:rsidRDefault="00020155" w:rsidP="00020155">
            <w:pPr>
              <w:spacing w:after="60" w:line="240" w:lineRule="auto"/>
              <w:ind w:right="2238"/>
              <w:jc w:val="both"/>
              <w:rPr>
                <w:b/>
                <w:bCs/>
                <w:i/>
                <w:iCs/>
                <w:sz w:val="24"/>
                <w:szCs w:val="24"/>
              </w:rPr>
            </w:pPr>
            <w:r w:rsidRPr="00914717">
              <w:rPr>
                <w:b/>
                <w:bCs/>
                <w:i/>
                <w:iCs/>
                <w:sz w:val="24"/>
                <w:szCs w:val="24"/>
              </w:rPr>
              <w:t xml:space="preserve">Αγροτικά ΜΤ </w:t>
            </w:r>
          </w:p>
        </w:tc>
        <w:tc>
          <w:tcPr>
            <w:tcW w:w="23" w:type="pct"/>
            <w:vMerge/>
            <w:tcBorders>
              <w:top w:val="single" w:sz="8" w:space="0" w:color="FFFFFF"/>
              <w:left w:val="single" w:sz="8" w:space="0" w:color="FFFFFF"/>
              <w:bottom w:val="single" w:sz="24" w:space="0" w:color="FFFFFF"/>
              <w:right w:val="single" w:sz="8" w:space="0" w:color="FFFFFF"/>
            </w:tcBorders>
            <w:vAlign w:val="center"/>
            <w:hideMark/>
          </w:tcPr>
          <w:p w14:paraId="7B2061FE" w14:textId="77777777" w:rsidR="00020155" w:rsidRPr="00914717" w:rsidRDefault="00020155" w:rsidP="00020155">
            <w:pPr>
              <w:spacing w:after="60" w:line="240" w:lineRule="auto"/>
              <w:ind w:right="2238"/>
              <w:jc w:val="both"/>
              <w:rPr>
                <w:b/>
                <w:bCs/>
                <w:i/>
                <w:iCs/>
                <w:sz w:val="24"/>
                <w:szCs w:val="24"/>
              </w:rPr>
            </w:pPr>
          </w:p>
        </w:tc>
        <w:tc>
          <w:tcPr>
            <w:tcW w:w="2587" w:type="pct"/>
            <w:tcBorders>
              <w:top w:val="single" w:sz="8" w:space="0" w:color="FFFFFF"/>
              <w:left w:val="single" w:sz="24"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45C53D9" w14:textId="77777777" w:rsidR="00020155" w:rsidRPr="00914717" w:rsidRDefault="00020155" w:rsidP="00020155">
            <w:pPr>
              <w:spacing w:after="60" w:line="240" w:lineRule="auto"/>
              <w:ind w:right="2238"/>
              <w:jc w:val="both"/>
              <w:rPr>
                <w:b/>
                <w:bCs/>
                <w:i/>
                <w:iCs/>
                <w:sz w:val="24"/>
                <w:szCs w:val="24"/>
              </w:rPr>
            </w:pPr>
            <w:r w:rsidRPr="00914717">
              <w:rPr>
                <w:b/>
                <w:bCs/>
                <w:i/>
                <w:iCs/>
                <w:sz w:val="24"/>
                <w:szCs w:val="24"/>
              </w:rPr>
              <w:t>611.672 €</w:t>
            </w:r>
          </w:p>
        </w:tc>
      </w:tr>
    </w:tbl>
    <w:p w14:paraId="0A3C594A" w14:textId="77777777" w:rsidR="00020155" w:rsidRPr="00914717" w:rsidRDefault="00020155" w:rsidP="00020155">
      <w:pPr>
        <w:spacing w:after="60"/>
        <w:jc w:val="both"/>
        <w:rPr>
          <w:b/>
          <w:bCs/>
          <w:sz w:val="24"/>
          <w:szCs w:val="24"/>
        </w:rPr>
      </w:pPr>
    </w:p>
    <w:p w14:paraId="2808F9CE" w14:textId="77777777" w:rsidR="00020155" w:rsidRPr="00914717" w:rsidRDefault="00020155" w:rsidP="00020155">
      <w:pPr>
        <w:spacing w:after="60"/>
        <w:jc w:val="both"/>
        <w:rPr>
          <w:b/>
          <w:bCs/>
          <w:sz w:val="24"/>
          <w:szCs w:val="24"/>
        </w:rPr>
      </w:pPr>
      <w:r w:rsidRPr="00914717">
        <w:rPr>
          <w:sz w:val="24"/>
          <w:szCs w:val="24"/>
        </w:rPr>
        <w:t>Από τον Νοέμβριο του 2021 έως τον Μάρτιο του 2022 ισχύει και η αναστολή της πληρωμής Υπηρεσιών Κοινής Ωφέλειας (ΥΚΩ) για τη στήριξη των επιχειρήσεων που είναι συνδεδεμένες στη Μέση Τάση.</w:t>
      </w:r>
    </w:p>
    <w:p w14:paraId="7B64091B" w14:textId="1FA5B18D" w:rsidR="00020155" w:rsidRPr="00914717" w:rsidRDefault="00020155" w:rsidP="00020155">
      <w:pPr>
        <w:spacing w:after="60"/>
        <w:jc w:val="both"/>
        <w:rPr>
          <w:sz w:val="24"/>
          <w:szCs w:val="24"/>
        </w:rPr>
      </w:pPr>
      <w:r w:rsidRPr="00914717">
        <w:rPr>
          <w:sz w:val="24"/>
          <w:szCs w:val="24"/>
        </w:rPr>
        <w:t>Από τον Φεβρουάριο και μετά, εξετάζεται</w:t>
      </w:r>
      <w:r>
        <w:rPr>
          <w:sz w:val="24"/>
          <w:szCs w:val="24"/>
        </w:rPr>
        <w:t>,</w:t>
      </w:r>
      <w:r w:rsidRPr="00914717">
        <w:rPr>
          <w:sz w:val="24"/>
          <w:szCs w:val="24"/>
        </w:rPr>
        <w:t xml:space="preserve"> σε συνεργασία με την Ευρωπαϊκή Επιτροπή Ανταγωνισμού</w:t>
      </w:r>
      <w:r>
        <w:rPr>
          <w:sz w:val="24"/>
          <w:szCs w:val="24"/>
        </w:rPr>
        <w:t>,</w:t>
      </w:r>
      <w:r w:rsidRPr="00914717">
        <w:rPr>
          <w:sz w:val="24"/>
          <w:szCs w:val="24"/>
        </w:rPr>
        <w:t xml:space="preserve"> η επιδότηση να είναι προσαρμοσμένη ανά επαγγελματικό κλάδο ανάλογα με την βαρύτητα του ενεργειακού κόστους στην λειτουργία της επιχείρησης.</w:t>
      </w:r>
    </w:p>
    <w:p w14:paraId="47BE56A1" w14:textId="77777777" w:rsidR="00020155" w:rsidRPr="00914717" w:rsidRDefault="00020155" w:rsidP="00020155">
      <w:pPr>
        <w:spacing w:after="60"/>
        <w:jc w:val="both"/>
        <w:rPr>
          <w:sz w:val="24"/>
          <w:szCs w:val="24"/>
        </w:rPr>
      </w:pPr>
    </w:p>
    <w:p w14:paraId="6C0E4836" w14:textId="77777777" w:rsidR="00020155" w:rsidRPr="0037443B" w:rsidRDefault="00020155" w:rsidP="00020155">
      <w:pPr>
        <w:pStyle w:val="ListParagraph"/>
        <w:numPr>
          <w:ilvl w:val="0"/>
          <w:numId w:val="12"/>
        </w:numPr>
        <w:spacing w:before="180" w:after="120" w:line="276" w:lineRule="auto"/>
        <w:ind w:left="714" w:hanging="357"/>
        <w:contextualSpacing w:val="0"/>
        <w:jc w:val="both"/>
        <w:rPr>
          <w:rFonts w:asciiTheme="minorHAnsi" w:hAnsiTheme="minorHAnsi"/>
          <w:b/>
          <w:iCs/>
        </w:rPr>
      </w:pPr>
      <w:r w:rsidRPr="0037443B">
        <w:rPr>
          <w:rFonts w:asciiTheme="minorHAnsi" w:hAnsiTheme="minorHAnsi"/>
          <w:b/>
          <w:iCs/>
        </w:rPr>
        <w:lastRenderedPageBreak/>
        <w:t>ΦΥΣΙΚΟ ΑΕΡΙΟ - Επιδότηση σε Οικιακά Τιμολόγια - Νοικοκυριά</w:t>
      </w:r>
    </w:p>
    <w:p w14:paraId="29907BCD" w14:textId="32992885" w:rsidR="00020155" w:rsidRPr="00914717" w:rsidRDefault="00020155" w:rsidP="00020155">
      <w:pPr>
        <w:spacing w:after="60"/>
        <w:jc w:val="both"/>
        <w:rPr>
          <w:sz w:val="24"/>
          <w:szCs w:val="24"/>
        </w:rPr>
      </w:pPr>
      <w:r w:rsidRPr="00914717">
        <w:rPr>
          <w:sz w:val="24"/>
          <w:szCs w:val="24"/>
        </w:rPr>
        <w:t xml:space="preserve">Η επιδότηση από την Κυβέρνηση θα ανέλθει σε 20€ ανά θερμική </w:t>
      </w:r>
      <w:proofErr w:type="spellStart"/>
      <w:r w:rsidRPr="00914717">
        <w:rPr>
          <w:sz w:val="24"/>
          <w:szCs w:val="24"/>
        </w:rPr>
        <w:t>MWh</w:t>
      </w:r>
      <w:proofErr w:type="spellEnd"/>
      <w:r w:rsidRPr="00914717">
        <w:rPr>
          <w:sz w:val="24"/>
          <w:szCs w:val="24"/>
        </w:rPr>
        <w:t xml:space="preserve"> για όλους του </w:t>
      </w:r>
      <w:proofErr w:type="spellStart"/>
      <w:r w:rsidRPr="00914717">
        <w:rPr>
          <w:sz w:val="24"/>
          <w:szCs w:val="24"/>
        </w:rPr>
        <w:t>παρόχους</w:t>
      </w:r>
      <w:proofErr w:type="spellEnd"/>
      <w:r w:rsidRPr="00914717">
        <w:rPr>
          <w:sz w:val="24"/>
          <w:szCs w:val="24"/>
        </w:rPr>
        <w:t xml:space="preserve">, και για το σύνολο της  μηνιαίας κατανάλωσης. Αφορά 540.000 οικιακούς καταναλωτές ανεξαρτήτως εισοδήματος, μεγέθους κατοικίας ή </w:t>
      </w:r>
      <w:proofErr w:type="spellStart"/>
      <w:r w:rsidRPr="00914717">
        <w:rPr>
          <w:sz w:val="24"/>
          <w:szCs w:val="24"/>
        </w:rPr>
        <w:t>παρόχου</w:t>
      </w:r>
      <w:proofErr w:type="spellEnd"/>
      <w:r w:rsidRPr="00914717">
        <w:rPr>
          <w:sz w:val="24"/>
          <w:szCs w:val="24"/>
        </w:rPr>
        <w:t>.</w:t>
      </w:r>
    </w:p>
    <w:p w14:paraId="26EA200C" w14:textId="6A5F0352" w:rsidR="00020155" w:rsidRPr="00914717" w:rsidRDefault="00020155" w:rsidP="00020155">
      <w:pPr>
        <w:spacing w:after="60"/>
        <w:jc w:val="both"/>
        <w:rPr>
          <w:sz w:val="24"/>
          <w:szCs w:val="24"/>
        </w:rPr>
      </w:pPr>
      <w:r w:rsidRPr="00914717">
        <w:rPr>
          <w:sz w:val="24"/>
          <w:szCs w:val="24"/>
        </w:rPr>
        <w:t xml:space="preserve">Θα δοθεί και επιπλέον έκπτωση από τη ΔΕΠΑ εμπορίας ύψους 20€ ανά θερμική </w:t>
      </w:r>
      <w:proofErr w:type="spellStart"/>
      <w:r w:rsidRPr="00914717">
        <w:rPr>
          <w:sz w:val="24"/>
          <w:szCs w:val="24"/>
        </w:rPr>
        <w:t>MWh</w:t>
      </w:r>
      <w:proofErr w:type="spellEnd"/>
      <w:r>
        <w:rPr>
          <w:sz w:val="24"/>
          <w:szCs w:val="24"/>
        </w:rPr>
        <w:t xml:space="preserve"> </w:t>
      </w:r>
      <w:r w:rsidRPr="00914717">
        <w:rPr>
          <w:sz w:val="24"/>
          <w:szCs w:val="24"/>
        </w:rPr>
        <w:t xml:space="preserve">για όλη τη μηνιαία κατανάλωση στους πελάτες της και θα ζητηθεί η αντίστοιχη στήριξη από τους υπόλοιπους </w:t>
      </w:r>
      <w:proofErr w:type="spellStart"/>
      <w:r w:rsidRPr="00914717">
        <w:rPr>
          <w:sz w:val="24"/>
          <w:szCs w:val="24"/>
        </w:rPr>
        <w:t>παρόχους</w:t>
      </w:r>
      <w:proofErr w:type="spellEnd"/>
      <w:r w:rsidRPr="00914717">
        <w:rPr>
          <w:sz w:val="24"/>
          <w:szCs w:val="24"/>
        </w:rPr>
        <w:t xml:space="preserve"> σε συνεργασία μαζί της.</w:t>
      </w:r>
    </w:p>
    <w:p w14:paraId="7EDC2527" w14:textId="447B19EF" w:rsidR="00020155" w:rsidRPr="00914717" w:rsidRDefault="00020155" w:rsidP="00020155">
      <w:pPr>
        <w:spacing w:after="60"/>
        <w:jc w:val="both"/>
        <w:rPr>
          <w:sz w:val="24"/>
          <w:szCs w:val="24"/>
        </w:rPr>
      </w:pPr>
      <w:r w:rsidRPr="00020155">
        <w:rPr>
          <w:sz w:val="24"/>
          <w:szCs w:val="24"/>
        </w:rPr>
        <w:t>Το συνολικό ύψος της επιδότησης από την Κυβέρνηση και την ΔΕΠΑ θα ανέλθει  σε 54</w:t>
      </w:r>
      <w:r>
        <w:rPr>
          <w:sz w:val="24"/>
          <w:szCs w:val="24"/>
        </w:rPr>
        <w:t xml:space="preserve"> εκατ. ευρώ</w:t>
      </w:r>
      <w:r w:rsidRPr="00020155">
        <w:rPr>
          <w:sz w:val="24"/>
          <w:szCs w:val="24"/>
        </w:rPr>
        <w:t xml:space="preserve"> </w:t>
      </w:r>
      <w:r w:rsidRPr="00914717">
        <w:rPr>
          <w:sz w:val="24"/>
          <w:szCs w:val="24"/>
        </w:rPr>
        <w:t>για τον Ιανουάριο, όπου η χονδρική τιμή Φυσικού Αερίου εκτιμάται στα 114 €/</w:t>
      </w:r>
      <w:proofErr w:type="spellStart"/>
      <w:r w:rsidRPr="00914717">
        <w:rPr>
          <w:sz w:val="24"/>
          <w:szCs w:val="24"/>
        </w:rPr>
        <w:t>Mwh</w:t>
      </w:r>
      <w:proofErr w:type="spellEnd"/>
      <w:r w:rsidRPr="00914717">
        <w:rPr>
          <w:sz w:val="24"/>
          <w:szCs w:val="24"/>
        </w:rPr>
        <w:t>.</w:t>
      </w:r>
    </w:p>
    <w:p w14:paraId="5B1ADF28" w14:textId="16B41871" w:rsidR="00020155" w:rsidRDefault="00020155" w:rsidP="00020155">
      <w:pPr>
        <w:spacing w:before="120" w:after="120"/>
        <w:jc w:val="both"/>
        <w:rPr>
          <w:sz w:val="24"/>
          <w:szCs w:val="24"/>
        </w:rPr>
      </w:pPr>
      <w:r w:rsidRPr="00914717">
        <w:rPr>
          <w:sz w:val="24"/>
          <w:szCs w:val="24"/>
        </w:rPr>
        <w:t xml:space="preserve">Το μέτρο θα επαναξιολογείται κάθε μήνα και θα προσαρμόζεται η </w:t>
      </w:r>
      <w:proofErr w:type="spellStart"/>
      <w:r w:rsidRPr="00914717">
        <w:rPr>
          <w:sz w:val="24"/>
          <w:szCs w:val="24"/>
        </w:rPr>
        <w:t>μοναδιαία</w:t>
      </w:r>
      <w:proofErr w:type="spellEnd"/>
      <w:r w:rsidRPr="00914717">
        <w:rPr>
          <w:sz w:val="24"/>
          <w:szCs w:val="24"/>
        </w:rPr>
        <w:t xml:space="preserve"> τιμή της επιδότησης</w:t>
      </w:r>
      <w:r>
        <w:rPr>
          <w:sz w:val="24"/>
          <w:szCs w:val="24"/>
        </w:rPr>
        <w:t>.</w:t>
      </w:r>
    </w:p>
    <w:p w14:paraId="161A632F" w14:textId="77777777" w:rsidR="00020155" w:rsidRPr="00914717" w:rsidRDefault="00020155" w:rsidP="00020155">
      <w:pPr>
        <w:spacing w:before="120" w:after="120"/>
        <w:jc w:val="both"/>
        <w:rPr>
          <w:sz w:val="24"/>
          <w:szCs w:val="24"/>
        </w:rPr>
      </w:pPr>
    </w:p>
    <w:p w14:paraId="78E8290B" w14:textId="77777777" w:rsidR="00020155" w:rsidRPr="0037443B" w:rsidRDefault="00020155" w:rsidP="00020155">
      <w:pPr>
        <w:pStyle w:val="ListParagraph"/>
        <w:numPr>
          <w:ilvl w:val="0"/>
          <w:numId w:val="12"/>
        </w:numPr>
        <w:spacing w:before="180" w:after="120" w:line="276" w:lineRule="auto"/>
        <w:ind w:left="714" w:hanging="357"/>
        <w:contextualSpacing w:val="0"/>
        <w:jc w:val="both"/>
        <w:rPr>
          <w:rFonts w:asciiTheme="minorHAnsi" w:hAnsiTheme="minorHAnsi"/>
          <w:b/>
          <w:iCs/>
        </w:rPr>
      </w:pPr>
      <w:r w:rsidRPr="0037443B">
        <w:rPr>
          <w:rFonts w:asciiTheme="minorHAnsi" w:hAnsiTheme="minorHAnsi"/>
          <w:b/>
          <w:iCs/>
        </w:rPr>
        <w:t>ΦΥΣΙΚΟ ΑΕΡΙΟ - Επιδότηση σε ΜΗ Οικιακά (Εμπορικά-Βιομηχανικά) Τιμολόγια</w:t>
      </w:r>
    </w:p>
    <w:p w14:paraId="7D7B8B7F" w14:textId="244C2B68" w:rsidR="00020155" w:rsidRPr="00914717" w:rsidRDefault="00020155" w:rsidP="00020155">
      <w:pPr>
        <w:spacing w:after="60"/>
        <w:jc w:val="both"/>
        <w:rPr>
          <w:b/>
          <w:sz w:val="24"/>
          <w:szCs w:val="24"/>
        </w:rPr>
      </w:pPr>
      <w:r w:rsidRPr="00914717">
        <w:rPr>
          <w:sz w:val="24"/>
          <w:szCs w:val="24"/>
        </w:rPr>
        <w:t xml:space="preserve">Επεκτείνεται η επιδότηση του ΦΑ από την Κυβέρνηση σε </w:t>
      </w:r>
      <w:r>
        <w:rPr>
          <w:sz w:val="24"/>
          <w:szCs w:val="24"/>
        </w:rPr>
        <w:t>όλους</w:t>
      </w:r>
      <w:r w:rsidRPr="00914717">
        <w:rPr>
          <w:sz w:val="24"/>
          <w:szCs w:val="24"/>
        </w:rPr>
        <w:t xml:space="preserve"> τους Εμπορικούς Καταναλωτές και στη Βιομηχανία ανεξαρτήτως μεγέθους, τζίρου και αριθμού εργαζομένων</w:t>
      </w:r>
      <w:r w:rsidRPr="00914717">
        <w:rPr>
          <w:b/>
          <w:sz w:val="24"/>
          <w:szCs w:val="24"/>
        </w:rPr>
        <w:t>.</w:t>
      </w:r>
    </w:p>
    <w:p w14:paraId="24C3066D" w14:textId="786C75E3" w:rsidR="00020155" w:rsidRPr="00020155" w:rsidRDefault="00020155" w:rsidP="00020155">
      <w:pPr>
        <w:spacing w:after="60"/>
        <w:jc w:val="both"/>
        <w:rPr>
          <w:sz w:val="24"/>
          <w:szCs w:val="24"/>
        </w:rPr>
      </w:pPr>
      <w:r w:rsidRPr="00020155">
        <w:rPr>
          <w:sz w:val="24"/>
          <w:szCs w:val="24"/>
        </w:rPr>
        <w:t>Για τον Ιανουάριο του 2022 η επιδότηση ανέρχεται στα 30 €/</w:t>
      </w:r>
      <w:proofErr w:type="spellStart"/>
      <w:r w:rsidRPr="00020155">
        <w:rPr>
          <w:sz w:val="24"/>
          <w:szCs w:val="24"/>
        </w:rPr>
        <w:t>MWh</w:t>
      </w:r>
      <w:proofErr w:type="spellEnd"/>
      <w:r w:rsidRPr="00020155">
        <w:rPr>
          <w:sz w:val="24"/>
          <w:szCs w:val="24"/>
        </w:rPr>
        <w:t>.</w:t>
      </w:r>
      <w:r>
        <w:rPr>
          <w:sz w:val="24"/>
          <w:szCs w:val="24"/>
        </w:rPr>
        <w:t xml:space="preserve"> </w:t>
      </w:r>
      <w:r w:rsidRPr="00020155">
        <w:rPr>
          <w:sz w:val="24"/>
          <w:szCs w:val="24"/>
        </w:rPr>
        <w:t>Η συνολική ενίσχυση θα ανέλθει σε 51εκ€ για το μήνα Ιανουάριο.</w:t>
      </w:r>
    </w:p>
    <w:p w14:paraId="2134E8E1" w14:textId="77777777" w:rsidR="00901FBD" w:rsidRDefault="00901FBD" w:rsidP="00020155">
      <w:pPr>
        <w:jc w:val="both"/>
        <w:rPr>
          <w:b/>
          <w:sz w:val="24"/>
          <w:szCs w:val="24"/>
        </w:rPr>
      </w:pPr>
    </w:p>
    <w:p w14:paraId="7ED62B1E" w14:textId="754FF798" w:rsidR="00020155" w:rsidRPr="00914717" w:rsidRDefault="00020155" w:rsidP="00020155">
      <w:pPr>
        <w:jc w:val="both"/>
        <w:rPr>
          <w:sz w:val="24"/>
          <w:szCs w:val="24"/>
        </w:rPr>
      </w:pPr>
      <w:r w:rsidRPr="00914717">
        <w:rPr>
          <w:sz w:val="24"/>
          <w:szCs w:val="24"/>
        </w:rPr>
        <w:t>Συμπερασματικά</w:t>
      </w:r>
      <w:r>
        <w:rPr>
          <w:sz w:val="24"/>
          <w:szCs w:val="24"/>
        </w:rPr>
        <w:t>,</w:t>
      </w:r>
      <w:r w:rsidRPr="00914717">
        <w:rPr>
          <w:sz w:val="24"/>
          <w:szCs w:val="24"/>
        </w:rPr>
        <w:t xml:space="preserve"> η συνολική αξία των μέτρων στήριξης όλων των νοικοκυριών και όλων των επαγγελματιών και των επιχειρήσεων απέναντι στην ενεργειακή κρίση για τον Ιανουάριο ανέρχεται στα </w:t>
      </w:r>
      <w:r w:rsidRPr="00914717">
        <w:rPr>
          <w:b/>
          <w:bCs/>
          <w:sz w:val="24"/>
          <w:szCs w:val="24"/>
        </w:rPr>
        <w:t>395 εκ</w:t>
      </w:r>
      <w:r>
        <w:rPr>
          <w:b/>
          <w:bCs/>
          <w:sz w:val="24"/>
          <w:szCs w:val="24"/>
        </w:rPr>
        <w:t>.</w:t>
      </w:r>
      <w:r w:rsidRPr="00914717">
        <w:rPr>
          <w:b/>
          <w:bCs/>
          <w:sz w:val="24"/>
          <w:szCs w:val="24"/>
        </w:rPr>
        <w:t xml:space="preserve"> </w:t>
      </w:r>
      <w:r>
        <w:rPr>
          <w:b/>
          <w:bCs/>
          <w:sz w:val="24"/>
          <w:szCs w:val="24"/>
        </w:rPr>
        <w:t>ε</w:t>
      </w:r>
      <w:r w:rsidRPr="00914717">
        <w:rPr>
          <w:b/>
          <w:bCs/>
          <w:sz w:val="24"/>
          <w:szCs w:val="24"/>
        </w:rPr>
        <w:t>υρώ και αφορά και την Ηλεκτρική Ενέργεια και το Φυσικό Αέριο.</w:t>
      </w:r>
      <w:r w:rsidR="00901FBD">
        <w:rPr>
          <w:sz w:val="24"/>
          <w:szCs w:val="24"/>
        </w:rPr>
        <w:t xml:space="preserve"> </w:t>
      </w:r>
      <w:r w:rsidRPr="00914717">
        <w:rPr>
          <w:sz w:val="24"/>
          <w:szCs w:val="24"/>
        </w:rPr>
        <w:t xml:space="preserve">Οι πόροι προέρχονται από το Ταμείο Ενεργειακής Μετάβασης. </w:t>
      </w:r>
    </w:p>
    <w:p w14:paraId="5351097D" w14:textId="211ABB9F" w:rsidR="00020155" w:rsidRDefault="00020155" w:rsidP="00020155">
      <w:pPr>
        <w:pStyle w:val="PlainText"/>
        <w:spacing w:line="276" w:lineRule="auto"/>
        <w:jc w:val="both"/>
        <w:rPr>
          <w:rFonts w:asciiTheme="minorHAnsi" w:hAnsiTheme="minorHAnsi"/>
          <w:sz w:val="24"/>
          <w:szCs w:val="24"/>
          <w:lang w:val="el-GR"/>
        </w:rPr>
      </w:pPr>
      <w:r w:rsidRPr="00914717">
        <w:rPr>
          <w:rFonts w:asciiTheme="minorHAnsi" w:hAnsiTheme="minorHAnsi"/>
          <w:sz w:val="24"/>
          <w:szCs w:val="24"/>
          <w:lang w:val="el-GR"/>
        </w:rPr>
        <w:t>Με την επέκταση των μέτρων στήριξης και τον πρώτο μήνα του 2022, αποδεικνύουμε ότι στεκόμαστε πλάι σε κάθε ελληνική οικογένεια, σε κάθε ελληνική επιχείρηση ώστε να μη μείνει κανένας απροστάτευτος απέναντι στην πρωτοφανή διεθνή ενεργειακή κρίση. Τον Φεβρουάριο θα αξιολογήσουμε εκ νέου την κατάσταση και θα επανακαθορίσουμε τις τιμές επιδότησης</w:t>
      </w:r>
      <w:r>
        <w:rPr>
          <w:rFonts w:asciiTheme="minorHAnsi" w:hAnsiTheme="minorHAnsi"/>
          <w:sz w:val="24"/>
          <w:szCs w:val="24"/>
          <w:lang w:val="el-GR"/>
        </w:rPr>
        <w:t>»</w:t>
      </w:r>
      <w:r w:rsidR="00AE1B3A">
        <w:rPr>
          <w:rFonts w:asciiTheme="minorHAnsi" w:hAnsiTheme="minorHAnsi"/>
          <w:sz w:val="24"/>
          <w:szCs w:val="24"/>
          <w:lang w:val="el-GR"/>
        </w:rPr>
        <w:t>.</w:t>
      </w:r>
    </w:p>
    <w:p w14:paraId="3523570C" w14:textId="77777777" w:rsidR="00901FBD" w:rsidRPr="00020155" w:rsidRDefault="00901FBD" w:rsidP="00020155">
      <w:pPr>
        <w:pStyle w:val="PlainText"/>
        <w:spacing w:line="276" w:lineRule="auto"/>
        <w:jc w:val="both"/>
        <w:rPr>
          <w:rFonts w:asciiTheme="minorHAnsi" w:hAnsiTheme="minorHAnsi"/>
          <w:sz w:val="24"/>
          <w:szCs w:val="24"/>
          <w:lang w:val="el-GR"/>
        </w:rPr>
      </w:pPr>
    </w:p>
    <w:p w14:paraId="16FA6A31" w14:textId="1339B7A9" w:rsidR="00385E72" w:rsidRPr="00E95376" w:rsidRDefault="00D34E14" w:rsidP="00D34E14">
      <w:pPr>
        <w:ind w:left="5760"/>
        <w:jc w:val="right"/>
        <w:rPr>
          <w:sz w:val="24"/>
          <w:szCs w:val="24"/>
        </w:rPr>
      </w:pPr>
      <w:r>
        <w:rPr>
          <w:b/>
          <w:bCs/>
          <w:sz w:val="24"/>
          <w:szCs w:val="24"/>
        </w:rPr>
        <w:t xml:space="preserve">ΑΠΟ ΤΟ ΓΡΑΦΕΙΟ </w:t>
      </w:r>
      <w:r w:rsidR="00385E72" w:rsidRPr="00E95376">
        <w:rPr>
          <w:b/>
          <w:bCs/>
          <w:sz w:val="24"/>
          <w:szCs w:val="24"/>
        </w:rPr>
        <w:t>ΤΥΠΟΥ</w:t>
      </w:r>
    </w:p>
    <w:p w14:paraId="03DB8142" w14:textId="77777777" w:rsidR="00385E72" w:rsidRPr="00864A42" w:rsidRDefault="00385E72" w:rsidP="006F388C">
      <w:pPr>
        <w:jc w:val="both"/>
        <w:rPr>
          <w:rFonts w:cstheme="minorHAnsi"/>
          <w:sz w:val="24"/>
          <w:szCs w:val="24"/>
        </w:rPr>
      </w:pPr>
    </w:p>
    <w:sectPr w:rsidR="00385E72" w:rsidRPr="00864A42">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0D66" w14:textId="77777777" w:rsidR="000858E1" w:rsidRDefault="000858E1" w:rsidP="003875EC">
      <w:pPr>
        <w:spacing w:after="0" w:line="240" w:lineRule="auto"/>
      </w:pPr>
      <w:r>
        <w:separator/>
      </w:r>
    </w:p>
  </w:endnote>
  <w:endnote w:type="continuationSeparator" w:id="0">
    <w:p w14:paraId="20D9132D" w14:textId="77777777" w:rsidR="000858E1" w:rsidRDefault="000858E1" w:rsidP="0038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D4B6" w14:textId="77777777" w:rsidR="000858E1" w:rsidRDefault="000858E1" w:rsidP="003875EC">
      <w:pPr>
        <w:spacing w:after="0" w:line="240" w:lineRule="auto"/>
      </w:pPr>
      <w:r>
        <w:separator/>
      </w:r>
    </w:p>
  </w:footnote>
  <w:footnote w:type="continuationSeparator" w:id="0">
    <w:p w14:paraId="706FEEBF" w14:textId="77777777" w:rsidR="000858E1" w:rsidRDefault="000858E1" w:rsidP="00387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32AA" w14:textId="47715C62" w:rsidR="003875EC" w:rsidRDefault="003875EC">
    <w:pPr>
      <w:pStyle w:val="Header"/>
    </w:pPr>
    <w:r w:rsidRPr="002D764C">
      <w:rPr>
        <w:noProof/>
        <w:lang w:eastAsia="el-GR"/>
      </w:rPr>
      <w:drawing>
        <wp:inline distT="0" distB="0" distL="0" distR="0" wp14:anchorId="62F1EBFF" wp14:editId="6BAA8D18">
          <wp:extent cx="5274310" cy="12757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275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130"/>
    <w:multiLevelType w:val="hybridMultilevel"/>
    <w:tmpl w:val="EB0A667C"/>
    <w:lvl w:ilvl="0" w:tplc="06F442D4">
      <w:start w:val="1"/>
      <w:numFmt w:val="bullet"/>
      <w:lvlText w:val="o"/>
      <w:lvlJc w:val="left"/>
      <w:pPr>
        <w:ind w:left="2160" w:hanging="360"/>
      </w:pPr>
      <w:rPr>
        <w:rFonts w:ascii="Courier New" w:hAnsi="Courier New" w:hint="default"/>
        <w:sz w:val="28"/>
        <w:szCs w:val="28"/>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15:restartNumberingAfterBreak="0">
    <w:nsid w:val="04381282"/>
    <w:multiLevelType w:val="hybridMultilevel"/>
    <w:tmpl w:val="8B0E2E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4339EE"/>
    <w:multiLevelType w:val="hybridMultilevel"/>
    <w:tmpl w:val="1FA69426"/>
    <w:lvl w:ilvl="0" w:tplc="030C5E06">
      <w:start w:val="1"/>
      <w:numFmt w:val="bullet"/>
      <w:lvlText w:val="•"/>
      <w:lvlJc w:val="left"/>
      <w:pPr>
        <w:tabs>
          <w:tab w:val="num" w:pos="720"/>
        </w:tabs>
        <w:ind w:left="720" w:hanging="360"/>
      </w:pPr>
      <w:rPr>
        <w:rFonts w:ascii="Times New Roman" w:hAnsi="Times New Roman" w:hint="default"/>
      </w:rPr>
    </w:lvl>
    <w:lvl w:ilvl="1" w:tplc="8AAC89F2" w:tentative="1">
      <w:start w:val="1"/>
      <w:numFmt w:val="bullet"/>
      <w:lvlText w:val="•"/>
      <w:lvlJc w:val="left"/>
      <w:pPr>
        <w:tabs>
          <w:tab w:val="num" w:pos="1440"/>
        </w:tabs>
        <w:ind w:left="1440" w:hanging="360"/>
      </w:pPr>
      <w:rPr>
        <w:rFonts w:ascii="Times New Roman" w:hAnsi="Times New Roman" w:hint="default"/>
      </w:rPr>
    </w:lvl>
    <w:lvl w:ilvl="2" w:tplc="68D404E2" w:tentative="1">
      <w:start w:val="1"/>
      <w:numFmt w:val="bullet"/>
      <w:lvlText w:val="•"/>
      <w:lvlJc w:val="left"/>
      <w:pPr>
        <w:tabs>
          <w:tab w:val="num" w:pos="2160"/>
        </w:tabs>
        <w:ind w:left="2160" w:hanging="360"/>
      </w:pPr>
      <w:rPr>
        <w:rFonts w:ascii="Times New Roman" w:hAnsi="Times New Roman" w:hint="default"/>
      </w:rPr>
    </w:lvl>
    <w:lvl w:ilvl="3" w:tplc="99F4D17E" w:tentative="1">
      <w:start w:val="1"/>
      <w:numFmt w:val="bullet"/>
      <w:lvlText w:val="•"/>
      <w:lvlJc w:val="left"/>
      <w:pPr>
        <w:tabs>
          <w:tab w:val="num" w:pos="2880"/>
        </w:tabs>
        <w:ind w:left="2880" w:hanging="360"/>
      </w:pPr>
      <w:rPr>
        <w:rFonts w:ascii="Times New Roman" w:hAnsi="Times New Roman" w:hint="default"/>
      </w:rPr>
    </w:lvl>
    <w:lvl w:ilvl="4" w:tplc="48344E54" w:tentative="1">
      <w:start w:val="1"/>
      <w:numFmt w:val="bullet"/>
      <w:lvlText w:val="•"/>
      <w:lvlJc w:val="left"/>
      <w:pPr>
        <w:tabs>
          <w:tab w:val="num" w:pos="3600"/>
        </w:tabs>
        <w:ind w:left="3600" w:hanging="360"/>
      </w:pPr>
      <w:rPr>
        <w:rFonts w:ascii="Times New Roman" w:hAnsi="Times New Roman" w:hint="default"/>
      </w:rPr>
    </w:lvl>
    <w:lvl w:ilvl="5" w:tplc="674C4A9E" w:tentative="1">
      <w:start w:val="1"/>
      <w:numFmt w:val="bullet"/>
      <w:lvlText w:val="•"/>
      <w:lvlJc w:val="left"/>
      <w:pPr>
        <w:tabs>
          <w:tab w:val="num" w:pos="4320"/>
        </w:tabs>
        <w:ind w:left="4320" w:hanging="360"/>
      </w:pPr>
      <w:rPr>
        <w:rFonts w:ascii="Times New Roman" w:hAnsi="Times New Roman" w:hint="default"/>
      </w:rPr>
    </w:lvl>
    <w:lvl w:ilvl="6" w:tplc="DDB27784" w:tentative="1">
      <w:start w:val="1"/>
      <w:numFmt w:val="bullet"/>
      <w:lvlText w:val="•"/>
      <w:lvlJc w:val="left"/>
      <w:pPr>
        <w:tabs>
          <w:tab w:val="num" w:pos="5040"/>
        </w:tabs>
        <w:ind w:left="5040" w:hanging="360"/>
      </w:pPr>
      <w:rPr>
        <w:rFonts w:ascii="Times New Roman" w:hAnsi="Times New Roman" w:hint="default"/>
      </w:rPr>
    </w:lvl>
    <w:lvl w:ilvl="7" w:tplc="72B04836" w:tentative="1">
      <w:start w:val="1"/>
      <w:numFmt w:val="bullet"/>
      <w:lvlText w:val="•"/>
      <w:lvlJc w:val="left"/>
      <w:pPr>
        <w:tabs>
          <w:tab w:val="num" w:pos="5760"/>
        </w:tabs>
        <w:ind w:left="5760" w:hanging="360"/>
      </w:pPr>
      <w:rPr>
        <w:rFonts w:ascii="Times New Roman" w:hAnsi="Times New Roman" w:hint="default"/>
      </w:rPr>
    </w:lvl>
    <w:lvl w:ilvl="8" w:tplc="8E68A9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6701C1"/>
    <w:multiLevelType w:val="hybridMultilevel"/>
    <w:tmpl w:val="C14865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0A32D7"/>
    <w:multiLevelType w:val="hybridMultilevel"/>
    <w:tmpl w:val="461CECF8"/>
    <w:lvl w:ilvl="0" w:tplc="003AF13E">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107DFF"/>
    <w:multiLevelType w:val="hybridMultilevel"/>
    <w:tmpl w:val="9CD403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00913E9"/>
    <w:multiLevelType w:val="hybridMultilevel"/>
    <w:tmpl w:val="278CACCA"/>
    <w:lvl w:ilvl="0" w:tplc="6F58E0E0">
      <w:start w:val="1"/>
      <w:numFmt w:val="bullet"/>
      <w:lvlText w:val="•"/>
      <w:lvlJc w:val="left"/>
      <w:pPr>
        <w:tabs>
          <w:tab w:val="num" w:pos="720"/>
        </w:tabs>
        <w:ind w:left="720" w:hanging="360"/>
      </w:pPr>
      <w:rPr>
        <w:rFonts w:ascii="Times New Roman" w:hAnsi="Times New Roman" w:hint="default"/>
      </w:rPr>
    </w:lvl>
    <w:lvl w:ilvl="1" w:tplc="B71ADE54" w:tentative="1">
      <w:start w:val="1"/>
      <w:numFmt w:val="bullet"/>
      <w:lvlText w:val="•"/>
      <w:lvlJc w:val="left"/>
      <w:pPr>
        <w:tabs>
          <w:tab w:val="num" w:pos="1440"/>
        </w:tabs>
        <w:ind w:left="1440" w:hanging="360"/>
      </w:pPr>
      <w:rPr>
        <w:rFonts w:ascii="Times New Roman" w:hAnsi="Times New Roman" w:hint="default"/>
      </w:rPr>
    </w:lvl>
    <w:lvl w:ilvl="2" w:tplc="DFFC7FA4" w:tentative="1">
      <w:start w:val="1"/>
      <w:numFmt w:val="bullet"/>
      <w:lvlText w:val="•"/>
      <w:lvlJc w:val="left"/>
      <w:pPr>
        <w:tabs>
          <w:tab w:val="num" w:pos="2160"/>
        </w:tabs>
        <w:ind w:left="2160" w:hanging="360"/>
      </w:pPr>
      <w:rPr>
        <w:rFonts w:ascii="Times New Roman" w:hAnsi="Times New Roman" w:hint="default"/>
      </w:rPr>
    </w:lvl>
    <w:lvl w:ilvl="3" w:tplc="3FC8369A" w:tentative="1">
      <w:start w:val="1"/>
      <w:numFmt w:val="bullet"/>
      <w:lvlText w:val="•"/>
      <w:lvlJc w:val="left"/>
      <w:pPr>
        <w:tabs>
          <w:tab w:val="num" w:pos="2880"/>
        </w:tabs>
        <w:ind w:left="2880" w:hanging="360"/>
      </w:pPr>
      <w:rPr>
        <w:rFonts w:ascii="Times New Roman" w:hAnsi="Times New Roman" w:hint="default"/>
      </w:rPr>
    </w:lvl>
    <w:lvl w:ilvl="4" w:tplc="0492C8AE" w:tentative="1">
      <w:start w:val="1"/>
      <w:numFmt w:val="bullet"/>
      <w:lvlText w:val="•"/>
      <w:lvlJc w:val="left"/>
      <w:pPr>
        <w:tabs>
          <w:tab w:val="num" w:pos="3600"/>
        </w:tabs>
        <w:ind w:left="3600" w:hanging="360"/>
      </w:pPr>
      <w:rPr>
        <w:rFonts w:ascii="Times New Roman" w:hAnsi="Times New Roman" w:hint="default"/>
      </w:rPr>
    </w:lvl>
    <w:lvl w:ilvl="5" w:tplc="5A609490" w:tentative="1">
      <w:start w:val="1"/>
      <w:numFmt w:val="bullet"/>
      <w:lvlText w:val="•"/>
      <w:lvlJc w:val="left"/>
      <w:pPr>
        <w:tabs>
          <w:tab w:val="num" w:pos="4320"/>
        </w:tabs>
        <w:ind w:left="4320" w:hanging="360"/>
      </w:pPr>
      <w:rPr>
        <w:rFonts w:ascii="Times New Roman" w:hAnsi="Times New Roman" w:hint="default"/>
      </w:rPr>
    </w:lvl>
    <w:lvl w:ilvl="6" w:tplc="F6EA33F6" w:tentative="1">
      <w:start w:val="1"/>
      <w:numFmt w:val="bullet"/>
      <w:lvlText w:val="•"/>
      <w:lvlJc w:val="left"/>
      <w:pPr>
        <w:tabs>
          <w:tab w:val="num" w:pos="5040"/>
        </w:tabs>
        <w:ind w:left="5040" w:hanging="360"/>
      </w:pPr>
      <w:rPr>
        <w:rFonts w:ascii="Times New Roman" w:hAnsi="Times New Roman" w:hint="default"/>
      </w:rPr>
    </w:lvl>
    <w:lvl w:ilvl="7" w:tplc="DC8227A8" w:tentative="1">
      <w:start w:val="1"/>
      <w:numFmt w:val="bullet"/>
      <w:lvlText w:val="•"/>
      <w:lvlJc w:val="left"/>
      <w:pPr>
        <w:tabs>
          <w:tab w:val="num" w:pos="5760"/>
        </w:tabs>
        <w:ind w:left="5760" w:hanging="360"/>
      </w:pPr>
      <w:rPr>
        <w:rFonts w:ascii="Times New Roman" w:hAnsi="Times New Roman" w:hint="default"/>
      </w:rPr>
    </w:lvl>
    <w:lvl w:ilvl="8" w:tplc="C0F64FE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4FE7655"/>
    <w:multiLevelType w:val="hybridMultilevel"/>
    <w:tmpl w:val="BBA2AEBA"/>
    <w:lvl w:ilvl="0" w:tplc="ECA86B52">
      <w:numFmt w:val="bullet"/>
      <w:lvlText w:val="-"/>
      <w:lvlJc w:val="left"/>
      <w:pPr>
        <w:ind w:left="720" w:hanging="360"/>
      </w:pPr>
      <w:rPr>
        <w:rFonts w:ascii="Calibri" w:eastAsiaTheme="minorHAnsi"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EDF1620"/>
    <w:multiLevelType w:val="hybridMultilevel"/>
    <w:tmpl w:val="128A831A"/>
    <w:lvl w:ilvl="0" w:tplc="06F442D4">
      <w:start w:val="1"/>
      <w:numFmt w:val="bullet"/>
      <w:lvlText w:val="o"/>
      <w:lvlJc w:val="left"/>
      <w:pPr>
        <w:ind w:left="2160" w:hanging="360"/>
      </w:pPr>
      <w:rPr>
        <w:rFonts w:ascii="Courier New" w:hAnsi="Courier New" w:hint="default"/>
        <w:sz w:val="28"/>
        <w:szCs w:val="28"/>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9" w15:restartNumberingAfterBreak="0">
    <w:nsid w:val="569566F9"/>
    <w:multiLevelType w:val="hybridMultilevel"/>
    <w:tmpl w:val="6C3E0C08"/>
    <w:lvl w:ilvl="0" w:tplc="003AF13E">
      <w:start w:val="4"/>
      <w:numFmt w:val="bullet"/>
      <w:lvlText w:val="-"/>
      <w:lvlJc w:val="left"/>
      <w:pPr>
        <w:ind w:left="1440" w:hanging="360"/>
      </w:pPr>
      <w:rPr>
        <w:rFonts w:ascii="Calibri" w:eastAsiaTheme="minorHAns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56D500C0"/>
    <w:multiLevelType w:val="hybridMultilevel"/>
    <w:tmpl w:val="CDF830A4"/>
    <w:lvl w:ilvl="0" w:tplc="06F442D4">
      <w:start w:val="1"/>
      <w:numFmt w:val="bullet"/>
      <w:lvlText w:val="o"/>
      <w:lvlJc w:val="left"/>
      <w:pPr>
        <w:ind w:left="720" w:hanging="360"/>
      </w:pPr>
      <w:rPr>
        <w:rFonts w:ascii="Courier New" w:hAnsi="Courier New"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A65781C"/>
    <w:multiLevelType w:val="hybridMultilevel"/>
    <w:tmpl w:val="1DAEDD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DC02944"/>
    <w:multiLevelType w:val="hybridMultilevel"/>
    <w:tmpl w:val="B5DE8A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3FC5C89"/>
    <w:multiLevelType w:val="hybridMultilevel"/>
    <w:tmpl w:val="F5CACFD8"/>
    <w:lvl w:ilvl="0" w:tplc="DB7CC45E">
      <w:start w:val="9"/>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0"/>
  </w:num>
  <w:num w:numId="4">
    <w:abstractNumId w:val="13"/>
  </w:num>
  <w:num w:numId="5">
    <w:abstractNumId w:val="9"/>
  </w:num>
  <w:num w:numId="6">
    <w:abstractNumId w:val="8"/>
  </w:num>
  <w:num w:numId="7">
    <w:abstractNumId w:val="0"/>
  </w:num>
  <w:num w:numId="8">
    <w:abstractNumId w:val="3"/>
  </w:num>
  <w:num w:numId="9">
    <w:abstractNumId w:val="5"/>
  </w:num>
  <w:num w:numId="10">
    <w:abstractNumId w:val="7"/>
  </w:num>
  <w:num w:numId="11">
    <w:abstractNumId w:val="4"/>
  </w:num>
  <w:num w:numId="12">
    <w:abstractNumId w:val="11"/>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2F"/>
    <w:rsid w:val="00020155"/>
    <w:rsid w:val="00055AFC"/>
    <w:rsid w:val="000858E1"/>
    <w:rsid w:val="00085907"/>
    <w:rsid w:val="000F56AB"/>
    <w:rsid w:val="001001EC"/>
    <w:rsid w:val="00101E22"/>
    <w:rsid w:val="00136C12"/>
    <w:rsid w:val="00166D97"/>
    <w:rsid w:val="001B2602"/>
    <w:rsid w:val="001B4D00"/>
    <w:rsid w:val="001C6F82"/>
    <w:rsid w:val="002172A3"/>
    <w:rsid w:val="00285C2F"/>
    <w:rsid w:val="00292A7F"/>
    <w:rsid w:val="002F19A4"/>
    <w:rsid w:val="00305D0D"/>
    <w:rsid w:val="00331A97"/>
    <w:rsid w:val="0033725E"/>
    <w:rsid w:val="0037443B"/>
    <w:rsid w:val="00376452"/>
    <w:rsid w:val="00385E72"/>
    <w:rsid w:val="003875EC"/>
    <w:rsid w:val="003977DB"/>
    <w:rsid w:val="003A13E5"/>
    <w:rsid w:val="003B1E21"/>
    <w:rsid w:val="003B4E2E"/>
    <w:rsid w:val="00421D90"/>
    <w:rsid w:val="00465CD3"/>
    <w:rsid w:val="004864F7"/>
    <w:rsid w:val="00493300"/>
    <w:rsid w:val="004C2356"/>
    <w:rsid w:val="004E3831"/>
    <w:rsid w:val="00527A89"/>
    <w:rsid w:val="00533808"/>
    <w:rsid w:val="005652F2"/>
    <w:rsid w:val="00582F39"/>
    <w:rsid w:val="005C40F4"/>
    <w:rsid w:val="005F459A"/>
    <w:rsid w:val="00601321"/>
    <w:rsid w:val="00617F37"/>
    <w:rsid w:val="006350B3"/>
    <w:rsid w:val="00672DB6"/>
    <w:rsid w:val="006A3316"/>
    <w:rsid w:val="006C20F6"/>
    <w:rsid w:val="006D6A31"/>
    <w:rsid w:val="006E0238"/>
    <w:rsid w:val="006E180B"/>
    <w:rsid w:val="006F388C"/>
    <w:rsid w:val="007306CF"/>
    <w:rsid w:val="007651A0"/>
    <w:rsid w:val="007A7F76"/>
    <w:rsid w:val="007D5A84"/>
    <w:rsid w:val="00815A11"/>
    <w:rsid w:val="00820987"/>
    <w:rsid w:val="008528CC"/>
    <w:rsid w:val="00864A42"/>
    <w:rsid w:val="0089012A"/>
    <w:rsid w:val="008C6FC5"/>
    <w:rsid w:val="008F70B6"/>
    <w:rsid w:val="00901FBD"/>
    <w:rsid w:val="009A3B36"/>
    <w:rsid w:val="00A116FF"/>
    <w:rsid w:val="00A415A1"/>
    <w:rsid w:val="00AB0B64"/>
    <w:rsid w:val="00AC6893"/>
    <w:rsid w:val="00AE1B3A"/>
    <w:rsid w:val="00B15EC8"/>
    <w:rsid w:val="00B26CE5"/>
    <w:rsid w:val="00B27BA5"/>
    <w:rsid w:val="00B30CC1"/>
    <w:rsid w:val="00B57845"/>
    <w:rsid w:val="00B673BE"/>
    <w:rsid w:val="00B93C50"/>
    <w:rsid w:val="00BD311C"/>
    <w:rsid w:val="00BE6134"/>
    <w:rsid w:val="00C249FB"/>
    <w:rsid w:val="00C567F3"/>
    <w:rsid w:val="00C8468A"/>
    <w:rsid w:val="00CE1BF6"/>
    <w:rsid w:val="00CF181E"/>
    <w:rsid w:val="00D34E14"/>
    <w:rsid w:val="00D548E6"/>
    <w:rsid w:val="00D672B5"/>
    <w:rsid w:val="00D95BD9"/>
    <w:rsid w:val="00DC773B"/>
    <w:rsid w:val="00DD0439"/>
    <w:rsid w:val="00E131FA"/>
    <w:rsid w:val="00E95376"/>
    <w:rsid w:val="00EA7A8B"/>
    <w:rsid w:val="00EB6093"/>
    <w:rsid w:val="00EE40B8"/>
    <w:rsid w:val="00F154B3"/>
    <w:rsid w:val="00FB7E43"/>
    <w:rsid w:val="00FE22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47EC"/>
  <w15:docId w15:val="{9946CB70-0CC3-4AB8-B0D9-17CC70C1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5C2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5C2F"/>
    <w:rPr>
      <w:rFonts w:ascii="Times New Roman" w:eastAsia="Times New Roman" w:hAnsi="Times New Roman" w:cs="Times New Roman"/>
      <w:b/>
      <w:bCs/>
      <w:sz w:val="36"/>
      <w:szCs w:val="36"/>
      <w:lang w:eastAsia="el-GR"/>
    </w:rPr>
  </w:style>
  <w:style w:type="paragraph" w:styleId="ListParagraph">
    <w:name w:val="List Paragraph"/>
    <w:basedOn w:val="Normal"/>
    <w:uiPriority w:val="34"/>
    <w:qFormat/>
    <w:rsid w:val="008F70B6"/>
    <w:pPr>
      <w:spacing w:after="0" w:line="240" w:lineRule="auto"/>
      <w:ind w:left="720"/>
      <w:contextualSpacing/>
    </w:pPr>
    <w:rPr>
      <w:rFonts w:ascii="Times New Roman" w:eastAsia="Times New Roman" w:hAnsi="Times New Roman" w:cs="Times New Roman"/>
      <w:sz w:val="24"/>
      <w:szCs w:val="24"/>
      <w:lang w:eastAsia="el-GR"/>
    </w:rPr>
  </w:style>
  <w:style w:type="paragraph" w:styleId="NormalWeb">
    <w:name w:val="Normal (Web)"/>
    <w:basedOn w:val="Normal"/>
    <w:uiPriority w:val="99"/>
    <w:semiHidden/>
    <w:unhideWhenUsed/>
    <w:rsid w:val="006E180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B26CE5"/>
    <w:rPr>
      <w:b/>
      <w:bCs/>
    </w:rPr>
  </w:style>
  <w:style w:type="paragraph" w:styleId="Header">
    <w:name w:val="header"/>
    <w:basedOn w:val="Normal"/>
    <w:link w:val="HeaderChar"/>
    <w:uiPriority w:val="99"/>
    <w:unhideWhenUsed/>
    <w:rsid w:val="003875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75EC"/>
  </w:style>
  <w:style w:type="paragraph" w:styleId="Footer">
    <w:name w:val="footer"/>
    <w:basedOn w:val="Normal"/>
    <w:link w:val="FooterChar"/>
    <w:uiPriority w:val="99"/>
    <w:unhideWhenUsed/>
    <w:rsid w:val="003875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75EC"/>
  </w:style>
  <w:style w:type="table" w:styleId="TableGrid">
    <w:name w:val="Table Grid"/>
    <w:basedOn w:val="TableNormal"/>
    <w:uiPriority w:val="59"/>
    <w:rsid w:val="00020155"/>
    <w:pPr>
      <w:spacing w:after="0" w:line="240" w:lineRule="auto"/>
    </w:pPr>
    <w:rPr>
      <w:rFonts w:eastAsiaTheme="minorEastAsia"/>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02015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20155"/>
    <w:rPr>
      <w:rFonts w:ascii="Calibri" w:hAnsi="Calibri"/>
      <w:szCs w:val="21"/>
      <w:lang w:val="en-US"/>
    </w:rPr>
  </w:style>
  <w:style w:type="paragraph" w:styleId="BalloonText">
    <w:name w:val="Balloon Text"/>
    <w:basedOn w:val="Normal"/>
    <w:link w:val="BalloonTextChar"/>
    <w:uiPriority w:val="99"/>
    <w:semiHidden/>
    <w:unhideWhenUsed/>
    <w:rsid w:val="00374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3394">
      <w:bodyDiv w:val="1"/>
      <w:marLeft w:val="0"/>
      <w:marRight w:val="0"/>
      <w:marTop w:val="0"/>
      <w:marBottom w:val="0"/>
      <w:divBdr>
        <w:top w:val="none" w:sz="0" w:space="0" w:color="auto"/>
        <w:left w:val="none" w:sz="0" w:space="0" w:color="auto"/>
        <w:bottom w:val="none" w:sz="0" w:space="0" w:color="auto"/>
        <w:right w:val="none" w:sz="0" w:space="0" w:color="auto"/>
      </w:divBdr>
    </w:div>
    <w:div w:id="331370143">
      <w:bodyDiv w:val="1"/>
      <w:marLeft w:val="0"/>
      <w:marRight w:val="0"/>
      <w:marTop w:val="0"/>
      <w:marBottom w:val="0"/>
      <w:divBdr>
        <w:top w:val="none" w:sz="0" w:space="0" w:color="auto"/>
        <w:left w:val="none" w:sz="0" w:space="0" w:color="auto"/>
        <w:bottom w:val="none" w:sz="0" w:space="0" w:color="auto"/>
        <w:right w:val="none" w:sz="0" w:space="0" w:color="auto"/>
      </w:divBdr>
      <w:divsChild>
        <w:div w:id="435174688">
          <w:marLeft w:val="547"/>
          <w:marRight w:val="0"/>
          <w:marTop w:val="0"/>
          <w:marBottom w:val="0"/>
          <w:divBdr>
            <w:top w:val="none" w:sz="0" w:space="0" w:color="auto"/>
            <w:left w:val="none" w:sz="0" w:space="0" w:color="auto"/>
            <w:bottom w:val="none" w:sz="0" w:space="0" w:color="auto"/>
            <w:right w:val="none" w:sz="0" w:space="0" w:color="auto"/>
          </w:divBdr>
        </w:div>
      </w:divsChild>
    </w:div>
    <w:div w:id="413825406">
      <w:bodyDiv w:val="1"/>
      <w:marLeft w:val="0"/>
      <w:marRight w:val="0"/>
      <w:marTop w:val="0"/>
      <w:marBottom w:val="0"/>
      <w:divBdr>
        <w:top w:val="none" w:sz="0" w:space="0" w:color="auto"/>
        <w:left w:val="none" w:sz="0" w:space="0" w:color="auto"/>
        <w:bottom w:val="none" w:sz="0" w:space="0" w:color="auto"/>
        <w:right w:val="none" w:sz="0" w:space="0" w:color="auto"/>
      </w:divBdr>
    </w:div>
    <w:div w:id="1443303413">
      <w:bodyDiv w:val="1"/>
      <w:marLeft w:val="0"/>
      <w:marRight w:val="0"/>
      <w:marTop w:val="0"/>
      <w:marBottom w:val="0"/>
      <w:divBdr>
        <w:top w:val="none" w:sz="0" w:space="0" w:color="auto"/>
        <w:left w:val="none" w:sz="0" w:space="0" w:color="auto"/>
        <w:bottom w:val="none" w:sz="0" w:space="0" w:color="auto"/>
        <w:right w:val="none" w:sz="0" w:space="0" w:color="auto"/>
      </w:divBdr>
    </w:div>
    <w:div w:id="1987277839">
      <w:bodyDiv w:val="1"/>
      <w:marLeft w:val="0"/>
      <w:marRight w:val="0"/>
      <w:marTop w:val="0"/>
      <w:marBottom w:val="0"/>
      <w:divBdr>
        <w:top w:val="none" w:sz="0" w:space="0" w:color="auto"/>
        <w:left w:val="none" w:sz="0" w:space="0" w:color="auto"/>
        <w:bottom w:val="none" w:sz="0" w:space="0" w:color="auto"/>
        <w:right w:val="none" w:sz="0" w:space="0" w:color="auto"/>
      </w:divBdr>
      <w:divsChild>
        <w:div w:id="8179140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5370</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ΚΑΛΛΙΟΠΗ ΠΑΠΑΔΑΚΗ</dc:creator>
  <cp:lastModifiedBy>Kostats Sarris</cp:lastModifiedBy>
  <cp:revision>2</cp:revision>
  <cp:lastPrinted>2022-01-07T09:48:00Z</cp:lastPrinted>
  <dcterms:created xsi:type="dcterms:W3CDTF">2022-01-07T11:07:00Z</dcterms:created>
  <dcterms:modified xsi:type="dcterms:W3CDTF">2022-01-07T11:07:00Z</dcterms:modified>
</cp:coreProperties>
</file>