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4C" w:rsidRPr="00CB6911" w:rsidRDefault="00C44B4C" w:rsidP="00B60CD5">
      <w:pPr>
        <w:pStyle w:val="NoSpacing"/>
        <w:spacing w:line="276" w:lineRule="auto"/>
        <w:jc w:val="center"/>
        <w:rPr>
          <w:rFonts w:asciiTheme="minorHAnsi" w:hAnsiTheme="minorHAnsi"/>
          <w:sz w:val="28"/>
          <w:szCs w:val="28"/>
        </w:rPr>
      </w:pPr>
      <w:bookmarkStart w:id="0" w:name="_GoBack"/>
      <w:bookmarkEnd w:id="0"/>
    </w:p>
    <w:p w:rsidR="00C44B4C" w:rsidRPr="00B60CD5" w:rsidRDefault="00C44B4C" w:rsidP="00B60CD5">
      <w:pPr>
        <w:pStyle w:val="NoSpacing"/>
        <w:spacing w:line="276" w:lineRule="auto"/>
        <w:rPr>
          <w:rFonts w:asciiTheme="minorHAnsi" w:hAnsiTheme="minorHAnsi"/>
          <w:sz w:val="24"/>
          <w:szCs w:val="24"/>
        </w:rPr>
      </w:pPr>
    </w:p>
    <w:p w:rsidR="00C44B4C" w:rsidRDefault="00C44B4C" w:rsidP="00B60CD5">
      <w:pPr>
        <w:pStyle w:val="NoSpacing"/>
        <w:spacing w:line="276" w:lineRule="auto"/>
        <w:jc w:val="center"/>
        <w:rPr>
          <w:rFonts w:asciiTheme="minorHAnsi" w:hAnsiTheme="minorHAnsi"/>
          <w:sz w:val="24"/>
          <w:szCs w:val="24"/>
        </w:rPr>
      </w:pPr>
    </w:p>
    <w:p w:rsidR="0097502C" w:rsidRPr="00B60CD5" w:rsidRDefault="0097502C" w:rsidP="00B60CD5">
      <w:pPr>
        <w:pStyle w:val="NoSpacing"/>
        <w:spacing w:line="276" w:lineRule="auto"/>
        <w:jc w:val="center"/>
        <w:rPr>
          <w:rFonts w:asciiTheme="minorHAnsi" w:hAnsiTheme="minorHAnsi"/>
          <w:sz w:val="24"/>
          <w:szCs w:val="24"/>
        </w:rPr>
      </w:pPr>
    </w:p>
    <w:p w:rsidR="009F3D08" w:rsidRPr="00D70C6E" w:rsidRDefault="00633886" w:rsidP="00B60CD5">
      <w:pPr>
        <w:pStyle w:val="NoSpacing"/>
        <w:spacing w:line="276" w:lineRule="auto"/>
        <w:jc w:val="center"/>
        <w:rPr>
          <w:rFonts w:asciiTheme="minorHAnsi" w:hAnsiTheme="minorHAnsi"/>
          <w:b/>
          <w:sz w:val="28"/>
          <w:szCs w:val="28"/>
        </w:rPr>
      </w:pPr>
      <w:r>
        <w:rPr>
          <w:rFonts w:asciiTheme="minorHAnsi" w:hAnsiTheme="minorHAnsi"/>
          <w:b/>
          <w:sz w:val="28"/>
          <w:szCs w:val="28"/>
        </w:rPr>
        <w:t>ΣΧΕΔΙΟ ΝΟΜΟΥ</w:t>
      </w:r>
    </w:p>
    <w:p w:rsidR="009F3D08" w:rsidRPr="00633886" w:rsidRDefault="009F3D08" w:rsidP="00B60CD5">
      <w:pPr>
        <w:pStyle w:val="NoSpacing"/>
        <w:spacing w:line="276" w:lineRule="auto"/>
        <w:jc w:val="center"/>
        <w:rPr>
          <w:rFonts w:asciiTheme="minorHAnsi" w:hAnsiTheme="minorHAnsi"/>
          <w:b/>
          <w:sz w:val="24"/>
          <w:szCs w:val="24"/>
        </w:rPr>
      </w:pPr>
      <w:r w:rsidRPr="00633886">
        <w:rPr>
          <w:rFonts w:asciiTheme="minorHAnsi" w:hAnsiTheme="minorHAnsi"/>
          <w:b/>
          <w:sz w:val="24"/>
          <w:szCs w:val="24"/>
        </w:rPr>
        <w:t>Κύρωση της Σύμβασης Παραχώρησης του αποκλειστικού δικαιώματος διοργάνωσης και διεξαγωγής αμοιβαίου στοιχήματος επί ιπποδρομιών στην Ελλάδα για περίοδο είκοσι ετών και άλλες διατάξεις</w:t>
      </w:r>
    </w:p>
    <w:p w:rsidR="00B60CD5" w:rsidRDefault="00B60CD5" w:rsidP="00B60CD5">
      <w:pPr>
        <w:pStyle w:val="NoSpacing"/>
        <w:spacing w:line="276" w:lineRule="auto"/>
        <w:rPr>
          <w:rFonts w:asciiTheme="minorHAnsi" w:hAnsiTheme="minorHAnsi"/>
          <w:sz w:val="24"/>
          <w:szCs w:val="24"/>
        </w:rPr>
      </w:pPr>
    </w:p>
    <w:p w:rsidR="00D70C6E" w:rsidRPr="00B60CD5" w:rsidRDefault="00D70C6E"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jc w:val="center"/>
        <w:rPr>
          <w:rFonts w:asciiTheme="minorHAnsi" w:hAnsiTheme="minorHAnsi"/>
          <w:b/>
          <w:sz w:val="24"/>
          <w:szCs w:val="24"/>
        </w:rPr>
      </w:pPr>
      <w:r w:rsidRPr="00B60CD5">
        <w:rPr>
          <w:rFonts w:asciiTheme="minorHAnsi" w:hAnsiTheme="minorHAnsi"/>
          <w:b/>
          <w:sz w:val="24"/>
          <w:szCs w:val="24"/>
        </w:rPr>
        <w:t>Άρθρο 1</w:t>
      </w:r>
    </w:p>
    <w:p w:rsidR="009F3D08" w:rsidRPr="00B60CD5" w:rsidRDefault="009F3D08" w:rsidP="00B60CD5">
      <w:pPr>
        <w:pStyle w:val="NoSpacing"/>
        <w:spacing w:line="276" w:lineRule="auto"/>
        <w:rPr>
          <w:rFonts w:asciiTheme="minorHAnsi" w:hAnsiTheme="minorHAnsi"/>
          <w:sz w:val="24"/>
          <w:szCs w:val="24"/>
        </w:rPr>
      </w:pPr>
      <w:r w:rsidRPr="00B60CD5">
        <w:rPr>
          <w:rFonts w:asciiTheme="minorHAnsi" w:hAnsiTheme="minorHAnsi"/>
          <w:sz w:val="24"/>
          <w:szCs w:val="24"/>
        </w:rPr>
        <w:t>Κυρώνεται και αποκτά ισχύ νόμου η «Σύμβαση Παραχώρησης του αποκλειστικού δικαιώματος διοργάνωσης και διεξαγωγής αμοιβαίου στοιχήματος επί ιπποδρομιών στην Ελλάδα για περίοδο είκοσι ετών», που υπογράφηκε στην Αθήνα στις 24 Απριλίου 2015, μεταξύ αφενός του «Ταμείου Αξιοποίησης Ιδιωτικής Περιουσίας του Δημοσίου Α.Ε.» και αφετέρου της «ΙΠΠΟΔΡΟΜΙΕΣ Α.Ε.», της οποίας το κείμενο, στην ελληνική και την αγγλική γλώσσα έχει ως εξής:</w:t>
      </w: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Default="009F3D08"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Default="00136373" w:rsidP="00B60CD5">
      <w:pPr>
        <w:pStyle w:val="NoSpacing"/>
        <w:spacing w:line="276" w:lineRule="auto"/>
        <w:rPr>
          <w:rFonts w:asciiTheme="minorHAnsi" w:hAnsiTheme="minorHAnsi"/>
          <w:sz w:val="24"/>
          <w:szCs w:val="24"/>
        </w:rPr>
      </w:pPr>
    </w:p>
    <w:p w:rsidR="00136373" w:rsidRPr="00B60CD5" w:rsidRDefault="00136373"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rPr>
          <w:rFonts w:asciiTheme="minorHAnsi" w:hAnsiTheme="minorHAnsi"/>
          <w:sz w:val="24"/>
          <w:szCs w:val="24"/>
        </w:rPr>
      </w:pPr>
    </w:p>
    <w:p w:rsidR="009F3D08" w:rsidRPr="00B60CD5" w:rsidRDefault="009F3D08" w:rsidP="00B60CD5">
      <w:pPr>
        <w:pStyle w:val="NoSpacing"/>
        <w:spacing w:line="276" w:lineRule="auto"/>
        <w:jc w:val="center"/>
        <w:rPr>
          <w:rFonts w:asciiTheme="minorHAnsi" w:hAnsiTheme="minorHAnsi"/>
          <w:b/>
          <w:sz w:val="24"/>
          <w:szCs w:val="24"/>
        </w:rPr>
      </w:pPr>
      <w:r w:rsidRPr="00B60CD5">
        <w:rPr>
          <w:rFonts w:asciiTheme="minorHAnsi" w:hAnsiTheme="minorHAnsi"/>
          <w:b/>
          <w:sz w:val="24"/>
          <w:szCs w:val="24"/>
        </w:rPr>
        <w:t>Άρθρο 2</w:t>
      </w:r>
    </w:p>
    <w:p w:rsidR="009F3D08" w:rsidRPr="00B60CD5" w:rsidRDefault="009F3D08" w:rsidP="00B60CD5">
      <w:pPr>
        <w:pStyle w:val="NoSpacing"/>
        <w:spacing w:line="276" w:lineRule="auto"/>
        <w:jc w:val="center"/>
        <w:rPr>
          <w:rFonts w:asciiTheme="minorHAnsi" w:hAnsiTheme="minorHAnsi"/>
          <w:b/>
          <w:sz w:val="24"/>
          <w:szCs w:val="24"/>
          <w:highlight w:val="yellow"/>
        </w:rPr>
      </w:pPr>
      <w:r w:rsidRPr="00B60CD5">
        <w:rPr>
          <w:rFonts w:asciiTheme="minorHAnsi" w:hAnsiTheme="minorHAnsi"/>
          <w:b/>
          <w:sz w:val="24"/>
          <w:szCs w:val="24"/>
        </w:rPr>
        <w:t>Ρύθμιση θεμάτων εκκαθάρισης ΟΔΙΕ Α.Ε.</w:t>
      </w:r>
    </w:p>
    <w:p w:rsidR="0097502C" w:rsidRDefault="0097502C" w:rsidP="00B60CD5">
      <w:pPr>
        <w:pStyle w:val="NoSpacing"/>
        <w:spacing w:line="276" w:lineRule="auto"/>
        <w:jc w:val="both"/>
        <w:rPr>
          <w:rFonts w:asciiTheme="minorHAnsi" w:hAnsiTheme="minorHAnsi"/>
          <w:b/>
          <w:sz w:val="24"/>
          <w:szCs w:val="24"/>
        </w:rPr>
      </w:pP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1.</w:t>
      </w:r>
      <w:r w:rsidRPr="00B60CD5">
        <w:rPr>
          <w:rFonts w:asciiTheme="minorHAnsi" w:hAnsiTheme="minorHAnsi"/>
          <w:sz w:val="24"/>
          <w:szCs w:val="24"/>
        </w:rPr>
        <w:t xml:space="preserve"> Η εκκαθάριση της ΟΔΙΕ Α.Ε. που προβλέπεται από το άρθρο 13 παράγραφος 7 (στ) του ν. 4111/2013 διέπεται από τις διατάξεις του παρόντος άρθρου και των άρθρων 47 επ. κ.ν. 2190/1920. Η παράγραφος 4</w:t>
      </w:r>
      <w:r w:rsidRPr="00B60CD5">
        <w:rPr>
          <w:rFonts w:asciiTheme="minorHAnsi" w:hAnsiTheme="minorHAnsi"/>
          <w:sz w:val="24"/>
          <w:szCs w:val="24"/>
          <w:vertAlign w:val="superscript"/>
        </w:rPr>
        <w:t>α</w:t>
      </w:r>
      <w:r w:rsidRPr="00B60CD5">
        <w:rPr>
          <w:rFonts w:asciiTheme="minorHAnsi" w:hAnsiTheme="minorHAnsi"/>
          <w:sz w:val="24"/>
          <w:szCs w:val="24"/>
        </w:rPr>
        <w:t xml:space="preserve"> εδάφ. α' του άρθρου 49 κ.ν. 2190/1920 εφαρμόζεται αυτοδικαίως, χωρίς να απαιτείται η έκδοση σχετικής δικαστικής απόφασης.</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2.</w:t>
      </w:r>
      <w:r w:rsidRPr="00B60CD5">
        <w:rPr>
          <w:rFonts w:asciiTheme="minorHAnsi" w:hAnsiTheme="minorHAnsi"/>
          <w:sz w:val="24"/>
          <w:szCs w:val="24"/>
        </w:rPr>
        <w:t xml:space="preserve"> Από την κατάθεση του παρόντος άρθρου στη Βουλή και μέχρι την πάροδο επτά ετών από την έναρξη της εκκαθάρισης της ΟΔΙΕ Α.Ε. αναστέλλονται οι πάσης φύσεως πράξεις ή μέτρα, εκκρεμή ή μη, ατομικής ή συλλογικής διοικητικής και αναγκαστικής εκτέλεσης κατά τον Κώδικα Πολιτικής Δικονομίας ή κάθε άλλη διάταξη ειδικού νόμου, καθώς και η λήψη οποιουδήποτε ασφαλιστικού μέτρου κατά τον Κώδικα Πολιτικής Δικονομίας, τον Κώδικα Διοικητικής Δικονομίας ή κάθε άλλη διάταξη ειδικού νόμου που επισπεύδονται ή ασκούνται από τους πάσης φύσεως δανειστές της ΟΔΙΕ Α.Ε. για οποιαδήποτε αιτία και για πάσης φύσεως περιουσιακό στοιχείο αυτής. Με αίτηση του εκκαθαριστή το δικαστήριο που δικάζει με τη διαδικασία της εκούσιας δικαιοδοσίας δύναται να παρατείνει την προθεσμία του προηγουμένου εδαφίου, εφόσον η εκκαθάριση δεν έχει ολοκληρωθεί παρά την επιμελή διεξαγωγή της. </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3.</w:t>
      </w:r>
      <w:r w:rsidRPr="00B60CD5">
        <w:rPr>
          <w:rFonts w:asciiTheme="minorHAnsi" w:hAnsiTheme="minorHAnsi"/>
          <w:sz w:val="24"/>
          <w:szCs w:val="24"/>
        </w:rPr>
        <w:t xml:space="preserve"> Κατά τη διάρκεια της προθεσμίας της προηγούμενης παραγράφου και της τυχόν παράτασής της δεν επιτρέπεται η κήρυξη της ΟΔΙΕ Α.Ε. σε πτώχευση.</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4.</w:t>
      </w:r>
      <w:r w:rsidRPr="00B60CD5">
        <w:rPr>
          <w:rFonts w:asciiTheme="minorHAnsi" w:hAnsiTheme="minorHAnsi"/>
          <w:sz w:val="24"/>
          <w:szCs w:val="24"/>
        </w:rPr>
        <w:t xml:space="preserve"> Κατά τη διάρκεια των επτά πρώτων ετών από την έναρξη της εκκαθάρισης δεν επιτρέπεται να εκποιηθούν  οι εγκαταστάσεις και το ακίνητο ιδιοκτησίας της ΟΔΙΕ Α.Ε. που βρίσκονται στο Μαρκόπουλο Αττικής. </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5.</w:t>
      </w:r>
      <w:r w:rsidRPr="00B60CD5">
        <w:rPr>
          <w:rFonts w:asciiTheme="minorHAnsi" w:hAnsiTheme="minorHAnsi"/>
          <w:sz w:val="24"/>
          <w:szCs w:val="24"/>
        </w:rPr>
        <w:t xml:space="preserve"> Με την επιφύλαξη της παραγράφου 4 του παρόντος άρθρου, ο εκκαθαριστής πωλεί τα κινητά και ακίνητα περιουσιακά στοιχεία της ΟΔΙΕ Α.Ε. με εκούσιο πλειστηριασμό σύμφωνα με το άρθρο 1021 ΚΠολΔ. Εκτός των διατάξεων στις οποίες παραπέμπει το άρθρο 1021 ΚΠολΔ, στην περίπτωση αυτή εφαρμόζονται και το άρθρο 1001</w:t>
      </w:r>
      <w:r w:rsidRPr="00B60CD5">
        <w:rPr>
          <w:rFonts w:asciiTheme="minorHAnsi" w:hAnsiTheme="minorHAnsi"/>
          <w:sz w:val="24"/>
          <w:szCs w:val="24"/>
          <w:vertAlign w:val="superscript"/>
        </w:rPr>
        <w:t>Α</w:t>
      </w:r>
      <w:r w:rsidRPr="00B60CD5">
        <w:rPr>
          <w:rFonts w:asciiTheme="minorHAnsi" w:hAnsiTheme="minorHAnsi"/>
          <w:sz w:val="24"/>
          <w:szCs w:val="24"/>
        </w:rPr>
        <w:t xml:space="preserve"> , η παράγραφος 3 του άρθρου 1005 και το άρθρο 1009 ΚΠολΔ. Οι υπερθεματιστές δεν ευθύνονται για οποιοδήποτε χρέος της ΟΔΙΕ Α.Ε. Αν δεν υπάρξει πλειοδότης, ο πλειστηριασμός επαναλαμβάνεται με τιμή που είναι κατά 20% μικρότερη από την τιμή πρώτης προσφοράς του αρχικού ή, σε περίπτωση περισσότερων πλειστηριασμών, του εκάστοτε αμέσως προηγούμενου πλειστηριασμού, χωρίς να απαιτείται η έκδοση δικαστικής απόφασης για τη μείωση της τιμής πρώτης προσφοράς. </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6.</w:t>
      </w:r>
      <w:r w:rsidRPr="00B60CD5">
        <w:rPr>
          <w:rFonts w:asciiTheme="minorHAnsi" w:hAnsiTheme="minorHAnsi"/>
          <w:sz w:val="24"/>
          <w:szCs w:val="24"/>
        </w:rPr>
        <w:t xml:space="preserve"> Το προϊόν της εκκαθάρισης κατανέμεται, μετά την αφαίρεση των δαπανών της εκκαθάρισης, στους πιστωτές σύμφωνα με το άρθρο 1920 ΑΚ που εφαρμόζεται αναλόγως. Μέχρι την έκδοση της προβλεπόμενης στη διάταξη αυτή δικαστικής απόφασης, ο εκκαθαριστής δύναται να καταβάλει τα έξοδα της εκκαθάρισης από τα έσοδα της περιουσίας της ΟΔΙΕ Α.Ε.</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7.</w:t>
      </w:r>
      <w:r w:rsidRPr="00B60CD5">
        <w:rPr>
          <w:rFonts w:asciiTheme="minorHAnsi" w:hAnsiTheme="minorHAnsi"/>
          <w:sz w:val="24"/>
          <w:szCs w:val="24"/>
        </w:rPr>
        <w:t xml:space="preserve"> Η διοίκηση της ΟΔΙΕ Α.Ε. δύναται να συμφωνεί την εκχώρηση έως και των 2/3 των μηνιαίως καταβαλλόμενων βασικών μισθωμάτων προς πιστωτές οι οποίοι έχουν επιβάλει αναγκαστική κατάσχεση, κατά τις διατάξεις του Κώδικα Πολιτικής Δικονομίας, επί των εγκαταστάσεων και του ακινήτου κυριότητας ΟΔΙΕ στο Μαρκόπουλο Αττικής, προς το σκοπό άρσης της εν λόγω κατάσχεσης. Κατά παρέκκλιση προς την πρόβλεψη της παραγράφου 2 του παρόντος άρθρου, η τήρηση των </w:t>
      </w:r>
      <w:r w:rsidRPr="00B60CD5">
        <w:rPr>
          <w:rFonts w:asciiTheme="minorHAnsi" w:hAnsiTheme="minorHAnsi"/>
          <w:sz w:val="24"/>
          <w:szCs w:val="24"/>
        </w:rPr>
        <w:lastRenderedPageBreak/>
        <w:t xml:space="preserve">ειδικότερων όρων της συμφωνίας εκχώρησης θα αποτελεί την προϋπόθεση για συνέχιση της αναστολής των προβλεπόμενων στην παράγραφο αυτή μέτρων των συγκεκριμένων πιστωτών. Σε περίπτωση αθέτησης της σύμβασης εκχώρησης εκ μέρους της ΟΔΙΕ Α.Ε., η εν λόγω αναστολή θα αίρεται και η εκ νέου επίσπευση της αναγκαστικής εκτέλεσης θα επιτρέπεται. </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8.</w:t>
      </w:r>
      <w:r w:rsidRPr="00B60CD5">
        <w:rPr>
          <w:rFonts w:asciiTheme="minorHAnsi" w:hAnsiTheme="minorHAnsi"/>
          <w:sz w:val="24"/>
          <w:szCs w:val="24"/>
        </w:rPr>
        <w:t xml:space="preserve"> Υπηρεσίες που παρέχονται κατά την ημερομηνία δημοσίευσης του παρόντος άρθρου αναφορικά με την λειτουργία του μηχανογραφικού συστήματος του συγκεντρωτή αμοιβαίου ιπποδρομιακού στοιχήματος συνεχίζουν να εκτελούνται το αργότερο μέχρι και τη θέση σε ισχύ της σύμβασης παραχώρησης του άρθρου 13 παρ.  7 του ν. 4111/2013 και υπό την προϋπόθεση της ομαλής εκτέλεσης της συμφωνίας εκχώρησης της προηγούμενης παραγράφου. Με τη συμφωνία εκχώρησης δύνανται να ρυθμίζονται, πέραν των οφειλών που αφορούν σε υπηρεσίες παρασχεθείσες στο πλαίσιο σύμβασης, και οφειλές που θα γεννηθούν κατά την παροχή υπηρεσιών με βάση την παρούσα διάταξη.</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9.</w:t>
      </w:r>
      <w:r w:rsidRPr="00B60CD5">
        <w:rPr>
          <w:rFonts w:asciiTheme="minorHAnsi" w:hAnsiTheme="minorHAnsi"/>
          <w:sz w:val="24"/>
          <w:szCs w:val="24"/>
        </w:rPr>
        <w:t xml:space="preserve"> Η αμοιβή του εκκαθαριστή ορίζεται με απόφαση της γενικής συνέλευσης της ΟΔΙΕ Α.Ε.</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10.</w:t>
      </w:r>
      <w:r w:rsidRPr="00B60CD5">
        <w:rPr>
          <w:rFonts w:asciiTheme="minorHAnsi" w:hAnsiTheme="minorHAnsi"/>
          <w:sz w:val="24"/>
          <w:szCs w:val="24"/>
        </w:rPr>
        <w:t xml:space="preserve"> Κατά τη διάρκεια της εκκαθάρισης του άρθρου 13 παράγραφος 7 (στ) του ν. 4111/2013, ως προς τον εκκαθαριστή εφαρμόζεται αναλόγως το άρθρο 9 παράγραφος 2 (β) του ν. 4224/2013. </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11.</w:t>
      </w:r>
      <w:r w:rsidRPr="00B60CD5">
        <w:rPr>
          <w:rFonts w:asciiTheme="minorHAnsi" w:hAnsiTheme="minorHAnsi"/>
          <w:sz w:val="24"/>
          <w:szCs w:val="24"/>
        </w:rPr>
        <w:t xml:space="preserve"> </w:t>
      </w:r>
      <w:r w:rsidRPr="00B60CD5">
        <w:rPr>
          <w:rFonts w:asciiTheme="minorHAnsi" w:hAnsiTheme="minorHAnsi"/>
          <w:iCs/>
          <w:sz w:val="24"/>
          <w:szCs w:val="24"/>
        </w:rPr>
        <w:t>Στην παραχώρηση που κυρώνεται με το άρθρο πρώτο του παρόντος, ο Παραχωρησιούχος δεν καθίσταται διάδοχος της ΟΔΙΕ Α.Ε. και δεν μεταβιβάζονται σε αυτόν δικαιώματα και υποχρεώσεις του οργανισμού που απορρέουν από οποιαδήποτε σύμβαση ή σχέση τυχόν συνδέεται με την λειτουργία του και αποκλείεται η εφαρμογή οποιασδήποτε άλλης αντίθετης διάταξης της ισχύουσας νομοθεσίας.</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b/>
          <w:sz w:val="24"/>
          <w:szCs w:val="24"/>
        </w:rPr>
        <w:t>12.</w:t>
      </w:r>
      <w:r w:rsidRPr="00B60CD5">
        <w:rPr>
          <w:rFonts w:asciiTheme="minorHAnsi" w:hAnsiTheme="minorHAnsi"/>
          <w:sz w:val="24"/>
          <w:szCs w:val="24"/>
        </w:rPr>
        <w:t xml:space="preserve"> Προστίθεται νέο εδάφιο μετά το έκτο εδάφιο της περίπτωσης β της παραγράφου 7 του άρθρου 13 του ν. 4111/2013, το οποίο έχει ως εξής:</w:t>
      </w:r>
    </w:p>
    <w:p w:rsidR="009F3D08" w:rsidRPr="00B60CD5" w:rsidRDefault="009F3D08" w:rsidP="00B60CD5">
      <w:pPr>
        <w:pStyle w:val="NoSpacing"/>
        <w:spacing w:line="276" w:lineRule="auto"/>
        <w:jc w:val="both"/>
        <w:rPr>
          <w:rFonts w:asciiTheme="minorHAnsi" w:hAnsiTheme="minorHAnsi"/>
          <w:sz w:val="24"/>
          <w:szCs w:val="24"/>
        </w:rPr>
      </w:pPr>
      <w:r w:rsidRPr="00B60CD5">
        <w:rPr>
          <w:rFonts w:asciiTheme="minorHAnsi" w:hAnsiTheme="minorHAnsi"/>
          <w:sz w:val="24"/>
          <w:szCs w:val="24"/>
        </w:rPr>
        <w:t>«Για τις ανάγκες εφαρμογής του άρθρου 618 ΑΚ η σύμβαση μίσθωσης από την κύρωσή της με νόμο αποκτά ισχύ συμβολαιογραφικού εγγράφου, μεταγράφεται στα οικεία βιβλία μεταγραφών και ισχύει έναντι τυχόν νέου κτήτορα του ακινήτου. Για τα έξοδα μεταγραφής ισχύει η πρόβλεψη του άρθρου 3 α’ της υποπαραγράφου Β.4 του ν. 4254/2014.».</w:t>
      </w:r>
    </w:p>
    <w:p w:rsidR="009F3D08" w:rsidRPr="00B60CD5" w:rsidRDefault="009F3D08" w:rsidP="00B60CD5">
      <w:pPr>
        <w:pStyle w:val="NoSpacing"/>
        <w:spacing w:line="276" w:lineRule="auto"/>
        <w:jc w:val="both"/>
        <w:rPr>
          <w:rFonts w:asciiTheme="minorHAnsi" w:hAnsiTheme="minorHAnsi"/>
          <w:strike/>
          <w:sz w:val="24"/>
          <w:szCs w:val="24"/>
        </w:rPr>
      </w:pPr>
      <w:r w:rsidRPr="00B60CD5">
        <w:rPr>
          <w:rFonts w:asciiTheme="minorHAnsi" w:hAnsiTheme="minorHAnsi"/>
          <w:b/>
          <w:sz w:val="24"/>
          <w:szCs w:val="24"/>
        </w:rPr>
        <w:t>13.</w:t>
      </w:r>
      <w:r w:rsidRPr="00B60CD5">
        <w:rPr>
          <w:rFonts w:asciiTheme="minorHAnsi" w:hAnsiTheme="minorHAnsi"/>
          <w:sz w:val="24"/>
          <w:szCs w:val="24"/>
        </w:rPr>
        <w:t xml:space="preserve"> Κατά παρέκκλιση των προβλέψεων του άρθρου 2 του ν. 604/1977 και του άρθρου 2 του π.δ. 463/1978, η Κτηνιατρική Κλινική που βρίσκεται εντός του Ολυμπιακού Ιππικού Κέντρου στο Μαρκόπουλο Αττικής που λειτουργεί νόμιμα υπό τον ΟΔΙΕ,  λογίζεται ως νομίμως αδειοδοτημένη και λειτουργούσα και για τον παραχωρησιούχο της παρ. 7 του άρθρου 13 του ν. 4111/2013. Η κλινική αυτή δύναται, πέραν των αλόγων του Νέου Ιπποδρόμου Μαρκόπουλου και του Ολυμπιακού Ιππικού Κέντρου, να εξυπηρετεί και άλλα μεγάλα ζώα, όπως αυτά ορίζονται από την εκάστοτε κείμενη νομοθεσία.</w:t>
      </w:r>
    </w:p>
    <w:p w:rsidR="009F3D08" w:rsidRPr="00B60CD5" w:rsidRDefault="009F3D08" w:rsidP="00B60CD5">
      <w:pPr>
        <w:pStyle w:val="NoSpacing"/>
        <w:spacing w:line="276" w:lineRule="auto"/>
        <w:rPr>
          <w:rFonts w:asciiTheme="minorHAnsi" w:hAnsiTheme="minorHAnsi"/>
          <w:sz w:val="24"/>
          <w:szCs w:val="24"/>
        </w:rPr>
      </w:pPr>
    </w:p>
    <w:p w:rsidR="009F3D08" w:rsidRDefault="009F3D08" w:rsidP="00B60CD5">
      <w:pPr>
        <w:pStyle w:val="NoSpacing"/>
        <w:spacing w:line="276" w:lineRule="auto"/>
        <w:rPr>
          <w:rFonts w:asciiTheme="minorHAnsi" w:hAnsiTheme="minorHAnsi"/>
          <w:sz w:val="24"/>
          <w:szCs w:val="24"/>
        </w:rPr>
      </w:pPr>
    </w:p>
    <w:p w:rsidR="00D70C6E" w:rsidRDefault="00D70C6E" w:rsidP="00B60CD5">
      <w:pPr>
        <w:pStyle w:val="NoSpacing"/>
        <w:spacing w:line="276" w:lineRule="auto"/>
        <w:rPr>
          <w:rFonts w:asciiTheme="minorHAnsi" w:hAnsiTheme="minorHAnsi"/>
          <w:sz w:val="24"/>
          <w:szCs w:val="24"/>
        </w:rPr>
      </w:pPr>
    </w:p>
    <w:p w:rsidR="00D70C6E" w:rsidRDefault="00D70C6E" w:rsidP="00B60CD5">
      <w:pPr>
        <w:pStyle w:val="NoSpacing"/>
        <w:spacing w:line="276" w:lineRule="auto"/>
        <w:rPr>
          <w:rFonts w:asciiTheme="minorHAnsi" w:hAnsiTheme="minorHAnsi"/>
          <w:sz w:val="24"/>
          <w:szCs w:val="24"/>
        </w:rPr>
      </w:pPr>
    </w:p>
    <w:p w:rsidR="00D70C6E" w:rsidRDefault="00D70C6E" w:rsidP="00B60CD5">
      <w:pPr>
        <w:pStyle w:val="NoSpacing"/>
        <w:spacing w:line="276" w:lineRule="auto"/>
        <w:rPr>
          <w:rFonts w:asciiTheme="minorHAnsi" w:hAnsiTheme="minorHAnsi"/>
          <w:sz w:val="24"/>
          <w:szCs w:val="24"/>
        </w:rPr>
      </w:pPr>
    </w:p>
    <w:p w:rsidR="00C44B4C" w:rsidRPr="009B7680" w:rsidRDefault="0097502C" w:rsidP="00FE2BF9">
      <w:pPr>
        <w:spacing w:after="160" w:line="259" w:lineRule="auto"/>
        <w:jc w:val="center"/>
        <w:rPr>
          <w:rFonts w:asciiTheme="minorHAnsi" w:hAnsiTheme="minorHAnsi"/>
          <w:b/>
          <w:sz w:val="24"/>
          <w:szCs w:val="24"/>
        </w:rPr>
      </w:pPr>
      <w:r>
        <w:rPr>
          <w:rFonts w:asciiTheme="minorHAnsi" w:hAnsiTheme="minorHAnsi"/>
          <w:sz w:val="28"/>
          <w:szCs w:val="28"/>
        </w:rPr>
        <w:br w:type="page"/>
      </w:r>
      <w:r w:rsidR="00C44B4C" w:rsidRPr="00596B57">
        <w:rPr>
          <w:rFonts w:asciiTheme="minorHAnsi" w:hAnsiTheme="minorHAnsi"/>
          <w:b/>
          <w:sz w:val="24"/>
          <w:szCs w:val="24"/>
        </w:rPr>
        <w:lastRenderedPageBreak/>
        <w:t xml:space="preserve">Άρθρο </w:t>
      </w:r>
      <w:r w:rsidR="00FE2BF9">
        <w:rPr>
          <w:rFonts w:asciiTheme="minorHAnsi" w:hAnsiTheme="minorHAnsi"/>
          <w:b/>
          <w:sz w:val="24"/>
          <w:szCs w:val="24"/>
        </w:rPr>
        <w:t>3</w:t>
      </w:r>
    </w:p>
    <w:p w:rsidR="00C44B4C" w:rsidRPr="00596B57" w:rsidRDefault="00C44B4C" w:rsidP="00596B57">
      <w:pPr>
        <w:pStyle w:val="NoSpacing"/>
        <w:spacing w:line="276" w:lineRule="auto"/>
        <w:jc w:val="center"/>
        <w:rPr>
          <w:rFonts w:asciiTheme="minorHAnsi" w:hAnsiTheme="minorHAnsi"/>
          <w:b/>
          <w:sz w:val="24"/>
          <w:szCs w:val="24"/>
        </w:rPr>
      </w:pPr>
      <w:r w:rsidRPr="00596B57">
        <w:rPr>
          <w:rFonts w:asciiTheme="minorHAnsi" w:hAnsiTheme="minorHAnsi"/>
          <w:b/>
          <w:sz w:val="24"/>
          <w:szCs w:val="24"/>
        </w:rPr>
        <w:t>Έναρξη ισχύος</w:t>
      </w:r>
    </w:p>
    <w:p w:rsidR="00C44B4C" w:rsidRDefault="00C44B4C" w:rsidP="00B60CD5">
      <w:pPr>
        <w:pStyle w:val="NoSpacing"/>
        <w:spacing w:line="276" w:lineRule="auto"/>
        <w:rPr>
          <w:rFonts w:asciiTheme="minorHAnsi" w:hAnsiTheme="minorHAnsi"/>
          <w:sz w:val="24"/>
          <w:szCs w:val="24"/>
        </w:rPr>
      </w:pPr>
      <w:r w:rsidRPr="00B60CD5">
        <w:rPr>
          <w:rFonts w:asciiTheme="minorHAnsi" w:hAnsiTheme="minorHAnsi"/>
          <w:sz w:val="24"/>
          <w:szCs w:val="24"/>
        </w:rPr>
        <w:t>Η ισχύς του παρόντος νόμου αρχίζει από τη δημοσίευσή του στην Εφημερίδα της Κυβερνήσεως</w:t>
      </w:r>
      <w:r w:rsidR="00596B57">
        <w:rPr>
          <w:rFonts w:asciiTheme="minorHAnsi" w:hAnsiTheme="minorHAnsi"/>
          <w:sz w:val="24"/>
          <w:szCs w:val="24"/>
        </w:rPr>
        <w:t>, εκτός αν ορίζεται διαφορετικά σε κάποιες από τις διατάξεις του</w:t>
      </w:r>
      <w:r w:rsidRPr="00B60CD5">
        <w:rPr>
          <w:rFonts w:asciiTheme="minorHAnsi" w:hAnsiTheme="minorHAnsi"/>
          <w:sz w:val="24"/>
          <w:szCs w:val="24"/>
        </w:rPr>
        <w:t>.</w:t>
      </w:r>
    </w:p>
    <w:p w:rsidR="00EA26F6" w:rsidRDefault="00EA26F6" w:rsidP="00EA26F6">
      <w:pPr>
        <w:spacing w:after="160" w:line="259" w:lineRule="auto"/>
        <w:rPr>
          <w:rFonts w:asciiTheme="minorHAnsi" w:hAnsiTheme="minorHAnsi"/>
          <w:sz w:val="24"/>
          <w:szCs w:val="24"/>
        </w:rPr>
      </w:pPr>
    </w:p>
    <w:p w:rsidR="007D45F0" w:rsidRDefault="007D45F0" w:rsidP="00EA26F6">
      <w:pPr>
        <w:spacing w:after="160" w:line="259" w:lineRule="auto"/>
        <w:rPr>
          <w:rFonts w:asciiTheme="minorHAnsi" w:hAnsiTheme="minorHAnsi"/>
          <w:sz w:val="24"/>
          <w:szCs w:val="24"/>
        </w:rPr>
      </w:pPr>
    </w:p>
    <w:p w:rsidR="007D45F0" w:rsidRDefault="007D45F0" w:rsidP="00EA26F6">
      <w:pPr>
        <w:spacing w:after="160" w:line="259" w:lineRule="auto"/>
        <w:rPr>
          <w:rFonts w:asciiTheme="minorHAnsi" w:hAnsiTheme="minorHAnsi"/>
          <w:sz w:val="24"/>
          <w:szCs w:val="24"/>
        </w:rPr>
      </w:pPr>
    </w:p>
    <w:p w:rsidR="007D45F0" w:rsidRDefault="007D45F0" w:rsidP="00EA26F6">
      <w:pPr>
        <w:spacing w:after="160" w:line="259" w:lineRule="auto"/>
        <w:rPr>
          <w:rFonts w:asciiTheme="minorHAnsi" w:hAnsiTheme="minorHAnsi"/>
          <w:sz w:val="24"/>
          <w:szCs w:val="24"/>
        </w:rPr>
      </w:pPr>
    </w:p>
    <w:p w:rsidR="007312A9" w:rsidRDefault="007312A9" w:rsidP="007312A9">
      <w:pPr>
        <w:spacing w:after="160" w:line="259" w:lineRule="auto"/>
        <w:jc w:val="right"/>
        <w:rPr>
          <w:rFonts w:asciiTheme="minorHAnsi" w:hAnsiTheme="minorHAnsi"/>
          <w:sz w:val="24"/>
          <w:szCs w:val="24"/>
        </w:rPr>
      </w:pPr>
      <w:r>
        <w:rPr>
          <w:rFonts w:asciiTheme="minorHAnsi" w:hAnsiTheme="minorHAnsi"/>
          <w:sz w:val="24"/>
          <w:szCs w:val="24"/>
        </w:rPr>
        <w:t>Αθήνα, … .10.2015</w:t>
      </w:r>
    </w:p>
    <w:p w:rsidR="00EA26F6" w:rsidRPr="007312A9" w:rsidRDefault="007312A9" w:rsidP="007312A9">
      <w:pPr>
        <w:spacing w:after="160" w:line="259" w:lineRule="auto"/>
        <w:jc w:val="center"/>
        <w:rPr>
          <w:rFonts w:asciiTheme="minorHAnsi" w:hAnsiTheme="minorHAnsi"/>
          <w:b/>
          <w:sz w:val="24"/>
          <w:szCs w:val="24"/>
        </w:rPr>
      </w:pPr>
      <w:r w:rsidRPr="007312A9">
        <w:rPr>
          <w:rFonts w:asciiTheme="minorHAnsi" w:hAnsiTheme="minorHAnsi"/>
          <w:b/>
          <w:sz w:val="24"/>
          <w:szCs w:val="24"/>
        </w:rPr>
        <w:t>Οι Υπουργοί</w:t>
      </w:r>
    </w:p>
    <w:tbl>
      <w:tblPr>
        <w:tblW w:w="9230" w:type="dxa"/>
        <w:jc w:val="center"/>
        <w:tblLayout w:type="fixed"/>
        <w:tblLook w:val="0000" w:firstRow="0" w:lastRow="0" w:firstColumn="0" w:lastColumn="0" w:noHBand="0" w:noVBand="0"/>
      </w:tblPr>
      <w:tblGrid>
        <w:gridCol w:w="4536"/>
        <w:gridCol w:w="4694"/>
      </w:tblGrid>
      <w:tr w:rsidR="007312A9" w:rsidRPr="00B60CD5" w:rsidTr="007312A9">
        <w:trPr>
          <w:trHeight w:val="2132"/>
          <w:jc w:val="center"/>
        </w:trPr>
        <w:tc>
          <w:tcPr>
            <w:tcW w:w="4536" w:type="dxa"/>
          </w:tcPr>
          <w:p w:rsidR="007312A9" w:rsidRPr="00B60CD5" w:rsidRDefault="007312A9" w:rsidP="00743B18">
            <w:pPr>
              <w:pStyle w:val="NoSpacing"/>
              <w:spacing w:line="276" w:lineRule="auto"/>
              <w:rPr>
                <w:rFonts w:asciiTheme="minorHAnsi" w:hAnsiTheme="minorHAnsi"/>
                <w:sz w:val="24"/>
                <w:szCs w:val="24"/>
              </w:rPr>
            </w:pPr>
            <w:r w:rsidRPr="00B60CD5">
              <w:rPr>
                <w:rFonts w:asciiTheme="minorHAnsi" w:hAnsiTheme="minorHAnsi"/>
                <w:sz w:val="24"/>
                <w:szCs w:val="24"/>
              </w:rPr>
              <w:t>Εσωτερικών και</w:t>
            </w:r>
          </w:p>
          <w:p w:rsidR="007312A9" w:rsidRPr="00B60CD5" w:rsidRDefault="007312A9" w:rsidP="00743B18">
            <w:pPr>
              <w:pStyle w:val="NoSpacing"/>
              <w:spacing w:line="276" w:lineRule="auto"/>
              <w:rPr>
                <w:rFonts w:asciiTheme="minorHAnsi" w:hAnsiTheme="minorHAnsi"/>
                <w:sz w:val="24"/>
                <w:szCs w:val="24"/>
              </w:rPr>
            </w:pPr>
            <w:r w:rsidRPr="00B60CD5">
              <w:rPr>
                <w:rFonts w:asciiTheme="minorHAnsi" w:hAnsiTheme="minorHAnsi"/>
                <w:sz w:val="24"/>
                <w:szCs w:val="24"/>
              </w:rPr>
              <w:t>Διοικητικής Ανασυγκρότησης</w:t>
            </w:r>
          </w:p>
          <w:p w:rsidR="007312A9" w:rsidRDefault="007312A9" w:rsidP="00743B18">
            <w:pPr>
              <w:pStyle w:val="NoSpacing"/>
              <w:spacing w:line="276" w:lineRule="auto"/>
              <w:rPr>
                <w:rFonts w:asciiTheme="minorHAnsi" w:hAnsiTheme="minorHAnsi"/>
                <w:sz w:val="24"/>
                <w:szCs w:val="24"/>
              </w:rPr>
            </w:pPr>
          </w:p>
          <w:p w:rsidR="00E368B7" w:rsidRPr="00B60CD5" w:rsidRDefault="00E368B7" w:rsidP="00743B18">
            <w:pPr>
              <w:pStyle w:val="NoSpacing"/>
              <w:spacing w:line="276" w:lineRule="auto"/>
              <w:rPr>
                <w:rFonts w:asciiTheme="minorHAnsi" w:hAnsiTheme="minorHAnsi"/>
                <w:sz w:val="24"/>
                <w:szCs w:val="24"/>
              </w:rPr>
            </w:pPr>
          </w:p>
          <w:p w:rsidR="007312A9" w:rsidRDefault="007312A9" w:rsidP="00743B18">
            <w:pPr>
              <w:pStyle w:val="NoSpacing"/>
              <w:spacing w:line="276" w:lineRule="auto"/>
              <w:rPr>
                <w:rFonts w:asciiTheme="minorHAnsi" w:hAnsiTheme="minorHAnsi"/>
                <w:sz w:val="24"/>
                <w:szCs w:val="24"/>
              </w:rPr>
            </w:pPr>
            <w:r w:rsidRPr="00B60CD5">
              <w:rPr>
                <w:rFonts w:asciiTheme="minorHAnsi" w:hAnsiTheme="minorHAnsi"/>
                <w:sz w:val="24"/>
                <w:szCs w:val="24"/>
              </w:rPr>
              <w:t>Πάνος Κουρουμπλής</w:t>
            </w:r>
          </w:p>
          <w:p w:rsidR="00374F92" w:rsidRDefault="00374F92" w:rsidP="00374F92">
            <w:pPr>
              <w:pStyle w:val="NoSpacing"/>
              <w:spacing w:line="276" w:lineRule="auto"/>
              <w:rPr>
                <w:rFonts w:asciiTheme="minorHAnsi" w:hAnsiTheme="minorHAnsi"/>
                <w:sz w:val="24"/>
                <w:szCs w:val="24"/>
              </w:rPr>
            </w:pPr>
          </w:p>
          <w:p w:rsidR="00374F92" w:rsidRDefault="00374F92" w:rsidP="00374F92">
            <w:pPr>
              <w:pStyle w:val="NoSpacing"/>
              <w:spacing w:line="276" w:lineRule="auto"/>
              <w:rPr>
                <w:rFonts w:asciiTheme="minorHAnsi" w:hAnsiTheme="minorHAnsi"/>
                <w:sz w:val="24"/>
                <w:szCs w:val="24"/>
              </w:rPr>
            </w:pPr>
          </w:p>
          <w:p w:rsidR="00374F92" w:rsidRPr="00B60CD5" w:rsidRDefault="00374F92" w:rsidP="00374F92">
            <w:pPr>
              <w:pStyle w:val="NoSpacing"/>
              <w:spacing w:line="276" w:lineRule="auto"/>
              <w:rPr>
                <w:rFonts w:asciiTheme="minorHAnsi" w:hAnsiTheme="minorHAnsi"/>
                <w:sz w:val="24"/>
                <w:szCs w:val="24"/>
              </w:rPr>
            </w:pPr>
          </w:p>
        </w:tc>
        <w:tc>
          <w:tcPr>
            <w:tcW w:w="4694" w:type="dxa"/>
          </w:tcPr>
          <w:p w:rsidR="00013181" w:rsidRPr="00B60CD5" w:rsidRDefault="00013181" w:rsidP="00013181">
            <w:pPr>
              <w:pStyle w:val="NoSpacing"/>
              <w:spacing w:line="276" w:lineRule="auto"/>
              <w:rPr>
                <w:rFonts w:asciiTheme="minorHAnsi" w:hAnsiTheme="minorHAnsi"/>
                <w:sz w:val="24"/>
                <w:szCs w:val="24"/>
              </w:rPr>
            </w:pPr>
            <w:r w:rsidRPr="00B60CD5">
              <w:rPr>
                <w:rFonts w:asciiTheme="minorHAnsi" w:hAnsiTheme="minorHAnsi"/>
                <w:sz w:val="24"/>
                <w:szCs w:val="24"/>
              </w:rPr>
              <w:t>Οικονομικών</w:t>
            </w:r>
          </w:p>
          <w:p w:rsidR="00013181" w:rsidRPr="00B60CD5" w:rsidRDefault="00013181" w:rsidP="00013181">
            <w:pPr>
              <w:pStyle w:val="NoSpacing"/>
              <w:spacing w:line="276" w:lineRule="auto"/>
              <w:rPr>
                <w:rFonts w:asciiTheme="minorHAnsi" w:hAnsiTheme="minorHAnsi"/>
                <w:sz w:val="24"/>
                <w:szCs w:val="24"/>
                <w:lang w:val="en-US"/>
              </w:rPr>
            </w:pPr>
          </w:p>
          <w:p w:rsidR="00374F92" w:rsidRPr="00B60CD5" w:rsidRDefault="00013181" w:rsidP="00013181">
            <w:pPr>
              <w:pStyle w:val="NoSpacing"/>
              <w:spacing w:line="276" w:lineRule="auto"/>
              <w:rPr>
                <w:rFonts w:asciiTheme="minorHAnsi" w:hAnsiTheme="minorHAnsi"/>
                <w:sz w:val="24"/>
                <w:szCs w:val="24"/>
              </w:rPr>
            </w:pPr>
            <w:r w:rsidRPr="00B60CD5">
              <w:rPr>
                <w:rFonts w:asciiTheme="minorHAnsi" w:hAnsiTheme="minorHAnsi"/>
                <w:sz w:val="24"/>
                <w:szCs w:val="24"/>
              </w:rPr>
              <w:t>Ευκλείδης Τσακαλώτος</w:t>
            </w:r>
          </w:p>
        </w:tc>
      </w:tr>
      <w:tr w:rsidR="007312A9" w:rsidRPr="00B60CD5" w:rsidTr="007312A9">
        <w:trPr>
          <w:trHeight w:val="460"/>
          <w:jc w:val="center"/>
        </w:trPr>
        <w:tc>
          <w:tcPr>
            <w:tcW w:w="4536" w:type="dxa"/>
          </w:tcPr>
          <w:p w:rsidR="007312A9" w:rsidRPr="00B60CD5" w:rsidRDefault="007312A9" w:rsidP="00743B18">
            <w:pPr>
              <w:pStyle w:val="NoSpacing"/>
              <w:spacing w:line="276" w:lineRule="auto"/>
              <w:rPr>
                <w:rFonts w:asciiTheme="minorHAnsi" w:hAnsiTheme="minorHAnsi"/>
                <w:sz w:val="24"/>
                <w:szCs w:val="24"/>
              </w:rPr>
            </w:pPr>
          </w:p>
        </w:tc>
        <w:tc>
          <w:tcPr>
            <w:tcW w:w="4694" w:type="dxa"/>
          </w:tcPr>
          <w:p w:rsidR="007312A9" w:rsidRPr="00B60CD5" w:rsidRDefault="007312A9" w:rsidP="00743B18">
            <w:pPr>
              <w:pStyle w:val="NoSpacing"/>
              <w:spacing w:line="276" w:lineRule="auto"/>
              <w:rPr>
                <w:rFonts w:asciiTheme="minorHAnsi" w:hAnsiTheme="minorHAnsi"/>
                <w:sz w:val="24"/>
                <w:szCs w:val="24"/>
              </w:rPr>
            </w:pPr>
          </w:p>
        </w:tc>
      </w:tr>
      <w:tr w:rsidR="007312A9" w:rsidRPr="00B60CD5" w:rsidTr="007312A9">
        <w:trPr>
          <w:trHeight w:val="158"/>
          <w:jc w:val="center"/>
        </w:trPr>
        <w:tc>
          <w:tcPr>
            <w:tcW w:w="4536" w:type="dxa"/>
          </w:tcPr>
          <w:p w:rsidR="007312A9" w:rsidRPr="00B60CD5" w:rsidRDefault="007312A9" w:rsidP="00743B18">
            <w:pPr>
              <w:pStyle w:val="NoSpacing"/>
              <w:spacing w:line="276" w:lineRule="auto"/>
              <w:rPr>
                <w:rFonts w:asciiTheme="minorHAnsi" w:hAnsiTheme="minorHAnsi"/>
                <w:sz w:val="24"/>
                <w:szCs w:val="24"/>
              </w:rPr>
            </w:pPr>
          </w:p>
        </w:tc>
        <w:tc>
          <w:tcPr>
            <w:tcW w:w="4694" w:type="dxa"/>
          </w:tcPr>
          <w:p w:rsidR="007312A9" w:rsidRPr="00B60CD5" w:rsidRDefault="007312A9" w:rsidP="00743B18">
            <w:pPr>
              <w:pStyle w:val="NoSpacing"/>
              <w:spacing w:line="276" w:lineRule="auto"/>
              <w:rPr>
                <w:rFonts w:asciiTheme="minorHAnsi" w:hAnsiTheme="minorHAnsi"/>
                <w:sz w:val="24"/>
                <w:szCs w:val="24"/>
              </w:rPr>
            </w:pPr>
          </w:p>
        </w:tc>
      </w:tr>
      <w:tr w:rsidR="007312A9" w:rsidRPr="00B60CD5" w:rsidTr="007312A9">
        <w:trPr>
          <w:trHeight w:val="460"/>
          <w:jc w:val="center"/>
        </w:trPr>
        <w:tc>
          <w:tcPr>
            <w:tcW w:w="4536" w:type="dxa"/>
          </w:tcPr>
          <w:p w:rsidR="007312A9" w:rsidRPr="00B60CD5" w:rsidRDefault="007312A9" w:rsidP="00743B18">
            <w:pPr>
              <w:pStyle w:val="NoSpacing"/>
              <w:spacing w:line="276" w:lineRule="auto"/>
              <w:rPr>
                <w:rFonts w:asciiTheme="minorHAnsi" w:hAnsiTheme="minorHAnsi"/>
                <w:sz w:val="24"/>
                <w:szCs w:val="24"/>
              </w:rPr>
            </w:pPr>
          </w:p>
        </w:tc>
        <w:tc>
          <w:tcPr>
            <w:tcW w:w="4694" w:type="dxa"/>
          </w:tcPr>
          <w:p w:rsidR="007312A9" w:rsidRPr="00B60CD5" w:rsidRDefault="007312A9" w:rsidP="00743B18">
            <w:pPr>
              <w:pStyle w:val="NoSpacing"/>
              <w:spacing w:line="276" w:lineRule="auto"/>
              <w:rPr>
                <w:rFonts w:asciiTheme="minorHAnsi" w:hAnsiTheme="minorHAnsi"/>
                <w:sz w:val="24"/>
                <w:szCs w:val="24"/>
              </w:rPr>
            </w:pPr>
          </w:p>
        </w:tc>
      </w:tr>
    </w:tbl>
    <w:p w:rsidR="00EA26F6" w:rsidRDefault="00EA26F6" w:rsidP="00EA26F6">
      <w:pPr>
        <w:spacing w:after="160" w:line="259" w:lineRule="auto"/>
        <w:rPr>
          <w:rFonts w:asciiTheme="minorHAnsi" w:hAnsiTheme="minorHAnsi"/>
          <w:sz w:val="24"/>
          <w:szCs w:val="24"/>
        </w:rPr>
      </w:pPr>
    </w:p>
    <w:p w:rsidR="00EA26F6" w:rsidRDefault="00EA26F6" w:rsidP="00EA26F6">
      <w:pPr>
        <w:spacing w:after="160" w:line="259" w:lineRule="auto"/>
        <w:rPr>
          <w:rFonts w:asciiTheme="minorHAnsi" w:hAnsiTheme="minorHAnsi"/>
          <w:sz w:val="24"/>
          <w:szCs w:val="24"/>
        </w:rPr>
      </w:pPr>
    </w:p>
    <w:sectPr w:rsidR="00EA26F6" w:rsidSect="008A197D">
      <w:footerReference w:type="default" r:id="rId7"/>
      <w:pgSz w:w="11906" w:h="16838"/>
      <w:pgMar w:top="1079" w:right="1106" w:bottom="899"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2D" w:rsidRDefault="004B132D">
      <w:pPr>
        <w:spacing w:line="240" w:lineRule="auto"/>
      </w:pPr>
      <w:r>
        <w:separator/>
      </w:r>
    </w:p>
  </w:endnote>
  <w:endnote w:type="continuationSeparator" w:id="0">
    <w:p w:rsidR="004B132D" w:rsidRDefault="004B1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62" w:rsidRDefault="00FF4962">
    <w:pPr>
      <w:pStyle w:val="1"/>
      <w:tabs>
        <w:tab w:val="center" w:pos="4153"/>
        <w:tab w:val="right" w:pos="8306"/>
      </w:tabs>
      <w:spacing w:line="240" w:lineRule="auto"/>
      <w:jc w:val="right"/>
    </w:pPr>
    <w:r>
      <w:fldChar w:fldCharType="begin"/>
    </w:r>
    <w:r>
      <w:instrText>PAGE</w:instrText>
    </w:r>
    <w:r>
      <w:fldChar w:fldCharType="separate"/>
    </w:r>
    <w:r w:rsidR="00964CAB">
      <w:rPr>
        <w:noProof/>
      </w:rPr>
      <w:t>1</w:t>
    </w:r>
    <w:r>
      <w:rPr>
        <w:noProof/>
      </w:rPr>
      <w:fldChar w:fldCharType="end"/>
    </w:r>
  </w:p>
  <w:p w:rsidR="00FF4962" w:rsidRDefault="00FF4962">
    <w:pPr>
      <w:pStyle w:val="1"/>
      <w:tabs>
        <w:tab w:val="center" w:pos="4153"/>
        <w:tab w:val="right" w:pos="8306"/>
      </w:tabs>
      <w:spacing w:after="709"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2D" w:rsidRDefault="004B132D">
      <w:pPr>
        <w:spacing w:line="240" w:lineRule="auto"/>
      </w:pPr>
      <w:r>
        <w:separator/>
      </w:r>
    </w:p>
  </w:footnote>
  <w:footnote w:type="continuationSeparator" w:id="0">
    <w:p w:rsidR="004B132D" w:rsidRDefault="004B1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2E07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E7F1F"/>
    <w:multiLevelType w:val="hybridMultilevel"/>
    <w:tmpl w:val="836AE16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3DA2B90"/>
    <w:multiLevelType w:val="multilevel"/>
    <w:tmpl w:val="FFFFFFFF"/>
    <w:lvl w:ilvl="0">
      <w:start w:val="1"/>
      <w:numFmt w:val="decimal"/>
      <w:lvlText w:val="%1."/>
      <w:lvlJc w:val="left"/>
      <w:pPr>
        <w:ind w:left="360"/>
      </w:pPr>
      <w:rPr>
        <w:rFonts w:cs="Times New Roman"/>
        <w:vertAlign w:val="baseline"/>
      </w:rPr>
    </w:lvl>
    <w:lvl w:ilvl="1">
      <w:start w:val="1"/>
      <w:numFmt w:val="decimal"/>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3" w15:restartNumberingAfterBreak="0">
    <w:nsid w:val="3864068E"/>
    <w:multiLevelType w:val="hybridMultilevel"/>
    <w:tmpl w:val="30CEAFC2"/>
    <w:lvl w:ilvl="0" w:tplc="11C87ABE">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4F4B39A3"/>
    <w:multiLevelType w:val="multilevel"/>
    <w:tmpl w:val="FFFFFFFF"/>
    <w:lvl w:ilvl="0">
      <w:start w:val="1"/>
      <w:numFmt w:val="decimal"/>
      <w:pStyle w:val="ListBullet"/>
      <w:lvlText w:val="%1."/>
      <w:lvlJc w:val="left"/>
      <w:pPr>
        <w:ind w:left="360"/>
      </w:pPr>
      <w:rPr>
        <w:rFonts w:cs="Times New Roman"/>
        <w:vertAlign w:val="baseline"/>
      </w:rPr>
    </w:lvl>
    <w:lvl w:ilvl="1">
      <w:start w:val="1"/>
      <w:numFmt w:val="decimal"/>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5" w15:restartNumberingAfterBreak="0">
    <w:nsid w:val="630E6B97"/>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15:restartNumberingAfterBreak="0">
    <w:nsid w:val="6B7C4A96"/>
    <w:multiLevelType w:val="multilevel"/>
    <w:tmpl w:val="FFFFFFFF"/>
    <w:lvl w:ilvl="0">
      <w:start w:val="1"/>
      <w:numFmt w:val="decimal"/>
      <w:lvlText w:val="%1."/>
      <w:lvlJc w:val="left"/>
      <w:pPr>
        <w:ind w:left="360"/>
      </w:pPr>
      <w:rPr>
        <w:rFonts w:cs="Times New Roman"/>
        <w:vertAlign w:val="baseline"/>
      </w:rPr>
    </w:lvl>
    <w:lvl w:ilvl="1">
      <w:start w:val="1"/>
      <w:numFmt w:val="decimal"/>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num w:numId="1">
    <w:abstractNumId w:val="0"/>
  </w:num>
  <w:num w:numId="2">
    <w:abstractNumId w:val="2"/>
  </w:num>
  <w:num w:numId="3">
    <w:abstractNumId w:val="5"/>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4C"/>
    <w:rsid w:val="00013181"/>
    <w:rsid w:val="00020CC9"/>
    <w:rsid w:val="00032E42"/>
    <w:rsid w:val="00136373"/>
    <w:rsid w:val="00151C69"/>
    <w:rsid w:val="00156E79"/>
    <w:rsid w:val="00196E1C"/>
    <w:rsid w:val="00247F9D"/>
    <w:rsid w:val="00283838"/>
    <w:rsid w:val="002F4374"/>
    <w:rsid w:val="003409F6"/>
    <w:rsid w:val="00374F92"/>
    <w:rsid w:val="00380981"/>
    <w:rsid w:val="00425939"/>
    <w:rsid w:val="004326F8"/>
    <w:rsid w:val="004965D4"/>
    <w:rsid w:val="004B132D"/>
    <w:rsid w:val="004D3F2C"/>
    <w:rsid w:val="004D5D88"/>
    <w:rsid w:val="00533253"/>
    <w:rsid w:val="00594CBD"/>
    <w:rsid w:val="00596B57"/>
    <w:rsid w:val="00633886"/>
    <w:rsid w:val="006B6EEA"/>
    <w:rsid w:val="007312A9"/>
    <w:rsid w:val="00734715"/>
    <w:rsid w:val="00743B18"/>
    <w:rsid w:val="0077338E"/>
    <w:rsid w:val="007C54EE"/>
    <w:rsid w:val="007D45F0"/>
    <w:rsid w:val="008A197D"/>
    <w:rsid w:val="00917A4C"/>
    <w:rsid w:val="00964CAB"/>
    <w:rsid w:val="0097502C"/>
    <w:rsid w:val="009B396A"/>
    <w:rsid w:val="009B7680"/>
    <w:rsid w:val="009E7CA1"/>
    <w:rsid w:val="009F3D08"/>
    <w:rsid w:val="00A62B82"/>
    <w:rsid w:val="00B0435B"/>
    <w:rsid w:val="00B44782"/>
    <w:rsid w:val="00B60CD5"/>
    <w:rsid w:val="00BC37BF"/>
    <w:rsid w:val="00C44B4C"/>
    <w:rsid w:val="00CB6911"/>
    <w:rsid w:val="00CD5877"/>
    <w:rsid w:val="00CE6138"/>
    <w:rsid w:val="00D70C6E"/>
    <w:rsid w:val="00D742B6"/>
    <w:rsid w:val="00DB596F"/>
    <w:rsid w:val="00E11544"/>
    <w:rsid w:val="00E368B7"/>
    <w:rsid w:val="00E56BEA"/>
    <w:rsid w:val="00E8209D"/>
    <w:rsid w:val="00E8717B"/>
    <w:rsid w:val="00EA26F6"/>
    <w:rsid w:val="00F30DD9"/>
    <w:rsid w:val="00F341D9"/>
    <w:rsid w:val="00F70718"/>
    <w:rsid w:val="00FA5DF0"/>
    <w:rsid w:val="00FE2BF9"/>
    <w:rsid w:val="00FF25EC"/>
    <w:rsid w:val="00FF49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90FBD-1E87-4BB1-92EE-605701E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4C"/>
    <w:pPr>
      <w:spacing w:after="0" w:line="276" w:lineRule="auto"/>
    </w:pPr>
    <w:rPr>
      <w:rFonts w:ascii="Arial" w:eastAsia="Arial" w:hAnsi="Arial" w:cs="Arial"/>
      <w:color w:val="000000"/>
      <w:lang w:eastAsia="el-GR"/>
    </w:rPr>
  </w:style>
  <w:style w:type="paragraph" w:styleId="Heading1">
    <w:name w:val="heading 1"/>
    <w:basedOn w:val="1"/>
    <w:next w:val="1"/>
    <w:link w:val="Heading1Char"/>
    <w:uiPriority w:val="99"/>
    <w:qFormat/>
    <w:rsid w:val="00C44B4C"/>
    <w:pPr>
      <w:keepNext/>
      <w:keepLines/>
      <w:spacing w:before="480" w:after="120"/>
      <w:contextualSpacing/>
      <w:outlineLvl w:val="0"/>
    </w:pPr>
    <w:rPr>
      <w:rFonts w:ascii="Cambria" w:hAnsi="Cambria" w:cs="Times New Roman"/>
      <w:b/>
      <w:bCs/>
      <w:kern w:val="32"/>
      <w:sz w:val="32"/>
      <w:szCs w:val="32"/>
    </w:rPr>
  </w:style>
  <w:style w:type="paragraph" w:styleId="Heading2">
    <w:name w:val="heading 2"/>
    <w:basedOn w:val="1"/>
    <w:next w:val="1"/>
    <w:link w:val="Heading2Char"/>
    <w:uiPriority w:val="99"/>
    <w:qFormat/>
    <w:rsid w:val="00C44B4C"/>
    <w:pPr>
      <w:keepNext/>
      <w:keepLines/>
      <w:spacing w:before="360" w:after="80"/>
      <w:contextualSpacing/>
      <w:outlineLvl w:val="1"/>
    </w:pPr>
    <w:rPr>
      <w:rFonts w:ascii="Cambria" w:hAnsi="Cambria" w:cs="Times New Roman"/>
      <w:b/>
      <w:bCs/>
      <w:i/>
      <w:iCs/>
      <w:sz w:val="28"/>
      <w:szCs w:val="28"/>
    </w:rPr>
  </w:style>
  <w:style w:type="paragraph" w:styleId="Heading3">
    <w:name w:val="heading 3"/>
    <w:basedOn w:val="1"/>
    <w:next w:val="1"/>
    <w:link w:val="Heading3Char"/>
    <w:uiPriority w:val="99"/>
    <w:qFormat/>
    <w:rsid w:val="00C44B4C"/>
    <w:pPr>
      <w:keepNext/>
      <w:keepLines/>
      <w:spacing w:before="280" w:after="80"/>
      <w:contextualSpacing/>
      <w:outlineLvl w:val="2"/>
    </w:pPr>
    <w:rPr>
      <w:rFonts w:ascii="Cambria" w:hAnsi="Cambria" w:cs="Times New Roman"/>
      <w:b/>
      <w:bCs/>
      <w:sz w:val="26"/>
      <w:szCs w:val="26"/>
    </w:rPr>
  </w:style>
  <w:style w:type="paragraph" w:styleId="Heading4">
    <w:name w:val="heading 4"/>
    <w:basedOn w:val="1"/>
    <w:next w:val="1"/>
    <w:link w:val="Heading4Char"/>
    <w:uiPriority w:val="99"/>
    <w:qFormat/>
    <w:rsid w:val="00C44B4C"/>
    <w:pPr>
      <w:keepNext/>
      <w:keepLines/>
      <w:spacing w:before="240" w:after="40"/>
      <w:contextualSpacing/>
      <w:outlineLvl w:val="3"/>
    </w:pPr>
    <w:rPr>
      <w:rFonts w:ascii="Calibri" w:hAnsi="Calibri" w:cs="Times New Roman"/>
      <w:b/>
      <w:bCs/>
      <w:sz w:val="28"/>
      <w:szCs w:val="28"/>
    </w:rPr>
  </w:style>
  <w:style w:type="paragraph" w:styleId="Heading5">
    <w:name w:val="heading 5"/>
    <w:basedOn w:val="1"/>
    <w:next w:val="1"/>
    <w:link w:val="Heading5Char"/>
    <w:uiPriority w:val="99"/>
    <w:qFormat/>
    <w:rsid w:val="00C44B4C"/>
    <w:pPr>
      <w:keepNext/>
      <w:keepLines/>
      <w:spacing w:before="220" w:after="40"/>
      <w:contextualSpacing/>
      <w:outlineLvl w:val="4"/>
    </w:pPr>
    <w:rPr>
      <w:rFonts w:ascii="Calibri" w:hAnsi="Calibri" w:cs="Times New Roman"/>
      <w:b/>
      <w:bCs/>
      <w:i/>
      <w:iCs/>
      <w:sz w:val="26"/>
      <w:szCs w:val="26"/>
    </w:rPr>
  </w:style>
  <w:style w:type="paragraph" w:styleId="Heading6">
    <w:name w:val="heading 6"/>
    <w:basedOn w:val="1"/>
    <w:next w:val="1"/>
    <w:link w:val="Heading6Char"/>
    <w:uiPriority w:val="99"/>
    <w:qFormat/>
    <w:rsid w:val="00C44B4C"/>
    <w:pPr>
      <w:keepNext/>
      <w:keepLines/>
      <w:spacing w:before="200" w:after="40"/>
      <w:contextualSpacing/>
      <w:outlineLvl w:val="5"/>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4B4C"/>
    <w:rPr>
      <w:rFonts w:ascii="Cambria" w:eastAsia="Arial" w:hAnsi="Cambria" w:cs="Times New Roman"/>
      <w:b/>
      <w:bCs/>
      <w:color w:val="000000"/>
      <w:kern w:val="32"/>
      <w:sz w:val="32"/>
      <w:szCs w:val="32"/>
      <w:lang w:eastAsia="el-GR"/>
    </w:rPr>
  </w:style>
  <w:style w:type="character" w:customStyle="1" w:styleId="Heading2Char">
    <w:name w:val="Heading 2 Char"/>
    <w:basedOn w:val="DefaultParagraphFont"/>
    <w:link w:val="Heading2"/>
    <w:uiPriority w:val="99"/>
    <w:rsid w:val="00C44B4C"/>
    <w:rPr>
      <w:rFonts w:ascii="Cambria" w:eastAsia="Arial" w:hAnsi="Cambria" w:cs="Times New Roman"/>
      <w:b/>
      <w:bCs/>
      <w:i/>
      <w:iCs/>
      <w:color w:val="000000"/>
      <w:sz w:val="28"/>
      <w:szCs w:val="28"/>
      <w:lang w:eastAsia="el-GR"/>
    </w:rPr>
  </w:style>
  <w:style w:type="character" w:customStyle="1" w:styleId="Heading3Char">
    <w:name w:val="Heading 3 Char"/>
    <w:basedOn w:val="DefaultParagraphFont"/>
    <w:link w:val="Heading3"/>
    <w:uiPriority w:val="99"/>
    <w:rsid w:val="00C44B4C"/>
    <w:rPr>
      <w:rFonts w:ascii="Cambria" w:eastAsia="Arial" w:hAnsi="Cambria" w:cs="Times New Roman"/>
      <w:b/>
      <w:bCs/>
      <w:color w:val="000000"/>
      <w:sz w:val="26"/>
      <w:szCs w:val="26"/>
      <w:lang w:eastAsia="el-GR"/>
    </w:rPr>
  </w:style>
  <w:style w:type="character" w:customStyle="1" w:styleId="Heading4Char">
    <w:name w:val="Heading 4 Char"/>
    <w:basedOn w:val="DefaultParagraphFont"/>
    <w:link w:val="Heading4"/>
    <w:uiPriority w:val="99"/>
    <w:rsid w:val="00C44B4C"/>
    <w:rPr>
      <w:rFonts w:ascii="Calibri" w:eastAsia="Arial" w:hAnsi="Calibri" w:cs="Times New Roman"/>
      <w:b/>
      <w:bCs/>
      <w:color w:val="000000"/>
      <w:sz w:val="28"/>
      <w:szCs w:val="28"/>
      <w:lang w:eastAsia="el-GR"/>
    </w:rPr>
  </w:style>
  <w:style w:type="character" w:customStyle="1" w:styleId="Heading5Char">
    <w:name w:val="Heading 5 Char"/>
    <w:basedOn w:val="DefaultParagraphFont"/>
    <w:link w:val="Heading5"/>
    <w:uiPriority w:val="99"/>
    <w:rsid w:val="00C44B4C"/>
    <w:rPr>
      <w:rFonts w:ascii="Calibri" w:eastAsia="Arial" w:hAnsi="Calibri" w:cs="Times New Roman"/>
      <w:b/>
      <w:bCs/>
      <w:i/>
      <w:iCs/>
      <w:color w:val="000000"/>
      <w:sz w:val="26"/>
      <w:szCs w:val="26"/>
      <w:lang w:eastAsia="el-GR"/>
    </w:rPr>
  </w:style>
  <w:style w:type="character" w:customStyle="1" w:styleId="Heading6Char">
    <w:name w:val="Heading 6 Char"/>
    <w:basedOn w:val="DefaultParagraphFont"/>
    <w:link w:val="Heading6"/>
    <w:uiPriority w:val="99"/>
    <w:rsid w:val="00C44B4C"/>
    <w:rPr>
      <w:rFonts w:ascii="Calibri" w:eastAsia="Arial" w:hAnsi="Calibri" w:cs="Times New Roman"/>
      <w:b/>
      <w:bCs/>
      <w:color w:val="000000"/>
      <w:sz w:val="20"/>
      <w:szCs w:val="20"/>
      <w:lang w:eastAsia="el-GR"/>
    </w:rPr>
  </w:style>
  <w:style w:type="paragraph" w:styleId="BalloonText">
    <w:name w:val="Balloon Text"/>
    <w:basedOn w:val="Normal"/>
    <w:link w:val="BalloonTextChar"/>
    <w:uiPriority w:val="99"/>
    <w:semiHidden/>
    <w:rsid w:val="00C44B4C"/>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rsid w:val="00C44B4C"/>
    <w:rPr>
      <w:rFonts w:ascii="Times New Roman" w:eastAsia="Arial" w:hAnsi="Times New Roman" w:cs="Times New Roman"/>
      <w:color w:val="000000"/>
      <w:sz w:val="2"/>
      <w:szCs w:val="20"/>
      <w:lang w:eastAsia="el-GR"/>
    </w:rPr>
  </w:style>
  <w:style w:type="paragraph" w:customStyle="1" w:styleId="1">
    <w:name w:val="Βασικό1"/>
    <w:uiPriority w:val="99"/>
    <w:rsid w:val="00C44B4C"/>
    <w:pPr>
      <w:spacing w:after="0" w:line="276" w:lineRule="auto"/>
    </w:pPr>
    <w:rPr>
      <w:rFonts w:ascii="Arial" w:eastAsia="Arial" w:hAnsi="Arial" w:cs="Arial"/>
      <w:color w:val="000000"/>
      <w:lang w:eastAsia="el-GR"/>
    </w:rPr>
  </w:style>
  <w:style w:type="paragraph" w:styleId="Title">
    <w:name w:val="Title"/>
    <w:basedOn w:val="1"/>
    <w:next w:val="1"/>
    <w:link w:val="TitleChar"/>
    <w:uiPriority w:val="99"/>
    <w:qFormat/>
    <w:rsid w:val="00C44B4C"/>
    <w:pPr>
      <w:keepNext/>
      <w:keepLines/>
      <w:spacing w:before="480" w:after="120"/>
      <w:contextualSpacing/>
    </w:pPr>
    <w:rPr>
      <w:rFonts w:ascii="Cambria" w:hAnsi="Cambria" w:cs="Times New Roman"/>
      <w:b/>
      <w:bCs/>
      <w:kern w:val="28"/>
      <w:sz w:val="32"/>
      <w:szCs w:val="32"/>
    </w:rPr>
  </w:style>
  <w:style w:type="character" w:customStyle="1" w:styleId="TitleChar">
    <w:name w:val="Title Char"/>
    <w:basedOn w:val="DefaultParagraphFont"/>
    <w:link w:val="Title"/>
    <w:uiPriority w:val="99"/>
    <w:rsid w:val="00C44B4C"/>
    <w:rPr>
      <w:rFonts w:ascii="Cambria" w:eastAsia="Arial" w:hAnsi="Cambria" w:cs="Times New Roman"/>
      <w:b/>
      <w:bCs/>
      <w:color w:val="000000"/>
      <w:kern w:val="28"/>
      <w:sz w:val="32"/>
      <w:szCs w:val="32"/>
      <w:lang w:eastAsia="el-GR"/>
    </w:rPr>
  </w:style>
  <w:style w:type="paragraph" w:styleId="Subtitle">
    <w:name w:val="Subtitle"/>
    <w:basedOn w:val="1"/>
    <w:next w:val="1"/>
    <w:link w:val="SubtitleChar"/>
    <w:uiPriority w:val="99"/>
    <w:qFormat/>
    <w:rsid w:val="00C44B4C"/>
    <w:pPr>
      <w:keepNext/>
      <w:keepLines/>
      <w:spacing w:before="360" w:after="80"/>
      <w:contextualSpacing/>
    </w:pPr>
    <w:rPr>
      <w:rFonts w:ascii="Cambria" w:hAnsi="Cambria" w:cs="Times New Roman"/>
      <w:sz w:val="24"/>
      <w:szCs w:val="24"/>
    </w:rPr>
  </w:style>
  <w:style w:type="character" w:customStyle="1" w:styleId="SubtitleChar">
    <w:name w:val="Subtitle Char"/>
    <w:basedOn w:val="DefaultParagraphFont"/>
    <w:link w:val="Subtitle"/>
    <w:uiPriority w:val="99"/>
    <w:rsid w:val="00C44B4C"/>
    <w:rPr>
      <w:rFonts w:ascii="Cambria" w:eastAsia="Arial" w:hAnsi="Cambria" w:cs="Times New Roman"/>
      <w:color w:val="000000"/>
      <w:sz w:val="24"/>
      <w:szCs w:val="24"/>
      <w:lang w:eastAsia="el-GR"/>
    </w:rPr>
  </w:style>
  <w:style w:type="table" w:customStyle="1" w:styleId="a">
    <w:name w:val="Στυλ"/>
    <w:uiPriority w:val="99"/>
    <w:rsid w:val="00C44B4C"/>
    <w:pPr>
      <w:spacing w:after="0" w:line="240" w:lineRule="auto"/>
    </w:pPr>
    <w:rPr>
      <w:rFonts w:ascii="Arial" w:eastAsia="Arial" w:hAnsi="Arial" w:cs="Arial"/>
      <w:sz w:val="20"/>
      <w:szCs w:val="20"/>
      <w:lang w:eastAsia="el-GR"/>
    </w:rPr>
    <w:tblPr>
      <w:tblStyleRowBandSize w:val="1"/>
      <w:tblStyleColBandSize w:val="1"/>
      <w:tblInd w:w="0" w:type="dxa"/>
      <w:tblCellMar>
        <w:top w:w="0" w:type="dxa"/>
        <w:left w:w="108" w:type="dxa"/>
        <w:bottom w:w="0" w:type="dxa"/>
        <w:right w:w="108" w:type="dxa"/>
      </w:tblCellMar>
    </w:tblPr>
  </w:style>
  <w:style w:type="table" w:customStyle="1" w:styleId="2">
    <w:name w:val="Στυλ2"/>
    <w:uiPriority w:val="99"/>
    <w:rsid w:val="00C44B4C"/>
    <w:pPr>
      <w:spacing w:after="0" w:line="240" w:lineRule="auto"/>
    </w:pPr>
    <w:rPr>
      <w:rFonts w:ascii="Arial" w:eastAsia="Arial" w:hAnsi="Arial" w:cs="Arial"/>
      <w:sz w:val="20"/>
      <w:szCs w:val="20"/>
      <w:lang w:eastAsia="el-GR"/>
    </w:rPr>
    <w:tblPr>
      <w:tblStyleRowBandSize w:val="1"/>
      <w:tblStyleColBandSize w:val="1"/>
      <w:tblInd w:w="0" w:type="dxa"/>
      <w:tblCellMar>
        <w:top w:w="0" w:type="dxa"/>
        <w:left w:w="108" w:type="dxa"/>
        <w:bottom w:w="0" w:type="dxa"/>
        <w:right w:w="108" w:type="dxa"/>
      </w:tblCellMar>
    </w:tblPr>
  </w:style>
  <w:style w:type="table" w:customStyle="1" w:styleId="10">
    <w:name w:val="Στυλ1"/>
    <w:uiPriority w:val="99"/>
    <w:rsid w:val="00C44B4C"/>
    <w:pPr>
      <w:spacing w:after="0" w:line="240" w:lineRule="auto"/>
    </w:pPr>
    <w:rPr>
      <w:rFonts w:ascii="Arial" w:eastAsia="Arial" w:hAnsi="Arial" w:cs="Arial"/>
      <w:sz w:val="20"/>
      <w:szCs w:val="20"/>
      <w:lang w:eastAsia="el-GR"/>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C44B4C"/>
    <w:pPr>
      <w:spacing w:line="240" w:lineRule="auto"/>
    </w:pPr>
    <w:rPr>
      <w:rFonts w:cs="Times New Roman"/>
      <w:color w:val="auto"/>
      <w:sz w:val="20"/>
      <w:szCs w:val="20"/>
    </w:rPr>
  </w:style>
  <w:style w:type="character" w:customStyle="1" w:styleId="CommentTextChar">
    <w:name w:val="Comment Text Char"/>
    <w:basedOn w:val="DefaultParagraphFont"/>
    <w:link w:val="CommentText"/>
    <w:uiPriority w:val="99"/>
    <w:semiHidden/>
    <w:rsid w:val="00C44B4C"/>
    <w:rPr>
      <w:rFonts w:ascii="Arial" w:eastAsia="Arial" w:hAnsi="Arial" w:cs="Times New Roman"/>
      <w:sz w:val="20"/>
      <w:szCs w:val="20"/>
      <w:lang w:eastAsia="el-GR"/>
    </w:rPr>
  </w:style>
  <w:style w:type="character" w:styleId="CommentReference">
    <w:name w:val="annotation reference"/>
    <w:basedOn w:val="DefaultParagraphFont"/>
    <w:uiPriority w:val="99"/>
    <w:semiHidden/>
    <w:rsid w:val="00C44B4C"/>
    <w:rPr>
      <w:rFonts w:ascii="Calibri" w:hAnsi="Calibri" w:cs="Times New Roman"/>
      <w:sz w:val="24"/>
    </w:rPr>
  </w:style>
  <w:style w:type="paragraph" w:styleId="CommentSubject">
    <w:name w:val="annotation subject"/>
    <w:basedOn w:val="CommentText"/>
    <w:next w:val="CommentText"/>
    <w:link w:val="CommentSubjectChar"/>
    <w:uiPriority w:val="99"/>
    <w:semiHidden/>
    <w:rsid w:val="00C44B4C"/>
    <w:pPr>
      <w:spacing w:line="276" w:lineRule="auto"/>
    </w:pPr>
    <w:rPr>
      <w:b/>
      <w:bCs/>
    </w:rPr>
  </w:style>
  <w:style w:type="character" w:customStyle="1" w:styleId="CommentSubjectChar">
    <w:name w:val="Comment Subject Char"/>
    <w:basedOn w:val="CommentTextChar"/>
    <w:link w:val="CommentSubject"/>
    <w:uiPriority w:val="99"/>
    <w:semiHidden/>
    <w:rsid w:val="00C44B4C"/>
    <w:rPr>
      <w:rFonts w:ascii="Arial" w:eastAsia="Arial" w:hAnsi="Arial" w:cs="Times New Roman"/>
      <w:b/>
      <w:bCs/>
      <w:sz w:val="20"/>
      <w:szCs w:val="20"/>
      <w:lang w:eastAsia="el-GR"/>
    </w:rPr>
  </w:style>
  <w:style w:type="character" w:customStyle="1" w:styleId="apple-tab-span">
    <w:name w:val="apple-tab-span"/>
    <w:uiPriority w:val="99"/>
    <w:rsid w:val="00C44B4C"/>
  </w:style>
  <w:style w:type="character" w:customStyle="1" w:styleId="apple-converted-space">
    <w:name w:val="apple-converted-space"/>
    <w:uiPriority w:val="99"/>
    <w:rsid w:val="00C44B4C"/>
  </w:style>
  <w:style w:type="paragraph" w:styleId="NormalWeb">
    <w:name w:val="Normal (Web)"/>
    <w:basedOn w:val="Normal"/>
    <w:uiPriority w:val="99"/>
    <w:rsid w:val="00C44B4C"/>
    <w:pPr>
      <w:spacing w:before="100" w:beforeAutospacing="1" w:after="100" w:afterAutospacing="1" w:line="240" w:lineRule="auto"/>
    </w:pPr>
    <w:rPr>
      <w:rFonts w:ascii="Times New Roman" w:hAnsi="Times New Roman" w:cs="Times New Roman"/>
      <w:color w:val="auto"/>
      <w:sz w:val="24"/>
      <w:szCs w:val="24"/>
    </w:rPr>
  </w:style>
  <w:style w:type="paragraph" w:styleId="ListBullet">
    <w:name w:val="List Bullet"/>
    <w:basedOn w:val="Normal"/>
    <w:uiPriority w:val="99"/>
    <w:rsid w:val="00C44B4C"/>
    <w:pPr>
      <w:numPr>
        <w:numId w:val="4"/>
      </w:numPr>
      <w:tabs>
        <w:tab w:val="num" w:pos="720"/>
      </w:tabs>
      <w:ind w:hanging="360"/>
    </w:pPr>
  </w:style>
  <w:style w:type="paragraph" w:styleId="Revision">
    <w:name w:val="Revision"/>
    <w:hidden/>
    <w:uiPriority w:val="99"/>
    <w:semiHidden/>
    <w:rsid w:val="00C44B4C"/>
    <w:pPr>
      <w:spacing w:after="0" w:line="240" w:lineRule="auto"/>
    </w:pPr>
    <w:rPr>
      <w:rFonts w:ascii="Arial" w:eastAsia="Arial" w:hAnsi="Arial" w:cs="Arial"/>
      <w:color w:val="000000"/>
      <w:lang w:eastAsia="el-GR"/>
    </w:rPr>
  </w:style>
  <w:style w:type="paragraph" w:styleId="FootnoteText">
    <w:name w:val="footnote text"/>
    <w:basedOn w:val="Normal"/>
    <w:link w:val="FootnoteTextChar"/>
    <w:uiPriority w:val="99"/>
    <w:semiHidden/>
    <w:rsid w:val="00C44B4C"/>
    <w:pPr>
      <w:spacing w:line="240" w:lineRule="auto"/>
    </w:pPr>
    <w:rPr>
      <w:sz w:val="20"/>
      <w:szCs w:val="20"/>
    </w:rPr>
  </w:style>
  <w:style w:type="character" w:customStyle="1" w:styleId="FootnoteTextChar">
    <w:name w:val="Footnote Text Char"/>
    <w:basedOn w:val="DefaultParagraphFont"/>
    <w:link w:val="FootnoteText"/>
    <w:uiPriority w:val="99"/>
    <w:semiHidden/>
    <w:rsid w:val="00C44B4C"/>
    <w:rPr>
      <w:rFonts w:ascii="Arial" w:eastAsia="Arial" w:hAnsi="Arial" w:cs="Arial"/>
      <w:color w:val="000000"/>
      <w:sz w:val="20"/>
      <w:szCs w:val="20"/>
      <w:lang w:eastAsia="el-GR"/>
    </w:rPr>
  </w:style>
  <w:style w:type="character" w:styleId="FootnoteReference">
    <w:name w:val="footnote reference"/>
    <w:basedOn w:val="DefaultParagraphFont"/>
    <w:uiPriority w:val="99"/>
    <w:semiHidden/>
    <w:rsid w:val="00C44B4C"/>
    <w:rPr>
      <w:rFonts w:cs="Times New Roman"/>
      <w:vertAlign w:val="superscript"/>
    </w:rPr>
  </w:style>
  <w:style w:type="paragraph" w:customStyle="1" w:styleId="3">
    <w:name w:val="Στυλ3"/>
    <w:basedOn w:val="CommentText"/>
    <w:link w:val="3Char"/>
    <w:uiPriority w:val="99"/>
    <w:rsid w:val="00C44B4C"/>
  </w:style>
  <w:style w:type="character" w:customStyle="1" w:styleId="3Char">
    <w:name w:val="Στυλ3 Char"/>
    <w:basedOn w:val="CommentTextChar"/>
    <w:link w:val="3"/>
    <w:uiPriority w:val="99"/>
    <w:locked/>
    <w:rsid w:val="00C44B4C"/>
    <w:rPr>
      <w:rFonts w:ascii="Arial" w:eastAsia="Arial" w:hAnsi="Arial" w:cs="Times New Roman"/>
      <w:sz w:val="20"/>
      <w:szCs w:val="20"/>
      <w:lang w:eastAsia="el-GR"/>
    </w:rPr>
  </w:style>
  <w:style w:type="paragraph" w:styleId="HTMLPreformatted">
    <w:name w:val="HTML Preformatted"/>
    <w:basedOn w:val="Normal"/>
    <w:link w:val="HTMLPreformattedChar"/>
    <w:uiPriority w:val="99"/>
    <w:rsid w:val="00C4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C44B4C"/>
    <w:rPr>
      <w:rFonts w:ascii="Courier New" w:eastAsia="Arial" w:hAnsi="Courier New" w:cs="Courier New"/>
      <w:sz w:val="20"/>
      <w:szCs w:val="20"/>
      <w:lang w:eastAsia="el-GR"/>
    </w:rPr>
  </w:style>
  <w:style w:type="paragraph" w:customStyle="1" w:styleId="11">
    <w:name w:val="Παράγραφος λίστας1"/>
    <w:basedOn w:val="Normal"/>
    <w:uiPriority w:val="99"/>
    <w:rsid w:val="00C44B4C"/>
    <w:pPr>
      <w:spacing w:after="200"/>
      <w:ind w:left="720"/>
      <w:contextualSpacing/>
    </w:pPr>
    <w:rPr>
      <w:rFonts w:ascii="Calibri" w:eastAsia="Times New Roman" w:hAnsi="Calibri" w:cs="Times New Roman"/>
      <w:color w:val="auto"/>
      <w:lang w:eastAsia="en-US"/>
    </w:rPr>
  </w:style>
  <w:style w:type="paragraph" w:customStyle="1" w:styleId="a0">
    <w:name w:val="Κυρίως κείμενο"/>
    <w:uiPriority w:val="99"/>
    <w:rsid w:val="00C44B4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Times New Roman" w:hAnsi="Calibri" w:cs="Calibri"/>
      <w:color w:val="000000"/>
      <w:u w:color="000000"/>
      <w:lang w:eastAsia="el-GR"/>
    </w:rPr>
  </w:style>
  <w:style w:type="character" w:styleId="Hyperlink">
    <w:name w:val="Hyperlink"/>
    <w:basedOn w:val="DefaultParagraphFont"/>
    <w:uiPriority w:val="99"/>
    <w:rsid w:val="00C44B4C"/>
    <w:rPr>
      <w:rFonts w:cs="Times New Roman"/>
      <w:color w:val="0000FF"/>
      <w:u w:val="single"/>
    </w:rPr>
  </w:style>
  <w:style w:type="paragraph" w:styleId="ListParagraph">
    <w:name w:val="List Paragraph"/>
    <w:basedOn w:val="Normal"/>
    <w:uiPriority w:val="34"/>
    <w:qFormat/>
    <w:rsid w:val="00C44B4C"/>
    <w:pPr>
      <w:spacing w:after="200"/>
      <w:ind w:left="720"/>
      <w:contextualSpacing/>
    </w:pPr>
    <w:rPr>
      <w:rFonts w:asciiTheme="minorHAnsi" w:eastAsiaTheme="minorEastAsia" w:hAnsiTheme="minorHAnsi" w:cstheme="minorBidi"/>
      <w:color w:val="auto"/>
    </w:rPr>
  </w:style>
  <w:style w:type="paragraph" w:styleId="NoSpacing">
    <w:name w:val="No Spacing"/>
    <w:uiPriority w:val="1"/>
    <w:qFormat/>
    <w:rsid w:val="00B60CD5"/>
    <w:pPr>
      <w:spacing w:after="0" w:line="240" w:lineRule="auto"/>
    </w:pPr>
    <w:rPr>
      <w:rFonts w:ascii="Arial" w:eastAsia="Arial" w:hAnsi="Arial" w:cs="Arial"/>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Πάυλοβιτς Γιάννης</dc:creator>
  <cp:keywords/>
  <dc:description/>
  <cp:lastModifiedBy>Pantelis Arsenis</cp:lastModifiedBy>
  <cp:revision>2</cp:revision>
  <dcterms:created xsi:type="dcterms:W3CDTF">2015-10-19T16:23:00Z</dcterms:created>
  <dcterms:modified xsi:type="dcterms:W3CDTF">2015-10-19T16:23:00Z</dcterms:modified>
</cp:coreProperties>
</file>